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4251FFCD" w:rsidR="00EA0165" w:rsidRPr="00C45626"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C4562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C45626">
        <w:rPr>
          <w:rFonts w:ascii="Palatino Linotype" w:eastAsiaTheme="minorEastAsia" w:hAnsi="Palatino Linotype" w:cstheme="minorBidi"/>
          <w:color w:val="000000" w:themeColor="text1"/>
          <w:lang w:val="es-ES_tradnl"/>
        </w:rPr>
        <w:t xml:space="preserve">n Metepec, Estado </w:t>
      </w:r>
      <w:r w:rsidR="00212B2C" w:rsidRPr="00C45626">
        <w:rPr>
          <w:rFonts w:ascii="Palatino Linotype" w:eastAsiaTheme="minorEastAsia" w:hAnsi="Palatino Linotype" w:cstheme="minorBidi"/>
          <w:color w:val="000000" w:themeColor="text1"/>
          <w:lang w:val="es-ES_tradnl"/>
        </w:rPr>
        <w:t>de México; de ocho</w:t>
      </w:r>
      <w:r w:rsidR="00B96D41" w:rsidRPr="00C45626">
        <w:rPr>
          <w:rFonts w:ascii="Palatino Linotype" w:eastAsiaTheme="minorEastAsia" w:hAnsi="Palatino Linotype" w:cstheme="minorBidi"/>
          <w:color w:val="000000" w:themeColor="text1"/>
          <w:lang w:val="es-ES_tradnl"/>
        </w:rPr>
        <w:t xml:space="preserve"> </w:t>
      </w:r>
      <w:r w:rsidR="00212B2C" w:rsidRPr="00C45626">
        <w:rPr>
          <w:rFonts w:ascii="Palatino Linotype" w:eastAsiaTheme="minorEastAsia" w:hAnsi="Palatino Linotype" w:cstheme="minorBidi"/>
          <w:color w:val="000000" w:themeColor="text1"/>
          <w:lang w:val="es-MX"/>
        </w:rPr>
        <w:t>(08</w:t>
      </w:r>
      <w:r w:rsidRPr="00C45626">
        <w:rPr>
          <w:rFonts w:ascii="Palatino Linotype" w:eastAsiaTheme="minorEastAsia" w:hAnsi="Palatino Linotype" w:cstheme="minorBidi"/>
          <w:color w:val="000000" w:themeColor="text1"/>
          <w:lang w:val="es-MX"/>
        </w:rPr>
        <w:t>) de</w:t>
      </w:r>
      <w:r w:rsidR="00FD501B" w:rsidRPr="00C45626">
        <w:rPr>
          <w:rFonts w:ascii="Palatino Linotype" w:eastAsiaTheme="minorEastAsia" w:hAnsi="Palatino Linotype" w:cstheme="minorBidi"/>
          <w:color w:val="000000" w:themeColor="text1"/>
          <w:lang w:val="es-MX"/>
        </w:rPr>
        <w:t xml:space="preserve"> junio</w:t>
      </w:r>
      <w:r w:rsidR="00F03AFC" w:rsidRPr="00C45626">
        <w:rPr>
          <w:rFonts w:ascii="Palatino Linotype" w:eastAsiaTheme="minorEastAsia" w:hAnsi="Palatino Linotype" w:cstheme="minorBidi"/>
          <w:color w:val="000000" w:themeColor="text1"/>
          <w:lang w:val="es-MX"/>
        </w:rPr>
        <w:t xml:space="preserve"> </w:t>
      </w:r>
      <w:r w:rsidR="00003CF3" w:rsidRPr="00C45626">
        <w:rPr>
          <w:rFonts w:ascii="Palatino Linotype" w:eastAsiaTheme="minorEastAsia" w:hAnsi="Palatino Linotype" w:cstheme="minorBidi"/>
          <w:color w:val="000000" w:themeColor="text1"/>
          <w:lang w:val="es-MX"/>
        </w:rPr>
        <w:t>de dos mil veintidós</w:t>
      </w:r>
      <w:r w:rsidRPr="00C45626">
        <w:rPr>
          <w:rFonts w:ascii="Palatino Linotype" w:eastAsiaTheme="minorEastAsia" w:hAnsi="Palatino Linotype" w:cstheme="minorBidi"/>
          <w:color w:val="000000" w:themeColor="text1"/>
          <w:lang w:val="es-ES_tradnl"/>
        </w:rPr>
        <w:t xml:space="preserve">. </w:t>
      </w:r>
    </w:p>
    <w:p w14:paraId="68E5E524" w14:textId="444CDD77" w:rsidR="00EA0165" w:rsidRPr="00C45626" w:rsidRDefault="00EA0165" w:rsidP="007D7513">
      <w:pPr>
        <w:pStyle w:val="Prrafodelista"/>
        <w:tabs>
          <w:tab w:val="left" w:pos="0"/>
        </w:tabs>
        <w:spacing w:line="360" w:lineRule="auto"/>
        <w:ind w:left="0"/>
        <w:jc w:val="both"/>
        <w:rPr>
          <w:rFonts w:ascii="Palatino Linotype" w:eastAsia="MS Mincho" w:hAnsi="Palatino Linotype"/>
          <w:lang w:val="es-ES_tradnl"/>
        </w:rPr>
      </w:pPr>
      <w:r w:rsidRPr="00C45626">
        <w:rPr>
          <w:rFonts w:ascii="Palatino Linotype" w:eastAsia="MS Mincho" w:hAnsi="Palatino Linotype"/>
          <w:b/>
          <w:lang w:val="es-ES_tradnl"/>
        </w:rPr>
        <w:t>VISTO</w:t>
      </w:r>
      <w:r w:rsidRPr="00C45626">
        <w:rPr>
          <w:rFonts w:ascii="Palatino Linotype" w:eastAsia="MS Mincho" w:hAnsi="Palatino Linotype"/>
          <w:lang w:val="es-ES_tradnl"/>
        </w:rPr>
        <w:t xml:space="preserve"> el expediente electrónico formado con motivo del recurso de revisión</w:t>
      </w:r>
      <w:r w:rsidR="00B96D41" w:rsidRPr="00C45626">
        <w:rPr>
          <w:rFonts w:ascii="Palatino Linotype" w:eastAsia="MS Mincho" w:hAnsi="Palatino Linotype"/>
          <w:lang w:val="es-ES_tradnl"/>
        </w:rPr>
        <w:t xml:space="preserve"> </w:t>
      </w:r>
      <w:r w:rsidR="00FD501B" w:rsidRPr="00C45626">
        <w:rPr>
          <w:rFonts w:ascii="Palatino Linotype" w:eastAsia="MS Mincho" w:hAnsi="Palatino Linotype"/>
          <w:b/>
          <w:bCs/>
        </w:rPr>
        <w:t>04813/INFOEM/IP/RR/2021</w:t>
      </w:r>
      <w:r w:rsidRPr="00C45626">
        <w:rPr>
          <w:rFonts w:ascii="Palatino Linotype" w:eastAsia="MS Mincho" w:hAnsi="Palatino Linotype"/>
          <w:b/>
          <w:bCs/>
          <w:lang w:val="es-ES_tradnl"/>
        </w:rPr>
        <w:t xml:space="preserve">, </w:t>
      </w:r>
      <w:r w:rsidRPr="00C45626">
        <w:rPr>
          <w:rFonts w:ascii="Palatino Linotype" w:eastAsia="MS Mincho" w:hAnsi="Palatino Linotype"/>
          <w:lang w:val="es-ES_tradnl"/>
        </w:rPr>
        <w:t>promovido por</w:t>
      </w:r>
      <w:r w:rsidR="00FD501B" w:rsidRPr="00C45626">
        <w:rPr>
          <w:rFonts w:ascii="Palatino Linotype" w:eastAsia="MS Mincho" w:hAnsi="Palatino Linotype"/>
          <w:lang w:val="es-ES_tradnl"/>
        </w:rPr>
        <w:t xml:space="preserve"> </w:t>
      </w:r>
      <w:r w:rsidR="008F18E5" w:rsidRPr="008F18E5">
        <w:rPr>
          <w:rFonts w:ascii="Palatino Linotype" w:eastAsia="MS Mincho" w:hAnsi="Palatino Linotype"/>
          <w:b/>
          <w:bCs/>
        </w:rPr>
        <w:t>XXXXX XXXX XXXXXX</w:t>
      </w:r>
      <w:r w:rsidR="008F18E5">
        <w:rPr>
          <w:rFonts w:ascii="Palatino Linotype" w:eastAsia="MS Mincho" w:hAnsi="Palatino Linotype"/>
        </w:rPr>
        <w:t xml:space="preserve"> </w:t>
      </w:r>
      <w:bookmarkStart w:id="0" w:name="_GoBack"/>
      <w:bookmarkEnd w:id="0"/>
      <w:r w:rsidRPr="00C45626">
        <w:rPr>
          <w:rFonts w:ascii="Palatino Linotype" w:eastAsia="MS Mincho" w:hAnsi="Palatino Linotype"/>
          <w:lang w:val="es-ES_tradnl"/>
        </w:rPr>
        <w:t xml:space="preserve">en su calidad de </w:t>
      </w:r>
      <w:r w:rsidRPr="00C45626">
        <w:rPr>
          <w:rFonts w:ascii="Palatino Linotype" w:eastAsia="MS Mincho" w:hAnsi="Palatino Linotype"/>
          <w:b/>
          <w:lang w:val="es-ES_tradnl"/>
        </w:rPr>
        <w:t>RECURRENTE</w:t>
      </w:r>
      <w:r w:rsidR="00B4299A" w:rsidRPr="00C45626">
        <w:rPr>
          <w:rFonts w:ascii="Palatino Linotype" w:eastAsia="MS Mincho" w:hAnsi="Palatino Linotype"/>
          <w:lang w:val="es-ES_tradnl"/>
        </w:rPr>
        <w:t xml:space="preserve">, </w:t>
      </w:r>
      <w:r w:rsidR="00923BD9" w:rsidRPr="00C45626">
        <w:rPr>
          <w:rFonts w:ascii="Palatino Linotype" w:eastAsia="MS Mincho" w:hAnsi="Palatino Linotype"/>
          <w:lang w:val="es-ES_tradnl"/>
        </w:rPr>
        <w:t xml:space="preserve">en contra de la respuesta de la </w:t>
      </w:r>
      <w:r w:rsidR="00B96D41" w:rsidRPr="00C45626">
        <w:rPr>
          <w:rFonts w:ascii="Palatino Linotype" w:eastAsia="MS Mincho" w:hAnsi="Palatino Linotype"/>
          <w:b/>
          <w:lang w:val="es-ES_tradnl"/>
        </w:rPr>
        <w:t>Tribunal de Justicia Administrativa del Estado de México</w:t>
      </w:r>
      <w:r w:rsidR="003D473A" w:rsidRPr="00C45626">
        <w:rPr>
          <w:rFonts w:ascii="Palatino Linotype" w:eastAsia="MS Mincho" w:hAnsi="Palatino Linotype"/>
          <w:b/>
          <w:lang w:val="es-ES_tradnl"/>
        </w:rPr>
        <w:t xml:space="preserve"> </w:t>
      </w:r>
      <w:r w:rsidRPr="00C45626">
        <w:rPr>
          <w:rFonts w:ascii="Palatino Linotype" w:eastAsia="MS Mincho" w:hAnsi="Palatino Linotype"/>
          <w:lang w:val="es-ES_tradnl"/>
        </w:rPr>
        <w:t>en lo sucesivo el</w:t>
      </w:r>
      <w:r w:rsidRPr="00C45626">
        <w:rPr>
          <w:rFonts w:ascii="Palatino Linotype" w:eastAsia="MS Mincho" w:hAnsi="Palatino Linotype"/>
          <w:b/>
          <w:lang w:val="es-ES_tradnl"/>
        </w:rPr>
        <w:t xml:space="preserve"> SUJETO OBLIGADO, </w:t>
      </w:r>
      <w:r w:rsidRPr="00C45626">
        <w:rPr>
          <w:rFonts w:ascii="Palatino Linotype" w:eastAsia="MS Mincho" w:hAnsi="Palatino Linotype"/>
          <w:lang w:val="es-ES_tradnl"/>
        </w:rPr>
        <w:t xml:space="preserve">se procede a dictar la presente resolución, con base en los siguientes: </w:t>
      </w:r>
    </w:p>
    <w:p w14:paraId="64D30E95" w14:textId="2F57A823" w:rsidR="00F216D7" w:rsidRPr="00C45626"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5013144"/>
      <w:r w:rsidRPr="00C45626">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5EAA167F" w:rsidR="00707416" w:rsidRPr="00C45626" w:rsidRDefault="00EA0165" w:rsidP="00FD501B">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C45626">
        <w:rPr>
          <w:rFonts w:ascii="Palatino Linotype" w:eastAsia="Calibri" w:hAnsi="Palatino Linotype" w:cs="Arial"/>
          <w:color w:val="000000" w:themeColor="text1"/>
        </w:rPr>
        <w:t>El</w:t>
      </w:r>
      <w:r w:rsidR="00F216D7" w:rsidRPr="00C45626">
        <w:rPr>
          <w:rFonts w:ascii="Palatino Linotype" w:eastAsia="Calibri" w:hAnsi="Palatino Linotype" w:cs="Arial"/>
          <w:color w:val="000000" w:themeColor="text1"/>
        </w:rPr>
        <w:t xml:space="preserve"> </w:t>
      </w:r>
      <w:r w:rsidR="00FD501B" w:rsidRPr="00C45626">
        <w:rPr>
          <w:rFonts w:ascii="Palatino Linotype" w:eastAsia="Calibri" w:hAnsi="Palatino Linotype" w:cs="Arial"/>
          <w:color w:val="000000" w:themeColor="text1"/>
        </w:rPr>
        <w:t>veintitrés</w:t>
      </w:r>
      <w:r w:rsidR="00416E00" w:rsidRPr="00C45626">
        <w:rPr>
          <w:rFonts w:ascii="Palatino Linotype" w:eastAsia="Calibri" w:hAnsi="Palatino Linotype" w:cs="Arial"/>
          <w:color w:val="000000" w:themeColor="text1"/>
        </w:rPr>
        <w:t xml:space="preserve"> </w:t>
      </w:r>
      <w:r w:rsidRPr="00C45626">
        <w:rPr>
          <w:rFonts w:ascii="Palatino Linotype" w:eastAsia="Calibri" w:hAnsi="Palatino Linotype" w:cs="Arial"/>
          <w:color w:val="000000" w:themeColor="text1"/>
        </w:rPr>
        <w:t>(</w:t>
      </w:r>
      <w:r w:rsidR="00FD501B" w:rsidRPr="00C45626">
        <w:rPr>
          <w:rFonts w:ascii="Palatino Linotype" w:eastAsia="Calibri" w:hAnsi="Palatino Linotype" w:cs="Arial"/>
          <w:color w:val="000000" w:themeColor="text1"/>
        </w:rPr>
        <w:t>23</w:t>
      </w:r>
      <w:r w:rsidRPr="00C45626">
        <w:rPr>
          <w:rFonts w:ascii="Palatino Linotype" w:eastAsia="Calibri" w:hAnsi="Palatino Linotype" w:cs="Arial"/>
          <w:color w:val="000000" w:themeColor="text1"/>
        </w:rPr>
        <w:t>) de</w:t>
      </w:r>
      <w:r w:rsidR="00FD501B" w:rsidRPr="00C45626">
        <w:rPr>
          <w:rFonts w:ascii="Palatino Linotype" w:eastAsia="Calibri" w:hAnsi="Palatino Linotype" w:cs="Arial"/>
          <w:color w:val="000000" w:themeColor="text1"/>
        </w:rPr>
        <w:t xml:space="preserve"> agosto</w:t>
      </w:r>
      <w:r w:rsidR="00707416" w:rsidRPr="00C45626">
        <w:rPr>
          <w:rFonts w:ascii="Palatino Linotype" w:eastAsia="Calibri" w:hAnsi="Palatino Linotype" w:cs="Arial"/>
          <w:color w:val="000000" w:themeColor="text1"/>
        </w:rPr>
        <w:t xml:space="preserve"> </w:t>
      </w:r>
      <w:r w:rsidRPr="00C45626">
        <w:rPr>
          <w:rFonts w:ascii="Palatino Linotype" w:eastAsia="Calibri" w:hAnsi="Palatino Linotype" w:cs="Arial"/>
          <w:color w:val="000000" w:themeColor="text1"/>
        </w:rPr>
        <w:t xml:space="preserve">de dos mil </w:t>
      </w:r>
      <w:r w:rsidR="002B2B24" w:rsidRPr="00C45626">
        <w:rPr>
          <w:rFonts w:ascii="Palatino Linotype" w:eastAsia="Calibri" w:hAnsi="Palatino Linotype" w:cs="Arial"/>
          <w:color w:val="000000" w:themeColor="text1"/>
        </w:rPr>
        <w:t>veintiuno</w:t>
      </w:r>
      <w:r w:rsidRPr="00C45626">
        <w:rPr>
          <w:rFonts w:ascii="Palatino Linotype" w:eastAsia="Calibri" w:hAnsi="Palatino Linotype" w:cs="Arial"/>
          <w:color w:val="000000" w:themeColor="text1"/>
        </w:rPr>
        <w:t xml:space="preserve">, </w:t>
      </w:r>
      <w:r w:rsidRPr="00C45626">
        <w:rPr>
          <w:rFonts w:ascii="Palatino Linotype" w:eastAsiaTheme="minorEastAsia" w:hAnsi="Palatino Linotype" w:cstheme="minorBidi"/>
          <w:color w:val="000000" w:themeColor="text1"/>
          <w:lang w:val="es-ES_tradnl"/>
        </w:rPr>
        <w:t>el particular presentó</w:t>
      </w:r>
      <w:r w:rsidRPr="00C45626">
        <w:rPr>
          <w:rFonts w:ascii="Palatino Linotype" w:eastAsiaTheme="minorEastAsia" w:hAnsi="Palatino Linotype" w:cstheme="minorBidi"/>
          <w:b/>
          <w:color w:val="000000" w:themeColor="text1"/>
          <w:lang w:val="es-ES_tradnl"/>
        </w:rPr>
        <w:t xml:space="preserve"> </w:t>
      </w:r>
      <w:r w:rsidR="00936BED" w:rsidRPr="00C45626">
        <w:rPr>
          <w:rFonts w:ascii="Palatino Linotype" w:eastAsiaTheme="minorEastAsia" w:hAnsi="Palatino Linotype" w:cstheme="minorBidi"/>
          <w:bCs/>
          <w:color w:val="000000" w:themeColor="text1"/>
          <w:lang w:val="es-ES_tradnl"/>
        </w:rPr>
        <w:t>a través de</w:t>
      </w:r>
      <w:r w:rsidR="00923BD9" w:rsidRPr="00C45626">
        <w:rPr>
          <w:rFonts w:ascii="Palatino Linotype" w:eastAsiaTheme="minorEastAsia" w:hAnsi="Palatino Linotype" w:cstheme="minorBidi"/>
          <w:bCs/>
          <w:color w:val="000000" w:themeColor="text1"/>
          <w:lang w:val="es-ES_tradnl"/>
        </w:rPr>
        <w:t>l</w:t>
      </w:r>
      <w:r w:rsidR="00923BD9" w:rsidRPr="00C45626">
        <w:rPr>
          <w:rFonts w:ascii="Palatino Linotype" w:eastAsia="Calibri" w:hAnsi="Palatino Linotype" w:cs="Arial"/>
          <w:color w:val="000000" w:themeColor="text1"/>
        </w:rPr>
        <w:t xml:space="preserve"> </w:t>
      </w:r>
      <w:r w:rsidR="00923BD9" w:rsidRPr="00C45626">
        <w:rPr>
          <w:rFonts w:ascii="Palatino Linotype" w:eastAsiaTheme="minorEastAsia" w:hAnsi="Palatino Linotype" w:cstheme="minorBidi"/>
          <w:bCs/>
          <w:color w:val="000000" w:themeColor="text1"/>
        </w:rPr>
        <w:t xml:space="preserve">Sistema de Acceso a la Información Mexiquense </w:t>
      </w:r>
      <w:r w:rsidR="00923BD9" w:rsidRPr="00C45626">
        <w:rPr>
          <w:rFonts w:ascii="Palatino Linotype" w:eastAsiaTheme="minorEastAsia" w:hAnsi="Palatino Linotype" w:cstheme="minorBidi"/>
          <w:b/>
          <w:bCs/>
          <w:color w:val="000000" w:themeColor="text1"/>
        </w:rPr>
        <w:t>(SAIMEX)</w:t>
      </w:r>
      <w:r w:rsidRPr="00C45626">
        <w:rPr>
          <w:rFonts w:ascii="Palatino Linotype" w:eastAsia="Calibri" w:hAnsi="Palatino Linotype" w:cs="Arial"/>
          <w:b/>
          <w:color w:val="000000" w:themeColor="text1"/>
        </w:rPr>
        <w:t xml:space="preserve">, </w:t>
      </w:r>
      <w:r w:rsidRPr="00C45626">
        <w:rPr>
          <w:rFonts w:ascii="Palatino Linotype" w:eastAsia="Calibri" w:hAnsi="Palatino Linotype" w:cs="Arial"/>
          <w:color w:val="000000" w:themeColor="text1"/>
        </w:rPr>
        <w:t>la solicitud de información pública registrada con el número</w:t>
      </w:r>
      <w:r w:rsidR="00DD02B8" w:rsidRPr="00C45626">
        <w:rPr>
          <w:rFonts w:ascii="Palatino Linotype" w:eastAsia="Calibri" w:hAnsi="Palatino Linotype" w:cs="Arial"/>
          <w:color w:val="000000" w:themeColor="text1"/>
        </w:rPr>
        <w:t xml:space="preserve"> </w:t>
      </w:r>
      <w:r w:rsidR="00FD501B" w:rsidRPr="00C45626">
        <w:rPr>
          <w:rFonts w:ascii="Palatino Linotype" w:eastAsia="Calibri" w:hAnsi="Palatino Linotype" w:cs="Arial"/>
          <w:b/>
          <w:bCs/>
          <w:color w:val="000000" w:themeColor="text1"/>
        </w:rPr>
        <w:t>00079/TRIJAEM/IP/2021</w:t>
      </w:r>
      <w:r w:rsidRPr="00C45626">
        <w:rPr>
          <w:rFonts w:ascii="Palatino Linotype" w:eastAsiaTheme="minorEastAsia" w:hAnsi="Palatino Linotype" w:cstheme="minorBidi"/>
          <w:b/>
          <w:bCs/>
          <w:color w:val="000000" w:themeColor="text1"/>
          <w:lang w:val="es-ES_tradnl"/>
        </w:rPr>
        <w:t>,</w:t>
      </w:r>
      <w:r w:rsidRPr="00C45626">
        <w:rPr>
          <w:rFonts w:ascii="Palatino Linotype" w:eastAsia="Calibri" w:hAnsi="Palatino Linotype" w:cs="Arial"/>
          <w:color w:val="000000" w:themeColor="text1"/>
        </w:rPr>
        <w:t xml:space="preserve"> mediante la cual requirió:</w:t>
      </w:r>
    </w:p>
    <w:p w14:paraId="119BF7E0" w14:textId="5E80A1A1" w:rsidR="00EA0165" w:rsidRPr="00C45626"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C45626">
        <w:rPr>
          <w:rFonts w:ascii="Palatino Linotype" w:eastAsiaTheme="minorEastAsia" w:hAnsi="Palatino Linotype" w:cstheme="minorBidi"/>
          <w:i/>
          <w:color w:val="000000" w:themeColor="text1"/>
          <w:lang w:val="es-ES_tradnl"/>
        </w:rPr>
        <w:t>“</w:t>
      </w:r>
      <w:r w:rsidR="00FD501B" w:rsidRPr="00C45626">
        <w:rPr>
          <w:rFonts w:ascii="Palatino Linotype" w:eastAsiaTheme="minorEastAsia" w:hAnsi="Palatino Linotype" w:cstheme="minorBidi"/>
          <w:i/>
          <w:color w:val="000000" w:themeColor="text1"/>
        </w:rPr>
        <w:t xml:space="preserve">En cumplimiento al artículo 33 de la Ley General de Protección de Datos Personales en Posesión de Sujetos Obligados le solicito los documentos donde consten o en los cuales se pudiera obtener lo siguiente: A. La (s) política (s) gestión y tratamiento de los datos personales B. Las funciones y obligaciones del personal involucrado en el tratamiento de datos personales; C. El inventario de datos personales y de los sistemas de tratamiento; D. El procedimiento de análisis de riesgos E. Los resultados de los análisis de riesgo de los datos personales, en el </w:t>
      </w:r>
      <w:r w:rsidR="00FD501B" w:rsidRPr="00C45626">
        <w:rPr>
          <w:rFonts w:ascii="Palatino Linotype" w:eastAsiaTheme="minorEastAsia" w:hAnsi="Palatino Linotype" w:cstheme="minorBidi"/>
          <w:i/>
          <w:color w:val="000000" w:themeColor="text1"/>
        </w:rPr>
        <w:lastRenderedPageBreak/>
        <w:t>cual debieron de haber considerado las amenazas y vulnerabilidades existentes para los datos personales y los recursos involucrados en su tratamiento, como pueden ser, de manera enunciativa más no limitativa, hardware, software, personal del responsable, entre otros; F. Los resultados de los análisis de brecha (comparando las medidas de seguridad existentes contra las faltantes en la organización del responsable) G. El plan de trabajo para la implementación de las medidas de seguridad faltantes, así como las medidas para el cumplimiento cotidiano de las políticas de gestión y tratamiento de los datos personales; H. El procedimiento o mecanismos de monitoreo periódico de las medidas de seguridad implementadas, así como las amenazas y vulneraciones a las que están sujetos los datos personales, I. El programa de capacitación de acuerdo al nivel, dependiendo de sus roles y responsabilidades respecto del tratamiento de los datos personales J. Procedimiento de Auditoría al sistema de gestión de protección de datos personales y se indique quien realiza ese procedimiento K. Los resultados de las auditorías al sistema de gestión de protección de datos personales desde su implementación a la fecha Por favor NO ENTREGAR SU DOCUMENTO ORIENTADOR, solo la DOCUMENTACIÓN SOLICITADA y que HA GENERADO ese INSTITUTO, la temporalidad de la información solicitada: de enero del año 2018 al 20 de julio de 2021 a excepción del numeral K). Por ultimo me permito solicitar el documento de seguridad de esta Institución de manera íntegra, de no ser así, favor de remitirlo en versión pública</w:t>
      </w:r>
      <w:r w:rsidRPr="00C45626">
        <w:rPr>
          <w:rFonts w:ascii="Palatino Linotype" w:eastAsiaTheme="minorEastAsia" w:hAnsi="Palatino Linotype" w:cstheme="minorBidi"/>
          <w:i/>
          <w:color w:val="000000" w:themeColor="text1"/>
          <w:lang w:val="es-ES_tradnl"/>
        </w:rPr>
        <w:t xml:space="preserve">.” </w:t>
      </w:r>
      <w:r w:rsidRPr="00C45626">
        <w:rPr>
          <w:rFonts w:ascii="Palatino Linotype" w:eastAsiaTheme="minorEastAsia" w:hAnsi="Palatino Linotype" w:cstheme="minorBidi"/>
          <w:color w:val="000000" w:themeColor="text1"/>
          <w:lang w:val="es-ES_tradnl"/>
        </w:rPr>
        <w:t>(Sic).</w:t>
      </w:r>
    </w:p>
    <w:p w14:paraId="1046CCE1" w14:textId="304A6F03" w:rsidR="00A415DB" w:rsidRPr="00C45626"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C45626"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C45626">
        <w:rPr>
          <w:rFonts w:ascii="Palatino Linotype" w:hAnsi="Palatino Linotype" w:cs="Arial"/>
        </w:rPr>
        <w:lastRenderedPageBreak/>
        <w:t>Se hace constar que se señaló como modalidad de entrega de la información</w:t>
      </w:r>
      <w:r w:rsidRPr="00C45626">
        <w:rPr>
          <w:rFonts w:ascii="Palatino Linotype" w:hAnsi="Palatino Linotype" w:cs="Arial"/>
          <w:b/>
        </w:rPr>
        <w:t>:</w:t>
      </w:r>
      <w:r w:rsidRPr="00C45626">
        <w:rPr>
          <w:rFonts w:ascii="Palatino Linotype" w:hAnsi="Palatino Linotype" w:cs="Arial"/>
        </w:rPr>
        <w:t xml:space="preserve"> </w:t>
      </w:r>
      <w:r w:rsidRPr="00C45626">
        <w:rPr>
          <w:rFonts w:ascii="Palatino Linotype" w:hAnsi="Palatino Linotype" w:cs="Arial"/>
          <w:b/>
        </w:rPr>
        <w:t>A través del SAIMEX.</w:t>
      </w:r>
    </w:p>
    <w:p w14:paraId="438C3DE3" w14:textId="77777777" w:rsidR="00DD02B8" w:rsidRPr="00C45626" w:rsidRDefault="00DD02B8" w:rsidP="007D751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73022998" w:rsidR="002B2B24" w:rsidRPr="00C45626" w:rsidRDefault="00FD501B" w:rsidP="00FD501B">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sidRPr="00C45626">
        <w:rPr>
          <w:rFonts w:ascii="Palatino Linotype" w:hAnsi="Palatino Linotype" w:cs="Arial"/>
          <w:color w:val="000000" w:themeColor="text1"/>
        </w:rPr>
        <w:t>El tres (03</w:t>
      </w:r>
      <w:r w:rsidR="00DD02B8" w:rsidRPr="00C45626">
        <w:rPr>
          <w:rFonts w:ascii="Palatino Linotype" w:hAnsi="Palatino Linotype" w:cs="Arial"/>
          <w:color w:val="000000" w:themeColor="text1"/>
        </w:rPr>
        <w:t>) de s</w:t>
      </w:r>
      <w:r w:rsidRPr="00C45626">
        <w:rPr>
          <w:rFonts w:ascii="Palatino Linotype" w:hAnsi="Palatino Linotype" w:cs="Arial"/>
          <w:color w:val="000000" w:themeColor="text1"/>
        </w:rPr>
        <w:t>eptiembre de dos mil veintiuno</w:t>
      </w:r>
      <w:r w:rsidR="00EA0165" w:rsidRPr="00C45626">
        <w:rPr>
          <w:rFonts w:ascii="Palatino Linotype" w:eastAsiaTheme="minorEastAsia" w:hAnsi="Palatino Linotype" w:cstheme="minorBidi"/>
          <w:color w:val="000000" w:themeColor="text1"/>
          <w:lang w:val="es-ES_tradnl"/>
        </w:rPr>
        <w:t xml:space="preserve">, el </w:t>
      </w:r>
      <w:r w:rsidR="00EA0165" w:rsidRPr="00C45626">
        <w:rPr>
          <w:rFonts w:ascii="Palatino Linotype" w:eastAsiaTheme="minorEastAsia" w:hAnsi="Palatino Linotype" w:cstheme="minorBidi"/>
          <w:b/>
          <w:color w:val="000000" w:themeColor="text1"/>
          <w:lang w:val="es-ES_tradnl"/>
        </w:rPr>
        <w:t>SUJETO OBLIGADO</w:t>
      </w:r>
      <w:r w:rsidR="00EA0165" w:rsidRPr="00C45626">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64080E6E" w14:textId="77777777" w:rsidR="00FD501B" w:rsidRPr="00C45626" w:rsidRDefault="00FD501B" w:rsidP="00FD501B">
      <w:pPr>
        <w:pStyle w:val="Prrafodelista"/>
        <w:rPr>
          <w:rFonts w:ascii="Palatino Linotype" w:eastAsiaTheme="minorEastAsia" w:hAnsi="Palatino Linotype" w:cstheme="minorBidi"/>
          <w:color w:val="000000" w:themeColor="text1"/>
          <w:lang w:val="es-ES_tradnl"/>
        </w:rPr>
      </w:pPr>
    </w:p>
    <w:p w14:paraId="4A1D6066" w14:textId="77777777" w:rsidR="00FD501B" w:rsidRPr="00C45626" w:rsidRDefault="00FD501B" w:rsidP="00FD501B">
      <w:pPr>
        <w:pStyle w:val="Prrafodelista"/>
        <w:tabs>
          <w:tab w:val="left" w:pos="284"/>
          <w:tab w:val="left" w:pos="567"/>
        </w:tabs>
        <w:spacing w:before="100" w:beforeAutospacing="1" w:after="100" w:afterAutospacing="1" w:line="360" w:lineRule="auto"/>
        <w:ind w:left="0"/>
        <w:contextualSpacing/>
        <w:jc w:val="both"/>
        <w:rPr>
          <w:rFonts w:ascii="Palatino Linotype" w:eastAsiaTheme="minorEastAsia" w:hAnsi="Palatino Linotype" w:cstheme="minorBidi"/>
          <w:color w:val="000000" w:themeColor="text1"/>
          <w:lang w:val="es-ES_tradnl"/>
        </w:rPr>
      </w:pPr>
    </w:p>
    <w:p w14:paraId="6476E06D"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C45626">
        <w:rPr>
          <w:rFonts w:ascii="Palatino Linotype" w:hAnsi="Palatino Linotype" w:cs="Arial"/>
          <w:i/>
          <w:color w:val="000000" w:themeColor="text1"/>
        </w:rPr>
        <w:t>“Metepec, México a 03 de Septiembre de 2021</w:t>
      </w:r>
    </w:p>
    <w:p w14:paraId="3F8C9462"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C45626">
        <w:rPr>
          <w:rFonts w:ascii="Palatino Linotype" w:hAnsi="Palatino Linotype" w:cs="Arial"/>
          <w:i/>
          <w:color w:val="000000" w:themeColor="text1"/>
        </w:rPr>
        <w:t>Nombre del solicitante: C. Solicitante</w:t>
      </w:r>
    </w:p>
    <w:p w14:paraId="0F2544D4"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C45626">
        <w:rPr>
          <w:rFonts w:ascii="Palatino Linotype" w:hAnsi="Palatino Linotype" w:cs="Arial"/>
          <w:i/>
          <w:color w:val="000000" w:themeColor="text1"/>
        </w:rPr>
        <w:t>Folio de la solicitud: 00079/TRIJAEM/IP/2021</w:t>
      </w:r>
    </w:p>
    <w:p w14:paraId="23CE2899"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36F8362C"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C45626">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751641"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6B42FF7D"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C45626">
        <w:rPr>
          <w:rFonts w:ascii="Palatino Linotype" w:hAnsi="Palatino Linotype" w:cs="Arial"/>
          <w:i/>
          <w:color w:val="000000" w:themeColor="text1"/>
        </w:rPr>
        <w:t>Mediante archivo adjunto se da respuesta a la presente solicitud.</w:t>
      </w:r>
    </w:p>
    <w:p w14:paraId="04503F85"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15A19461"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72C61684"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C45626">
        <w:rPr>
          <w:rFonts w:ascii="Palatino Linotype" w:hAnsi="Palatino Linotype" w:cs="Arial"/>
          <w:i/>
          <w:color w:val="000000" w:themeColor="text1"/>
        </w:rPr>
        <w:t>ATENTAMENTE</w:t>
      </w:r>
    </w:p>
    <w:p w14:paraId="345AB885" w14:textId="77777777" w:rsidR="00FD501B" w:rsidRPr="00C45626" w:rsidRDefault="00FD501B" w:rsidP="00FD501B">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C45626">
        <w:rPr>
          <w:rFonts w:ascii="Palatino Linotype" w:hAnsi="Palatino Linotype" w:cs="Arial"/>
          <w:i/>
          <w:color w:val="000000" w:themeColor="text1"/>
        </w:rPr>
        <w:t>L.A.E. ERIKA YOLANDA FUNES VELÁZQUEZ” (Sic)</w:t>
      </w:r>
    </w:p>
    <w:p w14:paraId="3FD7499C" w14:textId="77777777" w:rsidR="00D01CEF" w:rsidRPr="00C45626" w:rsidRDefault="00D01CEF" w:rsidP="007D7513">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C45626"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45626">
        <w:rPr>
          <w:rFonts w:ascii="Palatino Linotype" w:eastAsiaTheme="minorEastAsia" w:hAnsi="Palatino Linotype" w:cstheme="minorBidi"/>
          <w:color w:val="000000" w:themeColor="text1"/>
          <w:lang w:val="es-ES_tradnl"/>
        </w:rPr>
        <w:lastRenderedPageBreak/>
        <w:t xml:space="preserve">Asimismo, el </w:t>
      </w:r>
      <w:r w:rsidRPr="00C45626">
        <w:rPr>
          <w:rFonts w:ascii="Palatino Linotype" w:eastAsiaTheme="minorEastAsia" w:hAnsi="Palatino Linotype" w:cstheme="minorBidi"/>
          <w:b/>
          <w:bCs/>
          <w:color w:val="000000" w:themeColor="text1"/>
          <w:lang w:val="es-ES_tradnl"/>
        </w:rPr>
        <w:t>SUJETO OBLIGADO</w:t>
      </w:r>
      <w:r w:rsidRPr="00C45626">
        <w:rPr>
          <w:rFonts w:ascii="Palatino Linotype" w:eastAsiaTheme="minorEastAsia" w:hAnsi="Palatino Linotype" w:cstheme="minorBidi"/>
          <w:color w:val="000000" w:themeColor="text1"/>
          <w:lang w:val="es-ES_tradnl"/>
        </w:rPr>
        <w:t xml:space="preserve"> adjuntó a su respuesta </w:t>
      </w:r>
      <w:r w:rsidR="009B5F4C" w:rsidRPr="00C45626">
        <w:rPr>
          <w:rFonts w:ascii="Palatino Linotype" w:eastAsiaTheme="minorEastAsia" w:hAnsi="Palatino Linotype" w:cstheme="minorBidi"/>
          <w:color w:val="000000" w:themeColor="text1"/>
          <w:lang w:val="es-ES_tradnl"/>
        </w:rPr>
        <w:t xml:space="preserve">los </w:t>
      </w:r>
      <w:r w:rsidR="00F11AAF" w:rsidRPr="00C45626">
        <w:rPr>
          <w:rFonts w:ascii="Palatino Linotype" w:eastAsiaTheme="minorEastAsia" w:hAnsi="Palatino Linotype" w:cstheme="minorBidi"/>
          <w:color w:val="000000" w:themeColor="text1"/>
          <w:lang w:val="es-ES_tradnl"/>
        </w:rPr>
        <w:t>archivo</w:t>
      </w:r>
      <w:r w:rsidR="009B5F4C" w:rsidRPr="00C45626">
        <w:rPr>
          <w:rFonts w:ascii="Palatino Linotype" w:eastAsiaTheme="minorEastAsia" w:hAnsi="Palatino Linotype" w:cstheme="minorBidi"/>
          <w:color w:val="000000" w:themeColor="text1"/>
          <w:lang w:val="es-ES_tradnl"/>
        </w:rPr>
        <w:t>s</w:t>
      </w:r>
      <w:r w:rsidR="00376142" w:rsidRPr="00C45626">
        <w:rPr>
          <w:rFonts w:ascii="Palatino Linotype" w:eastAsiaTheme="minorEastAsia" w:hAnsi="Palatino Linotype" w:cstheme="minorBidi"/>
          <w:color w:val="000000" w:themeColor="text1"/>
          <w:lang w:val="es-ES_tradnl"/>
        </w:rPr>
        <w:t xml:space="preserve"> </w:t>
      </w:r>
      <w:r w:rsidRPr="00C45626">
        <w:rPr>
          <w:rFonts w:ascii="Palatino Linotype" w:eastAsiaTheme="minorEastAsia" w:hAnsi="Palatino Linotype" w:cstheme="minorBidi"/>
          <w:color w:val="000000" w:themeColor="text1"/>
          <w:lang w:val="es-ES_tradnl"/>
        </w:rPr>
        <w:t>electrónico</w:t>
      </w:r>
      <w:r w:rsidR="00AE125E" w:rsidRPr="00C45626">
        <w:rPr>
          <w:rFonts w:ascii="Palatino Linotype" w:eastAsiaTheme="minorEastAsia" w:hAnsi="Palatino Linotype" w:cstheme="minorBidi"/>
          <w:color w:val="000000" w:themeColor="text1"/>
          <w:lang w:val="es-ES_tradnl"/>
        </w:rPr>
        <w:t>s</w:t>
      </w:r>
      <w:r w:rsidRPr="00C45626">
        <w:rPr>
          <w:rFonts w:ascii="Palatino Linotype" w:eastAsiaTheme="minorEastAsia" w:hAnsi="Palatino Linotype" w:cstheme="minorBidi"/>
          <w:color w:val="000000" w:themeColor="text1"/>
          <w:lang w:val="es-ES_tradnl"/>
        </w:rPr>
        <w:t xml:space="preserve"> que se describe</w:t>
      </w:r>
      <w:r w:rsidR="00BF0B64" w:rsidRPr="00C45626">
        <w:rPr>
          <w:rFonts w:ascii="Palatino Linotype" w:eastAsiaTheme="minorEastAsia" w:hAnsi="Palatino Linotype" w:cstheme="minorBidi"/>
          <w:color w:val="000000" w:themeColor="text1"/>
          <w:lang w:val="es-ES_tradnl"/>
        </w:rPr>
        <w:t>n</w:t>
      </w:r>
      <w:r w:rsidRPr="00C45626">
        <w:rPr>
          <w:rFonts w:ascii="Palatino Linotype" w:eastAsiaTheme="minorEastAsia" w:hAnsi="Palatino Linotype" w:cstheme="minorBidi"/>
          <w:color w:val="000000" w:themeColor="text1"/>
          <w:lang w:val="es-ES_tradnl"/>
        </w:rPr>
        <w:t xml:space="preserve"> a continuación:</w:t>
      </w:r>
    </w:p>
    <w:p w14:paraId="2C4ABD59" w14:textId="77777777" w:rsidR="00A3314E" w:rsidRPr="00C45626"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9ECC708" w14:textId="28894C40" w:rsidR="0080388F" w:rsidRPr="00C45626" w:rsidRDefault="00D8727A" w:rsidP="00CC364E">
      <w:pPr>
        <w:pStyle w:val="Prrafodelista"/>
        <w:numPr>
          <w:ilvl w:val="0"/>
          <w:numId w:val="5"/>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FD501B" w:rsidRPr="00C45626">
          <w:rPr>
            <w:rStyle w:val="Hipervnculo"/>
            <w:b/>
            <w:bCs/>
            <w:color w:val="000000" w:themeColor="text1"/>
            <w:u w:val="none"/>
          </w:rPr>
          <w:t>ACUERDO NO 79-2021.pdf</w:t>
        </w:r>
      </w:hyperlink>
      <w:hyperlink r:id="rId9" w:tgtFrame="_blank" w:history="1"/>
      <w:r w:rsidR="00556E99" w:rsidRPr="00C45626">
        <w:rPr>
          <w:rFonts w:ascii="Palatino Linotype" w:eastAsiaTheme="minorEastAsia" w:hAnsi="Palatino Linotype" w:cstheme="minorBidi"/>
          <w:color w:val="000000" w:themeColor="text1"/>
          <w:lang w:val="es-ES_tradnl"/>
        </w:rPr>
        <w:t>: D</w:t>
      </w:r>
      <w:r w:rsidR="00923BD9" w:rsidRPr="00C45626">
        <w:rPr>
          <w:rFonts w:ascii="Palatino Linotype" w:eastAsiaTheme="minorEastAsia" w:hAnsi="Palatino Linotype" w:cstheme="minorBidi"/>
          <w:color w:val="000000" w:themeColor="text1"/>
          <w:lang w:val="es-ES_tradnl"/>
        </w:rPr>
        <w:t xml:space="preserve">ocumento </w:t>
      </w:r>
      <w:r w:rsidR="00FD501B" w:rsidRPr="00C45626">
        <w:rPr>
          <w:rFonts w:ascii="Palatino Linotype" w:eastAsiaTheme="minorEastAsia" w:hAnsi="Palatino Linotype" w:cstheme="minorBidi"/>
          <w:color w:val="000000" w:themeColor="text1"/>
          <w:lang w:val="es-ES_tradnl"/>
        </w:rPr>
        <w:t>electrónico que en ocho (08) hojas contiene el acuerdo TJA/00079/TRIJAEM/IP/2021 suscrito por la Titular de la Unidad de Información, Planeación, Programación y Evaluación, mediante el cual se refiere que:</w:t>
      </w:r>
    </w:p>
    <w:p w14:paraId="363EED9F" w14:textId="77777777" w:rsidR="00FD501B" w:rsidRPr="00C45626" w:rsidRDefault="00FD501B" w:rsidP="00FD501B">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5886E5F"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color w:val="000000" w:themeColor="text1"/>
        </w:rPr>
        <w:t>“</w:t>
      </w:r>
      <w:r w:rsidR="00A940B6" w:rsidRPr="00C45626">
        <w:rPr>
          <w:rFonts w:ascii="Palatino Linotype" w:eastAsiaTheme="minorEastAsia" w:hAnsi="Palatino Linotype" w:cstheme="minorBidi"/>
          <w:color w:val="000000" w:themeColor="text1"/>
        </w:rPr>
        <w:t xml:space="preserve"> … </w:t>
      </w:r>
      <w:r w:rsidRPr="00C45626">
        <w:rPr>
          <w:rFonts w:ascii="Palatino Linotype" w:eastAsiaTheme="minorEastAsia" w:hAnsi="Palatino Linotype" w:cstheme="minorBidi"/>
          <w:b/>
          <w:i/>
          <w:color w:val="000000" w:themeColor="text1"/>
        </w:rPr>
        <w:t>TERCERO.</w:t>
      </w:r>
      <w:r w:rsidRPr="00C45626">
        <w:rPr>
          <w:rFonts w:ascii="Palatino Linotype" w:eastAsiaTheme="minorEastAsia" w:hAnsi="Palatino Linotype" w:cstheme="minorBidi"/>
          <w:i/>
          <w:color w:val="000000" w:themeColor="text1"/>
        </w:rPr>
        <w:t xml:space="preserve"> Respuesta a la solicitud. Una vez analizada la solicitud de información y con fundamento en lo previsto en los artículos 150, 151, y 166 de la Ley de Transparencia y 3 Acceso a la Información Pública del Estado de México y Municipios, se le informa lo siguiente: </w:t>
      </w:r>
    </w:p>
    <w:p w14:paraId="49B26B16"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5CC30B33"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En respuesta a la solicitud con número de folio 00079/TRIJAEM/IP/202, mediante la cual solicita: “En cumplimiento al artículo 33 de la Ley General de Protección de Datos Personales en Posesión de Sujetos Obligados le solicito los documentos donde consten o en los cuales se pudiera obtener lo siguiente: A. La (s) política (s) gestión y tratamiento de los datos personales B. Las funciones y obligaciones del personal involucrado en el tratamiento de datos personales; C. El inventario de datos personales y de los sistemas de tratamiento; D. El procedimiento de análisis de riesgos E. Los resultados de los análisis de riesgo de los datos personales, en el cual debieron de haber considerado las amenazas y vulnerabilidades existentes para los datos personales y los recursos involucrados </w:t>
      </w:r>
      <w:r w:rsidRPr="00C45626">
        <w:rPr>
          <w:rFonts w:ascii="Palatino Linotype" w:eastAsiaTheme="minorEastAsia" w:hAnsi="Palatino Linotype" w:cstheme="minorBidi"/>
          <w:i/>
          <w:color w:val="000000" w:themeColor="text1"/>
        </w:rPr>
        <w:lastRenderedPageBreak/>
        <w:t xml:space="preserve">en su tratamiento, como pueden ser, de manera enunciativa más no limitativa, hardware, software, personal del responsable, entre otros; F. Los resultados de los análisis de brecha (comparando las medidas de seguridad existentes contra las faltantes en la organización del responsable) G. El plan de trabajo para la implementación de las medidas de seguridad faltantes, así como las medidas para el cumplimiento cotidiano de las políticas de gestión y tratamiento de los datos personales; H. El procedimiento o mecanismos de monitoreo periódico de las medidas de seguridad implementadas, así como las amenazas y vulneraciones a las que están sujetos los datos personales, I. El programa de capacitación de acuerdo al nivel, dependiendo de sus roles y responsabilidades respecto del tratamiento de los datos personales J. Procedimiento de Auditoría al sistema de gestión de protección de datos personales y se indique quien realiza ese procedimiento K. Los resultados de las auditorías al sistema de gestión de protección de datos personales desde su implementación a la fecha Por favor NO ENTREGAR SU DOCUMENTO ORIENTADOR, solo la DOCUMENTACIÓN SOLICITADA y que HA GENERADO ese INSTITUTO, la temporalidad de la información solicitada: de enero del año 2018 al 20 de julio de 2021 a excepción del numeral K). Por ultimo me permito solicitar el documento de seguridad de esta Institución de manera íntegra, de no ser así, favor de remitirlo en versión pública.” se desglosa lo siguiente: </w:t>
      </w:r>
    </w:p>
    <w:p w14:paraId="06D0C1D3"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11A85D00"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La (s) política (s) gestión y tratamiento de los datos personales;</w:t>
      </w:r>
    </w:p>
    <w:p w14:paraId="4B585E2D"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27D74C74"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lastRenderedPageBreak/>
        <w:t xml:space="preserve">El tribunal de Justicia Administrativa no cuenta con políticas internas, debido a que las políticas, gestión y tratamiento de datos personales se realizan de acuerdo a la Ley General de Protección de Datos Personales en Posesión de Sujetos Obligados y la Ley de Protección de Datos Personales en Posesión de Sujetos Obligados del </w:t>
      </w:r>
      <w:r w:rsidR="00A940B6" w:rsidRPr="00C45626">
        <w:rPr>
          <w:rFonts w:ascii="Palatino Linotype" w:eastAsiaTheme="minorEastAsia" w:hAnsi="Palatino Linotype" w:cstheme="minorBidi"/>
          <w:i/>
          <w:color w:val="000000" w:themeColor="text1"/>
        </w:rPr>
        <w:t xml:space="preserve">Estado de México y Municipios. </w:t>
      </w:r>
    </w:p>
    <w:p w14:paraId="614487C9" w14:textId="77777777"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1D1A0E33"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En cuanto a la gestión la Ley General de Protección de Datos Personales en Posesión de los Sujetos Obligados en; referido al capítulo segundo de esta ley establece en el artículo 34 lo siguiente: </w:t>
      </w:r>
    </w:p>
    <w:p w14:paraId="03341586" w14:textId="77777777"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002A6AE2"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Las acciones relacionadas con las medidas de seguridad para el tratamiento de los datos personales deberán estar documentadas y contenidas en un sistema de gestión. </w:t>
      </w:r>
    </w:p>
    <w:p w14:paraId="6BEF3FC3" w14:textId="77777777"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546DFFDE"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que le resulten aplicables a la materia. </w:t>
      </w:r>
    </w:p>
    <w:p w14:paraId="16C9097F" w14:textId="77777777"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97DFD77"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En la ley de Protección de Datos Personales en Posesión de Sujetos Obligados del Estado de México y Municipios, Capítulo tercero, de los sistemas y el tratamiento de datos personales, establece qué: La integración, tratamiento y </w:t>
      </w:r>
      <w:r w:rsidRPr="00C45626">
        <w:rPr>
          <w:rFonts w:ascii="Palatino Linotype" w:eastAsiaTheme="minorEastAsia" w:hAnsi="Palatino Linotype" w:cstheme="minorBidi"/>
          <w:i/>
          <w:color w:val="000000" w:themeColor="text1"/>
        </w:rPr>
        <w:lastRenderedPageBreak/>
        <w:t xml:space="preserve">tutela de los sistemas de datos personales se regirán por las disposiciones siguientes: </w:t>
      </w:r>
    </w:p>
    <w:p w14:paraId="6ECC91BC" w14:textId="77777777"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8FFBE27"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I. Cada sujeto obligado deberá informar al Instituto sobre la creación, modificación o supresión de sus sistemas de datos personales. </w:t>
      </w:r>
    </w:p>
    <w:p w14:paraId="7D389AD9"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II. En caso de creación o modificación de sistemas de datos personales, se incluirá en el registro, los datos previstos la presente Ley. </w:t>
      </w:r>
    </w:p>
    <w:p w14:paraId="3A6D68FD" w14:textId="77777777" w:rsidR="00A940B6"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III. En las disposiciones que se dicten para la supresión de los sistemas de datos personales, se establecerá el destino de los datos contenidos en los mismos o, en su caso, las previsiones que se adopten para su destrucción. </w:t>
      </w:r>
    </w:p>
    <w:p w14:paraId="62562918" w14:textId="12618FA6" w:rsidR="0080388F" w:rsidRPr="00C45626" w:rsidRDefault="00FD501B" w:rsidP="00A940B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IV. De la destrucción de los datos personales podrán ser excluidos aquellos que, con finalidades estadísticas o históricas, sean previamente sometidos al procedimiento de disociación. El registro de Sistemas de Datos Personales deberá realizarse a más tardar dentro de los seis meses siguientes al inicio del tratamiento por parte del responsable.</w:t>
      </w:r>
    </w:p>
    <w:p w14:paraId="7C3A936B" w14:textId="77777777" w:rsidR="00FD501B"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43D08FB2"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El Tribunal De Justicia Administrativa Del Estado De México establece a través de los avisos de privacidad el tratamiento que se le dará a los datos personales al titular de los mismos, el procedimiento a seguir para acceder los avisos de privacidad, es el siguiente: </w:t>
      </w:r>
    </w:p>
    <w:p w14:paraId="420340E5"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7989DB75" w14:textId="562D41E4"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lastRenderedPageBreak/>
        <w:t xml:space="preserve">I. Ingresar a la página oficial del Tribunal De Justicia Administrativo Del Estado De México y seleccionar el apartado que dice “TRANSPARENCIA”. </w:t>
      </w:r>
      <w:hyperlink r:id="rId10" w:history="1">
        <w:r w:rsidR="00A940B6" w:rsidRPr="00C45626">
          <w:rPr>
            <w:rStyle w:val="Hipervnculo"/>
            <w:rFonts w:ascii="Palatino Linotype" w:eastAsiaTheme="minorEastAsia" w:hAnsi="Palatino Linotype" w:cstheme="minorBidi"/>
            <w:i/>
          </w:rPr>
          <w:t>https://trijaem.gob.mx/</w:t>
        </w:r>
      </w:hyperlink>
      <w:r w:rsidRPr="00C45626">
        <w:rPr>
          <w:rFonts w:ascii="Palatino Linotype" w:eastAsiaTheme="minorEastAsia" w:hAnsi="Palatino Linotype" w:cstheme="minorBidi"/>
          <w:i/>
          <w:color w:val="000000" w:themeColor="text1"/>
        </w:rPr>
        <w:t xml:space="preserve"> </w:t>
      </w:r>
    </w:p>
    <w:p w14:paraId="703ADAE3"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52A4AA4D" w14:textId="32391FBC"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center"/>
        <w:rPr>
          <w:rFonts w:ascii="Palatino Linotype" w:eastAsiaTheme="minorEastAsia" w:hAnsi="Palatino Linotype" w:cstheme="minorBidi"/>
          <w:i/>
          <w:color w:val="000000" w:themeColor="text1"/>
        </w:rPr>
      </w:pPr>
      <w:r w:rsidRPr="00C45626">
        <w:rPr>
          <w:rFonts w:ascii="Palatino Linotype" w:hAnsi="Palatino Linotype"/>
          <w:i/>
          <w:noProof/>
          <w:lang w:val="en-US" w:eastAsia="en-US"/>
        </w:rPr>
        <w:drawing>
          <wp:inline distT="0" distB="0" distL="0" distR="0" wp14:anchorId="54833594" wp14:editId="48AB5724">
            <wp:extent cx="4424082" cy="533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36" t="37417" r="37033" b="57453"/>
                    <a:stretch/>
                  </pic:blipFill>
                  <pic:spPr bwMode="auto">
                    <a:xfrm>
                      <a:off x="0" y="0"/>
                      <a:ext cx="4433105" cy="534488"/>
                    </a:xfrm>
                    <a:prstGeom prst="rect">
                      <a:avLst/>
                    </a:prstGeom>
                    <a:ln>
                      <a:noFill/>
                    </a:ln>
                    <a:extLst>
                      <a:ext uri="{53640926-AAD7-44D8-BBD7-CCE9431645EC}">
                        <a14:shadowObscured xmlns:a14="http://schemas.microsoft.com/office/drawing/2010/main"/>
                      </a:ext>
                    </a:extLst>
                  </pic:spPr>
                </pic:pic>
              </a:graphicData>
            </a:graphic>
          </wp:inline>
        </w:drawing>
      </w:r>
    </w:p>
    <w:p w14:paraId="497FDA77"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5DAEF9D5" w14:textId="38B51D1A"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II. Seleccionar en “Avisos De Privacidad”. </w:t>
      </w:r>
      <w:hyperlink r:id="rId12" w:history="1">
        <w:r w:rsidR="00A940B6" w:rsidRPr="00C45626">
          <w:rPr>
            <w:rStyle w:val="Hipervnculo"/>
            <w:rFonts w:ascii="Palatino Linotype" w:eastAsiaTheme="minorEastAsia" w:hAnsi="Palatino Linotype" w:cstheme="minorBidi"/>
            <w:i/>
          </w:rPr>
          <w:t>https://trijaem.gob.mx/</w:t>
        </w:r>
      </w:hyperlink>
      <w:r w:rsidRPr="00C45626">
        <w:rPr>
          <w:rFonts w:ascii="Palatino Linotype" w:eastAsiaTheme="minorEastAsia" w:hAnsi="Palatino Linotype" w:cstheme="minorBidi"/>
          <w:i/>
          <w:color w:val="000000" w:themeColor="text1"/>
        </w:rPr>
        <w:t xml:space="preserve"> </w:t>
      </w:r>
    </w:p>
    <w:p w14:paraId="4E3D3802"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1D9A7CC5" w14:textId="352D751E"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center"/>
        <w:rPr>
          <w:rFonts w:ascii="Palatino Linotype" w:eastAsiaTheme="minorEastAsia" w:hAnsi="Palatino Linotype" w:cstheme="minorBidi"/>
          <w:i/>
          <w:color w:val="000000" w:themeColor="text1"/>
        </w:rPr>
      </w:pPr>
      <w:r w:rsidRPr="00C45626">
        <w:rPr>
          <w:rFonts w:ascii="Palatino Linotype" w:hAnsi="Palatino Linotype"/>
          <w:i/>
          <w:noProof/>
          <w:lang w:val="en-US" w:eastAsia="en-US"/>
        </w:rPr>
        <w:drawing>
          <wp:inline distT="0" distB="0" distL="0" distR="0" wp14:anchorId="2BF2CDC0" wp14:editId="348648D4">
            <wp:extent cx="3400425" cy="27311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23" t="32589" r="33469" b="21847"/>
                    <a:stretch/>
                  </pic:blipFill>
                  <pic:spPr bwMode="auto">
                    <a:xfrm>
                      <a:off x="0" y="0"/>
                      <a:ext cx="3415373" cy="2743198"/>
                    </a:xfrm>
                    <a:prstGeom prst="rect">
                      <a:avLst/>
                    </a:prstGeom>
                    <a:ln>
                      <a:noFill/>
                    </a:ln>
                    <a:extLst>
                      <a:ext uri="{53640926-AAD7-44D8-BBD7-CCE9431645EC}">
                        <a14:shadowObscured xmlns:a14="http://schemas.microsoft.com/office/drawing/2010/main"/>
                      </a:ext>
                    </a:extLst>
                  </pic:spPr>
                </pic:pic>
              </a:graphicData>
            </a:graphic>
          </wp:inline>
        </w:drawing>
      </w:r>
    </w:p>
    <w:p w14:paraId="7BB49DC0" w14:textId="603A4C34"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center"/>
        <w:rPr>
          <w:rFonts w:ascii="Palatino Linotype" w:eastAsiaTheme="minorEastAsia" w:hAnsi="Palatino Linotype" w:cstheme="minorBidi"/>
          <w:i/>
          <w:color w:val="000000" w:themeColor="text1"/>
        </w:rPr>
      </w:pPr>
    </w:p>
    <w:p w14:paraId="368B19BE"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III. Se mostrarán los avisos de privacidad que maneja la institución a los cuales podrá acceder para tenerlos en su conocimiento. </w:t>
      </w:r>
    </w:p>
    <w:p w14:paraId="468FA063"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0F08E2FD" w14:textId="2C140023" w:rsidR="00A940B6" w:rsidRPr="00C45626" w:rsidRDefault="00D8727A"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hyperlink r:id="rId14" w:history="1">
        <w:r w:rsidR="00A940B6" w:rsidRPr="00C45626">
          <w:rPr>
            <w:rStyle w:val="Hipervnculo"/>
            <w:rFonts w:ascii="Palatino Linotype" w:eastAsiaTheme="minorEastAsia" w:hAnsi="Palatino Linotype" w:cstheme="minorBidi"/>
            <w:i/>
          </w:rPr>
          <w:t>https://trijaem.gob.mx/avisos-deprivacidad/</w:t>
        </w:r>
      </w:hyperlink>
      <w:r w:rsidR="00A940B6" w:rsidRPr="00C45626">
        <w:rPr>
          <w:rFonts w:ascii="Palatino Linotype" w:eastAsiaTheme="minorEastAsia" w:hAnsi="Palatino Linotype" w:cstheme="minorBidi"/>
          <w:i/>
          <w:color w:val="000000" w:themeColor="text1"/>
        </w:rPr>
        <w:t xml:space="preserve"> </w:t>
      </w:r>
    </w:p>
    <w:p w14:paraId="7C46AF9F"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16560407" w14:textId="111BD966" w:rsidR="00A940B6" w:rsidRPr="00C45626" w:rsidRDefault="00A940B6" w:rsidP="00A940B6">
      <w:pPr>
        <w:pStyle w:val="Prrafodelista"/>
        <w:tabs>
          <w:tab w:val="left" w:pos="284"/>
          <w:tab w:val="left" w:pos="426"/>
          <w:tab w:val="left" w:pos="993"/>
          <w:tab w:val="left" w:pos="1134"/>
        </w:tabs>
        <w:spacing w:line="360" w:lineRule="auto"/>
        <w:ind w:left="567" w:right="616"/>
        <w:contextualSpacing/>
        <w:jc w:val="center"/>
        <w:rPr>
          <w:rFonts w:ascii="Palatino Linotype" w:eastAsiaTheme="minorEastAsia" w:hAnsi="Palatino Linotype" w:cstheme="minorBidi"/>
          <w:i/>
          <w:color w:val="000000" w:themeColor="text1"/>
        </w:rPr>
      </w:pPr>
      <w:r w:rsidRPr="00C45626">
        <w:rPr>
          <w:rFonts w:ascii="Palatino Linotype" w:hAnsi="Palatino Linotype"/>
          <w:i/>
          <w:noProof/>
          <w:lang w:val="en-US" w:eastAsia="en-US"/>
        </w:rPr>
        <w:drawing>
          <wp:inline distT="0" distB="0" distL="0" distR="0" wp14:anchorId="746FD460" wp14:editId="702BD28D">
            <wp:extent cx="4533900" cy="362174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868" t="50228" r="33469" b="21847"/>
                    <a:stretch/>
                  </pic:blipFill>
                  <pic:spPr bwMode="auto">
                    <a:xfrm>
                      <a:off x="0" y="0"/>
                      <a:ext cx="4584736" cy="3662355"/>
                    </a:xfrm>
                    <a:prstGeom prst="rect">
                      <a:avLst/>
                    </a:prstGeom>
                    <a:ln>
                      <a:noFill/>
                    </a:ln>
                    <a:extLst>
                      <a:ext uri="{53640926-AAD7-44D8-BBD7-CCE9431645EC}">
                        <a14:shadowObscured xmlns:a14="http://schemas.microsoft.com/office/drawing/2010/main"/>
                      </a:ext>
                    </a:extLst>
                  </pic:spPr>
                </pic:pic>
              </a:graphicData>
            </a:graphic>
          </wp:inline>
        </w:drawing>
      </w:r>
    </w:p>
    <w:p w14:paraId="7CE534B1"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5C395EC3"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Aunado a ello, se informa que dentro de la plataforma en cuestión, no son visibles las actualizaciones correspondientes al año 2021, ello derivado de la nueva implementación de la plataforma Registro de Sistemas de Datos Personales del Estado de México (REDATOSEM) misma que es una facultad del Instituto de Transparencia, Acceso a la Información Pública y Protección de Datos Personales del Estado de México y municipios (INFOEM), por lo tanto, este sujeto obligado se encuentra en espera de su implementación y aprobación a efecto de realizar las gestiones necesarias para la actualización correspondiente. </w:t>
      </w:r>
    </w:p>
    <w:p w14:paraId="1E1636AD"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553C5E3E"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lastRenderedPageBreak/>
        <w:t>Las funciones y obligaciones del personal involucrado en el tratamiento de datos personales; La ley de Protección de Datos Personales en posesión de sujetos obligados del Estado de México y Municipios, título noveno, de las responsabilidades en materia de protección de datos personales, capítulo único de la organización de los sujetos obligados en materia de protección de datos personales, artículo 96, establece que las obligaciones del responsable en materia de seguridad con el objeto de garantizar la seguridad de los sistemas y base de datos, deberá:</w:t>
      </w:r>
    </w:p>
    <w:p w14:paraId="5C3DF877"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5071C199"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 I. Atender y vigilar el cumplimiento de las medidas de seguridad establecidas por el Instituto o por el Responsable, que garanticen, cuando menos, la autenticidad, confidencialidad, disponibilidad e Integridad de los datos personales </w:t>
      </w:r>
    </w:p>
    <w:p w14:paraId="6D2C6295"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II. Establecer los criterios específicos sobre el manejo, mantenimiento, seguridad y protección de los Sistemas o bases de datos personales.</w:t>
      </w:r>
    </w:p>
    <w:p w14:paraId="4B3F2C50"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III. Difundir la normatividad aplicable entre los usuarios involucrados en el manejo de los datos personales. </w:t>
      </w:r>
    </w:p>
    <w:p w14:paraId="2D0F109C"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IV. Elaborar un plan de capacitación en materia de seguridad de datos personales. </w:t>
      </w:r>
    </w:p>
    <w:p w14:paraId="482A0E05"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V. Llevar el control de los datos que contengan la operación cotidiana, respaldos, usuarios, incidentes y accesos, así como la transferencia de datos y sus destinatarios. </w:t>
      </w:r>
    </w:p>
    <w:p w14:paraId="1AFF5384"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lastRenderedPageBreak/>
        <w:t xml:space="preserve">VI. Inscribir los sistemas y bases de datos personales en un Registro creado para tal efecto. 7 VII. Establecer procedimientos de control de acceso a la red que incluyan perfiles de usuarias o usuarios o grupos de usuarias o usuarios para el acceso restringido a las funciones y programas de los sistemas o bases de datos personales. </w:t>
      </w:r>
    </w:p>
    <w:p w14:paraId="6ABF870A"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VIII. Aplicar procedimientos de respaldos de bases de datos. </w:t>
      </w:r>
    </w:p>
    <w:p w14:paraId="05DE4AD9"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IX. Notificar al Instituto y al Comité de transparencia, así como a los titulares de los datos personales, los incidentes relacionados con la conservación o mantenimiento de los sistemas y bases de datos Personales previstos en los lineamientos que al efecto se expidan. El Responsable en Materia de Seguridad deberá ser designado atendiendo preferentemente a sus conocimientos y experiencia en al menos una de las materias siguientes: administración de procesos, sistemas de gestión, procedimiento administrativo, seguridad de la información, gestión documental y administración pública.</w:t>
      </w:r>
    </w:p>
    <w:p w14:paraId="21DFF944"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15BAAB0E" w14:textId="77777777" w:rsidR="00A940B6"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t xml:space="preserve"> En tanto que el inventario de datos personales y de los sistemas de tratamiento; el procedimiento de análisis de riesgos, 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los resultados de los análisis de brecha (comparando las medidas de seguridad existentes contra las faltantes en la organización del responsable), el plan de trabajo para la </w:t>
      </w:r>
      <w:r w:rsidRPr="00C45626">
        <w:rPr>
          <w:rFonts w:ascii="Palatino Linotype" w:eastAsiaTheme="minorEastAsia" w:hAnsi="Palatino Linotype" w:cstheme="minorBidi"/>
          <w:i/>
          <w:color w:val="000000" w:themeColor="text1"/>
        </w:rPr>
        <w:lastRenderedPageBreak/>
        <w:t xml:space="preserve">implementación de las medidas de seguridad faltantes, así como las medidas para el cumplimiento cotidiano de las políticas de gestión y tratamiento de los datos personales; el procedimiento o mecanismos de monitoreo periódico de las medidas de seguridad implementadas, así como las amenazas y vulneraciones a las que están sujetos los datos personales, el programa de capacitación de acuerdo al nivel, dependiendo de sus roles y responsabilidades respecto del tratamiento de los datos personales, el procedimiento de Auditoría al sistema de gestión de protección de datos personales y se indique quien realiza ese procedimiento, los resultados de las auditorías al sistema de gestión de protección de datos personales desde su implementación a la fecha en la temporalidad de la información solicitada de enero del año 2018 al 20 de julio de 2021 a excepción del numeral, pertenecen al documento de seguridad de esta institución no es posible entregar la información como lo solicita de manera íntegra o en versión pública debido a las medidas de seguridad que se deben emplear en dicho documento de seguridad, con sustento al 8 capítulo segundo de las medidas de seguridad en su artículo 43 de la Ley De Protección De Datos Personales En Posesión De Sujetos Obligados Del Estado De México Y Municipios, que establece que las medidas de seguridad constituyen mínimos exigibles, por lo que el sujeto obligado adoptará las medidas adicionales que estime necesarias para brindar mayor garantía en la protección y resguardo de los sistemas y bases de datos personales. </w:t>
      </w:r>
    </w:p>
    <w:p w14:paraId="175D3C31" w14:textId="77777777" w:rsidR="00A940B6" w:rsidRPr="00C45626" w:rsidRDefault="00A940B6"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5D4C45A" w14:textId="77777777" w:rsidR="00DA606E"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45626">
        <w:rPr>
          <w:rFonts w:ascii="Palatino Linotype" w:eastAsiaTheme="minorEastAsia" w:hAnsi="Palatino Linotype" w:cstheme="minorBidi"/>
          <w:i/>
          <w:color w:val="000000" w:themeColor="text1"/>
        </w:rPr>
        <w:lastRenderedPageBreak/>
        <w:t xml:space="preserve">Por la naturaleza de la información, las medidas de seguridad que se adopten serán consideradas confidenciales y únicamente se comunicará al Instituto, para su registro, el nivel de seguridad aplicable. </w:t>
      </w:r>
    </w:p>
    <w:p w14:paraId="71E213CF" w14:textId="77777777" w:rsidR="00DA606E" w:rsidRPr="00C45626" w:rsidRDefault="00DA606E"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6E367311" w14:textId="3E7D8EF5" w:rsidR="00FD501B" w:rsidRPr="00C45626" w:rsidRDefault="00FD501B"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C45626">
        <w:rPr>
          <w:rFonts w:ascii="Palatino Linotype" w:eastAsiaTheme="minorEastAsia" w:hAnsi="Palatino Linotype" w:cstheme="minorBidi"/>
          <w:i/>
          <w:color w:val="000000" w:themeColor="text1"/>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r w:rsidRPr="00C45626">
        <w:rPr>
          <w:rFonts w:ascii="Palatino Linotype" w:eastAsiaTheme="minorEastAsia" w:hAnsi="Palatino Linotype" w:cstheme="minorBidi"/>
          <w:color w:val="000000" w:themeColor="text1"/>
        </w:rPr>
        <w:t xml:space="preserve"> (Sic)</w:t>
      </w:r>
    </w:p>
    <w:p w14:paraId="7132F863" w14:textId="3C8C70BB" w:rsidR="00A3314E" w:rsidRPr="00C45626" w:rsidRDefault="00A3314E" w:rsidP="00FD501B">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4BB5C5BA" w14:textId="2722528D" w:rsidR="00EA0165" w:rsidRPr="00C45626" w:rsidRDefault="00EA0165" w:rsidP="00B0433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45626">
        <w:rPr>
          <w:rFonts w:ascii="Palatino Linotype" w:hAnsi="Palatino Linotype" w:cs="Arial"/>
          <w:color w:val="000000" w:themeColor="text1"/>
        </w:rPr>
        <w:t xml:space="preserve">Derivado de la respuesta emitida por el </w:t>
      </w:r>
      <w:r w:rsidRPr="00C45626">
        <w:rPr>
          <w:rFonts w:ascii="Palatino Linotype" w:hAnsi="Palatino Linotype" w:cs="Arial"/>
          <w:b/>
          <w:color w:val="000000" w:themeColor="text1"/>
        </w:rPr>
        <w:t>SUJETO OBLIGADO</w:t>
      </w:r>
      <w:r w:rsidRPr="00C45626">
        <w:rPr>
          <w:rFonts w:ascii="Palatino Linotype" w:hAnsi="Palatino Linotype" w:cs="Arial"/>
          <w:color w:val="000000" w:themeColor="text1"/>
        </w:rPr>
        <w:t>, e</w:t>
      </w:r>
      <w:r w:rsidR="00B04339" w:rsidRPr="00C45626">
        <w:rPr>
          <w:rFonts w:ascii="Palatino Linotype" w:hAnsi="Palatino Linotype" w:cs="Arial"/>
          <w:color w:val="000000" w:themeColor="text1"/>
        </w:rPr>
        <w:t>l veinticuatro (24</w:t>
      </w:r>
      <w:r w:rsidR="00AB7DB9" w:rsidRPr="00C45626">
        <w:rPr>
          <w:rFonts w:ascii="Palatino Linotype" w:hAnsi="Palatino Linotype" w:cs="Arial"/>
          <w:color w:val="000000" w:themeColor="text1"/>
        </w:rPr>
        <w:t>)</w:t>
      </w:r>
      <w:r w:rsidR="00B04339" w:rsidRPr="00C45626">
        <w:rPr>
          <w:rFonts w:ascii="Palatino Linotype" w:hAnsi="Palatino Linotype" w:cs="Arial"/>
          <w:color w:val="000000" w:themeColor="text1"/>
        </w:rPr>
        <w:t xml:space="preserve"> de septiembre</w:t>
      </w:r>
      <w:r w:rsidR="00917444" w:rsidRPr="00C45626">
        <w:rPr>
          <w:rFonts w:ascii="Palatino Linotype" w:hAnsi="Palatino Linotype" w:cs="Arial"/>
          <w:color w:val="000000" w:themeColor="text1"/>
        </w:rPr>
        <w:t xml:space="preserve"> d</w:t>
      </w:r>
      <w:r w:rsidR="00233D1C" w:rsidRPr="00C45626">
        <w:rPr>
          <w:rFonts w:ascii="Palatino Linotype" w:hAnsi="Palatino Linotype" w:cs="Arial"/>
          <w:color w:val="000000" w:themeColor="text1"/>
        </w:rPr>
        <w:t xml:space="preserve">e dos mil </w:t>
      </w:r>
      <w:r w:rsidRPr="00C45626">
        <w:rPr>
          <w:rFonts w:ascii="Palatino Linotype" w:hAnsi="Palatino Linotype" w:cs="Arial"/>
          <w:color w:val="000000" w:themeColor="text1"/>
        </w:rPr>
        <w:t>veintiuno, el particular interpuso el recurso de revisión</w:t>
      </w:r>
      <w:r w:rsidR="00917444" w:rsidRPr="00C45626">
        <w:rPr>
          <w:rFonts w:ascii="Palatino Linotype" w:hAnsi="Palatino Linotype" w:cs="Arial"/>
          <w:color w:val="000000" w:themeColor="text1"/>
        </w:rPr>
        <w:t xml:space="preserve"> </w:t>
      </w:r>
      <w:r w:rsidR="00B04339" w:rsidRPr="00C45626">
        <w:rPr>
          <w:rFonts w:ascii="Palatino Linotype" w:eastAsiaTheme="minorEastAsia" w:hAnsi="Palatino Linotype" w:cstheme="minorBidi"/>
          <w:b/>
          <w:color w:val="000000" w:themeColor="text1"/>
          <w:lang w:val="es-ES_tradnl"/>
        </w:rPr>
        <w:t>04813/INFOEM/IP/RR/2021</w:t>
      </w:r>
      <w:r w:rsidRPr="00C45626">
        <w:rPr>
          <w:rFonts w:ascii="Palatino Linotype" w:eastAsia="Calibri" w:hAnsi="Palatino Linotype" w:cs="Arial"/>
          <w:b/>
          <w:color w:val="000000" w:themeColor="text1"/>
        </w:rPr>
        <w:t>;</w:t>
      </w:r>
      <w:r w:rsidRPr="00C45626">
        <w:rPr>
          <w:rFonts w:ascii="Palatino Linotype" w:hAnsi="Palatino Linotype" w:cs="Arial"/>
          <w:color w:val="000000" w:themeColor="text1"/>
        </w:rPr>
        <w:t xml:space="preserve"> impugnación en la que refirió lo siguiente:</w:t>
      </w:r>
    </w:p>
    <w:p w14:paraId="176F4252" w14:textId="77777777" w:rsidR="00EA0165" w:rsidRPr="00C45626"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229D62FD" w:rsidR="00EA0165" w:rsidRPr="00C45626" w:rsidRDefault="00EA0165" w:rsidP="00B04339">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C45626">
        <w:rPr>
          <w:rFonts w:ascii="Palatino Linotype" w:hAnsi="Palatino Linotype" w:cs="Arial"/>
          <w:b/>
          <w:color w:val="000000" w:themeColor="text1"/>
        </w:rPr>
        <w:t>Acto impugnado:</w:t>
      </w:r>
      <w:r w:rsidRPr="00C45626">
        <w:rPr>
          <w:rFonts w:ascii="Palatino Linotype" w:hAnsi="Palatino Linotype" w:cs="Arial"/>
          <w:color w:val="000000" w:themeColor="text1"/>
        </w:rPr>
        <w:t xml:space="preserve"> </w:t>
      </w:r>
      <w:r w:rsidRPr="00C45626">
        <w:rPr>
          <w:rFonts w:ascii="Palatino Linotype" w:hAnsi="Palatino Linotype" w:cs="Arial"/>
          <w:i/>
          <w:color w:val="000000" w:themeColor="text1"/>
        </w:rPr>
        <w:t>“</w:t>
      </w:r>
      <w:r w:rsidR="00B04339" w:rsidRPr="00C45626">
        <w:rPr>
          <w:rFonts w:ascii="Palatino Linotype" w:hAnsi="Palatino Linotype" w:cs="Arial"/>
          <w:i/>
          <w:color w:val="000000" w:themeColor="text1"/>
        </w:rPr>
        <w:t>La respuesta proporcionada por parte de la Unidad de Transparencia</w:t>
      </w:r>
      <w:r w:rsidR="00AB7DB9" w:rsidRPr="00C45626">
        <w:rPr>
          <w:rFonts w:ascii="Palatino Linotype" w:hAnsi="Palatino Linotype" w:cs="Arial"/>
          <w:i/>
          <w:color w:val="000000" w:themeColor="text1"/>
        </w:rPr>
        <w:t>.”</w:t>
      </w:r>
      <w:r w:rsidRPr="00C45626">
        <w:rPr>
          <w:rFonts w:ascii="Palatino Linotype" w:hAnsi="Palatino Linotype" w:cs="Arial"/>
          <w:color w:val="000000" w:themeColor="text1"/>
        </w:rPr>
        <w:t>(Sic).</w:t>
      </w:r>
    </w:p>
    <w:p w14:paraId="71C7D21F" w14:textId="77777777" w:rsidR="00EA0165" w:rsidRPr="00C45626" w:rsidRDefault="00EA0165" w:rsidP="00B04339">
      <w:pPr>
        <w:tabs>
          <w:tab w:val="left" w:pos="0"/>
        </w:tabs>
        <w:spacing w:line="360" w:lineRule="auto"/>
        <w:ind w:left="567" w:right="616"/>
        <w:contextualSpacing/>
        <w:jc w:val="both"/>
        <w:rPr>
          <w:rFonts w:ascii="Palatino Linotype" w:hAnsi="Palatino Linotype" w:cs="Arial"/>
          <w:color w:val="000000" w:themeColor="text1"/>
        </w:rPr>
      </w:pPr>
    </w:p>
    <w:p w14:paraId="16E57192" w14:textId="5A37E6B1" w:rsidR="00EA0165" w:rsidRPr="00C45626" w:rsidRDefault="00EA0165" w:rsidP="00B04339">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C45626">
        <w:rPr>
          <w:rFonts w:ascii="Palatino Linotype" w:hAnsi="Palatino Linotype" w:cs="Arial"/>
          <w:b/>
          <w:color w:val="000000" w:themeColor="text1"/>
        </w:rPr>
        <w:t>Razones o motivos de inconformidad:</w:t>
      </w:r>
      <w:r w:rsidRPr="00C45626">
        <w:rPr>
          <w:rFonts w:ascii="Palatino Linotype" w:hAnsi="Palatino Linotype" w:cs="Arial"/>
          <w:color w:val="000000" w:themeColor="text1"/>
        </w:rPr>
        <w:t xml:space="preserve"> </w:t>
      </w:r>
      <w:r w:rsidRPr="00C45626">
        <w:rPr>
          <w:rFonts w:ascii="Palatino Linotype" w:hAnsi="Palatino Linotype" w:cs="Arial"/>
          <w:i/>
          <w:color w:val="000000" w:themeColor="text1"/>
        </w:rPr>
        <w:t>“</w:t>
      </w:r>
      <w:r w:rsidR="00B04339" w:rsidRPr="00C45626">
        <w:rPr>
          <w:rFonts w:ascii="Palatino Linotype" w:hAnsi="Palatino Linotype" w:cs="Arial"/>
          <w:i/>
          <w:color w:val="000000" w:themeColor="text1"/>
        </w:rPr>
        <w:t xml:space="preserve">Respecto al punto A) La (s) política (s) gestión y tratamiento de los datos personales, la titular de la Unidad de Transparencia, refiere como respuesta que no cuenta con políticas internas, debido a que las políticas, gestión y tratamiento de datos personales se realizan de acuerdo a la Ley General de Protección de Datos Personales, por lo que considero que es contradictoria la respuesta, ya que en un primer momento expresa que no cuenta con la información y posteriormente señala que lo realiza </w:t>
      </w:r>
      <w:r w:rsidR="00B04339" w:rsidRPr="00C45626">
        <w:rPr>
          <w:rFonts w:ascii="Palatino Linotype" w:hAnsi="Palatino Linotype" w:cs="Arial"/>
          <w:i/>
          <w:color w:val="000000" w:themeColor="text1"/>
        </w:rPr>
        <w:lastRenderedPageBreak/>
        <w:t xml:space="preserve">de conformidad con la normatividad, de lo que se puede entender que si cuenta con la misma. De igual manera, si no cuenta con la misma, no remite Declaratoria de Inexistencia de la información. Por cuanto hace a los puntos: C. El inventario de datos personales y de los sistemas de tratamiento; D. El procedimiento de análisis de riesgos; E. 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F. Los resultados de los análisis de brecha (comparando las medidas de seguridad existentes contra las faltantes en la organización del responsable); G. El plan de trabajo para la implementación de las medidas de seguridad faltantes, así como las medidas para el cumplimiento cotidiano de las políticas de gestión y tratamiento de los datos personales; H. El procedimiento o mecanismos de monitoreo periódico de las medidas de seguridad implementadas, así como las amenazas y vulneraciones a las que están sujetos los datos personales; I. El programa de capacitación de acuerdo al nivel, dependiendo de sus roles y responsabilidades respecto del tratamiento de los datos personales; J. Procedimiento de Auditoría al sistema de gestión de protección de datos personales y se indique quien realiza ese procedimiento; K. Los resultados de las auditorías al sistema de gestión de protección de datos personales desde su implementación a la fecha Por favor NO ENTREGAR SU DOCUMENTO ORIENTADOR, solo la DOCUMENTACIÓN SOLICITADA y que HA GENERADO ese </w:t>
      </w:r>
      <w:r w:rsidR="00B04339" w:rsidRPr="00C45626">
        <w:rPr>
          <w:rFonts w:ascii="Palatino Linotype" w:hAnsi="Palatino Linotype" w:cs="Arial"/>
          <w:i/>
          <w:color w:val="000000" w:themeColor="text1"/>
        </w:rPr>
        <w:lastRenderedPageBreak/>
        <w:t>INSTITUTO, la temporalidad de la información solicitada: de enero del año 2018 al 20 de julio de 2021 a excepción del numeral, la titular de la Unidad de Transparencia señaló que dicha información pertenece al documento de seguridad de esa Institución, no obstante no es posible entregar la información de manera íntegra, ni en versión pública debido a que las medidas de seguridad tienen el carácter de confidencial. Ahora bien, del análisis al artículo 49 de la Ley de Protección de Datos Personales en Posesión de Sujetos Obligados del Estado de México y Municipio, se puede observar que no toda la información corresponde a las medidas de seguridad, por lo que bien puede generar una versión pública. Por último, es menester señalar que se negó la información sin tener un acuerdo que avale la negativa de la información y la su clasificación</w:t>
      </w:r>
      <w:r w:rsidR="00AB7DB9" w:rsidRPr="00C45626">
        <w:rPr>
          <w:rFonts w:ascii="Palatino Linotype" w:hAnsi="Palatino Linotype" w:cs="Arial"/>
          <w:i/>
          <w:color w:val="000000" w:themeColor="text1"/>
        </w:rPr>
        <w:t>.</w:t>
      </w:r>
      <w:r w:rsidRPr="00C45626">
        <w:rPr>
          <w:rFonts w:ascii="Palatino Linotype" w:hAnsi="Palatino Linotype" w:cs="Arial"/>
          <w:i/>
          <w:color w:val="000000" w:themeColor="text1"/>
        </w:rPr>
        <w:t xml:space="preserve">” </w:t>
      </w:r>
      <w:r w:rsidRPr="00C45626">
        <w:rPr>
          <w:rFonts w:ascii="Palatino Linotype" w:hAnsi="Palatino Linotype" w:cs="Arial"/>
          <w:color w:val="000000" w:themeColor="text1"/>
        </w:rPr>
        <w:t>(Sic).</w:t>
      </w:r>
    </w:p>
    <w:p w14:paraId="552C6645" w14:textId="77777777" w:rsidR="001B234C" w:rsidRPr="00C45626"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C45626"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45626">
        <w:rPr>
          <w:rFonts w:ascii="Palatino Linotype" w:hAnsi="Palatino Linotype" w:cs="Arial"/>
          <w:color w:val="000000" w:themeColor="text1"/>
        </w:rPr>
        <w:t xml:space="preserve">Se registró el recurso de revisión bajo el número de expediente </w:t>
      </w:r>
      <w:r w:rsidRPr="00C45626">
        <w:rPr>
          <w:rFonts w:ascii="Palatino Linotype" w:eastAsiaTheme="minorEastAsia" w:hAnsi="Palatino Linotype" w:cs="Arial"/>
          <w:bCs/>
          <w:color w:val="000000" w:themeColor="text1"/>
          <w:lang w:val="es-ES_tradnl"/>
        </w:rPr>
        <w:t xml:space="preserve">al rubro indicado, asimismo, con fundamento en lo dispuesto por el </w:t>
      </w:r>
      <w:r w:rsidRPr="00C45626">
        <w:rPr>
          <w:rFonts w:ascii="Palatino Linotype" w:eastAsia="Calibri" w:hAnsi="Palatino Linotype" w:cs="Arial"/>
          <w:color w:val="000000" w:themeColor="text1"/>
        </w:rPr>
        <w:t xml:space="preserve">artículo 185 fracción I de la </w:t>
      </w:r>
      <w:r w:rsidRPr="00C45626">
        <w:rPr>
          <w:rFonts w:ascii="Palatino Linotype" w:eastAsia="Calibri" w:hAnsi="Palatino Linotype" w:cs="Arial"/>
          <w:b/>
          <w:color w:val="000000" w:themeColor="text1"/>
        </w:rPr>
        <w:t xml:space="preserve">Ley de Transparencia y Acceso a la Información Pública del Estado de México y Municipios </w:t>
      </w:r>
      <w:r w:rsidR="005E6282" w:rsidRPr="00C45626">
        <w:rPr>
          <w:rFonts w:ascii="Palatino Linotype" w:hAnsi="Palatino Linotype" w:cs="Arial"/>
          <w:color w:val="000000" w:themeColor="text1"/>
        </w:rPr>
        <w:t>se turnó a</w:t>
      </w:r>
      <w:r w:rsidR="00351568" w:rsidRPr="00C45626">
        <w:rPr>
          <w:rFonts w:ascii="Palatino Linotype" w:hAnsi="Palatino Linotype" w:cs="Arial"/>
          <w:color w:val="000000" w:themeColor="text1"/>
        </w:rPr>
        <w:t xml:space="preserve"> la </w:t>
      </w:r>
      <w:r w:rsidR="00E3149E" w:rsidRPr="00C45626">
        <w:rPr>
          <w:rFonts w:ascii="Palatino Linotype" w:hAnsi="Palatino Linotype" w:cs="Arial"/>
          <w:b/>
          <w:color w:val="000000" w:themeColor="text1"/>
        </w:rPr>
        <w:t>C</w:t>
      </w:r>
      <w:r w:rsidR="00351568" w:rsidRPr="00C45626">
        <w:rPr>
          <w:rFonts w:ascii="Palatino Linotype" w:hAnsi="Palatino Linotype" w:cs="Arial"/>
          <w:b/>
          <w:color w:val="000000" w:themeColor="text1"/>
        </w:rPr>
        <w:t>omisionada María del Rosario Mejía Ayala</w:t>
      </w:r>
      <w:r w:rsidRPr="00C45626">
        <w:rPr>
          <w:rFonts w:ascii="Palatino Linotype" w:hAnsi="Palatino Linotype" w:cs="Arial"/>
          <w:b/>
          <w:color w:val="000000" w:themeColor="text1"/>
        </w:rPr>
        <w:t xml:space="preserve">, </w:t>
      </w:r>
      <w:r w:rsidRPr="00C45626">
        <w:rPr>
          <w:rFonts w:ascii="Palatino Linotype" w:hAnsi="Palatino Linotype" w:cs="Arial"/>
          <w:color w:val="000000" w:themeColor="text1"/>
        </w:rPr>
        <w:t xml:space="preserve">con el objeto de </w:t>
      </w:r>
      <w:r w:rsidRPr="00C45626">
        <w:rPr>
          <w:rFonts w:ascii="Palatino Linotype" w:hAnsi="Palatino Linotype" w:cs="Arial"/>
          <w:color w:val="000000" w:themeColor="text1"/>
          <w:lang w:val="es-MX"/>
        </w:rPr>
        <w:t>su análisis.</w:t>
      </w:r>
    </w:p>
    <w:p w14:paraId="49F28BD1" w14:textId="77777777" w:rsidR="00EA0165" w:rsidRPr="00C45626"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79559FA8" w:rsidR="00EA0165" w:rsidRPr="00C45626"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45626">
        <w:rPr>
          <w:rFonts w:ascii="Palatino Linotype" w:hAnsi="Palatino Linotype" w:cs="Arial"/>
          <w:color w:val="000000" w:themeColor="text1"/>
        </w:rPr>
        <w:t xml:space="preserve">La </w:t>
      </w:r>
      <w:r w:rsidRPr="00C45626">
        <w:rPr>
          <w:rFonts w:ascii="Palatino Linotype" w:hAnsi="Palatino Linotype" w:cs="Arial"/>
          <w:b/>
          <w:color w:val="000000" w:themeColor="text1"/>
        </w:rPr>
        <w:t>Comisionada María del Rosario Mejía Ayala</w:t>
      </w:r>
      <w:r w:rsidR="00EA0165" w:rsidRPr="00C45626">
        <w:rPr>
          <w:rFonts w:ascii="Palatino Linotype" w:eastAsia="Calibri" w:hAnsi="Palatino Linotype" w:cs="Arial"/>
          <w:color w:val="000000" w:themeColor="text1"/>
        </w:rPr>
        <w:t>, con fundamento en lo dispuesto por el artículo 185 fracción II de la ley de la materia, a t</w:t>
      </w:r>
      <w:r w:rsidR="007A237F" w:rsidRPr="00C45626">
        <w:rPr>
          <w:rFonts w:ascii="Palatino Linotype" w:eastAsia="Calibri" w:hAnsi="Palatino Linotype" w:cs="Arial"/>
          <w:color w:val="000000" w:themeColor="text1"/>
        </w:rPr>
        <w:t xml:space="preserve">ravés del </w:t>
      </w:r>
      <w:r w:rsidR="00B04339" w:rsidRPr="00C45626">
        <w:rPr>
          <w:rFonts w:ascii="Palatino Linotype" w:eastAsia="Calibri" w:hAnsi="Palatino Linotype" w:cs="Arial"/>
          <w:color w:val="000000" w:themeColor="text1"/>
        </w:rPr>
        <w:t>acuerdo de admisión d</w:t>
      </w:r>
      <w:r w:rsidR="00121816" w:rsidRPr="00C45626">
        <w:rPr>
          <w:rFonts w:ascii="Palatino Linotype" w:eastAsia="Calibri" w:hAnsi="Palatino Linotype" w:cs="Arial"/>
          <w:color w:val="000000" w:themeColor="text1"/>
        </w:rPr>
        <w:t>e veintinueve</w:t>
      </w:r>
      <w:r w:rsidR="008426D8" w:rsidRPr="00C45626">
        <w:rPr>
          <w:rFonts w:ascii="Palatino Linotype" w:eastAsia="Calibri" w:hAnsi="Palatino Linotype" w:cs="Arial"/>
          <w:color w:val="000000" w:themeColor="text1"/>
        </w:rPr>
        <w:t xml:space="preserve"> </w:t>
      </w:r>
      <w:r w:rsidR="00EA0165" w:rsidRPr="00C45626">
        <w:rPr>
          <w:rFonts w:ascii="Palatino Linotype" w:eastAsia="Calibri" w:hAnsi="Palatino Linotype" w:cs="Arial"/>
          <w:color w:val="000000" w:themeColor="text1"/>
        </w:rPr>
        <w:t>(</w:t>
      </w:r>
      <w:r w:rsidR="00121816" w:rsidRPr="00C45626">
        <w:rPr>
          <w:rFonts w:ascii="Palatino Linotype" w:eastAsia="Calibri" w:hAnsi="Palatino Linotype" w:cs="Arial"/>
          <w:color w:val="000000" w:themeColor="text1"/>
        </w:rPr>
        <w:t>29</w:t>
      </w:r>
      <w:r w:rsidR="00EA0165" w:rsidRPr="00C45626">
        <w:rPr>
          <w:rFonts w:ascii="Palatino Linotype" w:eastAsia="Calibri" w:hAnsi="Palatino Linotype" w:cs="Arial"/>
          <w:color w:val="000000" w:themeColor="text1"/>
        </w:rPr>
        <w:t>) de</w:t>
      </w:r>
      <w:r w:rsidR="00121816" w:rsidRPr="00C45626">
        <w:rPr>
          <w:rFonts w:ascii="Palatino Linotype" w:eastAsia="Calibri" w:hAnsi="Palatino Linotype" w:cs="Arial"/>
          <w:color w:val="000000" w:themeColor="text1"/>
        </w:rPr>
        <w:t xml:space="preserve"> septiembre </w:t>
      </w:r>
      <w:r w:rsidR="00EA0165" w:rsidRPr="00C45626">
        <w:rPr>
          <w:rFonts w:ascii="Palatino Linotype" w:eastAsia="Calibri" w:hAnsi="Palatino Linotype" w:cs="Arial"/>
          <w:color w:val="000000" w:themeColor="text1"/>
        </w:rPr>
        <w:t xml:space="preserve">de dos mil veintiuno, puso a disposición de las partes el expediente electrónico </w:t>
      </w:r>
      <w:r w:rsidR="00EA0165" w:rsidRPr="00C45626">
        <w:rPr>
          <w:rFonts w:ascii="Palatino Linotype" w:eastAsia="Calibri" w:hAnsi="Palatino Linotype" w:cs="Arial"/>
          <w:color w:val="000000" w:themeColor="text1"/>
          <w:lang w:val="es-ES_tradnl"/>
        </w:rPr>
        <w:t xml:space="preserve">vía </w:t>
      </w:r>
      <w:r w:rsidR="00EA0165" w:rsidRPr="00C45626">
        <w:rPr>
          <w:rFonts w:ascii="Palatino Linotype" w:eastAsia="Calibri" w:hAnsi="Palatino Linotype" w:cs="Arial"/>
          <w:color w:val="000000" w:themeColor="text1"/>
        </w:rPr>
        <w:t xml:space="preserve">Sistema de Acceso a la </w:t>
      </w:r>
      <w:r w:rsidR="00EA0165" w:rsidRPr="00C45626">
        <w:rPr>
          <w:rFonts w:ascii="Palatino Linotype" w:eastAsia="Calibri" w:hAnsi="Palatino Linotype" w:cs="Arial"/>
          <w:color w:val="000000" w:themeColor="text1"/>
        </w:rPr>
        <w:lastRenderedPageBreak/>
        <w:t xml:space="preserve">Información Mexiquense a efecto de que en un plazo máximo de siete días manifestaran lo que a su derecho convinieran, ofrecieran pruebas y alegatos según corresponda a los casos concretos, de esta forma para que el </w:t>
      </w:r>
      <w:r w:rsidR="00EA0165" w:rsidRPr="00C45626">
        <w:rPr>
          <w:rFonts w:ascii="Palatino Linotype" w:eastAsia="Calibri" w:hAnsi="Palatino Linotype" w:cs="Arial"/>
          <w:b/>
          <w:color w:val="000000" w:themeColor="text1"/>
        </w:rPr>
        <w:t>SUJETO OBLIGADO</w:t>
      </w:r>
      <w:r w:rsidR="00EA0165" w:rsidRPr="00C45626">
        <w:rPr>
          <w:rFonts w:ascii="Palatino Linotype" w:eastAsia="Calibri" w:hAnsi="Palatino Linotype" w:cs="Arial"/>
          <w:color w:val="000000" w:themeColor="text1"/>
        </w:rPr>
        <w:t xml:space="preserve"> presentara el</w:t>
      </w:r>
      <w:r w:rsidR="00266490" w:rsidRPr="00C45626">
        <w:rPr>
          <w:rFonts w:ascii="Palatino Linotype" w:eastAsia="Calibri" w:hAnsi="Palatino Linotype" w:cs="Arial"/>
          <w:color w:val="000000" w:themeColor="text1"/>
        </w:rPr>
        <w:t xml:space="preserve"> </w:t>
      </w:r>
      <w:r w:rsidR="00D75922" w:rsidRPr="00C45626">
        <w:rPr>
          <w:rFonts w:ascii="Palatino Linotype" w:eastAsia="Calibri" w:hAnsi="Palatino Linotype" w:cs="Arial"/>
          <w:color w:val="000000" w:themeColor="text1"/>
        </w:rPr>
        <w:t>informe justificado procedente.</w:t>
      </w:r>
    </w:p>
    <w:p w14:paraId="069466D8" w14:textId="77777777" w:rsidR="001B234C" w:rsidRPr="00C45626"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8AF98DE" w14:textId="3A7789A2" w:rsidR="000B4571" w:rsidRPr="00C45626" w:rsidRDefault="00C83B36" w:rsidP="00E04E0F">
      <w:pPr>
        <w:pStyle w:val="Prrafodelista"/>
        <w:numPr>
          <w:ilvl w:val="0"/>
          <w:numId w:val="2"/>
        </w:numPr>
        <w:tabs>
          <w:tab w:val="left" w:pos="0"/>
        </w:tabs>
        <w:spacing w:line="360" w:lineRule="auto"/>
        <w:ind w:left="0" w:right="49" w:firstLine="0"/>
        <w:contextualSpacing/>
        <w:jc w:val="both"/>
        <w:rPr>
          <w:rFonts w:ascii="Palatino Linotype" w:eastAsia="Calibri" w:hAnsi="Palatino Linotype" w:cs="Arial"/>
          <w:b/>
          <w:color w:val="000000" w:themeColor="text1"/>
        </w:rPr>
      </w:pPr>
      <w:r w:rsidRPr="00C45626">
        <w:rPr>
          <w:rFonts w:ascii="Palatino Linotype" w:eastAsia="Calibri" w:hAnsi="Palatino Linotype" w:cs="Arial"/>
          <w:color w:val="000000" w:themeColor="text1"/>
        </w:rPr>
        <w:t xml:space="preserve">En fecha </w:t>
      </w:r>
      <w:r w:rsidR="006B23D4" w:rsidRPr="00C45626">
        <w:rPr>
          <w:rFonts w:ascii="Palatino Linotype" w:eastAsia="Calibri" w:hAnsi="Palatino Linotype" w:cs="Arial"/>
          <w:color w:val="000000" w:themeColor="text1"/>
        </w:rPr>
        <w:t>seis (6</w:t>
      </w:r>
      <w:r w:rsidR="00D75922" w:rsidRPr="00C45626">
        <w:rPr>
          <w:rFonts w:ascii="Palatino Linotype" w:eastAsia="Calibri" w:hAnsi="Palatino Linotype" w:cs="Arial"/>
          <w:color w:val="000000" w:themeColor="text1"/>
        </w:rPr>
        <w:t>) de</w:t>
      </w:r>
      <w:r w:rsidR="00BF0B64" w:rsidRPr="00C45626">
        <w:rPr>
          <w:rFonts w:ascii="Palatino Linotype" w:eastAsia="Calibri" w:hAnsi="Palatino Linotype" w:cs="Arial"/>
          <w:color w:val="000000" w:themeColor="text1"/>
        </w:rPr>
        <w:t xml:space="preserve"> </w:t>
      </w:r>
      <w:r w:rsidR="007A237F" w:rsidRPr="00C45626">
        <w:rPr>
          <w:rFonts w:ascii="Palatino Linotype" w:eastAsia="Calibri" w:hAnsi="Palatino Linotype" w:cs="Arial"/>
          <w:color w:val="000000" w:themeColor="text1"/>
        </w:rPr>
        <w:t xml:space="preserve">octubre </w:t>
      </w:r>
      <w:r w:rsidR="00D75922" w:rsidRPr="00C45626">
        <w:rPr>
          <w:rFonts w:ascii="Palatino Linotype" w:eastAsia="Calibri" w:hAnsi="Palatino Linotype" w:cs="Arial"/>
          <w:color w:val="000000" w:themeColor="text1"/>
        </w:rPr>
        <w:t xml:space="preserve">de dos mil veintiuno el </w:t>
      </w:r>
      <w:r w:rsidR="00D75922" w:rsidRPr="00C45626">
        <w:rPr>
          <w:rFonts w:ascii="Palatino Linotype" w:eastAsia="Calibri" w:hAnsi="Palatino Linotype" w:cs="Arial"/>
          <w:b/>
          <w:color w:val="000000" w:themeColor="text1"/>
        </w:rPr>
        <w:t xml:space="preserve">SUJETO OBLIGADO </w:t>
      </w:r>
      <w:r w:rsidR="007A237F" w:rsidRPr="00C45626">
        <w:rPr>
          <w:rFonts w:ascii="Palatino Linotype" w:eastAsia="Calibri" w:hAnsi="Palatino Linotype" w:cs="Arial"/>
          <w:color w:val="000000" w:themeColor="text1"/>
        </w:rPr>
        <w:t>realizó entrega de un</w:t>
      </w:r>
      <w:r w:rsidR="00663F26" w:rsidRPr="00C45626">
        <w:rPr>
          <w:rFonts w:ascii="Palatino Linotype" w:eastAsia="Calibri" w:hAnsi="Palatino Linotype" w:cs="Arial"/>
          <w:color w:val="000000" w:themeColor="text1"/>
        </w:rPr>
        <w:t xml:space="preserve"> </w:t>
      </w:r>
      <w:r w:rsidR="00EC5949" w:rsidRPr="00C45626">
        <w:rPr>
          <w:rFonts w:ascii="Palatino Linotype" w:eastAsia="Calibri" w:hAnsi="Palatino Linotype" w:cs="Arial"/>
          <w:color w:val="000000" w:themeColor="text1"/>
        </w:rPr>
        <w:t>documento</w:t>
      </w:r>
      <w:r w:rsidR="00D75922" w:rsidRPr="00C45626">
        <w:rPr>
          <w:rFonts w:ascii="Palatino Linotype" w:eastAsia="Calibri" w:hAnsi="Palatino Linotype" w:cs="Arial"/>
          <w:color w:val="000000" w:themeColor="text1"/>
        </w:rPr>
        <w:t xml:space="preserve"> en calidad de in</w:t>
      </w:r>
      <w:r w:rsidR="00BF0B64" w:rsidRPr="00C45626">
        <w:rPr>
          <w:rFonts w:ascii="Palatino Linotype" w:eastAsia="Calibri" w:hAnsi="Palatino Linotype" w:cs="Arial"/>
          <w:color w:val="000000" w:themeColor="text1"/>
        </w:rPr>
        <w:t>forme justificado, mismo</w:t>
      </w:r>
      <w:r w:rsidRPr="00C45626">
        <w:rPr>
          <w:rFonts w:ascii="Palatino Linotype" w:eastAsia="Calibri" w:hAnsi="Palatino Linotype" w:cs="Arial"/>
          <w:color w:val="000000" w:themeColor="text1"/>
        </w:rPr>
        <w:t xml:space="preserve"> que </w:t>
      </w:r>
      <w:r w:rsidR="00EC5949" w:rsidRPr="00C45626">
        <w:rPr>
          <w:rFonts w:ascii="Palatino Linotype" w:eastAsia="Calibri" w:hAnsi="Palatino Linotype" w:cs="Arial"/>
          <w:color w:val="000000" w:themeColor="text1"/>
        </w:rPr>
        <w:t>se hizo</w:t>
      </w:r>
      <w:r w:rsidR="00D75922" w:rsidRPr="00C45626">
        <w:rPr>
          <w:rFonts w:ascii="Palatino Linotype" w:eastAsia="Calibri" w:hAnsi="Palatino Linotype" w:cs="Arial"/>
          <w:color w:val="000000" w:themeColor="text1"/>
        </w:rPr>
        <w:t xml:space="preserve"> de conocimiento </w:t>
      </w:r>
      <w:r w:rsidR="006E2585" w:rsidRPr="00C45626">
        <w:rPr>
          <w:rFonts w:ascii="Palatino Linotype" w:eastAsia="Calibri" w:hAnsi="Palatino Linotype" w:cs="Arial"/>
          <w:color w:val="000000" w:themeColor="text1"/>
        </w:rPr>
        <w:t xml:space="preserve">del Recurrente </w:t>
      </w:r>
      <w:r w:rsidR="00EC5949" w:rsidRPr="00C45626">
        <w:rPr>
          <w:rFonts w:ascii="Palatino Linotype" w:eastAsia="Calibri" w:hAnsi="Palatino Linotype" w:cs="Arial"/>
          <w:color w:val="000000" w:themeColor="text1"/>
        </w:rPr>
        <w:t>medi</w:t>
      </w:r>
      <w:r w:rsidR="00CE515F" w:rsidRPr="00C45626">
        <w:rPr>
          <w:rFonts w:ascii="Palatino Linotype" w:eastAsia="Calibri" w:hAnsi="Palatino Linotype" w:cs="Arial"/>
          <w:color w:val="000000" w:themeColor="text1"/>
        </w:rPr>
        <w:t>ante acuerdo de fecha</w:t>
      </w:r>
      <w:r w:rsidR="007A237F" w:rsidRPr="00C45626">
        <w:rPr>
          <w:rFonts w:ascii="Palatino Linotype" w:eastAsia="Calibri" w:hAnsi="Palatino Linotype" w:cs="Arial"/>
          <w:color w:val="000000" w:themeColor="text1"/>
        </w:rPr>
        <w:t xml:space="preserve"> </w:t>
      </w:r>
      <w:r w:rsidR="006B23D4" w:rsidRPr="00C45626">
        <w:rPr>
          <w:rFonts w:ascii="Palatino Linotype" w:eastAsia="Calibri" w:hAnsi="Palatino Linotype" w:cs="Arial"/>
          <w:color w:val="000000" w:themeColor="text1"/>
        </w:rPr>
        <w:t>seis (06</w:t>
      </w:r>
      <w:r w:rsidR="00003CF3" w:rsidRPr="00C45626">
        <w:rPr>
          <w:rFonts w:ascii="Palatino Linotype" w:eastAsia="Calibri" w:hAnsi="Palatino Linotype" w:cs="Arial"/>
          <w:color w:val="000000" w:themeColor="text1"/>
        </w:rPr>
        <w:t>) de</w:t>
      </w:r>
      <w:r w:rsidR="006B23D4" w:rsidRPr="00C45626">
        <w:rPr>
          <w:rFonts w:ascii="Palatino Linotype" w:eastAsia="Calibri" w:hAnsi="Palatino Linotype" w:cs="Arial"/>
          <w:color w:val="000000" w:themeColor="text1"/>
        </w:rPr>
        <w:t xml:space="preserve"> diciembre </w:t>
      </w:r>
      <w:r w:rsidR="00F41D78" w:rsidRPr="00C45626">
        <w:rPr>
          <w:rFonts w:ascii="Palatino Linotype" w:eastAsia="Calibri" w:hAnsi="Palatino Linotype" w:cs="Arial"/>
          <w:color w:val="000000" w:themeColor="text1"/>
        </w:rPr>
        <w:t xml:space="preserve">del dos mil veintiuno. </w:t>
      </w:r>
    </w:p>
    <w:p w14:paraId="068D7840" w14:textId="0E96BAA8" w:rsidR="001B234C" w:rsidRPr="00C45626"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p>
    <w:p w14:paraId="05FCE362" w14:textId="088AB30E" w:rsidR="00A47AE2" w:rsidRPr="00C45626" w:rsidRDefault="00C24F5E" w:rsidP="00CC364E">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C45626">
        <w:rPr>
          <w:rFonts w:ascii="Palatino Linotype" w:eastAsiaTheme="minorEastAsia" w:hAnsi="Palatino Linotype" w:cstheme="minorBidi"/>
          <w:color w:val="000000" w:themeColor="text1"/>
          <w:lang w:val="es-MX"/>
        </w:rPr>
        <w:t xml:space="preserve">El </w:t>
      </w:r>
      <w:r w:rsidR="00AE5395" w:rsidRPr="00C45626">
        <w:rPr>
          <w:rFonts w:ascii="Palatino Linotype" w:eastAsiaTheme="minorEastAsia" w:hAnsi="Palatino Linotype" w:cstheme="minorBidi"/>
          <w:color w:val="000000" w:themeColor="text1"/>
          <w:lang w:val="es-MX"/>
        </w:rPr>
        <w:t>veinticuatro (24</w:t>
      </w:r>
      <w:r w:rsidRPr="00C45626">
        <w:rPr>
          <w:rFonts w:ascii="Palatino Linotype" w:eastAsiaTheme="minorEastAsia" w:hAnsi="Palatino Linotype" w:cstheme="minorBidi"/>
          <w:color w:val="000000" w:themeColor="text1"/>
          <w:lang w:val="es-MX"/>
        </w:rPr>
        <w:t>) de</w:t>
      </w:r>
      <w:r w:rsidR="00AE5395" w:rsidRPr="00C45626">
        <w:rPr>
          <w:rFonts w:ascii="Palatino Linotype" w:eastAsiaTheme="minorEastAsia" w:hAnsi="Palatino Linotype" w:cstheme="minorBidi"/>
          <w:color w:val="000000" w:themeColor="text1"/>
          <w:lang w:val="es-MX"/>
        </w:rPr>
        <w:t xml:space="preserve"> mayo se notificó el acuerdo</w:t>
      </w:r>
      <w:r w:rsidRPr="00C45626">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w:t>
      </w:r>
      <w:r w:rsidR="00AE5395" w:rsidRPr="00C45626">
        <w:rPr>
          <w:rFonts w:ascii="Palatino Linotype" w:eastAsiaTheme="minorEastAsia" w:hAnsi="Palatino Linotype" w:cstheme="minorBidi"/>
          <w:color w:val="000000" w:themeColor="text1"/>
          <w:lang w:val="es-MX"/>
        </w:rPr>
        <w:t>esolver el recurso de revisión.</w:t>
      </w:r>
    </w:p>
    <w:p w14:paraId="42D835E4" w14:textId="77777777" w:rsidR="006B23D4" w:rsidRPr="00C45626" w:rsidRDefault="006B23D4" w:rsidP="006B23D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D15F30F" w14:textId="029B9709" w:rsidR="00A47AE2" w:rsidRPr="00C45626" w:rsidRDefault="00A47AE2" w:rsidP="00CC364E">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C45626">
        <w:rPr>
          <w:rFonts w:ascii="Palatino Linotype" w:eastAsiaTheme="minorEastAsia" w:hAnsi="Palatino Linotype" w:cstheme="minorBidi"/>
          <w:color w:val="000000" w:themeColor="text1"/>
          <w:lang w:val="es-ES_tradnl"/>
        </w:rPr>
        <w:t>Así las cosas, la</w:t>
      </w:r>
      <w:r w:rsidRPr="00C45626">
        <w:rPr>
          <w:rFonts w:ascii="Palatino Linotype" w:eastAsiaTheme="minorEastAsia" w:hAnsi="Palatino Linotype" w:cstheme="minorBidi"/>
          <w:b/>
          <w:color w:val="000000" w:themeColor="text1"/>
          <w:lang w:val="es-ES_tradnl"/>
        </w:rPr>
        <w:t xml:space="preserve"> Comisionada María del Rosario Mejía Ayala</w:t>
      </w:r>
      <w:r w:rsidRPr="00C45626">
        <w:rPr>
          <w:rFonts w:ascii="Palatino Linotype" w:eastAsiaTheme="minorEastAsia" w:hAnsi="Palatino Linotype" w:cstheme="minorBidi"/>
          <w:color w:val="000000" w:themeColor="text1"/>
          <w:lang w:val="es-ES_tradnl"/>
        </w:rPr>
        <w:t xml:space="preserve"> decretó el cierre de instrucción </w:t>
      </w:r>
      <w:r w:rsidR="00FA6732" w:rsidRPr="00C45626">
        <w:rPr>
          <w:rFonts w:ascii="Palatino Linotype" w:eastAsiaTheme="minorEastAsia" w:hAnsi="Palatino Linotype" w:cstheme="minorBidi"/>
          <w:color w:val="000000" w:themeColor="text1"/>
          <w:lang w:val="es-ES_tradnl"/>
        </w:rPr>
        <w:t>med</w:t>
      </w:r>
      <w:r w:rsidR="00AE5395" w:rsidRPr="00C45626">
        <w:rPr>
          <w:rFonts w:ascii="Palatino Linotype" w:eastAsiaTheme="minorEastAsia" w:hAnsi="Palatino Linotype" w:cstheme="minorBidi"/>
          <w:color w:val="000000" w:themeColor="text1"/>
          <w:lang w:val="es-ES_tradnl"/>
        </w:rPr>
        <w:t>iante acuerdo de fecha veinticuatro (24</w:t>
      </w:r>
      <w:r w:rsidRPr="00C45626">
        <w:rPr>
          <w:rFonts w:ascii="Palatino Linotype" w:eastAsiaTheme="minorEastAsia" w:hAnsi="Palatino Linotype" w:cstheme="minorBidi"/>
          <w:color w:val="000000" w:themeColor="text1"/>
          <w:lang w:val="es-ES_tradnl"/>
        </w:rPr>
        <w:t>) de</w:t>
      </w:r>
      <w:r w:rsidR="00AE5395" w:rsidRPr="00C45626">
        <w:rPr>
          <w:rFonts w:ascii="Palatino Linotype" w:eastAsiaTheme="minorEastAsia" w:hAnsi="Palatino Linotype" w:cstheme="minorBidi"/>
          <w:color w:val="000000" w:themeColor="text1"/>
          <w:lang w:val="es-ES_tradnl"/>
        </w:rPr>
        <w:t xml:space="preserve"> mayo </w:t>
      </w:r>
      <w:r w:rsidRPr="00C45626">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C45626" w:rsidRDefault="0028674A" w:rsidP="007D7513">
      <w:pPr>
        <w:spacing w:line="360" w:lineRule="auto"/>
        <w:rPr>
          <w:rFonts w:ascii="Palatino Linotype" w:hAnsi="Palatino Linotype"/>
          <w:lang w:val="es-ES_tradnl" w:eastAsia="en-US"/>
        </w:rPr>
      </w:pPr>
      <w:bookmarkStart w:id="7" w:name="_Toc68804758"/>
    </w:p>
    <w:p w14:paraId="494F97AD" w14:textId="77777777" w:rsidR="00EA0165" w:rsidRPr="00C45626"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105013145"/>
      <w:r w:rsidRPr="00C45626">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C45626"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C45626"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5013146"/>
      <w:r w:rsidRPr="00C45626">
        <w:rPr>
          <w:rFonts w:ascii="Palatino Linotype" w:hAnsi="Palatino Linotype"/>
          <w:b/>
          <w:color w:val="000000" w:themeColor="text1"/>
          <w:sz w:val="24"/>
          <w:szCs w:val="24"/>
          <w:lang w:val="es-MX" w:eastAsia="en-US"/>
        </w:rPr>
        <w:lastRenderedPageBreak/>
        <w:t>PRIMERO. De la competencia</w:t>
      </w:r>
      <w:bookmarkEnd w:id="9"/>
      <w:bookmarkEnd w:id="10"/>
      <w:bookmarkEnd w:id="11"/>
      <w:r w:rsidR="00537427" w:rsidRPr="00C45626">
        <w:rPr>
          <w:rFonts w:ascii="Palatino Linotype" w:hAnsi="Palatino Linotype"/>
          <w:b/>
          <w:color w:val="000000" w:themeColor="text1"/>
          <w:sz w:val="24"/>
          <w:szCs w:val="24"/>
          <w:lang w:val="es-MX" w:eastAsia="en-US"/>
        </w:rPr>
        <w:t>.</w:t>
      </w:r>
      <w:bookmarkEnd w:id="12"/>
    </w:p>
    <w:p w14:paraId="341F67EC" w14:textId="77777777" w:rsidR="00EA0165" w:rsidRPr="00C45626"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C45626" w:rsidRDefault="00EA0165" w:rsidP="00CC364E">
      <w:pPr>
        <w:pStyle w:val="Prrafodelista"/>
        <w:numPr>
          <w:ilvl w:val="0"/>
          <w:numId w:val="8"/>
        </w:numPr>
        <w:tabs>
          <w:tab w:val="left" w:pos="0"/>
        </w:tabs>
        <w:spacing w:after="160" w:line="360" w:lineRule="auto"/>
        <w:ind w:left="0" w:hanging="11"/>
        <w:contextualSpacing/>
        <w:jc w:val="both"/>
        <w:rPr>
          <w:rFonts w:ascii="Palatino Linotype" w:eastAsia="MS Mincho" w:hAnsi="Palatino Linotype"/>
          <w:lang w:val="es-ES_tradnl"/>
        </w:rPr>
      </w:pPr>
      <w:r w:rsidRPr="00C4562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45626">
        <w:rPr>
          <w:rFonts w:ascii="Palatino Linotype" w:eastAsia="Calibri" w:hAnsi="Palatino Linotype"/>
          <w:b/>
        </w:rPr>
        <w:t>Constitución Política de los Estados Unidos Mexicanos</w:t>
      </w:r>
      <w:r w:rsidRPr="00C45626">
        <w:rPr>
          <w:rFonts w:ascii="Palatino Linotype" w:eastAsia="Calibri" w:hAnsi="Palatino Linotype"/>
        </w:rPr>
        <w:t xml:space="preserve">; </w:t>
      </w:r>
      <w:r w:rsidRPr="00C45626">
        <w:rPr>
          <w:rFonts w:ascii="Palatino Linotype" w:eastAsia="Calibri" w:hAnsi="Palatino Linotype" w:cs="Arial"/>
          <w:bCs/>
          <w:color w:val="222222"/>
          <w:shd w:val="clear" w:color="auto" w:fill="FFFFFF"/>
          <w:lang w:eastAsia="en-US"/>
        </w:rPr>
        <w:t>5, párrafo</w:t>
      </w:r>
      <w:r w:rsidR="00543BF9" w:rsidRPr="00C45626">
        <w:rPr>
          <w:rFonts w:ascii="Palatino Linotype" w:eastAsia="Calibri" w:hAnsi="Palatino Linotype"/>
          <w:lang w:val="es-MX" w:eastAsia="en-US"/>
        </w:rPr>
        <w:t xml:space="preserve"> trigésimo, trigésimo primero y trigésimo segundo, fracciones I, II, III, IV y V</w:t>
      </w:r>
      <w:r w:rsidR="00543BF9" w:rsidRPr="00C45626">
        <w:rPr>
          <w:rFonts w:ascii="Palatino Linotype" w:eastAsia="MS Mincho" w:hAnsi="Palatino Linotype"/>
          <w:lang w:val="es-ES_tradnl"/>
        </w:rPr>
        <w:t xml:space="preserve"> </w:t>
      </w:r>
      <w:r w:rsidRPr="00C45626">
        <w:rPr>
          <w:rFonts w:ascii="Palatino Linotype" w:eastAsia="Calibri" w:hAnsi="Palatino Linotype"/>
        </w:rPr>
        <w:t xml:space="preserve">de la </w:t>
      </w:r>
      <w:r w:rsidRPr="00C45626">
        <w:rPr>
          <w:rFonts w:ascii="Palatino Linotype" w:eastAsia="Calibri" w:hAnsi="Palatino Linotype"/>
          <w:b/>
        </w:rPr>
        <w:t>Constitución Política del Estado Libre y Soberano de México</w:t>
      </w:r>
      <w:r w:rsidRPr="00C45626">
        <w:rPr>
          <w:rFonts w:ascii="Palatino Linotype" w:eastAsia="Calibri" w:hAnsi="Palatino Linotype"/>
        </w:rPr>
        <w:t xml:space="preserve">; artículos 1, 2 fracción II, 13, 29, 36 fracciones I y II, 176, 178, 179, 181 párrafo tercero y 185 </w:t>
      </w:r>
      <w:r w:rsidRPr="00C45626">
        <w:rPr>
          <w:rFonts w:ascii="Palatino Linotype" w:eastAsia="Calibri" w:hAnsi="Palatino Linotype" w:cs="Arial"/>
        </w:rPr>
        <w:t xml:space="preserve">de la </w:t>
      </w:r>
      <w:r w:rsidRPr="00C45626">
        <w:rPr>
          <w:rFonts w:ascii="Palatino Linotype" w:eastAsia="Calibri" w:hAnsi="Palatino Linotype" w:cs="Arial"/>
          <w:b/>
        </w:rPr>
        <w:t>Ley de Transparencia y Acceso a la Información Pública del Estado de México y Municipios</w:t>
      </w:r>
      <w:r w:rsidRPr="00C45626">
        <w:rPr>
          <w:rFonts w:ascii="Palatino Linotype" w:eastAsia="Calibri" w:hAnsi="Palatino Linotype" w:cs="Arial"/>
        </w:rPr>
        <w:t xml:space="preserve">; </w:t>
      </w:r>
      <w:r w:rsidRPr="00C45626">
        <w:rPr>
          <w:rFonts w:ascii="Palatino Linotype" w:eastAsia="Calibri" w:hAnsi="Palatino Linotype" w:cs="Arial"/>
          <w:b/>
        </w:rPr>
        <w:t>7, 9 fracciones I y XXIV, y 11</w:t>
      </w:r>
      <w:r w:rsidRPr="00C45626">
        <w:rPr>
          <w:rFonts w:ascii="Palatino Linotype" w:eastAsia="Calibri" w:hAnsi="Palatino Linotype" w:cs="Arial"/>
        </w:rPr>
        <w:t xml:space="preserve"> del </w:t>
      </w:r>
      <w:r w:rsidRPr="00C4562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C45626">
        <w:rPr>
          <w:rFonts w:ascii="Palatino Linotype" w:eastAsia="Calibri" w:hAnsi="Palatino Linotype" w:cs="Arial"/>
          <w:b/>
        </w:rPr>
        <w:t>.</w:t>
      </w:r>
    </w:p>
    <w:p w14:paraId="343B0FCF" w14:textId="413622B7" w:rsidR="00EA0165" w:rsidRPr="00C45626"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5013147"/>
      <w:r w:rsidRPr="00C45626">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C45626"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105013148"/>
      <w:r w:rsidRPr="00C45626">
        <w:rPr>
          <w:rFonts w:ascii="Palatino Linotype" w:hAnsi="Palatino Linotype"/>
          <w:b/>
          <w:color w:val="000000" w:themeColor="text1"/>
          <w:sz w:val="24"/>
          <w:szCs w:val="24"/>
          <w:lang w:val="es-MX" w:eastAsia="en-US"/>
        </w:rPr>
        <w:t>I. De la interposición del recurso.</w:t>
      </w:r>
      <w:bookmarkEnd w:id="17"/>
      <w:bookmarkEnd w:id="18"/>
      <w:bookmarkEnd w:id="19"/>
      <w:r w:rsidRPr="00C45626">
        <w:rPr>
          <w:rFonts w:ascii="Palatino Linotype" w:hAnsi="Palatino Linotype"/>
          <w:b/>
          <w:color w:val="000000" w:themeColor="text1"/>
          <w:sz w:val="24"/>
          <w:szCs w:val="24"/>
          <w:lang w:val="es-MX" w:eastAsia="en-US"/>
        </w:rPr>
        <w:t xml:space="preserve"> </w:t>
      </w:r>
    </w:p>
    <w:p w14:paraId="489BB18C" w14:textId="77777777" w:rsidR="00EA0165" w:rsidRPr="00C45626"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5EA64B79" w14:textId="098BD6DA" w:rsidR="00A2042B" w:rsidRPr="00C45626" w:rsidRDefault="00EA0165" w:rsidP="00CC364E">
      <w:pPr>
        <w:pStyle w:val="Prrafodelista"/>
        <w:numPr>
          <w:ilvl w:val="0"/>
          <w:numId w:val="8"/>
        </w:numPr>
        <w:spacing w:after="160" w:line="360" w:lineRule="auto"/>
        <w:ind w:left="0" w:right="49" w:firstLine="0"/>
        <w:contextualSpacing/>
        <w:jc w:val="both"/>
        <w:rPr>
          <w:rFonts w:ascii="Palatino Linotype" w:hAnsi="Palatino Linotype"/>
          <w:lang w:val="es-ES_tradnl"/>
        </w:rPr>
      </w:pPr>
      <w:r w:rsidRPr="00C45626">
        <w:rPr>
          <w:rFonts w:ascii="Palatino Linotype" w:eastAsia="Calibri" w:hAnsi="Palatino Linotype" w:cs="Arial"/>
          <w:lang w:val="es-ES_tradnl"/>
        </w:rPr>
        <w:t xml:space="preserve">El medio de impugnación fue presentado a través del </w:t>
      </w:r>
      <w:r w:rsidRPr="00C45626">
        <w:rPr>
          <w:rFonts w:ascii="Palatino Linotype" w:eastAsia="Calibri" w:hAnsi="Palatino Linotype" w:cs="Arial"/>
          <w:b/>
          <w:lang w:val="es-ES_tradnl"/>
        </w:rPr>
        <w:t>SAIMEX,</w:t>
      </w:r>
      <w:r w:rsidRPr="00C45626">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C45626">
        <w:rPr>
          <w:rFonts w:ascii="Palatino Linotype" w:eastAsia="Calibri" w:hAnsi="Palatino Linotype" w:cs="Arial"/>
          <w:lang w:val="es-ES_tradnl"/>
        </w:rPr>
        <w:t xml:space="preserve">particular es de señalar que si el </w:t>
      </w:r>
      <w:r w:rsidRPr="00C45626">
        <w:rPr>
          <w:rFonts w:ascii="Palatino Linotype" w:eastAsia="Calibri" w:hAnsi="Palatino Linotype" w:cs="Arial"/>
          <w:b/>
          <w:lang w:val="es-ES_tradnl"/>
        </w:rPr>
        <w:t>SUJETO OBLIGADO</w:t>
      </w:r>
      <w:r w:rsidRPr="00C45626">
        <w:rPr>
          <w:rFonts w:ascii="Palatino Linotype" w:eastAsia="Calibri" w:hAnsi="Palatino Linotype" w:cs="Arial"/>
          <w:lang w:val="es-ES_tradnl"/>
        </w:rPr>
        <w:t xml:space="preserve"> entregó respuesta el d</w:t>
      </w:r>
      <w:r w:rsidR="000079BD" w:rsidRPr="00C45626">
        <w:rPr>
          <w:rFonts w:ascii="Palatino Linotype" w:eastAsia="Calibri" w:hAnsi="Palatino Linotype" w:cs="Arial"/>
          <w:lang w:val="es-ES_tradnl"/>
        </w:rPr>
        <w:t>ía tres (03</w:t>
      </w:r>
      <w:r w:rsidRPr="00C45626">
        <w:rPr>
          <w:rFonts w:ascii="Palatino Linotype" w:eastAsia="Calibri" w:hAnsi="Palatino Linotype" w:cs="Arial"/>
          <w:lang w:val="es-ES_tradnl"/>
        </w:rPr>
        <w:t>) de</w:t>
      </w:r>
      <w:r w:rsidR="000079BD" w:rsidRPr="00C45626">
        <w:rPr>
          <w:rFonts w:ascii="Palatino Linotype" w:eastAsia="Calibri" w:hAnsi="Palatino Linotype" w:cs="Arial"/>
          <w:lang w:val="es-ES_tradnl"/>
        </w:rPr>
        <w:t xml:space="preserve"> septiembre de dos mil veintiuno</w:t>
      </w:r>
      <w:r w:rsidRPr="00C45626">
        <w:rPr>
          <w:rFonts w:ascii="Palatino Linotype" w:eastAsia="Calibri" w:hAnsi="Palatino Linotype" w:cs="Arial"/>
          <w:lang w:val="es-MX" w:eastAsia="en-US"/>
        </w:rPr>
        <w:t>, el plazo para interponer el recurso de rev</w:t>
      </w:r>
      <w:r w:rsidR="00E62DC6" w:rsidRPr="00C45626">
        <w:rPr>
          <w:rFonts w:ascii="Palatino Linotype" w:eastAsia="Calibri" w:hAnsi="Palatino Linotype" w:cs="Arial"/>
          <w:lang w:val="es-MX" w:eastAsia="en-US"/>
        </w:rPr>
        <w:t xml:space="preserve">isión </w:t>
      </w:r>
      <w:r w:rsidR="00A2042B" w:rsidRPr="00C45626">
        <w:rPr>
          <w:rFonts w:ascii="Palatino Linotype" w:eastAsia="Calibri" w:hAnsi="Palatino Linotype" w:cs="Arial"/>
          <w:lang w:val="es-MX" w:eastAsia="en-US"/>
        </w:rPr>
        <w:t>trascurrió del</w:t>
      </w:r>
      <w:r w:rsidR="00493C2B" w:rsidRPr="00C45626">
        <w:rPr>
          <w:rFonts w:ascii="Palatino Linotype" w:eastAsia="Calibri" w:hAnsi="Palatino Linotype" w:cs="Arial"/>
          <w:lang w:val="es-MX" w:eastAsia="en-US"/>
        </w:rPr>
        <w:t xml:space="preserve"> seis (06</w:t>
      </w:r>
      <w:r w:rsidRPr="00C45626">
        <w:rPr>
          <w:rFonts w:ascii="Palatino Linotype" w:eastAsia="Calibri" w:hAnsi="Palatino Linotype" w:cs="Arial"/>
          <w:lang w:val="es-MX" w:eastAsia="en-US"/>
        </w:rPr>
        <w:t>)</w:t>
      </w:r>
      <w:r w:rsidR="00A2042B" w:rsidRPr="00C45626">
        <w:rPr>
          <w:rFonts w:ascii="Palatino Linotype" w:eastAsia="Calibri" w:hAnsi="Palatino Linotype" w:cs="Arial"/>
          <w:lang w:val="es-MX" w:eastAsia="en-US"/>
        </w:rPr>
        <w:t xml:space="preserve"> </w:t>
      </w:r>
      <w:r w:rsidRPr="00C45626">
        <w:rPr>
          <w:rFonts w:ascii="Palatino Linotype" w:eastAsia="Calibri" w:hAnsi="Palatino Linotype" w:cs="Arial"/>
          <w:lang w:val="es-MX" w:eastAsia="en-US"/>
        </w:rPr>
        <w:t>al</w:t>
      </w:r>
      <w:r w:rsidR="00493C2B" w:rsidRPr="00C45626">
        <w:rPr>
          <w:rFonts w:ascii="Palatino Linotype" w:eastAsia="Calibri" w:hAnsi="Palatino Linotype" w:cs="Arial"/>
          <w:lang w:val="es-MX" w:eastAsia="en-US"/>
        </w:rPr>
        <w:t xml:space="preserve"> veintisiete (27) de septiembre </w:t>
      </w:r>
      <w:r w:rsidR="00E62DC6" w:rsidRPr="00C45626">
        <w:rPr>
          <w:rFonts w:ascii="Palatino Linotype" w:eastAsia="Calibri" w:hAnsi="Palatino Linotype" w:cs="Arial"/>
          <w:lang w:val="es-MX" w:eastAsia="en-US"/>
        </w:rPr>
        <w:t xml:space="preserve">de dos mil veintiuno, </w:t>
      </w:r>
      <w:r w:rsidRPr="00C45626">
        <w:rPr>
          <w:rFonts w:ascii="Palatino Linotype" w:eastAsia="Calibri" w:hAnsi="Palatino Linotype" w:cs="Arial"/>
          <w:lang w:val="es-MX" w:eastAsia="en-US"/>
        </w:rPr>
        <w:t>por lo que si el particular i</w:t>
      </w:r>
      <w:r w:rsidR="00392E2B" w:rsidRPr="00C45626">
        <w:rPr>
          <w:rFonts w:ascii="Palatino Linotype" w:eastAsia="Calibri" w:hAnsi="Palatino Linotype" w:cs="Arial"/>
          <w:lang w:val="es-MX" w:eastAsia="en-US"/>
        </w:rPr>
        <w:t>nterpus</w:t>
      </w:r>
      <w:r w:rsidR="00806829" w:rsidRPr="00C45626">
        <w:rPr>
          <w:rFonts w:ascii="Palatino Linotype" w:eastAsia="Calibri" w:hAnsi="Palatino Linotype" w:cs="Arial"/>
          <w:lang w:val="es-MX" w:eastAsia="en-US"/>
        </w:rPr>
        <w:t xml:space="preserve">o </w:t>
      </w:r>
      <w:r w:rsidR="00A47AE2" w:rsidRPr="00C45626">
        <w:rPr>
          <w:rFonts w:ascii="Palatino Linotype" w:eastAsia="Calibri" w:hAnsi="Palatino Linotype" w:cs="Arial"/>
          <w:lang w:val="es-MX" w:eastAsia="en-US"/>
        </w:rPr>
        <w:t xml:space="preserve">recurso de </w:t>
      </w:r>
      <w:r w:rsidR="00493C2B" w:rsidRPr="00C45626">
        <w:rPr>
          <w:rFonts w:ascii="Palatino Linotype" w:eastAsia="Calibri" w:hAnsi="Palatino Linotype" w:cs="Arial"/>
          <w:lang w:val="es-MX" w:eastAsia="en-US"/>
        </w:rPr>
        <w:lastRenderedPageBreak/>
        <w:t>revisión el veinticuatro (24</w:t>
      </w:r>
      <w:r w:rsidR="00BD6857" w:rsidRPr="00C45626">
        <w:rPr>
          <w:rFonts w:ascii="Palatino Linotype" w:eastAsia="Calibri" w:hAnsi="Palatino Linotype" w:cs="Arial"/>
          <w:lang w:val="es-MX" w:eastAsia="en-US"/>
        </w:rPr>
        <w:t>) de</w:t>
      </w:r>
      <w:r w:rsidR="00493C2B" w:rsidRPr="00C45626">
        <w:rPr>
          <w:rFonts w:ascii="Palatino Linotype" w:eastAsia="Calibri" w:hAnsi="Palatino Linotype" w:cs="Arial"/>
          <w:lang w:val="es-MX" w:eastAsia="en-US"/>
        </w:rPr>
        <w:t xml:space="preserve"> septiembre</w:t>
      </w:r>
      <w:r w:rsidR="00A47AE2" w:rsidRPr="00C45626">
        <w:rPr>
          <w:rFonts w:ascii="Palatino Linotype" w:eastAsia="Calibri" w:hAnsi="Palatino Linotype" w:cs="Arial"/>
          <w:lang w:val="es-MX" w:eastAsia="en-US"/>
        </w:rPr>
        <w:t xml:space="preserve"> de dos mil veintiuno, </w:t>
      </w:r>
      <w:r w:rsidRPr="00C45626">
        <w:rPr>
          <w:rFonts w:ascii="Palatino Linotype" w:hAnsi="Palatino Linotype"/>
          <w:lang w:val="es-ES_tradnl"/>
        </w:rPr>
        <w:t xml:space="preserve">se encuentra dentro del periodo establecido por la Ley. </w:t>
      </w:r>
    </w:p>
    <w:p w14:paraId="3667250E" w14:textId="6DCD6A1C" w:rsidR="00D217A4" w:rsidRPr="00C45626" w:rsidRDefault="00D53E41" w:rsidP="007D7513">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105013149"/>
      <w:r w:rsidRPr="00C45626">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C45626">
        <w:rPr>
          <w:rFonts w:ascii="Palatino Linotype" w:hAnsi="Palatino Linotype"/>
          <w:b/>
          <w:color w:val="auto"/>
          <w:sz w:val="24"/>
          <w:szCs w:val="24"/>
        </w:rPr>
        <w:t xml:space="preserve">. </w:t>
      </w:r>
      <w:bookmarkStart w:id="25" w:name="_Toc67587987"/>
      <w:bookmarkStart w:id="26" w:name="_Toc68804763"/>
      <w:bookmarkEnd w:id="22"/>
      <w:bookmarkEnd w:id="23"/>
      <w:bookmarkEnd w:id="24"/>
      <w:r w:rsidR="00EA0165" w:rsidRPr="00C45626">
        <w:rPr>
          <w:rFonts w:ascii="Palatino Linotype" w:hAnsi="Palatino Linotype"/>
          <w:b/>
          <w:color w:val="000000" w:themeColor="text1"/>
          <w:sz w:val="24"/>
          <w:szCs w:val="24"/>
          <w:lang w:val="es-MX" w:eastAsia="en-US"/>
        </w:rPr>
        <w:t>De la determinación sobre la procedibilidad del recurso.</w:t>
      </w:r>
      <w:bookmarkEnd w:id="21"/>
      <w:bookmarkEnd w:id="25"/>
      <w:bookmarkEnd w:id="26"/>
      <w:r w:rsidR="00EA0165" w:rsidRPr="00C45626">
        <w:rPr>
          <w:rFonts w:ascii="Palatino Linotype" w:hAnsi="Palatino Linotype"/>
          <w:b/>
          <w:color w:val="000000" w:themeColor="text1"/>
          <w:sz w:val="24"/>
          <w:szCs w:val="24"/>
          <w:lang w:val="es-MX" w:eastAsia="en-US"/>
        </w:rPr>
        <w:t xml:space="preserve"> </w:t>
      </w:r>
    </w:p>
    <w:p w14:paraId="1115619A" w14:textId="77777777" w:rsidR="00D53E41" w:rsidRPr="00C45626" w:rsidRDefault="00D53E41" w:rsidP="007D7513">
      <w:pPr>
        <w:spacing w:line="360" w:lineRule="auto"/>
        <w:rPr>
          <w:rFonts w:ascii="Palatino Linotype" w:hAnsi="Palatino Linotype"/>
          <w:lang w:val="es-MX" w:eastAsia="en-US"/>
        </w:rPr>
      </w:pPr>
    </w:p>
    <w:p w14:paraId="7DF2873B" w14:textId="0EC6D713" w:rsidR="00EA0165" w:rsidRPr="00C45626" w:rsidRDefault="00EA0165" w:rsidP="00CC364E">
      <w:pPr>
        <w:pStyle w:val="Prrafodelista"/>
        <w:numPr>
          <w:ilvl w:val="0"/>
          <w:numId w:val="8"/>
        </w:numPr>
        <w:spacing w:after="160" w:line="360" w:lineRule="auto"/>
        <w:ind w:left="0" w:right="49" w:firstLine="0"/>
        <w:contextualSpacing/>
        <w:jc w:val="both"/>
        <w:rPr>
          <w:rFonts w:ascii="Palatino Linotype" w:hAnsi="Palatino Linotype"/>
          <w:lang w:val="es-ES_tradnl"/>
        </w:rPr>
      </w:pPr>
      <w:r w:rsidRPr="00C45626">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77777777" w:rsidR="00A2042B" w:rsidRPr="00C45626" w:rsidRDefault="00A2042B" w:rsidP="007D7513">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C45626" w:rsidRDefault="00992BC7" w:rsidP="007D7513">
      <w:pPr>
        <w:pStyle w:val="Ttulo1"/>
        <w:spacing w:line="360" w:lineRule="auto"/>
        <w:rPr>
          <w:rFonts w:ascii="Palatino Linotype" w:hAnsi="Palatino Linotype"/>
          <w:sz w:val="24"/>
          <w:szCs w:val="24"/>
          <w:lang w:eastAsia="es-ES_tradnl"/>
        </w:rPr>
      </w:pPr>
      <w:bookmarkStart w:id="27" w:name="_Toc105013150"/>
      <w:r w:rsidRPr="00C45626">
        <w:rPr>
          <w:rFonts w:ascii="Palatino Linotype" w:eastAsia="MS Mincho" w:hAnsi="Palatino Linotype"/>
          <w:b/>
          <w:color w:val="000000" w:themeColor="text1"/>
          <w:sz w:val="24"/>
          <w:szCs w:val="24"/>
          <w:lang w:val="es-ES_tradnl"/>
        </w:rPr>
        <w:t>TERCERO</w:t>
      </w:r>
      <w:r w:rsidRPr="00C45626">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C45626">
        <w:rPr>
          <w:rFonts w:ascii="Palatino Linotype" w:hAnsi="Palatino Linotype" w:cs="Times New Roman"/>
          <w:b/>
          <w:color w:val="000000" w:themeColor="text1"/>
          <w:sz w:val="24"/>
          <w:szCs w:val="24"/>
        </w:rPr>
        <w:t xml:space="preserve"> </w:t>
      </w:r>
      <w:r w:rsidR="00EA0165" w:rsidRPr="00C45626">
        <w:rPr>
          <w:rFonts w:ascii="Palatino Linotype" w:hAnsi="Palatino Linotype"/>
          <w:b/>
          <w:color w:val="000000" w:themeColor="text1"/>
          <w:sz w:val="24"/>
          <w:szCs w:val="24"/>
          <w:lang w:val="es-MX" w:eastAsia="en-US"/>
        </w:rPr>
        <w:t xml:space="preserve">Del planteamiento de la </w:t>
      </w:r>
      <w:r w:rsidR="00EA0165" w:rsidRPr="00C45626">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C45626" w:rsidRDefault="00EA0165" w:rsidP="00CC364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C4562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C45626">
        <w:rPr>
          <w:rFonts w:ascii="Palatino Linotype" w:eastAsia="Calibri" w:hAnsi="Palatino Linotype" w:cs="Arial"/>
          <w:b/>
        </w:rPr>
        <w:t>Ley de Transparencia y Acceso a la Información Pública del Estado de México y Municipios</w:t>
      </w:r>
      <w:r w:rsidRPr="00C45626">
        <w:rPr>
          <w:rFonts w:ascii="Palatino Linotype" w:hAnsi="Palatino Linotype" w:cs="Arial"/>
          <w:lang w:val="es-ES_tradnl"/>
        </w:rPr>
        <w:t xml:space="preserve"> y determinar la confirmación; revocación o modificación; desechamiento o sobreseimiento; y en su </w:t>
      </w:r>
      <w:r w:rsidRPr="00C45626">
        <w:rPr>
          <w:rFonts w:ascii="Palatino Linotype" w:hAnsi="Palatino Linotype" w:cs="Arial"/>
          <w:b/>
          <w:lang w:val="es-ES_tradnl"/>
        </w:rPr>
        <w:t>caso ordenar la entrega de la información,</w:t>
      </w:r>
      <w:r w:rsidRPr="00C45626">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C45626"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44378A2E" w:rsidR="00D217A4" w:rsidRPr="00C45626" w:rsidRDefault="00EA0165" w:rsidP="00CC364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C45626">
        <w:rPr>
          <w:rFonts w:ascii="Palatino Linotype" w:eastAsia="MS Mincho" w:hAnsi="Palatino Linotype"/>
          <w:lang w:val="es-ES_tradnl"/>
        </w:rPr>
        <w:t xml:space="preserve">De las constancias en el expediente al rubro indicado, se desprende que el particular solicitó </w:t>
      </w:r>
      <w:r w:rsidR="003669E8" w:rsidRPr="00C45626">
        <w:rPr>
          <w:rFonts w:ascii="Palatino Linotype" w:eastAsia="MS Mincho" w:hAnsi="Palatino Linotype"/>
          <w:lang w:val="es-ES_tradnl"/>
        </w:rPr>
        <w:t xml:space="preserve">acceso </w:t>
      </w:r>
      <w:r w:rsidR="003D1DF9" w:rsidRPr="00C45626">
        <w:rPr>
          <w:rFonts w:ascii="Palatino Linotype" w:eastAsia="MS Mincho" w:hAnsi="Palatino Linotype"/>
          <w:lang w:val="es-ES_tradnl"/>
        </w:rPr>
        <w:t>a</w:t>
      </w:r>
      <w:r w:rsidR="00E00BFD" w:rsidRPr="00C45626">
        <w:rPr>
          <w:rFonts w:ascii="Palatino Linotype" w:eastAsia="MS Mincho" w:hAnsi="Palatino Linotype"/>
          <w:lang w:val="es-ES_tradnl"/>
        </w:rPr>
        <w:t xml:space="preserve"> </w:t>
      </w:r>
      <w:r w:rsidR="00723404" w:rsidRPr="00C45626">
        <w:rPr>
          <w:rFonts w:ascii="Palatino Linotype" w:eastAsia="MS Mincho" w:hAnsi="Palatino Linotype"/>
          <w:lang w:val="es-ES_tradnl"/>
        </w:rPr>
        <w:t>información relativa al tratamiento de datos personales</w:t>
      </w:r>
      <w:r w:rsidR="007E5467" w:rsidRPr="00C45626">
        <w:rPr>
          <w:rFonts w:ascii="Palatino Linotype" w:hAnsi="Palatino Linotype"/>
          <w:lang w:val="es-ES_tradnl"/>
        </w:rPr>
        <w:t>, requerimientos</w:t>
      </w:r>
      <w:r w:rsidR="00B0049C" w:rsidRPr="00C45626">
        <w:rPr>
          <w:rFonts w:ascii="Palatino Linotype" w:eastAsia="MS Mincho" w:hAnsi="Palatino Linotype"/>
          <w:lang w:val="es-ES_tradnl"/>
        </w:rPr>
        <w:t xml:space="preserve">, </w:t>
      </w:r>
      <w:r w:rsidR="007E5467" w:rsidRPr="00C45626">
        <w:rPr>
          <w:rFonts w:ascii="Palatino Linotype" w:eastAsia="MS Mincho" w:hAnsi="Palatino Linotype"/>
          <w:lang w:val="es-ES_tradnl"/>
        </w:rPr>
        <w:t xml:space="preserve">a los </w:t>
      </w:r>
      <w:r w:rsidR="00562ACE" w:rsidRPr="00C45626">
        <w:rPr>
          <w:rFonts w:ascii="Palatino Linotype" w:eastAsia="MS Mincho" w:hAnsi="Palatino Linotype"/>
          <w:lang w:val="es-ES_tradnl"/>
        </w:rPr>
        <w:t xml:space="preserve"> que se respondió</w:t>
      </w:r>
      <w:r w:rsidR="007E6704" w:rsidRPr="00C45626">
        <w:rPr>
          <w:rFonts w:ascii="Palatino Linotype" w:eastAsia="MS Mincho" w:hAnsi="Palatino Linotype"/>
          <w:lang w:val="es-ES_tradnl"/>
        </w:rPr>
        <w:t xml:space="preserve"> realizando entrega </w:t>
      </w:r>
      <w:r w:rsidR="00723404" w:rsidRPr="00C45626">
        <w:rPr>
          <w:rFonts w:ascii="Palatino Linotype" w:eastAsia="MS Mincho" w:hAnsi="Palatino Linotype"/>
          <w:lang w:val="es-ES_tradnl"/>
        </w:rPr>
        <w:t>de diversa normatividad,  direcciones electrónicas</w:t>
      </w:r>
      <w:r w:rsidR="007E6704" w:rsidRPr="00C45626">
        <w:rPr>
          <w:rFonts w:ascii="Palatino Linotype" w:eastAsia="MS Mincho" w:hAnsi="Palatino Linotype"/>
          <w:lang w:val="es-ES_tradnl"/>
        </w:rPr>
        <w:t xml:space="preserve">, </w:t>
      </w:r>
      <w:r w:rsidR="00EC6134" w:rsidRPr="00C45626">
        <w:rPr>
          <w:rFonts w:ascii="Palatino Linotype" w:eastAsia="MS Mincho" w:hAnsi="Palatino Linotype"/>
          <w:lang w:val="es-ES_tradnl"/>
        </w:rPr>
        <w:t>no</w:t>
      </w:r>
      <w:r w:rsidR="009C61F1" w:rsidRPr="00C45626">
        <w:rPr>
          <w:rFonts w:ascii="Palatino Linotype" w:eastAsia="MS Mincho" w:hAnsi="Palatino Linotype"/>
          <w:lang w:val="es-ES_tradnl"/>
        </w:rPr>
        <w:t xml:space="preserve"> obstante lo anterior, </w:t>
      </w:r>
      <w:r w:rsidR="00B0049C" w:rsidRPr="00C45626">
        <w:rPr>
          <w:rFonts w:ascii="Palatino Linotype" w:eastAsia="MS Mincho" w:hAnsi="Palatino Linotype"/>
          <w:lang w:val="es-ES_tradnl"/>
        </w:rPr>
        <w:t xml:space="preserve">la parte recurrente </w:t>
      </w:r>
      <w:r w:rsidRPr="00C45626">
        <w:rPr>
          <w:rFonts w:ascii="Palatino Linotype" w:eastAsia="MS Mincho" w:hAnsi="Palatino Linotype"/>
          <w:lang w:val="es-ES_tradnl"/>
        </w:rPr>
        <w:t xml:space="preserve">se inconforma e </w:t>
      </w:r>
      <w:r w:rsidRPr="00C45626">
        <w:rPr>
          <w:rFonts w:ascii="Palatino Linotype" w:eastAsia="MS Mincho" w:hAnsi="Palatino Linotype"/>
          <w:lang w:val="es-ES_tradnl"/>
        </w:rPr>
        <w:lastRenderedPageBreak/>
        <w:t>interpone el presente recurso de revisión, argumentado como raz</w:t>
      </w:r>
      <w:r w:rsidR="00B153AD" w:rsidRPr="00C45626">
        <w:rPr>
          <w:rFonts w:ascii="Palatino Linotype" w:eastAsia="MS Mincho" w:hAnsi="Palatino Linotype"/>
          <w:lang w:val="es-ES_tradnl"/>
        </w:rPr>
        <w:t xml:space="preserve">ones o motivos de inconformidad la </w:t>
      </w:r>
      <w:r w:rsidR="00A2042B" w:rsidRPr="00C45626">
        <w:rPr>
          <w:rFonts w:ascii="Palatino Linotype" w:eastAsia="MS Mincho" w:hAnsi="Palatino Linotype"/>
          <w:lang w:val="es-ES_tradnl"/>
        </w:rPr>
        <w:t xml:space="preserve">entrega de información </w:t>
      </w:r>
      <w:r w:rsidR="007E6704" w:rsidRPr="00C45626">
        <w:rPr>
          <w:rFonts w:ascii="Palatino Linotype" w:eastAsia="MS Mincho" w:hAnsi="Palatino Linotype"/>
          <w:lang w:val="es-ES_tradnl"/>
        </w:rPr>
        <w:t xml:space="preserve">incompleta y que no corresponde con lo solicitado. </w:t>
      </w:r>
      <w:r w:rsidR="00A2042B" w:rsidRPr="00C45626">
        <w:rPr>
          <w:rFonts w:ascii="Palatino Linotype" w:eastAsia="MS Mincho" w:hAnsi="Palatino Linotype"/>
          <w:lang w:val="es-ES_tradnl"/>
        </w:rPr>
        <w:t xml:space="preserve"> </w:t>
      </w:r>
    </w:p>
    <w:p w14:paraId="44EC49A6" w14:textId="77777777" w:rsidR="00B153AD" w:rsidRPr="00C45626"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3FC8DFF" w:rsidR="00D217A4" w:rsidRPr="00C45626" w:rsidRDefault="00EA0165" w:rsidP="00CC364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C45626">
        <w:rPr>
          <w:rFonts w:ascii="Palatino Linotype" w:eastAsia="MS Mincho" w:hAnsi="Palatino Linotype"/>
          <w:lang w:val="es-ES_tradnl"/>
        </w:rPr>
        <w:t xml:space="preserve">En ese sentido, el agravio del recurrente consiste en que la respuesta proporcionada por el </w:t>
      </w:r>
      <w:r w:rsidRPr="00C45626">
        <w:rPr>
          <w:rFonts w:ascii="Palatino Linotype" w:eastAsia="MS Mincho" w:hAnsi="Palatino Linotype"/>
          <w:b/>
          <w:lang w:val="es-ES_tradnl"/>
        </w:rPr>
        <w:t>SUJETO OBLIGADO</w:t>
      </w:r>
      <w:r w:rsidRPr="00C4562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C45626">
        <w:rPr>
          <w:rFonts w:ascii="Palatino Linotype" w:eastAsia="MS Mincho" w:hAnsi="Palatino Linotype"/>
          <w:lang w:val="es-ES_tradnl"/>
        </w:rPr>
        <w:t xml:space="preserve"> se deberá garantiza</w:t>
      </w:r>
      <w:r w:rsidR="00543427" w:rsidRPr="00C45626">
        <w:rPr>
          <w:rFonts w:ascii="Palatino Linotype" w:eastAsia="MS Mincho" w:hAnsi="Palatino Linotype"/>
          <w:lang w:val="es-ES_tradnl"/>
        </w:rPr>
        <w:t>r que sea</w:t>
      </w:r>
      <w:r w:rsidR="0082641D" w:rsidRPr="00C45626">
        <w:rPr>
          <w:rFonts w:ascii="Palatino Linotype" w:eastAsia="MS Mincho" w:hAnsi="Palatino Linotype"/>
          <w:lang w:val="es-ES_tradnl"/>
        </w:rPr>
        <w:t xml:space="preserve"> </w:t>
      </w:r>
      <w:r w:rsidR="007E6704" w:rsidRPr="00C45626">
        <w:rPr>
          <w:rFonts w:ascii="Palatino Linotype" w:eastAsia="MS Mincho" w:hAnsi="Palatino Linotype"/>
          <w:lang w:val="es-ES_tradnl"/>
        </w:rPr>
        <w:t xml:space="preserve">completa y congruente. </w:t>
      </w:r>
    </w:p>
    <w:p w14:paraId="35853B1F" w14:textId="77777777" w:rsidR="00D217A4" w:rsidRPr="00C45626" w:rsidRDefault="00D217A4" w:rsidP="007D7513">
      <w:pPr>
        <w:pStyle w:val="Prrafodelista"/>
        <w:spacing w:line="360" w:lineRule="auto"/>
        <w:rPr>
          <w:rFonts w:ascii="Palatino Linotype" w:eastAsia="MS Mincho" w:hAnsi="Palatino Linotype"/>
          <w:lang w:val="es-ES_tradnl"/>
        </w:rPr>
      </w:pPr>
    </w:p>
    <w:p w14:paraId="78993703" w14:textId="37458AA6" w:rsidR="002C7E93" w:rsidRPr="00C45626" w:rsidRDefault="00EA0165" w:rsidP="00CC364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C45626">
        <w:rPr>
          <w:rFonts w:ascii="Palatino Linotype" w:eastAsia="MS Mincho" w:hAnsi="Palatino Linotype"/>
          <w:lang w:val="es-ES_tradnl"/>
        </w:rPr>
        <w:t xml:space="preserve">Por lo que de este modo, el presente recurso de revisión se circunscribe a determinar si el </w:t>
      </w:r>
      <w:r w:rsidRPr="00C45626">
        <w:rPr>
          <w:rFonts w:ascii="Palatino Linotype" w:eastAsia="MS Mincho" w:hAnsi="Palatino Linotype"/>
          <w:b/>
          <w:lang w:val="es-ES_tradnl"/>
        </w:rPr>
        <w:t>SUJETO OBLIGADO</w:t>
      </w:r>
      <w:r w:rsidR="009C4F62" w:rsidRPr="00C45626">
        <w:rPr>
          <w:rFonts w:ascii="Palatino Linotype" w:eastAsia="MS Mincho" w:hAnsi="Palatino Linotype"/>
          <w:lang w:val="es-ES_tradnl"/>
        </w:rPr>
        <w:t xml:space="preserve"> con la respuesta otorgada</w:t>
      </w:r>
      <w:r w:rsidR="00562ACE" w:rsidRPr="00C45626">
        <w:rPr>
          <w:rFonts w:ascii="Palatino Linotype" w:eastAsia="MS Mincho" w:hAnsi="Palatino Linotype"/>
          <w:lang w:val="es-ES_tradnl"/>
        </w:rPr>
        <w:t xml:space="preserve">, </w:t>
      </w:r>
      <w:r w:rsidRPr="00C45626">
        <w:rPr>
          <w:rFonts w:ascii="Palatino Linotype" w:eastAsia="MS Mincho" w:hAnsi="Palatino Linotype"/>
          <w:lang w:val="es-ES_tradnl"/>
        </w:rPr>
        <w:t>vulnera el derecho de acceso a la información accionado por el particular a</w:t>
      </w:r>
      <w:r w:rsidR="005F7AD4" w:rsidRPr="00C45626">
        <w:rPr>
          <w:rFonts w:ascii="Palatino Linotype" w:eastAsia="MS Mincho" w:hAnsi="Palatino Linotype"/>
          <w:lang w:val="es-ES_tradnl"/>
        </w:rPr>
        <w:t>ctualizando la causal</w:t>
      </w:r>
      <w:r w:rsidRPr="00C45626">
        <w:rPr>
          <w:rFonts w:ascii="Palatino Linotype" w:eastAsia="MS Mincho" w:hAnsi="Palatino Linotype"/>
          <w:lang w:val="es-ES_tradnl"/>
        </w:rPr>
        <w:t xml:space="preserve"> de procedencia prevista</w:t>
      </w:r>
      <w:r w:rsidR="00650D78" w:rsidRPr="00C45626">
        <w:rPr>
          <w:rFonts w:ascii="Palatino Linotype" w:eastAsia="MS Mincho" w:hAnsi="Palatino Linotype"/>
          <w:lang w:val="es-ES_tradnl"/>
        </w:rPr>
        <w:t xml:space="preserve"> en el artículo 179 fracciones </w:t>
      </w:r>
      <w:r w:rsidR="007E6704" w:rsidRPr="00C45626">
        <w:rPr>
          <w:rFonts w:ascii="Palatino Linotype" w:eastAsia="MS Mincho" w:hAnsi="Palatino Linotype"/>
          <w:lang w:val="es-ES_tradnl"/>
        </w:rPr>
        <w:t xml:space="preserve">V y </w:t>
      </w:r>
      <w:r w:rsidR="00A2042B" w:rsidRPr="00C45626">
        <w:rPr>
          <w:rFonts w:ascii="Palatino Linotype" w:eastAsia="MS Mincho" w:hAnsi="Palatino Linotype"/>
          <w:lang w:val="es-ES_tradnl"/>
        </w:rPr>
        <w:t>V</w:t>
      </w:r>
      <w:r w:rsidR="007E6704" w:rsidRPr="00C45626">
        <w:rPr>
          <w:rFonts w:ascii="Palatino Linotype" w:eastAsia="MS Mincho" w:hAnsi="Palatino Linotype"/>
          <w:lang w:val="es-ES_tradnl"/>
        </w:rPr>
        <w:t>I</w:t>
      </w:r>
      <w:r w:rsidR="009C4F62" w:rsidRPr="00C45626">
        <w:rPr>
          <w:rStyle w:val="Refdenotaalpie"/>
          <w:rFonts w:ascii="Palatino Linotype" w:eastAsia="MS Mincho" w:hAnsi="Palatino Linotype"/>
          <w:lang w:val="es-ES_tradnl"/>
        </w:rPr>
        <w:footnoteReference w:id="1"/>
      </w:r>
      <w:r w:rsidR="00562ACE" w:rsidRPr="00C45626">
        <w:rPr>
          <w:rFonts w:ascii="Palatino Linotype" w:eastAsia="MS Mincho" w:hAnsi="Palatino Linotype"/>
          <w:lang w:val="es-ES_tradnl"/>
        </w:rPr>
        <w:t xml:space="preserve"> </w:t>
      </w:r>
      <w:r w:rsidRPr="00C45626">
        <w:rPr>
          <w:rFonts w:ascii="Palatino Linotype" w:eastAsia="MS Mincho" w:hAnsi="Palatino Linotype"/>
          <w:lang w:val="es-ES_tradnl"/>
        </w:rPr>
        <w:t>de la Ley de Transparencia y Acceso a la Información del Estado de México y Municipios.</w:t>
      </w:r>
    </w:p>
    <w:p w14:paraId="5162A17C" w14:textId="71549F44" w:rsidR="00286C23" w:rsidRPr="00C45626" w:rsidRDefault="009A1E3F" w:rsidP="007D7513">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105013151"/>
      <w:bookmarkStart w:id="49" w:name="_Toc459174366"/>
      <w:bookmarkStart w:id="50" w:name="_Toc459659884"/>
      <w:bookmarkStart w:id="51" w:name="_Toc461687280"/>
      <w:bookmarkStart w:id="52" w:name="_Toc462771051"/>
      <w:bookmarkStart w:id="53" w:name="_Toc464139201"/>
      <w:r w:rsidRPr="00C45626">
        <w:rPr>
          <w:rFonts w:ascii="Palatino Linotype" w:hAnsi="Palatino Linotype"/>
          <w:b/>
          <w:color w:val="000000" w:themeColor="text1"/>
          <w:sz w:val="24"/>
          <w:szCs w:val="24"/>
          <w:lang w:val="es-MX" w:eastAsia="en-US"/>
        </w:rPr>
        <w:t>CUARTO</w:t>
      </w:r>
      <w:r w:rsidR="00F041CF" w:rsidRPr="00C45626">
        <w:rPr>
          <w:rFonts w:ascii="Palatino Linotype" w:hAnsi="Palatino Linotype"/>
          <w:b/>
          <w:color w:val="000000" w:themeColor="text1"/>
          <w:sz w:val="24"/>
          <w:szCs w:val="24"/>
          <w:lang w:val="es-MX" w:eastAsia="en-US"/>
        </w:rPr>
        <w:t>. Estudio y r</w:t>
      </w:r>
      <w:r w:rsidR="00EA0165" w:rsidRPr="00C45626">
        <w:rPr>
          <w:rFonts w:ascii="Palatino Linotype" w:hAnsi="Palatino Linotype"/>
          <w:b/>
          <w:color w:val="000000" w:themeColor="text1"/>
          <w:sz w:val="24"/>
          <w:szCs w:val="24"/>
          <w:lang w:val="es-MX" w:eastAsia="en-US"/>
        </w:rPr>
        <w:t>esolución del asunto.</w:t>
      </w:r>
      <w:bookmarkEnd w:id="47"/>
      <w:bookmarkEnd w:id="48"/>
    </w:p>
    <w:p w14:paraId="38D9F738" w14:textId="2A255571" w:rsidR="002C7E93" w:rsidRPr="00C45626" w:rsidRDefault="002C7E93" w:rsidP="007D7513">
      <w:pPr>
        <w:spacing w:line="360" w:lineRule="auto"/>
        <w:rPr>
          <w:rFonts w:ascii="Palatino Linotype" w:hAnsi="Palatino Linotype"/>
          <w:lang w:val="es-MX" w:eastAsia="en-US"/>
        </w:rPr>
      </w:pPr>
    </w:p>
    <w:p w14:paraId="4C48BE97" w14:textId="1C92B791" w:rsidR="003523DE" w:rsidRPr="00C45626" w:rsidRDefault="00D91C33" w:rsidP="00CC364E">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54" w:name="_Toc105013152"/>
      <w:r w:rsidRPr="00C45626">
        <w:rPr>
          <w:rFonts w:ascii="Palatino Linotype" w:hAnsi="Palatino Linotype"/>
          <w:b/>
          <w:color w:val="auto"/>
          <w:sz w:val="24"/>
          <w:szCs w:val="24"/>
          <w:lang w:val="es-MX" w:eastAsia="en-US"/>
        </w:rPr>
        <w:t>De la solicitud de información y la respuesta otorgada.</w:t>
      </w:r>
      <w:bookmarkEnd w:id="54"/>
      <w:r w:rsidRPr="00C45626">
        <w:rPr>
          <w:rFonts w:ascii="Palatino Linotype" w:hAnsi="Palatino Linotype"/>
          <w:b/>
          <w:color w:val="auto"/>
          <w:sz w:val="24"/>
          <w:szCs w:val="24"/>
          <w:lang w:val="es-MX" w:eastAsia="en-US"/>
        </w:rPr>
        <w:t xml:space="preserve"> </w:t>
      </w:r>
    </w:p>
    <w:p w14:paraId="4BF3BCA3" w14:textId="77777777" w:rsidR="00D91C33" w:rsidRPr="00C45626"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C45626" w:rsidRDefault="00EA0165" w:rsidP="00CC364E">
      <w:pPr>
        <w:pStyle w:val="Prrafodelista"/>
        <w:numPr>
          <w:ilvl w:val="0"/>
          <w:numId w:val="8"/>
        </w:numPr>
        <w:spacing w:before="240" w:after="360" w:line="360" w:lineRule="auto"/>
        <w:ind w:left="0" w:firstLine="0"/>
        <w:contextualSpacing/>
        <w:jc w:val="both"/>
        <w:rPr>
          <w:rFonts w:ascii="Palatino Linotype" w:eastAsia="MS Mincho" w:hAnsi="Palatino Linotype" w:cs="Arial"/>
          <w:i/>
          <w:lang w:val="es-MX"/>
        </w:rPr>
      </w:pPr>
      <w:r w:rsidRPr="00C4562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C45626">
        <w:rPr>
          <w:rFonts w:ascii="Palatino Linotype" w:eastAsia="Calibri" w:hAnsi="Palatino Linotype" w:cs="Arial"/>
          <w:b/>
          <w:lang w:eastAsia="en-US"/>
        </w:rPr>
        <w:t>Ley de Transparencia y Acceso a la Información Pública del Estado de México y Municipios</w:t>
      </w:r>
      <w:r w:rsidR="006C693D" w:rsidRPr="00C45626">
        <w:rPr>
          <w:rFonts w:ascii="Palatino Linotype" w:hAnsi="Palatino Linotype" w:cs="Arial"/>
          <w:lang w:eastAsia="es-MX"/>
        </w:rPr>
        <w:t>.</w:t>
      </w:r>
    </w:p>
    <w:p w14:paraId="6DCC758D" w14:textId="77777777" w:rsidR="00D91C33" w:rsidRPr="00C45626"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7C14EED6" w14:textId="50968212" w:rsidR="007A583C" w:rsidRPr="00C45626" w:rsidRDefault="00D91C33" w:rsidP="00CC364E">
      <w:pPr>
        <w:pStyle w:val="Prrafodelista"/>
        <w:numPr>
          <w:ilvl w:val="0"/>
          <w:numId w:val="8"/>
        </w:numPr>
        <w:spacing w:before="240" w:after="360" w:line="360" w:lineRule="auto"/>
        <w:ind w:left="0" w:firstLine="0"/>
        <w:contextualSpacing/>
        <w:jc w:val="both"/>
        <w:rPr>
          <w:rFonts w:ascii="Palatino Linotype" w:eastAsia="MS Mincho" w:hAnsi="Palatino Linotype" w:cs="Arial"/>
          <w:i/>
          <w:lang w:val="es-MX"/>
        </w:rPr>
      </w:pPr>
      <w:r w:rsidRPr="00C45626">
        <w:rPr>
          <w:rFonts w:ascii="Palatino Linotype" w:eastAsia="MS Mincho" w:hAnsi="Palatino Linotype" w:cs="Arial"/>
          <w:lang w:val="es-MX"/>
        </w:rPr>
        <w:t xml:space="preserve">Así, de la lectura a la solicitud de información se observa </w:t>
      </w:r>
      <w:r w:rsidR="007E6704" w:rsidRPr="00C45626">
        <w:rPr>
          <w:rFonts w:ascii="Palatino Linotype" w:eastAsia="MS Mincho" w:hAnsi="Palatino Linotype" w:cs="Arial"/>
          <w:lang w:val="es-MX"/>
        </w:rPr>
        <w:t>que el particular requirió al</w:t>
      </w:r>
      <w:r w:rsidR="00723404" w:rsidRPr="00C45626">
        <w:rPr>
          <w:rFonts w:ascii="Palatino Linotype" w:eastAsia="MS Mincho" w:hAnsi="Palatino Linotype" w:cs="Arial"/>
          <w:lang w:val="es-MX"/>
        </w:rPr>
        <w:t xml:space="preserve"> </w:t>
      </w:r>
      <w:r w:rsidR="00723404" w:rsidRPr="00C45626">
        <w:rPr>
          <w:rFonts w:ascii="Palatino Linotype" w:eastAsia="MS Mincho" w:hAnsi="Palatino Linotype" w:cs="Arial"/>
          <w:b/>
          <w:bCs/>
        </w:rPr>
        <w:t>Tribunal de Justicia Administrativa del Estado de México</w:t>
      </w:r>
      <w:r w:rsidR="007E6704" w:rsidRPr="00C45626">
        <w:rPr>
          <w:rFonts w:ascii="Palatino Linotype" w:eastAsia="MS Mincho" w:hAnsi="Palatino Linotype" w:cs="Arial"/>
          <w:lang w:val="es-MX"/>
        </w:rPr>
        <w:t xml:space="preserve"> </w:t>
      </w:r>
      <w:r w:rsidRPr="00C45626">
        <w:rPr>
          <w:rFonts w:ascii="Palatino Linotype" w:eastAsia="MS Mincho" w:hAnsi="Palatino Linotype" w:cs="Arial"/>
          <w:lang w:val="es-MX"/>
        </w:rPr>
        <w:t xml:space="preserve">acceder a </w:t>
      </w:r>
      <w:r w:rsidR="004130B1" w:rsidRPr="00C45626">
        <w:rPr>
          <w:rFonts w:ascii="Palatino Linotype" w:eastAsia="MS Mincho" w:hAnsi="Palatino Linotype" w:cs="Arial"/>
          <w:lang w:val="es-MX"/>
        </w:rPr>
        <w:t xml:space="preserve">diversa </w:t>
      </w:r>
      <w:r w:rsidRPr="00C45626">
        <w:rPr>
          <w:rFonts w:ascii="Palatino Linotype" w:eastAsia="MS Mincho" w:hAnsi="Palatino Linotype" w:cs="Arial"/>
          <w:lang w:val="es-MX"/>
        </w:rPr>
        <w:t xml:space="preserve">información relacionada </w:t>
      </w:r>
      <w:r w:rsidR="00104ECA" w:rsidRPr="00C45626">
        <w:rPr>
          <w:rFonts w:ascii="Palatino Linotype" w:eastAsia="MS Mincho" w:hAnsi="Palatino Linotype" w:cs="Arial"/>
          <w:lang w:val="es-MX"/>
        </w:rPr>
        <w:t>con</w:t>
      </w:r>
      <w:r w:rsidR="00691811" w:rsidRPr="00C45626">
        <w:rPr>
          <w:rFonts w:ascii="Palatino Linotype" w:eastAsia="MS Mincho" w:hAnsi="Palatino Linotype" w:cs="Arial"/>
          <w:lang w:val="es-MX"/>
        </w:rPr>
        <w:t xml:space="preserve"> </w:t>
      </w:r>
      <w:r w:rsidR="004130B1" w:rsidRPr="00C45626">
        <w:rPr>
          <w:rFonts w:ascii="Palatino Linotype" w:eastAsia="MS Mincho" w:hAnsi="Palatino Linotype" w:cs="Arial"/>
          <w:lang w:val="es-MX"/>
        </w:rPr>
        <w:t>el tratamiento de datos personales</w:t>
      </w:r>
      <w:r w:rsidR="00691811" w:rsidRPr="00C45626">
        <w:rPr>
          <w:rFonts w:ascii="Palatino Linotype" w:eastAsia="MS Mincho" w:hAnsi="Palatino Linotype" w:cs="Arial"/>
          <w:lang w:val="es-MX"/>
        </w:rPr>
        <w:t xml:space="preserve">, </w:t>
      </w:r>
      <w:r w:rsidR="00B33A9A" w:rsidRPr="00C45626">
        <w:rPr>
          <w:rFonts w:ascii="Palatino Linotype" w:eastAsia="MS Mincho" w:hAnsi="Palatino Linotype" w:cs="Arial"/>
          <w:lang w:val="es-MX"/>
        </w:rPr>
        <w:t xml:space="preserve">por lo que </w:t>
      </w:r>
      <w:r w:rsidR="00691811" w:rsidRPr="00C45626">
        <w:rPr>
          <w:rFonts w:ascii="Palatino Linotype" w:eastAsia="Calibri" w:hAnsi="Palatino Linotype" w:cs="Arial"/>
        </w:rPr>
        <w:t xml:space="preserve">por cuestiones de claridad y transparencia en la decisión, </w:t>
      </w:r>
      <w:r w:rsidR="00691811" w:rsidRPr="00C45626">
        <w:rPr>
          <w:rFonts w:ascii="Palatino Linotype" w:eastAsia="Calibri" w:hAnsi="Palatino Linotype"/>
          <w:color w:val="000000"/>
        </w:rPr>
        <w:t>se estima pertinente elaborar un cuadro de análisis, mismo que se inserta a continuación:</w:t>
      </w:r>
    </w:p>
    <w:p w14:paraId="57E3A5B6" w14:textId="29DAABF0" w:rsidR="002C7E93" w:rsidRPr="00C45626" w:rsidRDefault="002C7E93"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bookmarkStart w:id="55" w:name="_Toc84264165"/>
    </w:p>
    <w:p w14:paraId="7AA0954A" w14:textId="77777777" w:rsidR="00EB338E" w:rsidRPr="00C45626" w:rsidRDefault="00EB338E" w:rsidP="00970DE3">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bl>
      <w:tblPr>
        <w:tblStyle w:val="Tablaconcuadrcula"/>
        <w:tblW w:w="9209" w:type="dxa"/>
        <w:tblLayout w:type="fixed"/>
        <w:tblLook w:val="04A0" w:firstRow="1" w:lastRow="0" w:firstColumn="1" w:lastColumn="0" w:noHBand="0" w:noVBand="1"/>
      </w:tblPr>
      <w:tblGrid>
        <w:gridCol w:w="628"/>
        <w:gridCol w:w="1102"/>
        <w:gridCol w:w="2518"/>
        <w:gridCol w:w="3711"/>
        <w:gridCol w:w="1250"/>
      </w:tblGrid>
      <w:tr w:rsidR="00543CF7" w:rsidRPr="00C45626" w14:paraId="78AE4820" w14:textId="77777777" w:rsidTr="00495A80">
        <w:trPr>
          <w:trHeight w:val="2249"/>
        </w:trPr>
        <w:tc>
          <w:tcPr>
            <w:tcW w:w="9209" w:type="dxa"/>
            <w:gridSpan w:val="5"/>
          </w:tcPr>
          <w:p w14:paraId="0BE13948" w14:textId="77777777" w:rsidR="00543CF7" w:rsidRPr="00C45626" w:rsidRDefault="00543CF7" w:rsidP="00543CF7">
            <w:pPr>
              <w:spacing w:line="360" w:lineRule="auto"/>
              <w:jc w:val="center"/>
              <w:rPr>
                <w:rFonts w:ascii="Palatino Linotype" w:eastAsia="Calibri" w:hAnsi="Palatino Linotype"/>
                <w:b/>
                <w:bCs/>
                <w:lang w:val="es-MX" w:eastAsia="en-US"/>
              </w:rPr>
            </w:pPr>
            <w:r w:rsidRPr="00C45626">
              <w:rPr>
                <w:rFonts w:ascii="Palatino Linotype" w:eastAsia="Calibri" w:hAnsi="Palatino Linotype"/>
                <w:b/>
                <w:bCs/>
                <w:lang w:val="es-MX" w:eastAsia="en-US"/>
              </w:rPr>
              <w:t>Solicitud:</w:t>
            </w:r>
          </w:p>
          <w:p w14:paraId="5A5F3986" w14:textId="77777777" w:rsidR="00543CF7" w:rsidRPr="00C45626" w:rsidRDefault="00543CF7" w:rsidP="00543CF7">
            <w:pPr>
              <w:spacing w:line="360" w:lineRule="auto"/>
              <w:jc w:val="center"/>
              <w:rPr>
                <w:rFonts w:ascii="Palatino Linotype" w:hAnsi="Palatino Linotype"/>
                <w:b/>
                <w:bCs/>
                <w:lang w:eastAsia="en-US"/>
              </w:rPr>
            </w:pPr>
            <w:r w:rsidRPr="00C45626">
              <w:rPr>
                <w:rFonts w:ascii="Palatino Linotype" w:eastAsia="Calibri" w:hAnsi="Palatino Linotype"/>
                <w:b/>
                <w:bCs/>
                <w:lang w:val="es-MX" w:eastAsia="en-US"/>
              </w:rPr>
              <w:t xml:space="preserve"> </w:t>
            </w:r>
            <w:r w:rsidRPr="00C45626">
              <w:rPr>
                <w:rFonts w:ascii="Palatino Linotype" w:hAnsi="Palatino Linotype"/>
                <w:b/>
                <w:bCs/>
                <w:color w:val="FF0000"/>
              </w:rPr>
              <w:t xml:space="preserve">  </w:t>
            </w:r>
            <w:r w:rsidRPr="00C45626">
              <w:rPr>
                <w:rFonts w:ascii="Palatino Linotype" w:hAnsi="Palatino Linotype"/>
                <w:lang w:eastAsia="en-US"/>
              </w:rPr>
              <w:t xml:space="preserve"> </w:t>
            </w:r>
            <w:r w:rsidRPr="00C45626">
              <w:rPr>
                <w:rFonts w:ascii="Palatino Linotype" w:hAnsi="Palatino Linotype"/>
                <w:b/>
                <w:bCs/>
                <w:lang w:eastAsia="en-US"/>
              </w:rPr>
              <w:t>00079/TRIJAEM/IP/2021</w:t>
            </w:r>
          </w:p>
          <w:p w14:paraId="06A4BB33" w14:textId="122EB6A1" w:rsidR="00543CF7" w:rsidRPr="00C45626" w:rsidRDefault="00543CF7" w:rsidP="00543CF7">
            <w:pPr>
              <w:tabs>
                <w:tab w:val="left" w:pos="0"/>
                <w:tab w:val="left" w:pos="426"/>
              </w:tabs>
              <w:spacing w:before="240" w:after="240"/>
              <w:ind w:right="49"/>
              <w:contextualSpacing/>
              <w:jc w:val="both"/>
              <w:rPr>
                <w:rFonts w:ascii="Palatino Linotype" w:eastAsia="MS Mincho" w:hAnsi="Palatino Linotype" w:cs="Arial"/>
                <w:lang w:val="es-MX"/>
              </w:rPr>
            </w:pPr>
            <w:r w:rsidRPr="00C45626">
              <w:rPr>
                <w:rFonts w:ascii="Palatino Linotype" w:hAnsi="Palatino Linotype"/>
                <w:bCs/>
                <w:lang w:eastAsia="en-US"/>
              </w:rPr>
              <w:t>“En cumplimiento al artículo 33 de la Ley General de Protección de Datos Personales en Posesión de Sujetos Obligados le solicito los documentos donde consten o en los cuales se pudiera obtener lo siguiente:” (Sic)</w:t>
            </w:r>
          </w:p>
        </w:tc>
      </w:tr>
      <w:tr w:rsidR="00495A80" w:rsidRPr="00C45626" w14:paraId="7AE5E107" w14:textId="77777777" w:rsidTr="00495A80">
        <w:trPr>
          <w:trHeight w:val="1353"/>
        </w:trPr>
        <w:tc>
          <w:tcPr>
            <w:tcW w:w="628" w:type="dxa"/>
            <w:shd w:val="clear" w:color="auto" w:fill="BFBFBF" w:themeFill="background1" w:themeFillShade="BF"/>
          </w:tcPr>
          <w:p w14:paraId="5111E118" w14:textId="5108C78A"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lang w:val="es-MX"/>
              </w:rPr>
            </w:pPr>
            <w:r w:rsidRPr="00C45626">
              <w:rPr>
                <w:rFonts w:ascii="Palatino Linotype" w:eastAsia="MS Mincho" w:hAnsi="Palatino Linotype" w:cs="Arial"/>
                <w:lang w:val="es-MX"/>
              </w:rPr>
              <w:t>Inciso</w:t>
            </w:r>
          </w:p>
        </w:tc>
        <w:tc>
          <w:tcPr>
            <w:tcW w:w="1102" w:type="dxa"/>
            <w:shd w:val="clear" w:color="auto" w:fill="BFBFBF" w:themeFill="background1" w:themeFillShade="BF"/>
          </w:tcPr>
          <w:p w14:paraId="35F53E18" w14:textId="2D10A1D9" w:rsidR="00543CF7" w:rsidRPr="00C45626"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C45626">
              <w:rPr>
                <w:rFonts w:ascii="Palatino Linotype" w:eastAsia="MS Mincho" w:hAnsi="Palatino Linotype" w:cs="Arial"/>
                <w:lang w:val="es-MX"/>
              </w:rPr>
              <w:t>Información Requerida</w:t>
            </w:r>
          </w:p>
        </w:tc>
        <w:tc>
          <w:tcPr>
            <w:tcW w:w="2518" w:type="dxa"/>
            <w:shd w:val="clear" w:color="auto" w:fill="BFBFBF" w:themeFill="background1" w:themeFillShade="BF"/>
          </w:tcPr>
          <w:p w14:paraId="1C5BF989" w14:textId="63852929" w:rsidR="00543CF7" w:rsidRPr="00C45626"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C45626">
              <w:rPr>
                <w:rFonts w:ascii="Palatino Linotype" w:eastAsia="MS Mincho" w:hAnsi="Palatino Linotype" w:cs="Arial"/>
                <w:lang w:val="es-MX"/>
              </w:rPr>
              <w:t>Información Entregada en Respuesta</w:t>
            </w:r>
          </w:p>
        </w:tc>
        <w:tc>
          <w:tcPr>
            <w:tcW w:w="3711" w:type="dxa"/>
            <w:shd w:val="clear" w:color="auto" w:fill="BFBFBF" w:themeFill="background1" w:themeFillShade="BF"/>
          </w:tcPr>
          <w:p w14:paraId="0F80B5F1" w14:textId="62C2425A" w:rsidR="00543CF7" w:rsidRPr="00C45626"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C45626">
              <w:rPr>
                <w:rFonts w:ascii="Palatino Linotype" w:eastAsia="MS Mincho" w:hAnsi="Palatino Linotype" w:cs="Arial"/>
                <w:lang w:val="es-MX"/>
              </w:rPr>
              <w:t>Información entregada en calidad de informe justificado.</w:t>
            </w:r>
          </w:p>
        </w:tc>
        <w:tc>
          <w:tcPr>
            <w:tcW w:w="1250" w:type="dxa"/>
            <w:shd w:val="clear" w:color="auto" w:fill="BFBFBF" w:themeFill="background1" w:themeFillShade="BF"/>
          </w:tcPr>
          <w:p w14:paraId="2C1A8417" w14:textId="0C11C9E4" w:rsidR="00543CF7" w:rsidRPr="00C45626"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C45626">
              <w:rPr>
                <w:rFonts w:ascii="Palatino Linotype" w:eastAsia="MS Mincho" w:hAnsi="Palatino Linotype" w:cs="Arial"/>
                <w:lang w:val="es-MX"/>
              </w:rPr>
              <w:t>¿Satisface la solicitud?</w:t>
            </w:r>
          </w:p>
          <w:p w14:paraId="57D0A8BB" w14:textId="4AB20FF2"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lang w:val="es-MX"/>
              </w:rPr>
            </w:pPr>
          </w:p>
        </w:tc>
      </w:tr>
      <w:tr w:rsidR="00543CF7" w:rsidRPr="00C45626" w14:paraId="4F4E3C1A" w14:textId="77777777" w:rsidTr="00495A80">
        <w:tc>
          <w:tcPr>
            <w:tcW w:w="628" w:type="dxa"/>
          </w:tcPr>
          <w:p w14:paraId="388B3A83" w14:textId="2E8FAADE"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sz w:val="20"/>
                <w:szCs w:val="20"/>
                <w:lang w:val="es-MX"/>
              </w:rPr>
            </w:pPr>
            <w:r w:rsidRPr="00C45626">
              <w:rPr>
                <w:rFonts w:ascii="Palatino Linotype" w:eastAsia="MS Mincho" w:hAnsi="Palatino Linotype" w:cs="Arial"/>
                <w:sz w:val="20"/>
                <w:szCs w:val="20"/>
                <w:lang w:val="es-MX"/>
              </w:rPr>
              <w:t>A</w:t>
            </w:r>
          </w:p>
        </w:tc>
        <w:tc>
          <w:tcPr>
            <w:tcW w:w="1102" w:type="dxa"/>
          </w:tcPr>
          <w:p w14:paraId="50508915" w14:textId="742D2601"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2"/>
                <w:szCs w:val="22"/>
                <w:lang w:val="es-MX" w:eastAsia="en-US"/>
              </w:rPr>
              <w:t>“La (s) política (s) gestión y tratamiento de los datos personales” (Sic)</w:t>
            </w:r>
          </w:p>
        </w:tc>
        <w:tc>
          <w:tcPr>
            <w:tcW w:w="2518" w:type="dxa"/>
          </w:tcPr>
          <w:p w14:paraId="434BC0EE"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val="es-ES_tradnl" w:eastAsia="en-US"/>
              </w:rPr>
            </w:pPr>
            <w:r w:rsidRPr="00C45626">
              <w:rPr>
                <w:rFonts w:ascii="Palatino Linotype" w:eastAsia="MS Mincho" w:hAnsi="Palatino Linotype"/>
                <w:i/>
                <w:color w:val="000000"/>
                <w:sz w:val="20"/>
                <w:szCs w:val="20"/>
                <w:lang w:val="es-ES_tradnl" w:eastAsia="en-US"/>
              </w:rPr>
              <w:t xml:space="preserve"> “El tribunal de Justicia Administrativa no cuenta con políticas internas, debido a que las políticas,</w:t>
            </w:r>
          </w:p>
          <w:p w14:paraId="4C354ECA"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val="es-ES_tradnl" w:eastAsia="en-US"/>
              </w:rPr>
            </w:pPr>
            <w:r w:rsidRPr="00C45626">
              <w:rPr>
                <w:rFonts w:ascii="Palatino Linotype" w:eastAsia="MS Mincho" w:hAnsi="Palatino Linotype"/>
                <w:i/>
                <w:color w:val="000000"/>
                <w:sz w:val="20"/>
                <w:szCs w:val="20"/>
                <w:lang w:val="es-ES_tradnl" w:eastAsia="en-US"/>
              </w:rPr>
              <w:t>gestión y tratamiento de datos personales se realizan de acuerdo a la Ley General de Protección de</w:t>
            </w:r>
          </w:p>
          <w:p w14:paraId="341C7D8A"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val="es-ES_tradnl" w:eastAsia="en-US"/>
              </w:rPr>
            </w:pPr>
            <w:r w:rsidRPr="00C45626">
              <w:rPr>
                <w:rFonts w:ascii="Palatino Linotype" w:eastAsia="MS Mincho" w:hAnsi="Palatino Linotype"/>
                <w:i/>
                <w:color w:val="000000"/>
                <w:sz w:val="20"/>
                <w:szCs w:val="20"/>
                <w:lang w:val="es-ES_tradnl" w:eastAsia="en-US"/>
              </w:rPr>
              <w:t>Datos Personales en Posesión de Sujetos Obligados y la Ley de Protección de Datos Personales en</w:t>
            </w:r>
          </w:p>
          <w:p w14:paraId="4408EF06"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val="es-ES_tradnl" w:eastAsia="en-US"/>
              </w:rPr>
            </w:pPr>
            <w:r w:rsidRPr="00C45626">
              <w:rPr>
                <w:rFonts w:ascii="Palatino Linotype" w:eastAsia="MS Mincho" w:hAnsi="Palatino Linotype"/>
                <w:i/>
                <w:color w:val="000000"/>
                <w:sz w:val="20"/>
                <w:szCs w:val="20"/>
                <w:lang w:val="es-ES_tradnl" w:eastAsia="en-US"/>
              </w:rPr>
              <w:t>Posesión de Sujetos Obligados del Estado de México y Municipios.</w:t>
            </w:r>
          </w:p>
          <w:p w14:paraId="25C6957E"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En cuanto a la gestión la Ley General de Protección de Datos Personales en Posesión de los Sujetos Obligados en; referido al capítulo segundo de esta ley establece en el artículo 34 lo siguiente: </w:t>
            </w:r>
          </w:p>
          <w:p w14:paraId="4E61D438"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p>
          <w:p w14:paraId="1A175332"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Las acciones relacionadas con las medidas de seguridad para el tratamiento de los datos personales deberán estar documentadas y contenidas en un sistema de gestión.</w:t>
            </w:r>
          </w:p>
          <w:p w14:paraId="0BDF5965"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que le resulten aplicables a la materia. </w:t>
            </w:r>
          </w:p>
          <w:p w14:paraId="12751BF6"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p>
          <w:p w14:paraId="31BE5C8C"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En la ley de Protección de Datos Personales en Posesión de Sujetos Obligados del Estado de México y Municipios, Capítulo tercero, de los sistemas y el tratamiento de datos personales, establece qué: La integración, tratamiento y tutela de los sistemas de datos personales se regirán por las disposiciones siguientes: </w:t>
            </w:r>
          </w:p>
          <w:p w14:paraId="6EF138D4"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p>
          <w:p w14:paraId="371E1247"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 Cada sujeto obligado deberá informar al Instituto sobre la creación, modificación o supresión de sus sistemas de datos personales. </w:t>
            </w:r>
          </w:p>
          <w:p w14:paraId="17B011FA"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II. En caso de creación o modificación de sistemas de datos personales, se incluirá en el registro, los datos previstos la presente Ley. </w:t>
            </w:r>
          </w:p>
          <w:p w14:paraId="58AE51AD" w14:textId="77777777"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III. En las disposiciones que se dicten para la supresión de los sistemas de datos personales, se establecerá el destino de los datos contenidos en los mismos o, en su caso, las previsiones que se adopten para su destrucción. </w:t>
            </w:r>
          </w:p>
          <w:p w14:paraId="6A93DC40" w14:textId="45756CF9" w:rsidR="00495A80" w:rsidRPr="00C45626" w:rsidRDefault="00495A80" w:rsidP="00495A80">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IV. De la destrucción de los datos personales podrán ser excluidos aquellos que, con finalidades estadísticas o históricas, sean previamente sometidos al procedimiento de disociación. El registro de Sistemas de Datos Personales deberá realizarse a más tardar dentro de los seis meses siguientes al inicio del tratamiento por parte del responsable. (…)</w:t>
            </w:r>
            <w:r w:rsidRPr="00C45626">
              <w:rPr>
                <w:rFonts w:ascii="Palatino Linotype" w:eastAsia="MS Mincho" w:hAnsi="Palatino Linotype"/>
                <w:i/>
                <w:color w:val="000000"/>
                <w:sz w:val="20"/>
                <w:szCs w:val="20"/>
                <w:lang w:val="es-ES_tradnl" w:eastAsia="en-US"/>
              </w:rPr>
              <w:t>” (Sic)</w:t>
            </w:r>
          </w:p>
          <w:p w14:paraId="3CA7CE22" w14:textId="77777777"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3711" w:type="dxa"/>
          </w:tcPr>
          <w:p w14:paraId="3D90A02C"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w:t>
            </w:r>
            <w:r w:rsidRPr="00C45626">
              <w:rPr>
                <w:rFonts w:ascii="Palatino Linotype" w:hAnsi="Palatino Linotype"/>
                <w:i/>
                <w:sz w:val="20"/>
                <w:szCs w:val="20"/>
              </w:rPr>
              <w:t xml:space="preserve"> </w:t>
            </w:r>
            <w:r w:rsidRPr="00C45626">
              <w:rPr>
                <w:rFonts w:ascii="Palatino Linotype" w:eastAsia="Calibri" w:hAnsi="Palatino Linotype"/>
                <w:i/>
                <w:sz w:val="20"/>
                <w:szCs w:val="20"/>
              </w:rPr>
              <w:t>Este Tribunal en su carácter de sujeto obligado, se guía en el proceso de toma de decisiones y en la actuación de los servidores públicos al ejecutar lo dispuesto en las siguientes disposiciones:</w:t>
            </w:r>
          </w:p>
          <w:p w14:paraId="705D9FFB"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 xml:space="preserve"> -Ley General de Protección de Datos Personales en Posesión de Sujetos Obligados visible en el siguiente enlace: </w:t>
            </w:r>
          </w:p>
          <w:p w14:paraId="52CF64E1" w14:textId="77777777" w:rsidR="00495A80" w:rsidRPr="00C45626" w:rsidRDefault="00D8727A" w:rsidP="00495A80">
            <w:pPr>
              <w:ind w:left="28" w:hanging="28"/>
              <w:jc w:val="both"/>
              <w:rPr>
                <w:rFonts w:ascii="Palatino Linotype" w:eastAsia="Calibri" w:hAnsi="Palatino Linotype"/>
                <w:i/>
                <w:sz w:val="20"/>
                <w:szCs w:val="20"/>
              </w:rPr>
            </w:pPr>
            <w:hyperlink r:id="rId15" w:history="1">
              <w:r w:rsidR="00495A80" w:rsidRPr="00C45626">
                <w:rPr>
                  <w:rFonts w:ascii="Palatino Linotype" w:eastAsia="Calibri" w:hAnsi="Palatino Linotype"/>
                  <w:i/>
                  <w:color w:val="0000FF"/>
                  <w:sz w:val="20"/>
                  <w:szCs w:val="20"/>
                  <w:u w:val="single"/>
                </w:rPr>
                <w:t>http://www.diputados.gob.mx/LeyesBiblio/pdf/LGPDPPSO.pdf</w:t>
              </w:r>
            </w:hyperlink>
            <w:r w:rsidR="00495A80" w:rsidRPr="00C45626">
              <w:rPr>
                <w:rFonts w:ascii="Palatino Linotype" w:eastAsia="Calibri" w:hAnsi="Palatino Linotype"/>
                <w:i/>
                <w:sz w:val="20"/>
                <w:szCs w:val="20"/>
              </w:rPr>
              <w:t xml:space="preserve"> </w:t>
            </w:r>
          </w:p>
          <w:p w14:paraId="795DFFF3" w14:textId="77777777" w:rsidR="00495A80" w:rsidRPr="00C45626" w:rsidRDefault="00495A80" w:rsidP="00495A80">
            <w:pPr>
              <w:ind w:left="28" w:hanging="28"/>
              <w:jc w:val="both"/>
              <w:rPr>
                <w:rFonts w:ascii="Palatino Linotype" w:eastAsia="Calibri" w:hAnsi="Palatino Linotype"/>
                <w:i/>
                <w:sz w:val="20"/>
                <w:szCs w:val="20"/>
              </w:rPr>
            </w:pPr>
          </w:p>
          <w:p w14:paraId="263102EB"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-Ley de Protección de Datos Personales en Posesión de Sujetos Obligados del Estado de México y Municipios visible en el siguiente enlace:</w:t>
            </w:r>
          </w:p>
          <w:p w14:paraId="4149ABBE"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 xml:space="preserve"> </w:t>
            </w:r>
            <w:hyperlink r:id="rId16" w:history="1">
              <w:r w:rsidRPr="00C45626">
                <w:rPr>
                  <w:rFonts w:ascii="Palatino Linotype" w:eastAsia="Calibri" w:hAnsi="Palatino Linotype"/>
                  <w:i/>
                  <w:color w:val="0000FF"/>
                  <w:sz w:val="20"/>
                  <w:szCs w:val="20"/>
                  <w:u w:val="single"/>
                </w:rPr>
                <w:t>http://legislacion.edomex.gob.mx/sites/legislacion.edomex.gob.mx/files/files/pdf/ley/vig/leyvig244.pdf</w:t>
              </w:r>
            </w:hyperlink>
            <w:r w:rsidRPr="00C45626">
              <w:rPr>
                <w:rFonts w:ascii="Palatino Linotype" w:eastAsia="Calibri" w:hAnsi="Palatino Linotype"/>
                <w:i/>
                <w:sz w:val="20"/>
                <w:szCs w:val="20"/>
              </w:rPr>
              <w:t xml:space="preserve"> </w:t>
            </w:r>
          </w:p>
          <w:p w14:paraId="424E5E9B" w14:textId="77777777" w:rsidR="00495A80" w:rsidRPr="00C45626" w:rsidRDefault="00495A80" w:rsidP="00495A80">
            <w:pPr>
              <w:ind w:left="28" w:hanging="28"/>
              <w:jc w:val="both"/>
              <w:rPr>
                <w:rFonts w:ascii="Palatino Linotype" w:eastAsia="Calibri" w:hAnsi="Palatino Linotype"/>
                <w:i/>
                <w:sz w:val="20"/>
                <w:szCs w:val="20"/>
              </w:rPr>
            </w:pPr>
          </w:p>
          <w:p w14:paraId="53903E31"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 xml:space="preserve">-ACUERDO mediante el cual se aprueban los Lineamientos Generales de Protección de Datos Personales para el Sector Público. </w:t>
            </w:r>
          </w:p>
          <w:p w14:paraId="5FAECE7E" w14:textId="77777777" w:rsidR="00495A80" w:rsidRPr="00C45626" w:rsidRDefault="00495A80" w:rsidP="00495A80">
            <w:pPr>
              <w:ind w:left="28" w:hanging="28"/>
              <w:jc w:val="both"/>
              <w:rPr>
                <w:rFonts w:ascii="Palatino Linotype" w:eastAsia="Calibri" w:hAnsi="Palatino Linotype"/>
                <w:i/>
                <w:sz w:val="20"/>
                <w:szCs w:val="20"/>
              </w:rPr>
            </w:pPr>
          </w:p>
          <w:p w14:paraId="503498CE"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Enlace visible en el siguiente enlace:</w:t>
            </w:r>
          </w:p>
          <w:p w14:paraId="0CD6F94C"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 xml:space="preserve"> </w:t>
            </w:r>
            <w:hyperlink r:id="rId17" w:history="1">
              <w:r w:rsidRPr="00C45626">
                <w:rPr>
                  <w:rFonts w:ascii="Palatino Linotype" w:eastAsia="Calibri" w:hAnsi="Palatino Linotype"/>
                  <w:i/>
                  <w:color w:val="0000FF"/>
                  <w:sz w:val="20"/>
                  <w:szCs w:val="20"/>
                  <w:u w:val="single"/>
                </w:rPr>
                <w:t>http://dof.gob.mx/nota_detalle.php?codigo=5511540&amp;fecha=26/01/2018</w:t>
              </w:r>
            </w:hyperlink>
            <w:r w:rsidRPr="00C45626">
              <w:rPr>
                <w:rFonts w:ascii="Palatino Linotype" w:eastAsia="Calibri" w:hAnsi="Palatino Linotype"/>
                <w:i/>
                <w:sz w:val="20"/>
                <w:szCs w:val="20"/>
              </w:rPr>
              <w:t xml:space="preserve"> </w:t>
            </w:r>
          </w:p>
          <w:p w14:paraId="2E267FA6" w14:textId="77777777" w:rsidR="00495A80" w:rsidRPr="00C45626" w:rsidRDefault="00495A80" w:rsidP="00495A80">
            <w:pPr>
              <w:ind w:left="28" w:hanging="28"/>
              <w:jc w:val="both"/>
              <w:rPr>
                <w:rFonts w:ascii="Palatino Linotype" w:eastAsia="Calibri" w:hAnsi="Palatino Linotype"/>
                <w:i/>
                <w:sz w:val="20"/>
                <w:szCs w:val="20"/>
              </w:rPr>
            </w:pPr>
          </w:p>
          <w:p w14:paraId="15FBCF23"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 xml:space="preserve">-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Visible en el siguiente enlace: </w:t>
            </w:r>
          </w:p>
          <w:p w14:paraId="78461E4B" w14:textId="77777777" w:rsidR="00495A80" w:rsidRPr="00C45626" w:rsidRDefault="00495A80" w:rsidP="00495A80">
            <w:pPr>
              <w:ind w:left="28" w:hanging="28"/>
              <w:jc w:val="both"/>
              <w:rPr>
                <w:rFonts w:ascii="Palatino Linotype" w:eastAsia="Calibri" w:hAnsi="Palatino Linotype"/>
                <w:i/>
                <w:sz w:val="20"/>
                <w:szCs w:val="20"/>
              </w:rPr>
            </w:pPr>
          </w:p>
          <w:p w14:paraId="3505265F" w14:textId="77777777" w:rsidR="00495A80" w:rsidRPr="00C45626" w:rsidRDefault="00D8727A" w:rsidP="00495A80">
            <w:pPr>
              <w:ind w:left="28" w:hanging="28"/>
              <w:jc w:val="both"/>
              <w:rPr>
                <w:rFonts w:ascii="Palatino Linotype" w:eastAsia="Calibri" w:hAnsi="Palatino Linotype"/>
                <w:i/>
                <w:sz w:val="20"/>
                <w:szCs w:val="20"/>
              </w:rPr>
            </w:pPr>
            <w:hyperlink r:id="rId18" w:history="1">
              <w:r w:rsidR="00495A80" w:rsidRPr="00C45626">
                <w:rPr>
                  <w:rFonts w:ascii="Palatino Linotype" w:eastAsia="Calibri" w:hAnsi="Palatino Linotype"/>
                  <w:i/>
                  <w:color w:val="0000FF"/>
                  <w:sz w:val="20"/>
                  <w:szCs w:val="20"/>
                  <w:u w:val="single"/>
                </w:rPr>
                <w:t>http://www.dof.gob.mx/nota_detalle.php?codigo=5433280&amp;fecha=15/04/2016</w:t>
              </w:r>
            </w:hyperlink>
            <w:r w:rsidR="00495A80" w:rsidRPr="00C45626">
              <w:rPr>
                <w:rFonts w:ascii="Palatino Linotype" w:eastAsia="Calibri" w:hAnsi="Palatino Linotype"/>
                <w:i/>
                <w:sz w:val="20"/>
                <w:szCs w:val="20"/>
              </w:rPr>
              <w:t xml:space="preserve"> </w:t>
            </w:r>
          </w:p>
          <w:p w14:paraId="219DDF8F" w14:textId="77777777" w:rsidR="00495A80" w:rsidRPr="00C45626" w:rsidRDefault="00495A80" w:rsidP="00495A80">
            <w:pPr>
              <w:ind w:left="28" w:hanging="28"/>
              <w:jc w:val="both"/>
              <w:rPr>
                <w:rFonts w:ascii="Palatino Linotype" w:eastAsia="Calibri" w:hAnsi="Palatino Linotype"/>
                <w:i/>
                <w:sz w:val="20"/>
                <w:szCs w:val="20"/>
              </w:rPr>
            </w:pPr>
          </w:p>
          <w:p w14:paraId="40962AA5"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 xml:space="preserve">- ACUERDO del Consejo Nacional del Sistema Nacional de Transparencia, Acceso a la Información Pública y Protección de Datos Personales, por el que se emiten los Criterios para que los Sujetos Obligados Garanticen Condiciones de Accesibilidad que Permitan el Ejercicio de los Derechos Humanos de Acceso a la Información y Protección de Datos Personales a Grupos Vulnerables. Visible en el siguiente enlace: </w:t>
            </w:r>
          </w:p>
          <w:p w14:paraId="5BEED089" w14:textId="77777777" w:rsidR="00495A80" w:rsidRPr="00C45626" w:rsidRDefault="00495A80" w:rsidP="00495A80">
            <w:pPr>
              <w:ind w:left="28" w:hanging="28"/>
              <w:jc w:val="both"/>
              <w:rPr>
                <w:rFonts w:ascii="Palatino Linotype" w:eastAsia="Calibri" w:hAnsi="Palatino Linotype"/>
                <w:i/>
                <w:sz w:val="20"/>
                <w:szCs w:val="20"/>
              </w:rPr>
            </w:pPr>
          </w:p>
          <w:p w14:paraId="73C2F461" w14:textId="77777777" w:rsidR="00495A80" w:rsidRPr="00C45626" w:rsidRDefault="00D8727A" w:rsidP="00495A80">
            <w:pPr>
              <w:ind w:left="28" w:hanging="28"/>
              <w:jc w:val="both"/>
              <w:rPr>
                <w:rFonts w:ascii="Palatino Linotype" w:eastAsia="Calibri" w:hAnsi="Palatino Linotype"/>
                <w:i/>
                <w:sz w:val="20"/>
                <w:szCs w:val="20"/>
              </w:rPr>
            </w:pPr>
            <w:hyperlink r:id="rId19" w:history="1">
              <w:r w:rsidR="00495A80" w:rsidRPr="00C45626">
                <w:rPr>
                  <w:rFonts w:ascii="Palatino Linotype" w:eastAsia="Calibri" w:hAnsi="Palatino Linotype"/>
                  <w:i/>
                  <w:color w:val="0000FF"/>
                  <w:sz w:val="20"/>
                  <w:szCs w:val="20"/>
                  <w:u w:val="single"/>
                </w:rPr>
                <w:t>http://www.dof.gob.mx/nota_detalle.php?codigo=5436057&amp;fecha=04/05/2016</w:t>
              </w:r>
            </w:hyperlink>
          </w:p>
          <w:p w14:paraId="19261A90" w14:textId="77777777" w:rsidR="00495A80" w:rsidRPr="00C45626" w:rsidRDefault="00495A80" w:rsidP="00495A80">
            <w:pPr>
              <w:ind w:left="28" w:hanging="28"/>
              <w:jc w:val="both"/>
              <w:rPr>
                <w:rFonts w:ascii="Palatino Linotype" w:eastAsia="Calibri" w:hAnsi="Palatino Linotype"/>
                <w:i/>
                <w:sz w:val="20"/>
                <w:szCs w:val="20"/>
              </w:rPr>
            </w:pPr>
          </w:p>
          <w:p w14:paraId="65D5BA63" w14:textId="77777777" w:rsidR="00495A80" w:rsidRPr="00C45626" w:rsidRDefault="00495A80" w:rsidP="00495A80">
            <w:pPr>
              <w:ind w:left="28" w:hanging="28"/>
              <w:jc w:val="both"/>
              <w:rPr>
                <w:rFonts w:ascii="Palatino Linotype" w:eastAsia="Calibri" w:hAnsi="Palatino Linotype"/>
                <w:i/>
                <w:sz w:val="20"/>
                <w:szCs w:val="20"/>
              </w:rPr>
            </w:pPr>
            <w:r w:rsidRPr="00C45626">
              <w:rPr>
                <w:rFonts w:ascii="Palatino Linotype" w:eastAsia="Calibri" w:hAnsi="Palatino Linotype"/>
                <w:i/>
                <w:sz w:val="20"/>
                <w:szCs w:val="20"/>
              </w:rPr>
              <w:t>-Lineamientos sobre medidas de seguridad aplicables a los sistemas de datos personales que se encuentran en posesión de los sujetos obligados de la Ley de Protección de Datos Personales del Estado de México. visible en el siguiente enlace:</w:t>
            </w:r>
          </w:p>
          <w:p w14:paraId="535C4B05" w14:textId="77777777" w:rsidR="00495A80" w:rsidRPr="00C45626" w:rsidRDefault="00495A80" w:rsidP="00495A80">
            <w:pPr>
              <w:jc w:val="both"/>
              <w:rPr>
                <w:rFonts w:ascii="Palatino Linotype" w:eastAsia="Calibri" w:hAnsi="Palatino Linotype"/>
                <w:i/>
                <w:sz w:val="20"/>
                <w:szCs w:val="20"/>
              </w:rPr>
            </w:pPr>
            <w:r w:rsidRPr="00C45626">
              <w:rPr>
                <w:rFonts w:ascii="Palatino Linotype" w:eastAsia="Calibri" w:hAnsi="Palatino Linotype"/>
                <w:i/>
                <w:sz w:val="20"/>
                <w:szCs w:val="20"/>
              </w:rPr>
              <w:t xml:space="preserve"> </w:t>
            </w:r>
            <w:hyperlink r:id="rId20" w:history="1">
              <w:r w:rsidRPr="00C45626">
                <w:rPr>
                  <w:rFonts w:ascii="Palatino Linotype" w:eastAsia="Calibri" w:hAnsi="Palatino Linotype"/>
                  <w:i/>
                  <w:color w:val="0000FF"/>
                  <w:sz w:val="20"/>
                  <w:szCs w:val="20"/>
                  <w:u w:val="single"/>
                </w:rPr>
                <w:t>http://legislacion.edomex.gob.mx/sites/legislacion.edomex.gob.mx/files/files/vigentes/may083.PDF</w:t>
              </w:r>
            </w:hyperlink>
            <w:r w:rsidRPr="00C45626">
              <w:rPr>
                <w:rFonts w:ascii="Palatino Linotype" w:eastAsia="Calibri" w:hAnsi="Palatino Linotype"/>
                <w:i/>
                <w:sz w:val="20"/>
                <w:szCs w:val="20"/>
              </w:rPr>
              <w:t xml:space="preserve"> </w:t>
            </w:r>
          </w:p>
          <w:p w14:paraId="16B6DD9B" w14:textId="77777777" w:rsidR="00495A80" w:rsidRPr="00C45626" w:rsidRDefault="00495A80" w:rsidP="00495A80">
            <w:pPr>
              <w:jc w:val="both"/>
              <w:rPr>
                <w:rFonts w:ascii="Palatino Linotype" w:eastAsia="Calibri" w:hAnsi="Palatino Linotype"/>
                <w:i/>
                <w:sz w:val="20"/>
                <w:szCs w:val="20"/>
              </w:rPr>
            </w:pPr>
          </w:p>
          <w:p w14:paraId="00602E2C" w14:textId="77777777" w:rsidR="00495A80" w:rsidRPr="00C45626" w:rsidRDefault="00495A80" w:rsidP="00495A80">
            <w:pPr>
              <w:jc w:val="both"/>
              <w:rPr>
                <w:rFonts w:ascii="Palatino Linotype" w:eastAsia="Calibri" w:hAnsi="Palatino Linotype"/>
                <w:i/>
                <w:sz w:val="20"/>
                <w:szCs w:val="20"/>
              </w:rPr>
            </w:pPr>
            <w:r w:rsidRPr="00C45626">
              <w:rPr>
                <w:rFonts w:ascii="Palatino Linotype" w:eastAsia="Calibri" w:hAnsi="Palatino Linotype"/>
                <w:i/>
                <w:sz w:val="20"/>
                <w:szCs w:val="20"/>
              </w:rPr>
              <w:t>- Lineamientos para la elaboración, ejecución y evaluación del Programa Nacional de Protección de Datos Personales. visible en el siguiente enlace:</w:t>
            </w:r>
          </w:p>
          <w:p w14:paraId="0C9BD096" w14:textId="04D7FD91"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rPr>
              <w:t xml:space="preserve"> </w:t>
            </w:r>
            <w:hyperlink r:id="rId21" w:history="1">
              <w:r w:rsidRPr="00C45626">
                <w:rPr>
                  <w:rFonts w:ascii="Palatino Linotype" w:eastAsia="Calibri" w:hAnsi="Palatino Linotype"/>
                  <w:i/>
                  <w:color w:val="0000FF"/>
                  <w:sz w:val="20"/>
                  <w:szCs w:val="20"/>
                  <w:u w:val="single"/>
                </w:rPr>
                <w:t>http://dof.gob.mx/nota_detalle.php?codigo=5511542&amp;fecha=26/01/2018</w:t>
              </w:r>
            </w:hyperlink>
            <w:r w:rsidRPr="00C45626">
              <w:rPr>
                <w:rFonts w:ascii="Palatino Linotype" w:eastAsia="Calibri" w:hAnsi="Palatino Linotype"/>
                <w:i/>
                <w:sz w:val="20"/>
                <w:szCs w:val="20"/>
              </w:rPr>
              <w:t>. “ (Sic)</w:t>
            </w:r>
          </w:p>
        </w:tc>
        <w:tc>
          <w:tcPr>
            <w:tcW w:w="1250" w:type="dxa"/>
          </w:tcPr>
          <w:p w14:paraId="509DC2FD" w14:textId="68DB9E26" w:rsidR="00543CF7" w:rsidRPr="00C45626" w:rsidRDefault="00B748FA"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18"/>
                <w:szCs w:val="20"/>
                <w:lang w:val="es-MX"/>
              </w:rPr>
              <w:t>Parcialmente</w:t>
            </w:r>
          </w:p>
        </w:tc>
      </w:tr>
      <w:tr w:rsidR="00543CF7" w:rsidRPr="00C45626" w14:paraId="732BED1F" w14:textId="77777777" w:rsidTr="00495A80">
        <w:tc>
          <w:tcPr>
            <w:tcW w:w="628" w:type="dxa"/>
          </w:tcPr>
          <w:p w14:paraId="1B383EEF" w14:textId="589ADD0A"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B</w:t>
            </w:r>
          </w:p>
        </w:tc>
        <w:tc>
          <w:tcPr>
            <w:tcW w:w="1102" w:type="dxa"/>
          </w:tcPr>
          <w:p w14:paraId="57D32A4B" w14:textId="7D32A32A"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lang w:val="es-MX"/>
              </w:rPr>
            </w:pPr>
            <w:r w:rsidRPr="00C45626">
              <w:rPr>
                <w:rFonts w:ascii="Palatino Linotype" w:eastAsia="MS Mincho" w:hAnsi="Palatino Linotype" w:cs="Arial"/>
                <w:i/>
                <w:lang w:val="es-MX"/>
              </w:rPr>
              <w:t>“</w:t>
            </w:r>
            <w:r w:rsidRPr="00C45626">
              <w:rPr>
                <w:rFonts w:ascii="Palatino Linotype" w:eastAsia="Calibri" w:hAnsi="Palatino Linotype"/>
                <w:i/>
                <w:lang w:val="es-MX" w:eastAsia="en-US"/>
              </w:rPr>
              <w:t>Las funciones y obligaciones del personal involucrado en el tratamiento de datos personales;” (Sic)</w:t>
            </w:r>
          </w:p>
        </w:tc>
        <w:tc>
          <w:tcPr>
            <w:tcW w:w="2518" w:type="dxa"/>
          </w:tcPr>
          <w:p w14:paraId="663946DD"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val="es-ES_tradnl" w:eastAsia="en-US"/>
              </w:rPr>
              <w:t>“</w:t>
            </w:r>
            <w:r w:rsidRPr="00C45626">
              <w:rPr>
                <w:rFonts w:ascii="Palatino Linotype" w:hAnsi="Palatino Linotype"/>
                <w:i/>
                <w:sz w:val="20"/>
                <w:szCs w:val="20"/>
              </w:rPr>
              <w:t xml:space="preserve"> </w:t>
            </w:r>
            <w:r w:rsidRPr="00C45626">
              <w:rPr>
                <w:rFonts w:ascii="Palatino Linotype" w:eastAsia="MS Mincho" w:hAnsi="Palatino Linotype"/>
                <w:i/>
                <w:color w:val="000000"/>
                <w:sz w:val="20"/>
                <w:szCs w:val="20"/>
                <w:lang w:eastAsia="en-US"/>
              </w:rPr>
              <w:t xml:space="preserve">Las funciones y obligaciones del personal involucrado en el tratamiento de datos personales; La ley de Protección de Datos Personales en posesión de sujetos obligados del Estado de México y Municipios, título noveno, de las responsabilidades en materia de protección de datos personales, capítulo único de la organización de los sujetos obligados en materia de protección de datos personales, artículo 96, establece que las obligaciones del responsable en materia de seguridad con el objeto de garantizar la seguridad de los sistemas y base de datos, deberá: </w:t>
            </w:r>
          </w:p>
          <w:p w14:paraId="3E607DA7"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16C142B1"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 Atender y vigilar el cumplimiento de las medidas de seguridad establecidas por el Instituto o por el Responsable, que garanticen, cuando menos, la autenticidad, confidencialidad, disponibilidad e Integridad de los datos personales </w:t>
            </w:r>
          </w:p>
          <w:p w14:paraId="0F283DAC"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15D299E6"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II. Establecer los criterios específicos sobre el manejo, mantenimiento, seguridad y protección de los Sistemas o bases de datos personales. </w:t>
            </w:r>
          </w:p>
          <w:p w14:paraId="4B66B8B0"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3EC81141"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III. Difundir la normatividad aplicable entre los usuarios involucrados en el manejo de los datos personales. </w:t>
            </w:r>
          </w:p>
          <w:p w14:paraId="1C4AB1DF"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789687E2"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IV. Elaborar un plan de capacitación en materia de seguridad de datos personales. </w:t>
            </w:r>
          </w:p>
          <w:p w14:paraId="41E7DB11"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76CBFFA7"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V. Llevar el control de los datos que contengan la operación cotidiana, respaldos, usuarios, incidentes y accesos, así como la transferencia de datos y sus destinatarios. </w:t>
            </w:r>
          </w:p>
          <w:p w14:paraId="0B1B99C4"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3CE69D7D"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VI. Inscribir los sistemas y bases de datos personales en un Registro creado para tal efecto.</w:t>
            </w:r>
          </w:p>
          <w:p w14:paraId="7634A178"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5C23695C"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VII. Establecer procedimientos de control de acceso a la red que incluyan perfiles de usuarias o usuarios o grupos de usuarias o usuarios para el acceso restringido a las funciones y programas de los sistemas o bases de datos personales. </w:t>
            </w:r>
          </w:p>
          <w:p w14:paraId="558DD67F"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3D6AAB71"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VIII. Aplicar procedimientos de respaldos de bases de datos. </w:t>
            </w:r>
          </w:p>
          <w:p w14:paraId="403FD7B5"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6C43036F"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r w:rsidRPr="00C45626">
              <w:rPr>
                <w:rFonts w:ascii="Palatino Linotype" w:eastAsia="MS Mincho" w:hAnsi="Palatino Linotype"/>
                <w:i/>
                <w:color w:val="000000"/>
                <w:sz w:val="20"/>
                <w:szCs w:val="20"/>
                <w:lang w:eastAsia="en-US"/>
              </w:rPr>
              <w:t xml:space="preserve">IX. Notificar al Instituto y al Comité de transparencia, así como a los titulares de los datos personales, los incidentes relacionados con la conservación o mantenimiento de los sistemas y bases de datos Personales previstos en los lineamientos que al efecto se expidan. </w:t>
            </w:r>
          </w:p>
          <w:p w14:paraId="61E79A81"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eastAsia="en-US"/>
              </w:rPr>
            </w:pPr>
          </w:p>
          <w:p w14:paraId="0D1F3756" w14:textId="77777777" w:rsidR="00495A80" w:rsidRPr="00C45626" w:rsidRDefault="00495A80" w:rsidP="00495A80">
            <w:pPr>
              <w:widowControl w:val="0"/>
              <w:tabs>
                <w:tab w:val="left" w:pos="-59"/>
              </w:tabs>
              <w:autoSpaceDE w:val="0"/>
              <w:autoSpaceDN w:val="0"/>
              <w:adjustRightInd w:val="0"/>
              <w:spacing w:before="240" w:after="240"/>
              <w:ind w:right="39"/>
              <w:contextualSpacing/>
              <w:jc w:val="both"/>
              <w:rPr>
                <w:rFonts w:ascii="Palatino Linotype" w:eastAsia="MS Mincho" w:hAnsi="Palatino Linotype"/>
                <w:i/>
                <w:color w:val="000000"/>
                <w:sz w:val="20"/>
                <w:szCs w:val="20"/>
                <w:lang w:val="es-ES_tradnl" w:eastAsia="en-US"/>
              </w:rPr>
            </w:pPr>
            <w:r w:rsidRPr="00C45626">
              <w:rPr>
                <w:rFonts w:ascii="Palatino Linotype" w:eastAsia="MS Mincho" w:hAnsi="Palatino Linotype"/>
                <w:i/>
                <w:color w:val="000000"/>
                <w:sz w:val="20"/>
                <w:szCs w:val="20"/>
                <w:lang w:eastAsia="en-US"/>
              </w:rPr>
              <w:t>El Responsable en Materia de Seguridad deberá ser designado atendiendo preferentemente a sus conocimientos y experiencia en al menos una de las materias siguientes: administración de procesos, sistemas de gestión, procedimiento administrativo, seguridad de la información, gestión documental y administración pública.” (Sic)</w:t>
            </w:r>
          </w:p>
          <w:p w14:paraId="5B0A666C" w14:textId="77777777"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3711" w:type="dxa"/>
          </w:tcPr>
          <w:p w14:paraId="63B0DD6A"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w:t>
            </w:r>
            <w:r w:rsidRPr="00C45626">
              <w:rPr>
                <w:rFonts w:ascii="Palatino Linotype" w:hAnsi="Palatino Linotype"/>
                <w:i/>
                <w:sz w:val="20"/>
                <w:szCs w:val="20"/>
                <w:lang w:eastAsia="en-US"/>
              </w:rPr>
              <w:t xml:space="preserve"> </w:t>
            </w:r>
            <w:r w:rsidRPr="00C45626">
              <w:rPr>
                <w:rFonts w:ascii="Palatino Linotype" w:eastAsia="Calibri" w:hAnsi="Palatino Linotype"/>
                <w:i/>
                <w:sz w:val="20"/>
                <w:szCs w:val="20"/>
                <w:lang w:val="es-MX" w:eastAsia="en-US"/>
              </w:rPr>
              <w:t>Ley Orgánica del Tribunal de Justicia Administrativa del Estado de México</w:t>
            </w:r>
          </w:p>
          <w:p w14:paraId="132B2306"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 xml:space="preserve">Artículo </w:t>
            </w:r>
          </w:p>
          <w:p w14:paraId="78EB45CA" w14:textId="77777777" w:rsidR="00495A80" w:rsidRPr="00C45626" w:rsidRDefault="00495A80" w:rsidP="00495A80">
            <w:pPr>
              <w:ind w:left="28"/>
              <w:jc w:val="both"/>
              <w:rPr>
                <w:rFonts w:ascii="Palatino Linotype" w:eastAsia="Calibri" w:hAnsi="Palatino Linotype"/>
                <w:i/>
                <w:sz w:val="20"/>
                <w:szCs w:val="20"/>
                <w:lang w:val="es-MX" w:eastAsia="en-US"/>
              </w:rPr>
            </w:pPr>
          </w:p>
          <w:p w14:paraId="74E14174"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32. Son Obligaciones de Las y Los Magistrados de Las Secciones:</w:t>
            </w:r>
          </w:p>
          <w:p w14:paraId="0098EEB7" w14:textId="77777777" w:rsidR="00495A80" w:rsidRPr="00C45626" w:rsidRDefault="00495A80" w:rsidP="00495A80">
            <w:pPr>
              <w:ind w:left="28"/>
              <w:jc w:val="both"/>
              <w:rPr>
                <w:rFonts w:ascii="Palatino Linotype" w:eastAsia="Calibri" w:hAnsi="Palatino Linotype"/>
                <w:i/>
                <w:sz w:val="20"/>
                <w:szCs w:val="20"/>
                <w:lang w:val="es-MX" w:eastAsia="en-US"/>
              </w:rPr>
            </w:pPr>
          </w:p>
          <w:p w14:paraId="060A816E"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 Dictar las medidas necesarias para el despacho pronto y expedito de los asuntos de su conocimiento;</w:t>
            </w:r>
          </w:p>
          <w:p w14:paraId="5C140D1C" w14:textId="77777777" w:rsidR="00495A80" w:rsidRPr="00C45626" w:rsidRDefault="00495A80" w:rsidP="00495A80">
            <w:pPr>
              <w:ind w:left="28"/>
              <w:jc w:val="both"/>
              <w:rPr>
                <w:rFonts w:ascii="Palatino Linotype" w:eastAsia="Calibri" w:hAnsi="Palatino Linotype"/>
                <w:i/>
                <w:sz w:val="20"/>
                <w:szCs w:val="20"/>
                <w:lang w:val="es-MX" w:eastAsia="en-US"/>
              </w:rPr>
            </w:pPr>
          </w:p>
          <w:p w14:paraId="0847E0B2"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II. Asistir a las sesiones de la Sección y firmar las sentencias que en las mismas se emitan;</w:t>
            </w:r>
          </w:p>
          <w:p w14:paraId="4883C802" w14:textId="77777777" w:rsidR="00495A80" w:rsidRPr="00C45626" w:rsidRDefault="00495A80" w:rsidP="00495A80">
            <w:pPr>
              <w:ind w:left="28"/>
              <w:jc w:val="both"/>
              <w:rPr>
                <w:rFonts w:ascii="Palatino Linotype" w:eastAsia="Calibri" w:hAnsi="Palatino Linotype"/>
                <w:i/>
                <w:sz w:val="20"/>
                <w:szCs w:val="20"/>
                <w:lang w:val="es-MX" w:eastAsia="en-US"/>
              </w:rPr>
            </w:pPr>
          </w:p>
          <w:p w14:paraId="029CC92D"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III. En las sentencias en las que difiera del voto mayoritario, emitir voto particular o concurrente, a más</w:t>
            </w:r>
          </w:p>
          <w:p w14:paraId="53DE6BA8"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tardar dentro de los t res días hábiles siguientes de la sesión en la que se discuta el asunto correspondiente;</w:t>
            </w:r>
          </w:p>
          <w:p w14:paraId="16D50199"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y</w:t>
            </w:r>
          </w:p>
          <w:p w14:paraId="04AB14D7" w14:textId="77777777" w:rsidR="00495A80" w:rsidRPr="00C45626" w:rsidRDefault="00495A80" w:rsidP="00495A80">
            <w:pPr>
              <w:ind w:left="28"/>
              <w:jc w:val="both"/>
              <w:rPr>
                <w:rFonts w:ascii="Palatino Linotype" w:eastAsia="Calibri" w:hAnsi="Palatino Linotype"/>
                <w:i/>
                <w:sz w:val="20"/>
                <w:szCs w:val="20"/>
                <w:lang w:val="es-MX" w:eastAsia="en-US"/>
              </w:rPr>
            </w:pPr>
          </w:p>
          <w:p w14:paraId="324B2FCF"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IV. Las que señale esta Ley, el Reglamento y las demás disposiciones aplicables</w:t>
            </w:r>
          </w:p>
          <w:p w14:paraId="0975D86B" w14:textId="77777777" w:rsidR="00495A80" w:rsidRPr="00C45626" w:rsidRDefault="00495A80" w:rsidP="00495A80">
            <w:pPr>
              <w:ind w:left="28"/>
              <w:jc w:val="both"/>
              <w:rPr>
                <w:rFonts w:ascii="Palatino Linotype" w:eastAsia="Calibri" w:hAnsi="Palatino Linotype"/>
                <w:i/>
                <w:sz w:val="20"/>
                <w:szCs w:val="20"/>
                <w:lang w:val="es-MX" w:eastAsia="en-US"/>
              </w:rPr>
            </w:pPr>
          </w:p>
          <w:p w14:paraId="08FC278A"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Artículo 36. Son atribuciones de las y los Magistrados de las Salas Regionales de Jurisdicción</w:t>
            </w:r>
          </w:p>
          <w:p w14:paraId="4C85821E"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Ordinaria:</w:t>
            </w:r>
          </w:p>
          <w:p w14:paraId="38DDA073" w14:textId="77777777" w:rsidR="00495A80" w:rsidRPr="00C45626" w:rsidRDefault="00495A80" w:rsidP="00495A80">
            <w:pPr>
              <w:ind w:left="28"/>
              <w:jc w:val="both"/>
              <w:rPr>
                <w:rFonts w:ascii="Palatino Linotype" w:eastAsia="Calibri" w:hAnsi="Palatino Linotype"/>
                <w:i/>
                <w:sz w:val="20"/>
                <w:szCs w:val="20"/>
                <w:lang w:val="es-MX" w:eastAsia="en-US"/>
              </w:rPr>
            </w:pPr>
          </w:p>
          <w:p w14:paraId="296136AB"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 Tramitar y resolver los juicios administrativos de su competencia;</w:t>
            </w:r>
          </w:p>
          <w:p w14:paraId="117AFE43" w14:textId="77777777" w:rsidR="00495A80" w:rsidRPr="00C45626" w:rsidRDefault="00495A80" w:rsidP="00495A80">
            <w:pPr>
              <w:ind w:left="28"/>
              <w:jc w:val="both"/>
              <w:rPr>
                <w:rFonts w:ascii="Palatino Linotype" w:eastAsia="Calibri" w:hAnsi="Palatino Linotype"/>
                <w:i/>
                <w:sz w:val="20"/>
                <w:szCs w:val="20"/>
                <w:lang w:val="es-MX" w:eastAsia="en-US"/>
              </w:rPr>
            </w:pPr>
          </w:p>
          <w:p w14:paraId="36791666"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II. Conocer y resolver del cumplimiento de los acuerdos de suspensión y de las resoluciones definitivas,</w:t>
            </w:r>
          </w:p>
          <w:p w14:paraId="5E5D1A86"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en los juicios en que hayan intervenido;</w:t>
            </w:r>
          </w:p>
          <w:p w14:paraId="34CF6DDB" w14:textId="77777777" w:rsidR="00495A80" w:rsidRPr="00C45626" w:rsidRDefault="00495A80" w:rsidP="00495A80">
            <w:pPr>
              <w:ind w:left="28"/>
              <w:jc w:val="both"/>
              <w:rPr>
                <w:rFonts w:ascii="Palatino Linotype" w:eastAsia="Calibri" w:hAnsi="Palatino Linotype"/>
                <w:i/>
                <w:sz w:val="20"/>
                <w:szCs w:val="20"/>
                <w:lang w:val="es-MX" w:eastAsia="en-US"/>
              </w:rPr>
            </w:pPr>
          </w:p>
          <w:p w14:paraId="14B648F9"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III. Dictar las medidas necesarias para el despacho pronto y expedito de los asuntos de su conocimiento;</w:t>
            </w:r>
          </w:p>
          <w:p w14:paraId="301A26D7" w14:textId="77777777" w:rsidR="00495A80" w:rsidRPr="00C45626" w:rsidRDefault="00495A80" w:rsidP="00495A80">
            <w:pPr>
              <w:ind w:left="28"/>
              <w:jc w:val="both"/>
              <w:rPr>
                <w:rFonts w:ascii="Palatino Linotype" w:eastAsia="Calibri" w:hAnsi="Palatino Linotype"/>
                <w:i/>
                <w:sz w:val="20"/>
                <w:szCs w:val="20"/>
                <w:lang w:val="es-MX" w:eastAsia="en-US"/>
              </w:rPr>
            </w:pPr>
          </w:p>
          <w:p w14:paraId="7650CA4A"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IV. Hacer uso de los medios de apremio o medidas disciplinarias para hacer cumplir sus determinaciones</w:t>
            </w:r>
          </w:p>
          <w:p w14:paraId="146D5DF7"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o para imponer el orden;</w:t>
            </w:r>
          </w:p>
          <w:p w14:paraId="42BA818E" w14:textId="77777777" w:rsidR="00495A80" w:rsidRPr="00C45626" w:rsidRDefault="00495A80" w:rsidP="00495A80">
            <w:pPr>
              <w:ind w:left="28"/>
              <w:jc w:val="both"/>
              <w:rPr>
                <w:rFonts w:ascii="Palatino Linotype" w:eastAsia="Calibri" w:hAnsi="Palatino Linotype"/>
                <w:i/>
                <w:sz w:val="20"/>
                <w:szCs w:val="20"/>
                <w:lang w:val="es-MX" w:eastAsia="en-US"/>
              </w:rPr>
            </w:pPr>
          </w:p>
          <w:p w14:paraId="0809009A"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V. Firmar, conjuntamente con la o el Secretario de Acuerdos, las resoluciones de la Sala;</w:t>
            </w:r>
          </w:p>
          <w:p w14:paraId="5C68C985" w14:textId="77777777" w:rsidR="00495A80" w:rsidRPr="00C45626" w:rsidRDefault="00495A80" w:rsidP="00495A80">
            <w:pPr>
              <w:ind w:left="28"/>
              <w:jc w:val="both"/>
              <w:rPr>
                <w:rFonts w:ascii="Palatino Linotype" w:eastAsia="Calibri" w:hAnsi="Palatino Linotype"/>
                <w:i/>
                <w:sz w:val="20"/>
                <w:szCs w:val="20"/>
                <w:lang w:val="es-MX" w:eastAsia="en-US"/>
              </w:rPr>
            </w:pPr>
          </w:p>
          <w:p w14:paraId="3B07C849"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VI. Imponer correcciones disciplinarias al personal de la Sala, que no impliquen sanciones</w:t>
            </w:r>
          </w:p>
          <w:p w14:paraId="349B719C"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administrativas;</w:t>
            </w:r>
          </w:p>
          <w:p w14:paraId="4A624663"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val="es-MX" w:eastAsia="en-US"/>
              </w:rPr>
              <w:t>VII. Informar semanalmente, a la o el Presidente del Tribunal, el estado de las labores de la sala;</w:t>
            </w:r>
          </w:p>
          <w:p w14:paraId="37332034" w14:textId="77777777" w:rsidR="00495A80" w:rsidRPr="00C45626" w:rsidRDefault="00495A80" w:rsidP="00495A80">
            <w:pPr>
              <w:ind w:left="28"/>
              <w:jc w:val="both"/>
              <w:rPr>
                <w:rFonts w:ascii="Palatino Linotype" w:eastAsia="Calibri" w:hAnsi="Palatino Linotype"/>
                <w:i/>
                <w:sz w:val="20"/>
                <w:szCs w:val="20"/>
                <w:lang w:val="es-MX" w:eastAsia="en-US"/>
              </w:rPr>
            </w:pPr>
          </w:p>
          <w:p w14:paraId="3F67355F"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VIII. Rendir los informes en los juicios de amparo que se promuevan en contra de las resoluciones de la Sala, así como interponer los recursos correspondientes ante los Tribunales Federales y designar delegados; y </w:t>
            </w:r>
          </w:p>
          <w:p w14:paraId="7577461D" w14:textId="77777777" w:rsidR="00495A80" w:rsidRPr="00C45626" w:rsidRDefault="00495A80" w:rsidP="00495A80">
            <w:pPr>
              <w:ind w:left="28"/>
              <w:jc w:val="both"/>
              <w:rPr>
                <w:rFonts w:ascii="Palatino Linotype" w:eastAsia="Calibri" w:hAnsi="Palatino Linotype"/>
                <w:i/>
                <w:sz w:val="20"/>
                <w:szCs w:val="20"/>
                <w:lang w:eastAsia="en-US"/>
              </w:rPr>
            </w:pPr>
          </w:p>
          <w:p w14:paraId="7BC9C71C"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IX. Las que señale esta Ley, el Reglamento y las demás disposiciones aplicables.</w:t>
            </w:r>
          </w:p>
          <w:p w14:paraId="06E871B0" w14:textId="77777777" w:rsidR="00495A80" w:rsidRPr="00C45626" w:rsidRDefault="00495A80" w:rsidP="00495A80">
            <w:pPr>
              <w:ind w:left="28"/>
              <w:jc w:val="both"/>
              <w:rPr>
                <w:rFonts w:ascii="Palatino Linotype" w:eastAsia="Calibri" w:hAnsi="Palatino Linotype"/>
                <w:i/>
                <w:sz w:val="20"/>
                <w:szCs w:val="20"/>
                <w:lang w:eastAsia="en-US"/>
              </w:rPr>
            </w:pPr>
          </w:p>
          <w:p w14:paraId="1E5E31CD" w14:textId="77777777" w:rsidR="00495A80" w:rsidRPr="00C45626" w:rsidRDefault="00495A80" w:rsidP="00495A80">
            <w:pPr>
              <w:ind w:left="28"/>
              <w:jc w:val="both"/>
              <w:rPr>
                <w:rFonts w:ascii="Palatino Linotype" w:eastAsia="Calibri" w:hAnsi="Palatino Linotype"/>
                <w:i/>
                <w:sz w:val="20"/>
                <w:szCs w:val="20"/>
                <w:lang w:eastAsia="en-US"/>
              </w:rPr>
            </w:pPr>
          </w:p>
          <w:p w14:paraId="1EA9362E"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42. Las y los Magistrados de las Salas Especializadas en materia de Responsabilidades Administrativas, tendrán las atribuciones siguientes: </w:t>
            </w:r>
          </w:p>
          <w:p w14:paraId="5C9038BC" w14:textId="77777777" w:rsidR="00495A80" w:rsidRPr="00C45626" w:rsidRDefault="00495A80" w:rsidP="00495A80">
            <w:pPr>
              <w:ind w:left="28"/>
              <w:jc w:val="both"/>
              <w:rPr>
                <w:rFonts w:ascii="Palatino Linotype" w:eastAsia="Calibri" w:hAnsi="Palatino Linotype"/>
                <w:i/>
                <w:sz w:val="20"/>
                <w:szCs w:val="20"/>
                <w:lang w:eastAsia="en-US"/>
              </w:rPr>
            </w:pPr>
          </w:p>
          <w:p w14:paraId="23DD5CB7"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 Admitir, prevenir o mejor proveer, la acción de responsabilidad contenida en el informe de presunta responsabilidad administrativa; </w:t>
            </w:r>
          </w:p>
          <w:p w14:paraId="7E3A98D7"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II. Admitir o rechazar la intervención del tercero; </w:t>
            </w:r>
          </w:p>
          <w:p w14:paraId="2906716F" w14:textId="77777777" w:rsidR="00495A80" w:rsidRPr="00C45626" w:rsidRDefault="00495A80" w:rsidP="00495A80">
            <w:pPr>
              <w:ind w:left="28"/>
              <w:jc w:val="both"/>
              <w:rPr>
                <w:rFonts w:ascii="Palatino Linotype" w:eastAsia="Calibri" w:hAnsi="Palatino Linotype"/>
                <w:i/>
                <w:sz w:val="20"/>
                <w:szCs w:val="20"/>
                <w:lang w:eastAsia="en-US"/>
              </w:rPr>
            </w:pPr>
          </w:p>
          <w:p w14:paraId="773A7694"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III. Admitir, desechar o tener por no ofrecidas las pruebas; </w:t>
            </w:r>
          </w:p>
          <w:p w14:paraId="18E40201" w14:textId="77777777" w:rsidR="00495A80" w:rsidRPr="00C45626" w:rsidRDefault="00495A80" w:rsidP="00495A80">
            <w:pPr>
              <w:ind w:left="28"/>
              <w:jc w:val="both"/>
              <w:rPr>
                <w:rFonts w:ascii="Palatino Linotype" w:eastAsia="Calibri" w:hAnsi="Palatino Linotype"/>
                <w:i/>
                <w:sz w:val="20"/>
                <w:szCs w:val="20"/>
                <w:lang w:eastAsia="en-US"/>
              </w:rPr>
            </w:pPr>
          </w:p>
          <w:p w14:paraId="7E2DAC1D"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IV. Admitir, desechar y tramitar los incidentes y recursos que le competan; </w:t>
            </w:r>
          </w:p>
          <w:p w14:paraId="3930C6E0" w14:textId="77777777" w:rsidR="00495A80" w:rsidRPr="00C45626" w:rsidRDefault="00495A80" w:rsidP="00495A80">
            <w:pPr>
              <w:ind w:left="28"/>
              <w:jc w:val="both"/>
              <w:rPr>
                <w:rFonts w:ascii="Palatino Linotype" w:eastAsia="Calibri" w:hAnsi="Palatino Linotype"/>
                <w:i/>
                <w:sz w:val="20"/>
                <w:szCs w:val="20"/>
                <w:lang w:eastAsia="en-US"/>
              </w:rPr>
            </w:pPr>
          </w:p>
          <w:p w14:paraId="1F4A6069"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V. Dictar los acuerdos o providencias de trámite necesarios para instruir el procedimiento sancionatorio, incluyendo la imposición de las medidas de apremio necesarias para hacer cumplir sus determinaciones, acordar las promociones de las partes, los informes de las autoridades y atender la correspondencia necesaria, autorizándola con su firma; </w:t>
            </w:r>
          </w:p>
          <w:p w14:paraId="0361583E" w14:textId="77777777" w:rsidR="00495A80" w:rsidRPr="00C45626" w:rsidRDefault="00495A80" w:rsidP="00495A80">
            <w:pPr>
              <w:ind w:left="28"/>
              <w:jc w:val="both"/>
              <w:rPr>
                <w:rFonts w:ascii="Palatino Linotype" w:eastAsia="Calibri" w:hAnsi="Palatino Linotype"/>
                <w:i/>
                <w:sz w:val="20"/>
                <w:szCs w:val="20"/>
                <w:lang w:eastAsia="en-US"/>
              </w:rPr>
            </w:pPr>
          </w:p>
          <w:p w14:paraId="4882E990"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VI. Dictar la resolución definitiva en los asuntos de su competencia; </w:t>
            </w:r>
          </w:p>
          <w:p w14:paraId="61470523" w14:textId="77777777" w:rsidR="00495A80" w:rsidRPr="00C45626" w:rsidRDefault="00495A80" w:rsidP="00495A80">
            <w:pPr>
              <w:ind w:left="28"/>
              <w:jc w:val="both"/>
              <w:rPr>
                <w:rFonts w:ascii="Palatino Linotype" w:eastAsia="Calibri" w:hAnsi="Palatino Linotype"/>
                <w:i/>
                <w:sz w:val="20"/>
                <w:szCs w:val="20"/>
                <w:lang w:eastAsia="en-US"/>
              </w:rPr>
            </w:pPr>
          </w:p>
          <w:p w14:paraId="7C9D0905"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VII. Dictar medidas cautelares en los términos de la Ley de Responsabilidades; </w:t>
            </w:r>
          </w:p>
          <w:p w14:paraId="2F7007F1" w14:textId="77777777" w:rsidR="00495A80" w:rsidRPr="00C45626" w:rsidRDefault="00495A80" w:rsidP="00495A80">
            <w:pPr>
              <w:ind w:left="28"/>
              <w:jc w:val="both"/>
              <w:rPr>
                <w:rFonts w:ascii="Palatino Linotype" w:eastAsia="Calibri" w:hAnsi="Palatino Linotype"/>
                <w:i/>
                <w:sz w:val="20"/>
                <w:szCs w:val="20"/>
                <w:lang w:eastAsia="en-US"/>
              </w:rPr>
            </w:pPr>
          </w:p>
          <w:p w14:paraId="77ED7D97"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VIII. En los casos que así lo requieran, realizar la designación del perito tercero; </w:t>
            </w:r>
          </w:p>
          <w:p w14:paraId="6CF81046" w14:textId="77777777" w:rsidR="00495A80" w:rsidRPr="00C45626" w:rsidRDefault="00495A80" w:rsidP="00495A80">
            <w:pPr>
              <w:ind w:left="28"/>
              <w:jc w:val="both"/>
              <w:rPr>
                <w:rFonts w:ascii="Palatino Linotype" w:eastAsia="Calibri" w:hAnsi="Palatino Linotype"/>
                <w:i/>
                <w:sz w:val="20"/>
                <w:szCs w:val="20"/>
                <w:lang w:eastAsia="en-US"/>
              </w:rPr>
            </w:pPr>
          </w:p>
          <w:p w14:paraId="0395488A"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IX. Solicitar la debida integración del expediente para un mejor conocimiento de los hechos en la búsqueda de la verdad material, asimismo acordar la exhibición de cualquier documento que tenga relación con los mismos, ordenar la práctica de cualquier diligencia o proveer la preparación y desahogo de la prueba pericial cuando se planteen cuestiones de carácter técnico y no hubiere sido ofrecida por las partes, en el procedimiento de investigación; </w:t>
            </w:r>
          </w:p>
          <w:p w14:paraId="110C9A65" w14:textId="77777777" w:rsidR="00495A80" w:rsidRPr="00C45626" w:rsidRDefault="00495A80" w:rsidP="00495A80">
            <w:pPr>
              <w:ind w:left="28"/>
              <w:jc w:val="both"/>
              <w:rPr>
                <w:rFonts w:ascii="Palatino Linotype" w:eastAsia="Calibri" w:hAnsi="Palatino Linotype"/>
                <w:i/>
                <w:sz w:val="20"/>
                <w:szCs w:val="20"/>
                <w:lang w:eastAsia="en-US"/>
              </w:rPr>
            </w:pPr>
          </w:p>
          <w:p w14:paraId="2B8BDA60"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X. Dirigir la audiencia con el personal de apoyo administrativo y jurisdiccional que requiera; </w:t>
            </w:r>
          </w:p>
          <w:p w14:paraId="2F456BDE" w14:textId="77777777" w:rsidR="00495A80" w:rsidRPr="00C45626" w:rsidRDefault="00495A80" w:rsidP="00495A80">
            <w:pPr>
              <w:ind w:left="28"/>
              <w:jc w:val="both"/>
              <w:rPr>
                <w:rFonts w:ascii="Palatino Linotype" w:eastAsia="Calibri" w:hAnsi="Palatino Linotype"/>
                <w:i/>
                <w:sz w:val="20"/>
                <w:szCs w:val="20"/>
                <w:lang w:eastAsia="en-US"/>
              </w:rPr>
            </w:pPr>
          </w:p>
          <w:p w14:paraId="1547F912"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XI. Dar seguimiento y proveer la ejecución de las resoluciones que emita; y </w:t>
            </w:r>
          </w:p>
          <w:p w14:paraId="052ADDB7" w14:textId="77777777" w:rsidR="00495A80" w:rsidRPr="00C45626" w:rsidRDefault="00495A80" w:rsidP="00495A80">
            <w:pPr>
              <w:jc w:val="both"/>
              <w:rPr>
                <w:rFonts w:ascii="Palatino Linotype" w:eastAsia="Calibri" w:hAnsi="Palatino Linotype"/>
                <w:i/>
                <w:sz w:val="20"/>
                <w:szCs w:val="20"/>
                <w:lang w:eastAsia="en-US"/>
              </w:rPr>
            </w:pPr>
          </w:p>
          <w:p w14:paraId="58887578" w14:textId="77777777" w:rsidR="00495A80" w:rsidRPr="00C45626" w:rsidRDefault="00495A80" w:rsidP="00495A80">
            <w:pPr>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XII. Las demás que les correspondan conforme a las disposiciones legales aplicables. </w:t>
            </w:r>
          </w:p>
          <w:p w14:paraId="060F5B15" w14:textId="77777777" w:rsidR="00495A80" w:rsidRPr="00C45626" w:rsidRDefault="00495A80" w:rsidP="00495A80">
            <w:pPr>
              <w:ind w:left="28"/>
              <w:jc w:val="both"/>
              <w:rPr>
                <w:rFonts w:ascii="Palatino Linotype" w:eastAsia="Calibri" w:hAnsi="Palatino Linotype"/>
                <w:i/>
                <w:sz w:val="20"/>
                <w:szCs w:val="20"/>
                <w:lang w:eastAsia="en-US"/>
              </w:rPr>
            </w:pPr>
          </w:p>
          <w:p w14:paraId="1625E9FB"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45. Son atribuciones de las Magistraturas Supernumerarias: </w:t>
            </w:r>
          </w:p>
          <w:p w14:paraId="478E023F" w14:textId="77777777" w:rsidR="00495A80" w:rsidRPr="00C45626" w:rsidRDefault="00495A80" w:rsidP="00495A80">
            <w:pPr>
              <w:ind w:left="28"/>
              <w:jc w:val="both"/>
              <w:rPr>
                <w:rFonts w:ascii="Palatino Linotype" w:eastAsia="Calibri" w:hAnsi="Palatino Linotype"/>
                <w:i/>
                <w:sz w:val="20"/>
                <w:szCs w:val="20"/>
                <w:lang w:eastAsia="en-US"/>
              </w:rPr>
            </w:pPr>
          </w:p>
          <w:p w14:paraId="2DF91057"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 Cubrir las faltas temporales de las y los Magistrados de la Sala Superior, Salas Regionales de Jurisdicción Ordinaria o Especializadas en materia de Responsabilidades Administrativas, que determine el Pleno de la Sala Superior; </w:t>
            </w:r>
          </w:p>
          <w:p w14:paraId="46F4B132" w14:textId="77777777" w:rsidR="00495A80" w:rsidRPr="00C45626" w:rsidRDefault="00495A80" w:rsidP="00495A80">
            <w:pPr>
              <w:ind w:left="28"/>
              <w:jc w:val="both"/>
              <w:rPr>
                <w:rFonts w:ascii="Palatino Linotype" w:eastAsia="Calibri" w:hAnsi="Palatino Linotype"/>
                <w:i/>
                <w:sz w:val="20"/>
                <w:szCs w:val="20"/>
                <w:lang w:eastAsia="en-US"/>
              </w:rPr>
            </w:pPr>
          </w:p>
          <w:p w14:paraId="343EB1F7"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II. Auxiliar a las Secciones de la Sala Superior en la elaboración de proyectos de resolución de recursos de revisión, cuando lo determine el Pleno de la Sala Superior;</w:t>
            </w:r>
          </w:p>
          <w:p w14:paraId="643E32A9"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III. Auxiliar a las Salas Regionales de Jurisdicción Ordinaria y Salas Especializadas en materia de Responsabilidades Administrativas del Tribunal en la elaboración de proyectos de resolución de los juicios que les sean turnados, cuando lo determine el Pleno de la Sala Superior; </w:t>
            </w:r>
          </w:p>
          <w:p w14:paraId="412A66BE" w14:textId="77777777" w:rsidR="00495A80" w:rsidRPr="00C45626" w:rsidRDefault="00495A80" w:rsidP="00495A80">
            <w:pPr>
              <w:ind w:left="28"/>
              <w:jc w:val="both"/>
              <w:rPr>
                <w:rFonts w:ascii="Palatino Linotype" w:eastAsia="Calibri" w:hAnsi="Palatino Linotype"/>
                <w:i/>
                <w:sz w:val="20"/>
                <w:szCs w:val="20"/>
                <w:lang w:eastAsia="en-US"/>
              </w:rPr>
            </w:pPr>
          </w:p>
          <w:p w14:paraId="12B46FB4"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IV. Dictar las medidas necesarias para el despacho pronto y expedito de los asuntos de su conocimiento; </w:t>
            </w:r>
          </w:p>
          <w:p w14:paraId="2F2DF65A"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V. Firmar, conjuntamente con la o el Secretario de Acuerdos, las resoluciones de la Sala; VI. Informar semanalmente a la o el Presidente del Tribunal, el estado de las labores de la Sala; y VII. Las demás que se señalen en esta Ley</w:t>
            </w:r>
          </w:p>
          <w:p w14:paraId="1150A9BF"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DEL INSTITUTO DE JUSTICIA ADMINISTRATIVA Ley Orgánica del Tribunal de Justicia Administrativa del Estado de México Artículo 71. La o el Director del Instituto de Justicia Administrativa tendrá las atribuciones y deberes siguientes: I. Acordar con la Presidencia, la Vicepresidencia y la Junta, los asuntos de su competencia; II. Diseñar y aplicar el Plan General de Profesionalización del Tribunal; III. Elaborar los programas de capacitación y actualización del personal jurídico del Tribunal, a través de contenidos temáticos, teóricos y prácticos, a desarrollarse en eventos académicos y clínicas de derecho procesal, administrativo, fiscal y anticorrupción; IV. Diseñar cursos de capacitación para personal de nuevo ingreso; V. Establecer las estrategias para impulsar la carrera jurisdiccional; VI. Coordinar las diferentes reuniones del personal jurídico que tengan por objeto estudiar estrategias para elevar la calidad de la prestación del servicio jurisdiccional; VII. Controlar la asistencia del personal jurídico convocado a participar en eventos de profesionalización, para el caso de estímulos y sanciones, cuyos lineamientos sean aprobados por la Junta; VIII. Instrumentar y aplicar los convenios interinstitucionales que a nombre del Tribunal se suscriban; IX. Organizar, coordinar y controlar la prestación del servicio social, prácticas escolares y prácticas profesionales; X. Coordinar los programas de investigación jurídica en los que participe el personal jurídico del Tribunal; XI. Coordinar los programas de capacitación que para el personal difunda la respectiva dependencia del Gobierno del Estado;</w:t>
            </w:r>
          </w:p>
          <w:p w14:paraId="5E8CD010"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REGLAMENTO INTERIOR DEL TRIBUNAL DE JUSTICIA ADMINISTRATIVA DEL ESTADO DE MÉXICO Artículo 67. La Dirección del Instituto, además de las atribuciones establecidas en la Ley Orgánica, llevará a cabo lo siguiente: I. Acordar con las áreas jurídicas y administrativas del Tribunal los asuntos que le encomiende la Presidencia y la Vicepresidencia. II. Organizar reuniones de capacitación y actualización del personal jurídico y administrativo. III. Implementar, desarrollar y ejecutar un programa de capacitación permanente para las y los servidores públicos del Tribunal, de la cual deberá llevar un registro. IV. Las demás que le sean asignadas por disposición legal, por el Pleno, la Junta, la Presidencia y la Vicepresidencia del Tribunal. DE LA SECRETARÍA GENERAL DEL PLENO Ley Orgánica del Tribunal de Justicia Administrativa del Estado de México Artículo 72. La o el Secretario General del Pleno tendrá las atribuciones y deberes siguientes: I. Acordar con la o el Presidente del Tribunal, los asuntos de su competencia; II. Elaborar y firmar, las actas de las sesiones del Pleno de la Sala Superior, autorizadas por la o el Presidente del Tribunal; III. Dar cuenta en las sesiones del Pleno de los asuntos a tratar, registrar la votación de las y los Magistrados y comunicar las decisiones que se acuerden; IV. Dar fe y firmar las actas, acuerdos y actuaciones del Pleno; V. Expedir certificaciones de las constancias que obren en las actas del Pleno, solicitadas por quien acredite tener interés jurídico o legítimo; VI. Elaborar los proyectos de resolución y los que se determinen si existe contradicción de tesis entre las sustentadas en las Salas Regionales de Jurisdicción Ordinaria, Especializadas en materia de Responsabilidades Administrativas o las Secciones de la Sala Superior, en términos del Código de Procedimientos;</w:t>
            </w:r>
          </w:p>
          <w:p w14:paraId="5B16E12F"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VII. Asistir y participar en los eventos a los cuales sea comisionado por la Presidencia del Tribunal y de la Junta; VIII. Fungir como Secretario Técnico de la Junta; y IX. Las demás que le sean asignadas por las disposiciones legales aplicables y por el Pleno y la Junta. DE LA DIRECCIÓN DE ADMINISTRACIÓN Ley Orgánica del Tribunal de Justicia Administrativa del Estado de México Artículo 74. La o el Director de Administración, tendrá las atribuciones siguientes: I. Acordar con la Presidencia del Tribunal y con la Junta, los asuntos de su competencia; II. Conducir y proponer las buenas relaciones laborales del personal del Tribunal, de conformidad con los lineamientos que al efecto establezca el titular del mismo y la Junta; III. Ejecutar las órdenes relacionadas con la preparación y ejercicio del presupuesto de egresos del Tribunal; IV. Elaborar convenios y contratos en los que el Tribunal sea parte y que afecten su presupuesto, así como los demás documentos que impliquen actos de administración; V. Efectuar los trámites necesarios para adquirir, contratar y proporcionar los bienes y servicios para el buen desarrollo de las actividades del Tribunal de acuerdo a lo que establezcan las disposiciones legales aplicables; VI. Coordinar el programa permanente de credencialización que acredite la personalidad de las y los servidores públicos que laboran en el Tribunal; VII. Tramitar los movimientos de personal y vigilar el cumplimiento de las funciones del personal administrativo; VIII. Establecer sistemas y procedimientos en materia de administración de recursos humanos, materiales y financieros, así como coordinar y supervisar los procesos internos de programación, presupuestación y evaluación, así como delegar y desconcentrar aspectos administrativos; IX. Acordar los requerimientos de bienes y servicios de las Secciones de la Sala Superior y de las Salas Regionales de Jurisdicción Ordinarias, Especializadas en materia de Responsabilidades Administrativas y Magistraturas Supernumerarias; X. Vigilar el ejercicio del presupuesto y llevar su contabilidad; XI. Vigilar el adecuado funcionamiento de las instalaciones y recursos materiales de las Secciones de la Sala Superior, Salas Regionales de Jurisdicción Ordinaria, Especializadas en materia de Responsabilidades Administrativas y Magistraturas Supernumerarias;</w:t>
            </w:r>
          </w:p>
          <w:p w14:paraId="17C9AD15"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XII. Llevar el inventario, control, registro y clasificación de los bienes existentes y de aquellos que formen parte del patrimonio del Tribunal, de conformidad con las disposiciones legales aplicables; XIII. Verificar el estado físico de los bienes del patrimonio del Tribunal, así como de las instalaciones en donde se desarrollan actividades de impartición de justicia administrativa, y aplicar en su caso, las medidas necesarias para su reparación, mantenimiento y conservación; XIV. Realizar los programas y acciones de protección civil hacia el interior del Tribunal; XV. Apoyar con recursos materiales y humanos las acciones de capacitación y actualización del personal del Tribunal; XVI. Coordinar la integración y elaboración de los manuales administrativos y de procedimientos y normas administrativas y técnicas para el buen funcionamiento del Tribunal; XVII. Asistir y participar en los eventos a los cuales sea convocado por la Presidencia y Vicepresidencia del Tribunal y de la Junta; XVIII. Administrar el Fondo Auxiliar para la Justicia Administrativa e informar mensualmente a la Junta sobre el estado que guarda; XIX. En coordinación con la unidad de información, planeación, programación y evaluación, proponer a la Junta para su autorización el anteproyecto de presupuesto de egresos del Tribunal, con base en los programas establecidos por las unidades administrativas en congruencia con el Plan Rector de Gestión del Tribunal; y XX. Las demás que le señalen otras disposiciones legales aplicables. REGLAMENTO INTERIOR DEL TRIBUNAL DE JUSTICIA ADMINISTRATIVA DEL ESTADO DE MÉXICO Artículo 64. La Dirección de Administración, además de las atribuciones establecidas en la Ley Orgánica, llevará a cabo lo siguiente: I. Realizar las gestiones necesarias para elevar la eficacia y la eficiencia en el manejo de los recursos patrimoniales, financieros y humanos del Tribunal. II. Las demás que le señalen otras disposiciones legales aplicables, el Pleno, la Junta y la Presidencia del Tribunal. DE LA UNIDAD DE ESTUDIOS Y PROYECTOS ESPECIALES Ley Orgánica del Tribunal de Justicia Administrativa del Estado de México Artículo 75. Corresponde a la o el Director de la Unidad de Estudios y Proyectos Especiales, las atribuciones y deberes siguientes:</w:t>
            </w:r>
          </w:p>
          <w:p w14:paraId="2F01AC69"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I. Acordar con la o el Presidente, Vicepresidente, Magistrado y con la Junta los asuntos de su competencia; II. Coordinar la elaboración de proyectos de resolución de los juicios administrativos, procedimientos de responsabilidad administrativa y medios de impugnación en términos de la Ley de Responsabilidades que les sean turnados; III. Auxiliar a las Secciones de la Sala Superior en la elaboración de proyectos de resolución de recursos de revisión y apelación; IV. Realizar investigaciones jurídicas en materia administrativa, fiscal y de responsabilidades administrativas, de acuerdo con los programas de profesionalización y los estudios que le sean encomendados la o el Presidente y Vicepresidente y por la Junta; V. Formular en apoyo a las Secciones de la Sala Superior, proyectos del texto de jurisprudencia que emitan y proponer a la o el Magistrado Consultor los proyectos de texto de jurisprudencia por contradicción; VI. Concentrar y llevar un registro de los criterios de mayor relevancia que se contengan en las sentencias dictadas por las Secciones de la Sala Superior y que ameriten formar jurisprudencias; VII. Determinar las medidas que sean necesarias para buscar la solución de conflictos a través de la mediación y conciliación, como medios alternos de justicia, con el apoyo de las y los mediadores y conciliadores que estarán a su cargo, así como del personal asignado para esa función; VIII. Llevar control y estadística de la recepción, registro y turno de los asuntos, promociones y correspondencia del Tribunal, así como proponer a la Junta, las medidas necesarias para su coordinación e implementación; IX. Asistir y participar en los eventos a los cuales sea comisionado por la Presidencia, la Vicepresidencia y la Junta; y x. Las demás que le señalen otras disposiciones legales aplicables. </w:t>
            </w:r>
          </w:p>
          <w:p w14:paraId="6E40114F" w14:textId="77777777" w:rsidR="00495A80" w:rsidRPr="00C45626" w:rsidRDefault="00495A80" w:rsidP="00495A80">
            <w:pPr>
              <w:ind w:left="28"/>
              <w:jc w:val="both"/>
              <w:rPr>
                <w:rFonts w:ascii="Palatino Linotype" w:eastAsia="Calibri" w:hAnsi="Palatino Linotype"/>
                <w:i/>
                <w:sz w:val="20"/>
                <w:szCs w:val="20"/>
                <w:lang w:val="es-MX" w:eastAsia="en-US"/>
              </w:rPr>
            </w:pPr>
            <w:r w:rsidRPr="00C45626">
              <w:rPr>
                <w:rFonts w:ascii="Palatino Linotype" w:eastAsia="Calibri" w:hAnsi="Palatino Linotype"/>
                <w:i/>
                <w:sz w:val="20"/>
                <w:szCs w:val="20"/>
                <w:lang w:eastAsia="en-US"/>
              </w:rPr>
              <w:t>REGLAMENTO INTERIOR DEL TRIBUNAL DE JUSTICIA ADMINISTRATIVA DEL ESTADO DE MÉXICO Artículo 66. La Dirección de la Unidad de Estudios y Proyectos Especiales, además de las atribuciones establecidas en la Ley Orgánica, llevará a cabo lo siguiente: I. Elaborar los proyectos de reformas y adiciones a leyes y reglamentos, en auxilio del Comité o Comisión que para tal efecto establezca la Junta. II. Acordar con las áreas jurídicas y administrativas del Tribunal los asuntos que le encomiende la Presidencia. III. Desahogar las consultas que planteen las y los mediadores conciliadores respecto de la prestación de sus servicios.</w:t>
            </w:r>
          </w:p>
          <w:p w14:paraId="2AE4E362"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IV. Llevar registro de las solicitudes, sesiones y convenios de mediación y conciliación, celebrados por los mediadores conciliadores en las Secciones de la Sala Superior y en las Salas Regionales de Jurisdicción Ordinaria del Tribunal. V. Recibir semanalmente el informe relativo de la Oficina de Correspondencia Común. VII. Supervisar que las y los mediadores conciliadores, apliquen de manera correcta los medios alternos de solución de conflictos administrativos y fiscales. VIII. Las demás que le señalen otras disposiciones legales aplicables, la Junta y la Presidencia. DE LA UNIDAD DE ASESORÍA COMISIONADA Ley Orgánica del Tribunal de Justicia Administrativa del Estado de México Artículo 76. La o el Jefe de la Unidad de Asesoría Comisionada tendrá las atribuciones y deberes siguientes: I. Acordar con la Presidencia del Tribunal y con la Junta, los asuntos de su competencia; II. Coordinar las actividades de las y los Asesores Comisionados; III. Desahogar las consultas que le formulen las y los Asesores Comisionados; IV. Evaluar periódicamente el desempeño de las funciones de las y los Asesores Comisionados; V. Convocar a las y los Asesores Comisionados a reuniones trimestrales de trabajo para: a) Unificar criterios; b) Informar respecto al desempeño de sus funciones; y c) Plantear nuevas estrategias para la defensa de los intereses de los particulares que reciben atención jurídica, debiendo informar el resultado a la Presidencia del Tribunal, en un plazo no mayor de cinco días. VI. Asistir y participar en los eventos a los cuales sea comisionado por la o el Presidente del Tribunal y la Junta; VII. Remitir semanalmente a la Presidencia los datos estadísticos de la Unidad en relación a la orientación, asesoría y representación jurídica de las y los particulares que acudan a solicitar los servicios de defensoría; VIII. Garantizar e informar que la prestación a las y los usuarios se realice con cortesía, diligencia, responsabilidad e iniciativa para evitar en todo momento la indefensión de sus representados; y IX. Las demás que le señalen otras disposiciones legales aplicables REGLAMENTO INTERIOR DEL TRIBUNAL DE JUSTICIA ADMINISTRATIVA DEL ESTADO DE MÉXICO</w:t>
            </w:r>
          </w:p>
          <w:p w14:paraId="29F3FECB"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Artículo 69. La Jefatura de la Unidad de Asesoría Comisionada, además de las atribuciones establecidas en la Ley Orgánica, llevará a cabo lo siguiente: I. Rendir un informe mensual ante la Presidencia y la Junta sobre la calidad del desempeño de las y los Asesores Comisionados del Tribunal, en los aspectos procesal, sustantivo y de atención al público. II. Supervisar el contenido de las demandas de las y los Asesores Comisionados, para verificar los criterios y la argumentación contenida en ellas. III. Analizar y evaluar las estrategias de defensa seguidas por las y los Asesores Comisionados, a efecto de corroborar que en ellas se hagan valer cuestiones de fondo y se defienda el principio de mayor beneficio para evitar la promoción reiterada de juicios administrativos, para cumplir con eficiencia la labor encomendada. IV. Las demás que le señalen otras disposiciones legales aplicables, el Pleno, la Junta, la Presidencia y la Vicepresidencia del Tribunal. DE LA UNIDAD DE DOCUMENTACIÓN, DIFUSIÓN E INFORMACIÓN Ley Orgánica del Tribunal de Justicia Administrativa del Estado de México Artículo 77. La o el Jefe de la Unidad de Documentación, Difusión e Información tendrá las atribuciones y deberes siguientes: I. Acordar con la Presidencia, Vicepresidencia y con la Junta, los asuntos de su competencia; II. Proponer los proyectos de trabajo editorial del Tribunal; III. Integrar los contenidos y realizar la corrección de estilo del órgano de difusión del Tribunal, así como de todas las ediciones que emita el Tribunal; IV. Vigilar la impresión de las ediciones que apruebe el Comité Editorial; V. Apoyar la divulgación de las actividades del Tribunal; VI. Apoyar al personal jurídico en la consulta y localización de jurisprudencias y tesis sustentadas por el Tribunal y otros organismos jurisdiccionales vinculados con la materia administrativa y fiscal, en apoyo a las labores del propio organismo jurisdiccional; VII. Coordinar y ejecutar las labores de actualización del personal jurídico del Tribunal, tratándose de las tesis y jurisprudencias relevantes del Tribunal y de los organismos jurisdiccionales vinculados con la materia administrativa y fiscal; VIII. Compilar la jurisprudencia y sentencias del Tribunal y de otros organismos jurisdiccionales vinculados con la materia administrativa y fiscal; IX. Coordinar las funciones de la biblioteca y archivo central del Tribunal;</w:t>
            </w:r>
          </w:p>
          <w:p w14:paraId="10828392"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X. Auxiliar al personal jurídico del Tribunal respecto a la información que se tiene en la biblioteca del Tribunal; XI. Asistir y participar en los eventos a los cuales sea comisionado por la Presidencia, la Vicepresidencia y la Junta; XII. Publicar la información y tramitar las solicitudes en la materia que se presenten en términos de la Ley; XIII. Verificar si la información se encuentra clasificada como confidencial o reservada; XIV. Fijar las condiciones del control de la información; XV. Solicitar a las unidades administrativas del Tribunal la información que esté a disposición del público que se encuentre en su poder, debidamente actualizada, para el cumplimiento de sus funciones; XVI. Apoyar a las y los particulares, orientándolos y facilitándoles los medios para que puedan ejercitar el derecho a la información; XVII. Tramitar todo lo relativo para el logro de los propósitos de acceso a la información requerida por las y los particulares en poder del Tribunal; y XVIII. Las demás que le señalen las disposiciones legales. Ley Orgánica del Tribunal de Justicia Administrativa del Estado de México Artículo 68. La Jefatura de la Unidad de Documentación, Difusión e Información, además de las atribuciones establecidas en la Ley Orgánica, llevará a cabo lo siguiente: I. Llevar a cabo las acciones relacionadas con la administración de la biblioteca del Tribunal. II. Ordenar, clasificar, inventariar, conservar, asegurar, custodiar y mantener vigente el acervo bibliográfico, hemerográfico, audiovisual y, en general, la información documental con que cuente el Tribunal. III. Establecer y controlar el sistema de préstamos del acervo e información de la biblioteca. IV. Proponer a la Junta la adquisición de bibliografía. DE LA UNIDAD DE INFORMACIÓN, PLANEACIÓN, PROGRAMACIÓN Y EVALUACIÓN Ley Orgánica del Tribunal de Justicia Administrativa del Estado de México Artículo 78. La o el Jefe de la Unidad de Información, Planeación, Programación y Evaluación, tendrá las atribuciones y deberes siguientes: I. Colaborar en el diseño y la implementación de los procesos de planeación, programación, presupuestación y de evaluación del Tribunal; II. En coordinación con la Dirección de Administración, proponer a la Junta para su autorización el anteproyecto de presupuesto de egresos del Tribunal, con base en los programas establecidos por las unidades administrativas en congruencia con el Plan Rector de Gestión del Tribunal;</w:t>
            </w:r>
          </w:p>
          <w:p w14:paraId="79FE3900"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III. Diseñar y establecer sistemas de información con fines estadísticos para llevar el control respecto a la evolución de las actividades del Tribunal; IV. Solicitar información a las direcciones, unidades administrativas y órganos jurisdiccionales del Tribunal, sobre la ejecución de programas, planes y proyectos institucionales; V. Sistematizar y dar seguimiento a la información que emitan las direcciones y unidades administrativas del Tribunal sobre el cumplimiento de objetivos, metas y avances; VI. Coadyuvar en la elaboración del informe anual de actividades de la Presidencia, así como en el proyecto de Plan Rector de Gestión del Tribunal; VII. Coordinar con las direcciones y unidades administrativas del Tribunal la elaboración del Plan Anual de Trabajo; VIII.Proponer y ejecutar en su caso, lineamientos, reglas y criterios en materia de información y actualización de la página web del Tribunal; IX. Proponer y ejecutar, en su caso, lineamientos, reglas, criterios y metodología en materia de información, planeación, programación y evaluación; X. Llevar a cabo un sistema de evaluación de resultados de la gestión; XI. Realizar las funciones relativas a las obligaciones en materia de transparencia, información pública y protección de datos personales, establecidas en las leyes de la materia; y XII. Las demás que le confieren otras disposiciones y aquellas que le encomiende la Presidencia. REGLAMENTO INTERIOR DEL TRIBUNAL DE JUSTICIA ADMINISTRATIVA DEL ESTADO DE MÉXICO Artículo 70. La UIPPE, además de las atribuciones establecidas en la Ley Orgánica, llevará a cabo lo siguiente: I. Vigilar el estricto cumplimiento de las disposiciones establecidas en la Ley General de Transparencia y Acceso a la Información Pública; la Ley de Transparencia y la Ley de Protección de Datos vigentes. III. Proponer al Comité de Transparencia el Manual para el trámite de las solicitudes de acceso a la información. IV. Proponer al Comité de Transparencia para su aprobación el Manual para el ejercicio de los derechos Acceso, Rectificación Cancelación y Oposición de datos personales. V. Las demás que le señalen otras disposiciones legales aplicables, el Pleno, la Junta, la Presidencia y la Vicepresidencia del Tribunal. DE LA UNIDAD DE INFORMÁTICA</w:t>
            </w:r>
          </w:p>
          <w:p w14:paraId="28DDA159"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Ley Orgánica del Tribunal de Justicia Administrativa del Estado de México Artículo 79. La o el Jefe de la Unidad de Informática tendrá las atribuciones y deberes siguientes: I. Acordar con la o el Presidente del Tribunal y con la Junta, los asuntos de su competencia; II. Formular la estadística de los juicios, así como de los recursos de revisión tramitados y resueltos por las Salas y Secciones del Tribunal; III. Coordinar con las diferentes áreas del Tribunal los sistemas de información y estadística; IV. Auxiliar a las Salas y unidades administrativas del Tribunal en la automatización de sus tareas; V. Diseñar, organizar, actualizar mensualmente y eficientar los compendios informáticoestadísticos del Tribunal; VI. Desarrollar y coordinar los proyectos para la adquisición de bienes informáticos; VII. Coordinar la operación y mantenimiento del equipo de cómputo del Tribunal; VIII. Diseñar los programas computacionales que le soliciten las áreas, para eficientar los servicios jurisdiccionales y controles administrativos del Tribunal; IX. Realizar la actualización bimestral de la información estadística, gráfica y documental del portal informativo del Tribunal; X. Impartir los programas de actualización en materia de informática para el personal jurídico y administrativo del Tribunal, que en forma periódica le solicite la Dirección del Instituto de Justicia Administrativa; XI. Diseñar y aplicar el formato y presentación del órgano de difusión, así como de todas las ediciones que emita el Tribunal, en coordinación con la Unidad de Documentación, Difusión e Información; XII. Asistir y participar en los eventos a los cuales sea comisionado por la Presidencia, la Vicepresidencia y la Junta; XIII. Coordinar con los Actuarios del Tribunal, las notificaciones electrónicas en los términos de la Ley de Gobierno Digital del Estado de México y Municipios; y XIV. Las demás que le señalen otras disposiciones legales aplicables. REGLAMENTO INTERIOR DEL TRIBUNAL DE JUSTICIA ADMINISTRATIVA DEL ESTADO DE MÉXICO Artículo 71. La Jefatura de la Unidad de Informática, además de las atribuciones establecidas en la Ley Orgánica, llevará a cabo lo siguiente:</w:t>
            </w:r>
          </w:p>
          <w:p w14:paraId="59839FFC"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I. Organizar, administrar, coordinar y planificar el desarrollo de los servicios e insumos de infraestructura tecnológica, para la automatización de las actividades institucionales mediante el uso de tecnologías de la información, soporte y mantenimiento de los bienes y servicios informáticos, de conformidad con las normas para la administración y operación de los recursos informáticos emitidos por las instancias correspondientes. II. Integrar los programas de trabajo de tecnologías de la información y comunicaciones. III. Proporcionar asesorías, capacitación y soporte técnico especializado a los usuarios en el manejo de las herramientas de oficina, sistemas operativos y problemas técnicos de operación de los equipos de cómputo y aplicaciones. IV. Proporcionar asistencia técnica para llevar a cabo el desarrollo de las sesiones de los órganos colegiados del Tribunal. V. Las demás que le sean asignadas por disposición legal, por el Pleno, la Junta, la Presidencia y la Vicepresidencia del Tribunal. DEL ÓRGANO INTERNO DE CONTROL Ley Orgánica del Tribunal de Justicia Administrativa del Estado de México Artículo 82. Corresponde al Órgano Interno de Control: I. Investigar sobre las responsabilidades de las y los servidores públicos del Tribunal mediante auditorías, visitas de inspección, denuncias y todas las medidas que conforme a las disposiciones legales y reglamentarias procedan; II. Substanciar y resolver los procedimientos de responsabilidad administrativa de su competencia e imponer, en su caso, las sanciones administrativas correspondientes en términos de la Ley de Responsabilidades tratándose de faltas no graves; III. Enviar a la Sala Especializada en materia de Responsabilidades Administrativas que corresponda, los autos de los expedientes originales relacionados con faltas administrativas graves o de particulares en términos de la Ley de Responsabilidades; IV. Informar a la Junta de las denuncias, visitas y demás diligencias en las que tenga intervención que se relacionen con la actividad del personal jurisdiccional y las y los Magistrados; V. Vigilar que las unidades administrativas adscritas al Tribunal cumplan con las obligaciones derivadas de las disposiciones en materia de planeación, presupuestación, ingresos, egresos, financiamiento, patrimonio y fondos; VI. Llevar el registro y seguimiento de las declaraciones de situación patrimonial y de intereses y en su caso, la evolución de la situación patrimonial de las y los servidores públicos del Tribunal;</w:t>
            </w:r>
          </w:p>
          <w:p w14:paraId="299D596B"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VII. Llevar el seguimiento de la evolución y la verificación de la situación patrimonial de las y los servidores públicos del Tribunal, en los términos de la Ley de Responsabilidades; VIII. Inscribir y mantener actualizada en el sistema de evolución patrimonial, de declaración de intereses y de presentación de la constancia de declaración fiscal, la información correspondiente a las y los servidores públicos declarantes; IX. Verificar la situación o posible actualización de algún conflicto de interés, según la información proporcionada; X. Llevar el control y vigilancia de los actos relativos a la planeación, programación, presupuestación, ejecución y control de la adquisición, enajenación y arrendamiento de bienes y la contratación de servicios que realice el Tribunal; XI. Sustanciar y resolver las inconformidades que presenten las y los particulares dentro de los procedimientos de adquisiciones, arrendamientos, servicios y obra pública que lleve a cabo el Tribunal; XII. Inspeccionar y vigilar el cumplimiento de las normas y disposiciones relativas a los sistemas de registro y contabilidad, contratación y pagos al personal; XIII.Participar con voz y sin voto en los Comités Internos del Tribunal en los que sea parte; XIV. Establecer medidas de control interno, así como acciones preventivas y correctivas; XV. Expedir las constancias de no inhabilitación del personal del Tribunal; XVI. Auditar el Fondo Auxiliar para la Justicia Administrativa; y XVII.Promover las acciones que coadyuven a mejorar la gestión de las unidades administrativas del Tribunal, cuando derivado de la atención de los asuntos de su competencia así se determine; XVIII. Revisar el ingreso, egreso, manejo, custodia y aplicación de recursos públicos, según corresponda en el ámbito de su competencia; XIX. Realizar la defensa jurídica de las resoluciones que emitan, ante las diversas instancias jurisdiccionales; XX. Expedir las copias certificadas de los documentos que se encuentren en los archivos del Órgano Interno de Control; XXI. Presentar denuncias por los hechos que las leyes señalen como delitos ante la Fiscalía General de Justicia del Estado de México o, en su caso, ante la instancia competente; XXII. Solicitar mediante exhorto o carta rogatoria, la colaboración de las autoridades competentes del lugar de la preparación o desahogo de las pruebas, cuando sea fuera de su competencia territorial; XXIII. Requerir a las unidades administrativas del Tribunal, la información necesaria para cumplir con sus atribuciones y brindar la asesoría que les requieran en el ámbito de su competencia;</w:t>
            </w:r>
          </w:p>
          <w:p w14:paraId="39081BA5" w14:textId="147C33AB"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XXIV. Participar o comisionar a un representante en los procesos de entrega y recepción de las unidades administrativas del Tribunal, verificando su apego a la normatividad correspondiente; XXV. Ser integrante de los Comités de Transparencia; de Adquisiciones y servicios, y de Arrendamientos, Adquisiciones de Inmuebles y Enajenaciones del Tribunal; y demás Órganos Colegiados que en términos de ley y las demás disposiciones aplicables les correspondan, y XXVI. Las que determine la Ley de Responsabilidades Administrativas del Estado de México y Municipios, Ley del Sistema Anticorrupción del Estado de México y Municipios y demás disposiciones aplicables. REGLAMENTO INTERIOR DEL TRIBUNAL DE JUSTICIA ADMINISTRATIVA DEL ESTADO DE MÉXICO Artículo 85. El Tribunal contará con un Órgano Interno de Control con autonomía de gestión en el ejercicio de sus atribuciones, el cual tiene a su cargo las funciones y atribuciones previstas en la Ley del Sistema Anticorrupción y La Ley de Responsabilidades Administrativas del Estado de México y Municipios, la Ley Orgánica, el Presente Reglamento y demás disposiciones legales aplicables.”  (Sic)</w:t>
            </w:r>
          </w:p>
        </w:tc>
        <w:tc>
          <w:tcPr>
            <w:tcW w:w="1250" w:type="dxa"/>
          </w:tcPr>
          <w:p w14:paraId="07195DB0" w14:textId="0076B4F8" w:rsidR="00543CF7" w:rsidRPr="00C45626" w:rsidRDefault="00B748FA"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18"/>
                <w:szCs w:val="20"/>
                <w:lang w:val="es-MX"/>
              </w:rPr>
              <w:t>Actos Consentidos</w:t>
            </w:r>
          </w:p>
        </w:tc>
      </w:tr>
      <w:tr w:rsidR="00543CF7" w:rsidRPr="00C45626" w14:paraId="799E7DA1" w14:textId="77777777" w:rsidTr="00495A80">
        <w:tc>
          <w:tcPr>
            <w:tcW w:w="628" w:type="dxa"/>
          </w:tcPr>
          <w:p w14:paraId="70890BCE" w14:textId="481EB308"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C</w:t>
            </w:r>
          </w:p>
        </w:tc>
        <w:tc>
          <w:tcPr>
            <w:tcW w:w="1102" w:type="dxa"/>
          </w:tcPr>
          <w:p w14:paraId="5496E36F" w14:textId="5A013EA4"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 xml:space="preserve">“El inventario de datos personales y de los sistemas de tratamiento”  </w:t>
            </w:r>
          </w:p>
        </w:tc>
        <w:tc>
          <w:tcPr>
            <w:tcW w:w="2518" w:type="dxa"/>
          </w:tcPr>
          <w:p w14:paraId="3B9FEE12" w14:textId="0DF88AC6"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val="es-ES_tradnl" w:eastAsia="en-US"/>
              </w:rPr>
              <w:t>“</w:t>
            </w:r>
            <w:r w:rsidRPr="00C45626">
              <w:rPr>
                <w:rFonts w:ascii="Palatino Linotype" w:eastAsia="Calibri" w:hAnsi="Palatino Linotype" w:cs="Arial"/>
                <w:bCs/>
                <w:i/>
                <w:sz w:val="20"/>
                <w:szCs w:val="20"/>
                <w:lang w:eastAsia="en-US"/>
              </w:rPr>
              <w:t xml:space="preserve">el inventario de datos personales y de los sistemas de tratamiento; el procedimiento de análisis de riesgos, 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los resultados de los análisis de brecha (comparando las medidas de seguridad existentes contra las faltantes en la organización del responsable), el plan de trabajo para la implementación de las medidas de seguridad faltantes, así como las medidas para el cumplimiento cotidiano de las políticas de gestión y tratamiento de los datos personales; el procedimiento o mecanismos de monitoreo periódico de las medidas de seguridad implementadas, así como las amenazas y vulneraciones a las que están sujetos los datos personales, el programa de capacitación de acuerdo al nivel, dependiendo de sus roles y responsabilidades respecto del tratamiento de los datos personales, el procedimiento de Auditoría al sistema de gestión de protección de datos personales y se indique quien realiza ese procedimiento, los resultados de las auditorías al sistema de gestión de protección de datos personales desde su implementación a la fecha en la temporalidad de la información solicitada de enero del año 2018 al 20 de julio de 2021 a excepción del numeral, pertenecen al documento de seguridad de esta institución no es posible entregar la información como lo solicita de manera íntegra o en versión pública debido a las medidas de seguridad que se deben emplear en dicho documento de seguridad, con sustento al </w:t>
            </w:r>
            <w:r w:rsidRPr="00C45626">
              <w:rPr>
                <w:rFonts w:ascii="Palatino Linotype" w:hAnsi="Palatino Linotype"/>
                <w:i/>
                <w:sz w:val="20"/>
                <w:szCs w:val="20"/>
              </w:rPr>
              <w:t xml:space="preserve"> </w:t>
            </w:r>
            <w:r w:rsidRPr="00C45626">
              <w:rPr>
                <w:rFonts w:ascii="Palatino Linotype" w:eastAsia="Calibri" w:hAnsi="Palatino Linotype" w:cs="Arial"/>
                <w:bCs/>
                <w:i/>
                <w:sz w:val="20"/>
                <w:szCs w:val="20"/>
                <w:lang w:eastAsia="en-US"/>
              </w:rPr>
              <w:t>capítulo segundo de las medidas de seguridad en su artículo 43 de la Ley De Protección De Datos Personales En Posesión De Sujetos Obligados Del Estado De México Y Municipios, que establece que las medidas de seguridad constituyen mínimos exigibles, por lo que el sujeto obligado adoptará las medidas adicionales que estime necesarias para brindar mayor garantía en la protección y resguardo de los sistemas y bases de datos personales.</w:t>
            </w:r>
          </w:p>
        </w:tc>
        <w:tc>
          <w:tcPr>
            <w:tcW w:w="3711" w:type="dxa"/>
          </w:tcPr>
          <w:p w14:paraId="1D31AF76" w14:textId="77777777" w:rsidR="00495A80" w:rsidRPr="00C45626" w:rsidRDefault="00495A80" w:rsidP="00495A80">
            <w:pPr>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w:t>
            </w:r>
            <w:r w:rsidRPr="00C45626">
              <w:rPr>
                <w:rFonts w:ascii="Palatino Linotype" w:hAnsi="Palatino Linotype"/>
                <w:i/>
                <w:sz w:val="20"/>
                <w:szCs w:val="20"/>
              </w:rPr>
              <w:t xml:space="preserve"> </w:t>
            </w:r>
            <w:r w:rsidRPr="00C45626">
              <w:rPr>
                <w:rFonts w:ascii="Palatino Linotype" w:eastAsia="Calibri" w:hAnsi="Palatino Linotype"/>
                <w:b/>
                <w:i/>
                <w:sz w:val="20"/>
                <w:szCs w:val="20"/>
                <w:lang w:eastAsia="en-US"/>
              </w:rPr>
              <w:t xml:space="preserve">Se establecen como sistemas de tratamiento de datos personales las siguientes bases de datos: 1. AVISO DE PRIVACIDAD INTEGRAL PARA SISTEMA DE REGISTRO DE SITUACIÓN PATRIMONIAL Y DE INTERESES PARA SERVIDORES PÚBLICOS DEL TRIJAEM </w:t>
            </w:r>
          </w:p>
          <w:p w14:paraId="16250C80" w14:textId="77777777" w:rsidR="00495A80" w:rsidRPr="00C45626" w:rsidRDefault="00495A80" w:rsidP="00495A80">
            <w:pPr>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 xml:space="preserve">2. AVISO DE PRIVACIDAD INTEGRAL PARA RECURSOS DE REVISIÓN DE EXPEDIENTES PROCESALES EN MATERIA DE RESPONSABILIDADES ADMINISTRATIVAS (CUARTA SECCIÓN) 3. AVISO DE PRIVACIDAD INTEGRAL PARA EXPEDIENTES PROCESALES EN MATERIA DE RESPONSABILIDADES ADMINISTRATIVAS (OCTAVA Y NOVENA SALAS) </w:t>
            </w:r>
          </w:p>
          <w:p w14:paraId="265D3AAE" w14:textId="77777777" w:rsidR="00495A80" w:rsidRPr="00C45626" w:rsidRDefault="00495A80" w:rsidP="00495A80">
            <w:pPr>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 xml:space="preserve">4. AVISO DE PRIVACIDAD INTEGRAL PARA EXPEDIENTES DE JUICIOS ADMINISTRATIVOS Y RECURSOS DE REVISIÓN </w:t>
            </w:r>
          </w:p>
          <w:p w14:paraId="61A0F72E" w14:textId="77777777" w:rsidR="00495A80" w:rsidRPr="00C45626" w:rsidRDefault="00495A80" w:rsidP="00495A80">
            <w:pPr>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 xml:space="preserve">5. AVISO DE PRIVACIDAD INTEGRAL PARA CONTROL DE INGRESO A LAS INSTALACIONES DEL TRIJAEM </w:t>
            </w:r>
          </w:p>
          <w:p w14:paraId="773794F8" w14:textId="77777777" w:rsidR="00495A80" w:rsidRPr="00C45626" w:rsidRDefault="00495A80" w:rsidP="00495A80">
            <w:pPr>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 xml:space="preserve">6. AVISO DE PRIVACIDAD INTEGRAL EVENTOS, CAPACITACIONES Y PLÁTICAS INFORMATIVAS DEL TRIJAEM </w:t>
            </w:r>
          </w:p>
          <w:p w14:paraId="2A5AF890" w14:textId="77777777" w:rsidR="00495A80" w:rsidRPr="00C45626" w:rsidRDefault="00495A80" w:rsidP="00495A80">
            <w:pPr>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 xml:space="preserve">7. AVISO DE PRIVACIDAD INTEGRAL PARA PLÁTICAS DE MEDIACIÓN Y CONCILIACIÓN </w:t>
            </w:r>
          </w:p>
          <w:p w14:paraId="7EFE798F" w14:textId="77777777" w:rsidR="00495A80" w:rsidRPr="00C45626" w:rsidRDefault="00495A80" w:rsidP="00495A80">
            <w:pPr>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8. AVISO DE PRIVACIDAD INTEGRAL PARA ASESORÍA COMISIONADA</w:t>
            </w:r>
          </w:p>
          <w:p w14:paraId="038A6D92" w14:textId="77777777" w:rsidR="00495A80" w:rsidRPr="00C45626" w:rsidRDefault="00495A80" w:rsidP="00495A80">
            <w:pPr>
              <w:ind w:left="28"/>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 xml:space="preserve">9. AVISO DE PRIVACIDAD INTEGRAL PARA PRESTADORES DE SERVICIO SOCIAL Y PRÁCTICAS PROFESIONALES </w:t>
            </w:r>
          </w:p>
          <w:p w14:paraId="709A2F03" w14:textId="77777777" w:rsidR="00495A80" w:rsidRPr="00C45626" w:rsidRDefault="00495A80" w:rsidP="00495A80">
            <w:pPr>
              <w:ind w:left="28"/>
              <w:jc w:val="both"/>
              <w:rPr>
                <w:rFonts w:ascii="Palatino Linotype" w:eastAsia="Calibri" w:hAnsi="Palatino Linotype"/>
                <w:b/>
                <w:i/>
                <w:sz w:val="20"/>
                <w:szCs w:val="20"/>
                <w:lang w:eastAsia="en-US"/>
              </w:rPr>
            </w:pPr>
            <w:r w:rsidRPr="00C45626">
              <w:rPr>
                <w:rFonts w:ascii="Palatino Linotype" w:eastAsia="Calibri" w:hAnsi="Palatino Linotype"/>
                <w:b/>
                <w:i/>
                <w:sz w:val="20"/>
                <w:szCs w:val="20"/>
                <w:lang w:eastAsia="en-US"/>
              </w:rPr>
              <w:t xml:space="preserve">10. AVISO DE PRIVACIDAD INTEGRAL PARA EXPEDIENTE PERSONAL </w:t>
            </w:r>
          </w:p>
          <w:p w14:paraId="017CECBA" w14:textId="660A7009"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b/>
                <w:i/>
                <w:sz w:val="20"/>
                <w:szCs w:val="20"/>
                <w:lang w:eastAsia="en-US"/>
              </w:rPr>
              <w:t>11. AVISO DE PRIVACIDAD INTEGRAL PARA ANTECEDENTES MÉDICOS Y DE SALUD PARA PRESTADORES DE SERVICIO SOCIAL Y/O PRACTICAS PROFESIONALES Y/O ESCOLARES”</w:t>
            </w:r>
          </w:p>
        </w:tc>
        <w:tc>
          <w:tcPr>
            <w:tcW w:w="1250" w:type="dxa"/>
          </w:tcPr>
          <w:p w14:paraId="30925A49" w14:textId="65094B29" w:rsidR="00543CF7" w:rsidRPr="00C45626" w:rsidRDefault="00B748FA"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699E6FDC" w14:textId="77777777" w:rsidTr="00495A80">
        <w:tc>
          <w:tcPr>
            <w:tcW w:w="628" w:type="dxa"/>
          </w:tcPr>
          <w:p w14:paraId="309A1846" w14:textId="7E363BAF"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D</w:t>
            </w:r>
          </w:p>
        </w:tc>
        <w:tc>
          <w:tcPr>
            <w:tcW w:w="1102" w:type="dxa"/>
          </w:tcPr>
          <w:p w14:paraId="22A20036" w14:textId="5415ACFE"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“El procedimiento de análisis de riesgos” (Sic)</w:t>
            </w:r>
          </w:p>
        </w:tc>
        <w:tc>
          <w:tcPr>
            <w:tcW w:w="2518" w:type="dxa"/>
          </w:tcPr>
          <w:p w14:paraId="3BEED5BC" w14:textId="77D2E2D0"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 xml:space="preserve">No se realizó manifestación alguna. </w:t>
            </w:r>
          </w:p>
        </w:tc>
        <w:tc>
          <w:tcPr>
            <w:tcW w:w="3711" w:type="dxa"/>
          </w:tcPr>
          <w:p w14:paraId="548A5706" w14:textId="050488FD"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b/>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5A397731" w14:textId="30953F29" w:rsidR="00543CF7" w:rsidRPr="00C45626" w:rsidRDefault="00B748FA"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47F941BF" w14:textId="77777777" w:rsidTr="00495A80">
        <w:tc>
          <w:tcPr>
            <w:tcW w:w="628" w:type="dxa"/>
          </w:tcPr>
          <w:p w14:paraId="6F765195" w14:textId="405C2330"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E</w:t>
            </w:r>
          </w:p>
        </w:tc>
        <w:tc>
          <w:tcPr>
            <w:tcW w:w="1102" w:type="dxa"/>
          </w:tcPr>
          <w:p w14:paraId="2924B9FD" w14:textId="139E6506"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(Sic)</w:t>
            </w:r>
          </w:p>
        </w:tc>
        <w:tc>
          <w:tcPr>
            <w:tcW w:w="2518" w:type="dxa"/>
          </w:tcPr>
          <w:p w14:paraId="00FFF84E" w14:textId="47C260F9"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Por la naturaleza de la información, las medidas de seguridad que se adopten serán consideradas confidenciales y únicamente se comunicará al Instituto, para su registro, el nivel de seguridad aplicable.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tc>
        <w:tc>
          <w:tcPr>
            <w:tcW w:w="3711" w:type="dxa"/>
          </w:tcPr>
          <w:p w14:paraId="5F64C77B"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“De acuerdo al artículo 33 del Capítulo Segundo de la Ley General de Protección de Datos Personales en Posesión de Sujetos Obligados donde el solicitante, solicita: </w:t>
            </w:r>
          </w:p>
          <w:p w14:paraId="3845A97A" w14:textId="77777777" w:rsidR="00495A80" w:rsidRPr="00C45626" w:rsidRDefault="00495A80" w:rsidP="00495A80">
            <w:pPr>
              <w:ind w:left="28"/>
              <w:jc w:val="both"/>
              <w:rPr>
                <w:rFonts w:ascii="Palatino Linotype" w:eastAsia="Calibri" w:hAnsi="Palatino Linotype"/>
                <w:i/>
                <w:sz w:val="20"/>
                <w:szCs w:val="20"/>
                <w:lang w:eastAsia="en-US"/>
              </w:rPr>
            </w:pPr>
          </w:p>
          <w:p w14:paraId="63838775"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Considerando lo dispuesto por el Artículo 31 de Ley General de Protección de Datos Personales en Posesión de Sujetos Obligados, donde hace mención de lo siguiente: </w:t>
            </w:r>
          </w:p>
          <w:p w14:paraId="47F0810D" w14:textId="77777777" w:rsidR="00495A80" w:rsidRPr="00C45626" w:rsidRDefault="00495A80" w:rsidP="00495A80">
            <w:pPr>
              <w:ind w:left="28"/>
              <w:jc w:val="both"/>
              <w:rPr>
                <w:rFonts w:ascii="Palatino Linotype" w:eastAsia="Calibri" w:hAnsi="Palatino Linotype"/>
                <w:i/>
                <w:sz w:val="20"/>
                <w:szCs w:val="20"/>
                <w:lang w:eastAsia="en-US"/>
              </w:rPr>
            </w:pPr>
          </w:p>
          <w:p w14:paraId="709398A0"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31.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69532836" w14:textId="77777777" w:rsidR="00495A80" w:rsidRPr="00C45626" w:rsidRDefault="00495A80" w:rsidP="00495A80">
            <w:pPr>
              <w:ind w:left="28"/>
              <w:jc w:val="both"/>
              <w:rPr>
                <w:rFonts w:ascii="Palatino Linotype" w:eastAsia="Calibri" w:hAnsi="Palatino Linotype"/>
                <w:i/>
                <w:sz w:val="20"/>
                <w:szCs w:val="20"/>
                <w:lang w:eastAsia="en-US"/>
              </w:rPr>
            </w:pPr>
          </w:p>
          <w:p w14:paraId="76E57032" w14:textId="363A83A6"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5B0E2048" w14:textId="68A4CFF9" w:rsidR="00543CF7" w:rsidRPr="00C45626" w:rsidRDefault="00B748FA"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331BEB9F" w14:textId="77777777" w:rsidTr="00495A80">
        <w:tc>
          <w:tcPr>
            <w:tcW w:w="628" w:type="dxa"/>
          </w:tcPr>
          <w:p w14:paraId="38082EA2" w14:textId="512B0AE0"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F</w:t>
            </w:r>
          </w:p>
        </w:tc>
        <w:tc>
          <w:tcPr>
            <w:tcW w:w="1102" w:type="dxa"/>
          </w:tcPr>
          <w:p w14:paraId="2CF1C1DD" w14:textId="3BE72881"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“Los resultados de los análisis de brecha (comparando las medidas de seguridad existentes contra las faltantes en la organización del responsable)” (Sic)</w:t>
            </w:r>
          </w:p>
        </w:tc>
        <w:tc>
          <w:tcPr>
            <w:tcW w:w="2518" w:type="dxa"/>
          </w:tcPr>
          <w:p w14:paraId="51A6F9ED" w14:textId="17F79C66"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Por la naturaleza de la información, las medidas de seguridad que se adopten serán consideradas confidenciales y únicamente se comunicará al Instituto, para su registro, el nivel de seguridad aplicable.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tc>
        <w:tc>
          <w:tcPr>
            <w:tcW w:w="3711" w:type="dxa"/>
          </w:tcPr>
          <w:p w14:paraId="7DD93D95"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“De acuerdo al artículo 33 del Capítulo Segundo de la Ley General de Protección de Datos Personales en Posesión de Sujetos Obligados donde el solicitante, solicita: </w:t>
            </w:r>
          </w:p>
          <w:p w14:paraId="121C8BDF" w14:textId="77777777" w:rsidR="00495A80" w:rsidRPr="00C45626" w:rsidRDefault="00495A80" w:rsidP="00495A80">
            <w:pPr>
              <w:ind w:left="28"/>
              <w:jc w:val="both"/>
              <w:rPr>
                <w:rFonts w:ascii="Palatino Linotype" w:eastAsia="Calibri" w:hAnsi="Palatino Linotype"/>
                <w:i/>
                <w:sz w:val="20"/>
                <w:szCs w:val="20"/>
                <w:lang w:eastAsia="en-US"/>
              </w:rPr>
            </w:pPr>
          </w:p>
          <w:p w14:paraId="6C2E9E89"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Considerando lo dispuesto por el Artículo 31 de Ley General de Protección de Datos Personales en Posesión de Sujetos Obligados, donde hace mención de lo siguiente: </w:t>
            </w:r>
          </w:p>
          <w:p w14:paraId="5384D445" w14:textId="77777777" w:rsidR="00495A80" w:rsidRPr="00C45626" w:rsidRDefault="00495A80" w:rsidP="00495A80">
            <w:pPr>
              <w:ind w:left="28"/>
              <w:jc w:val="both"/>
              <w:rPr>
                <w:rFonts w:ascii="Palatino Linotype" w:eastAsia="Calibri" w:hAnsi="Palatino Linotype"/>
                <w:i/>
                <w:sz w:val="20"/>
                <w:szCs w:val="20"/>
                <w:lang w:eastAsia="en-US"/>
              </w:rPr>
            </w:pPr>
          </w:p>
          <w:p w14:paraId="29D0477D"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31.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365359E2" w14:textId="77777777" w:rsidR="00495A80" w:rsidRPr="00C45626" w:rsidRDefault="00495A80" w:rsidP="00495A80">
            <w:pPr>
              <w:ind w:left="28"/>
              <w:jc w:val="both"/>
              <w:rPr>
                <w:rFonts w:ascii="Palatino Linotype" w:eastAsia="Calibri" w:hAnsi="Palatino Linotype"/>
                <w:i/>
                <w:sz w:val="20"/>
                <w:szCs w:val="20"/>
                <w:lang w:eastAsia="en-US"/>
              </w:rPr>
            </w:pPr>
          </w:p>
          <w:p w14:paraId="0DCECD3F" w14:textId="36ABF3EA"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51A49CB0" w14:textId="15CB799F" w:rsidR="00543CF7" w:rsidRPr="00C45626" w:rsidRDefault="00B748FA"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7C2573CF" w14:textId="77777777" w:rsidTr="00495A80">
        <w:tc>
          <w:tcPr>
            <w:tcW w:w="628" w:type="dxa"/>
          </w:tcPr>
          <w:p w14:paraId="4F01C036" w14:textId="43D8D565"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G</w:t>
            </w:r>
          </w:p>
        </w:tc>
        <w:tc>
          <w:tcPr>
            <w:tcW w:w="1102" w:type="dxa"/>
          </w:tcPr>
          <w:p w14:paraId="1137C16B" w14:textId="0A80E1BC"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w:t>
            </w:r>
            <w:r w:rsidRPr="00C45626">
              <w:rPr>
                <w:rFonts w:ascii="Palatino Linotype" w:eastAsia="Calibri" w:hAnsi="Palatino Linotype"/>
                <w:i/>
                <w:sz w:val="22"/>
                <w:szCs w:val="22"/>
                <w:lang w:val="es-MX" w:eastAsia="en-US"/>
              </w:rPr>
              <w:t>El plan de trabajo para la implementación de las medidas de seguridad faltantes, así como las medidas para el cumplimiento cotidiano de las políticas de gestión y tratamiento de los datos personales;”</w:t>
            </w:r>
            <w:r w:rsidRPr="00C45626">
              <w:rPr>
                <w:rFonts w:ascii="Calibri" w:eastAsia="Calibri" w:hAnsi="Calibri"/>
                <w:sz w:val="22"/>
                <w:szCs w:val="22"/>
                <w:lang w:val="es-MX" w:eastAsia="en-US"/>
              </w:rPr>
              <w:t xml:space="preserve"> (Sic)</w:t>
            </w:r>
          </w:p>
        </w:tc>
        <w:tc>
          <w:tcPr>
            <w:tcW w:w="2518" w:type="dxa"/>
          </w:tcPr>
          <w:p w14:paraId="2303EBA2" w14:textId="1137B126"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Por la naturaleza de la información, las medidas de seguridad que se adopten serán consideradas confidenciales y únicamente se comunicará al Instituto, para su registro, el nivel de seguridad aplicable.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tc>
        <w:tc>
          <w:tcPr>
            <w:tcW w:w="3711" w:type="dxa"/>
          </w:tcPr>
          <w:p w14:paraId="7DB9366A"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“De acuerdo al artículo 33 del Capítulo Segundo de la Ley General de Protección de Datos Personales en Posesión de Sujetos Obligados donde el solicitante, solicita: </w:t>
            </w:r>
          </w:p>
          <w:p w14:paraId="45697B9D" w14:textId="77777777" w:rsidR="00495A80" w:rsidRPr="00C45626" w:rsidRDefault="00495A80" w:rsidP="00495A80">
            <w:pPr>
              <w:ind w:left="28"/>
              <w:jc w:val="both"/>
              <w:rPr>
                <w:rFonts w:ascii="Palatino Linotype" w:eastAsia="Calibri" w:hAnsi="Palatino Linotype"/>
                <w:i/>
                <w:sz w:val="20"/>
                <w:szCs w:val="20"/>
                <w:lang w:eastAsia="en-US"/>
              </w:rPr>
            </w:pPr>
          </w:p>
          <w:p w14:paraId="7AB820A8"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Considerando lo dispuesto por el Artículo 31 de Ley General de Protección de Datos Personales en Posesión de Sujetos Obligados, donde hace mención de lo siguiente: </w:t>
            </w:r>
          </w:p>
          <w:p w14:paraId="04C9B915" w14:textId="77777777" w:rsidR="00495A80" w:rsidRPr="00C45626" w:rsidRDefault="00495A80" w:rsidP="00495A80">
            <w:pPr>
              <w:ind w:left="28"/>
              <w:jc w:val="both"/>
              <w:rPr>
                <w:rFonts w:ascii="Palatino Linotype" w:eastAsia="Calibri" w:hAnsi="Palatino Linotype"/>
                <w:i/>
                <w:sz w:val="20"/>
                <w:szCs w:val="20"/>
                <w:lang w:eastAsia="en-US"/>
              </w:rPr>
            </w:pPr>
          </w:p>
          <w:p w14:paraId="49CE0B68"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31.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00987824" w14:textId="77777777" w:rsidR="00495A80" w:rsidRPr="00C45626" w:rsidRDefault="00495A80" w:rsidP="00495A80">
            <w:pPr>
              <w:ind w:left="28"/>
              <w:jc w:val="both"/>
              <w:rPr>
                <w:rFonts w:ascii="Palatino Linotype" w:eastAsia="Calibri" w:hAnsi="Palatino Linotype"/>
                <w:i/>
                <w:sz w:val="20"/>
                <w:szCs w:val="20"/>
                <w:lang w:eastAsia="en-US"/>
              </w:rPr>
            </w:pPr>
          </w:p>
          <w:p w14:paraId="68735D72" w14:textId="7445AB02"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2CD4D613" w14:textId="3A058D66" w:rsidR="00543CF7" w:rsidRPr="00C45626" w:rsidRDefault="00B748FA"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619CD5E9" w14:textId="77777777" w:rsidTr="00495A80">
        <w:tc>
          <w:tcPr>
            <w:tcW w:w="628" w:type="dxa"/>
          </w:tcPr>
          <w:p w14:paraId="384EA427" w14:textId="58C731B2"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H</w:t>
            </w:r>
          </w:p>
        </w:tc>
        <w:tc>
          <w:tcPr>
            <w:tcW w:w="1102" w:type="dxa"/>
          </w:tcPr>
          <w:p w14:paraId="3BFC3885" w14:textId="1D4BB680"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“El procedimiento o mecanismos de monitoreo periódico de las medidas de seguridad implementadas, así como las amenazas y vulneraciones a las que están sujetos los datos personales,” (Sic)</w:t>
            </w:r>
          </w:p>
        </w:tc>
        <w:tc>
          <w:tcPr>
            <w:tcW w:w="2518" w:type="dxa"/>
          </w:tcPr>
          <w:p w14:paraId="561123AD" w14:textId="2093CC35"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Por la naturaleza de la información, las medidas de seguridad que se adopten serán consideradas confidenciales y únicamente se comunicará al Instituto, para su registro, el nivel de seguridad aplicable.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tc>
        <w:tc>
          <w:tcPr>
            <w:tcW w:w="3711" w:type="dxa"/>
          </w:tcPr>
          <w:p w14:paraId="2FBE52D5"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“De acuerdo al artículo 33 del Capítulo Segundo de la Ley General de Protección de Datos Personales en Posesión de Sujetos Obligados donde el solicitante, solicita: </w:t>
            </w:r>
          </w:p>
          <w:p w14:paraId="337C71FF" w14:textId="77777777" w:rsidR="00495A80" w:rsidRPr="00C45626" w:rsidRDefault="00495A80" w:rsidP="00495A80">
            <w:pPr>
              <w:ind w:left="28"/>
              <w:jc w:val="both"/>
              <w:rPr>
                <w:rFonts w:ascii="Palatino Linotype" w:eastAsia="Calibri" w:hAnsi="Palatino Linotype"/>
                <w:i/>
                <w:sz w:val="20"/>
                <w:szCs w:val="20"/>
                <w:lang w:eastAsia="en-US"/>
              </w:rPr>
            </w:pPr>
          </w:p>
          <w:p w14:paraId="482E1B74"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Considerando lo dispuesto por el Artículo 31 de Ley General de Protección de Datos Personales en Posesión de Sujetos Obligados, donde hace mención de lo siguiente: </w:t>
            </w:r>
          </w:p>
          <w:p w14:paraId="2BE0067C" w14:textId="77777777" w:rsidR="00495A80" w:rsidRPr="00C45626" w:rsidRDefault="00495A80" w:rsidP="00495A80">
            <w:pPr>
              <w:ind w:left="28"/>
              <w:jc w:val="both"/>
              <w:rPr>
                <w:rFonts w:ascii="Palatino Linotype" w:eastAsia="Calibri" w:hAnsi="Palatino Linotype"/>
                <w:i/>
                <w:sz w:val="20"/>
                <w:szCs w:val="20"/>
                <w:lang w:eastAsia="en-US"/>
              </w:rPr>
            </w:pPr>
          </w:p>
          <w:p w14:paraId="4C65989D"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31.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709CA981" w14:textId="77777777" w:rsidR="00495A80" w:rsidRPr="00C45626" w:rsidRDefault="00495A80" w:rsidP="00495A80">
            <w:pPr>
              <w:ind w:left="28"/>
              <w:jc w:val="both"/>
              <w:rPr>
                <w:rFonts w:ascii="Palatino Linotype" w:eastAsia="Calibri" w:hAnsi="Palatino Linotype"/>
                <w:i/>
                <w:sz w:val="20"/>
                <w:szCs w:val="20"/>
                <w:lang w:eastAsia="en-US"/>
              </w:rPr>
            </w:pPr>
          </w:p>
          <w:p w14:paraId="6A928A1F" w14:textId="451FBE56"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12C9C525" w14:textId="020E4438" w:rsidR="00543CF7" w:rsidRPr="00C45626" w:rsidRDefault="00B748FA"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2F4970C1" w14:textId="77777777" w:rsidTr="00495A80">
        <w:tc>
          <w:tcPr>
            <w:tcW w:w="628" w:type="dxa"/>
          </w:tcPr>
          <w:p w14:paraId="4D628A46" w14:textId="2F77689E"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I</w:t>
            </w:r>
          </w:p>
        </w:tc>
        <w:tc>
          <w:tcPr>
            <w:tcW w:w="1102" w:type="dxa"/>
          </w:tcPr>
          <w:p w14:paraId="585F7E4A" w14:textId="797030C0"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“El programa de capacitación de acuerdo al nivel, dependiendo de sus roles y responsabilidades respecto del tratamiento de los datos personales” (Sic)</w:t>
            </w:r>
          </w:p>
        </w:tc>
        <w:tc>
          <w:tcPr>
            <w:tcW w:w="2518" w:type="dxa"/>
          </w:tcPr>
          <w:p w14:paraId="627CB512" w14:textId="610DD914"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Por la naturaleza de la información, las medidas de seguridad que se adopten serán consideradas confidenciales y únicamente se comunicará al Instituto, para su registro, el nivel de seguridad aplicable.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tc>
        <w:tc>
          <w:tcPr>
            <w:tcW w:w="3711" w:type="dxa"/>
          </w:tcPr>
          <w:p w14:paraId="6DD5C879"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“De acuerdo al artículo 33 del Capítulo Segundo de la Ley General de Protección de Datos Personales en Posesión de Sujetos Obligados donde el solicitante, solicita: </w:t>
            </w:r>
          </w:p>
          <w:p w14:paraId="3D78C4FD" w14:textId="77777777" w:rsidR="00495A80" w:rsidRPr="00C45626" w:rsidRDefault="00495A80" w:rsidP="00495A80">
            <w:pPr>
              <w:ind w:left="28"/>
              <w:jc w:val="both"/>
              <w:rPr>
                <w:rFonts w:ascii="Palatino Linotype" w:eastAsia="Calibri" w:hAnsi="Palatino Linotype"/>
                <w:i/>
                <w:sz w:val="20"/>
                <w:szCs w:val="20"/>
                <w:lang w:eastAsia="en-US"/>
              </w:rPr>
            </w:pPr>
          </w:p>
          <w:p w14:paraId="5D2A01A3"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Considerando lo dispuesto por el Artículo 31 de Ley General de Protección de Datos Personales en Posesión de Sujetos Obligados, donde hace mención de lo siguiente: </w:t>
            </w:r>
          </w:p>
          <w:p w14:paraId="2F8DC15A" w14:textId="77777777" w:rsidR="00495A80" w:rsidRPr="00C45626" w:rsidRDefault="00495A80" w:rsidP="00495A80">
            <w:pPr>
              <w:ind w:left="28"/>
              <w:jc w:val="both"/>
              <w:rPr>
                <w:rFonts w:ascii="Palatino Linotype" w:eastAsia="Calibri" w:hAnsi="Palatino Linotype"/>
                <w:i/>
                <w:sz w:val="20"/>
                <w:szCs w:val="20"/>
                <w:lang w:eastAsia="en-US"/>
              </w:rPr>
            </w:pPr>
          </w:p>
          <w:p w14:paraId="6C3F6C30"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31.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58266D1D" w14:textId="77777777" w:rsidR="00495A80" w:rsidRPr="00C45626" w:rsidRDefault="00495A80" w:rsidP="00495A80">
            <w:pPr>
              <w:ind w:left="28"/>
              <w:jc w:val="both"/>
              <w:rPr>
                <w:rFonts w:ascii="Palatino Linotype" w:eastAsia="Calibri" w:hAnsi="Palatino Linotype"/>
                <w:i/>
                <w:sz w:val="20"/>
                <w:szCs w:val="20"/>
                <w:lang w:eastAsia="en-US"/>
              </w:rPr>
            </w:pPr>
          </w:p>
          <w:p w14:paraId="653B6BB9" w14:textId="5534DF27"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33A07F89" w14:textId="57133284" w:rsidR="00543CF7" w:rsidRPr="00C45626" w:rsidRDefault="000B6A22" w:rsidP="000B6A22">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6DA5B0A2" w14:textId="77777777" w:rsidTr="00495A80">
        <w:tc>
          <w:tcPr>
            <w:tcW w:w="628" w:type="dxa"/>
          </w:tcPr>
          <w:p w14:paraId="01AD1188" w14:textId="087639FB"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J</w:t>
            </w:r>
          </w:p>
        </w:tc>
        <w:tc>
          <w:tcPr>
            <w:tcW w:w="1102" w:type="dxa"/>
          </w:tcPr>
          <w:p w14:paraId="678633DE" w14:textId="6188A7B4"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 xml:space="preserve">“Procedimiento de Auditoría al sistema de gestión de protección de datos personales y se indique quien realiza ese procedimiento” </w:t>
            </w:r>
            <w:r w:rsidR="00495A80" w:rsidRPr="00C45626">
              <w:rPr>
                <w:rFonts w:ascii="Palatino Linotype" w:eastAsia="MS Mincho" w:hAnsi="Palatino Linotype" w:cs="Arial"/>
                <w:i/>
                <w:sz w:val="20"/>
                <w:szCs w:val="20"/>
                <w:lang w:val="es-MX"/>
              </w:rPr>
              <w:t>(Sic)</w:t>
            </w:r>
          </w:p>
        </w:tc>
        <w:tc>
          <w:tcPr>
            <w:tcW w:w="2518" w:type="dxa"/>
          </w:tcPr>
          <w:p w14:paraId="2280C4F6" w14:textId="0181D797" w:rsidR="00543CF7" w:rsidRPr="00C45626" w:rsidRDefault="00CC5C22"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bCs/>
                <w:i/>
                <w:sz w:val="20"/>
                <w:szCs w:val="20"/>
              </w:rPr>
              <w:t>No se realizó manifestación alguna.</w:t>
            </w:r>
          </w:p>
        </w:tc>
        <w:tc>
          <w:tcPr>
            <w:tcW w:w="3711" w:type="dxa"/>
          </w:tcPr>
          <w:p w14:paraId="735D2D3B" w14:textId="67A0FD0D"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r w:rsidRPr="00C45626">
              <w:rPr>
                <w:rFonts w:ascii="Palatino Linotype" w:eastAsia="MS Mincho" w:hAnsi="Palatino Linotype" w:cs="Arial"/>
                <w:i/>
                <w:sz w:val="20"/>
                <w:szCs w:val="20"/>
              </w:rPr>
              <w:t>2018</w:t>
            </w:r>
          </w:p>
          <w:p w14:paraId="589D30EF"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r w:rsidRPr="00C45626">
              <w:rPr>
                <w:rFonts w:ascii="Palatino Linotype" w:eastAsia="MS Mincho" w:hAnsi="Palatino Linotype" w:cs="Arial"/>
                <w:i/>
                <w:sz w:val="20"/>
                <w:szCs w:val="20"/>
              </w:rPr>
              <w:t>En el marco de los trabajos de capacitación considerados en el Acuerdo de la Primera Sesión Ordinaria el día 22 de enero de 2018 del Comité de Transparencia, los servidores públicos del Tribunal, asistieron a la capacitación impartida por el INFOEM, curso que versó sobre las obligaciones en materia de transparencia y protección de datos personales, así como el manejo de SAIMEX e IPOMEX. Curso-Taller de temas relacionados con la protección de datos personales y uso del sistema de acceso, rectificación, cancelación y oposición del Estado de México (SARCOEM).</w:t>
            </w:r>
          </w:p>
          <w:p w14:paraId="216B2E72"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p>
          <w:p w14:paraId="27E19B4A"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r w:rsidRPr="00C45626">
              <w:rPr>
                <w:rFonts w:ascii="Palatino Linotype" w:eastAsia="MS Mincho" w:hAnsi="Palatino Linotype" w:cs="Arial"/>
                <w:i/>
                <w:sz w:val="20"/>
                <w:szCs w:val="20"/>
              </w:rPr>
              <w:t>2019</w:t>
            </w:r>
          </w:p>
          <w:p w14:paraId="150F317D"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r w:rsidRPr="00C45626">
              <w:rPr>
                <w:rFonts w:ascii="Palatino Linotype" w:eastAsia="MS Mincho" w:hAnsi="Palatino Linotype" w:cs="Arial"/>
                <w:i/>
                <w:sz w:val="20"/>
                <w:szCs w:val="20"/>
              </w:rPr>
              <w:t>Capacitaciones presenciales y en línea para Servidores Públicos adscritos a la Segunda, Tercera y Cuarta Secciones de la Sala Superior, Primera, Tercera, Cuarta y Sexta Salas Regionales para la realización de versiones públicas de expedientes y sentencias.</w:t>
            </w:r>
          </w:p>
          <w:p w14:paraId="02EA4674"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p>
          <w:p w14:paraId="709D92E6"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r w:rsidRPr="00C45626">
              <w:rPr>
                <w:rFonts w:ascii="Palatino Linotype" w:eastAsia="MS Mincho" w:hAnsi="Palatino Linotype" w:cs="Arial"/>
                <w:i/>
                <w:sz w:val="20"/>
                <w:szCs w:val="20"/>
              </w:rPr>
              <w:t>2020</w:t>
            </w:r>
          </w:p>
          <w:p w14:paraId="68197BB0"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r w:rsidRPr="00C45626">
              <w:rPr>
                <w:rFonts w:ascii="Palatino Linotype" w:eastAsia="MS Mincho" w:hAnsi="Palatino Linotype" w:cs="Arial"/>
                <w:i/>
                <w:sz w:val="20"/>
                <w:szCs w:val="20"/>
              </w:rPr>
              <w:t>Debido a la emergencia sanitaria, en fechas 21 y 29 de mayo, 9 de julio se llevó a cabo capacitaciones en línea para los servidores públicos del Tribunal en conjunto con el Infoem en los temas relativos a la Transparencia, Acceso a la Información Pública y Protección de Datos Personales.</w:t>
            </w:r>
          </w:p>
          <w:p w14:paraId="34AB02B4"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p>
          <w:p w14:paraId="1F937F38"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r w:rsidRPr="00C45626">
              <w:rPr>
                <w:rFonts w:ascii="Palatino Linotype" w:eastAsia="MS Mincho" w:hAnsi="Palatino Linotype" w:cs="Arial"/>
                <w:i/>
                <w:sz w:val="20"/>
                <w:szCs w:val="20"/>
              </w:rPr>
              <w:t>2021</w:t>
            </w:r>
          </w:p>
          <w:p w14:paraId="78845A49" w14:textId="77777777" w:rsidR="00CC5C22"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rPr>
            </w:pPr>
          </w:p>
          <w:p w14:paraId="4110DEC5" w14:textId="0888A5A6" w:rsidR="00543CF7" w:rsidRPr="00C45626" w:rsidRDefault="00CC5C22" w:rsidP="00CC5C22">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rPr>
              <w:t>En coordinación con el Instituto de Transparencia, Acceso a la Información Pública y Protección de Datos Personales del Estado de México y Municipios (INFOEM), se llevó a cabo 4 sesiones del Taller para la elaboración, actualización o modificación de los avisos de privacidad, así como la elaboración del documento de seguridad de las diversas áreas administrativas y jurisdiccionales del TRIJAEM. Asimismo, el 06 de mayo del año 2021, en coordinación con las instancias del Sistema Nacional de Transparencia, se llevó a cabo el Taller Regional “Alcances de la Transparencia Judicial y publicidad de las sentencias conforme a la reciente Reforma a la LGTAIP”, dirigida a los servidores públicos del TRIJAEM. En sesión del 25 de junio del 2021, con el Instituto de Transparencia, Acceso a la Información Pública y Protección de Datos Personales del Estado de México y  Municipios (INFOEM), se llevó a cabo la capacitación respecto al nuevo sistema de Registro de Sistemas de Datos Personales del Estado de México (REDATOSEM) para servidores públicos del TRIJAEM.</w:t>
            </w:r>
          </w:p>
        </w:tc>
        <w:tc>
          <w:tcPr>
            <w:tcW w:w="1250" w:type="dxa"/>
          </w:tcPr>
          <w:p w14:paraId="3F3EF765" w14:textId="1685E14D" w:rsidR="00543CF7" w:rsidRPr="00C45626" w:rsidRDefault="000B6A22" w:rsidP="000B6A22">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r w:rsidR="00543CF7" w:rsidRPr="00C45626" w14:paraId="6B19C7E8" w14:textId="77777777" w:rsidTr="00495A80">
        <w:tc>
          <w:tcPr>
            <w:tcW w:w="628" w:type="dxa"/>
          </w:tcPr>
          <w:p w14:paraId="1F559474" w14:textId="57170B49"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K</w:t>
            </w:r>
          </w:p>
        </w:tc>
        <w:tc>
          <w:tcPr>
            <w:tcW w:w="1102" w:type="dxa"/>
          </w:tcPr>
          <w:p w14:paraId="312CDBDE" w14:textId="6DF3DBCD" w:rsidR="00543CF7" w:rsidRPr="00C45626" w:rsidRDefault="00543CF7"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“Los resultados de las auditorías al sistema de gestión de protección de datos personales des</w:t>
            </w:r>
            <w:r w:rsidR="00495A80" w:rsidRPr="00C45626">
              <w:rPr>
                <w:rFonts w:ascii="Palatino Linotype" w:eastAsia="MS Mincho" w:hAnsi="Palatino Linotype" w:cs="Arial"/>
                <w:i/>
                <w:sz w:val="20"/>
                <w:szCs w:val="20"/>
                <w:lang w:val="es-MX"/>
              </w:rPr>
              <w:t>de su implementación a la fecha” (Sic)</w:t>
            </w:r>
          </w:p>
        </w:tc>
        <w:tc>
          <w:tcPr>
            <w:tcW w:w="2518" w:type="dxa"/>
          </w:tcPr>
          <w:p w14:paraId="20FB9031" w14:textId="4C310F08" w:rsidR="00543CF7"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Por la naturaleza de la información, las medidas de seguridad que se adopten serán consideradas confidenciales y únicamente se comunicará al Instituto, para su registro, el nivel de seguridad aplicable.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tc>
        <w:tc>
          <w:tcPr>
            <w:tcW w:w="3711" w:type="dxa"/>
          </w:tcPr>
          <w:p w14:paraId="0404A66E"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“De acuerdo al artículo 33 del Capítulo Segundo de la Ley General de Protección de Datos Personales en Posesión de Sujetos Obligados donde el solicitante, solicita: </w:t>
            </w:r>
          </w:p>
          <w:p w14:paraId="4171800F" w14:textId="77777777" w:rsidR="00495A80" w:rsidRPr="00C45626" w:rsidRDefault="00495A80" w:rsidP="00495A80">
            <w:pPr>
              <w:ind w:left="28"/>
              <w:jc w:val="both"/>
              <w:rPr>
                <w:rFonts w:ascii="Palatino Linotype" w:eastAsia="Calibri" w:hAnsi="Palatino Linotype"/>
                <w:i/>
                <w:sz w:val="20"/>
                <w:szCs w:val="20"/>
                <w:lang w:eastAsia="en-US"/>
              </w:rPr>
            </w:pPr>
          </w:p>
          <w:p w14:paraId="3A4A9ED5"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Considerando lo dispuesto por el Artículo 31 de Ley General de Protección de Datos Personales en Posesión de Sujetos Obligados, donde hace mención de lo siguiente: </w:t>
            </w:r>
          </w:p>
          <w:p w14:paraId="5BBC33FC" w14:textId="77777777" w:rsidR="00495A80" w:rsidRPr="00C45626" w:rsidRDefault="00495A80" w:rsidP="00495A80">
            <w:pPr>
              <w:ind w:left="28"/>
              <w:jc w:val="both"/>
              <w:rPr>
                <w:rFonts w:ascii="Palatino Linotype" w:eastAsia="Calibri" w:hAnsi="Palatino Linotype"/>
                <w:i/>
                <w:sz w:val="20"/>
                <w:szCs w:val="20"/>
                <w:lang w:eastAsia="en-US"/>
              </w:rPr>
            </w:pPr>
          </w:p>
          <w:p w14:paraId="5E2325E2"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31.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0571390E" w14:textId="77777777" w:rsidR="00495A80" w:rsidRPr="00C45626" w:rsidRDefault="00495A80" w:rsidP="00495A80">
            <w:pPr>
              <w:ind w:left="28"/>
              <w:jc w:val="both"/>
              <w:rPr>
                <w:rFonts w:ascii="Palatino Linotype" w:eastAsia="Calibri" w:hAnsi="Palatino Linotype"/>
                <w:i/>
                <w:sz w:val="20"/>
                <w:szCs w:val="20"/>
                <w:lang w:eastAsia="en-US"/>
              </w:rPr>
            </w:pPr>
          </w:p>
          <w:p w14:paraId="6DD778A5" w14:textId="63A67B6A" w:rsidR="00543CF7"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7E3C51C4" w14:textId="77777777" w:rsidR="00543CF7" w:rsidRPr="00C45626" w:rsidRDefault="00543CF7"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r>
      <w:tr w:rsidR="00495A80" w:rsidRPr="00C45626" w14:paraId="3E98CF10" w14:textId="77777777" w:rsidTr="00495A80">
        <w:tc>
          <w:tcPr>
            <w:tcW w:w="628" w:type="dxa"/>
          </w:tcPr>
          <w:p w14:paraId="7A8DBF95" w14:textId="074C7E0B" w:rsidR="00495A80"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L</w:t>
            </w:r>
          </w:p>
        </w:tc>
        <w:tc>
          <w:tcPr>
            <w:tcW w:w="1102" w:type="dxa"/>
          </w:tcPr>
          <w:p w14:paraId="2AFBADBE" w14:textId="0D14B7DB" w:rsidR="00495A80"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 xml:space="preserve">“Documento de seguridad” </w:t>
            </w:r>
          </w:p>
        </w:tc>
        <w:tc>
          <w:tcPr>
            <w:tcW w:w="2518" w:type="dxa"/>
          </w:tcPr>
          <w:p w14:paraId="14451A2F" w14:textId="111A7A81" w:rsidR="00495A80" w:rsidRPr="00C45626" w:rsidRDefault="00495A80"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cs="Arial"/>
                <w:bCs/>
                <w:i/>
                <w:sz w:val="20"/>
                <w:szCs w:val="20"/>
                <w:lang w:eastAsia="en-US"/>
              </w:rPr>
              <w:t>Por la naturaleza de la información, las medidas de seguridad que se adopten serán consideradas confidenciales y únicamente se comunicará al Instituto, para su registro, el nivel de seguridad aplicable.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tc>
        <w:tc>
          <w:tcPr>
            <w:tcW w:w="3711" w:type="dxa"/>
          </w:tcPr>
          <w:p w14:paraId="04D98D98"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“De acuerdo al artículo 33 del Capítulo Segundo de la Ley General de Protección de Datos Personales en Posesión de Sujetos Obligados donde el solicitante, solicita: </w:t>
            </w:r>
          </w:p>
          <w:p w14:paraId="2919ABE7" w14:textId="77777777" w:rsidR="00495A80" w:rsidRPr="00C45626" w:rsidRDefault="00495A80" w:rsidP="00495A80">
            <w:pPr>
              <w:ind w:left="28"/>
              <w:jc w:val="both"/>
              <w:rPr>
                <w:rFonts w:ascii="Palatino Linotype" w:eastAsia="Calibri" w:hAnsi="Palatino Linotype"/>
                <w:i/>
                <w:sz w:val="20"/>
                <w:szCs w:val="20"/>
                <w:lang w:eastAsia="en-US"/>
              </w:rPr>
            </w:pPr>
          </w:p>
          <w:p w14:paraId="58E492C9"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Considerando lo dispuesto por el Artículo 31 de Ley General de Protección de Datos Personales en Posesión de Sujetos Obligados, donde hace mención de lo siguiente: </w:t>
            </w:r>
          </w:p>
          <w:p w14:paraId="53E00900" w14:textId="77777777" w:rsidR="00495A80" w:rsidRPr="00C45626" w:rsidRDefault="00495A80" w:rsidP="00495A80">
            <w:pPr>
              <w:ind w:left="28"/>
              <w:jc w:val="both"/>
              <w:rPr>
                <w:rFonts w:ascii="Palatino Linotype" w:eastAsia="Calibri" w:hAnsi="Palatino Linotype"/>
                <w:i/>
                <w:sz w:val="20"/>
                <w:szCs w:val="20"/>
                <w:lang w:eastAsia="en-US"/>
              </w:rPr>
            </w:pPr>
          </w:p>
          <w:p w14:paraId="54C638FD" w14:textId="77777777" w:rsidR="00495A80" w:rsidRPr="00C45626" w:rsidRDefault="00495A80" w:rsidP="00495A80">
            <w:pPr>
              <w:ind w:left="28"/>
              <w:jc w:val="both"/>
              <w:rPr>
                <w:rFonts w:ascii="Palatino Linotype" w:eastAsia="Calibri" w:hAnsi="Palatino Linotype"/>
                <w:i/>
                <w:sz w:val="20"/>
                <w:szCs w:val="20"/>
                <w:lang w:eastAsia="en-US"/>
              </w:rPr>
            </w:pPr>
            <w:r w:rsidRPr="00C45626">
              <w:rPr>
                <w:rFonts w:ascii="Palatino Linotype" w:eastAsia="Calibri" w:hAnsi="Palatino Linotype"/>
                <w:i/>
                <w:sz w:val="20"/>
                <w:szCs w:val="20"/>
                <w:lang w:eastAsia="en-US"/>
              </w:rPr>
              <w:t xml:space="preserve">Artículo 31.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538522A4" w14:textId="77777777" w:rsidR="00495A80" w:rsidRPr="00C45626" w:rsidRDefault="00495A80" w:rsidP="00495A80">
            <w:pPr>
              <w:ind w:left="28"/>
              <w:jc w:val="both"/>
              <w:rPr>
                <w:rFonts w:ascii="Palatino Linotype" w:eastAsia="Calibri" w:hAnsi="Palatino Linotype"/>
                <w:i/>
                <w:sz w:val="20"/>
                <w:szCs w:val="20"/>
                <w:lang w:eastAsia="en-US"/>
              </w:rPr>
            </w:pPr>
          </w:p>
          <w:p w14:paraId="3A0A2D7B" w14:textId="358EDA86" w:rsidR="00495A80" w:rsidRPr="00C45626" w:rsidRDefault="00495A80" w:rsidP="00495A80">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C45626">
              <w:rPr>
                <w:rFonts w:ascii="Palatino Linotype" w:eastAsia="Calibri" w:hAnsi="Palatino Linotype"/>
                <w:i/>
                <w:sz w:val="20"/>
                <w:szCs w:val="20"/>
                <w:lang w:eastAsia="en-US"/>
              </w:rPr>
              <w:t>Se le hace de conocimiento que los servidores públicos responsables del tratamiento de los datos personales, se encuentran en la facultad para tomar las medidas de seguridad, entendiéndose a estas como el conjunto de acciones, actividades, controles o mecanismos administrativos, técnicos y físicos que permitan proteger los datos personales. Con el objetivo de garantizar el derecho a la protección de los datos personales y la información, refiere a los procedimientos que se realizan para la protección de estos, siendo el caso que para dicho propósito, se debe considerar la información como confidencial, en el entendido que los mismos hacen referencia a las medidas que salvaguardan la integridad de los datos personales en posesión de este sujeto obligado y de entregarla se vulneraria la protección, por lo que dicha información no es susceptible de ser entregada en los términos solicitados por la particular solicitante, sin que lo anterior signifique una restricción al derecho público de acceso a la información.</w:t>
            </w:r>
          </w:p>
        </w:tc>
        <w:tc>
          <w:tcPr>
            <w:tcW w:w="1250" w:type="dxa"/>
          </w:tcPr>
          <w:p w14:paraId="337F8833" w14:textId="2920F74E" w:rsidR="00495A80" w:rsidRPr="00C45626" w:rsidRDefault="000B6A22" w:rsidP="000B6A22">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C45626">
              <w:rPr>
                <w:rFonts w:ascii="Palatino Linotype" w:eastAsia="MS Mincho" w:hAnsi="Palatino Linotype" w:cs="Arial"/>
                <w:i/>
                <w:sz w:val="20"/>
                <w:szCs w:val="20"/>
                <w:lang w:val="es-MX"/>
              </w:rPr>
              <w:t>NO</w:t>
            </w:r>
          </w:p>
        </w:tc>
      </w:tr>
    </w:tbl>
    <w:p w14:paraId="7D8C2F3D" w14:textId="77777777" w:rsidR="00EB338E" w:rsidRPr="00C45626" w:rsidRDefault="00EB338E"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p w14:paraId="05FD4501" w14:textId="77777777" w:rsidR="00EB338E" w:rsidRPr="00C45626" w:rsidRDefault="00EB338E" w:rsidP="00EB338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604CE4FE" w14:textId="77777777" w:rsidR="00EB338E" w:rsidRPr="00C45626" w:rsidRDefault="00EB338E" w:rsidP="00EB338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377A4312" w14:textId="6AAC1C6C" w:rsidR="00D86B72" w:rsidRPr="00C45626" w:rsidRDefault="00EB338E" w:rsidP="00CC364E">
      <w:pPr>
        <w:numPr>
          <w:ilvl w:val="0"/>
          <w:numId w:val="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C45626">
        <w:rPr>
          <w:rFonts w:ascii="Palatino Linotype" w:eastAsia="MS Mincho" w:hAnsi="Palatino Linotype" w:cs="Arial"/>
          <w:color w:val="000000"/>
          <w:lang w:val="es-ES_tradnl"/>
        </w:rPr>
        <w:t>Así las cosas</w:t>
      </w:r>
      <w:r w:rsidR="00C548CF" w:rsidRPr="00C45626">
        <w:rPr>
          <w:rFonts w:ascii="Palatino Linotype" w:eastAsia="MS Mincho" w:hAnsi="Palatino Linotype" w:cs="Arial"/>
          <w:color w:val="000000"/>
          <w:lang w:val="es-ES_tradnl"/>
        </w:rPr>
        <w:t>, de conformidad con los principios de eficacia y profesionalismo</w:t>
      </w:r>
      <w:r w:rsidR="00C548CF" w:rsidRPr="00C45626">
        <w:rPr>
          <w:rStyle w:val="Refdenotaalpie"/>
          <w:rFonts w:ascii="Palatino Linotype" w:eastAsia="MS Mincho" w:hAnsi="Palatino Linotype" w:cs="Arial"/>
          <w:color w:val="000000"/>
          <w:lang w:val="es-ES_tradnl"/>
        </w:rPr>
        <w:footnoteReference w:id="2"/>
      </w:r>
      <w:r w:rsidR="00C548CF" w:rsidRPr="00C45626">
        <w:rPr>
          <w:rFonts w:ascii="Palatino Linotype" w:eastAsia="MS Mincho" w:hAnsi="Palatino Linotype" w:cs="Arial"/>
          <w:color w:val="000000"/>
          <w:lang w:val="es-ES_tradnl"/>
        </w:rPr>
        <w:t xml:space="preserve">, procederá a verificar la información remitida por el </w:t>
      </w:r>
      <w:r w:rsidR="00C548CF" w:rsidRPr="00C45626">
        <w:rPr>
          <w:rFonts w:ascii="Palatino Linotype" w:eastAsia="MS Mincho" w:hAnsi="Palatino Linotype" w:cs="Arial"/>
          <w:b/>
          <w:color w:val="000000"/>
          <w:lang w:val="es-ES_tradnl"/>
        </w:rPr>
        <w:t>SUJETO OBLIGADO y</w:t>
      </w:r>
      <w:r w:rsidR="00C548CF" w:rsidRPr="00C45626">
        <w:rPr>
          <w:rFonts w:ascii="Palatino Linotype" w:eastAsia="MS Mincho" w:hAnsi="Palatino Linotype" w:cs="Arial"/>
          <w:color w:val="000000"/>
          <w:lang w:val="es-ES_tradnl"/>
        </w:rPr>
        <w:t xml:space="preserve"> las manifestaciones realizadas por el </w:t>
      </w:r>
      <w:r w:rsidR="00C548CF" w:rsidRPr="00C45626">
        <w:rPr>
          <w:rFonts w:ascii="Palatino Linotype" w:eastAsia="MS Mincho" w:hAnsi="Palatino Linotype" w:cs="Arial"/>
          <w:b/>
          <w:color w:val="000000"/>
          <w:lang w:val="es-ES_tradnl"/>
        </w:rPr>
        <w:t xml:space="preserve">SOLICTANTE </w:t>
      </w:r>
      <w:r w:rsidR="00C548CF" w:rsidRPr="00C45626">
        <w:rPr>
          <w:rFonts w:ascii="Palatino Linotype" w:eastAsia="MS Mincho" w:hAnsi="Palatino Linotype" w:cs="Arial"/>
          <w:color w:val="000000"/>
          <w:lang w:val="es-ES_tradnl"/>
        </w:rPr>
        <w:t xml:space="preserve">a efecto de determinar </w:t>
      </w:r>
      <w:bookmarkEnd w:id="55"/>
      <w:r w:rsidR="002E2669" w:rsidRPr="00C45626">
        <w:rPr>
          <w:rFonts w:ascii="Palatino Linotype" w:eastAsia="MS Mincho" w:hAnsi="Palatino Linotype" w:cs="Arial"/>
          <w:color w:val="000000"/>
          <w:lang w:val="es-ES_tradnl"/>
        </w:rPr>
        <w:t xml:space="preserve">si la información remitida se encuentra apegada a lo que </w:t>
      </w:r>
      <w:r w:rsidR="00575053" w:rsidRPr="00C45626">
        <w:rPr>
          <w:rFonts w:ascii="Palatino Linotype" w:eastAsia="MS Mincho" w:hAnsi="Palatino Linotype" w:cs="Arial"/>
          <w:color w:val="000000"/>
          <w:lang w:val="es-ES_tradnl"/>
        </w:rPr>
        <w:t>establece la Ley en materia de T</w:t>
      </w:r>
      <w:r w:rsidR="002E2669" w:rsidRPr="00C45626">
        <w:rPr>
          <w:rFonts w:ascii="Palatino Linotype" w:eastAsia="MS Mincho" w:hAnsi="Palatino Linotype" w:cs="Arial"/>
          <w:color w:val="000000"/>
          <w:lang w:val="es-ES_tradnl"/>
        </w:rPr>
        <w:t xml:space="preserve">ransparencia. </w:t>
      </w:r>
    </w:p>
    <w:p w14:paraId="70BC24E1" w14:textId="77777777" w:rsidR="000B6A22" w:rsidRPr="00C45626" w:rsidRDefault="000B6A22" w:rsidP="000B6A22">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p w14:paraId="2805B5AC" w14:textId="77777777" w:rsidR="000B6A22" w:rsidRPr="00C45626" w:rsidRDefault="000B6A22" w:rsidP="000B6A22">
      <w:pPr>
        <w:keepNext/>
        <w:keepLines/>
        <w:numPr>
          <w:ilvl w:val="0"/>
          <w:numId w:val="4"/>
        </w:numPr>
        <w:spacing w:before="240" w:line="360" w:lineRule="auto"/>
        <w:ind w:left="0" w:firstLine="0"/>
        <w:outlineLvl w:val="0"/>
        <w:rPr>
          <w:rFonts w:ascii="Palatino Linotype" w:eastAsiaTheme="majorEastAsia" w:hAnsi="Palatino Linotype" w:cstheme="majorBidi"/>
          <w:b/>
          <w:color w:val="000000" w:themeColor="text1"/>
          <w:lang w:val="es-MX"/>
        </w:rPr>
      </w:pPr>
      <w:bookmarkStart w:id="56" w:name="_Toc98268466"/>
      <w:r w:rsidRPr="00C45626">
        <w:rPr>
          <w:rFonts w:ascii="Palatino Linotype" w:eastAsiaTheme="majorEastAsia" w:hAnsi="Palatino Linotype" w:cstheme="majorBidi"/>
          <w:b/>
          <w:color w:val="000000" w:themeColor="text1"/>
          <w:lang w:val="es-MX"/>
        </w:rPr>
        <w:t>De los motivos de inconformidad aducidos por la parte recurrente.</w:t>
      </w:r>
      <w:bookmarkEnd w:id="56"/>
    </w:p>
    <w:p w14:paraId="7E175DF3" w14:textId="77777777" w:rsidR="000B6A22" w:rsidRPr="00C45626" w:rsidRDefault="000B6A22" w:rsidP="000B6A22">
      <w:pPr>
        <w:spacing w:line="360" w:lineRule="auto"/>
        <w:rPr>
          <w:rFonts w:ascii="Palatino Linotype" w:hAnsi="Palatino Linotype"/>
          <w:lang w:val="es-MX"/>
        </w:rPr>
      </w:pPr>
    </w:p>
    <w:p w14:paraId="617C24A4" w14:textId="77777777" w:rsidR="000B6A22" w:rsidRPr="00C45626" w:rsidRDefault="000B6A22" w:rsidP="000B6A22">
      <w:pPr>
        <w:keepNext/>
        <w:keepLines/>
        <w:numPr>
          <w:ilvl w:val="0"/>
          <w:numId w:val="11"/>
        </w:numPr>
        <w:spacing w:before="240" w:line="360" w:lineRule="auto"/>
        <w:ind w:left="0" w:firstLine="0"/>
        <w:outlineLvl w:val="0"/>
        <w:rPr>
          <w:rFonts w:ascii="Palatino Linotype" w:eastAsiaTheme="majorEastAsia" w:hAnsi="Palatino Linotype" w:cstheme="majorBidi"/>
          <w:b/>
          <w:lang w:val="es-MX"/>
        </w:rPr>
      </w:pPr>
      <w:bookmarkStart w:id="57" w:name="_Toc98268467"/>
      <w:r w:rsidRPr="00C45626">
        <w:rPr>
          <w:rFonts w:ascii="Palatino Linotype" w:eastAsiaTheme="majorEastAsia" w:hAnsi="Palatino Linotype" w:cstheme="majorBidi"/>
          <w:b/>
          <w:lang w:val="es-MX"/>
        </w:rPr>
        <w:t>De los actos consentidos.</w:t>
      </w:r>
      <w:bookmarkEnd w:id="57"/>
      <w:r w:rsidRPr="00C45626">
        <w:rPr>
          <w:rFonts w:ascii="Palatino Linotype" w:eastAsiaTheme="majorEastAsia" w:hAnsi="Palatino Linotype" w:cstheme="majorBidi"/>
          <w:b/>
          <w:lang w:val="es-MX"/>
        </w:rPr>
        <w:t xml:space="preserve"> </w:t>
      </w:r>
    </w:p>
    <w:p w14:paraId="7296A109" w14:textId="77777777" w:rsidR="000B6A22" w:rsidRPr="00C45626" w:rsidRDefault="000B6A22" w:rsidP="000B6A22">
      <w:pPr>
        <w:spacing w:line="360" w:lineRule="auto"/>
        <w:rPr>
          <w:rFonts w:ascii="Palatino Linotype" w:eastAsia="MS Mincho" w:hAnsi="Palatino Linotype"/>
          <w:lang w:val="es-MX"/>
        </w:rPr>
      </w:pPr>
    </w:p>
    <w:p w14:paraId="17ACC0F8" w14:textId="69D1133D" w:rsidR="000B6A22" w:rsidRPr="00C45626" w:rsidRDefault="000B6A22" w:rsidP="000B6A22">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C45626">
        <w:rPr>
          <w:rFonts w:ascii="Palatino Linotype" w:hAnsi="Palatino Linotype" w:cs="Arial"/>
          <w:lang w:eastAsia="es-MX"/>
        </w:rPr>
        <w:t>Señalado lo anterior, y a efecto de delimitar la controversia del presente asunto es pertinente mencionar que la respuesta que se otorga a los requerimiento señalado</w:t>
      </w:r>
      <w:r w:rsidR="00A94E8D" w:rsidRPr="00C45626">
        <w:rPr>
          <w:rFonts w:ascii="Palatino Linotype" w:hAnsi="Palatino Linotype" w:cs="Arial"/>
          <w:lang w:eastAsia="es-MX"/>
        </w:rPr>
        <w:t xml:space="preserve"> en el inciso B</w:t>
      </w:r>
      <w:r w:rsidRPr="00C45626">
        <w:rPr>
          <w:rFonts w:ascii="Palatino Linotype" w:hAnsi="Palatino Linotype" w:cs="Arial"/>
          <w:lang w:eastAsia="es-MX"/>
        </w:rPr>
        <w:t xml:space="preserve"> del cuadro de análisis previamente referido </w:t>
      </w:r>
      <w:r w:rsidRPr="00C45626">
        <w:rPr>
          <w:rFonts w:ascii="Palatino Linotype" w:hAnsi="Palatino Linotype" w:cs="Arial"/>
          <w:lang w:val="es-MX"/>
        </w:rPr>
        <w:t xml:space="preserve">deben entenderse como consentidos por el </w:t>
      </w:r>
      <w:r w:rsidRPr="00C45626">
        <w:rPr>
          <w:rFonts w:ascii="Palatino Linotype" w:hAnsi="Palatino Linotype" w:cs="Arial"/>
          <w:b/>
          <w:bCs/>
          <w:lang w:val="es-MX"/>
        </w:rPr>
        <w:t>RECURRENTE</w:t>
      </w:r>
      <w:r w:rsidRPr="00C45626">
        <w:rPr>
          <w:rFonts w:ascii="Palatino Linotype" w:hAnsi="Palatino Linotype" w:cs="Arial"/>
          <w:lang w:val="es-MX"/>
        </w:rPr>
        <w:t xml:space="preserve">. </w:t>
      </w:r>
    </w:p>
    <w:p w14:paraId="5973B6BF" w14:textId="77777777" w:rsidR="000B6A22" w:rsidRPr="00C45626" w:rsidRDefault="000B6A22" w:rsidP="000B6A2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7369042" w14:textId="77777777" w:rsidR="000B6A22" w:rsidRPr="00C45626" w:rsidRDefault="000B6A22" w:rsidP="000B6A22">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C45626">
        <w:rPr>
          <w:rFonts w:ascii="Palatino Linotype" w:hAnsi="Palatino Linotype" w:cs="Arial"/>
          <w:lang w:val="es-MX"/>
        </w:rPr>
        <w:t>Ello es así, debido a que únicamente expresa inconformidad en los siguientes términos:</w:t>
      </w:r>
    </w:p>
    <w:p w14:paraId="134909C6" w14:textId="77777777" w:rsidR="000B6A22" w:rsidRPr="00C45626" w:rsidRDefault="000B6A22" w:rsidP="000B6A22">
      <w:pPr>
        <w:spacing w:line="360" w:lineRule="auto"/>
        <w:ind w:left="708"/>
        <w:rPr>
          <w:rFonts w:ascii="Palatino Linotype" w:hAnsi="Palatino Linotype" w:cs="Arial"/>
          <w:lang w:val="es-MX"/>
        </w:rPr>
      </w:pPr>
    </w:p>
    <w:p w14:paraId="7408A394" w14:textId="66A46604" w:rsidR="000B6A22" w:rsidRPr="00C45626" w:rsidRDefault="00A94E8D" w:rsidP="000B6A22">
      <w:pPr>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lang w:val="es-MX"/>
        </w:rPr>
      </w:pPr>
      <w:r w:rsidRPr="00C45626">
        <w:rPr>
          <w:rFonts w:ascii="Palatino Linotype" w:eastAsiaTheme="minorEastAsia" w:hAnsi="Palatino Linotype" w:cstheme="minorBidi"/>
          <w:i/>
          <w:color w:val="000000" w:themeColor="text1"/>
          <w:lang w:val="es-MX"/>
        </w:rPr>
        <w:t>“Respecto al punto A) La (s) política (s) gestión y tratamiento de los datos personales, la titular de la Unidad de Transparencia, refiere como respuesta que no cuenta con políticas internas, debido a que las políticas, gestión y tratamiento de datos personales se realizan de acuerdo a la Ley General de Protección de Datos Personales, por lo que considero que es contradictoria la respuesta, ya que en un primer momento expresa que no cuenta con la información y posteriormente señala que lo realiza de conformidad con la normatividad, de lo que se puede entender que si cuenta con la misma. De igual manera, si no cuenta con la misma, no remite Declaratoria de Inexistencia de la información. Por cuanto hace a los puntos: C. El inventario de datos personales y de los sistemas de tratamiento; D. El procedimiento de análisis de riesgos; E. 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F. Los resultados de los análisis de brecha (comparando las medidas de seguridad existentes contra las faltantes en la organización del responsable); G. El plan de trabajo para la implementación de las medidas de seguridad faltantes, así como las medidas para el cumplimiento cotidiano de las políticas de gestión y tratamiento de los datos personales; H. El procedimiento o mecanismos de monitoreo periódico de las medidas de seguridad implementadas, así como las amenazas y vulneraciones a las que están sujetos los datos personales; I. El programa de capacitación de acuerdo al nivel, dependiendo de sus roles y responsabilidades respecto del tratamiento de los datos personales; J. Procedimiento de Auditoría al sistema de gestión de protección de datos personales y se indique quien realiza ese procedimiento; K. Los resultados de las auditorías al sistema de gestión de protección de datos personales desde su implementación a la fecha Por favor NO ENTREGAR SU DOCUMENTO ORIENTADOR, solo la DOCUMENTACIÓN SOLICITADA y que HA GENERADO ese INSTITUTO, la temporalidad de la información solicitada: de enero del año 2018 al 20 de julio de 2021 a excepción del numeral, la titular de la Unidad de Transparencia señaló que dicha información pertenece al documento de seguridad de esa Institución, no obstante no es posible entregar la información de manera íntegra, ni en versión pública debido a que las medidas de seguridad tienen el carácter de confidencial. Ahora bien, del análisis al artículo 49 de la Ley de Protección de Datos Personales en Posesión de Sujetos Obligados del Estado de México y Municipio, se puede observar que no toda la información corresponde a las medidas de seguridad, por lo que bien puede generar una versión pública. Por último, es menester señalar que se negó la información sin tener un acuerdo que avale la negativa de la información y la su clasificación</w:t>
      </w:r>
      <w:r w:rsidR="000B6A22" w:rsidRPr="00C45626">
        <w:rPr>
          <w:rFonts w:ascii="Palatino Linotype" w:eastAsiaTheme="minorEastAsia" w:hAnsi="Palatino Linotype" w:cstheme="minorBidi"/>
          <w:i/>
          <w:color w:val="000000" w:themeColor="text1"/>
          <w:lang w:val="es-MX"/>
        </w:rPr>
        <w:t>.” (Sic)</w:t>
      </w:r>
    </w:p>
    <w:p w14:paraId="0A785CE1" w14:textId="77777777" w:rsidR="000B6A22" w:rsidRPr="00C45626" w:rsidRDefault="000B6A22" w:rsidP="000B6A22">
      <w:pPr>
        <w:spacing w:line="360" w:lineRule="auto"/>
        <w:ind w:left="708"/>
        <w:rPr>
          <w:rFonts w:ascii="Palatino Linotype" w:hAnsi="Palatino Linotype" w:cs="Arial"/>
          <w:lang w:val="es-MX"/>
        </w:rPr>
      </w:pPr>
    </w:p>
    <w:p w14:paraId="468FDDCF" w14:textId="77777777" w:rsidR="000B6A22" w:rsidRPr="00C45626" w:rsidRDefault="000B6A22" w:rsidP="000B6A22">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C45626">
        <w:rPr>
          <w:rFonts w:ascii="Palatino Linotype" w:hAnsi="Palatino Linotype" w:cs="Arial"/>
          <w:lang w:val="es-MX"/>
        </w:rPr>
        <w:t>Así,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83D1F46" w14:textId="77777777" w:rsidR="000B6A22" w:rsidRPr="00C45626" w:rsidRDefault="000B6A22" w:rsidP="000B6A22">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BE5886F" w14:textId="77777777" w:rsidR="000B6A22" w:rsidRPr="00C45626" w:rsidRDefault="000B6A22" w:rsidP="000B6A22">
      <w:pPr>
        <w:spacing w:line="360" w:lineRule="auto"/>
        <w:ind w:left="567" w:right="567"/>
        <w:jc w:val="both"/>
        <w:rPr>
          <w:rFonts w:ascii="Palatino Linotype" w:eastAsiaTheme="minorEastAsia" w:hAnsi="Palatino Linotype" w:cs="Arial"/>
          <w:i/>
          <w:lang w:val="es-MX" w:eastAsia="es-MX"/>
        </w:rPr>
      </w:pPr>
      <w:r w:rsidRPr="00C45626">
        <w:rPr>
          <w:rFonts w:ascii="Palatino Linotype" w:eastAsiaTheme="minorEastAsia" w:hAnsi="Palatino Linotype" w:cs="Arial"/>
          <w:b/>
          <w:i/>
          <w:lang w:val="es-MX" w:eastAsia="es-MX"/>
        </w:rPr>
        <w:t>REVISIÓN EN AMPARO. LOS RESOLUTIVOS NO COMBATIDOS DEBEN DECLARARSE FIRMES</w:t>
      </w:r>
      <w:r w:rsidRPr="00C45626">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FAFF985" w14:textId="77777777" w:rsidR="000B6A22" w:rsidRPr="00C45626" w:rsidRDefault="000B6A22" w:rsidP="000B6A2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D042C13" w14:textId="77777777" w:rsidR="000B6A22" w:rsidRPr="00C45626" w:rsidRDefault="000B6A22" w:rsidP="000B6A22">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C45626">
        <w:rPr>
          <w:rFonts w:ascii="Palatino Linotype" w:eastAsiaTheme="minorEastAsia" w:hAnsi="Palatino Linotype" w:cstheme="minorBidi"/>
          <w:color w:val="000000" w:themeColor="text1"/>
          <w:lang w:val="es-MX"/>
        </w:rPr>
        <w:t xml:space="preserve">Luego entonces, </w:t>
      </w:r>
      <w:r w:rsidRPr="00C45626">
        <w:rPr>
          <w:rFonts w:ascii="Palatino Linotype" w:hAnsi="Palatino Linotype" w:cs="Arial"/>
          <w:lang w:val="es-MX"/>
        </w:rPr>
        <w:t xml:space="preserve">la parte de la solicitud sobre la que no se expresó inconformidad, debe declararse consentida por el hoy </w:t>
      </w:r>
      <w:r w:rsidRPr="00C45626">
        <w:rPr>
          <w:rFonts w:ascii="Palatino Linotype" w:hAnsi="Palatino Linotype" w:cs="Arial"/>
          <w:b/>
          <w:lang w:val="es-MX"/>
        </w:rPr>
        <w:t>RECURRENTE</w:t>
      </w:r>
      <w:r w:rsidRPr="00C45626">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741B96B0" w14:textId="77777777" w:rsidR="000B6A22" w:rsidRPr="00C45626" w:rsidRDefault="000B6A22" w:rsidP="000B6A22">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6170CA35" w14:textId="77777777" w:rsidR="000B6A22" w:rsidRPr="00C45626" w:rsidRDefault="000B6A22" w:rsidP="000B6A22">
      <w:pPr>
        <w:spacing w:line="360" w:lineRule="auto"/>
        <w:ind w:left="567" w:right="567"/>
        <w:jc w:val="both"/>
        <w:rPr>
          <w:rFonts w:ascii="Palatino Linotype" w:eastAsiaTheme="minorEastAsia" w:hAnsi="Palatino Linotype" w:cs="Arial"/>
          <w:i/>
          <w:lang w:val="es-MX" w:eastAsia="es-MX"/>
        </w:rPr>
      </w:pPr>
      <w:r w:rsidRPr="00C45626">
        <w:rPr>
          <w:rFonts w:ascii="Palatino Linotype" w:eastAsiaTheme="minorEastAsia" w:hAnsi="Palatino Linotype" w:cs="Arial"/>
          <w:b/>
          <w:i/>
          <w:lang w:val="es-MX" w:eastAsia="es-MX"/>
        </w:rPr>
        <w:t>ACTOS CONSENTIDOS. SON LOS QUE NO SE IMPUGNAN MEDIANTE EL RECURSO IDÓNEO</w:t>
      </w:r>
      <w:r w:rsidRPr="00C45626">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F0A3F3A" w14:textId="77777777" w:rsidR="000B6A22" w:rsidRPr="00C45626" w:rsidRDefault="000B6A22" w:rsidP="000B6A2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7286419" w14:textId="77777777" w:rsidR="000B6A22" w:rsidRPr="00C45626" w:rsidRDefault="000B6A22" w:rsidP="000B6A22">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C45626">
        <w:rPr>
          <w:rFonts w:ascii="Palatino Linotype" w:eastAsia="MS Mincho" w:hAnsi="Palatino Linotype"/>
          <w:color w:val="000000"/>
          <w:lang w:val="es-ES_tradnl"/>
        </w:rPr>
        <w:t xml:space="preserve">Por otro lado, es pertinente mencionar que </w:t>
      </w:r>
      <w:r w:rsidRPr="00C45626">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C45626">
        <w:rPr>
          <w:rFonts w:ascii="Palatino Linotype" w:eastAsia="MS Mincho" w:hAnsi="Palatino Linotype"/>
          <w:b/>
          <w:lang w:val="es-ES_tradnl"/>
        </w:rPr>
        <w:t>SUJETO OBLIGADO</w:t>
      </w:r>
      <w:r w:rsidRPr="00C45626">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02E607BA" w14:textId="77777777" w:rsidR="00575053" w:rsidRPr="00C45626" w:rsidRDefault="00575053" w:rsidP="000B6A22">
      <w:pPr>
        <w:spacing w:line="360" w:lineRule="auto"/>
        <w:ind w:right="758"/>
        <w:jc w:val="both"/>
        <w:rPr>
          <w:rFonts w:ascii="Palatino Linotype" w:eastAsia="MS Mincho" w:hAnsi="Palatino Linotype"/>
          <w:i/>
        </w:rPr>
      </w:pPr>
    </w:p>
    <w:p w14:paraId="25C9FEB6" w14:textId="4A436B22" w:rsidR="00CB6E8B" w:rsidRPr="00C45626" w:rsidRDefault="00575053" w:rsidP="00CC364E">
      <w:pPr>
        <w:pStyle w:val="Ttulo1"/>
        <w:numPr>
          <w:ilvl w:val="0"/>
          <w:numId w:val="4"/>
        </w:numPr>
        <w:ind w:left="0" w:firstLine="0"/>
        <w:rPr>
          <w:rFonts w:ascii="Palatino Linotype" w:hAnsi="Palatino Linotype"/>
          <w:b/>
          <w:color w:val="auto"/>
          <w:sz w:val="24"/>
        </w:rPr>
      </w:pPr>
      <w:bookmarkStart w:id="58" w:name="_Toc105013153"/>
      <w:r w:rsidRPr="00C45626">
        <w:rPr>
          <w:rFonts w:ascii="Palatino Linotype" w:hAnsi="Palatino Linotype"/>
          <w:b/>
          <w:color w:val="auto"/>
          <w:sz w:val="24"/>
        </w:rPr>
        <w:t>De la naturaleza de la información solicitada.</w:t>
      </w:r>
      <w:bookmarkEnd w:id="58"/>
      <w:r w:rsidRPr="00C45626">
        <w:rPr>
          <w:rFonts w:ascii="Palatino Linotype" w:hAnsi="Palatino Linotype"/>
          <w:b/>
          <w:color w:val="auto"/>
          <w:sz w:val="24"/>
        </w:rPr>
        <w:t xml:space="preserve"> </w:t>
      </w:r>
    </w:p>
    <w:p w14:paraId="379AB981" w14:textId="2AE3FE55" w:rsidR="001C2C24" w:rsidRPr="00C45626" w:rsidRDefault="001C2C24" w:rsidP="007D7513">
      <w:pPr>
        <w:spacing w:line="360" w:lineRule="auto"/>
        <w:jc w:val="both"/>
        <w:rPr>
          <w:rFonts w:ascii="Palatino Linotype" w:hAnsi="Palatino Linotype"/>
          <w:b/>
        </w:rPr>
      </w:pPr>
    </w:p>
    <w:p w14:paraId="689A8B31" w14:textId="6208215F" w:rsidR="001C2C24" w:rsidRPr="00C45626" w:rsidRDefault="001C2C24" w:rsidP="00CC364E">
      <w:pPr>
        <w:pStyle w:val="Prrafodelista"/>
        <w:numPr>
          <w:ilvl w:val="0"/>
          <w:numId w:val="8"/>
        </w:numPr>
        <w:tabs>
          <w:tab w:val="left" w:pos="0"/>
        </w:tabs>
        <w:spacing w:before="240" w:after="360" w:line="360" w:lineRule="auto"/>
        <w:ind w:left="0" w:firstLine="0"/>
        <w:contextualSpacing/>
        <w:jc w:val="both"/>
        <w:rPr>
          <w:rFonts w:ascii="Palatino Linotype" w:hAnsi="Palatino Linotype"/>
          <w:color w:val="000000"/>
        </w:rPr>
      </w:pPr>
      <w:r w:rsidRPr="00C45626">
        <w:rPr>
          <w:rFonts w:ascii="Palatino Linotype" w:hAnsi="Palatino Linotype"/>
          <w:color w:val="000000"/>
        </w:rPr>
        <w:t xml:space="preserve">Previo al estudio de la naturaleza de la información solicitada, resulta necesario señalar que el </w:t>
      </w:r>
      <w:r w:rsidRPr="00C45626">
        <w:rPr>
          <w:rFonts w:ascii="Palatino Linotype" w:hAnsi="Palatino Linotype"/>
          <w:b/>
          <w:color w:val="000000"/>
        </w:rPr>
        <w:t xml:space="preserve">SUJETO OBLIGADO </w:t>
      </w:r>
      <w:r w:rsidRPr="00C45626">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C45626" w:rsidRDefault="001C2C24" w:rsidP="00CC364E">
      <w:pPr>
        <w:numPr>
          <w:ilvl w:val="0"/>
          <w:numId w:val="8"/>
        </w:numPr>
        <w:spacing w:before="240" w:after="360" w:line="360" w:lineRule="auto"/>
        <w:ind w:left="0" w:firstLine="0"/>
        <w:contextualSpacing/>
        <w:jc w:val="both"/>
        <w:rPr>
          <w:rFonts w:ascii="Palatino Linotype" w:eastAsia="MS Mincho" w:hAnsi="Palatino Linotype" w:cs="Arial"/>
          <w:i/>
          <w:lang w:val="es-MX"/>
        </w:rPr>
      </w:pPr>
      <w:r w:rsidRPr="00C45626">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C45626">
        <w:rPr>
          <w:rFonts w:ascii="Palatino Linotype" w:eastAsia="MS Mincho" w:hAnsi="Palatino Linotype"/>
          <w:color w:val="000000"/>
          <w:lang w:val="es-ES_tradnl" w:eastAsia="es-MX"/>
        </w:rPr>
        <w:t xml:space="preserve">, en ese sentido el </w:t>
      </w:r>
      <w:r w:rsidRPr="00C45626">
        <w:rPr>
          <w:rFonts w:ascii="Palatino Linotype" w:eastAsia="MS Mincho" w:hAnsi="Palatino Linotype"/>
          <w:b/>
          <w:color w:val="000000"/>
          <w:lang w:val="es-ES_tradnl" w:eastAsia="es-MX"/>
        </w:rPr>
        <w:t xml:space="preserve">SUJETO OBLIGADO, </w:t>
      </w:r>
      <w:r w:rsidRPr="00C45626">
        <w:rPr>
          <w:rFonts w:ascii="Palatino Linotype" w:eastAsia="MS Mincho" w:hAnsi="Palatino Linotype"/>
          <w:color w:val="000000"/>
          <w:lang w:val="es-ES_tradnl" w:eastAsia="es-MX"/>
        </w:rPr>
        <w:t>está reconociendo implícitamente que la misma obra en sus archivos.</w:t>
      </w:r>
    </w:p>
    <w:p w14:paraId="65B199EF" w14:textId="77777777" w:rsidR="001F11AA" w:rsidRPr="00C45626" w:rsidRDefault="001F11AA" w:rsidP="001F11AA">
      <w:pPr>
        <w:spacing w:before="240" w:after="360" w:line="360" w:lineRule="auto"/>
        <w:contextualSpacing/>
        <w:jc w:val="both"/>
        <w:rPr>
          <w:rFonts w:ascii="Palatino Linotype" w:eastAsia="MS Mincho" w:hAnsi="Palatino Linotype" w:cs="Arial"/>
          <w:i/>
          <w:lang w:val="es-MX"/>
        </w:rPr>
      </w:pPr>
    </w:p>
    <w:p w14:paraId="6385C968" w14:textId="4FA40DAC" w:rsidR="001C2C24" w:rsidRPr="00C45626" w:rsidRDefault="001C2C24" w:rsidP="00CC364E">
      <w:pPr>
        <w:numPr>
          <w:ilvl w:val="0"/>
          <w:numId w:val="8"/>
        </w:numPr>
        <w:spacing w:after="160" w:line="360" w:lineRule="auto"/>
        <w:ind w:left="0" w:firstLine="0"/>
        <w:jc w:val="both"/>
        <w:rPr>
          <w:rFonts w:ascii="Palatino Linotype" w:hAnsi="Palatino Linotype" w:cs="Arial"/>
        </w:rPr>
      </w:pPr>
      <w:r w:rsidRPr="00C45626">
        <w:rPr>
          <w:rFonts w:ascii="Palatino Linotype" w:eastAsia="Calibri" w:hAnsi="Palatino Linotype" w:cs="Arial"/>
          <w:bCs/>
          <w:lang w:val="es-MX"/>
        </w:rPr>
        <w:t>No obstante lo anterior</w:t>
      </w:r>
      <w:r w:rsidRPr="00C45626">
        <w:rPr>
          <w:rFonts w:ascii="Palatino Linotype" w:eastAsia="Calibri" w:hAnsi="Palatino Linotype" w:cs="Arial"/>
          <w:bCs/>
        </w:rPr>
        <w:t xml:space="preserve">, es pertinente mencionar que, </w:t>
      </w:r>
      <w:r w:rsidRPr="00C45626">
        <w:rPr>
          <w:rFonts w:ascii="Palatino Linotype" w:eastAsia="MS Mincho" w:hAnsi="Palatino Linotype"/>
          <w:lang w:eastAsia="es-ES_tradnl"/>
        </w:rPr>
        <w:t xml:space="preserve">el </w:t>
      </w:r>
      <w:r w:rsidRPr="00C45626">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C45626" w:rsidRDefault="001C2C24" w:rsidP="007D7513">
      <w:pPr>
        <w:spacing w:after="160" w:line="360" w:lineRule="auto"/>
        <w:jc w:val="both"/>
        <w:rPr>
          <w:rFonts w:ascii="Palatino Linotype" w:hAnsi="Palatino Linotype" w:cs="Arial"/>
        </w:rPr>
      </w:pPr>
    </w:p>
    <w:p w14:paraId="1E8C8A94" w14:textId="77777777" w:rsidR="001C2C24" w:rsidRPr="00C45626"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C45626">
        <w:rPr>
          <w:rFonts w:ascii="Palatino Linotype" w:eastAsia="Calibri" w:hAnsi="Palatino Linotype"/>
          <w:b/>
          <w:i/>
          <w:lang w:val="es-MX" w:eastAsia="es-ES_tradnl"/>
        </w:rPr>
        <w:t>Artículo 18.</w:t>
      </w:r>
      <w:r w:rsidRPr="00C45626">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C45626" w:rsidRDefault="001C2C24" w:rsidP="007D7513">
      <w:pPr>
        <w:spacing w:line="360" w:lineRule="auto"/>
        <w:jc w:val="both"/>
        <w:rPr>
          <w:rFonts w:ascii="Palatino Linotype" w:hAnsi="Palatino Linotype" w:cs="Arial"/>
        </w:rPr>
      </w:pPr>
    </w:p>
    <w:p w14:paraId="586DB2AD" w14:textId="77777777" w:rsidR="001C2C24" w:rsidRPr="00C45626" w:rsidRDefault="001C2C24" w:rsidP="00CC364E">
      <w:pPr>
        <w:numPr>
          <w:ilvl w:val="0"/>
          <w:numId w:val="8"/>
        </w:numPr>
        <w:spacing w:after="160" w:line="360" w:lineRule="auto"/>
        <w:ind w:left="0" w:firstLine="0"/>
        <w:jc w:val="both"/>
        <w:rPr>
          <w:rFonts w:ascii="Palatino Linotype" w:hAnsi="Palatino Linotype" w:cs="Arial"/>
        </w:rPr>
      </w:pPr>
      <w:r w:rsidRPr="00C45626">
        <w:rPr>
          <w:rFonts w:ascii="Palatino Linotype" w:eastAsia="Calibri" w:hAnsi="Palatino Linotype" w:cs="Arial"/>
          <w:lang w:val="es-MX" w:eastAsia="en-US"/>
        </w:rPr>
        <w:t xml:space="preserve">Por otro lado, </w:t>
      </w:r>
      <w:r w:rsidRPr="00C4562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C45626">
        <w:rPr>
          <w:rFonts w:ascii="Palatino Linotype" w:hAnsi="Palatino Linotype"/>
          <w:b/>
          <w:lang w:val="es-MX" w:eastAsia="es-MX"/>
        </w:rPr>
        <w:t>SUJETOS OBLIGADOS</w:t>
      </w:r>
      <w:r w:rsidRPr="00C45626">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C45626" w:rsidRDefault="001C2C24" w:rsidP="007D7513">
      <w:pPr>
        <w:spacing w:line="360" w:lineRule="auto"/>
        <w:jc w:val="both"/>
        <w:rPr>
          <w:rFonts w:ascii="Palatino Linotype" w:hAnsi="Palatino Linotype" w:cs="Arial"/>
        </w:rPr>
      </w:pPr>
    </w:p>
    <w:p w14:paraId="7561FC9F" w14:textId="77777777" w:rsidR="001C2C24" w:rsidRPr="00C45626" w:rsidRDefault="001C2C24" w:rsidP="007D7513">
      <w:pPr>
        <w:spacing w:after="160" w:line="360" w:lineRule="auto"/>
        <w:ind w:left="567" w:right="567"/>
        <w:jc w:val="both"/>
        <w:rPr>
          <w:rFonts w:ascii="Palatino Linotype" w:hAnsi="Palatino Linotype"/>
          <w:i/>
          <w:lang w:eastAsia="en-US"/>
        </w:rPr>
      </w:pPr>
      <w:r w:rsidRPr="00C45626">
        <w:rPr>
          <w:rFonts w:ascii="Palatino Linotype" w:hAnsi="Palatino Linotype"/>
          <w:i/>
          <w:lang w:eastAsia="en-US"/>
        </w:rPr>
        <w:t>“</w:t>
      </w:r>
      <w:r w:rsidRPr="00C45626">
        <w:rPr>
          <w:rFonts w:ascii="Palatino Linotype" w:hAnsi="Palatino Linotype"/>
          <w:b/>
          <w:i/>
          <w:lang w:eastAsia="en-US"/>
        </w:rPr>
        <w:t>Artículo 4.</w:t>
      </w:r>
      <w:r w:rsidRPr="00C45626">
        <w:rPr>
          <w:rFonts w:ascii="Palatino Linotype" w:hAnsi="Palatino Linotype"/>
          <w:i/>
          <w:lang w:eastAsia="en-US"/>
        </w:rPr>
        <w:t xml:space="preserve"> </w:t>
      </w:r>
    </w:p>
    <w:p w14:paraId="4B2543CA" w14:textId="77777777" w:rsidR="001C2C24" w:rsidRPr="00C45626" w:rsidRDefault="001C2C24" w:rsidP="007D7513">
      <w:pPr>
        <w:spacing w:after="160" w:line="360" w:lineRule="auto"/>
        <w:ind w:left="567" w:right="567"/>
        <w:jc w:val="both"/>
        <w:rPr>
          <w:rFonts w:ascii="Palatino Linotype" w:hAnsi="Palatino Linotype"/>
          <w:i/>
          <w:lang w:eastAsia="en-US"/>
        </w:rPr>
      </w:pPr>
      <w:r w:rsidRPr="00C45626">
        <w:rPr>
          <w:rFonts w:ascii="Palatino Linotype" w:hAnsi="Palatino Linotype"/>
          <w:i/>
          <w:lang w:eastAsia="en-US"/>
        </w:rPr>
        <w:t>(…)</w:t>
      </w:r>
    </w:p>
    <w:p w14:paraId="6FA6891A" w14:textId="77777777" w:rsidR="001C2C24" w:rsidRPr="00C45626" w:rsidRDefault="001C2C24" w:rsidP="007D7513">
      <w:pPr>
        <w:spacing w:after="160" w:line="360" w:lineRule="auto"/>
        <w:ind w:left="567" w:right="567"/>
        <w:jc w:val="both"/>
        <w:rPr>
          <w:rFonts w:ascii="Palatino Linotype" w:hAnsi="Palatino Linotype"/>
          <w:i/>
          <w:lang w:eastAsia="en-US"/>
        </w:rPr>
      </w:pPr>
      <w:r w:rsidRPr="00C45626">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C45626">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C45626">
        <w:rPr>
          <w:rFonts w:ascii="Palatino Linotype" w:hAnsi="Palatino Linotype"/>
          <w:b/>
          <w:i/>
          <w:lang w:eastAsia="en-US"/>
        </w:rPr>
        <w:t>principio de máxima publicidad</w:t>
      </w:r>
      <w:r w:rsidRPr="00C45626">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C45626" w:rsidRDefault="001C2C24" w:rsidP="007D7513">
      <w:pPr>
        <w:spacing w:after="160" w:line="360" w:lineRule="auto"/>
        <w:ind w:left="567" w:right="567"/>
        <w:jc w:val="both"/>
        <w:rPr>
          <w:rFonts w:ascii="Palatino Linotype" w:hAnsi="Palatino Linotype"/>
          <w:i/>
          <w:lang w:eastAsia="en-US"/>
        </w:rPr>
      </w:pPr>
      <w:r w:rsidRPr="00C45626">
        <w:rPr>
          <w:rFonts w:ascii="Palatino Linotype" w:hAnsi="Palatino Linotype"/>
          <w:i/>
          <w:lang w:eastAsia="en-US"/>
        </w:rPr>
        <w:t>(…)</w:t>
      </w:r>
    </w:p>
    <w:p w14:paraId="43A6B13A" w14:textId="77777777" w:rsidR="001C2C24" w:rsidRPr="00C45626" w:rsidRDefault="001C2C24" w:rsidP="007D7513">
      <w:pPr>
        <w:spacing w:after="160" w:line="360" w:lineRule="auto"/>
        <w:ind w:right="567"/>
        <w:jc w:val="both"/>
        <w:rPr>
          <w:rFonts w:ascii="Palatino Linotype" w:hAnsi="Palatino Linotype"/>
          <w:lang w:eastAsia="en-US"/>
        </w:rPr>
      </w:pPr>
    </w:p>
    <w:p w14:paraId="6CE9C58D" w14:textId="77777777" w:rsidR="001C2C24" w:rsidRPr="00C45626" w:rsidRDefault="001C2C24" w:rsidP="007D7513">
      <w:pPr>
        <w:spacing w:after="160" w:line="360" w:lineRule="auto"/>
        <w:ind w:left="567" w:right="567"/>
        <w:jc w:val="both"/>
        <w:rPr>
          <w:rFonts w:ascii="Palatino Linotype" w:hAnsi="Palatino Linotype"/>
          <w:i/>
          <w:lang w:eastAsia="en-US"/>
        </w:rPr>
      </w:pPr>
      <w:r w:rsidRPr="00C45626">
        <w:rPr>
          <w:rFonts w:ascii="Palatino Linotype" w:hAnsi="Palatino Linotype"/>
          <w:i/>
          <w:lang w:eastAsia="en-US"/>
        </w:rPr>
        <w:t>(Énfasis añadido)</w:t>
      </w:r>
    </w:p>
    <w:p w14:paraId="5F4C9700" w14:textId="77777777" w:rsidR="001C2C24" w:rsidRPr="00C45626" w:rsidRDefault="001C2C24" w:rsidP="007D7513">
      <w:pPr>
        <w:spacing w:line="360" w:lineRule="auto"/>
        <w:jc w:val="both"/>
        <w:rPr>
          <w:rFonts w:ascii="Palatino Linotype" w:hAnsi="Palatino Linotype" w:cs="Arial"/>
        </w:rPr>
      </w:pPr>
    </w:p>
    <w:p w14:paraId="1849C0AE" w14:textId="77777777" w:rsidR="001C2C24" w:rsidRPr="00C45626" w:rsidRDefault="001C2C24" w:rsidP="00CC364E">
      <w:pPr>
        <w:numPr>
          <w:ilvl w:val="0"/>
          <w:numId w:val="8"/>
        </w:numPr>
        <w:spacing w:after="160" w:line="360" w:lineRule="auto"/>
        <w:ind w:left="0" w:firstLine="0"/>
        <w:jc w:val="both"/>
        <w:rPr>
          <w:rFonts w:ascii="Palatino Linotype" w:hAnsi="Palatino Linotype" w:cs="Arial"/>
        </w:rPr>
      </w:pPr>
      <w:r w:rsidRPr="00C45626">
        <w:rPr>
          <w:rFonts w:ascii="Palatino Linotype" w:eastAsia="Calibri" w:hAnsi="Palatino Linotype" w:cs="Arial"/>
          <w:lang w:val="es-MX" w:eastAsia="en-US"/>
        </w:rPr>
        <w:t xml:space="preserve">En ese sentido, no debe de pasar de vista para el </w:t>
      </w:r>
      <w:r w:rsidRPr="00C45626">
        <w:rPr>
          <w:rFonts w:ascii="Palatino Linotype" w:eastAsia="Calibri" w:hAnsi="Palatino Linotype" w:cs="Arial"/>
          <w:b/>
          <w:lang w:val="es-MX" w:eastAsia="en-US"/>
        </w:rPr>
        <w:t>SUJETO OBLIGADO</w:t>
      </w:r>
      <w:r w:rsidRPr="00C4562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C45626" w:rsidRDefault="001C2C24" w:rsidP="007D7513">
      <w:pPr>
        <w:spacing w:line="360" w:lineRule="auto"/>
        <w:jc w:val="both"/>
        <w:rPr>
          <w:rFonts w:ascii="Palatino Linotype" w:hAnsi="Palatino Linotype" w:cs="Arial"/>
        </w:rPr>
      </w:pPr>
    </w:p>
    <w:p w14:paraId="01149F69" w14:textId="77777777" w:rsidR="001C2C24" w:rsidRPr="00C45626" w:rsidRDefault="001C2C24" w:rsidP="007D7513">
      <w:pPr>
        <w:spacing w:after="160" w:line="360" w:lineRule="auto"/>
        <w:ind w:left="567" w:right="567"/>
        <w:jc w:val="both"/>
        <w:rPr>
          <w:rFonts w:ascii="Palatino Linotype" w:eastAsia="Calibri" w:hAnsi="Palatino Linotype"/>
          <w:i/>
          <w:lang w:val="es-MX" w:eastAsia="en-US"/>
        </w:rPr>
      </w:pPr>
      <w:r w:rsidRPr="00C45626">
        <w:rPr>
          <w:rFonts w:ascii="Palatino Linotype" w:eastAsia="Calibri" w:hAnsi="Palatino Linotype"/>
          <w:i/>
          <w:lang w:val="es-MX" w:eastAsia="en-US"/>
        </w:rPr>
        <w:t>“</w:t>
      </w:r>
      <w:r w:rsidRPr="00C45626">
        <w:rPr>
          <w:rFonts w:ascii="Palatino Linotype" w:eastAsia="Calibri" w:hAnsi="Palatino Linotype"/>
          <w:b/>
          <w:i/>
          <w:lang w:val="es-MX" w:eastAsia="en-US"/>
        </w:rPr>
        <w:t>Artículo 8.</w:t>
      </w:r>
      <w:r w:rsidRPr="00C45626">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C45626"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C45626" w:rsidRDefault="001C2C24" w:rsidP="007D7513">
      <w:pPr>
        <w:spacing w:after="160" w:line="360" w:lineRule="auto"/>
        <w:ind w:left="567" w:right="567"/>
        <w:jc w:val="both"/>
        <w:rPr>
          <w:rFonts w:ascii="Palatino Linotype" w:eastAsia="Calibri" w:hAnsi="Palatino Linotype"/>
          <w:i/>
          <w:lang w:val="es-MX" w:eastAsia="en-US"/>
        </w:rPr>
      </w:pPr>
      <w:r w:rsidRPr="00C45626">
        <w:rPr>
          <w:rFonts w:ascii="Palatino Linotype" w:eastAsia="Calibri" w:hAnsi="Palatino Linotype"/>
          <w:b/>
          <w:i/>
          <w:lang w:val="es-MX" w:eastAsia="en-US"/>
        </w:rPr>
        <w:t>En la aplicación e interpretación de la presente Ley deberá prevalecer el principio de máxima publicidad,</w:t>
      </w:r>
      <w:r w:rsidRPr="00C4562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C45626"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C45626" w:rsidRDefault="001C2C24" w:rsidP="007D7513">
      <w:pPr>
        <w:spacing w:after="160" w:line="360" w:lineRule="auto"/>
        <w:ind w:left="567" w:right="567"/>
        <w:jc w:val="both"/>
        <w:rPr>
          <w:rFonts w:ascii="Palatino Linotype" w:eastAsia="Calibri" w:hAnsi="Palatino Linotype"/>
          <w:i/>
          <w:lang w:val="es-MX" w:eastAsia="en-US"/>
        </w:rPr>
      </w:pPr>
      <w:r w:rsidRPr="00C45626">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C45626" w:rsidRDefault="001C2C24" w:rsidP="007D7513">
      <w:pPr>
        <w:spacing w:after="160" w:line="360" w:lineRule="auto"/>
        <w:ind w:left="567" w:right="567"/>
        <w:jc w:val="both"/>
        <w:rPr>
          <w:rFonts w:ascii="Palatino Linotype" w:eastAsia="Calibri" w:hAnsi="Palatino Linotype"/>
          <w:i/>
          <w:lang w:val="es-MX" w:eastAsia="en-US"/>
        </w:rPr>
      </w:pPr>
      <w:r w:rsidRPr="00C45626">
        <w:rPr>
          <w:rFonts w:ascii="Palatino Linotype" w:eastAsia="Calibri" w:hAnsi="Palatino Linotype"/>
          <w:i/>
          <w:lang w:val="es-MX" w:eastAsia="en-US"/>
        </w:rPr>
        <w:t>(Énfasis añadido)</w:t>
      </w:r>
    </w:p>
    <w:p w14:paraId="592E9DE0" w14:textId="77777777" w:rsidR="001C2C24" w:rsidRPr="00C45626" w:rsidRDefault="001C2C24" w:rsidP="007D7513">
      <w:pPr>
        <w:spacing w:line="360" w:lineRule="auto"/>
        <w:jc w:val="both"/>
        <w:rPr>
          <w:rFonts w:ascii="Palatino Linotype" w:hAnsi="Palatino Linotype" w:cs="Arial"/>
        </w:rPr>
      </w:pPr>
    </w:p>
    <w:p w14:paraId="6C6B77CF" w14:textId="77777777" w:rsidR="001C2C24" w:rsidRPr="00C45626" w:rsidRDefault="001C2C24" w:rsidP="00CC364E">
      <w:pPr>
        <w:numPr>
          <w:ilvl w:val="0"/>
          <w:numId w:val="8"/>
        </w:numPr>
        <w:spacing w:after="160" w:line="360" w:lineRule="auto"/>
        <w:ind w:left="0" w:firstLine="0"/>
        <w:jc w:val="both"/>
        <w:rPr>
          <w:rFonts w:ascii="Palatino Linotype" w:hAnsi="Palatino Linotype" w:cs="Arial"/>
        </w:rPr>
      </w:pPr>
      <w:r w:rsidRPr="00C4562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1E02D71" w14:textId="77777777" w:rsidR="001C2C24" w:rsidRPr="00C45626" w:rsidRDefault="001C2C24" w:rsidP="007D7513">
      <w:pPr>
        <w:spacing w:before="240" w:after="240" w:line="360" w:lineRule="auto"/>
        <w:ind w:left="540" w:right="738"/>
        <w:contextualSpacing/>
        <w:jc w:val="both"/>
        <w:rPr>
          <w:rFonts w:ascii="Palatino Linotype" w:eastAsia="Calibri" w:hAnsi="Palatino Linotype"/>
          <w:i/>
        </w:rPr>
      </w:pPr>
      <w:r w:rsidRPr="00C45626">
        <w:rPr>
          <w:rFonts w:ascii="Palatino Linotype" w:eastAsia="Calibri" w:hAnsi="Palatino Linotype"/>
        </w:rPr>
        <w:t>“</w:t>
      </w:r>
      <w:r w:rsidRPr="00C45626">
        <w:rPr>
          <w:rFonts w:ascii="Palatino Linotype" w:eastAsia="Calibri" w:hAnsi="Palatino Linotype"/>
          <w:b/>
          <w:i/>
        </w:rPr>
        <w:t>Artículo 7.</w:t>
      </w:r>
      <w:r w:rsidRPr="00C45626">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C45626" w:rsidRDefault="001C2C24" w:rsidP="007D7513">
      <w:pPr>
        <w:spacing w:line="360" w:lineRule="auto"/>
        <w:jc w:val="both"/>
        <w:rPr>
          <w:rFonts w:ascii="Palatino Linotype" w:hAnsi="Palatino Linotype" w:cs="Arial"/>
        </w:rPr>
      </w:pPr>
    </w:p>
    <w:p w14:paraId="62BB4239" w14:textId="77777777" w:rsidR="001C2C24" w:rsidRPr="00C45626" w:rsidRDefault="001C2C24" w:rsidP="00CC364E">
      <w:pPr>
        <w:numPr>
          <w:ilvl w:val="0"/>
          <w:numId w:val="8"/>
        </w:numPr>
        <w:spacing w:after="160" w:line="360" w:lineRule="auto"/>
        <w:ind w:left="0" w:firstLine="0"/>
        <w:jc w:val="both"/>
        <w:rPr>
          <w:rFonts w:ascii="Palatino Linotype" w:hAnsi="Palatino Linotype" w:cs="Arial"/>
        </w:rPr>
      </w:pPr>
      <w:r w:rsidRPr="00C45626">
        <w:rPr>
          <w:rFonts w:ascii="Palatino Linotype" w:eastAsia="Calibri" w:hAnsi="Palatino Linotype" w:cs="Arial"/>
          <w:bCs/>
          <w:lang w:val="es-MX" w:eastAsia="en-US"/>
        </w:rPr>
        <w:t xml:space="preserve">Además, </w:t>
      </w:r>
      <w:r w:rsidRPr="00C45626">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C45626" w:rsidRDefault="001C2C24" w:rsidP="007D7513">
      <w:pPr>
        <w:spacing w:line="360" w:lineRule="auto"/>
        <w:jc w:val="both"/>
        <w:rPr>
          <w:rFonts w:ascii="Palatino Linotype" w:hAnsi="Palatino Linotype" w:cs="Arial"/>
        </w:rPr>
      </w:pPr>
    </w:p>
    <w:p w14:paraId="229C85BB" w14:textId="77777777" w:rsidR="001C2C24" w:rsidRPr="00C45626" w:rsidRDefault="001C2C24" w:rsidP="007D7513">
      <w:pPr>
        <w:spacing w:after="160" w:line="360" w:lineRule="auto"/>
        <w:ind w:left="426" w:right="616"/>
        <w:contextualSpacing/>
        <w:jc w:val="both"/>
        <w:rPr>
          <w:rFonts w:ascii="Palatino Linotype" w:hAnsi="Palatino Linotype" w:cs="Arial"/>
          <w:i/>
          <w:lang w:val="es-MX" w:eastAsia="en-US"/>
        </w:rPr>
      </w:pPr>
      <w:r w:rsidRPr="00C45626">
        <w:rPr>
          <w:rFonts w:ascii="Palatino Linotype" w:hAnsi="Palatino Linotype" w:cs="Arial"/>
          <w:b/>
          <w:i/>
          <w:lang w:eastAsia="en-US"/>
        </w:rPr>
        <w:t>“Artículo 23.</w:t>
      </w:r>
      <w:r w:rsidRPr="00C45626">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C45626"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C45626" w:rsidRDefault="001C2C24" w:rsidP="007D7513">
      <w:pPr>
        <w:spacing w:before="240" w:after="240" w:line="360" w:lineRule="auto"/>
        <w:ind w:left="567" w:right="616"/>
        <w:contextualSpacing/>
        <w:jc w:val="both"/>
        <w:rPr>
          <w:rFonts w:ascii="Palatino Linotype" w:eastAsia="MS Mincho" w:hAnsi="Palatino Linotype" w:cs="Arial"/>
          <w:lang w:val="es-MX"/>
        </w:rPr>
      </w:pPr>
      <w:r w:rsidRPr="00C45626">
        <w:rPr>
          <w:rFonts w:ascii="Palatino Linotype" w:eastAsia="MS Mincho" w:hAnsi="Palatino Linotype" w:cs="Arial"/>
          <w:lang w:val="es-MX"/>
        </w:rPr>
        <w:t>(…)</w:t>
      </w:r>
    </w:p>
    <w:p w14:paraId="27C71C87" w14:textId="77777777" w:rsidR="001C2C24" w:rsidRPr="00C45626"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7BD3E2BB" w:rsidR="001C2C24" w:rsidRPr="00C45626" w:rsidRDefault="001C2C24" w:rsidP="007D7513">
      <w:pPr>
        <w:spacing w:before="240" w:after="240" w:line="360" w:lineRule="auto"/>
        <w:ind w:left="567" w:right="616"/>
        <w:contextualSpacing/>
        <w:jc w:val="both"/>
        <w:rPr>
          <w:rFonts w:ascii="Palatino Linotype" w:eastAsia="MS Mincho" w:hAnsi="Palatino Linotype" w:cs="Arial"/>
          <w:b/>
          <w:i/>
          <w:lang w:val="es-MX"/>
        </w:rPr>
      </w:pPr>
      <w:r w:rsidRPr="00C45626">
        <w:rPr>
          <w:rFonts w:ascii="Palatino Linotype" w:eastAsia="MS Mincho" w:hAnsi="Palatino Linotype" w:cs="Arial"/>
          <w:b/>
          <w:i/>
          <w:lang w:val="es-MX"/>
        </w:rPr>
        <w:t>VI. Los tribunales administrativos y autoridades jurisdiccionales en materia laboral;"</w:t>
      </w:r>
    </w:p>
    <w:p w14:paraId="7B1E12F2" w14:textId="77777777" w:rsidR="001C2C24" w:rsidRPr="00C45626"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C45626"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C45626">
        <w:rPr>
          <w:rFonts w:ascii="Palatino Linotype" w:hAnsi="Palatino Linotype" w:cs="Arial"/>
          <w:i/>
          <w:lang w:val="es-MX" w:eastAsia="en-US"/>
        </w:rPr>
        <w:t>(…)”</w:t>
      </w:r>
    </w:p>
    <w:p w14:paraId="1925D8F0" w14:textId="77777777" w:rsidR="001C2C24" w:rsidRPr="00C45626" w:rsidRDefault="001C2C24" w:rsidP="007D7513">
      <w:pPr>
        <w:spacing w:line="360" w:lineRule="auto"/>
        <w:jc w:val="both"/>
        <w:rPr>
          <w:rFonts w:ascii="Palatino Linotype" w:hAnsi="Palatino Linotype" w:cs="Arial"/>
        </w:rPr>
      </w:pPr>
    </w:p>
    <w:p w14:paraId="5C0040B5" w14:textId="26F95329" w:rsidR="001C2C24" w:rsidRPr="00C45626" w:rsidRDefault="001C2C24" w:rsidP="00CC364E">
      <w:pPr>
        <w:numPr>
          <w:ilvl w:val="0"/>
          <w:numId w:val="8"/>
        </w:numPr>
        <w:spacing w:after="160" w:line="360" w:lineRule="auto"/>
        <w:ind w:left="0" w:firstLine="0"/>
        <w:jc w:val="both"/>
        <w:rPr>
          <w:rFonts w:ascii="Palatino Linotype" w:hAnsi="Palatino Linotype" w:cs="Arial"/>
        </w:rPr>
      </w:pPr>
      <w:r w:rsidRPr="00C45626">
        <w:rPr>
          <w:rFonts w:ascii="Palatino Linotype" w:eastAsia="Calibri" w:hAnsi="Palatino Linotype"/>
          <w:lang w:val="es-ES_tradnl"/>
        </w:rPr>
        <w:t xml:space="preserve">Al tenor de lo anterior, es oportuno establecer que </w:t>
      </w:r>
      <w:r w:rsidRPr="00C45626">
        <w:rPr>
          <w:rFonts w:ascii="Palatino Linotype" w:hAnsi="Palatino Linotype"/>
          <w:lang w:eastAsia="es-MX"/>
        </w:rPr>
        <w:t>la fracción XIV del artículo 92 de la Ley de Transparencia y Acceso a la Información del Estado de México y Municipios, estable</w:t>
      </w:r>
      <w:r w:rsidR="007762AF" w:rsidRPr="00C45626">
        <w:rPr>
          <w:rFonts w:ascii="Palatino Linotype" w:hAnsi="Palatino Linotype"/>
          <w:lang w:eastAsia="es-MX"/>
        </w:rPr>
        <w:t>ce que los indicadores de metas y objetivos</w:t>
      </w:r>
      <w:r w:rsidRPr="00C45626">
        <w:rPr>
          <w:rFonts w:ascii="Palatino Linotype" w:hAnsi="Palatino Linotype"/>
          <w:lang w:eastAsia="es-MX"/>
        </w:rPr>
        <w:t xml:space="preserve">, constituyen una obligación de transparencia común, como a continuación se observa: </w:t>
      </w:r>
    </w:p>
    <w:p w14:paraId="10BF5193" w14:textId="77777777" w:rsidR="001C2C24" w:rsidRPr="00C45626" w:rsidRDefault="001C2C24" w:rsidP="007D7513">
      <w:pPr>
        <w:spacing w:line="360" w:lineRule="auto"/>
        <w:jc w:val="both"/>
        <w:rPr>
          <w:rFonts w:ascii="Palatino Linotype" w:hAnsi="Palatino Linotype" w:cs="Arial"/>
        </w:rPr>
      </w:pPr>
    </w:p>
    <w:p w14:paraId="16A92482" w14:textId="77777777" w:rsidR="001C2C24" w:rsidRPr="00C45626" w:rsidRDefault="001C2C24" w:rsidP="007D7513">
      <w:pPr>
        <w:spacing w:before="240" w:after="360" w:line="360" w:lineRule="auto"/>
        <w:ind w:left="567" w:right="616"/>
        <w:contextualSpacing/>
        <w:jc w:val="both"/>
        <w:rPr>
          <w:rFonts w:ascii="Palatino Linotype" w:hAnsi="Palatino Linotype"/>
          <w:i/>
        </w:rPr>
      </w:pPr>
      <w:r w:rsidRPr="00C45626">
        <w:rPr>
          <w:rFonts w:ascii="Palatino Linotype" w:hAnsi="Palatino Linotype"/>
          <w:i/>
        </w:rPr>
        <w:t>“</w:t>
      </w:r>
      <w:r w:rsidRPr="00C45626">
        <w:rPr>
          <w:rFonts w:ascii="Palatino Linotype" w:hAnsi="Palatino Linotype"/>
          <w:b/>
          <w:i/>
        </w:rPr>
        <w:t>Artículo 92.</w:t>
      </w:r>
      <w:r w:rsidRPr="00C4562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C45626"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C45626" w:rsidRDefault="001C2C24"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 xml:space="preserve"> (…)</w:t>
      </w:r>
    </w:p>
    <w:p w14:paraId="6EFE7793" w14:textId="6E740DCE" w:rsidR="001C2C24" w:rsidRPr="00C45626" w:rsidRDefault="007762AF"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I. El marco normativo aplicable al sujeto obligado, en el que deberá incluirse leyes, códigos, reglamentos, decretos de creación, acuerdos, convenios, manuales de organización y procedimientos, reglas de operación, criterios, políticas, entre otros;</w:t>
      </w:r>
    </w:p>
    <w:p w14:paraId="129C79C0" w14:textId="77777777" w:rsidR="007762AF" w:rsidRPr="00C45626" w:rsidRDefault="007762AF" w:rsidP="007D7513">
      <w:pPr>
        <w:spacing w:before="240" w:after="240" w:line="360" w:lineRule="auto"/>
        <w:ind w:left="567" w:right="616"/>
        <w:contextualSpacing/>
        <w:jc w:val="both"/>
        <w:rPr>
          <w:rFonts w:ascii="Palatino Linotype" w:eastAsia="MS Mincho" w:hAnsi="Palatino Linotype"/>
          <w:i/>
        </w:rPr>
      </w:pPr>
    </w:p>
    <w:p w14:paraId="62932D45" w14:textId="04430A4D" w:rsidR="001C2C24" w:rsidRPr="00C45626" w:rsidRDefault="001C2C24"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w:t>
      </w:r>
    </w:p>
    <w:p w14:paraId="1AEED82F" w14:textId="22196B26" w:rsidR="001C2C24" w:rsidRPr="00C45626" w:rsidRDefault="007762AF"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0AC3CF50" w14:textId="77777777" w:rsidR="007762AF" w:rsidRPr="00C45626" w:rsidRDefault="007762AF" w:rsidP="007D7513">
      <w:pPr>
        <w:spacing w:before="240" w:after="240" w:line="360" w:lineRule="auto"/>
        <w:ind w:left="567" w:right="616"/>
        <w:contextualSpacing/>
        <w:jc w:val="both"/>
        <w:rPr>
          <w:rFonts w:ascii="Palatino Linotype" w:eastAsia="MS Mincho" w:hAnsi="Palatino Linotype"/>
          <w:i/>
        </w:rPr>
      </w:pPr>
    </w:p>
    <w:p w14:paraId="2E75DB5D" w14:textId="6E84CA56" w:rsidR="001C2C24" w:rsidRPr="00C45626" w:rsidRDefault="007762AF"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 xml:space="preserve"> </w:t>
      </w:r>
      <w:r w:rsidR="001C2C24" w:rsidRPr="00C45626">
        <w:rPr>
          <w:rFonts w:ascii="Palatino Linotype" w:eastAsia="MS Mincho" w:hAnsi="Palatino Linotype"/>
          <w:i/>
        </w:rPr>
        <w:t>(…)</w:t>
      </w:r>
    </w:p>
    <w:p w14:paraId="56FAF25D" w14:textId="77777777" w:rsidR="001C2C24" w:rsidRPr="00C45626" w:rsidRDefault="001C2C24" w:rsidP="007D7513">
      <w:pPr>
        <w:spacing w:before="240" w:after="240" w:line="360" w:lineRule="auto"/>
        <w:ind w:left="567" w:right="616"/>
        <w:contextualSpacing/>
        <w:jc w:val="both"/>
        <w:rPr>
          <w:rFonts w:ascii="Palatino Linotype" w:eastAsia="MS Mincho" w:hAnsi="Palatino Linotype"/>
          <w:i/>
        </w:rPr>
      </w:pPr>
    </w:p>
    <w:p w14:paraId="709945F9" w14:textId="46F0548C" w:rsidR="001C2C24" w:rsidRPr="00C45626" w:rsidRDefault="007762AF"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V. Los indicadores relacionados con temas de interés público o trascendencia social que conforme a sus funciones, deban establecer, así como las matrices elaboradas para tal efecto;</w:t>
      </w:r>
    </w:p>
    <w:p w14:paraId="4829C200" w14:textId="77777777" w:rsidR="007762AF" w:rsidRPr="00C45626" w:rsidRDefault="007762AF" w:rsidP="007D7513">
      <w:pPr>
        <w:spacing w:before="240" w:after="240" w:line="360" w:lineRule="auto"/>
        <w:ind w:left="567" w:right="616"/>
        <w:contextualSpacing/>
        <w:jc w:val="both"/>
        <w:rPr>
          <w:rFonts w:ascii="Palatino Linotype" w:eastAsia="MS Mincho" w:hAnsi="Palatino Linotype"/>
          <w:i/>
        </w:rPr>
      </w:pPr>
    </w:p>
    <w:p w14:paraId="4227FD88" w14:textId="373E8A62" w:rsidR="001C2C24" w:rsidRPr="00C45626" w:rsidRDefault="001C2C24" w:rsidP="007D7513">
      <w:pPr>
        <w:spacing w:before="240" w:after="240" w:line="360" w:lineRule="auto"/>
        <w:ind w:left="567" w:right="616"/>
        <w:contextualSpacing/>
        <w:jc w:val="both"/>
        <w:rPr>
          <w:rFonts w:ascii="Palatino Linotype" w:eastAsia="MS Mincho" w:hAnsi="Palatino Linotype"/>
          <w:i/>
          <w:lang w:val="es-MX"/>
        </w:rPr>
      </w:pPr>
      <w:r w:rsidRPr="00C45626">
        <w:rPr>
          <w:rFonts w:ascii="Palatino Linotype" w:eastAsia="MS Mincho" w:hAnsi="Palatino Linotype"/>
          <w:i/>
          <w:lang w:val="es-MX"/>
        </w:rPr>
        <w:t>(…)</w:t>
      </w:r>
    </w:p>
    <w:p w14:paraId="258B8F33" w14:textId="77777777" w:rsidR="007762AF" w:rsidRPr="00C45626" w:rsidRDefault="007762AF" w:rsidP="007D7513">
      <w:pPr>
        <w:spacing w:before="240" w:after="240" w:line="360" w:lineRule="auto"/>
        <w:ind w:left="567" w:right="616"/>
        <w:contextualSpacing/>
        <w:jc w:val="both"/>
        <w:rPr>
          <w:rFonts w:ascii="Palatino Linotype" w:eastAsia="MS Mincho" w:hAnsi="Palatino Linotype"/>
          <w:i/>
          <w:lang w:val="es-MX"/>
        </w:rPr>
      </w:pPr>
    </w:p>
    <w:p w14:paraId="1452F6C9" w14:textId="35137837" w:rsidR="007762AF" w:rsidRPr="00C45626" w:rsidRDefault="007762AF"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VI. Los indicadores que permitan rendir cuenta de sus objetivos y resultados, así como las matrices elaboradas para tal efecto;</w:t>
      </w:r>
    </w:p>
    <w:p w14:paraId="35A1CD5F" w14:textId="77777777" w:rsidR="007762AF" w:rsidRPr="00C45626" w:rsidRDefault="007762AF" w:rsidP="007D7513">
      <w:pPr>
        <w:spacing w:before="240" w:after="240" w:line="360" w:lineRule="auto"/>
        <w:ind w:left="567" w:right="616"/>
        <w:contextualSpacing/>
        <w:jc w:val="both"/>
        <w:rPr>
          <w:rFonts w:ascii="Palatino Linotype" w:eastAsia="MS Mincho" w:hAnsi="Palatino Linotype"/>
          <w:i/>
        </w:rPr>
      </w:pPr>
    </w:p>
    <w:p w14:paraId="7601502C" w14:textId="522D79AD" w:rsidR="007762AF" w:rsidRPr="00C45626" w:rsidRDefault="007762AF"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w:t>
      </w:r>
    </w:p>
    <w:p w14:paraId="1B508217" w14:textId="78B7F9CF" w:rsidR="007762AF" w:rsidRPr="00C45626" w:rsidRDefault="007762AF" w:rsidP="007D7513">
      <w:pPr>
        <w:spacing w:before="240" w:after="240" w:line="360" w:lineRule="auto"/>
        <w:ind w:left="567" w:right="616"/>
        <w:contextualSpacing/>
        <w:jc w:val="both"/>
        <w:rPr>
          <w:rFonts w:ascii="Palatino Linotype" w:eastAsia="MS Mincho" w:hAnsi="Palatino Linotype"/>
          <w:i/>
        </w:rPr>
      </w:pPr>
      <w:r w:rsidRPr="00C45626">
        <w:rPr>
          <w:rFonts w:ascii="Palatino Linotype" w:eastAsia="MS Mincho" w:hAnsi="Palatino Linotype"/>
          <w:i/>
        </w:rPr>
        <w:t>LII. Cualquier otra información que sea de utilidad o se considere relevante, además de la que, con base en la información estadística, responda a las preguntas hechas con más frecuencia por el público.</w:t>
      </w:r>
    </w:p>
    <w:p w14:paraId="55DB0E8A" w14:textId="77777777" w:rsidR="007762AF" w:rsidRPr="00C45626" w:rsidRDefault="007762AF" w:rsidP="007D7513">
      <w:pPr>
        <w:spacing w:before="240" w:after="240" w:line="360" w:lineRule="auto"/>
        <w:ind w:left="567" w:right="616"/>
        <w:contextualSpacing/>
        <w:jc w:val="both"/>
        <w:rPr>
          <w:rFonts w:ascii="Palatino Linotype" w:eastAsia="MS Mincho" w:hAnsi="Palatino Linotype"/>
          <w:i/>
        </w:rPr>
      </w:pPr>
    </w:p>
    <w:p w14:paraId="61AFFABD" w14:textId="508D3FF2" w:rsidR="007762AF" w:rsidRPr="00C45626" w:rsidRDefault="007762AF" w:rsidP="007D7513">
      <w:pPr>
        <w:spacing w:before="240" w:after="240" w:line="360" w:lineRule="auto"/>
        <w:ind w:left="567" w:right="616"/>
        <w:contextualSpacing/>
        <w:jc w:val="both"/>
        <w:rPr>
          <w:rFonts w:ascii="Palatino Linotype" w:eastAsia="MS Mincho" w:hAnsi="Palatino Linotype"/>
          <w:i/>
          <w:lang w:val="es-MX"/>
        </w:rPr>
      </w:pPr>
      <w:r w:rsidRPr="00C45626">
        <w:rPr>
          <w:rFonts w:ascii="Palatino Linotype" w:eastAsia="MS Mincho" w:hAnsi="Palatino Linotype"/>
          <w:i/>
        </w:rPr>
        <w:t>(…)</w:t>
      </w:r>
    </w:p>
    <w:p w14:paraId="050462E7" w14:textId="77777777" w:rsidR="007762AF" w:rsidRPr="00C45626" w:rsidRDefault="007762AF" w:rsidP="007D7513">
      <w:pPr>
        <w:spacing w:before="240" w:after="240" w:line="360" w:lineRule="auto"/>
        <w:ind w:left="567" w:right="616"/>
        <w:contextualSpacing/>
        <w:jc w:val="both"/>
        <w:rPr>
          <w:rFonts w:ascii="Palatino Linotype" w:eastAsia="MS Mincho" w:hAnsi="Palatino Linotype"/>
          <w:i/>
          <w:lang w:val="es-MX"/>
        </w:rPr>
      </w:pPr>
    </w:p>
    <w:p w14:paraId="13362AC4" w14:textId="77777777" w:rsidR="001C2C24" w:rsidRPr="00C45626" w:rsidRDefault="001C2C24" w:rsidP="007D7513">
      <w:pPr>
        <w:spacing w:after="160" w:line="360" w:lineRule="auto"/>
        <w:jc w:val="both"/>
        <w:rPr>
          <w:rFonts w:ascii="Palatino Linotype" w:eastAsia="Calibri" w:hAnsi="Palatino Linotype" w:cs="Arial"/>
          <w:i/>
          <w:lang w:val="es-MX"/>
        </w:rPr>
      </w:pPr>
      <w:r w:rsidRPr="00C45626">
        <w:rPr>
          <w:rFonts w:ascii="Palatino Linotype" w:eastAsia="Calibri" w:hAnsi="Palatino Linotype" w:cs="Arial"/>
          <w:i/>
          <w:lang w:val="es-MX"/>
        </w:rPr>
        <w:t xml:space="preserve">(Énfasis añadido)  </w:t>
      </w:r>
    </w:p>
    <w:p w14:paraId="40E71E4B" w14:textId="5CF2C022" w:rsidR="00155D53" w:rsidRPr="00C45626" w:rsidRDefault="00155D53" w:rsidP="007D7513">
      <w:pPr>
        <w:spacing w:line="360" w:lineRule="auto"/>
        <w:rPr>
          <w:rFonts w:ascii="Palatino Linotype" w:hAnsi="Palatino Linotype"/>
          <w:lang w:eastAsia="en-US"/>
        </w:rPr>
      </w:pPr>
    </w:p>
    <w:p w14:paraId="1C045DD1" w14:textId="50684BB5" w:rsidR="00B867AD" w:rsidRPr="00C45626" w:rsidRDefault="0069195B"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lang w:eastAsia="en-US"/>
        </w:rPr>
        <w:t>D</w:t>
      </w:r>
      <w:r w:rsidRPr="00C45626">
        <w:rPr>
          <w:rFonts w:ascii="Palatino Linotype" w:hAnsi="Palatino Linotype" w:cs="Arial"/>
          <w:lang w:val="es-ES_tradnl" w:eastAsia="en-US"/>
        </w:rPr>
        <w:t xml:space="preserve">emostrada </w:t>
      </w:r>
      <w:r w:rsidRPr="00C45626">
        <w:rPr>
          <w:rFonts w:ascii="Palatino Linotype" w:hAnsi="Palatino Linotype" w:cs="Arial"/>
          <w:lang w:eastAsia="en-US"/>
        </w:rPr>
        <w:t xml:space="preserve">la procedencia del acceso en términos de la Ley de Transparencia Estatal,  por </w:t>
      </w:r>
      <w:r w:rsidR="007762AF" w:rsidRPr="00C45626">
        <w:rPr>
          <w:rFonts w:ascii="Palatino Linotype" w:hAnsi="Palatino Linotype" w:cs="Arial"/>
        </w:rPr>
        <w:t xml:space="preserve">cuanto hace es necesario precisar que el particular requiere acceso a información relacionada con el “Sistema de Gestión de Seguridad de Datos Personales” a lo que </w:t>
      </w:r>
      <w:r w:rsidR="00155D53" w:rsidRPr="00C45626">
        <w:rPr>
          <w:rFonts w:ascii="Palatino Linotype" w:hAnsi="Palatino Linotype" w:cs="Arial"/>
          <w:lang w:eastAsia="en-US"/>
        </w:rPr>
        <w:t xml:space="preserve">el </w:t>
      </w:r>
      <w:r w:rsidR="00155D53" w:rsidRPr="00C45626">
        <w:rPr>
          <w:rFonts w:ascii="Palatino Linotype" w:hAnsi="Palatino Linotype" w:cs="Arial"/>
          <w:b/>
          <w:lang w:eastAsia="en-US"/>
        </w:rPr>
        <w:t xml:space="preserve">SUJETO OBLIGADO </w:t>
      </w:r>
      <w:r w:rsidR="007762AF" w:rsidRPr="00C45626">
        <w:rPr>
          <w:rFonts w:ascii="Palatino Linotype" w:hAnsi="Palatino Linotype" w:cs="Arial"/>
          <w:lang w:eastAsia="en-US"/>
        </w:rPr>
        <w:t xml:space="preserve">realizó entrega de diversos documentos en los cuales pretende atender lo solicitado por el particular, no obstante, </w:t>
      </w:r>
      <w:r w:rsidR="00B867AD" w:rsidRPr="00C45626">
        <w:rPr>
          <w:rFonts w:ascii="Palatino Linotype" w:hAnsi="Palatino Linotype" w:cs="Arial"/>
          <w:lang w:eastAsia="en-US"/>
        </w:rPr>
        <w:t xml:space="preserve">es necesario señalar que, </w:t>
      </w:r>
      <w:r w:rsidR="00B867AD" w:rsidRPr="00C45626">
        <w:rPr>
          <w:rFonts w:ascii="Palatino Linotype" w:eastAsia="Calibri" w:hAnsi="Palatino Linotype"/>
        </w:rPr>
        <w:t xml:space="preserve">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6E8FCDE0" w14:textId="77777777" w:rsidR="00B867AD" w:rsidRPr="00C45626" w:rsidRDefault="00B867AD" w:rsidP="00B867AD">
      <w:pPr>
        <w:spacing w:line="360" w:lineRule="auto"/>
        <w:ind w:left="708"/>
        <w:rPr>
          <w:rFonts w:ascii="Palatino Linotype" w:eastAsia="Calibri" w:hAnsi="Palatino Linotype"/>
        </w:rPr>
      </w:pPr>
    </w:p>
    <w:p w14:paraId="1DD9F7FF" w14:textId="77777777" w:rsidR="00B867AD" w:rsidRPr="00C45626" w:rsidRDefault="00B867AD" w:rsidP="00B867AD">
      <w:pPr>
        <w:spacing w:before="240" w:after="240" w:line="360" w:lineRule="auto"/>
        <w:ind w:left="567" w:right="616"/>
        <w:contextualSpacing/>
        <w:jc w:val="both"/>
        <w:rPr>
          <w:rFonts w:ascii="Palatino Linotype" w:eastAsia="Calibri" w:hAnsi="Palatino Linotype"/>
          <w:i/>
        </w:rPr>
      </w:pPr>
      <w:r w:rsidRPr="00C45626">
        <w:rPr>
          <w:rFonts w:ascii="Palatino Linotype" w:eastAsia="Calibri" w:hAnsi="Palatino Linotype"/>
        </w:rPr>
        <w:t>“</w:t>
      </w:r>
      <w:r w:rsidRPr="00C45626">
        <w:rPr>
          <w:rFonts w:ascii="Palatino Linotype" w:eastAsia="Calibri" w:hAnsi="Palatino Linotype"/>
          <w:b/>
          <w:i/>
        </w:rPr>
        <w:t>Artículo 12.</w:t>
      </w:r>
      <w:r w:rsidRPr="00C45626">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4E0BC196" w14:textId="77777777" w:rsidR="00B867AD" w:rsidRPr="00C45626" w:rsidRDefault="00B867AD" w:rsidP="00B867AD">
      <w:pPr>
        <w:spacing w:before="240" w:after="240" w:line="360" w:lineRule="auto"/>
        <w:ind w:left="567" w:right="616"/>
        <w:contextualSpacing/>
        <w:jc w:val="both"/>
        <w:rPr>
          <w:rFonts w:ascii="Palatino Linotype" w:eastAsia="Calibri" w:hAnsi="Palatino Linotype"/>
          <w:i/>
        </w:rPr>
      </w:pPr>
    </w:p>
    <w:p w14:paraId="340E6A10" w14:textId="77777777" w:rsidR="00B867AD" w:rsidRPr="00C45626" w:rsidRDefault="00B867AD" w:rsidP="00B867AD">
      <w:pPr>
        <w:spacing w:before="240" w:after="240" w:line="360" w:lineRule="auto"/>
        <w:ind w:left="567" w:right="616"/>
        <w:contextualSpacing/>
        <w:jc w:val="both"/>
        <w:rPr>
          <w:rFonts w:ascii="Palatino Linotype" w:eastAsia="Calibri" w:hAnsi="Palatino Linotype"/>
          <w:i/>
        </w:rPr>
      </w:pPr>
      <w:r w:rsidRPr="00C45626">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2807C819" w14:textId="77777777" w:rsidR="00B867AD" w:rsidRPr="00C45626" w:rsidRDefault="00B867AD" w:rsidP="00B867AD">
      <w:pPr>
        <w:spacing w:before="100" w:beforeAutospacing="1" w:after="100" w:afterAutospacing="1" w:line="360" w:lineRule="auto"/>
        <w:contextualSpacing/>
        <w:jc w:val="both"/>
        <w:rPr>
          <w:rFonts w:ascii="Palatino Linotype" w:eastAsia="MS Mincho" w:hAnsi="Palatino Linotype" w:cs="Segoe UI"/>
          <w:lang w:val="es-ES_tradnl"/>
        </w:rPr>
      </w:pPr>
    </w:p>
    <w:p w14:paraId="4D942A38" w14:textId="000BB7EF" w:rsidR="00B867AD" w:rsidRPr="00C45626" w:rsidRDefault="00B867AD" w:rsidP="00CC364E">
      <w:pPr>
        <w:pStyle w:val="Prrafodelista"/>
        <w:numPr>
          <w:ilvl w:val="0"/>
          <w:numId w:val="8"/>
        </w:numPr>
        <w:spacing w:before="240" w:after="240" w:line="360" w:lineRule="auto"/>
        <w:ind w:left="0" w:firstLine="0"/>
        <w:contextualSpacing/>
        <w:jc w:val="both"/>
        <w:rPr>
          <w:rFonts w:ascii="Palatino Linotype" w:hAnsi="Palatino Linotype" w:cs="Arial"/>
          <w:i/>
          <w:sz w:val="22"/>
          <w:szCs w:val="22"/>
          <w:lang w:val="es-ES_tradnl" w:eastAsia="es-MX"/>
        </w:rPr>
      </w:pPr>
      <w:r w:rsidRPr="00C45626">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C45626">
        <w:rPr>
          <w:rFonts w:ascii="Palatino Linotype" w:hAnsi="Palatino Linotype" w:cs="Arial"/>
          <w:u w:val="single"/>
          <w:lang w:val="es-ES_tradnl"/>
        </w:rPr>
        <w:t xml:space="preserve">no se tiene el deber de generar un documento </w:t>
      </w:r>
      <w:r w:rsidRPr="00C45626">
        <w:rPr>
          <w:rFonts w:ascii="Palatino Linotype" w:hAnsi="Palatino Linotype" w:cs="Arial"/>
          <w:i/>
          <w:u w:val="single"/>
          <w:lang w:val="es-ES_tradnl"/>
        </w:rPr>
        <w:t>ad hoc</w:t>
      </w:r>
      <w:r w:rsidRPr="00C45626">
        <w:rPr>
          <w:rFonts w:ascii="Palatino Linotype" w:hAnsi="Palatino Linotype" w:cs="Arial"/>
          <w:u w:val="single"/>
          <w:lang w:val="es-ES_tradnl"/>
        </w:rPr>
        <w:t>, para satisfacer la solicitud</w:t>
      </w:r>
      <w:r w:rsidRPr="00C45626">
        <w:rPr>
          <w:rFonts w:ascii="Palatino Linotype" w:hAnsi="Palatino Linotype" w:cs="Arial"/>
          <w:lang w:val="es-ES_tradnl"/>
        </w:rPr>
        <w:t>.</w:t>
      </w:r>
    </w:p>
    <w:p w14:paraId="48247697" w14:textId="77777777" w:rsidR="00B867AD" w:rsidRPr="00C45626" w:rsidRDefault="00B867AD" w:rsidP="00B867AD">
      <w:pPr>
        <w:spacing w:before="240" w:after="240" w:line="360" w:lineRule="auto"/>
        <w:contextualSpacing/>
        <w:jc w:val="both"/>
        <w:rPr>
          <w:rFonts w:ascii="Palatino Linotype" w:hAnsi="Palatino Linotype" w:cs="Arial"/>
          <w:lang w:val="es-ES_tradnl" w:eastAsia="es-MX"/>
        </w:rPr>
      </w:pPr>
    </w:p>
    <w:p w14:paraId="39E66D4D" w14:textId="77777777" w:rsidR="00B867AD" w:rsidRPr="00C45626" w:rsidRDefault="00B867AD" w:rsidP="00CC364E">
      <w:pPr>
        <w:numPr>
          <w:ilvl w:val="0"/>
          <w:numId w:val="9"/>
        </w:numPr>
        <w:spacing w:before="240" w:after="240" w:line="360" w:lineRule="auto"/>
        <w:ind w:left="0" w:firstLine="0"/>
        <w:contextualSpacing/>
        <w:jc w:val="both"/>
        <w:rPr>
          <w:rFonts w:ascii="Palatino Linotype" w:hAnsi="Palatino Linotype" w:cs="Arial"/>
          <w:i/>
          <w:sz w:val="22"/>
          <w:szCs w:val="22"/>
          <w:lang w:val="es-ES_tradnl" w:eastAsia="es-MX"/>
        </w:rPr>
      </w:pPr>
      <w:r w:rsidRPr="00C45626">
        <w:rPr>
          <w:rFonts w:ascii="Palatino Linotype" w:hAnsi="Palatino Linotype" w:cs="Arial"/>
          <w:lang w:val="es-ES_tradnl"/>
        </w:rPr>
        <w:t xml:space="preserve">Como apoyo a lo anterior, es aplicable por analogía el Criterio 09-10, emitido por el Pleno del entonces </w:t>
      </w:r>
      <w:r w:rsidRPr="00C45626">
        <w:rPr>
          <w:rFonts w:ascii="Palatino Linotype" w:hAnsi="Palatino Linotype" w:cs="Arial"/>
          <w:bCs/>
          <w:lang w:val="es-ES_tradnl"/>
        </w:rPr>
        <w:t>Instituto Federal de Acceso a la Información y Protección de Datos, que a la letra dice:</w:t>
      </w:r>
    </w:p>
    <w:p w14:paraId="57FBF2C5" w14:textId="77777777" w:rsidR="00B867AD" w:rsidRPr="00C45626" w:rsidRDefault="00B867AD" w:rsidP="00B867AD">
      <w:pPr>
        <w:tabs>
          <w:tab w:val="left" w:pos="207"/>
        </w:tabs>
        <w:spacing w:before="240" w:after="360" w:line="360" w:lineRule="auto"/>
        <w:ind w:right="49"/>
        <w:contextualSpacing/>
        <w:jc w:val="both"/>
        <w:rPr>
          <w:rFonts w:ascii="Palatino Linotype" w:hAnsi="Palatino Linotype" w:cs="Arial"/>
          <w:lang w:val="es-ES_tradnl"/>
        </w:rPr>
      </w:pPr>
    </w:p>
    <w:p w14:paraId="779D5A90" w14:textId="77777777" w:rsidR="00B867AD" w:rsidRPr="00C45626" w:rsidRDefault="00B867AD" w:rsidP="00B867AD">
      <w:pPr>
        <w:spacing w:before="240" w:after="360" w:line="360" w:lineRule="auto"/>
        <w:ind w:left="567" w:right="616"/>
        <w:contextualSpacing/>
        <w:jc w:val="both"/>
        <w:rPr>
          <w:rFonts w:ascii="Palatino Linotype" w:hAnsi="Palatino Linotype" w:cs="Arial"/>
          <w:lang w:val="es-ES_tradnl"/>
        </w:rPr>
      </w:pPr>
      <w:r w:rsidRPr="00C45626">
        <w:rPr>
          <w:rFonts w:ascii="Palatino Linotype" w:hAnsi="Palatino Linotype" w:cs="Arial"/>
          <w:b/>
          <w:bCs/>
          <w:i/>
          <w:sz w:val="22"/>
          <w:lang w:val="es-ES_tradnl"/>
        </w:rPr>
        <w:t xml:space="preserve">“Las dependencias y entidades no están obligadas a generar documentos </w:t>
      </w:r>
      <w:r w:rsidRPr="00C45626">
        <w:rPr>
          <w:rFonts w:ascii="Palatino Linotype" w:hAnsi="Palatino Linotype" w:cs="Arial"/>
          <w:b/>
          <w:bCs/>
          <w:i/>
          <w:iCs/>
          <w:sz w:val="22"/>
          <w:lang w:val="es-ES_tradnl"/>
        </w:rPr>
        <w:t xml:space="preserve">ad hoc </w:t>
      </w:r>
      <w:r w:rsidRPr="00C45626">
        <w:rPr>
          <w:rFonts w:ascii="Palatino Linotype" w:hAnsi="Palatino Linotype" w:cs="Arial"/>
          <w:b/>
          <w:bCs/>
          <w:i/>
          <w:sz w:val="22"/>
          <w:lang w:val="es-ES_tradnl"/>
        </w:rPr>
        <w:t xml:space="preserve">para responder una solicitud de acceso a la información. </w:t>
      </w:r>
      <w:r w:rsidRPr="00C45626">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C45626">
        <w:rPr>
          <w:rFonts w:ascii="Palatino Linotype" w:hAnsi="Palatino Linotype" w:cs="Arial"/>
          <w:i/>
          <w:iCs/>
          <w:sz w:val="22"/>
          <w:lang w:val="es-ES_tradnl"/>
        </w:rPr>
        <w:t xml:space="preserve">ad hoc </w:t>
      </w:r>
      <w:r w:rsidRPr="00C45626">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AA82ED6" w14:textId="77777777" w:rsidR="00B867AD" w:rsidRPr="00C45626" w:rsidRDefault="00B867AD" w:rsidP="00B867AD">
      <w:pPr>
        <w:spacing w:before="240" w:after="360" w:line="360" w:lineRule="auto"/>
        <w:ind w:left="567" w:right="616"/>
        <w:contextualSpacing/>
        <w:jc w:val="both"/>
        <w:rPr>
          <w:rFonts w:ascii="Palatino Linotype" w:hAnsi="Palatino Linotype" w:cs="Arial"/>
          <w:i/>
          <w:sz w:val="22"/>
          <w:lang w:val="es-ES_tradnl"/>
        </w:rPr>
      </w:pPr>
      <w:r w:rsidRPr="00C45626">
        <w:rPr>
          <w:rFonts w:ascii="Palatino Linotype" w:hAnsi="Palatino Linotype" w:cs="Arial"/>
          <w:b/>
          <w:bCs/>
          <w:i/>
          <w:sz w:val="22"/>
          <w:lang w:val="es-ES_tradnl"/>
        </w:rPr>
        <w:t xml:space="preserve">Expedientes: </w:t>
      </w:r>
      <w:r w:rsidRPr="00C45626">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5119B091" w14:textId="77777777" w:rsidR="00B867AD" w:rsidRPr="00C45626" w:rsidRDefault="00B867AD" w:rsidP="00B867AD">
      <w:pPr>
        <w:spacing w:before="240" w:after="360" w:line="360" w:lineRule="auto"/>
        <w:ind w:left="567" w:right="616"/>
        <w:contextualSpacing/>
        <w:jc w:val="both"/>
        <w:rPr>
          <w:rFonts w:ascii="Palatino Linotype" w:eastAsia="MS Mincho" w:hAnsi="Palatino Linotype" w:cs="Arial"/>
          <w:i/>
          <w:lang w:val="es-ES_tradnl"/>
        </w:rPr>
      </w:pPr>
    </w:p>
    <w:p w14:paraId="619788EF" w14:textId="77777777" w:rsidR="00B867AD" w:rsidRPr="00C45626" w:rsidRDefault="00B867AD" w:rsidP="00B867AD">
      <w:pPr>
        <w:rPr>
          <w:rFonts w:ascii="Palatino Linotype" w:eastAsia="MS Mincho" w:hAnsi="Palatino Linotype"/>
          <w:color w:val="000000"/>
          <w:lang w:val="es-ES_tradnl"/>
        </w:rPr>
      </w:pPr>
    </w:p>
    <w:p w14:paraId="15562A5C" w14:textId="29919ABB" w:rsidR="007762AF" w:rsidRPr="00C45626" w:rsidRDefault="00B867AD" w:rsidP="00CC364E">
      <w:pPr>
        <w:numPr>
          <w:ilvl w:val="0"/>
          <w:numId w:val="9"/>
        </w:numPr>
        <w:tabs>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eastAsia="MS Mincho" w:hAnsi="Palatino Linotype"/>
          <w:color w:val="000000"/>
          <w:lang w:val="es-ES_tradnl"/>
        </w:rPr>
        <w:t xml:space="preserve">En relación a las consideraciones planteadas, la Ley de General de Protección de Datos Personales en Posesión de Sujetos Obligados establece que las </w:t>
      </w:r>
      <w:r w:rsidR="00296EBD" w:rsidRPr="00C45626">
        <w:rPr>
          <w:rFonts w:ascii="Palatino Linotype" w:eastAsia="MS Mincho" w:hAnsi="Palatino Linotype"/>
          <w:color w:val="000000"/>
          <w:lang w:val="es-ES_tradnl"/>
        </w:rPr>
        <w:t xml:space="preserve">acciones relacionadas con las medidas de seguridad para el tratamiento de los datos personales deberán estar documentadas y contenidas en un sistema de gestión, como a continuación se observa:  </w:t>
      </w:r>
    </w:p>
    <w:p w14:paraId="0ECF2749" w14:textId="77777777" w:rsidR="00296EBD" w:rsidRPr="00C45626" w:rsidRDefault="00296EBD" w:rsidP="00296EBD">
      <w:pPr>
        <w:tabs>
          <w:tab w:val="left" w:pos="426"/>
        </w:tabs>
        <w:spacing w:before="240" w:after="240" w:line="360" w:lineRule="auto"/>
        <w:ind w:right="49"/>
        <w:contextualSpacing/>
        <w:jc w:val="both"/>
        <w:rPr>
          <w:rFonts w:ascii="Palatino Linotype" w:hAnsi="Palatino Linotype" w:cs="Arial"/>
        </w:rPr>
      </w:pPr>
    </w:p>
    <w:p w14:paraId="3C22E51A" w14:textId="66CCDCB6" w:rsidR="00296EBD" w:rsidRPr="00C45626" w:rsidRDefault="00296EBD" w:rsidP="00296EBD">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b/>
          <w:i/>
        </w:rPr>
        <w:t>“Artículo 34.</w:t>
      </w:r>
      <w:r w:rsidRPr="00C45626">
        <w:rPr>
          <w:rFonts w:ascii="Palatino Linotype" w:hAnsi="Palatino Linotype" w:cs="Arial"/>
          <w:i/>
        </w:rPr>
        <w:t xml:space="preserve"> Las acciones relacionadas con las medidas de seguridad para el tratamiento de los datos personales deberán estar documentadas y contenidas en un sistema de gestión. </w:t>
      </w:r>
    </w:p>
    <w:p w14:paraId="11AFEA66" w14:textId="77777777" w:rsidR="00296EBD" w:rsidRPr="00C45626" w:rsidRDefault="00296EBD" w:rsidP="00296EBD">
      <w:pPr>
        <w:tabs>
          <w:tab w:val="left" w:pos="284"/>
          <w:tab w:val="left" w:pos="426"/>
        </w:tabs>
        <w:spacing w:before="240" w:after="240" w:line="360" w:lineRule="auto"/>
        <w:ind w:left="567" w:right="616"/>
        <w:contextualSpacing/>
        <w:jc w:val="both"/>
        <w:rPr>
          <w:rFonts w:ascii="Palatino Linotype" w:hAnsi="Palatino Linotype" w:cs="Arial"/>
          <w:i/>
        </w:rPr>
      </w:pPr>
    </w:p>
    <w:p w14:paraId="25A3D41B" w14:textId="4AC79765" w:rsidR="007762AF" w:rsidRPr="00C45626" w:rsidRDefault="00296EBD" w:rsidP="00296EBD">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que le resulten aplicables en la materia.” (Sic)</w:t>
      </w:r>
    </w:p>
    <w:p w14:paraId="51E9C269" w14:textId="77777777" w:rsidR="00296EBD" w:rsidRPr="00C45626" w:rsidRDefault="00296EBD" w:rsidP="007762AF">
      <w:pPr>
        <w:tabs>
          <w:tab w:val="left" w:pos="284"/>
          <w:tab w:val="left" w:pos="426"/>
        </w:tabs>
        <w:spacing w:before="240" w:after="240" w:line="360" w:lineRule="auto"/>
        <w:ind w:right="49"/>
        <w:contextualSpacing/>
        <w:jc w:val="both"/>
        <w:rPr>
          <w:rFonts w:ascii="Palatino Linotype" w:hAnsi="Palatino Linotype" w:cs="Arial"/>
        </w:rPr>
      </w:pPr>
    </w:p>
    <w:p w14:paraId="1AC64C85" w14:textId="77777777" w:rsidR="007762AF" w:rsidRPr="00C45626" w:rsidRDefault="007762AF" w:rsidP="00B867AD">
      <w:pPr>
        <w:tabs>
          <w:tab w:val="left" w:pos="284"/>
          <w:tab w:val="left" w:pos="426"/>
        </w:tabs>
        <w:spacing w:before="240" w:after="240" w:line="360" w:lineRule="auto"/>
        <w:ind w:right="49"/>
        <w:contextualSpacing/>
        <w:jc w:val="both"/>
        <w:rPr>
          <w:rFonts w:ascii="Palatino Linotype" w:hAnsi="Palatino Linotype" w:cs="Arial"/>
        </w:rPr>
      </w:pPr>
    </w:p>
    <w:p w14:paraId="7822A49F" w14:textId="6463BF60" w:rsidR="00E25FFA" w:rsidRPr="00C45626" w:rsidRDefault="00296EBD"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lang w:eastAsia="en-US"/>
        </w:rPr>
        <w:t xml:space="preserve">Por su cuenta, </w:t>
      </w:r>
      <w:r w:rsidR="001A515B" w:rsidRPr="00C45626">
        <w:rPr>
          <w:rFonts w:ascii="Palatino Linotype" w:hAnsi="Palatino Linotype" w:cs="Arial"/>
          <w:lang w:eastAsia="en-US"/>
        </w:rPr>
        <w:t xml:space="preserve">el artículo 47 de </w:t>
      </w:r>
      <w:r w:rsidR="00E25FFA" w:rsidRPr="00C45626">
        <w:rPr>
          <w:rFonts w:ascii="Palatino Linotype" w:hAnsi="Palatino Linotype" w:cs="Arial"/>
          <w:lang w:eastAsia="en-US"/>
        </w:rPr>
        <w:t xml:space="preserve">la Ley de Protección de Datos Personales en Posesión de Sujetos Obligados del Estado de México y Municipios, establece que </w:t>
      </w:r>
      <w:r w:rsidR="001A515B" w:rsidRPr="00C45626">
        <w:rPr>
          <w:rFonts w:ascii="Palatino Linotype" w:hAnsi="Palatino Linotype" w:cs="Arial"/>
          <w:lang w:eastAsia="en-US"/>
        </w:rPr>
        <w:t xml:space="preserve">las acciones relacionadas con las medidas de seguridad para el tratamiento de los datos personales serán documentadas y contenidas en sistema de gestión: </w:t>
      </w:r>
    </w:p>
    <w:p w14:paraId="40606D84" w14:textId="77777777" w:rsidR="001A515B" w:rsidRPr="00C45626" w:rsidRDefault="001A515B" w:rsidP="001A515B">
      <w:pPr>
        <w:tabs>
          <w:tab w:val="left" w:pos="284"/>
          <w:tab w:val="left" w:pos="426"/>
        </w:tabs>
        <w:spacing w:before="240" w:after="240" w:line="360" w:lineRule="auto"/>
        <w:ind w:right="49"/>
        <w:contextualSpacing/>
        <w:jc w:val="both"/>
        <w:rPr>
          <w:rFonts w:ascii="Palatino Linotype" w:hAnsi="Palatino Linotype" w:cs="Arial"/>
        </w:rPr>
      </w:pPr>
    </w:p>
    <w:p w14:paraId="1EA3BE97" w14:textId="427F7877" w:rsidR="001A515B" w:rsidRPr="00C45626" w:rsidRDefault="001A515B" w:rsidP="001A515B">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w:t>
      </w:r>
      <w:r w:rsidRPr="00C45626">
        <w:rPr>
          <w:rFonts w:ascii="Palatino Linotype" w:hAnsi="Palatino Linotype" w:cs="Arial"/>
          <w:b/>
          <w:i/>
        </w:rPr>
        <w:t>Artículo 47.</w:t>
      </w:r>
      <w:r w:rsidRPr="00C45626">
        <w:rPr>
          <w:rFonts w:ascii="Palatino Linotype" w:hAnsi="Palatino Linotype" w:cs="Arial"/>
          <w:i/>
        </w:rPr>
        <w:t xml:space="preserve"> Las acciones relacionadas con las medidas de seguridad para el tratamiento de los datos personales serán documentadas y contenidas en un sistema de gestión. </w:t>
      </w:r>
    </w:p>
    <w:p w14:paraId="6E5EE572" w14:textId="77777777" w:rsidR="001A515B" w:rsidRPr="00C45626" w:rsidRDefault="001A515B" w:rsidP="001A515B">
      <w:pPr>
        <w:tabs>
          <w:tab w:val="left" w:pos="284"/>
          <w:tab w:val="left" w:pos="426"/>
        </w:tabs>
        <w:spacing w:before="240" w:after="240" w:line="360" w:lineRule="auto"/>
        <w:ind w:left="567" w:right="616"/>
        <w:contextualSpacing/>
        <w:jc w:val="both"/>
        <w:rPr>
          <w:rFonts w:ascii="Palatino Linotype" w:hAnsi="Palatino Linotype" w:cs="Arial"/>
          <w:i/>
        </w:rPr>
      </w:pPr>
    </w:p>
    <w:p w14:paraId="5DA51F9B" w14:textId="5CEAC130" w:rsidR="001A515B" w:rsidRPr="00C45626" w:rsidRDefault="001A515B" w:rsidP="001A515B">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(Sic)</w:t>
      </w:r>
    </w:p>
    <w:p w14:paraId="31FD16F6" w14:textId="77777777" w:rsidR="00E25FFA" w:rsidRPr="00C45626" w:rsidRDefault="00E25FFA" w:rsidP="00E25FFA">
      <w:pPr>
        <w:tabs>
          <w:tab w:val="left" w:pos="284"/>
          <w:tab w:val="left" w:pos="426"/>
        </w:tabs>
        <w:spacing w:before="240" w:after="240" w:line="360" w:lineRule="auto"/>
        <w:ind w:right="49"/>
        <w:contextualSpacing/>
        <w:jc w:val="both"/>
        <w:rPr>
          <w:rFonts w:ascii="Palatino Linotype" w:hAnsi="Palatino Linotype" w:cs="Arial"/>
        </w:rPr>
      </w:pPr>
    </w:p>
    <w:p w14:paraId="68C5866B" w14:textId="0136C88B" w:rsidR="00E9170C" w:rsidRPr="00C45626" w:rsidRDefault="001A515B"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lang w:eastAsia="en-US"/>
        </w:rPr>
        <w:t>En razón de lo anterior, resulta imprescindible señalar que el Instituto Nacional de Transparencia, acceso a la Información, y Protección de Datos Personales emitió una Guía para cumplir con los principios y deberes de la Ley General de Protección de Datos Personales en Posesión de Sujetos Obligados</w:t>
      </w:r>
      <w:r w:rsidRPr="00C45626">
        <w:rPr>
          <w:rStyle w:val="Refdenotaalpie"/>
          <w:rFonts w:ascii="Palatino Linotype" w:hAnsi="Palatino Linotype" w:cs="Arial"/>
          <w:lang w:eastAsia="en-US"/>
        </w:rPr>
        <w:footnoteReference w:id="3"/>
      </w:r>
      <w:r w:rsidRPr="00C45626">
        <w:rPr>
          <w:rFonts w:ascii="Palatino Linotype" w:hAnsi="Palatino Linotype" w:cs="Arial"/>
          <w:lang w:eastAsia="en-US"/>
        </w:rPr>
        <w:t xml:space="preserve">, para el sector Público, </w:t>
      </w:r>
      <w:r w:rsidR="00E9170C" w:rsidRPr="00C45626">
        <w:rPr>
          <w:rFonts w:ascii="Palatino Linotype" w:hAnsi="Palatino Linotype" w:cs="Arial"/>
          <w:lang w:eastAsia="en-US"/>
        </w:rPr>
        <w:t xml:space="preserve">dirigida a los Sujetos Obligados que traten datos personales. </w:t>
      </w:r>
    </w:p>
    <w:p w14:paraId="7C7C61D7" w14:textId="77777777" w:rsidR="00E9170C" w:rsidRPr="00C45626" w:rsidRDefault="00E9170C" w:rsidP="00E9170C">
      <w:pPr>
        <w:tabs>
          <w:tab w:val="left" w:pos="284"/>
          <w:tab w:val="left" w:pos="426"/>
        </w:tabs>
        <w:spacing w:before="240" w:after="240" w:line="360" w:lineRule="auto"/>
        <w:ind w:right="49"/>
        <w:contextualSpacing/>
        <w:jc w:val="both"/>
        <w:rPr>
          <w:rFonts w:ascii="Palatino Linotype" w:hAnsi="Palatino Linotype" w:cs="Arial"/>
        </w:rPr>
      </w:pPr>
    </w:p>
    <w:p w14:paraId="2DB830CC" w14:textId="60D78147" w:rsidR="00E9170C" w:rsidRPr="00C45626" w:rsidRDefault="00E9170C"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rPr>
        <w:t>En ese sentido, es necesario señalar que la protección de datos personales es un derecho humano, reconocido en los artículos 6 y 16 de la Constitución Política de los Estados Unidos Mexicanos  por lo que el ejercicio del mismo implica el desarrollo de acciones por parte del Estado para garantizar su protección, por lo que dicha Guía establece que el Sistema de Gestión de Seguridad de los Datos Personales se entenderá “…</w:t>
      </w:r>
      <w:r w:rsidRPr="00C45626">
        <w:rPr>
          <w:rFonts w:ascii="Palatino Linotype" w:hAnsi="Palatino Linotype" w:cs="Arial"/>
          <w:i/>
        </w:rPr>
        <w:t>al conjunto de elementos y actividades relacionadas entre sí, que le permitirán al responsable planificar, implementar, monitorear y mejorar las medidas de seguridad de carácter administrativo, físico y técnico, tomando en consideración la normatividad aplicable, así como los estándares a nivel nacional e internacional, en materia de protección de datos personales y seguridad</w:t>
      </w:r>
      <w:r w:rsidRPr="00C45626">
        <w:rPr>
          <w:rFonts w:ascii="Palatino Linotype" w:hAnsi="Palatino Linotype" w:cs="Arial"/>
        </w:rPr>
        <w:t>…”</w:t>
      </w:r>
    </w:p>
    <w:p w14:paraId="522B44D5" w14:textId="77777777" w:rsidR="00E9170C" w:rsidRPr="00C45626" w:rsidRDefault="00E9170C" w:rsidP="00E9170C">
      <w:pPr>
        <w:rPr>
          <w:rFonts w:ascii="Palatino Linotype" w:hAnsi="Palatino Linotype" w:cs="Arial"/>
        </w:rPr>
      </w:pPr>
    </w:p>
    <w:p w14:paraId="1CFF445D" w14:textId="35F5D6DA" w:rsidR="006E4B3C" w:rsidRPr="00C45626" w:rsidRDefault="006E4B3C"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rPr>
        <w:t>En esa razón</w:t>
      </w:r>
      <w:r w:rsidR="00E9170C" w:rsidRPr="00C45626">
        <w:rPr>
          <w:rFonts w:ascii="Palatino Linotype" w:hAnsi="Palatino Linotype" w:cs="Arial"/>
        </w:rPr>
        <w:t xml:space="preserve">, </w:t>
      </w:r>
      <w:r w:rsidRPr="00C45626">
        <w:rPr>
          <w:rFonts w:ascii="Palatino Linotype" w:hAnsi="Palatino Linotype" w:cs="Arial"/>
        </w:rPr>
        <w:t xml:space="preserve">de conformidad con lo que señala el artículo 33 de la Ley General de Protección de datos Personales en Posesión de Sujetos Obligados y el diverso 28 de la Ley de Protección de Datos Personales en Posesión de Sujetos Obligados Estatal se señala que para adoptar un Sistema de Gestión de Seguridad de Datos Personales, el responsable debe implementar un sistema de gestión contemplando los siguientes aspectos: </w:t>
      </w:r>
    </w:p>
    <w:p w14:paraId="0E95C8AC" w14:textId="77777777" w:rsidR="006E4B3C" w:rsidRPr="00C45626" w:rsidRDefault="006E4B3C" w:rsidP="006E4B3C">
      <w:pPr>
        <w:pStyle w:val="Prrafodelista"/>
        <w:rPr>
          <w:rFonts w:ascii="Palatino Linotype" w:hAnsi="Palatino Linotype" w:cs="Arial"/>
        </w:rPr>
      </w:pPr>
    </w:p>
    <w:p w14:paraId="7A78FD2E" w14:textId="14A542E8" w:rsidR="006E4B3C" w:rsidRPr="00C45626" w:rsidRDefault="006E4B3C" w:rsidP="00A94E8D">
      <w:pPr>
        <w:tabs>
          <w:tab w:val="left" w:pos="284"/>
          <w:tab w:val="left" w:pos="426"/>
        </w:tabs>
        <w:spacing w:before="240" w:after="240" w:line="360" w:lineRule="auto"/>
        <w:ind w:right="49" w:firstLine="284"/>
        <w:contextualSpacing/>
        <w:jc w:val="center"/>
        <w:rPr>
          <w:rFonts w:ascii="Palatino Linotype" w:hAnsi="Palatino Linotype" w:cs="Arial"/>
          <w:b/>
          <w:i/>
        </w:rPr>
      </w:pPr>
      <w:r w:rsidRPr="00C45626">
        <w:rPr>
          <w:rFonts w:ascii="Palatino Linotype" w:hAnsi="Palatino Linotype" w:cs="Arial"/>
          <w:b/>
          <w:i/>
        </w:rPr>
        <w:t>LEY GENERAL DE PROTECCIÓN DE DATOS PERSONALES EN POSESIÓN DE SUJETOS OBLIGADOS</w:t>
      </w:r>
    </w:p>
    <w:p w14:paraId="33404163" w14:textId="77777777" w:rsidR="006E4B3C" w:rsidRPr="00C45626" w:rsidRDefault="006E4B3C" w:rsidP="006E4B3C">
      <w:pPr>
        <w:pStyle w:val="Prrafodelista"/>
        <w:rPr>
          <w:rFonts w:ascii="Palatino Linotype" w:hAnsi="Palatino Linotype" w:cs="Arial"/>
        </w:rPr>
      </w:pPr>
    </w:p>
    <w:p w14:paraId="7DAC6436"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b/>
          <w:i/>
        </w:rPr>
        <w:t>Artículo 33.</w:t>
      </w:r>
      <w:r w:rsidRPr="00C45626">
        <w:rPr>
          <w:rFonts w:ascii="Palatino Linotype" w:hAnsi="Palatino Linotype" w:cs="Arial"/>
          <w:i/>
        </w:rPr>
        <w:t xml:space="preserve"> Para establecer y mantener las medidas de seguridad para la protección de los datos personales, el responsable deberá realizar, al menos, las siguientes actividades interrelacionadas: </w:t>
      </w:r>
    </w:p>
    <w:p w14:paraId="22D858BE"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60D13CD9"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0CA3D4C3"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223295B8" w14:textId="77777777" w:rsidR="00212B2C" w:rsidRPr="00C45626" w:rsidRDefault="006E4B3C" w:rsidP="00212B2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II. Definir las funciones y obligaciones del personal involucrado en el tratamiento de datos personales;</w:t>
      </w:r>
    </w:p>
    <w:p w14:paraId="391ABB1E" w14:textId="09A67E1A" w:rsidR="006E4B3C" w:rsidRPr="00C45626" w:rsidRDefault="006E4B3C" w:rsidP="00212B2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 III. Elaborar un inventario de datos personales y de los sistemas de tratamiento; </w:t>
      </w:r>
    </w:p>
    <w:p w14:paraId="53405F25" w14:textId="77777777" w:rsidR="00212B2C" w:rsidRPr="00C45626" w:rsidRDefault="00212B2C" w:rsidP="00212B2C">
      <w:pPr>
        <w:tabs>
          <w:tab w:val="left" w:pos="284"/>
          <w:tab w:val="left" w:pos="426"/>
        </w:tabs>
        <w:spacing w:before="240" w:after="240" w:line="360" w:lineRule="auto"/>
        <w:ind w:left="567" w:right="616"/>
        <w:contextualSpacing/>
        <w:jc w:val="both"/>
        <w:rPr>
          <w:rFonts w:ascii="Palatino Linotype" w:hAnsi="Palatino Linotype" w:cs="Arial"/>
          <w:i/>
        </w:rPr>
      </w:pPr>
    </w:p>
    <w:p w14:paraId="73D62D1C"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6CFDB4DF" w14:textId="77777777" w:rsidR="00AA5C05" w:rsidRPr="00C45626" w:rsidRDefault="00AA5C05"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21850681"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 Realizar un análisis de brecha, comparando las medidas de seguridad existentes contra las faltantes en la organización del responsable; </w:t>
      </w:r>
    </w:p>
    <w:p w14:paraId="41B87AB5" w14:textId="77777777" w:rsidR="00AA5C05" w:rsidRPr="00C45626" w:rsidRDefault="00AA5C05"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3CB780A2"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VI. Elaborar un plan de trabajo para la implementación de las medidas de seguridad faltantes, así como las medidas para el cumplimiento cotidiano de las políticas de gestión y tratamiento de los datos personales; </w:t>
      </w:r>
    </w:p>
    <w:p w14:paraId="5D4853E9" w14:textId="77777777" w:rsidR="00AA5C05" w:rsidRPr="00C45626" w:rsidRDefault="00AA5C05"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1F9B7C1D"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VII. Monitorear y revisar de manera periódica las medidas de seguridad implementadas, así como las amenazas y vulneraciones a las que están sujetos los datos personales, y </w:t>
      </w:r>
    </w:p>
    <w:p w14:paraId="2F499C16" w14:textId="2AF52859"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VIII. Diseñar y aplicar diferentes niveles de capacitación del personal bajo su mando, dependiendo de sus roles y responsabilidades respecto del tratamiento de los datos personales.</w:t>
      </w:r>
    </w:p>
    <w:p w14:paraId="61A65B9D" w14:textId="77777777" w:rsidR="006E4B3C" w:rsidRPr="00C45626" w:rsidRDefault="006E4B3C" w:rsidP="006E4B3C">
      <w:pPr>
        <w:tabs>
          <w:tab w:val="left" w:pos="284"/>
          <w:tab w:val="left" w:pos="426"/>
        </w:tabs>
        <w:spacing w:before="240" w:after="240" w:line="360" w:lineRule="auto"/>
        <w:ind w:left="567" w:right="616"/>
        <w:contextualSpacing/>
        <w:jc w:val="center"/>
        <w:rPr>
          <w:rFonts w:ascii="Palatino Linotype" w:hAnsi="Palatino Linotype" w:cs="Arial"/>
          <w:i/>
        </w:rPr>
      </w:pPr>
    </w:p>
    <w:p w14:paraId="7415FE7C" w14:textId="6552C96C" w:rsidR="006E4B3C" w:rsidRPr="00C45626" w:rsidRDefault="00B43908" w:rsidP="00B43908">
      <w:pPr>
        <w:tabs>
          <w:tab w:val="left" w:pos="284"/>
          <w:tab w:val="left" w:pos="426"/>
        </w:tabs>
        <w:spacing w:before="240" w:after="240" w:line="360" w:lineRule="auto"/>
        <w:ind w:left="567" w:right="616"/>
        <w:contextualSpacing/>
        <w:jc w:val="center"/>
        <w:rPr>
          <w:rFonts w:ascii="Palatino Linotype" w:hAnsi="Palatino Linotype" w:cs="Arial"/>
          <w:b/>
          <w:i/>
        </w:rPr>
      </w:pPr>
      <w:r w:rsidRPr="00C45626">
        <w:rPr>
          <w:rFonts w:ascii="Palatino Linotype" w:hAnsi="Palatino Linotype" w:cs="Arial"/>
          <w:b/>
          <w:i/>
        </w:rPr>
        <w:t>LEY DE PROTECCIÓN DE DATOS PERSONALES EN POSESIÓN DE SUJETOS OBLIGADOS DEL ESTADO DE MÉXICO Y MUNICIPIOS</w:t>
      </w:r>
    </w:p>
    <w:p w14:paraId="67A45D15" w14:textId="77777777" w:rsidR="00B43908" w:rsidRPr="00C45626" w:rsidRDefault="00B43908"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162DA985"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b/>
          <w:i/>
        </w:rPr>
        <w:t>Artículo 28.</w:t>
      </w:r>
      <w:r w:rsidRPr="00C45626">
        <w:rPr>
          <w:rFonts w:ascii="Palatino Linotype" w:hAnsi="Palatino Linotype" w:cs="Arial"/>
          <w:i/>
        </w:rPr>
        <w:t xml:space="preserve"> Entre los mecanismos que deberá adoptar el responsable para cumplir con el principio de responsabilidad establecido en la presente Ley están, al menos, los siguientes: </w:t>
      </w:r>
    </w:p>
    <w:p w14:paraId="07D1C5A9"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1598897D"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I. Destinar recursos autorizados para tal fin para la instrumentación de programas y políticas de protección de datos personales. </w:t>
      </w:r>
    </w:p>
    <w:p w14:paraId="142B2090"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558CFA4B"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II. Elaborar políticas y programas de protección de datos personales obligatorios y exigibles al interior de la organización del responsable. </w:t>
      </w:r>
    </w:p>
    <w:p w14:paraId="11D2C5D5"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0AD0CE84" w14:textId="343DA4E9"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III. Poner en práctica un programa de capacitación y actualización del personal sobre las obligaciones y demás deberes en materia de protección de datos personales.</w:t>
      </w:r>
    </w:p>
    <w:p w14:paraId="764A705C"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6B58FAFC"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IV. Revisar periódicamente las políticas y programas de seguridad de datos personales para determinar las modificaciones que se requieran. </w:t>
      </w:r>
    </w:p>
    <w:p w14:paraId="7FC4F480"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41E4D33A"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 Establecer un sistema de supervisión y vigilancia interna y/o externas, incluyendo auditorías, para comprobar el cumplimiento de las políticas de protección de datos personales. </w:t>
      </w:r>
    </w:p>
    <w:p w14:paraId="3E4B852E"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7240FE51"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VI. Establecer procedimientos para recibir y responder dudas y quejas de los titulares. </w:t>
      </w:r>
    </w:p>
    <w:p w14:paraId="5EC73119"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1AB37F06"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VII. Diseñar, desarrollar e implementar sus políticas públicas, programas, servicios, sistemas o plataformas informáticas, aplicaciones electrónicas o cualquier otra tecnología que implique el tratamiento de datos personales, de conformidad con las disposiciones previstas en la presente Ley y las demás disposiciones legales aplicables. </w:t>
      </w:r>
    </w:p>
    <w:p w14:paraId="3427608B" w14:textId="77777777"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p>
    <w:p w14:paraId="242BBC4B" w14:textId="1E4895C5" w:rsidR="006E4B3C" w:rsidRPr="00C45626" w:rsidRDefault="006E4B3C" w:rsidP="006E4B3C">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VIII. Garantizar que sus políticas públicas, programas, servicios, sistemas o plataformas informáticas, aplicaciones electrónicas o cualquier otra tecnología que implique el tratamiento de datos personales, cumplan por diseño y por defecto con las obligaciones previstas en la presente Ley y las demás disposiciones legales aplicables.” (Sic)</w:t>
      </w:r>
    </w:p>
    <w:p w14:paraId="7EFC4410" w14:textId="77777777" w:rsidR="001A515B" w:rsidRPr="00C45626" w:rsidRDefault="001A515B" w:rsidP="001A515B">
      <w:pPr>
        <w:tabs>
          <w:tab w:val="left" w:pos="284"/>
          <w:tab w:val="left" w:pos="426"/>
        </w:tabs>
        <w:spacing w:before="240" w:after="240" w:line="360" w:lineRule="auto"/>
        <w:ind w:right="49"/>
        <w:contextualSpacing/>
        <w:jc w:val="both"/>
        <w:rPr>
          <w:rFonts w:ascii="Palatino Linotype" w:hAnsi="Palatino Linotype" w:cs="Arial"/>
        </w:rPr>
      </w:pPr>
    </w:p>
    <w:p w14:paraId="25097E72" w14:textId="31B4C300" w:rsidR="00DC3C11" w:rsidRPr="00C45626" w:rsidRDefault="00DC3C11"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rPr>
        <w:t xml:space="preserve">Por otro lado, el artículo 35 de la Ley General antes citada establece que el responsable del tratamiento de datos deberá elaborar un documento de seguridad que contenga, al menos, lo siguiente: </w:t>
      </w:r>
    </w:p>
    <w:p w14:paraId="7EA9A765" w14:textId="77777777" w:rsidR="00DC3C11" w:rsidRPr="00C45626" w:rsidRDefault="00DC3C11" w:rsidP="00DC3C11">
      <w:pPr>
        <w:tabs>
          <w:tab w:val="left" w:pos="284"/>
          <w:tab w:val="left" w:pos="426"/>
        </w:tabs>
        <w:spacing w:before="240" w:after="240" w:line="360" w:lineRule="auto"/>
        <w:ind w:right="49"/>
        <w:contextualSpacing/>
        <w:jc w:val="both"/>
        <w:rPr>
          <w:rFonts w:ascii="Palatino Linotype" w:hAnsi="Palatino Linotype" w:cs="Arial"/>
        </w:rPr>
      </w:pPr>
    </w:p>
    <w:p w14:paraId="13320C02" w14:textId="75F4247A"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w:t>
      </w:r>
      <w:r w:rsidRPr="00C45626">
        <w:rPr>
          <w:rFonts w:ascii="Palatino Linotype" w:hAnsi="Palatino Linotype" w:cs="Arial"/>
          <w:b/>
          <w:i/>
        </w:rPr>
        <w:t>Artículo 35.</w:t>
      </w:r>
      <w:r w:rsidRPr="00C45626">
        <w:rPr>
          <w:rFonts w:ascii="Palatino Linotype" w:hAnsi="Palatino Linotype" w:cs="Arial"/>
          <w:i/>
        </w:rPr>
        <w:t xml:space="preserve"> De manera particular, el responsable deberá elaborar un documento de seguridad que contenga, al menos, lo siguiente:</w:t>
      </w:r>
    </w:p>
    <w:p w14:paraId="7F2506A9" w14:textId="77777777"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p>
    <w:p w14:paraId="599FEAAB" w14:textId="77777777"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I. El inventario de datos personales y de los sistemas de tratamiento; </w:t>
      </w:r>
    </w:p>
    <w:p w14:paraId="543970E6" w14:textId="77777777"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II. Las funciones y obligaciones de las personas que traten datos personales;</w:t>
      </w:r>
    </w:p>
    <w:p w14:paraId="1E06843B" w14:textId="4657A0C0"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III. El análisis de riesgos;</w:t>
      </w:r>
    </w:p>
    <w:p w14:paraId="742A659E" w14:textId="77777777"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IV. El análisis de brecha; </w:t>
      </w:r>
    </w:p>
    <w:p w14:paraId="44B47A7D" w14:textId="77777777"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 El plan de trabajo; </w:t>
      </w:r>
    </w:p>
    <w:p w14:paraId="5D6A5D4A" w14:textId="77777777"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VI. Los mecanismos de monitoreo y revisión de las medidas de seguridad, y </w:t>
      </w:r>
    </w:p>
    <w:p w14:paraId="4C143791" w14:textId="058D5A3B" w:rsidR="00DC3C11" w:rsidRPr="00C45626" w:rsidRDefault="00DC3C11" w:rsidP="00DC3C11">
      <w:pPr>
        <w:tabs>
          <w:tab w:val="left" w:pos="284"/>
          <w:tab w:val="left" w:pos="426"/>
        </w:tabs>
        <w:spacing w:before="240" w:after="240" w:line="360" w:lineRule="auto"/>
        <w:ind w:left="567" w:right="616"/>
        <w:contextualSpacing/>
        <w:jc w:val="both"/>
        <w:rPr>
          <w:rFonts w:ascii="Palatino Linotype" w:hAnsi="Palatino Linotype" w:cs="Arial"/>
          <w:i/>
        </w:rPr>
      </w:pPr>
      <w:r w:rsidRPr="00C45626">
        <w:rPr>
          <w:rFonts w:ascii="Palatino Linotype" w:hAnsi="Palatino Linotype" w:cs="Arial"/>
          <w:i/>
        </w:rPr>
        <w:t xml:space="preserve">VII. El programa general de capacitación.” (Sic) </w:t>
      </w:r>
    </w:p>
    <w:p w14:paraId="2A657695" w14:textId="1ACB2C47" w:rsidR="00DC3C11" w:rsidRPr="00C45626" w:rsidRDefault="00DC3C11" w:rsidP="00DC3C11">
      <w:pPr>
        <w:tabs>
          <w:tab w:val="left" w:pos="284"/>
          <w:tab w:val="left" w:pos="426"/>
        </w:tabs>
        <w:spacing w:before="240" w:after="240" w:line="360" w:lineRule="auto"/>
        <w:ind w:right="49"/>
        <w:contextualSpacing/>
        <w:jc w:val="both"/>
        <w:rPr>
          <w:rFonts w:ascii="Palatino Linotype" w:hAnsi="Palatino Linotype" w:cs="Arial"/>
        </w:rPr>
      </w:pPr>
    </w:p>
    <w:p w14:paraId="2CBDE3E8" w14:textId="030E2957" w:rsidR="00B43908" w:rsidRPr="00C45626" w:rsidRDefault="00B43908"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lang w:eastAsia="en-US"/>
        </w:rPr>
        <w:t>Hasta este punto, podemos establecer que lo señalado anteriormente corresponde con lo solicitado por el particular en cada uno de sus requerimientos</w:t>
      </w:r>
      <w:r w:rsidR="00DC3C11" w:rsidRPr="00C45626">
        <w:rPr>
          <w:rFonts w:ascii="Palatino Linotype" w:hAnsi="Palatino Linotype" w:cs="Arial"/>
          <w:lang w:eastAsia="en-US"/>
        </w:rPr>
        <w:t>, por lo que</w:t>
      </w:r>
      <w:r w:rsidRPr="00C45626">
        <w:rPr>
          <w:rFonts w:ascii="Palatino Linotype" w:hAnsi="Palatino Linotype" w:cs="Arial"/>
          <w:lang w:eastAsia="en-US"/>
        </w:rPr>
        <w:t xml:space="preserve">, retomando lo que establece la Guía antes señalada, para adoptar un Sistema de Gestión de Seguridad de Datos Personales el Responsable </w:t>
      </w:r>
      <w:r w:rsidR="00DC3C11" w:rsidRPr="00C45626">
        <w:rPr>
          <w:rFonts w:ascii="Palatino Linotype" w:hAnsi="Palatino Linotype" w:cs="Arial"/>
          <w:lang w:eastAsia="en-US"/>
        </w:rPr>
        <w:t xml:space="preserve">se deben contemplar, </w:t>
      </w:r>
      <w:r w:rsidRPr="00C45626">
        <w:rPr>
          <w:rFonts w:ascii="Palatino Linotype" w:hAnsi="Palatino Linotype" w:cs="Arial"/>
          <w:lang w:eastAsia="en-US"/>
        </w:rPr>
        <w:t>cuand</w:t>
      </w:r>
      <w:r w:rsidR="00DC3C11" w:rsidRPr="00C45626">
        <w:rPr>
          <w:rFonts w:ascii="Palatino Linotype" w:hAnsi="Palatino Linotype" w:cs="Arial"/>
          <w:lang w:eastAsia="en-US"/>
        </w:rPr>
        <w:t xml:space="preserve">o menos, </w:t>
      </w:r>
      <w:r w:rsidRPr="00C45626">
        <w:rPr>
          <w:rFonts w:ascii="Palatino Linotype" w:hAnsi="Palatino Linotype" w:cs="Arial"/>
          <w:lang w:eastAsia="en-US"/>
        </w:rPr>
        <w:t xml:space="preserve">los siguientes aspectos: </w:t>
      </w:r>
    </w:p>
    <w:p w14:paraId="24C9F8D6" w14:textId="77777777" w:rsidR="000028B3" w:rsidRPr="00C45626" w:rsidRDefault="000028B3" w:rsidP="000028B3">
      <w:pPr>
        <w:tabs>
          <w:tab w:val="left" w:pos="284"/>
          <w:tab w:val="left" w:pos="426"/>
        </w:tabs>
        <w:spacing w:before="240" w:after="240" w:line="360" w:lineRule="auto"/>
        <w:ind w:right="49"/>
        <w:contextualSpacing/>
        <w:jc w:val="both"/>
        <w:rPr>
          <w:rFonts w:ascii="Palatino Linotype" w:hAnsi="Palatino Linotype" w:cs="Arial"/>
        </w:rPr>
      </w:pPr>
    </w:p>
    <w:p w14:paraId="55751BA3" w14:textId="77777777" w:rsidR="000028B3" w:rsidRPr="00C45626" w:rsidRDefault="000028B3" w:rsidP="000028B3">
      <w:pPr>
        <w:tabs>
          <w:tab w:val="left" w:pos="284"/>
          <w:tab w:val="left" w:pos="426"/>
        </w:tabs>
        <w:spacing w:before="240" w:after="240" w:line="360" w:lineRule="auto"/>
        <w:ind w:right="49"/>
        <w:contextualSpacing/>
        <w:jc w:val="both"/>
        <w:rPr>
          <w:rFonts w:ascii="Palatino Linotype" w:hAnsi="Palatino Linotype" w:cs="Arial"/>
        </w:rPr>
      </w:pPr>
    </w:p>
    <w:p w14:paraId="78E483C5" w14:textId="2BECDCDA" w:rsidR="00B43908" w:rsidRPr="00C45626" w:rsidRDefault="00B43908" w:rsidP="00B43908">
      <w:pPr>
        <w:tabs>
          <w:tab w:val="left" w:pos="284"/>
          <w:tab w:val="left" w:pos="426"/>
          <w:tab w:val="left" w:pos="6804"/>
        </w:tabs>
        <w:spacing w:before="240" w:after="240" w:line="360" w:lineRule="auto"/>
        <w:ind w:right="49" w:firstLine="142"/>
        <w:contextualSpacing/>
        <w:jc w:val="center"/>
        <w:rPr>
          <w:rFonts w:ascii="Palatino Linotype" w:hAnsi="Palatino Linotype" w:cs="Arial"/>
        </w:rPr>
      </w:pPr>
      <w:r w:rsidRPr="00C45626">
        <w:rPr>
          <w:noProof/>
          <w:lang w:val="en-US" w:eastAsia="en-US"/>
        </w:rPr>
        <w:drawing>
          <wp:inline distT="0" distB="0" distL="0" distR="0" wp14:anchorId="0455537A" wp14:editId="08FE6A6B">
            <wp:extent cx="5484429" cy="115252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232" t="16596" r="9808" b="71837"/>
                    <a:stretch/>
                  </pic:blipFill>
                  <pic:spPr bwMode="auto">
                    <a:xfrm>
                      <a:off x="0" y="0"/>
                      <a:ext cx="5500981" cy="1156003"/>
                    </a:xfrm>
                    <a:prstGeom prst="rect">
                      <a:avLst/>
                    </a:prstGeom>
                    <a:ln>
                      <a:noFill/>
                    </a:ln>
                    <a:extLst>
                      <a:ext uri="{53640926-AAD7-44D8-BBD7-CCE9431645EC}">
                        <a14:shadowObscured xmlns:a14="http://schemas.microsoft.com/office/drawing/2010/main"/>
                      </a:ext>
                    </a:extLst>
                  </pic:spPr>
                </pic:pic>
              </a:graphicData>
            </a:graphic>
          </wp:inline>
        </w:drawing>
      </w:r>
    </w:p>
    <w:p w14:paraId="08B20FB0" w14:textId="77777777" w:rsidR="000028B3" w:rsidRPr="00C45626" w:rsidRDefault="000028B3" w:rsidP="00B43908">
      <w:pPr>
        <w:tabs>
          <w:tab w:val="left" w:pos="284"/>
          <w:tab w:val="left" w:pos="426"/>
          <w:tab w:val="left" w:pos="6804"/>
        </w:tabs>
        <w:spacing w:before="240" w:after="240" w:line="360" w:lineRule="auto"/>
        <w:ind w:right="49" w:firstLine="142"/>
        <w:contextualSpacing/>
        <w:jc w:val="center"/>
        <w:rPr>
          <w:rFonts w:ascii="Palatino Linotype" w:hAnsi="Palatino Linotype" w:cs="Arial"/>
        </w:rPr>
      </w:pPr>
    </w:p>
    <w:p w14:paraId="294B5B16" w14:textId="5AF8D193" w:rsidR="00B43908" w:rsidRPr="00C45626" w:rsidRDefault="00B43908" w:rsidP="00B43908">
      <w:pPr>
        <w:tabs>
          <w:tab w:val="left" w:pos="284"/>
          <w:tab w:val="left" w:pos="426"/>
        </w:tabs>
        <w:spacing w:before="240" w:after="240" w:line="360" w:lineRule="auto"/>
        <w:ind w:right="49"/>
        <w:contextualSpacing/>
        <w:jc w:val="center"/>
        <w:rPr>
          <w:rFonts w:ascii="Palatino Linotype" w:hAnsi="Palatino Linotype" w:cs="Arial"/>
        </w:rPr>
      </w:pPr>
      <w:r w:rsidRPr="00C45626">
        <w:rPr>
          <w:noProof/>
          <w:lang w:val="en-US" w:eastAsia="en-US"/>
        </w:rPr>
        <w:drawing>
          <wp:inline distT="0" distB="0" distL="0" distR="0" wp14:anchorId="168CC8D9" wp14:editId="2D518876">
            <wp:extent cx="5514975" cy="3981399"/>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555" t="50090" r="9708" b="9174"/>
                    <a:stretch/>
                  </pic:blipFill>
                  <pic:spPr bwMode="auto">
                    <a:xfrm>
                      <a:off x="0" y="0"/>
                      <a:ext cx="5547361" cy="4004779"/>
                    </a:xfrm>
                    <a:prstGeom prst="rect">
                      <a:avLst/>
                    </a:prstGeom>
                    <a:ln>
                      <a:noFill/>
                    </a:ln>
                    <a:extLst>
                      <a:ext uri="{53640926-AAD7-44D8-BBD7-CCE9431645EC}">
                        <a14:shadowObscured xmlns:a14="http://schemas.microsoft.com/office/drawing/2010/main"/>
                      </a:ext>
                    </a:extLst>
                  </pic:spPr>
                </pic:pic>
              </a:graphicData>
            </a:graphic>
          </wp:inline>
        </w:drawing>
      </w:r>
    </w:p>
    <w:p w14:paraId="735BFB90" w14:textId="77777777" w:rsidR="000028B3" w:rsidRPr="00C45626" w:rsidRDefault="000028B3" w:rsidP="00B43908">
      <w:pPr>
        <w:tabs>
          <w:tab w:val="left" w:pos="284"/>
          <w:tab w:val="left" w:pos="426"/>
        </w:tabs>
        <w:spacing w:before="240" w:after="240" w:line="360" w:lineRule="auto"/>
        <w:ind w:right="49"/>
        <w:contextualSpacing/>
        <w:jc w:val="center"/>
        <w:rPr>
          <w:rFonts w:ascii="Palatino Linotype" w:hAnsi="Palatino Linotype" w:cs="Arial"/>
        </w:rPr>
      </w:pPr>
    </w:p>
    <w:p w14:paraId="4AF22C10" w14:textId="77777777" w:rsidR="00B43908" w:rsidRPr="00C45626" w:rsidRDefault="00B43908" w:rsidP="00B43908">
      <w:pPr>
        <w:tabs>
          <w:tab w:val="left" w:pos="284"/>
          <w:tab w:val="left" w:pos="426"/>
        </w:tabs>
        <w:spacing w:before="240" w:after="240" w:line="360" w:lineRule="auto"/>
        <w:ind w:right="49"/>
        <w:contextualSpacing/>
        <w:jc w:val="both"/>
        <w:rPr>
          <w:rFonts w:ascii="Palatino Linotype" w:hAnsi="Palatino Linotype" w:cs="Arial"/>
        </w:rPr>
      </w:pPr>
    </w:p>
    <w:p w14:paraId="5EB59B40" w14:textId="4E0F5647" w:rsidR="00B43908" w:rsidRPr="00C45626" w:rsidRDefault="00155D53"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lang w:eastAsia="en-US"/>
        </w:rPr>
        <w:t xml:space="preserve"> </w:t>
      </w:r>
      <w:r w:rsidR="00B43908" w:rsidRPr="00C45626">
        <w:rPr>
          <w:rFonts w:ascii="Palatino Linotype" w:hAnsi="Palatino Linotype" w:cs="Arial"/>
          <w:lang w:eastAsia="en-US"/>
        </w:rPr>
        <w:t xml:space="preserve">En ese contexto, de conformidad con lo que señala se debe de entender </w:t>
      </w:r>
      <w:r w:rsidR="00DC3C11" w:rsidRPr="00C45626">
        <w:rPr>
          <w:rFonts w:ascii="Palatino Linotype" w:hAnsi="Palatino Linotype" w:cs="Arial"/>
          <w:lang w:eastAsia="en-US"/>
        </w:rPr>
        <w:t xml:space="preserve">por mediadas de seguridad al </w:t>
      </w:r>
      <w:r w:rsidR="00DC3C11" w:rsidRPr="00C45626">
        <w:rPr>
          <w:rFonts w:ascii="Palatino Linotype" w:hAnsi="Palatino Linotype" w:cs="Arial"/>
          <w:i/>
          <w:lang w:eastAsia="en-US"/>
        </w:rPr>
        <w:t>“conjunto de acciones y actividades, controles o mecanismos administrativos, técnicos y físicos que permitan proteger los datos personales</w:t>
      </w:r>
      <w:r w:rsidR="00DC3C11" w:rsidRPr="00C45626">
        <w:rPr>
          <w:rFonts w:ascii="Palatino Linotype" w:hAnsi="Palatino Linotype" w:cs="Arial"/>
          <w:lang w:eastAsia="en-US"/>
        </w:rPr>
        <w:t>” tomando en cuenta los siguientes factores:</w:t>
      </w:r>
    </w:p>
    <w:p w14:paraId="1DE55517" w14:textId="77777777" w:rsidR="00DC3C11" w:rsidRPr="00C45626" w:rsidRDefault="00DC3C11" w:rsidP="00DC3C11">
      <w:pPr>
        <w:tabs>
          <w:tab w:val="left" w:pos="284"/>
          <w:tab w:val="left" w:pos="426"/>
        </w:tabs>
        <w:spacing w:before="240" w:after="240" w:line="360" w:lineRule="auto"/>
        <w:ind w:right="49"/>
        <w:contextualSpacing/>
        <w:jc w:val="both"/>
        <w:rPr>
          <w:rFonts w:ascii="Palatino Linotype" w:hAnsi="Palatino Linotype" w:cs="Arial"/>
        </w:rPr>
      </w:pPr>
    </w:p>
    <w:p w14:paraId="3D6DB0B1" w14:textId="3C36855E" w:rsidR="00DC3C11" w:rsidRPr="00C45626" w:rsidRDefault="00DC3C11" w:rsidP="00DC3C11">
      <w:pPr>
        <w:tabs>
          <w:tab w:val="left" w:pos="284"/>
          <w:tab w:val="left" w:pos="426"/>
        </w:tabs>
        <w:spacing w:before="240" w:after="240" w:line="360" w:lineRule="auto"/>
        <w:ind w:right="49"/>
        <w:contextualSpacing/>
        <w:jc w:val="center"/>
        <w:rPr>
          <w:rFonts w:ascii="Palatino Linotype" w:hAnsi="Palatino Linotype" w:cs="Arial"/>
        </w:rPr>
      </w:pPr>
      <w:r w:rsidRPr="00C45626">
        <w:rPr>
          <w:noProof/>
          <w:lang w:val="en-US" w:eastAsia="en-US"/>
        </w:rPr>
        <w:drawing>
          <wp:inline distT="0" distB="0" distL="0" distR="0" wp14:anchorId="12A74363" wp14:editId="007DB595">
            <wp:extent cx="5698490" cy="1828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063" t="28968" r="9538" b="56849"/>
                    <a:stretch/>
                  </pic:blipFill>
                  <pic:spPr bwMode="auto">
                    <a:xfrm>
                      <a:off x="0" y="0"/>
                      <a:ext cx="5711419" cy="1832949"/>
                    </a:xfrm>
                    <a:prstGeom prst="rect">
                      <a:avLst/>
                    </a:prstGeom>
                    <a:ln>
                      <a:noFill/>
                    </a:ln>
                    <a:extLst>
                      <a:ext uri="{53640926-AAD7-44D8-BBD7-CCE9431645EC}">
                        <a14:shadowObscured xmlns:a14="http://schemas.microsoft.com/office/drawing/2010/main"/>
                      </a:ext>
                    </a:extLst>
                  </pic:spPr>
                </pic:pic>
              </a:graphicData>
            </a:graphic>
          </wp:inline>
        </w:drawing>
      </w:r>
    </w:p>
    <w:p w14:paraId="5FB1D99B" w14:textId="77777777" w:rsidR="00B43908" w:rsidRPr="00C45626" w:rsidRDefault="00B43908" w:rsidP="00B43908">
      <w:pPr>
        <w:tabs>
          <w:tab w:val="left" w:pos="284"/>
          <w:tab w:val="left" w:pos="426"/>
        </w:tabs>
        <w:spacing w:before="240" w:after="240" w:line="360" w:lineRule="auto"/>
        <w:ind w:right="49"/>
        <w:contextualSpacing/>
        <w:jc w:val="both"/>
        <w:rPr>
          <w:rFonts w:ascii="Palatino Linotype" w:hAnsi="Palatino Linotype" w:cs="Arial"/>
        </w:rPr>
      </w:pPr>
    </w:p>
    <w:p w14:paraId="27BE7418" w14:textId="77777777" w:rsidR="000A570C" w:rsidRPr="00C45626" w:rsidRDefault="000A570C" w:rsidP="00CC364E">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C45626">
        <w:rPr>
          <w:rFonts w:ascii="Palatino Linotype" w:hAnsi="Palatino Linotype" w:cs="Arial"/>
          <w:lang w:eastAsia="en-US"/>
        </w:rPr>
        <w:t xml:space="preserve">A través de los siguientes mecanismos: </w:t>
      </w:r>
    </w:p>
    <w:p w14:paraId="381318B9" w14:textId="77777777" w:rsidR="000A570C" w:rsidRPr="00C45626" w:rsidRDefault="000A570C" w:rsidP="000A570C">
      <w:pPr>
        <w:tabs>
          <w:tab w:val="left" w:pos="284"/>
          <w:tab w:val="left" w:pos="426"/>
        </w:tabs>
        <w:spacing w:before="240" w:after="240" w:line="360" w:lineRule="auto"/>
        <w:ind w:right="49"/>
        <w:contextualSpacing/>
        <w:jc w:val="both"/>
        <w:rPr>
          <w:rFonts w:ascii="Palatino Linotype" w:hAnsi="Palatino Linotype" w:cs="Arial"/>
          <w:lang w:eastAsia="en-US"/>
        </w:rPr>
      </w:pPr>
    </w:p>
    <w:p w14:paraId="05F60308" w14:textId="57B097B0" w:rsidR="000A570C" w:rsidRPr="00C45626" w:rsidRDefault="000A570C"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 xml:space="preserve"> Políticas internas para la gestión y tratamiento de los datos personales.</w:t>
      </w:r>
    </w:p>
    <w:p w14:paraId="58639CDF" w14:textId="37ECD8AC" w:rsidR="000A570C"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Para crear políticas internas referentes a la gestión y tratamiento de los datos personales, se deben observar los artículos 47 y 56</w:t>
      </w:r>
      <w:r w:rsidRPr="00C45626">
        <w:rPr>
          <w:rStyle w:val="Refdenotaalpie"/>
          <w:rFonts w:ascii="Palatino Linotype" w:hAnsi="Palatino Linotype" w:cs="Arial"/>
          <w:i/>
          <w:lang w:eastAsia="en-US"/>
        </w:rPr>
        <w:footnoteReference w:id="4"/>
      </w:r>
      <w:r w:rsidRPr="00C45626">
        <w:rPr>
          <w:rFonts w:ascii="Palatino Linotype" w:hAnsi="Palatino Linotype" w:cs="Arial"/>
          <w:i/>
          <w:lang w:eastAsia="en-US"/>
        </w:rPr>
        <w:t xml:space="preserve"> de los Lineamientos Generales, en primer término se deben elaborar e implementar políticas y programas de protección de datos personales, cuyo objeto sea establecer las directrices, la operación y el control de los procesos de tratamiento de datos realizado en ejercicio de sus atribuciones y funciones, a efecto de proteger los datos personales de una manera sistemática y continua. </w:t>
      </w:r>
    </w:p>
    <w:p w14:paraId="2E1C655E" w14:textId="77777777" w:rsidR="000A570C"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253C7FC9" w14:textId="77777777" w:rsidR="007563AE"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El Comité de Transparencia, deberá aprobar, coordinar y supervisar las políticas y el programa de protección de datos del responsable, éste a su vez deberá destinar recursos de conformidad con la normatividad que le resulte aplicable para la implementación y cumplimiento de dicho programa y las políticas. </w:t>
      </w:r>
    </w:p>
    <w:p w14:paraId="7FE86F18" w14:textId="77777777" w:rsidR="007563AE" w:rsidRPr="00C45626" w:rsidRDefault="007563A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2FADFA3" w14:textId="77777777" w:rsidR="007563AE"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Entre los puntos que deben contener las políticas internas de gestión y tratamiento de los datos personales están las siguientes: </w:t>
      </w:r>
    </w:p>
    <w:p w14:paraId="79000EF8" w14:textId="77777777" w:rsidR="007563AE" w:rsidRPr="00C45626" w:rsidRDefault="007563A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421914B" w14:textId="77777777" w:rsidR="007563AE"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Cumplimiento de todos los principios, deberes, derechos y obligaciones. </w:t>
      </w:r>
    </w:p>
    <w:p w14:paraId="20728913" w14:textId="76CFD1A5" w:rsidR="007563AE"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Responsabilidades específicas de los involucrados en el tratamiento de los datos.</w:t>
      </w:r>
    </w:p>
    <w:p w14:paraId="124B3FD9" w14:textId="01A9A4BD" w:rsidR="007563AE"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Sanciones en caso de incumplimiento. </w:t>
      </w:r>
    </w:p>
    <w:p w14:paraId="1DAAA5B9" w14:textId="77777777" w:rsidR="007563AE"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Identificar el ciclo de vida de los datos personales, esto debe realizarse de conformidad con la Ley General de Archivos y la normatividad aplicable a cada sujeto obligado, para lo cual deberá contar con su catálogo de disposición documental. </w:t>
      </w:r>
    </w:p>
    <w:p w14:paraId="5C993E00" w14:textId="77777777" w:rsidR="007563AE"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El proceso para el establecimiento de los mecanismos y medidas de seguridad. </w:t>
      </w:r>
      <w:r w:rsidRPr="00C45626">
        <w:rPr>
          <w:rFonts w:ascii="Segoe UI Symbol" w:hAnsi="Segoe UI Symbol" w:cs="Segoe UI Symbol"/>
          <w:i/>
          <w:lang w:eastAsia="en-US"/>
        </w:rPr>
        <w:t>➢</w:t>
      </w:r>
      <w:r w:rsidRPr="00C45626">
        <w:rPr>
          <w:rFonts w:ascii="Palatino Linotype" w:hAnsi="Palatino Linotype" w:cs="Arial"/>
          <w:i/>
          <w:lang w:eastAsia="en-US"/>
        </w:rPr>
        <w:t xml:space="preserve"> La atenci</w:t>
      </w:r>
      <w:r w:rsidRPr="00C45626">
        <w:rPr>
          <w:rFonts w:ascii="Palatino Linotype" w:hAnsi="Palatino Linotype" w:cs="Palatino Linotype"/>
          <w:i/>
          <w:lang w:eastAsia="en-US"/>
        </w:rPr>
        <w:t>ó</w:t>
      </w:r>
      <w:r w:rsidRPr="00C45626">
        <w:rPr>
          <w:rFonts w:ascii="Palatino Linotype" w:hAnsi="Palatino Linotype" w:cs="Arial"/>
          <w:i/>
          <w:lang w:eastAsia="en-US"/>
        </w:rPr>
        <w:t xml:space="preserve">n de las solicitudes para el ejercicio de derechos ARCO. </w:t>
      </w:r>
    </w:p>
    <w:p w14:paraId="47A6E709" w14:textId="77777777" w:rsidR="007563AE" w:rsidRPr="00C45626" w:rsidRDefault="007563A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06C9B7BC" w14:textId="7DEC7377" w:rsidR="000A570C"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Cabe destacar que las políticas internas para la gestión de los datos personales deben establecer el compromiso de cumplir con la legislación en la materia, por parte de todos los involucrados en el tratamiento a su vez que ésta debe ser comunicada.</w:t>
      </w:r>
    </w:p>
    <w:p w14:paraId="039A4AD1" w14:textId="77777777" w:rsidR="000A570C"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8FA27FF" w14:textId="47168662" w:rsidR="007563AE" w:rsidRPr="00C45626" w:rsidRDefault="007563AE"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 xml:space="preserve">El inventario de datos personales </w:t>
      </w:r>
      <w:r w:rsidR="00B378BC" w:rsidRPr="00C45626">
        <w:rPr>
          <w:rFonts w:ascii="Palatino Linotype" w:hAnsi="Palatino Linotype" w:cs="Arial"/>
          <w:b/>
          <w:i/>
          <w:lang w:eastAsia="en-US"/>
        </w:rPr>
        <w:t xml:space="preserve">y de los sistemas de tratamiento. </w:t>
      </w:r>
    </w:p>
    <w:p w14:paraId="79AD2668"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Es necesario elaborar un inventario</w:t>
      </w:r>
      <w:r w:rsidRPr="00C45626">
        <w:rPr>
          <w:rStyle w:val="Refdenotaalpie"/>
          <w:rFonts w:ascii="Palatino Linotype" w:hAnsi="Palatino Linotype" w:cs="Arial"/>
          <w:i/>
          <w:lang w:eastAsia="en-US"/>
        </w:rPr>
        <w:footnoteReference w:id="5"/>
      </w:r>
      <w:r w:rsidRPr="00C45626">
        <w:rPr>
          <w:rFonts w:ascii="Palatino Linotype" w:hAnsi="Palatino Linotype" w:cs="Arial"/>
          <w:i/>
          <w:lang w:eastAsia="en-US"/>
        </w:rPr>
        <w:t xml:space="preserve"> con la información de cada tratamiento de datos que realice el responsable, que contenga un catálogo de medios físicos y electrónicos, finalidades, tipo de datos tratados, formatos de almacenamiento, lista de los servidores públicos que tienen acceso al tratamiento, en su caso, nombre o razón social del encargado, así como de los destinarios de las transferencias. </w:t>
      </w:r>
    </w:p>
    <w:p w14:paraId="6C17FC41"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59CEF647" w14:textId="50F1DD72" w:rsidR="000A570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También deberá considerar el ciclo de vida de los datos personales conforme a lo siguiente:</w:t>
      </w:r>
    </w:p>
    <w:p w14:paraId="69C93CBF"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C58C6C7" w14:textId="54B44732" w:rsidR="00B378BC" w:rsidRPr="00C45626" w:rsidRDefault="00B378BC" w:rsidP="00CA4F44">
      <w:pPr>
        <w:tabs>
          <w:tab w:val="left" w:pos="284"/>
          <w:tab w:val="left" w:pos="426"/>
        </w:tabs>
        <w:spacing w:before="240" w:after="240" w:line="360" w:lineRule="auto"/>
        <w:ind w:left="567" w:right="616"/>
        <w:contextualSpacing/>
        <w:jc w:val="center"/>
        <w:rPr>
          <w:rFonts w:ascii="Palatino Linotype" w:hAnsi="Palatino Linotype" w:cs="Arial"/>
          <w:i/>
          <w:lang w:eastAsia="en-US"/>
        </w:rPr>
      </w:pPr>
      <w:r w:rsidRPr="00C45626">
        <w:rPr>
          <w:i/>
          <w:noProof/>
          <w:lang w:val="en-US" w:eastAsia="en-US"/>
        </w:rPr>
        <w:drawing>
          <wp:inline distT="0" distB="0" distL="0" distR="0" wp14:anchorId="0C574559" wp14:editId="6B34501A">
            <wp:extent cx="5029200" cy="24028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573" t="31080" r="9877" b="42969"/>
                    <a:stretch/>
                  </pic:blipFill>
                  <pic:spPr bwMode="auto">
                    <a:xfrm>
                      <a:off x="0" y="0"/>
                      <a:ext cx="5069847" cy="2422260"/>
                    </a:xfrm>
                    <a:prstGeom prst="rect">
                      <a:avLst/>
                    </a:prstGeom>
                    <a:ln>
                      <a:noFill/>
                    </a:ln>
                    <a:extLst>
                      <a:ext uri="{53640926-AAD7-44D8-BBD7-CCE9431645EC}">
                        <a14:shadowObscured xmlns:a14="http://schemas.microsoft.com/office/drawing/2010/main"/>
                      </a:ext>
                    </a:extLst>
                  </pic:spPr>
                </pic:pic>
              </a:graphicData>
            </a:graphic>
          </wp:inline>
        </w:drawing>
      </w:r>
    </w:p>
    <w:p w14:paraId="231C209C"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En efecto, realizar el inventario de datos personales implica llevar a cabo un diagnóstico de los datos personales y sistemas de tratamiento que se encuentran bajo resguardo del sujeto obligado, identificando los siguientes elementos relevantes: </w:t>
      </w:r>
    </w:p>
    <w:p w14:paraId="7D5BAC21"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1. Cada uno de los procesos en los que la unidad administrativa trata datos personales. </w:t>
      </w:r>
    </w:p>
    <w:p w14:paraId="0702BC01"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2. La unidad administrativa que está a cargo del proceso en donde se tratan los datos personales, según las atribuciones o facultades normativas. </w:t>
      </w:r>
    </w:p>
    <w:p w14:paraId="1FDD27D7"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3. De acuerdo con el ciclo de vida de los datos personales, se debe identificar: </w:t>
      </w:r>
    </w:p>
    <w:p w14:paraId="0D964C53"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 ¿Cómo se obtienen los datos personales? </w:t>
      </w:r>
    </w:p>
    <w:p w14:paraId="03099281"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II. ¿Qué tipo de datos personales se tratan? ¿Son sensibles? </w:t>
      </w:r>
    </w:p>
    <w:p w14:paraId="1851643F"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III. ¿Dónde se almacenan los datos personales? </w:t>
      </w:r>
    </w:p>
    <w:p w14:paraId="2315B03B"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IV. ¿Para qué finalidades se utilizan los datos personales? </w:t>
      </w:r>
    </w:p>
    <w:p w14:paraId="070DE4F0"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V. ¿Quién tiene acceso a la base de datos o archivos y a quién se comunican los datos personales al interior de la organización? </w:t>
      </w:r>
    </w:p>
    <w:p w14:paraId="1A12EB0A"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VI. ¿Intervienen encargados en el tratamiento de los datos personales? </w:t>
      </w:r>
    </w:p>
    <w:p w14:paraId="51A07CC6"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VII. ¿Qué transferencias se realizan o se podrían realizar de los datos personales y con qué finalidad? </w:t>
      </w:r>
    </w:p>
    <w:p w14:paraId="2C02E844"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VIII. ¿Se difunden los datos personales? </w:t>
      </w:r>
    </w:p>
    <w:p w14:paraId="24CEC119" w14:textId="06954895"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X. ¿Cuál es el plazo de conservación de los datos personales?</w:t>
      </w:r>
    </w:p>
    <w:p w14:paraId="280E215F"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4122F78D" w14:textId="69691A99"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Ejemplo:</w:t>
      </w:r>
      <w:r w:rsidR="00D04539" w:rsidRPr="00C45626">
        <w:rPr>
          <w:rFonts w:ascii="Palatino Linotype" w:hAnsi="Palatino Linotype" w:cs="Arial"/>
          <w:i/>
          <w:lang w:eastAsia="en-US"/>
        </w:rPr>
        <w:t xml:space="preserve"> </w:t>
      </w:r>
    </w:p>
    <w:p w14:paraId="7E008480"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002E53CD" w14:textId="0802C80A" w:rsidR="00D04539" w:rsidRPr="00C45626" w:rsidRDefault="00D8727A"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hyperlink r:id="rId25" w:history="1">
        <w:r w:rsidR="00D04539" w:rsidRPr="00C45626">
          <w:rPr>
            <w:rStyle w:val="Hipervnculo"/>
            <w:rFonts w:ascii="Palatino Linotype" w:hAnsi="Palatino Linotype" w:cs="Arial"/>
            <w:i/>
            <w:lang w:eastAsia="en-US"/>
          </w:rPr>
          <w:t>http://inicio.ifai.org.mx/DocumentosdeInteres/AnexosDocumentoOrientador.zip</w:t>
        </w:r>
      </w:hyperlink>
      <w:r w:rsidR="000028B3" w:rsidRPr="00C45626">
        <w:rPr>
          <w:rFonts w:ascii="Palatino Linotype" w:hAnsi="Palatino Linotype" w:cs="Arial"/>
          <w:i/>
          <w:lang w:eastAsia="en-US"/>
        </w:rPr>
        <w:t xml:space="preserve"> </w:t>
      </w:r>
    </w:p>
    <w:p w14:paraId="4733AEE9" w14:textId="77777777" w:rsidR="000028B3" w:rsidRPr="00C45626" w:rsidRDefault="000028B3"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98E0280" w14:textId="552D5571" w:rsidR="000028B3" w:rsidRPr="00C45626" w:rsidRDefault="000028B3"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 Anexo1</w:t>
      </w:r>
    </w:p>
    <w:p w14:paraId="74E81EBA"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57EDF304" w14:textId="77777777"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5E90D4D1" w14:textId="406DA5B2" w:rsidR="00B378BC" w:rsidRPr="00C45626" w:rsidRDefault="00B378B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i/>
          <w:noProof/>
          <w:lang w:val="en-US" w:eastAsia="en-US"/>
        </w:rPr>
        <w:drawing>
          <wp:inline distT="0" distB="0" distL="0" distR="0" wp14:anchorId="497A794D" wp14:editId="7BD6C33D">
            <wp:extent cx="5019675" cy="2644738"/>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9" t="21122" r="59946" b="55643"/>
                    <a:stretch/>
                  </pic:blipFill>
                  <pic:spPr bwMode="auto">
                    <a:xfrm>
                      <a:off x="0" y="0"/>
                      <a:ext cx="5085527" cy="2679434"/>
                    </a:xfrm>
                    <a:prstGeom prst="rect">
                      <a:avLst/>
                    </a:prstGeom>
                    <a:ln>
                      <a:noFill/>
                    </a:ln>
                    <a:extLst>
                      <a:ext uri="{53640926-AAD7-44D8-BBD7-CCE9431645EC}">
                        <a14:shadowObscured xmlns:a14="http://schemas.microsoft.com/office/drawing/2010/main"/>
                      </a:ext>
                    </a:extLst>
                  </pic:spPr>
                </pic:pic>
              </a:graphicData>
            </a:graphic>
          </wp:inline>
        </w:drawing>
      </w:r>
    </w:p>
    <w:p w14:paraId="32BBB870"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69F68C4" w14:textId="2F151EC0" w:rsidR="00D04539" w:rsidRPr="00C45626" w:rsidRDefault="00D04539"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Las funciones y obligaciones de las personas que traten datos personales</w:t>
      </w:r>
    </w:p>
    <w:p w14:paraId="58498836" w14:textId="77777777" w:rsidR="00D04539" w:rsidRPr="00C45626" w:rsidRDefault="00D04539" w:rsidP="00CA4F44">
      <w:pPr>
        <w:pStyle w:val="Prrafodelista"/>
        <w:tabs>
          <w:tab w:val="left" w:pos="284"/>
          <w:tab w:val="left" w:pos="426"/>
        </w:tabs>
        <w:spacing w:before="240" w:after="240" w:line="360" w:lineRule="auto"/>
        <w:ind w:left="567" w:right="616"/>
        <w:contextualSpacing/>
        <w:jc w:val="both"/>
        <w:rPr>
          <w:rFonts w:ascii="Palatino Linotype" w:hAnsi="Palatino Linotype" w:cs="Arial"/>
          <w:b/>
          <w:i/>
          <w:lang w:eastAsia="en-US"/>
        </w:rPr>
      </w:pPr>
    </w:p>
    <w:p w14:paraId="0DF7C994" w14:textId="77777777" w:rsidR="00D04539" w:rsidRPr="00C45626" w:rsidRDefault="00D04539" w:rsidP="00CA4F44">
      <w:pPr>
        <w:pStyle w:val="Prrafodelista"/>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Para definir las funciones y obligaciones del personal involucrado en el tratamiento de datos personales, se debe atender lo que establece el artículo 57 de Los Lineamientos Generales, que estipula que se deberán establecer y documentar los roles y responsabilidades para todos aquellos que intervienen en el tratamiento de los datos personales dentro de la organización del sujeto obligado. </w:t>
      </w:r>
    </w:p>
    <w:p w14:paraId="577791E4" w14:textId="2124AB86" w:rsidR="00D04539" w:rsidRPr="00C45626" w:rsidRDefault="00D04539" w:rsidP="00CA4F44">
      <w:pPr>
        <w:pStyle w:val="Prrafodelista"/>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Además, se debe contar con mecanismos para asegurar que todas las personas involucradas en el tratamiento conozcan sus funciones para el cumplimiento de los objetivos del sistema de gestión, y las consecuencias en caso de incumplimiento.</w:t>
      </w:r>
    </w:p>
    <w:p w14:paraId="16D50967" w14:textId="77777777" w:rsidR="00D04539" w:rsidRPr="00C45626" w:rsidRDefault="00D04539" w:rsidP="00CA4F44">
      <w:pPr>
        <w:pStyle w:val="Prrafodelista"/>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7FB5F01" w14:textId="62534BAD" w:rsidR="00D04539" w:rsidRPr="00C45626" w:rsidRDefault="00D04539"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El análisis de riesgos.</w:t>
      </w:r>
    </w:p>
    <w:p w14:paraId="75413322" w14:textId="45A62262" w:rsidR="00B378BC"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Para realizar un análisis de riesgo, se deben identificar escenarios de riesgo, tomando en consideración las amenazas y vulnerabilidades existentes para los datos personales. Asimismo, el artículo 32 de la Ley General establece una serie de medidas de seguridad que debe considerar el responsable para su implementación, que por su importancia se transcriben:</w:t>
      </w:r>
    </w:p>
    <w:p w14:paraId="3FC2AEEE"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72A8D6C4"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“Artículo 32. Las medidas de seguridad adoptadas por el responsable deberán considerar: </w:t>
      </w:r>
    </w:p>
    <w:p w14:paraId="1B11C5FB"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3E4ECAD"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I.El riesgo inherente a los datos personales tratados; </w:t>
      </w:r>
    </w:p>
    <w:p w14:paraId="6BA94D7E"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II. La sensibilidad de los datos personales tratados; </w:t>
      </w:r>
    </w:p>
    <w:p w14:paraId="24F733FD"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III. El desarrollo tecnológico; </w:t>
      </w:r>
    </w:p>
    <w:p w14:paraId="5E84FCE7"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IV. Las posibles consecuencias de una vulneración para los titulares; </w:t>
      </w:r>
    </w:p>
    <w:p w14:paraId="7475E25F"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V. Las transferencias de datos personales que se realicen; </w:t>
      </w:r>
    </w:p>
    <w:p w14:paraId="14636768"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VI. El número de titulares; </w:t>
      </w:r>
    </w:p>
    <w:p w14:paraId="6735A388" w14:textId="77777777"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VII. Las vulneraciones previas ocurridas en los sistemas de tratamiento, y </w:t>
      </w:r>
    </w:p>
    <w:p w14:paraId="2ABDAE2A" w14:textId="0FCF8A00" w:rsidR="00D04539"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VIII. El riesgo por el valor potencial cuantitativo o cualitativo que pudieran tener los datos personales tratados para una tercera persona no autorizada para su posesión.”</w:t>
      </w:r>
    </w:p>
    <w:p w14:paraId="4ADA1C78"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2C830901" w14:textId="4017A933"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Respecto del análisis de riesgo, su cumplimiento se debe realizar considerando lo establecido en los Lineamiento</w:t>
      </w:r>
      <w:r w:rsidR="00D30CDE" w:rsidRPr="00C45626">
        <w:rPr>
          <w:rFonts w:ascii="Palatino Linotype" w:hAnsi="Palatino Linotype" w:cs="Arial"/>
          <w:i/>
          <w:lang w:eastAsia="en-US"/>
        </w:rPr>
        <w:t>s Generales</w:t>
      </w:r>
      <w:r w:rsidR="00D30CDE" w:rsidRPr="00C45626">
        <w:rPr>
          <w:rStyle w:val="Refdenotaalpie"/>
          <w:rFonts w:ascii="Palatino Linotype" w:hAnsi="Palatino Linotype" w:cs="Arial"/>
          <w:i/>
          <w:lang w:eastAsia="en-US"/>
        </w:rPr>
        <w:footnoteReference w:id="6"/>
      </w:r>
      <w:r w:rsidRPr="00C45626">
        <w:rPr>
          <w:rFonts w:ascii="Palatino Linotype" w:hAnsi="Palatino Linotype" w:cs="Arial"/>
          <w:i/>
          <w:lang w:eastAsia="en-US"/>
        </w:rPr>
        <w:t xml:space="preserve"> que establecen lo siguiente:</w:t>
      </w:r>
    </w:p>
    <w:p w14:paraId="498BC596"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3D739F3F" w14:textId="77777777"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Requerimientos regulatorios, c</w:t>
      </w:r>
      <w:r w:rsidRPr="00C45626">
        <w:rPr>
          <w:rFonts w:ascii="Palatino Linotype" w:hAnsi="Palatino Linotype" w:cs="Palatino Linotype"/>
          <w:i/>
          <w:lang w:eastAsia="en-US"/>
        </w:rPr>
        <w:t>ó</w:t>
      </w:r>
      <w:r w:rsidRPr="00C45626">
        <w:rPr>
          <w:rFonts w:ascii="Palatino Linotype" w:hAnsi="Palatino Linotype" w:cs="Arial"/>
          <w:i/>
          <w:lang w:eastAsia="en-US"/>
        </w:rPr>
        <w:t>digos de conducta o mejores pr</w:t>
      </w:r>
      <w:r w:rsidRPr="00C45626">
        <w:rPr>
          <w:rFonts w:ascii="Palatino Linotype" w:hAnsi="Palatino Linotype" w:cs="Palatino Linotype"/>
          <w:i/>
          <w:lang w:eastAsia="en-US"/>
        </w:rPr>
        <w:t>á</w:t>
      </w:r>
      <w:r w:rsidRPr="00C45626">
        <w:rPr>
          <w:rFonts w:ascii="Palatino Linotype" w:hAnsi="Palatino Linotype" w:cs="Arial"/>
          <w:i/>
          <w:lang w:eastAsia="en-US"/>
        </w:rPr>
        <w:t xml:space="preserve">cticas para los diferentes sectores. </w:t>
      </w:r>
    </w:p>
    <w:p w14:paraId="007C3252" w14:textId="77777777"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Definir el ciclo de vida y el valor de los datos personales. </w:t>
      </w:r>
    </w:p>
    <w:p w14:paraId="09CFC5C0" w14:textId="77777777"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La exposici</w:t>
      </w:r>
      <w:r w:rsidRPr="00C45626">
        <w:rPr>
          <w:rFonts w:ascii="Palatino Linotype" w:hAnsi="Palatino Linotype" w:cs="Palatino Linotype"/>
          <w:i/>
          <w:lang w:eastAsia="en-US"/>
        </w:rPr>
        <w:t>ó</w:t>
      </w:r>
      <w:r w:rsidRPr="00C45626">
        <w:rPr>
          <w:rFonts w:ascii="Palatino Linotype" w:hAnsi="Palatino Linotype" w:cs="Arial"/>
          <w:i/>
          <w:lang w:eastAsia="en-US"/>
        </w:rPr>
        <w:t xml:space="preserve">n de los activos involucrados en el tratamiento de los datos. </w:t>
      </w:r>
    </w:p>
    <w:p w14:paraId="3464681B" w14:textId="77777777"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Las consecuencias en caso de una vulneraci</w:t>
      </w:r>
      <w:r w:rsidRPr="00C45626">
        <w:rPr>
          <w:rFonts w:ascii="Palatino Linotype" w:hAnsi="Palatino Linotype" w:cs="Palatino Linotype"/>
          <w:i/>
          <w:lang w:eastAsia="en-US"/>
        </w:rPr>
        <w:t>ó</w:t>
      </w:r>
      <w:r w:rsidRPr="00C45626">
        <w:rPr>
          <w:rFonts w:ascii="Palatino Linotype" w:hAnsi="Palatino Linotype" w:cs="Arial"/>
          <w:i/>
          <w:lang w:eastAsia="en-US"/>
        </w:rPr>
        <w:t xml:space="preserve">n de seguridad. </w:t>
      </w:r>
    </w:p>
    <w:p w14:paraId="4CA2B077"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85896C1" w14:textId="3394213E"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De manera que, el an</w:t>
      </w:r>
      <w:r w:rsidRPr="00C45626">
        <w:rPr>
          <w:rFonts w:ascii="Palatino Linotype" w:hAnsi="Palatino Linotype" w:cs="Palatino Linotype"/>
          <w:i/>
          <w:lang w:eastAsia="en-US"/>
        </w:rPr>
        <w:t>á</w:t>
      </w:r>
      <w:r w:rsidRPr="00C45626">
        <w:rPr>
          <w:rFonts w:ascii="Palatino Linotype" w:hAnsi="Palatino Linotype" w:cs="Arial"/>
          <w:i/>
          <w:lang w:eastAsia="en-US"/>
        </w:rPr>
        <w:t>lisis de riesgo implica que el sujeto obligado plantee directrices para tratar el riesgo, considerando los factores citados anteriormente, en funci</w:t>
      </w:r>
      <w:r w:rsidRPr="00C45626">
        <w:rPr>
          <w:rFonts w:ascii="Palatino Linotype" w:hAnsi="Palatino Linotype" w:cs="Palatino Linotype"/>
          <w:i/>
          <w:lang w:eastAsia="en-US"/>
        </w:rPr>
        <w:t>ó</w:t>
      </w:r>
      <w:r w:rsidRPr="00C45626">
        <w:rPr>
          <w:rFonts w:ascii="Palatino Linotype" w:hAnsi="Palatino Linotype" w:cs="Arial"/>
          <w:i/>
          <w:lang w:eastAsia="en-US"/>
        </w:rPr>
        <w:t xml:space="preserve">n del alcance y objetivos del Sistema de Gestión. Esta actividad incluye realizar una ponderación de los escenarios de riesgo identificados a través de los siguientes pasos: </w:t>
      </w:r>
    </w:p>
    <w:p w14:paraId="54CC20E9"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8BFD225" w14:textId="77777777"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Identificar activos </w:t>
      </w:r>
    </w:p>
    <w:p w14:paraId="6431086F" w14:textId="77777777"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Identificar amenazas </w:t>
      </w:r>
    </w:p>
    <w:p w14:paraId="2C13DFDC" w14:textId="77777777" w:rsidR="00D30CDE" w:rsidRPr="00C45626" w:rsidRDefault="00D04539"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Identificar vulnerabilidades </w:t>
      </w:r>
    </w:p>
    <w:p w14:paraId="2208635C" w14:textId="3F0A8674" w:rsidR="00D30CDE" w:rsidRPr="00C45626" w:rsidRDefault="00D30CDE"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El análisis de brecha.</w:t>
      </w:r>
    </w:p>
    <w:p w14:paraId="2C490E71" w14:textId="6AA95434"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Es importante que los sujetos obligados en su carácter de responsables, establezcan y mantengan medidas de seguridad de carácter administrativo, físico y técnico para la protección de los datos personales, con la finalidad de garantizar la confidencialidad, integridad y disponibilidad de los datos, protegiendo los mismos contra </w:t>
      </w:r>
      <w:r w:rsidRPr="00C45626">
        <w:rPr>
          <w:rFonts w:ascii="Palatino Linotype" w:hAnsi="Palatino Linotype" w:cs="Arial"/>
          <w:b/>
          <w:i/>
          <w:lang w:eastAsia="en-US"/>
        </w:rPr>
        <w:t>daño, perdida, alteración, destrucción</w:t>
      </w:r>
      <w:r w:rsidRPr="00C45626">
        <w:rPr>
          <w:rFonts w:ascii="Palatino Linotype" w:hAnsi="Palatino Linotype" w:cs="Arial"/>
          <w:i/>
          <w:lang w:eastAsia="en-US"/>
        </w:rPr>
        <w:t xml:space="preserve"> o una utilización no autorizada de los mismos.</w:t>
      </w:r>
    </w:p>
    <w:p w14:paraId="7D104B6B"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09BBDAD9" w14:textId="34790D14"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La Ley General define las medidas de seguridad como el conjunto de acciones y actividades, controles o mecanismos administrativos, técnicos y físicos que permitan proteger los datos personales; cada una de estas medidas de seguridad se definen legalmente de la siguiente manera:</w:t>
      </w:r>
    </w:p>
    <w:p w14:paraId="6EF16DB4" w14:textId="792AE62D" w:rsidR="00D30CDE" w:rsidRPr="00C45626" w:rsidRDefault="00D30CDE" w:rsidP="00CA4F44">
      <w:pPr>
        <w:pStyle w:val="Prrafodelista"/>
        <w:tabs>
          <w:tab w:val="left" w:pos="284"/>
          <w:tab w:val="left" w:pos="426"/>
        </w:tabs>
        <w:spacing w:before="240" w:after="240" w:line="360" w:lineRule="auto"/>
        <w:ind w:left="567" w:right="616"/>
        <w:contextualSpacing/>
        <w:jc w:val="center"/>
        <w:rPr>
          <w:rFonts w:ascii="Palatino Linotype" w:hAnsi="Palatino Linotype" w:cs="Arial"/>
          <w:i/>
          <w:lang w:eastAsia="en-US"/>
        </w:rPr>
      </w:pPr>
      <w:r w:rsidRPr="00C45626">
        <w:rPr>
          <w:i/>
          <w:noProof/>
          <w:lang w:val="en-US" w:eastAsia="en-US"/>
        </w:rPr>
        <w:drawing>
          <wp:inline distT="0" distB="0" distL="0" distR="0" wp14:anchorId="7DCD359F" wp14:editId="1A4DBCAB">
            <wp:extent cx="4088919" cy="431482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9233" t="23839" r="10048" b="18527"/>
                    <a:stretch/>
                  </pic:blipFill>
                  <pic:spPr bwMode="auto">
                    <a:xfrm>
                      <a:off x="0" y="0"/>
                      <a:ext cx="4119501" cy="4347097"/>
                    </a:xfrm>
                    <a:prstGeom prst="rect">
                      <a:avLst/>
                    </a:prstGeom>
                    <a:ln>
                      <a:noFill/>
                    </a:ln>
                    <a:extLst>
                      <a:ext uri="{53640926-AAD7-44D8-BBD7-CCE9431645EC}">
                        <a14:shadowObscured xmlns:a14="http://schemas.microsoft.com/office/drawing/2010/main"/>
                      </a:ext>
                    </a:extLst>
                  </pic:spPr>
                </pic:pic>
              </a:graphicData>
            </a:graphic>
          </wp:inline>
        </w:drawing>
      </w:r>
    </w:p>
    <w:p w14:paraId="6EF85B2F"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8EDDEBA"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Medidas de seguridad existentes y efectivas </w:t>
      </w:r>
    </w:p>
    <w:p w14:paraId="2ABB7AA1"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Medidas de seguridad faltante </w:t>
      </w:r>
    </w:p>
    <w:p w14:paraId="70C9659B"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La existencia de nuevas medidas de seguridad que pudieran remplazar a las actuales. </w:t>
      </w:r>
    </w:p>
    <w:p w14:paraId="7193C6F4"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479DEE97" w14:textId="794BF21A"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Visto lo anterior, cabe destacar que el an</w:t>
      </w:r>
      <w:r w:rsidRPr="00C45626">
        <w:rPr>
          <w:rFonts w:ascii="Palatino Linotype" w:hAnsi="Palatino Linotype" w:cs="Palatino Linotype"/>
          <w:i/>
          <w:lang w:eastAsia="en-US"/>
        </w:rPr>
        <w:t>á</w:t>
      </w:r>
      <w:r w:rsidRPr="00C45626">
        <w:rPr>
          <w:rFonts w:ascii="Palatino Linotype" w:hAnsi="Palatino Linotype" w:cs="Arial"/>
          <w:i/>
          <w:lang w:eastAsia="en-US"/>
        </w:rPr>
        <w:t>lisis de brecha se refiere al proceso de evaluación de las medidas de seguridad administrativas, físicas y técnicas, existentes y las que operan correctamente en la organización, contra las que serían necesarias tener para mitigar los riesgos de seguridad identificados en el análisis previo, así como las nuevas medidas de seguridad que podrían reemplazar a uno o más controles implementados actualmente.</w:t>
      </w:r>
    </w:p>
    <w:p w14:paraId="4D44740E"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562508D6" w14:textId="2AE3468A" w:rsidR="00D30CDE" w:rsidRPr="00C45626" w:rsidRDefault="00D30CDE"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El plan de trabajo.</w:t>
      </w:r>
    </w:p>
    <w:p w14:paraId="4F8567E9"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Una vez realizados los análisis correspondientes entre los que se encuentran los de riesgos y de brecha, se debe elaborar un plan de trabajo con la finalidad de implementar las medidas de seguridad faltantes, así como para el cumplimiento cotidiano de las políticas de tratamiento de los datos personales. </w:t>
      </w:r>
    </w:p>
    <w:p w14:paraId="5BBBB2CA"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0D7005C" w14:textId="4BF04609"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Para ello, se deben priorizar las medidas de seguridad más relevantes e inmediatas a establecer, habrá de considerarse los recursos económicos y humanos con los que cuenta el responsable para el cumplimiento, como todo plan de trabajo es indispensable que se fijen fechas compromiso, personas a cargo de su cumplimiento y para su implementación.</w:t>
      </w:r>
    </w:p>
    <w:p w14:paraId="2335734F"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4AC6E253" w14:textId="656E76F0" w:rsidR="00D30CDE" w:rsidRPr="00C45626" w:rsidRDefault="00D30CDE"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Los mecanismos de monitoreo y revisión de las medidas de seguridad.</w:t>
      </w:r>
    </w:p>
    <w:p w14:paraId="237AADD4"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Como parte de la evaluación de las políticas implementadas en materia de seguridad y tratamiento de los datos personales, debe monitorearse y revisarse las medidas de seguridad, al respecto los Lineamientos Generales</w:t>
      </w:r>
      <w:r w:rsidRPr="00C45626">
        <w:rPr>
          <w:rStyle w:val="Refdenotaalpie"/>
          <w:rFonts w:ascii="Palatino Linotype" w:hAnsi="Palatino Linotype" w:cs="Arial"/>
          <w:i/>
          <w:lang w:eastAsia="en-US"/>
        </w:rPr>
        <w:footnoteReference w:id="7"/>
      </w:r>
      <w:r w:rsidRPr="00C45626">
        <w:rPr>
          <w:rFonts w:ascii="Palatino Linotype" w:hAnsi="Palatino Linotype" w:cs="Arial"/>
          <w:i/>
          <w:lang w:eastAsia="en-US"/>
        </w:rPr>
        <w:t xml:space="preserve"> establecen que debe supervisarse lo siguiente: </w:t>
      </w:r>
    </w:p>
    <w:p w14:paraId="14C31935"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Nuevos activos gestionados; </w:t>
      </w:r>
    </w:p>
    <w:p w14:paraId="7F7BCE6A"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Modificaciones necesarias; </w:t>
      </w:r>
    </w:p>
    <w:p w14:paraId="6C91917C"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Nuevas amenazas dentro o fuera de la organizaci</w:t>
      </w:r>
      <w:r w:rsidRPr="00C45626">
        <w:rPr>
          <w:rFonts w:ascii="Palatino Linotype" w:hAnsi="Palatino Linotype" w:cs="Palatino Linotype"/>
          <w:i/>
          <w:lang w:eastAsia="en-US"/>
        </w:rPr>
        <w:t>ó</w:t>
      </w:r>
      <w:r w:rsidRPr="00C45626">
        <w:rPr>
          <w:rFonts w:ascii="Palatino Linotype" w:hAnsi="Palatino Linotype" w:cs="Arial"/>
          <w:i/>
          <w:lang w:eastAsia="en-US"/>
        </w:rPr>
        <w:t xml:space="preserve">n; </w:t>
      </w:r>
    </w:p>
    <w:p w14:paraId="0B97FC7B"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Posibilidad de nuevas vulneraciones, por las amenazas correspondientes; </w:t>
      </w:r>
    </w:p>
    <w:p w14:paraId="671454F8"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Vulneraciones identificadas para determinar amenazas nuevas; </w:t>
      </w:r>
    </w:p>
    <w:p w14:paraId="0B5C4D3A"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Impacto de amenazas valoradas, vulnerabilidades y riesgos en conjunto; </w:t>
      </w:r>
    </w:p>
    <w:p w14:paraId="1FC3500C"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Segoe UI Symbol" w:hAnsi="Segoe UI Symbol" w:cs="Segoe UI Symbol"/>
          <w:i/>
          <w:lang w:eastAsia="en-US"/>
        </w:rPr>
        <w:t>➢</w:t>
      </w:r>
      <w:r w:rsidRPr="00C45626">
        <w:rPr>
          <w:rFonts w:ascii="Palatino Linotype" w:hAnsi="Palatino Linotype" w:cs="Arial"/>
          <w:i/>
          <w:lang w:eastAsia="en-US"/>
        </w:rPr>
        <w:t xml:space="preserve"> Incidentes y vulneraciones de seguridad ocurridas. </w:t>
      </w:r>
    </w:p>
    <w:p w14:paraId="68C615A3"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0C5FB0C" w14:textId="22E29049" w:rsidR="00D04539"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De conformidad con la Ley General se consideran como vulneraciones de seguridad las siguientes:</w:t>
      </w:r>
    </w:p>
    <w:p w14:paraId="66874EB8" w14:textId="77777777" w:rsidR="000A570C"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6FE3E8F8" w14:textId="0FD31305" w:rsidR="000A570C" w:rsidRPr="00C45626" w:rsidRDefault="00D30CDE" w:rsidP="00CA4F44">
      <w:pPr>
        <w:tabs>
          <w:tab w:val="left" w:pos="2445"/>
        </w:tabs>
        <w:spacing w:before="240" w:after="240" w:line="360" w:lineRule="auto"/>
        <w:ind w:left="567" w:right="616"/>
        <w:contextualSpacing/>
        <w:jc w:val="center"/>
        <w:rPr>
          <w:rFonts w:ascii="Palatino Linotype" w:hAnsi="Palatino Linotype" w:cs="Arial"/>
          <w:i/>
          <w:lang w:eastAsia="en-US"/>
        </w:rPr>
      </w:pPr>
      <w:r w:rsidRPr="00C45626">
        <w:rPr>
          <w:i/>
          <w:noProof/>
          <w:lang w:val="en-US" w:eastAsia="en-US"/>
        </w:rPr>
        <w:drawing>
          <wp:inline distT="0" distB="0" distL="0" distR="0" wp14:anchorId="25E68730" wp14:editId="128DEB71">
            <wp:extent cx="2800350" cy="17777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572" t="37418" r="10217" b="28485"/>
                    <a:stretch/>
                  </pic:blipFill>
                  <pic:spPr bwMode="auto">
                    <a:xfrm>
                      <a:off x="0" y="0"/>
                      <a:ext cx="2814754" cy="1786895"/>
                    </a:xfrm>
                    <a:prstGeom prst="rect">
                      <a:avLst/>
                    </a:prstGeom>
                    <a:ln>
                      <a:noFill/>
                    </a:ln>
                    <a:extLst>
                      <a:ext uri="{53640926-AAD7-44D8-BBD7-CCE9431645EC}">
                        <a14:shadowObscured xmlns:a14="http://schemas.microsoft.com/office/drawing/2010/main"/>
                      </a:ext>
                    </a:extLst>
                  </pic:spPr>
                </pic:pic>
              </a:graphicData>
            </a:graphic>
          </wp:inline>
        </w:drawing>
      </w:r>
    </w:p>
    <w:p w14:paraId="156D632A" w14:textId="77777777" w:rsidR="000A570C" w:rsidRPr="00C45626" w:rsidRDefault="000A570C"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4D9514E"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Dicho lo anterior, el monitoreo y revisión de las medidas de seguridad es el proceso de supervisar el funcionamiento del sistema de gestión y evaluar los objetivos, políticas, procesos y procedimientos establecidos en el mismo, con el fin de cumplir con la legislación en protección de datos personales. </w:t>
      </w:r>
    </w:p>
    <w:p w14:paraId="4EC31D45"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2E46C5E5"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 xml:space="preserve">De igual forma, para llevar a cabo dicha revisión de manera efectiva, es necesario monitorear continuamente los eventos que señala el artículo 63 de los Lineamientos Generales. </w:t>
      </w:r>
    </w:p>
    <w:p w14:paraId="0AB6FA8A"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2081F97B" w14:textId="6C22B642" w:rsidR="000A570C"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C45626">
        <w:rPr>
          <w:rFonts w:ascii="Palatino Linotype" w:hAnsi="Palatino Linotype" w:cs="Arial"/>
          <w:i/>
          <w:lang w:eastAsia="en-US"/>
        </w:rPr>
        <w:t>De tal manera que, cuando el sujeto obligado sufra alguna vulneración a la seguridad, éste deberá actuar conforme a lo dispuesto en los artículos 37, 38, 39, 40 y 41 de la Ley General. Asimismo, para el caso de las notificaciones sobre vulneraciones, deberá observar los artículos 66, 67 y 68 de los Lineamientos Generales.</w:t>
      </w:r>
    </w:p>
    <w:p w14:paraId="28B63DA7"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cs="Arial"/>
          <w:i/>
          <w:lang w:eastAsia="en-US"/>
        </w:rPr>
      </w:pPr>
    </w:p>
    <w:p w14:paraId="1CC1C1AC" w14:textId="473F0FDF" w:rsidR="00D30CDE" w:rsidRPr="00C45626" w:rsidRDefault="00D30CDE" w:rsidP="00CC364E">
      <w:pPr>
        <w:pStyle w:val="Prrafodelista"/>
        <w:numPr>
          <w:ilvl w:val="0"/>
          <w:numId w:val="10"/>
        </w:numPr>
        <w:tabs>
          <w:tab w:val="left" w:pos="284"/>
          <w:tab w:val="left" w:pos="426"/>
        </w:tabs>
        <w:spacing w:before="240" w:after="240" w:line="360" w:lineRule="auto"/>
        <w:ind w:left="567" w:right="616" w:firstLine="0"/>
        <w:contextualSpacing/>
        <w:jc w:val="both"/>
        <w:rPr>
          <w:rFonts w:ascii="Palatino Linotype" w:hAnsi="Palatino Linotype" w:cs="Arial"/>
          <w:b/>
          <w:i/>
          <w:lang w:eastAsia="en-US"/>
        </w:rPr>
      </w:pPr>
      <w:r w:rsidRPr="00C45626">
        <w:rPr>
          <w:rFonts w:ascii="Palatino Linotype" w:hAnsi="Palatino Linotype" w:cs="Arial"/>
          <w:b/>
          <w:i/>
          <w:lang w:eastAsia="en-US"/>
        </w:rPr>
        <w:t>El programa general de capacitación.</w:t>
      </w:r>
    </w:p>
    <w:p w14:paraId="29B4FC54"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i/>
        </w:rPr>
      </w:pPr>
      <w:r w:rsidRPr="00C45626">
        <w:rPr>
          <w:rFonts w:ascii="Palatino Linotype" w:hAnsi="Palatino Linotype"/>
          <w:i/>
        </w:rPr>
        <w:t xml:space="preserve">Como parte de las actividades interrelacionadas también se encuentra la capacitación, el diseñar e implementar programas a corto, mediano y largo plazo, para los involucrados en el tratamiento de los datos personales, atendiendo a sus roles, funciones y responsabilidades asignados. </w:t>
      </w:r>
    </w:p>
    <w:p w14:paraId="1804A46D"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i/>
        </w:rPr>
      </w:pPr>
    </w:p>
    <w:p w14:paraId="0524B581"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i/>
        </w:rPr>
      </w:pPr>
      <w:r w:rsidRPr="00C45626">
        <w:rPr>
          <w:rFonts w:ascii="Palatino Linotype" w:hAnsi="Palatino Linotype"/>
          <w:i/>
        </w:rPr>
        <w:t xml:space="preserve">Por lo tanto, a fin de contar con personal consciente de sus responsabilidades y deberes respecto de la protección de datos personales, se deben establecer y mantener programas de capacitación considerando las siguientes etapas: </w:t>
      </w:r>
    </w:p>
    <w:p w14:paraId="6562C025"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i/>
        </w:rPr>
      </w:pPr>
    </w:p>
    <w:p w14:paraId="18724727"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i/>
        </w:rPr>
      </w:pPr>
      <w:r w:rsidRPr="00C45626">
        <w:rPr>
          <w:rFonts w:ascii="Palatino Linotype" w:hAnsi="Palatino Linotype"/>
          <w:i/>
        </w:rPr>
        <w:t xml:space="preserve">1. Concienciación: programas a corto plazo para la difusión en general de la protección de datos personales en la organización. </w:t>
      </w:r>
    </w:p>
    <w:p w14:paraId="3A04F0FC" w14:textId="77777777" w:rsidR="00D30CDE"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i/>
        </w:rPr>
      </w:pPr>
      <w:r w:rsidRPr="00C45626">
        <w:rPr>
          <w:rFonts w:ascii="Palatino Linotype" w:hAnsi="Palatino Linotype"/>
          <w:i/>
        </w:rPr>
        <w:t xml:space="preserve">2. Entrenamiento: programas a mediano plazo que tienen por objetivo capacitar al personal de manera específica respecto a sus funciones y responsabilidades en el tratamiento y seguridad de los datos personales. </w:t>
      </w:r>
    </w:p>
    <w:p w14:paraId="356D62C7" w14:textId="144DC491" w:rsidR="000028B3" w:rsidRPr="00C45626" w:rsidRDefault="00D30CDE" w:rsidP="00CA4F44">
      <w:pPr>
        <w:tabs>
          <w:tab w:val="left" w:pos="284"/>
          <w:tab w:val="left" w:pos="426"/>
        </w:tabs>
        <w:spacing w:before="240" w:after="240" w:line="360" w:lineRule="auto"/>
        <w:ind w:left="567" w:right="616"/>
        <w:contextualSpacing/>
        <w:jc w:val="both"/>
        <w:rPr>
          <w:rFonts w:ascii="Palatino Linotype" w:hAnsi="Palatino Linotype"/>
          <w:i/>
        </w:rPr>
      </w:pPr>
      <w:r w:rsidRPr="00C45626">
        <w:rPr>
          <w:rFonts w:ascii="Palatino Linotype" w:hAnsi="Palatino Linotype"/>
          <w:i/>
        </w:rPr>
        <w:t>3. Educación: programa general a largo plazo que tiene por objetivo incluir la seguridad en el tratamiento de los datos personales dentro de la cultura de la organización</w:t>
      </w:r>
      <w:r w:rsidR="000028B3" w:rsidRPr="00C45626">
        <w:rPr>
          <w:rFonts w:ascii="Palatino Linotype" w:hAnsi="Palatino Linotype"/>
          <w:i/>
        </w:rPr>
        <w:t>.</w:t>
      </w:r>
    </w:p>
    <w:p w14:paraId="067A9EB5" w14:textId="77777777" w:rsidR="00E404AD" w:rsidRPr="00C45626" w:rsidRDefault="00E404AD" w:rsidP="000028B3">
      <w:pPr>
        <w:tabs>
          <w:tab w:val="left" w:pos="284"/>
          <w:tab w:val="left" w:pos="426"/>
        </w:tabs>
        <w:spacing w:before="240" w:after="240" w:line="360" w:lineRule="auto"/>
        <w:ind w:right="49"/>
        <w:contextualSpacing/>
        <w:jc w:val="both"/>
        <w:rPr>
          <w:rFonts w:ascii="Palatino Linotype" w:hAnsi="Palatino Linotype"/>
          <w:i/>
        </w:rPr>
      </w:pPr>
    </w:p>
    <w:p w14:paraId="571FBCD4" w14:textId="77777777" w:rsidR="00FA4F1D" w:rsidRPr="00C45626" w:rsidRDefault="000028B3" w:rsidP="00CC364E">
      <w:pPr>
        <w:pStyle w:val="Prrafodelista"/>
        <w:numPr>
          <w:ilvl w:val="0"/>
          <w:numId w:val="8"/>
        </w:numPr>
        <w:tabs>
          <w:tab w:val="left" w:pos="284"/>
          <w:tab w:val="left" w:pos="426"/>
        </w:tabs>
        <w:spacing w:before="240" w:after="240" w:line="360" w:lineRule="auto"/>
        <w:ind w:left="0" w:right="49" w:firstLine="0"/>
        <w:contextualSpacing/>
        <w:jc w:val="both"/>
        <w:rPr>
          <w:rFonts w:ascii="Palatino Linotype" w:hAnsi="Palatino Linotype"/>
          <w:i/>
        </w:rPr>
      </w:pPr>
      <w:r w:rsidRPr="00C45626">
        <w:rPr>
          <w:rFonts w:ascii="Palatino Linotype" w:hAnsi="Palatino Linotype"/>
        </w:rPr>
        <w:t xml:space="preserve">Así, por cuanto hace al Documento de Seguridad </w:t>
      </w:r>
      <w:r w:rsidR="00E404AD" w:rsidRPr="00C45626">
        <w:rPr>
          <w:rFonts w:ascii="Palatino Linotype" w:hAnsi="Palatino Linotype"/>
        </w:rPr>
        <w:t>s</w:t>
      </w:r>
      <w:r w:rsidRPr="00C45626">
        <w:rPr>
          <w:rFonts w:ascii="Palatino Linotype" w:hAnsi="Palatino Linotype"/>
        </w:rPr>
        <w:t xml:space="preserve">olicitado, es necesario establecer que se entiende “como el </w:t>
      </w:r>
      <w:r w:rsidRPr="00C45626">
        <w:rPr>
          <w:rFonts w:ascii="Palatino Linotype" w:hAnsi="Palatino Linotype"/>
          <w:i/>
        </w:rPr>
        <w:t>instrumento que describe y da cuenta de manera general sobre las medidas de seguridad técnicas, físicas y administrativas adoptadas por el responsable para garantizar la confidencialidad, integridad y disponibilidad de los datos personales”</w:t>
      </w:r>
      <w:r w:rsidRPr="00C45626">
        <w:rPr>
          <w:rStyle w:val="Refdenotaalpie"/>
          <w:rFonts w:ascii="Palatino Linotype" w:hAnsi="Palatino Linotype"/>
          <w:i/>
        </w:rPr>
        <w:footnoteReference w:id="8"/>
      </w:r>
    </w:p>
    <w:p w14:paraId="34345DBB" w14:textId="3623C1FF" w:rsidR="00FA4F1D" w:rsidRPr="00C45626" w:rsidRDefault="00FA4F1D" w:rsidP="00FA4F1D">
      <w:pPr>
        <w:pStyle w:val="Prrafodelista"/>
        <w:tabs>
          <w:tab w:val="left" w:pos="5280"/>
        </w:tabs>
        <w:spacing w:before="240" w:after="240" w:line="360" w:lineRule="auto"/>
        <w:ind w:left="0" w:right="49"/>
        <w:contextualSpacing/>
        <w:jc w:val="both"/>
        <w:rPr>
          <w:rFonts w:ascii="Palatino Linotype" w:hAnsi="Palatino Linotype"/>
          <w:i/>
        </w:rPr>
      </w:pPr>
      <w:r w:rsidRPr="00C45626">
        <w:rPr>
          <w:rFonts w:ascii="Palatino Linotype" w:hAnsi="Palatino Linotype"/>
          <w:i/>
        </w:rPr>
        <w:tab/>
      </w:r>
    </w:p>
    <w:p w14:paraId="0F111F48" w14:textId="3C325E53" w:rsidR="00E404AD" w:rsidRPr="00C45626" w:rsidRDefault="00E404AD" w:rsidP="00CC364E">
      <w:pPr>
        <w:pStyle w:val="Prrafodelista"/>
        <w:numPr>
          <w:ilvl w:val="0"/>
          <w:numId w:val="8"/>
        </w:numPr>
        <w:tabs>
          <w:tab w:val="left" w:pos="284"/>
          <w:tab w:val="left" w:pos="426"/>
        </w:tabs>
        <w:spacing w:before="240" w:after="240" w:line="360" w:lineRule="auto"/>
        <w:ind w:left="0" w:right="49" w:firstLine="0"/>
        <w:contextualSpacing/>
        <w:jc w:val="both"/>
        <w:rPr>
          <w:rFonts w:ascii="Palatino Linotype" w:hAnsi="Palatino Linotype"/>
          <w:i/>
        </w:rPr>
      </w:pPr>
      <w:r w:rsidRPr="00C45626">
        <w:rPr>
          <w:rFonts w:ascii="Palatino Linotype" w:hAnsi="Palatino Linotype"/>
        </w:rPr>
        <w:t xml:space="preserve">Es así </w:t>
      </w:r>
      <w:r w:rsidRPr="00C45626">
        <w:rPr>
          <w:rFonts w:ascii="Palatino Linotype" w:hAnsi="Palatino Linotype" w:cs="Arial"/>
        </w:rPr>
        <w:t>que</w:t>
      </w:r>
      <w:r w:rsidR="00FA4F1D" w:rsidRPr="00C45626">
        <w:rPr>
          <w:rFonts w:ascii="Palatino Linotype" w:hAnsi="Palatino Linotype"/>
        </w:rPr>
        <w:t>, es importante precisar que</w:t>
      </w:r>
      <w:r w:rsidRPr="00C45626">
        <w:rPr>
          <w:rFonts w:ascii="Palatino Linotype" w:hAnsi="Palatino Linotype"/>
        </w:rPr>
        <w:t xml:space="preserve"> las medidas de seguridad aplicables a los sistemas de datos personales por parte de los sujetos obligados, son información de carácter confidencial </w:t>
      </w:r>
      <w:r w:rsidRPr="00C45626">
        <w:rPr>
          <w:rFonts w:ascii="Palatino Linotype" w:hAnsi="Palatino Linotype"/>
          <w:b/>
        </w:rPr>
        <w:t>por mandato expreso</w:t>
      </w:r>
      <w:r w:rsidRPr="00C45626">
        <w:rPr>
          <w:rFonts w:ascii="Palatino Linotype" w:hAnsi="Palatino Linotype"/>
        </w:rPr>
        <w:t xml:space="preserve"> del artículo 43 de la Ley de Protección de Datos Personales en Posesión de Sujetos Obligados del Estado de México y Municipios, razón por la cual </w:t>
      </w:r>
      <w:r w:rsidRPr="00C45626">
        <w:rPr>
          <w:rFonts w:ascii="Palatino Linotype" w:hAnsi="Palatino Linotype"/>
          <w:b/>
        </w:rPr>
        <w:t xml:space="preserve">las </w:t>
      </w:r>
      <w:r w:rsidR="00FA4F1D" w:rsidRPr="00C45626">
        <w:rPr>
          <w:rFonts w:ascii="Palatino Linotype" w:hAnsi="Palatino Linotype"/>
          <w:b/>
        </w:rPr>
        <w:t>medidas de seguridad</w:t>
      </w:r>
      <w:r w:rsidRPr="00C45626">
        <w:rPr>
          <w:rFonts w:ascii="Palatino Linotype" w:hAnsi="Palatino Linotype"/>
        </w:rPr>
        <w:t xml:space="preserve">, toda vez que la puesta a disposición de las mismas pueden causar una alteración, perdida, destrucción o el uso, transferencia, acceso o cualquier tratamiento no autorizado o ilícito a la información que se encuentra en tratamiento en las bases y sistemas de datos personales del Sujeto Obligado. </w:t>
      </w:r>
    </w:p>
    <w:p w14:paraId="494133E9" w14:textId="77777777" w:rsidR="00FA4F1D" w:rsidRPr="00C45626" w:rsidRDefault="00FA4F1D" w:rsidP="00FA4F1D">
      <w:pPr>
        <w:pStyle w:val="Prrafodelista"/>
        <w:rPr>
          <w:rFonts w:ascii="Palatino Linotype" w:hAnsi="Palatino Linotype"/>
          <w:i/>
        </w:rPr>
      </w:pPr>
    </w:p>
    <w:p w14:paraId="446C1640" w14:textId="77777777" w:rsidR="00CA4F44" w:rsidRPr="00C45626" w:rsidRDefault="00FA4F1D" w:rsidP="00CC364E">
      <w:pPr>
        <w:pStyle w:val="Prrafodelista"/>
        <w:numPr>
          <w:ilvl w:val="0"/>
          <w:numId w:val="8"/>
        </w:numPr>
        <w:tabs>
          <w:tab w:val="left" w:pos="284"/>
          <w:tab w:val="left" w:pos="426"/>
        </w:tabs>
        <w:spacing w:before="240" w:after="240" w:line="360" w:lineRule="auto"/>
        <w:ind w:left="0" w:right="49" w:firstLine="0"/>
        <w:contextualSpacing/>
        <w:jc w:val="both"/>
        <w:rPr>
          <w:rFonts w:ascii="Palatino Linotype" w:hAnsi="Palatino Linotype"/>
        </w:rPr>
      </w:pPr>
      <w:r w:rsidRPr="00C45626">
        <w:rPr>
          <w:rFonts w:ascii="Palatino Linotype" w:hAnsi="Palatino Linotype"/>
        </w:rPr>
        <w:t xml:space="preserve">En ese contexto,  es de señalar que </w:t>
      </w:r>
      <w:r w:rsidR="00CA4F44" w:rsidRPr="00C45626">
        <w:rPr>
          <w:rFonts w:ascii="Palatino Linotype" w:hAnsi="Palatino Linotype"/>
        </w:rPr>
        <w:t xml:space="preserve">si bien es cierto, el </w:t>
      </w:r>
      <w:r w:rsidR="00CA4F44" w:rsidRPr="00C45626">
        <w:rPr>
          <w:rFonts w:ascii="Palatino Linotype" w:hAnsi="Palatino Linotype"/>
          <w:b/>
        </w:rPr>
        <w:t xml:space="preserve">SUJETO OBLIGADO </w:t>
      </w:r>
      <w:r w:rsidR="00CA4F44" w:rsidRPr="00C45626">
        <w:rPr>
          <w:rFonts w:ascii="Palatino Linotype" w:hAnsi="Palatino Linotype"/>
        </w:rPr>
        <w:t xml:space="preserve">en la respuesta inicial señaló que era información confidencial, </w:t>
      </w:r>
      <w:r w:rsidR="00CA4F44" w:rsidRPr="00C45626">
        <w:rPr>
          <w:rFonts w:ascii="Palatino Linotype" w:hAnsi="Palatino Linotype"/>
          <w:b/>
        </w:rPr>
        <w:t>sin que pase desapercibido que no se sometió al Comité de Transparencia y se llevó a cabo el procedimiento correspondiente</w:t>
      </w:r>
      <w:r w:rsidR="00CA4F44" w:rsidRPr="00C45626">
        <w:rPr>
          <w:rFonts w:ascii="Palatino Linotype" w:hAnsi="Palatino Linotype"/>
        </w:rPr>
        <w:t xml:space="preserve"> como lo arguyó el hoy </w:t>
      </w:r>
      <w:r w:rsidR="00CA4F44" w:rsidRPr="00C45626">
        <w:rPr>
          <w:rFonts w:ascii="Palatino Linotype" w:hAnsi="Palatino Linotype"/>
          <w:b/>
        </w:rPr>
        <w:t>RECURRENTE</w:t>
      </w:r>
      <w:r w:rsidR="00CA4F44" w:rsidRPr="00C45626">
        <w:rPr>
          <w:rFonts w:ascii="Palatino Linotype" w:hAnsi="Palatino Linotype"/>
        </w:rPr>
        <w:t>, también lo es que del contenido de los documentos solicitados, los comités de transparencia, deben determinar clasificar parcialmente la documentación solicitada y entregar la versión pública los documentos de seguridad.</w:t>
      </w:r>
    </w:p>
    <w:p w14:paraId="33A8D318" w14:textId="77777777" w:rsidR="00CA4F44" w:rsidRPr="00C45626" w:rsidRDefault="00CA4F44" w:rsidP="00CA4F44">
      <w:pPr>
        <w:pStyle w:val="Prrafodelista"/>
        <w:tabs>
          <w:tab w:val="left" w:pos="284"/>
          <w:tab w:val="left" w:pos="426"/>
        </w:tabs>
        <w:spacing w:before="240" w:after="240" w:line="360" w:lineRule="auto"/>
        <w:ind w:left="0" w:right="49"/>
        <w:contextualSpacing/>
        <w:jc w:val="both"/>
        <w:rPr>
          <w:rFonts w:ascii="Palatino Linotype" w:hAnsi="Palatino Linotype"/>
        </w:rPr>
      </w:pPr>
    </w:p>
    <w:p w14:paraId="61460C6A" w14:textId="24296D81" w:rsidR="00CA4F44" w:rsidRPr="00C45626" w:rsidRDefault="00CA4F44" w:rsidP="00CC364E">
      <w:pPr>
        <w:pStyle w:val="Prrafodelista"/>
        <w:numPr>
          <w:ilvl w:val="0"/>
          <w:numId w:val="8"/>
        </w:numPr>
        <w:autoSpaceDE w:val="0"/>
        <w:autoSpaceDN w:val="0"/>
        <w:adjustRightInd w:val="0"/>
        <w:spacing w:line="360" w:lineRule="auto"/>
        <w:ind w:left="0" w:firstLine="0"/>
        <w:jc w:val="both"/>
        <w:rPr>
          <w:rFonts w:ascii="Palatino Linotype" w:hAnsi="Palatino Linotype" w:cs="Arial"/>
        </w:rPr>
      </w:pPr>
      <w:r w:rsidRPr="00C45626">
        <w:rPr>
          <w:rFonts w:ascii="Palatino Linotype" w:hAnsi="Palatino Linotype" w:cs="Arial"/>
        </w:rPr>
        <w:t xml:space="preserve">En ese sentido, el </w:t>
      </w:r>
      <w:r w:rsidRPr="00C45626">
        <w:rPr>
          <w:rFonts w:ascii="Palatino Linotype" w:hAnsi="Palatino Linotype" w:cs="Arial"/>
          <w:b/>
        </w:rPr>
        <w:t xml:space="preserve">SUJETO OBLIGADO </w:t>
      </w:r>
      <w:r w:rsidRPr="00C45626">
        <w:rPr>
          <w:rFonts w:ascii="Palatino Linotype" w:hAnsi="Palatino Linotype" w:cs="Arial"/>
        </w:rPr>
        <w:t>no puede clasificar como información confidencial</w:t>
      </w:r>
      <w:r w:rsidR="003641B4" w:rsidRPr="00C45626">
        <w:rPr>
          <w:rFonts w:ascii="Palatino Linotype" w:hAnsi="Palatino Linotype" w:cs="Arial"/>
        </w:rPr>
        <w:t xml:space="preserve"> la totalidad de la información que integra </w:t>
      </w:r>
      <w:r w:rsidR="003641B4" w:rsidRPr="00C45626">
        <w:rPr>
          <w:rFonts w:ascii="Palatino Linotype" w:hAnsi="Palatino Linotype" w:cs="Arial"/>
          <w:b/>
        </w:rPr>
        <w:t>de manera enunciativa más no limitativa</w:t>
      </w:r>
      <w:r w:rsidR="003641B4" w:rsidRPr="00C45626">
        <w:rPr>
          <w:rFonts w:ascii="Palatino Linotype" w:hAnsi="Palatino Linotype" w:cs="Arial"/>
        </w:rPr>
        <w:t xml:space="preserve">,  los </w:t>
      </w:r>
      <w:r w:rsidRPr="00C45626">
        <w:rPr>
          <w:rFonts w:ascii="Palatino Linotype" w:hAnsi="Palatino Linotype" w:cs="Arial"/>
        </w:rPr>
        <w:t>formatos empleados en las auditorias y el formato de bitácora de violaciones a la seguridad de los d</w:t>
      </w:r>
      <w:r w:rsidR="003641B4" w:rsidRPr="00C45626">
        <w:rPr>
          <w:rFonts w:ascii="Palatino Linotype" w:hAnsi="Palatino Linotype" w:cs="Arial"/>
        </w:rPr>
        <w:t>atos personales</w:t>
      </w:r>
    </w:p>
    <w:p w14:paraId="575736FE" w14:textId="77777777" w:rsidR="00CA4F44" w:rsidRPr="00C45626" w:rsidRDefault="00CA4F44" w:rsidP="00CA4F44">
      <w:pPr>
        <w:tabs>
          <w:tab w:val="left" w:pos="0"/>
        </w:tabs>
        <w:spacing w:line="360" w:lineRule="auto"/>
        <w:ind w:right="49"/>
        <w:jc w:val="both"/>
        <w:rPr>
          <w:rFonts w:ascii="Palatino Linotype" w:hAnsi="Palatino Linotype" w:cs="Arial"/>
          <w:lang w:val="es-MX" w:eastAsia="es-MX"/>
        </w:rPr>
      </w:pPr>
    </w:p>
    <w:p w14:paraId="47E58B1C"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Atento a lo anterior la el Artículo 49 de la Ley de Protección de Datos Personales en Posesión de Sujetos Obligados del Estado de México y Municipios, que habla del contenido del documento de seguridad, estipula lo siguiente:</w:t>
      </w:r>
    </w:p>
    <w:p w14:paraId="4C168D09" w14:textId="77777777" w:rsidR="00CA4F44" w:rsidRPr="00C45626" w:rsidRDefault="00CA4F44" w:rsidP="00CA4F44">
      <w:pPr>
        <w:autoSpaceDE w:val="0"/>
        <w:autoSpaceDN w:val="0"/>
        <w:adjustRightInd w:val="0"/>
        <w:spacing w:line="360" w:lineRule="auto"/>
        <w:rPr>
          <w:rFonts w:ascii="Palatino Linotype" w:eastAsia="MS Mincho" w:hAnsi="Palatino Linotype" w:cs="PalatinoLinotype-Bold"/>
          <w:b/>
          <w:bCs/>
        </w:rPr>
      </w:pPr>
    </w:p>
    <w:p w14:paraId="182D6046"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Bold"/>
          <w:b/>
          <w:bCs/>
          <w:i/>
        </w:rPr>
        <w:t xml:space="preserve">“Artículo 49. </w:t>
      </w:r>
      <w:r w:rsidRPr="00C45626">
        <w:rPr>
          <w:rFonts w:ascii="Palatino Linotype" w:eastAsia="MS Mincho" w:hAnsi="Palatino Linotype" w:cs="PalatinoLinotype-Roman"/>
          <w:i/>
        </w:rPr>
        <w:t xml:space="preserve">El </w:t>
      </w:r>
      <w:r w:rsidRPr="00C45626">
        <w:rPr>
          <w:rFonts w:ascii="Palatino Linotype" w:eastAsia="MS Mincho" w:hAnsi="Palatino Linotype" w:cs="PalatinoLinotype-Bold"/>
          <w:b/>
          <w:bCs/>
          <w:i/>
        </w:rPr>
        <w:t xml:space="preserve">documento de seguridad </w:t>
      </w:r>
      <w:r w:rsidRPr="00C45626">
        <w:rPr>
          <w:rFonts w:ascii="Palatino Linotype" w:eastAsia="MS Mincho" w:hAnsi="Palatino Linotype" w:cs="PalatinoLinotype-Roman"/>
          <w:i/>
        </w:rPr>
        <w:t>deberá contener como mínimo lo</w:t>
      </w:r>
    </w:p>
    <w:p w14:paraId="1FD31448"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Roman"/>
          <w:i/>
        </w:rPr>
        <w:t>siguiente:</w:t>
      </w:r>
    </w:p>
    <w:p w14:paraId="7FBDC021"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Roman"/>
          <w:i/>
        </w:rPr>
        <w:t>…</w:t>
      </w:r>
    </w:p>
    <w:p w14:paraId="2D80B81D"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Bold"/>
          <w:b/>
          <w:bCs/>
          <w:i/>
        </w:rPr>
        <w:t xml:space="preserve">II. </w:t>
      </w:r>
      <w:r w:rsidRPr="00C45626">
        <w:rPr>
          <w:rFonts w:ascii="Palatino Linotype" w:eastAsia="MS Mincho" w:hAnsi="Palatino Linotype" w:cs="PalatinoLinotype-Roman"/>
          <w:i/>
        </w:rPr>
        <w:t>Respecto de las medidas de seguridad implementadas deberá incluir lo</w:t>
      </w:r>
    </w:p>
    <w:p w14:paraId="3E23E968"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Roman"/>
          <w:i/>
        </w:rPr>
        <w:t>siguiente:</w:t>
      </w:r>
    </w:p>
    <w:p w14:paraId="02BE0F74"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Roman"/>
          <w:i/>
        </w:rPr>
        <w:t>…</w:t>
      </w:r>
    </w:p>
    <w:p w14:paraId="5063925B"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Bold"/>
          <w:b/>
          <w:bCs/>
          <w:i/>
        </w:rPr>
      </w:pPr>
      <w:r w:rsidRPr="00C45626">
        <w:rPr>
          <w:rFonts w:ascii="Palatino Linotype" w:eastAsia="MS Mincho" w:hAnsi="Palatino Linotype" w:cs="PalatinoLinotype-Bold"/>
          <w:b/>
          <w:bCs/>
          <w:i/>
        </w:rPr>
        <w:t xml:space="preserve">c) Bitácoras para </w:t>
      </w:r>
      <w:r w:rsidRPr="00C45626">
        <w:rPr>
          <w:rFonts w:ascii="Palatino Linotype" w:eastAsia="MS Mincho" w:hAnsi="Palatino Linotype" w:cs="PalatinoLinotype-Roman"/>
          <w:i/>
        </w:rPr>
        <w:t xml:space="preserve">acceso, operación cotidiana y </w:t>
      </w:r>
      <w:r w:rsidRPr="00C45626">
        <w:rPr>
          <w:rFonts w:ascii="Palatino Linotype" w:eastAsia="MS Mincho" w:hAnsi="Palatino Linotype" w:cs="PalatinoLinotype-Bold"/>
          <w:b/>
          <w:bCs/>
          <w:i/>
        </w:rPr>
        <w:t>violaciones a la seguridad</w:t>
      </w:r>
    </w:p>
    <w:p w14:paraId="16F29643"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Roman"/>
          <w:i/>
        </w:rPr>
        <w:t>de los datos personales.</w:t>
      </w:r>
    </w:p>
    <w:p w14:paraId="737B53B7"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Roman"/>
          <w:i/>
        </w:rPr>
      </w:pPr>
      <w:r w:rsidRPr="00C45626">
        <w:rPr>
          <w:rFonts w:ascii="Palatino Linotype" w:eastAsia="MS Mincho" w:hAnsi="Palatino Linotype" w:cs="PalatinoLinotype-Roman"/>
          <w:i/>
        </w:rPr>
        <w:t>…”</w:t>
      </w:r>
    </w:p>
    <w:p w14:paraId="5D478957" w14:textId="77777777" w:rsidR="00CA4F44" w:rsidRPr="00C45626" w:rsidRDefault="00CA4F44" w:rsidP="00CA4F44">
      <w:pPr>
        <w:autoSpaceDE w:val="0"/>
        <w:autoSpaceDN w:val="0"/>
        <w:adjustRightInd w:val="0"/>
        <w:spacing w:line="360" w:lineRule="auto"/>
        <w:ind w:left="425" w:right="476"/>
        <w:rPr>
          <w:rFonts w:ascii="Palatino Linotype" w:eastAsia="MS Mincho" w:hAnsi="Palatino Linotype" w:cs="PalatinoLinotype-Italic"/>
          <w:iCs/>
        </w:rPr>
      </w:pPr>
      <w:r w:rsidRPr="00C45626">
        <w:rPr>
          <w:rFonts w:ascii="Palatino Linotype" w:eastAsia="MS Mincho" w:hAnsi="Palatino Linotype" w:cs="PalatinoLinotype-Italic"/>
          <w:iCs/>
        </w:rPr>
        <w:t>Énfasis añadido</w:t>
      </w:r>
    </w:p>
    <w:p w14:paraId="1C6CC42C" w14:textId="77777777" w:rsidR="00CA4F44" w:rsidRPr="00C45626" w:rsidRDefault="00CA4F44" w:rsidP="00CA4F44">
      <w:pPr>
        <w:autoSpaceDE w:val="0"/>
        <w:autoSpaceDN w:val="0"/>
        <w:adjustRightInd w:val="0"/>
        <w:spacing w:line="360" w:lineRule="auto"/>
        <w:rPr>
          <w:rFonts w:ascii="Palatino Linotype" w:eastAsia="MS Mincho" w:hAnsi="Palatino Linotype" w:cs="PalatinoLinotype-Roman"/>
        </w:rPr>
      </w:pPr>
    </w:p>
    <w:p w14:paraId="13AE7F3D"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En este sentido, la Ley estatal en la materia describe el contenido de la Bitácora de Violaciones a la Seguridad de los Datos Personales, en su artículo 53, que a continuación se menciona:</w:t>
      </w:r>
    </w:p>
    <w:p w14:paraId="285403EE" w14:textId="77777777" w:rsidR="00CA4F44" w:rsidRPr="00C45626" w:rsidRDefault="00CA4F44" w:rsidP="00CA4F44">
      <w:pPr>
        <w:autoSpaceDE w:val="0"/>
        <w:autoSpaceDN w:val="0"/>
        <w:adjustRightInd w:val="0"/>
        <w:spacing w:line="360" w:lineRule="auto"/>
        <w:rPr>
          <w:rFonts w:ascii="Palatino Linotype" w:eastAsia="MS Mincho" w:hAnsi="Palatino Linotype" w:cs="PalatinoLinotype-Roman"/>
        </w:rPr>
      </w:pPr>
    </w:p>
    <w:p w14:paraId="3A2780DA" w14:textId="77777777" w:rsidR="00CA4F44" w:rsidRPr="00C45626" w:rsidRDefault="00CA4F44" w:rsidP="00CA4F44">
      <w:pPr>
        <w:autoSpaceDE w:val="0"/>
        <w:autoSpaceDN w:val="0"/>
        <w:adjustRightInd w:val="0"/>
        <w:spacing w:line="360" w:lineRule="auto"/>
        <w:ind w:left="426" w:right="333"/>
        <w:jc w:val="both"/>
        <w:rPr>
          <w:rFonts w:ascii="Palatino Linotype" w:eastAsia="MS Mincho" w:hAnsi="Palatino Linotype" w:cs="PalatinoLinotype-Roman"/>
          <w:i/>
        </w:rPr>
      </w:pPr>
      <w:r w:rsidRPr="00C45626">
        <w:rPr>
          <w:rFonts w:ascii="Palatino Linotype" w:eastAsia="MS Mincho" w:hAnsi="Palatino Linotype" w:cs="PalatinoLinotype-Bold"/>
          <w:b/>
          <w:bCs/>
          <w:i/>
        </w:rPr>
        <w:t xml:space="preserve">Artículo 53. </w:t>
      </w:r>
      <w:r w:rsidRPr="00C45626">
        <w:rPr>
          <w:rFonts w:ascii="Palatino Linotype" w:eastAsia="MS Mincho" w:hAnsi="Palatino Linotype" w:cs="PalatinoLinotype-Roman"/>
          <w:i/>
        </w:rPr>
        <w:t>El responsable llevará una bitácora de las violaciones a la seguridad, de manera conjunta o separada con la bitácora de incidentes, en la que se describa la violación, la fecha en que ocurrió, el motivo de ésta y las acciones correctivas implementadas de forma inmediata y definitiva.”</w:t>
      </w:r>
    </w:p>
    <w:p w14:paraId="1886F84D" w14:textId="77777777" w:rsidR="00CA4F44" w:rsidRPr="00C45626" w:rsidRDefault="00CA4F44" w:rsidP="00CA4F44">
      <w:pPr>
        <w:autoSpaceDE w:val="0"/>
        <w:autoSpaceDN w:val="0"/>
        <w:adjustRightInd w:val="0"/>
        <w:spacing w:line="360" w:lineRule="auto"/>
        <w:rPr>
          <w:rFonts w:ascii="Palatino Linotype" w:eastAsia="MS Mincho" w:hAnsi="Palatino Linotype" w:cs="PalatinoLinotype-Roman"/>
        </w:rPr>
      </w:pPr>
    </w:p>
    <w:p w14:paraId="0CF051EE" w14:textId="6F2645CA"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Arial"/>
        </w:rPr>
      </w:pPr>
      <w:r w:rsidRPr="00C45626">
        <w:rPr>
          <w:rFonts w:ascii="Palatino Linotype" w:eastAsia="MS Mincho" w:hAnsi="Palatino Linotype" w:cs="PalatinoLinotype-Roman"/>
        </w:rPr>
        <w:t>A su vez, es de destacar que, en términos de lo dispuesto por los artículos 4, fracciones XVIII, XXX y XXXI de la Ley de Protección de Datos Personales en Posesión de Sujetos Obligados del Estado de México y Municipios, las medidas de seguridad técnicas, físicas y administrativas son las políticas y procedimientos que permiten proteger los datos personales que se encuentran bajo resguardo, dichas medidas se encuentran contenid</w:t>
      </w:r>
      <w:r w:rsidR="00AA5C05" w:rsidRPr="00C45626">
        <w:rPr>
          <w:rFonts w:ascii="Palatino Linotype" w:eastAsia="MS Mincho" w:hAnsi="Palatino Linotype" w:cs="PalatinoLinotype-Roman"/>
        </w:rPr>
        <w:t>as en el documento de seguridad.</w:t>
      </w:r>
    </w:p>
    <w:p w14:paraId="7A83D486" w14:textId="77777777" w:rsidR="00CA4F44" w:rsidRPr="00C45626" w:rsidRDefault="00CA4F44" w:rsidP="00CA4F44">
      <w:pPr>
        <w:spacing w:line="360" w:lineRule="auto"/>
        <w:jc w:val="both"/>
        <w:rPr>
          <w:rFonts w:ascii="Palatino Linotype" w:hAnsi="Palatino Linotype"/>
          <w:color w:val="000000" w:themeColor="text1"/>
        </w:rPr>
      </w:pPr>
    </w:p>
    <w:p w14:paraId="2E7D1A4F"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Derivado de esta normatividad, queda especificado que las bitácoras para acceso, operación cotidiana y violaciones a la seguridad de los datos personales es un documento que, a su vez, forma parte del Documento de Seguridad, motivo por el cual se invoca nuevamente lo estipulado en el Artículo 43, segundo párrafo, que fue anteriormente citado y que deja por sentado que dicha información cuenta con carácter de confidencial.</w:t>
      </w:r>
    </w:p>
    <w:p w14:paraId="10670578" w14:textId="77777777" w:rsidR="00CA4F44" w:rsidRPr="00C45626" w:rsidRDefault="00CA4F44" w:rsidP="00CA4F44">
      <w:pPr>
        <w:spacing w:line="360" w:lineRule="auto"/>
        <w:rPr>
          <w:rFonts w:ascii="Palatino Linotype" w:eastAsia="MS Mincho" w:hAnsi="Palatino Linotype" w:cs="PalatinoLinotype-Roman"/>
          <w:lang w:val="es-MX" w:eastAsia="es-MX"/>
        </w:rPr>
      </w:pPr>
    </w:p>
    <w:p w14:paraId="5B498BFB"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Aunado a lo anterior, es prudente indicar que la Ley de Transparencia y Acceso a la Información Pública del Estado de México y Municipios señala lo siguiente:</w:t>
      </w:r>
    </w:p>
    <w:p w14:paraId="2F8C0FA6" w14:textId="77777777" w:rsidR="00CA4F44" w:rsidRPr="00C45626" w:rsidRDefault="00CA4F44" w:rsidP="00CA4F44">
      <w:pPr>
        <w:autoSpaceDE w:val="0"/>
        <w:autoSpaceDN w:val="0"/>
        <w:adjustRightInd w:val="0"/>
        <w:spacing w:line="360" w:lineRule="auto"/>
        <w:rPr>
          <w:rFonts w:ascii="Palatino Linotype" w:eastAsia="MS Mincho" w:hAnsi="Palatino Linotype" w:cs="PalatinoLinotype-Roman"/>
        </w:rPr>
      </w:pPr>
    </w:p>
    <w:p w14:paraId="2B4129A0" w14:textId="77777777" w:rsidR="00CA4F44" w:rsidRPr="00C45626" w:rsidRDefault="00CA4F44" w:rsidP="00CA4F44">
      <w:pPr>
        <w:autoSpaceDE w:val="0"/>
        <w:autoSpaceDN w:val="0"/>
        <w:adjustRightInd w:val="0"/>
        <w:spacing w:line="360" w:lineRule="auto"/>
        <w:ind w:left="567" w:right="474"/>
        <w:rPr>
          <w:rFonts w:ascii="Palatino Linotype" w:eastAsia="MS Mincho" w:hAnsi="Palatino Linotype" w:cs="PalatinoLinotype-Roman"/>
          <w:i/>
        </w:rPr>
      </w:pPr>
      <w:r w:rsidRPr="00C45626">
        <w:rPr>
          <w:rFonts w:ascii="Palatino Linotype" w:eastAsia="MS Mincho" w:hAnsi="Palatino Linotype" w:cs="PalatinoLinotype-Bold"/>
          <w:b/>
          <w:bCs/>
          <w:i/>
        </w:rPr>
        <w:t xml:space="preserve">“Artículo 3. </w:t>
      </w:r>
      <w:r w:rsidRPr="00C45626">
        <w:rPr>
          <w:rFonts w:ascii="Palatino Linotype" w:eastAsia="MS Mincho" w:hAnsi="Palatino Linotype" w:cs="PalatinoLinotype-Roman"/>
          <w:i/>
        </w:rPr>
        <w:t>Para los efectos de la presente Ley se entenderá por:</w:t>
      </w:r>
    </w:p>
    <w:p w14:paraId="7DE69C30" w14:textId="77777777" w:rsidR="00CA4F44" w:rsidRPr="00C45626" w:rsidRDefault="00CA4F44" w:rsidP="00CA4F44">
      <w:pPr>
        <w:autoSpaceDE w:val="0"/>
        <w:autoSpaceDN w:val="0"/>
        <w:adjustRightInd w:val="0"/>
        <w:spacing w:line="360" w:lineRule="auto"/>
        <w:ind w:left="567" w:right="474"/>
        <w:rPr>
          <w:rFonts w:ascii="Palatino Linotype" w:eastAsia="MS Mincho" w:hAnsi="Palatino Linotype" w:cs="PalatinoLinotype-Roman"/>
          <w:i/>
        </w:rPr>
      </w:pPr>
      <w:r w:rsidRPr="00C45626">
        <w:rPr>
          <w:rFonts w:ascii="Palatino Linotype" w:eastAsia="MS Mincho" w:hAnsi="Palatino Linotype" w:cs="PalatinoLinotype-Roman"/>
          <w:i/>
        </w:rPr>
        <w:t>…</w:t>
      </w:r>
    </w:p>
    <w:p w14:paraId="1302DF11" w14:textId="77777777" w:rsidR="00CA4F44" w:rsidRPr="00C45626" w:rsidRDefault="00CA4F44" w:rsidP="00CA4F44">
      <w:pPr>
        <w:autoSpaceDE w:val="0"/>
        <w:autoSpaceDN w:val="0"/>
        <w:adjustRightInd w:val="0"/>
        <w:spacing w:line="360" w:lineRule="auto"/>
        <w:ind w:left="567" w:right="474"/>
        <w:rPr>
          <w:rFonts w:ascii="Palatino Linotype" w:eastAsia="MS Mincho" w:hAnsi="Palatino Linotype" w:cs="PalatinoLinotype-Roman"/>
          <w:i/>
        </w:rPr>
      </w:pPr>
      <w:r w:rsidRPr="00C45626">
        <w:rPr>
          <w:rFonts w:ascii="Palatino Linotype" w:eastAsia="MS Mincho" w:hAnsi="Palatino Linotype" w:cs="PalatinoLinotype-Bold"/>
          <w:b/>
          <w:bCs/>
          <w:i/>
        </w:rPr>
        <w:t xml:space="preserve">XLV. Versión pública: </w:t>
      </w:r>
      <w:r w:rsidRPr="00C45626">
        <w:rPr>
          <w:rFonts w:ascii="Palatino Linotype" w:eastAsia="MS Mincho" w:hAnsi="Palatino Linotype" w:cs="PalatinoLinotype-Roman"/>
          <w:i/>
        </w:rPr>
        <w:t>Documento en el que se elimine, suprime o borra la</w:t>
      </w:r>
    </w:p>
    <w:p w14:paraId="70344BF1" w14:textId="77777777" w:rsidR="00CA4F44" w:rsidRPr="00C45626" w:rsidRDefault="00CA4F44" w:rsidP="00CA4F44">
      <w:pPr>
        <w:autoSpaceDE w:val="0"/>
        <w:autoSpaceDN w:val="0"/>
        <w:adjustRightInd w:val="0"/>
        <w:spacing w:line="360" w:lineRule="auto"/>
        <w:ind w:left="567" w:right="474"/>
        <w:rPr>
          <w:rFonts w:ascii="Palatino Linotype" w:eastAsia="MS Mincho" w:hAnsi="Palatino Linotype" w:cs="PalatinoLinotype-Roman"/>
          <w:i/>
        </w:rPr>
      </w:pPr>
      <w:r w:rsidRPr="00C45626">
        <w:rPr>
          <w:rFonts w:ascii="Palatino Linotype" w:eastAsia="MS Mincho" w:hAnsi="Palatino Linotype" w:cs="PalatinoLinotype-Roman"/>
          <w:i/>
        </w:rPr>
        <w:t>información clasificada como reservada o confidencial para permitir su acceso.</w:t>
      </w:r>
    </w:p>
    <w:p w14:paraId="2152424E" w14:textId="77777777" w:rsidR="00CA4F44" w:rsidRPr="00C45626" w:rsidRDefault="00CA4F44" w:rsidP="00CA4F44">
      <w:pPr>
        <w:autoSpaceDE w:val="0"/>
        <w:autoSpaceDN w:val="0"/>
        <w:adjustRightInd w:val="0"/>
        <w:spacing w:line="360" w:lineRule="auto"/>
        <w:ind w:left="567" w:right="474"/>
        <w:rPr>
          <w:rFonts w:ascii="Palatino Linotype" w:eastAsia="MS Mincho" w:hAnsi="Palatino Linotype" w:cs="PalatinoLinotype-Roman"/>
          <w:i/>
        </w:rPr>
      </w:pPr>
      <w:r w:rsidRPr="00C45626">
        <w:rPr>
          <w:rFonts w:ascii="Palatino Linotype" w:eastAsia="MS Mincho" w:hAnsi="Palatino Linotype" w:cs="PalatinoLinotype-Roman"/>
          <w:i/>
        </w:rPr>
        <w:t>…”</w:t>
      </w:r>
    </w:p>
    <w:p w14:paraId="6BC67796" w14:textId="77777777" w:rsidR="00CA4F44" w:rsidRPr="00C45626" w:rsidRDefault="00CA4F44" w:rsidP="00CA4F44">
      <w:pPr>
        <w:autoSpaceDE w:val="0"/>
        <w:autoSpaceDN w:val="0"/>
        <w:adjustRightInd w:val="0"/>
        <w:spacing w:line="360" w:lineRule="auto"/>
        <w:ind w:left="567" w:right="474"/>
        <w:rPr>
          <w:rFonts w:ascii="Palatino Linotype" w:eastAsia="MS Mincho" w:hAnsi="Palatino Linotype" w:cs="PalatinoLinotype-Roman"/>
        </w:rPr>
      </w:pPr>
      <w:r w:rsidRPr="00C45626">
        <w:rPr>
          <w:rFonts w:ascii="Palatino Linotype" w:eastAsia="MS Mincho" w:hAnsi="Palatino Linotype" w:cs="PalatinoLinotype-Roman"/>
        </w:rPr>
        <w:t>Énfasis añadido</w:t>
      </w:r>
    </w:p>
    <w:p w14:paraId="37E699BF" w14:textId="77777777" w:rsidR="00CA4F44" w:rsidRPr="00C45626" w:rsidRDefault="00CA4F44" w:rsidP="00CA4F44">
      <w:pPr>
        <w:autoSpaceDE w:val="0"/>
        <w:autoSpaceDN w:val="0"/>
        <w:adjustRightInd w:val="0"/>
        <w:spacing w:line="360" w:lineRule="auto"/>
        <w:ind w:left="567" w:right="474"/>
        <w:rPr>
          <w:rFonts w:ascii="Palatino Linotype" w:eastAsia="MS Mincho" w:hAnsi="Palatino Linotype" w:cs="PalatinoLinotype-Roman"/>
          <w:i/>
        </w:rPr>
      </w:pPr>
    </w:p>
    <w:p w14:paraId="24A50FBA"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En este orden de ideas, la Ley de Transparencia estatal indica lo siguiente, respecto a la clasificación de la información:</w:t>
      </w:r>
    </w:p>
    <w:p w14:paraId="6B591627" w14:textId="77777777" w:rsidR="00CA4F44" w:rsidRPr="00C45626" w:rsidRDefault="00CA4F44" w:rsidP="00CA4F44">
      <w:pPr>
        <w:autoSpaceDE w:val="0"/>
        <w:autoSpaceDN w:val="0"/>
        <w:adjustRightInd w:val="0"/>
        <w:spacing w:line="360" w:lineRule="auto"/>
        <w:rPr>
          <w:rFonts w:ascii="Palatino Linotype" w:eastAsia="MS Mincho" w:hAnsi="Palatino Linotype" w:cs="PalatinoLinotype-Roman"/>
        </w:rPr>
      </w:pPr>
    </w:p>
    <w:p w14:paraId="53B3D03A" w14:textId="77777777" w:rsidR="00CA4F44" w:rsidRPr="00C45626" w:rsidRDefault="00CA4F44" w:rsidP="00CA4F44">
      <w:pPr>
        <w:autoSpaceDE w:val="0"/>
        <w:autoSpaceDN w:val="0"/>
        <w:adjustRightInd w:val="0"/>
        <w:spacing w:line="360" w:lineRule="auto"/>
        <w:ind w:left="426" w:right="616"/>
        <w:jc w:val="both"/>
        <w:rPr>
          <w:rFonts w:ascii="Palatino Linotype" w:eastAsia="MS Mincho" w:hAnsi="Palatino Linotype" w:cs="PalatinoLinotype-Roman"/>
          <w:i/>
        </w:rPr>
      </w:pPr>
      <w:r w:rsidRPr="00C45626">
        <w:rPr>
          <w:rFonts w:ascii="Palatino Linotype" w:eastAsia="MS Mincho" w:hAnsi="Palatino Linotype" w:cs="PalatinoLinotype-Roman"/>
          <w:i/>
        </w:rPr>
        <w:t>“</w:t>
      </w:r>
      <w:r w:rsidRPr="00C45626">
        <w:rPr>
          <w:rFonts w:ascii="Palatino Linotype" w:eastAsia="MS Mincho" w:hAnsi="Palatino Linotype" w:cs="PalatinoLinotype-Bold"/>
          <w:bCs/>
          <w:i/>
        </w:rPr>
        <w:t>Artículo 91</w:t>
      </w:r>
      <w:r w:rsidRPr="00C45626">
        <w:rPr>
          <w:rFonts w:ascii="Palatino Linotype" w:eastAsia="MS Mincho" w:hAnsi="Palatino Linotype" w:cs="PalatinoLinotype-Roman"/>
          <w:i/>
        </w:rPr>
        <w:t>. El acceso a la información pública será restringido excepcionalmente, cuando ésta sea clasificada como reservada o confidencial”</w:t>
      </w:r>
    </w:p>
    <w:p w14:paraId="344816DD" w14:textId="77777777" w:rsidR="00CA4F44" w:rsidRPr="00C45626" w:rsidRDefault="00CA4F44" w:rsidP="00CA4F44">
      <w:pPr>
        <w:autoSpaceDE w:val="0"/>
        <w:autoSpaceDN w:val="0"/>
        <w:adjustRightInd w:val="0"/>
        <w:spacing w:line="360" w:lineRule="auto"/>
        <w:rPr>
          <w:rFonts w:ascii="Palatino Linotype" w:eastAsia="MS Mincho" w:hAnsi="Palatino Linotype" w:cs="PalatinoLinotype-Roman"/>
        </w:rPr>
      </w:pPr>
    </w:p>
    <w:p w14:paraId="4CA1F54D"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 xml:space="preserve">Al advertir que existe una disposición legal por la cual subsiste la clasificación de la información parcial argüida y tal como se mencionó en la respuesta a la solicitud interpuesta por la o el ahora recurrente, el artículo 43 segundo párrafo de la Ley de Protección de Datos Personales en Posesión de Sujetos Obligados del Estado de México y Municipios, establece que </w:t>
      </w:r>
      <w:r w:rsidRPr="00C45626">
        <w:rPr>
          <w:rFonts w:ascii="Palatino Linotype" w:eastAsia="MS Mincho" w:hAnsi="Palatino Linotype" w:cs="PalatinoLinotype-Roman"/>
          <w:b/>
        </w:rPr>
        <w:t>las medidas de seguridad adoptadas serán consideradas confidenciales</w:t>
      </w:r>
      <w:r w:rsidRPr="00C45626">
        <w:rPr>
          <w:rFonts w:ascii="Palatino Linotype" w:eastAsia="MS Mincho" w:hAnsi="Palatino Linotype" w:cs="PalatinoLinotype-Roman"/>
        </w:rPr>
        <w:t>, razón por la cual no pueden ser proporcionadas a la o el ahora recurrente, tampoco a través de una versión pública, pues de hacerlo se pudiese causar un daño, alteración, pérdida, destrucción, uso, transferencia, acceso y/o cualquier tratamiento ilícito, no autorizado de la información que obre en las bases y sistemas de datos personales del Organismo de Agua y Saneamiento de Toluca.</w:t>
      </w:r>
    </w:p>
    <w:p w14:paraId="7C4C5CB7" w14:textId="77777777" w:rsidR="00CA4F44" w:rsidRPr="00C45626" w:rsidRDefault="00CA4F44" w:rsidP="00CA4F44">
      <w:pPr>
        <w:spacing w:line="360" w:lineRule="auto"/>
        <w:jc w:val="both"/>
        <w:rPr>
          <w:rFonts w:ascii="Palatino Linotype" w:eastAsia="MS Mincho" w:hAnsi="Palatino Linotype" w:cs="PalatinoLinotype-Roman"/>
        </w:rPr>
      </w:pPr>
    </w:p>
    <w:p w14:paraId="188DDF34"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Luego entonces, el documento de seguridad y las partes que lo conforman, incluidas las bitácoras para accesos, operación cotidiana y violaciones a la seguridad de los datos personales, que conforman dicho documento, son el instrumento que describe, da cuenta y contiene las medidas de seguridad adoptadas por los responsables y, a su vez, dichas medidas de seguridad constituyen información confidencial cuya clasificación no estará sujeta a temporalidad alguna.</w:t>
      </w:r>
    </w:p>
    <w:p w14:paraId="15B89826" w14:textId="77777777" w:rsidR="00CA4F44" w:rsidRPr="00C45626" w:rsidRDefault="00CA4F44" w:rsidP="00CA4F44">
      <w:pPr>
        <w:ind w:left="708"/>
        <w:rPr>
          <w:rFonts w:ascii="Palatino Linotype" w:eastAsia="MS Mincho" w:hAnsi="Palatino Linotype" w:cs="PalatinoLinotype-Roman"/>
        </w:rPr>
      </w:pPr>
    </w:p>
    <w:p w14:paraId="65B19D81"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Además, en observancia del artículo 143, segundo párrafo, de la Ley de Transparencia y Acceso a la Información Pública del Estado de México y Municipios, y del numeral trigésimo octavo, segundo párrafo, de los Lineamientos Técnicos Generales en Materia de Clasificación y Desclasificación de la información, así como para la Elaboración de Versiones Públicas, sólo podrán tener acceso a ella los titulares de las bases y sistemas de datos sus representantes y los servidores públicos facultados para ello, por lo que se determina la confidencialidad del documento de seguridad y sus anexos.</w:t>
      </w:r>
    </w:p>
    <w:p w14:paraId="69F44470" w14:textId="77777777" w:rsidR="00CA4F44" w:rsidRPr="00C45626" w:rsidRDefault="00CA4F44" w:rsidP="00CA4F44">
      <w:pPr>
        <w:spacing w:line="360" w:lineRule="auto"/>
        <w:ind w:left="708"/>
        <w:rPr>
          <w:rFonts w:ascii="Palatino Linotype" w:eastAsia="MS Mincho" w:hAnsi="Palatino Linotype" w:cs="PalatinoLinotype-Roman"/>
        </w:rPr>
      </w:pPr>
    </w:p>
    <w:p w14:paraId="5AF27013" w14:textId="77777777" w:rsidR="00CA4F44" w:rsidRPr="00C45626" w:rsidRDefault="00CA4F44" w:rsidP="00CA4F44">
      <w:pPr>
        <w:spacing w:line="360" w:lineRule="auto"/>
        <w:ind w:left="708"/>
        <w:rPr>
          <w:rFonts w:ascii="Palatino Linotype" w:eastAsia="MS Mincho" w:hAnsi="Palatino Linotype" w:cs="PalatinoLinotype-Roman"/>
        </w:rPr>
      </w:pPr>
    </w:p>
    <w:p w14:paraId="21C27E9E"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En esa línea de análisis, se observa que el citado artículo 49 establece los elementos con que debe contar un documento de seguridad, de los que se deriva lo consistente a los elementos de la fracción I y la fracción II respectivamente.</w:t>
      </w:r>
    </w:p>
    <w:p w14:paraId="3D803496" w14:textId="77777777" w:rsidR="00CA4F44" w:rsidRPr="00C45626" w:rsidRDefault="00CA4F44" w:rsidP="00CA4F44">
      <w:pPr>
        <w:autoSpaceDE w:val="0"/>
        <w:autoSpaceDN w:val="0"/>
        <w:adjustRightInd w:val="0"/>
        <w:spacing w:line="360" w:lineRule="auto"/>
        <w:ind w:left="360"/>
        <w:jc w:val="both"/>
        <w:rPr>
          <w:rFonts w:ascii="Palatino Linotype" w:eastAsia="MS Mincho" w:hAnsi="Palatino Linotype" w:cs="PalatinoLinotype-Roman"/>
        </w:rPr>
      </w:pPr>
    </w:p>
    <w:p w14:paraId="7A6E3961"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En esa virtud, se advierte que los elementos relacionados con la fracción I, más bien corresponden con datos de identificación de los Sistemas de Datos Personales, los cuales incluso se puede inferir de una interpretación sistemática, que guardan estrecha relación con los elementos que inclusive se presuponen para el aviso de privacidad, el cual se pone a disposición del público, específicamente del titular de los datos personales, en observancia del principio de información que establece la legislación en cita. Al respecto, resulta meritorio traer a conocimiento el contenido de los artículos 23 y 31 de la Ley de Protección de Datos Personales en Posesión de Sujetos Obligados del Estado de México y Municipios:</w:t>
      </w:r>
    </w:p>
    <w:p w14:paraId="719C24BD" w14:textId="77777777" w:rsidR="00CA4F44" w:rsidRPr="00C45626" w:rsidRDefault="00CA4F44" w:rsidP="00CA4F44">
      <w:pPr>
        <w:spacing w:line="360" w:lineRule="auto"/>
        <w:ind w:left="708"/>
        <w:rPr>
          <w:rFonts w:ascii="Palatino Linotype" w:eastAsia="MS Mincho" w:hAnsi="Palatino Linotype" w:cs="PalatinoLinotype-Roman"/>
        </w:rPr>
      </w:pPr>
    </w:p>
    <w:p w14:paraId="0E3A5316"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“Principio de Información</w:t>
      </w:r>
    </w:p>
    <w:p w14:paraId="6E92202C"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Artículo 23.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w:t>
      </w:r>
    </w:p>
    <w:p w14:paraId="76E92620"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El aviso de privacidad estará redactado y estructurado de manera clara precisa y sencilla, será difundido por los medios electrónicos y físicos con que cuente el responsable.</w:t>
      </w:r>
    </w:p>
    <w:p w14:paraId="69689A6D"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6CF92ABA"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p>
    <w:p w14:paraId="2DE90753"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“Contenido del Aviso de Privacidad Integral</w:t>
      </w:r>
    </w:p>
    <w:p w14:paraId="5FCAC867"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Artículo 31. El aviso de privacidad integral contendrá la información siguiente:</w:t>
      </w:r>
    </w:p>
    <w:p w14:paraId="0176FBAD"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I. La denominación del responsable.</w:t>
      </w:r>
    </w:p>
    <w:p w14:paraId="4CA1D0AC"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II. El nombre y cargo del administrador, así como el área o unidad administrativa a la que se encuentra adscrito.</w:t>
      </w:r>
    </w:p>
    <w:p w14:paraId="76CF327F"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III. El nombre del sistema de datos personales o base de datos al que serán incorporados los datos personales.</w:t>
      </w:r>
    </w:p>
    <w:p w14:paraId="05D1198B"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IV. Los datos personales que serán sometidos a tratamiento, identificando los que son sensibles.</w:t>
      </w:r>
    </w:p>
    <w:p w14:paraId="41CD9016"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V. El carácter obligatorio o facultativo de la entrega de los datos personales.</w:t>
      </w:r>
    </w:p>
    <w:p w14:paraId="061D6460"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VI. Las consecuencias de la negativa a suministrarlos.</w:t>
      </w:r>
    </w:p>
    <w:p w14:paraId="30A07C2F"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VII. Las finalidades del tratamiento para las cuales se obtienen los datos personales, distinguiendo aquéllas que requieran el consentimiento de la o el titular.</w:t>
      </w:r>
    </w:p>
    <w:p w14:paraId="17C8F197"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VIII. Cuando se realicen transferencias de datos personales se informará:</w:t>
      </w:r>
    </w:p>
    <w:p w14:paraId="12E8F185"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a) Destinatario de los datos.</w:t>
      </w:r>
    </w:p>
    <w:p w14:paraId="0D862F9F"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b) Finalidad de la transferencia.</w:t>
      </w:r>
    </w:p>
    <w:p w14:paraId="6FDD91FE"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c) El fundamento que autoriza la transferencia.</w:t>
      </w:r>
    </w:p>
    <w:p w14:paraId="2236B60F"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d) Los datos personales a transferir.</w:t>
      </w:r>
    </w:p>
    <w:p w14:paraId="27F32FCC"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e) Las implicaciones de otorgar, el consentimiento expreso.</w:t>
      </w:r>
    </w:p>
    <w:p w14:paraId="377D707D"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Cuando se realicen transferencias de datos personales que requieran consentimiento, se acreditará el otorgamiento.</w:t>
      </w:r>
    </w:p>
    <w:p w14:paraId="62513AE8"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IX. Los mecanismos y medios estarán disponibles para el uso previo al tratamiento de los datos personales, para que la o el titular, pueda manifestar su negativa para la finalidad y transferencia que requieran el consentimiento de la o el titular.</w:t>
      </w:r>
    </w:p>
    <w:p w14:paraId="614DCBC4"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 Los mecanismos, medios y procedimientos disponibles para ejercer los derechos ARCO, indicando la dirección electrónica del sistema para presentar sus solicitudes.</w:t>
      </w:r>
    </w:p>
    <w:p w14:paraId="008F1737"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XI. La indicación por la cual la o el titular podrá revocar el consentimiento para el tratamiento de sus datos, detallando el procedimiento a seguir para tal efecto.</w:t>
      </w:r>
    </w:p>
    <w:p w14:paraId="0C7A59DF"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XII. Cuando aplique, las opciones y medios que el responsable ofrezca a las o los titulares para limitar el uso o divulgación, o la portabilidad de datos.</w:t>
      </w:r>
    </w:p>
    <w:p w14:paraId="4CD67F07"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XIII.Los medios a través de los cuales el responsable comunicará a los titulares los cambios al aviso de privacidad,</w:t>
      </w:r>
    </w:p>
    <w:p w14:paraId="5BD40BAA"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XIV. El cargo y domicilio del encargado, indicando su nombre o el medio por el cual se pueda conocer su identidad.</w:t>
      </w:r>
    </w:p>
    <w:p w14:paraId="70D0724A"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XV. El domicilio del responsable, y en su caso, cargo y domicilio del encargado, indicando su nombre o el medio por el cual se pueda conocer su identidad.</w:t>
      </w:r>
    </w:p>
    <w:p w14:paraId="07BD728E"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XVI. El fundamento legal que faculta al responsable para llevar a cabo el tratamiento.</w:t>
      </w:r>
    </w:p>
    <w:p w14:paraId="09E053D5"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XVII.El procedimiento para que se ejerza el derecho a la portabilidad.</w:t>
      </w:r>
    </w:p>
    <w:p w14:paraId="7DFCC63A"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XVIII. El domicilio de la Unidad de Transparencia.</w:t>
      </w:r>
    </w:p>
    <w:p w14:paraId="654D9395"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i/>
        </w:rPr>
      </w:pPr>
      <w:r w:rsidRPr="00C45626">
        <w:rPr>
          <w:rFonts w:ascii="Palatino Linotype" w:eastAsia="MS Mincho" w:hAnsi="Palatino Linotype" w:cs="PalatinoLinotype-Roman"/>
          <w:i/>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6C23A659" w14:textId="77777777" w:rsidR="00CA4F44" w:rsidRPr="00C45626" w:rsidRDefault="00CA4F44" w:rsidP="00CA4F44">
      <w:pPr>
        <w:autoSpaceDE w:val="0"/>
        <w:autoSpaceDN w:val="0"/>
        <w:adjustRightInd w:val="0"/>
        <w:spacing w:line="360" w:lineRule="auto"/>
        <w:ind w:left="567" w:right="616"/>
        <w:jc w:val="both"/>
        <w:rPr>
          <w:rFonts w:ascii="Palatino Linotype" w:eastAsia="MS Mincho" w:hAnsi="Palatino Linotype" w:cs="PalatinoLinotype-Roman"/>
        </w:rPr>
      </w:pPr>
      <w:r w:rsidRPr="00C45626">
        <w:rPr>
          <w:rFonts w:ascii="Palatino Linotype" w:eastAsia="MS Mincho" w:hAnsi="Palatino Linotype" w:cs="PalatinoLinotype-Roman"/>
        </w:rPr>
        <w:t>Énfasis añadido</w:t>
      </w:r>
    </w:p>
    <w:p w14:paraId="2EB1A1C3" w14:textId="77777777" w:rsidR="00CA4F44" w:rsidRPr="00C45626" w:rsidRDefault="00CA4F44" w:rsidP="00CA4F44">
      <w:pPr>
        <w:autoSpaceDE w:val="0"/>
        <w:autoSpaceDN w:val="0"/>
        <w:adjustRightInd w:val="0"/>
        <w:spacing w:line="360" w:lineRule="auto"/>
        <w:jc w:val="both"/>
        <w:rPr>
          <w:rFonts w:ascii="Palatino Linotype" w:eastAsia="MS Mincho" w:hAnsi="Palatino Linotype" w:cs="PalatinoLinotype-Roman"/>
          <w:lang w:val="es-MX" w:eastAsia="es-MX"/>
        </w:rPr>
      </w:pPr>
    </w:p>
    <w:p w14:paraId="6F979260"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 xml:space="preserve">En efecto, del análisis de los elementos que contiene el documento de seguridad, se advierte que en diversos aspectos, no puede prevalecer la confidencialidad o en general cualquier causa de clasificación, siendo por lo tanto que </w:t>
      </w:r>
      <w:r w:rsidRPr="00C45626">
        <w:rPr>
          <w:rFonts w:ascii="Palatino Linotype" w:eastAsia="MS Mincho" w:hAnsi="Palatino Linotype" w:cs="PalatinoLinotype-Roman"/>
          <w:b/>
        </w:rPr>
        <w:t>hay información que es susceptible de ser entregada, sin que ello signifique una vulneración o riesgo en la seguridad de la integridad de los datos personales</w:t>
      </w:r>
      <w:r w:rsidRPr="00C45626">
        <w:rPr>
          <w:rFonts w:ascii="Palatino Linotype" w:eastAsia="MS Mincho" w:hAnsi="Palatino Linotype" w:cs="PalatinoLinotype-Roman"/>
        </w:rPr>
        <w:t xml:space="preserve"> que se tratan por el </w:t>
      </w:r>
      <w:r w:rsidRPr="00C45626">
        <w:rPr>
          <w:rFonts w:ascii="Palatino Linotype" w:eastAsia="MS Mincho" w:hAnsi="Palatino Linotype" w:cs="PalatinoLinotype-Roman"/>
          <w:b/>
        </w:rPr>
        <w:t>SUJETO OBLIGADO</w:t>
      </w:r>
      <w:r w:rsidRPr="00C45626">
        <w:rPr>
          <w:rFonts w:ascii="Palatino Linotype" w:eastAsia="MS Mincho" w:hAnsi="Palatino Linotype" w:cs="PalatinoLinotype-Roman"/>
        </w:rPr>
        <w:t>, y que más bien son elementos que al otorgarse suponen un aspecto que abona al principio de información previamente aludido.</w:t>
      </w:r>
    </w:p>
    <w:p w14:paraId="24D7533B" w14:textId="77777777" w:rsidR="00CA4F44" w:rsidRPr="00C45626" w:rsidRDefault="00CA4F44" w:rsidP="00CA4F44">
      <w:pPr>
        <w:autoSpaceDE w:val="0"/>
        <w:autoSpaceDN w:val="0"/>
        <w:adjustRightInd w:val="0"/>
        <w:spacing w:line="360" w:lineRule="auto"/>
        <w:ind w:left="360"/>
        <w:jc w:val="both"/>
        <w:rPr>
          <w:rFonts w:ascii="Palatino Linotype" w:eastAsia="MS Mincho" w:hAnsi="Palatino Linotype" w:cs="PalatinoLinotype-Roman"/>
        </w:rPr>
      </w:pPr>
    </w:p>
    <w:p w14:paraId="73A0B6B4"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 xml:space="preserve">Con base en lo anteriormente expuesto, este Órgano Garante estima procedente la entrega de la información de referencia en versión publica toda vez que no es procedente la clasificación de diversa información relativa al apartado de Sistemas de Datos Personales, de los documentos de seguridad con que cuente el </w:t>
      </w:r>
      <w:r w:rsidRPr="00C45626">
        <w:rPr>
          <w:rFonts w:ascii="Palatino Linotype" w:eastAsia="MS Mincho" w:hAnsi="Palatino Linotype" w:cs="PalatinoLinotype-Roman"/>
          <w:b/>
        </w:rPr>
        <w:t>SUJETO OBLIGADO</w:t>
      </w:r>
      <w:r w:rsidRPr="00C45626">
        <w:rPr>
          <w:rFonts w:ascii="Palatino Linotype" w:eastAsia="MS Mincho" w:hAnsi="Palatino Linotype" w:cs="PalatinoLinotype-Roman"/>
        </w:rPr>
        <w:t xml:space="preserve">, en su carácter de responsable; como lo son: </w:t>
      </w:r>
      <w:r w:rsidRPr="00C45626">
        <w:rPr>
          <w:rFonts w:ascii="Palatino Linotype" w:eastAsia="MS Mincho" w:hAnsi="Palatino Linotype" w:cs="PalatinoLinotype-Roman"/>
          <w:b/>
        </w:rPr>
        <w:t>el nombre de la base de datos; el nombre, cargo y adscripción del administrador de cada sistema y base de datos; las funciones y obligaciones del responsable, encargado o encargados; el folio del registro del sistema y base de datos; la especificación detallada del tipo de datos personales contenidos; descripción del tipo de soporte</w:t>
      </w:r>
      <w:r w:rsidRPr="00C45626">
        <w:rPr>
          <w:rFonts w:ascii="Palatino Linotype" w:eastAsia="MS Mincho" w:hAnsi="Palatino Linotype" w:cs="PalatinoLinotype-Roman"/>
        </w:rPr>
        <w:t xml:space="preserve">. Ello en atención que es información que no pone en riesgo la seguridad de las bases de datos, además de que por su naturaleza es información que puede divulgarse sin afecta las medidas implementadas por el </w:t>
      </w:r>
      <w:r w:rsidRPr="00C45626">
        <w:rPr>
          <w:rFonts w:ascii="Palatino Linotype" w:eastAsia="MS Mincho" w:hAnsi="Palatino Linotype" w:cs="PalatinoLinotype-Roman"/>
          <w:b/>
        </w:rPr>
        <w:t>SUJETO OBLIGADO</w:t>
      </w:r>
      <w:r w:rsidRPr="00C45626">
        <w:rPr>
          <w:rFonts w:ascii="Palatino Linotype" w:eastAsia="MS Mincho" w:hAnsi="Palatino Linotype" w:cs="PalatinoLinotype-Roman"/>
        </w:rPr>
        <w:t xml:space="preserve"> para el debido cuidado y resguardo de los datos personales.</w:t>
      </w:r>
    </w:p>
    <w:p w14:paraId="778E0109" w14:textId="77777777" w:rsidR="00CA4F44" w:rsidRPr="00C45626" w:rsidRDefault="00CA4F44" w:rsidP="00CA4F44">
      <w:pPr>
        <w:autoSpaceDE w:val="0"/>
        <w:autoSpaceDN w:val="0"/>
        <w:adjustRightInd w:val="0"/>
        <w:spacing w:line="360" w:lineRule="auto"/>
        <w:ind w:left="360"/>
        <w:jc w:val="both"/>
        <w:rPr>
          <w:rFonts w:ascii="Palatino Linotype" w:eastAsia="MS Mincho" w:hAnsi="Palatino Linotype" w:cs="PalatinoLinotype-Roman"/>
        </w:rPr>
      </w:pPr>
    </w:p>
    <w:p w14:paraId="1DCABAF8"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Ahora bien, respecto de los demás elementos y lo relacionado a las medidas de seguridad previstas en la fracción II del citado artículo 49, es claro que la propia legislación en comento los considera concernientes con las medidas de seguridad, las cuales para su comprensión es meritorio traer a conocimiento el artículo 4, fracciones XXX, XXXI, XXXII Y XXXIII de la Ley de Protección de Datos Personales en Posesión de Sujetos Obligados del Estado de México y Municipios:</w:t>
      </w:r>
    </w:p>
    <w:p w14:paraId="057389F3" w14:textId="77777777" w:rsidR="00CA4F44" w:rsidRPr="00C45626" w:rsidRDefault="00CA4F44" w:rsidP="00CA4F44">
      <w:pPr>
        <w:spacing w:line="360" w:lineRule="auto"/>
        <w:ind w:left="708"/>
        <w:rPr>
          <w:rFonts w:ascii="Palatino Linotype" w:eastAsia="MS Mincho" w:hAnsi="Palatino Linotype" w:cs="PalatinoLinotype-Roman"/>
        </w:rPr>
      </w:pPr>
    </w:p>
    <w:p w14:paraId="3C7FD830"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“Glosario</w:t>
      </w:r>
    </w:p>
    <w:p w14:paraId="0F958A06"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Artículo 4. Para los efectos de esta Ley se entenderá por:</w:t>
      </w:r>
    </w:p>
    <w:p w14:paraId="76DCC0D3"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w:t>
      </w:r>
    </w:p>
    <w:p w14:paraId="0DDE44C8" w14:textId="77777777" w:rsidR="00CA4F44" w:rsidRPr="00C45626" w:rsidRDefault="00CA4F44" w:rsidP="00CA4F44">
      <w:pPr>
        <w:spacing w:line="360" w:lineRule="auto"/>
        <w:ind w:left="567" w:right="476"/>
        <w:jc w:val="both"/>
        <w:rPr>
          <w:rFonts w:ascii="Palatino Linotype" w:eastAsia="MS Mincho" w:hAnsi="Palatino Linotype" w:cs="PalatinoLinotype-Roman"/>
          <w:b/>
          <w:i/>
        </w:rPr>
      </w:pPr>
      <w:r w:rsidRPr="00C45626">
        <w:rPr>
          <w:rFonts w:ascii="Palatino Linotype" w:eastAsia="MS Mincho" w:hAnsi="Palatino Linotype" w:cs="PalatinoLinotype-Roman"/>
          <w:b/>
          <w:i/>
        </w:rPr>
        <w:t>XXX. Medidas de seguridad: a las acciones, actividades, controles o mecanismos administrativos, técnicos y físicos que permitan proteger los datos personales.</w:t>
      </w:r>
    </w:p>
    <w:p w14:paraId="23017650"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b/>
          <w:i/>
        </w:rPr>
        <w:t xml:space="preserve">XXXI. Medidas de seguridad administrativas: </w:t>
      </w:r>
      <w:r w:rsidRPr="00C45626">
        <w:rPr>
          <w:rFonts w:ascii="Palatino Linotype" w:eastAsia="MS Mincho" w:hAnsi="Palatino Linotype" w:cs="PalatinoLinotype-Roman"/>
          <w:i/>
        </w:rPr>
        <w:t>a las políticas y procedimientos para la gestión, soporte y revisión de la seguridad de la información a nivel organizacional, la identificación, clasificación y</w:t>
      </w:r>
    </w:p>
    <w:p w14:paraId="0A24A3BF"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borrado seguro de la información, así como la sensibilización, y capacitación del personal, en materia de protección de datos personales.</w:t>
      </w:r>
    </w:p>
    <w:p w14:paraId="3AAA9135"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b/>
          <w:i/>
        </w:rPr>
        <w:t>XXXII. Medidas de seguridad físicas</w:t>
      </w:r>
      <w:r w:rsidRPr="00C45626">
        <w:rPr>
          <w:rFonts w:ascii="Palatino Linotype" w:eastAsia="MS Mincho" w:hAnsi="Palatino Linotype" w:cs="PalatinoLinotype-Roman"/>
          <w:i/>
        </w:rPr>
        <w:t>: a las acciones y mecanismos para proteger el entorno físico de los datos personales y de los recursos involucrados en su tratamiento. De manera enunciativa más no</w:t>
      </w:r>
    </w:p>
    <w:p w14:paraId="3C916849"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limitativa, se considerarán las actividades siguientes:</w:t>
      </w:r>
    </w:p>
    <w:p w14:paraId="315A7DAE"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a) Prevenir el acceso no autorizado al perímetro de la organización, sus instalaciones físicas, áreas críticas, recursos e información.</w:t>
      </w:r>
    </w:p>
    <w:p w14:paraId="779448C9"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b) Prevenir el daño o interferencia a las instalaciones físicas, áreas críticas de la organización, recursos e información.</w:t>
      </w:r>
    </w:p>
    <w:p w14:paraId="0EB9394A"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c) Proteger los recursos móviles, portátiles y cualquier soporte físico o electrónico que pueda salir de la organización.</w:t>
      </w:r>
    </w:p>
    <w:p w14:paraId="72D77F81"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d) Proveer a los equipos que contienen o almacenan datos personales de un mantenimiento eficaz que asegure su disponibilidad e integridad.</w:t>
      </w:r>
    </w:p>
    <w:p w14:paraId="50437DD6"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b/>
          <w:i/>
        </w:rPr>
        <w:t>XXXIII. Medidas de seguridad técnicas:</w:t>
      </w:r>
      <w:r w:rsidRPr="00C45626">
        <w:rPr>
          <w:rFonts w:ascii="Palatino Linotype" w:eastAsia="MS Mincho" w:hAnsi="Palatino Linotype" w:cs="PalatinoLinotype-Roman"/>
          <w:i/>
        </w:rPr>
        <w:t xml:space="preserve">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14:paraId="483F4BE4"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a) Prevenir que el acceso a los sistemas y bases de datos o a la información, así como a los recursos, sea por usuarios identificados y autorizados.</w:t>
      </w:r>
    </w:p>
    <w:p w14:paraId="3F4F38CE"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b) Generar un esquema de privilegios para que el usuario lleve a cabo las actividades que requiere con motivo de sus funciones.</w:t>
      </w:r>
    </w:p>
    <w:p w14:paraId="5D42FB8B"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c) Revisar la configuración de seguridad en la adquisición, operación, desarrollo y mantenimiento del software y hardware.</w:t>
      </w:r>
    </w:p>
    <w:p w14:paraId="6DB8F2FD"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d) Gestionar las comunicaciones, operaciones y medios de almacenamiento de los recursos informáticos en el tratamiento de datos personales.</w:t>
      </w:r>
    </w:p>
    <w:p w14:paraId="6B4EB889"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XXXIV. Órganos Autónomos: al Instituto Electoral del Estado de México, el Tribunal Electoral del Estado de México, la Comisión de Derechos Humanos del Estado de México, el Instituto de Transparencia, Acceso a la Información Pública y Protección de Datos Personales del Estado de México</w:t>
      </w:r>
    </w:p>
    <w:p w14:paraId="460A5DE0"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y Municipios, la Fiscalía General de Justicia del Estado de México, las Universidades e Instituciones de Educación Superior dotadas de autonomía, y cualquier otro establecido en la Constitución Política del Estado Libre y Soberano de México.</w:t>
      </w:r>
    </w:p>
    <w:p w14:paraId="16C028D4"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XXXV. Plataforma Nacional: a la Plataforma Nacional de Transparencia a que hace referencia el artículo 49 de la Ley General de Transparencia y Acceso a la Información Pública, que en términos del mismo, también comprenden los sistemas desarrollados, administrados, implementados y puestos en funcionamiento por el Instituto que le permitan cumplir con los procedimientos, obligaciones y disposiciones señaladas en la presente Ley.</w:t>
      </w:r>
    </w:p>
    <w:p w14:paraId="64EB074F"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XXXVI. Programa Nacional: al Programa Nacional de Protección de Datos Personales.</w:t>
      </w:r>
    </w:p>
    <w:p w14:paraId="278447AE"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XXXVII. Programa Estatal: al Programa Estatal de Protección de Datos Personales.</w:t>
      </w:r>
    </w:p>
    <w:p w14:paraId="18BE99DB"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r w:rsidRPr="00C45626">
        <w:rPr>
          <w:rFonts w:ascii="Palatino Linotype" w:eastAsia="MS Mincho" w:hAnsi="Palatino Linotype" w:cs="PalatinoLinotype-Roman"/>
          <w:i/>
        </w:rPr>
        <w:t>XXXVIII. Programa de Cultura: al Programa de la Cultura de la Transparencia y de Protección de Datos Personales a que se refiere la Ley de Transparencia y Acceso a la Información Pública del Estado de México y sus Municipios.”</w:t>
      </w:r>
    </w:p>
    <w:p w14:paraId="63213083" w14:textId="77777777" w:rsidR="00CA4F44" w:rsidRPr="00C45626" w:rsidRDefault="00CA4F44" w:rsidP="00CA4F44">
      <w:pPr>
        <w:spacing w:line="360" w:lineRule="auto"/>
        <w:ind w:left="567" w:right="476"/>
        <w:jc w:val="both"/>
        <w:rPr>
          <w:rFonts w:ascii="Palatino Linotype" w:eastAsia="MS Mincho" w:hAnsi="Palatino Linotype" w:cs="PalatinoLinotype-Roman"/>
          <w:i/>
        </w:rPr>
      </w:pPr>
    </w:p>
    <w:p w14:paraId="0B4EF626"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De lo transcrito, se tiene a las medidas de seguridad como las acciones, actividades, controles o mecanismos administrativos, técnicos y físicos que permitan proteger los datos personales, las cuales pueden ser catalogadas en administrativas, físicas o técnicas según sea el caso; asimismo lo relativo a las características del lugar donde se resguardan, es un aspecto íntimamente relacionado al resguardo de soportes físicos o electrónicos, ya que de dar a conocer las características detalladas del lugar de resguardo de los sistemas de bases de datos, supone un riesgo a las medidas de seguridad implementadas con las que se cuenta.</w:t>
      </w:r>
    </w:p>
    <w:p w14:paraId="6F45BA23" w14:textId="77777777" w:rsidR="00CA4F44" w:rsidRPr="00C45626" w:rsidRDefault="00CA4F44" w:rsidP="00CA4F44">
      <w:pPr>
        <w:autoSpaceDE w:val="0"/>
        <w:autoSpaceDN w:val="0"/>
        <w:adjustRightInd w:val="0"/>
        <w:spacing w:line="360" w:lineRule="auto"/>
        <w:jc w:val="both"/>
        <w:rPr>
          <w:rFonts w:ascii="Palatino Linotype" w:eastAsia="MS Mincho" w:hAnsi="Palatino Linotype" w:cs="PalatinoLinotype-Roman"/>
        </w:rPr>
      </w:pPr>
    </w:p>
    <w:p w14:paraId="6102C29B"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Seguidamente, la legislación de cita nos refiere que dichas medidas de seguridad deberán ser adoptadas, mantenidas y documentadas por el responsable, con la finalidad de garantizar la integridad, confidencialidad y disponibilidad de los datos personales, a través de controles y acciones que eviten su daño, alteración, perdida, destrucción o uso, transferencia, acceso o cualquier tratamiento no autorizado o licito; se dice lo anterior, en observancia de los dispuesto en el artículo 38 de la multicitada Ley de Protección de Datos vigente en la Entidad.</w:t>
      </w:r>
    </w:p>
    <w:p w14:paraId="41F091BF" w14:textId="77777777" w:rsidR="00CA4F44" w:rsidRPr="00C45626" w:rsidRDefault="00CA4F44" w:rsidP="00CA4F44">
      <w:pPr>
        <w:autoSpaceDE w:val="0"/>
        <w:autoSpaceDN w:val="0"/>
        <w:adjustRightInd w:val="0"/>
        <w:spacing w:line="360" w:lineRule="auto"/>
        <w:ind w:left="360"/>
        <w:jc w:val="both"/>
        <w:rPr>
          <w:rFonts w:ascii="Palatino Linotype" w:eastAsia="MS Mincho" w:hAnsi="Palatino Linotype" w:cs="PalatinoLinotype-Roman"/>
        </w:rPr>
      </w:pPr>
    </w:p>
    <w:p w14:paraId="45141345" w14:textId="77777777" w:rsidR="00CA4F44" w:rsidRPr="00C45626" w:rsidRDefault="00CA4F44" w:rsidP="00CA4F44">
      <w:pPr>
        <w:autoSpaceDE w:val="0"/>
        <w:autoSpaceDN w:val="0"/>
        <w:adjustRightInd w:val="0"/>
        <w:spacing w:line="360" w:lineRule="auto"/>
        <w:ind w:left="360" w:right="616"/>
        <w:jc w:val="both"/>
        <w:rPr>
          <w:rFonts w:ascii="Palatino Linotype" w:eastAsia="MS Mincho" w:hAnsi="Palatino Linotype" w:cs="PalatinoLinotype-Roman"/>
          <w:b/>
          <w:i/>
        </w:rPr>
      </w:pPr>
      <w:r w:rsidRPr="00C45626">
        <w:rPr>
          <w:rFonts w:ascii="Palatino Linotype" w:eastAsia="MS Mincho" w:hAnsi="Palatino Linotype" w:cs="PalatinoLinotype-Roman"/>
          <w:b/>
          <w:i/>
        </w:rPr>
        <w:t>“Medidas de seguridad administrativas, físicas y técnicas</w:t>
      </w:r>
    </w:p>
    <w:p w14:paraId="2E341177" w14:textId="77777777" w:rsidR="00CA4F44" w:rsidRPr="00C45626" w:rsidRDefault="00CA4F44" w:rsidP="00CA4F44">
      <w:pPr>
        <w:autoSpaceDE w:val="0"/>
        <w:autoSpaceDN w:val="0"/>
        <w:adjustRightInd w:val="0"/>
        <w:spacing w:line="360" w:lineRule="auto"/>
        <w:ind w:left="360" w:right="616"/>
        <w:jc w:val="both"/>
        <w:rPr>
          <w:rFonts w:ascii="Palatino Linotype" w:eastAsia="MS Mincho" w:hAnsi="Palatino Linotype" w:cs="PalatinoLinotype-Roman"/>
          <w:i/>
        </w:rPr>
      </w:pPr>
      <w:r w:rsidRPr="00C45626">
        <w:rPr>
          <w:rFonts w:ascii="Palatino Linotype" w:eastAsia="MS Mincho" w:hAnsi="Palatino Linotype" w:cs="PalatinoLinotype-Roman"/>
          <w:i/>
        </w:rPr>
        <w:t>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1E8EBC14" w14:textId="77777777" w:rsidR="00CA4F44" w:rsidRPr="00C45626" w:rsidRDefault="00CA4F44" w:rsidP="00CA4F44">
      <w:pPr>
        <w:autoSpaceDE w:val="0"/>
        <w:autoSpaceDN w:val="0"/>
        <w:adjustRightInd w:val="0"/>
        <w:spacing w:line="360" w:lineRule="auto"/>
        <w:ind w:left="360"/>
        <w:jc w:val="both"/>
        <w:rPr>
          <w:rFonts w:ascii="Palatino Linotype" w:eastAsia="MS Mincho" w:hAnsi="Palatino Linotype" w:cs="PalatinoLinotype-Roman"/>
        </w:rPr>
      </w:pPr>
    </w:p>
    <w:p w14:paraId="64D2076E"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En esa línea de pensamiento, al tenerse a las medidas de seguridad como elementos necesarios al ser adoptados por los responsables del tratamiento de datos personales, con el objeto de mantener su integridad y prevenir su vulneración de cualquier forma, es razonado afirmar que todo lo relacionado con estas debe mantenerse en estricta secrecía, a lo que la normatividad en comento las considera confidenciales por su propia naturaleza, tal y como se desprende del articulo 43 el cual se transcribe en seguida:</w:t>
      </w:r>
    </w:p>
    <w:p w14:paraId="687401B1" w14:textId="77777777" w:rsidR="00CA4F44" w:rsidRPr="00C45626" w:rsidRDefault="00CA4F44" w:rsidP="00CA4F44">
      <w:pPr>
        <w:autoSpaceDE w:val="0"/>
        <w:autoSpaceDN w:val="0"/>
        <w:adjustRightInd w:val="0"/>
        <w:spacing w:line="360" w:lineRule="auto"/>
        <w:jc w:val="both"/>
        <w:rPr>
          <w:rFonts w:ascii="Palatino Linotype" w:eastAsia="MS Mincho" w:hAnsi="Palatino Linotype" w:cs="PalatinoLinotype-Roman"/>
          <w:lang w:val="es-MX" w:eastAsia="es-MX"/>
        </w:rPr>
      </w:pPr>
    </w:p>
    <w:p w14:paraId="4571D15F" w14:textId="77777777" w:rsidR="00CA4F44" w:rsidRPr="00C45626" w:rsidRDefault="00CA4F44" w:rsidP="00CA4F44">
      <w:pPr>
        <w:autoSpaceDE w:val="0"/>
        <w:autoSpaceDN w:val="0"/>
        <w:adjustRightInd w:val="0"/>
        <w:spacing w:line="360" w:lineRule="auto"/>
        <w:ind w:left="426" w:right="474"/>
        <w:jc w:val="both"/>
        <w:rPr>
          <w:rFonts w:ascii="Palatino Linotype" w:eastAsia="MS Mincho" w:hAnsi="Palatino Linotype" w:cs="PalatinoLinotype-Roman"/>
          <w:b/>
          <w:i/>
          <w:lang w:val="es-MX" w:eastAsia="es-MX"/>
        </w:rPr>
      </w:pPr>
      <w:r w:rsidRPr="00C45626">
        <w:rPr>
          <w:rFonts w:ascii="Palatino Linotype" w:eastAsia="MS Mincho" w:hAnsi="Palatino Linotype" w:cs="PalatinoLinotype-Roman"/>
          <w:b/>
          <w:i/>
          <w:lang w:val="es-MX" w:eastAsia="es-MX"/>
        </w:rPr>
        <w:t>“Naturaleza de las medidas de seguridad y registro del nivel de seguridad</w:t>
      </w:r>
    </w:p>
    <w:p w14:paraId="3A79FCD5" w14:textId="77777777" w:rsidR="00CA4F44" w:rsidRPr="00C45626" w:rsidRDefault="00CA4F44" w:rsidP="00CA4F44">
      <w:pPr>
        <w:autoSpaceDE w:val="0"/>
        <w:autoSpaceDN w:val="0"/>
        <w:adjustRightInd w:val="0"/>
        <w:spacing w:line="360" w:lineRule="auto"/>
        <w:ind w:left="426" w:right="474"/>
        <w:jc w:val="both"/>
        <w:rPr>
          <w:rFonts w:ascii="Palatino Linotype" w:eastAsia="MS Mincho" w:hAnsi="Palatino Linotype" w:cs="PalatinoLinotype-Roman"/>
          <w:i/>
          <w:lang w:val="es-MX" w:eastAsia="es-MX"/>
        </w:rPr>
      </w:pPr>
      <w:r w:rsidRPr="00C45626">
        <w:rPr>
          <w:rFonts w:ascii="Palatino Linotype" w:eastAsia="MS Mincho" w:hAnsi="Palatino Linotype" w:cs="PalatinoLinotype-Roman"/>
          <w:i/>
          <w:lang w:val="es-MX" w:eastAsia="es-MX"/>
        </w:rPr>
        <w:t>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w:t>
      </w:r>
    </w:p>
    <w:p w14:paraId="74E5509E" w14:textId="77777777" w:rsidR="00CA4F44" w:rsidRPr="00C45626" w:rsidRDefault="00CA4F44" w:rsidP="00CA4F44">
      <w:pPr>
        <w:autoSpaceDE w:val="0"/>
        <w:autoSpaceDN w:val="0"/>
        <w:adjustRightInd w:val="0"/>
        <w:spacing w:line="360" w:lineRule="auto"/>
        <w:ind w:left="426" w:right="474"/>
        <w:jc w:val="both"/>
        <w:rPr>
          <w:rFonts w:ascii="Palatino Linotype" w:eastAsia="MS Mincho" w:hAnsi="Palatino Linotype" w:cs="PalatinoLinotype-Roman"/>
          <w:i/>
          <w:lang w:val="es-MX" w:eastAsia="es-MX"/>
        </w:rPr>
      </w:pPr>
      <w:r w:rsidRPr="00C45626">
        <w:rPr>
          <w:rFonts w:ascii="Palatino Linotype" w:eastAsia="MS Mincho" w:hAnsi="Palatino Linotype" w:cs="PalatinoLinotype-Roman"/>
          <w:i/>
          <w:lang w:val="es-MX" w:eastAsia="es-MX"/>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14:paraId="1C52A40D" w14:textId="77777777" w:rsidR="00CA4F44" w:rsidRPr="00C45626" w:rsidRDefault="00CA4F44" w:rsidP="00CA4F44">
      <w:pPr>
        <w:autoSpaceDE w:val="0"/>
        <w:autoSpaceDN w:val="0"/>
        <w:adjustRightInd w:val="0"/>
        <w:spacing w:line="360" w:lineRule="auto"/>
        <w:ind w:left="426" w:right="474"/>
        <w:jc w:val="both"/>
        <w:rPr>
          <w:rFonts w:ascii="Palatino Linotype" w:eastAsia="MS Mincho" w:hAnsi="Palatino Linotype" w:cs="PalatinoLinotype-Roman"/>
          <w:i/>
          <w:lang w:val="es-MX" w:eastAsia="es-MX"/>
        </w:rPr>
      </w:pPr>
      <w:r w:rsidRPr="00C45626">
        <w:rPr>
          <w:rFonts w:ascii="Palatino Linotype" w:eastAsia="MS Mincho" w:hAnsi="Palatino Linotype" w:cs="PalatinoLinotype-Roman"/>
          <w:i/>
          <w:lang w:val="es-MX" w:eastAsia="es-MX"/>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14:paraId="296C5ADE" w14:textId="77777777" w:rsidR="00CA4F44" w:rsidRPr="00C45626" w:rsidRDefault="00CA4F44" w:rsidP="00CA4F44">
      <w:pPr>
        <w:autoSpaceDE w:val="0"/>
        <w:autoSpaceDN w:val="0"/>
        <w:adjustRightInd w:val="0"/>
        <w:spacing w:line="360" w:lineRule="auto"/>
        <w:ind w:left="426" w:right="474"/>
        <w:jc w:val="both"/>
        <w:rPr>
          <w:rFonts w:ascii="Palatino Linotype" w:eastAsia="MS Mincho" w:hAnsi="Palatino Linotype" w:cs="PalatinoLinotype-Roman"/>
          <w:i/>
          <w:lang w:val="es-MX" w:eastAsia="es-MX"/>
        </w:rPr>
      </w:pPr>
      <w:r w:rsidRPr="00C45626">
        <w:rPr>
          <w:rFonts w:ascii="Palatino Linotype" w:eastAsia="MS Mincho" w:hAnsi="Palatino Linotype" w:cs="PalatinoLinotype-Roman"/>
          <w:i/>
          <w:lang w:val="es-MX" w:eastAsia="es-MX"/>
        </w:rPr>
        <w:t>En el supuesto de actualización de estos datos, la modificación respectiva se notificará al Instituto en sus oficinas o en el portal que para tal efecto se cree, dentro de los treinta días hábiles siguientes a la fecha en que se efectuó.</w:t>
      </w:r>
    </w:p>
    <w:p w14:paraId="3CE6CFD0" w14:textId="77777777" w:rsidR="00CA4F44" w:rsidRPr="00C45626" w:rsidRDefault="00CA4F44" w:rsidP="00CA4F44">
      <w:pPr>
        <w:autoSpaceDE w:val="0"/>
        <w:autoSpaceDN w:val="0"/>
        <w:adjustRightInd w:val="0"/>
        <w:spacing w:line="360" w:lineRule="auto"/>
        <w:ind w:left="426" w:right="474"/>
        <w:jc w:val="both"/>
        <w:rPr>
          <w:rFonts w:ascii="Palatino Linotype" w:eastAsia="MS Mincho" w:hAnsi="Palatino Linotype" w:cs="PalatinoLinotype-Roman"/>
          <w:i/>
          <w:lang w:val="es-MX" w:eastAsia="es-MX"/>
        </w:rPr>
      </w:pPr>
      <w:r w:rsidRPr="00C45626">
        <w:rPr>
          <w:rFonts w:ascii="Palatino Linotype" w:eastAsia="MS Mincho" w:hAnsi="Palatino Linotype" w:cs="PalatinoLinotype-Roman"/>
          <w:i/>
          <w:lang w:val="es-MX" w:eastAsia="es-MX"/>
        </w:rPr>
        <w:t>El responsable o el encargado, designarán a una o un administrador, quien tendrá bajo su responsabilidad directa la base y sistema de datos personales.”</w:t>
      </w:r>
    </w:p>
    <w:p w14:paraId="7DBF3E3E" w14:textId="77777777" w:rsidR="00CA4F44" w:rsidRPr="00C45626" w:rsidRDefault="00CA4F44" w:rsidP="00CA4F44">
      <w:pPr>
        <w:autoSpaceDE w:val="0"/>
        <w:autoSpaceDN w:val="0"/>
        <w:adjustRightInd w:val="0"/>
        <w:spacing w:line="360" w:lineRule="auto"/>
        <w:jc w:val="both"/>
        <w:rPr>
          <w:rFonts w:ascii="Palatino Linotype" w:eastAsia="MS Mincho" w:hAnsi="Palatino Linotype" w:cs="PalatinoLinotype-Roman"/>
          <w:lang w:val="es-MX" w:eastAsia="es-MX"/>
        </w:rPr>
      </w:pPr>
    </w:p>
    <w:p w14:paraId="2CC3CF01" w14:textId="77777777"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 xml:space="preserve">Así las cosas, al estimarse por este Instituto que la información de los documentos de seguridad de los Sistemas de Datos Personales, que se relaciona estrictamente con las medidas de seguridad y la relativa a las medidas de seguridad que son adoptadas para garantizar la integridad de los datos personales, es que los argumentos aducidos por el </w:t>
      </w:r>
      <w:r w:rsidRPr="00C45626">
        <w:rPr>
          <w:rFonts w:ascii="Palatino Linotype" w:eastAsia="MS Mincho" w:hAnsi="Palatino Linotype" w:cs="PalatinoLinotype-Roman"/>
          <w:b/>
        </w:rPr>
        <w:t>SUJETO OBLIGADO</w:t>
      </w:r>
      <w:r w:rsidRPr="00C45626">
        <w:rPr>
          <w:rFonts w:ascii="Palatino Linotype" w:eastAsia="MS Mincho" w:hAnsi="Palatino Linotype" w:cs="PalatinoLinotype-Roman"/>
        </w:rPr>
        <w:t xml:space="preserve"> que existe información confidencial, debe prevalecer para considerar su confidencialidad, con la finalidad de salvaguardar la integridad de los datos personales que poseen.</w:t>
      </w:r>
    </w:p>
    <w:p w14:paraId="6EE92437" w14:textId="77777777" w:rsidR="00CA4F44" w:rsidRPr="00C45626" w:rsidRDefault="00CA4F44" w:rsidP="00CA4F44">
      <w:pPr>
        <w:autoSpaceDE w:val="0"/>
        <w:autoSpaceDN w:val="0"/>
        <w:adjustRightInd w:val="0"/>
        <w:spacing w:line="360" w:lineRule="auto"/>
        <w:ind w:left="360"/>
        <w:jc w:val="both"/>
        <w:rPr>
          <w:rFonts w:ascii="Palatino Linotype" w:eastAsia="MS Mincho" w:hAnsi="Palatino Linotype" w:cs="PalatinoLinotype-Roman"/>
        </w:rPr>
      </w:pPr>
    </w:p>
    <w:p w14:paraId="011F3D6F" w14:textId="508A260E"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 xml:space="preserve">De ahí que, se declara la subsistencia de las causales que dan sustento a la clasificación como confidencial de los elementos descritos en la fracción II del artículo 49 de la Ley de Protección de Datos Personales en Posesión de Sujetos Obligados del Estado de México y Municipios, respecto de los documentos de seguridad con que cuenta el </w:t>
      </w:r>
      <w:r w:rsidRPr="00C45626">
        <w:rPr>
          <w:rFonts w:ascii="Palatino Linotype" w:eastAsia="MS Mincho" w:hAnsi="Palatino Linotype" w:cs="PalatinoLinotype-Roman"/>
          <w:b/>
        </w:rPr>
        <w:t>SUJETO OBLIGADO</w:t>
      </w:r>
      <w:r w:rsidRPr="00C45626">
        <w:rPr>
          <w:rFonts w:ascii="Palatino Linotype" w:eastAsia="MS Mincho" w:hAnsi="Palatino Linotype" w:cs="PalatinoLinotype-Roman"/>
        </w:rPr>
        <w:t>.</w:t>
      </w:r>
    </w:p>
    <w:p w14:paraId="5EE2BE87" w14:textId="77777777" w:rsidR="00CA4F44" w:rsidRPr="00C45626" w:rsidRDefault="00CA4F44" w:rsidP="00CA4F44">
      <w:pPr>
        <w:pStyle w:val="Prrafodelista"/>
        <w:rPr>
          <w:rFonts w:ascii="Palatino Linotype" w:eastAsia="MS Mincho" w:hAnsi="Palatino Linotype" w:cs="PalatinoLinotype-Roman"/>
        </w:rPr>
      </w:pPr>
    </w:p>
    <w:p w14:paraId="7A5601A6" w14:textId="77777777" w:rsidR="00CA4F44" w:rsidRPr="00C45626" w:rsidRDefault="00CA4F44" w:rsidP="00CA4F44">
      <w:pPr>
        <w:autoSpaceDE w:val="0"/>
        <w:autoSpaceDN w:val="0"/>
        <w:adjustRightInd w:val="0"/>
        <w:spacing w:line="360" w:lineRule="auto"/>
        <w:jc w:val="both"/>
        <w:rPr>
          <w:rFonts w:ascii="Palatino Linotype" w:eastAsia="MS Mincho" w:hAnsi="Palatino Linotype" w:cs="PalatinoLinotype-Roman"/>
        </w:rPr>
      </w:pPr>
    </w:p>
    <w:p w14:paraId="26846AB9" w14:textId="77777777" w:rsidR="00CA4F44" w:rsidRPr="00C45626" w:rsidRDefault="00CA4F44" w:rsidP="00CA4F44">
      <w:pPr>
        <w:autoSpaceDE w:val="0"/>
        <w:autoSpaceDN w:val="0"/>
        <w:adjustRightInd w:val="0"/>
        <w:spacing w:line="360" w:lineRule="auto"/>
        <w:ind w:left="360"/>
        <w:jc w:val="both"/>
        <w:rPr>
          <w:rFonts w:ascii="Palatino Linotype" w:eastAsia="MS Mincho" w:hAnsi="Palatino Linotype" w:cs="PalatinoLinotype-Roman"/>
        </w:rPr>
      </w:pPr>
    </w:p>
    <w:p w14:paraId="40FEF2CE" w14:textId="66F9CB88" w:rsidR="00CA4F44" w:rsidRPr="00C45626" w:rsidRDefault="00CA4F44" w:rsidP="00CC364E">
      <w:pPr>
        <w:numPr>
          <w:ilvl w:val="0"/>
          <w:numId w:val="8"/>
        </w:numPr>
        <w:autoSpaceDE w:val="0"/>
        <w:autoSpaceDN w:val="0"/>
        <w:adjustRightInd w:val="0"/>
        <w:spacing w:line="360" w:lineRule="auto"/>
        <w:ind w:left="0" w:firstLine="0"/>
        <w:jc w:val="both"/>
        <w:rPr>
          <w:rFonts w:ascii="Palatino Linotype" w:eastAsia="MS Mincho" w:hAnsi="Palatino Linotype" w:cs="PalatinoLinotype-Roman"/>
        </w:rPr>
      </w:pPr>
      <w:r w:rsidRPr="00C45626">
        <w:rPr>
          <w:rFonts w:ascii="Palatino Linotype" w:eastAsia="MS Mincho" w:hAnsi="Palatino Linotype" w:cs="PalatinoLinotype-Roman"/>
        </w:rPr>
        <w:t>En virtud de lo antecedente, se reitera la improcedencia</w:t>
      </w:r>
      <w:r w:rsidR="00AA5C05" w:rsidRPr="00C45626">
        <w:rPr>
          <w:rFonts w:ascii="Palatino Linotype" w:eastAsia="MS Mincho" w:hAnsi="Palatino Linotype" w:cs="PalatinoLinotype-Roman"/>
        </w:rPr>
        <w:t xml:space="preserve"> </w:t>
      </w:r>
      <w:r w:rsidRPr="00C45626">
        <w:rPr>
          <w:rFonts w:ascii="Palatino Linotype" w:eastAsia="MS Mincho" w:hAnsi="Palatino Linotype" w:cs="PalatinoLinotype-Roman"/>
        </w:rPr>
        <w:t xml:space="preserve"> de la clasificación </w:t>
      </w:r>
      <w:r w:rsidR="00AA5C05" w:rsidRPr="00C45626">
        <w:rPr>
          <w:rFonts w:ascii="Palatino Linotype" w:eastAsia="MS Mincho" w:hAnsi="Palatino Linotype" w:cs="PalatinoLinotype-Roman"/>
        </w:rPr>
        <w:t xml:space="preserve">total </w:t>
      </w:r>
      <w:r w:rsidRPr="00C45626">
        <w:rPr>
          <w:rFonts w:ascii="Palatino Linotype" w:eastAsia="MS Mincho" w:hAnsi="Palatino Linotype" w:cs="PalatinoLinotype-Roman"/>
        </w:rPr>
        <w:t xml:space="preserve">de la información correspondiente con la fracción I del artículo 49 de la Ley de Protección de Datos Personales en Posesión de los Sujetos Obligados del Estado de México y Municipios, que se estima es de carácter público, respecto de los documentos de seguridad con que cuenta el </w:t>
      </w:r>
      <w:r w:rsidRPr="00C45626">
        <w:rPr>
          <w:rFonts w:ascii="Palatino Linotype" w:eastAsia="MS Mincho" w:hAnsi="Palatino Linotype" w:cs="PalatinoLinotype-Roman"/>
          <w:b/>
        </w:rPr>
        <w:t>SUJETO OBLIGADO</w:t>
      </w:r>
      <w:r w:rsidRPr="00C45626">
        <w:rPr>
          <w:rFonts w:ascii="Palatino Linotype" w:eastAsia="MS Mincho" w:hAnsi="Palatino Linotype" w:cs="PalatinoLinotype-Roman"/>
        </w:rPr>
        <w:t xml:space="preserve">; así como la subsistencia de las causales de confidencialidad de la información concerniente a la información relacionada y la relativa a las medidas de seguridad previstas en la fracción II del mismo precepto normativo, también de los documentos de seguridad con que cuente el </w:t>
      </w:r>
      <w:r w:rsidRPr="00C45626">
        <w:rPr>
          <w:rFonts w:ascii="Palatino Linotype" w:eastAsia="MS Mincho" w:hAnsi="Palatino Linotype" w:cs="PalatinoLinotype-Roman"/>
          <w:b/>
        </w:rPr>
        <w:t>SUJETO OBLIGADO</w:t>
      </w:r>
      <w:r w:rsidRPr="00C45626">
        <w:rPr>
          <w:rFonts w:ascii="Palatino Linotype" w:eastAsia="MS Mincho" w:hAnsi="Palatino Linotype" w:cs="PalatinoLinotype-Roman"/>
        </w:rPr>
        <w:t xml:space="preserve">, por lo que deberá </w:t>
      </w:r>
      <w:r w:rsidR="00EC7D6B" w:rsidRPr="00C45626">
        <w:rPr>
          <w:rFonts w:ascii="Palatino Linotype" w:eastAsia="MS Mincho" w:hAnsi="Palatino Linotype" w:cs="PalatinoLinotype-Roman"/>
        </w:rPr>
        <w:t>realizar entrega</w:t>
      </w:r>
      <w:r w:rsidR="00954D7C" w:rsidRPr="00C45626">
        <w:rPr>
          <w:rFonts w:ascii="Palatino Linotype" w:eastAsia="MS Mincho" w:hAnsi="Palatino Linotype" w:cs="PalatinoLinotype-Roman"/>
        </w:rPr>
        <w:t xml:space="preserve"> en versión pública</w:t>
      </w:r>
      <w:r w:rsidR="00EC7D6B" w:rsidRPr="00C45626">
        <w:rPr>
          <w:rFonts w:ascii="Palatino Linotype" w:eastAsia="MS Mincho" w:hAnsi="Palatino Linotype" w:cs="PalatinoLinotype-Roman"/>
        </w:rPr>
        <w:t xml:space="preserve"> de:</w:t>
      </w:r>
    </w:p>
    <w:p w14:paraId="3BB419E9" w14:textId="2E106263" w:rsidR="00CA4F44" w:rsidRPr="00C45626" w:rsidRDefault="00CA4F44" w:rsidP="00AA5C05">
      <w:pPr>
        <w:autoSpaceDE w:val="0"/>
        <w:autoSpaceDN w:val="0"/>
        <w:adjustRightInd w:val="0"/>
        <w:spacing w:line="360" w:lineRule="auto"/>
        <w:jc w:val="both"/>
        <w:rPr>
          <w:rFonts w:ascii="Palatino Linotype" w:eastAsia="MS Mincho" w:hAnsi="Palatino Linotype" w:cs="PalatinoLinotype-Roman"/>
        </w:rPr>
      </w:pPr>
    </w:p>
    <w:p w14:paraId="1EC8E580"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 xml:space="preserve">a) Las políticas de gestión y tratamiento de los datos personales. </w:t>
      </w:r>
    </w:p>
    <w:p w14:paraId="1C191CA5"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 xml:space="preserve">b)  Las funciones y obligaciones del personal involucrado en el tratamiento de datos personales; </w:t>
      </w:r>
    </w:p>
    <w:p w14:paraId="0A6CA1D0"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 xml:space="preserve">c) El inventario de datos personales y los sistemas de tratamiento; </w:t>
      </w:r>
    </w:p>
    <w:p w14:paraId="04886110"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 xml:space="preserve">d) Las medidas para el cumplimiento cotidiano de las políticas de gestión y tratamiento de los datos personales; </w:t>
      </w:r>
    </w:p>
    <w:p w14:paraId="7F0054A3"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e) Programa de capacitación de acuerdo al nivel, dependiendo de sus roles y responsabilidades respecto del tratamiento de los datos personales.</w:t>
      </w:r>
    </w:p>
    <w:p w14:paraId="4ABBE966"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 xml:space="preserve">f) Documento de seguridad de protección de datos personales. </w:t>
      </w:r>
    </w:p>
    <w:p w14:paraId="25F5D562"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g) Procedimientos de auditoría al sistema de gestión de protección de datos personales así como quien realiza dicho procedimiento</w:t>
      </w:r>
    </w:p>
    <w:p w14:paraId="6307D695" w14:textId="77777777" w:rsidR="007622C1" w:rsidRPr="00C45626" w:rsidRDefault="007622C1" w:rsidP="007622C1">
      <w:pPr>
        <w:spacing w:after="160" w:line="360" w:lineRule="auto"/>
        <w:ind w:left="567"/>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h) El</w:t>
      </w:r>
      <w:r w:rsidRPr="00C45626">
        <w:rPr>
          <w:rFonts w:ascii="Palatino Linotype" w:eastAsiaTheme="minorEastAsia" w:hAnsi="Palatino Linotype" w:cstheme="minorBidi"/>
          <w:b/>
          <w:bCs/>
          <w:lang w:val="es-ES_tradnl"/>
        </w:rPr>
        <w:t xml:space="preserve"> Acuerdo del Comité de Transparencia que clasifique como información confidencial: </w:t>
      </w:r>
      <w:r w:rsidRPr="00C45626">
        <w:rPr>
          <w:rFonts w:ascii="Palatino Linotype" w:eastAsia="Calibri" w:hAnsi="Palatino Linotype"/>
          <w:b/>
          <w:color w:val="000000"/>
          <w:lang w:val="es-MX" w:eastAsia="en-US"/>
        </w:rPr>
        <w:t xml:space="preserve">el procedimiento de análisis de riesgos, los resultados de los análisis de riesgo, los resultados de los análisis de brecha, el plan de trabajo para la implementación de las medidas de seguridad faltantes, el procedimiento o mecanismos de monitoreo periódico de las medidas de seguridad implementadas, las amenazas y vulneraciones a las que están sujetos los datos personales, los resultados de las auditorías al sistema de gestión de protección de datos personales. </w:t>
      </w:r>
    </w:p>
    <w:p w14:paraId="28D07127" w14:textId="77777777" w:rsidR="000028B3" w:rsidRPr="00C45626" w:rsidRDefault="000028B3" w:rsidP="000028B3">
      <w:pPr>
        <w:tabs>
          <w:tab w:val="left" w:pos="284"/>
          <w:tab w:val="left" w:pos="426"/>
        </w:tabs>
        <w:spacing w:before="240" w:after="240" w:line="360" w:lineRule="auto"/>
        <w:ind w:right="49"/>
        <w:contextualSpacing/>
        <w:jc w:val="both"/>
        <w:rPr>
          <w:rFonts w:ascii="Palatino Linotype" w:hAnsi="Palatino Linotype"/>
          <w:i/>
        </w:rPr>
      </w:pPr>
    </w:p>
    <w:p w14:paraId="2475EF13" w14:textId="2C012477" w:rsidR="00B14987" w:rsidRPr="00C45626" w:rsidRDefault="00464C89" w:rsidP="007D7513">
      <w:pPr>
        <w:keepNext/>
        <w:keepLines/>
        <w:spacing w:before="240" w:line="360" w:lineRule="auto"/>
        <w:outlineLvl w:val="0"/>
        <w:rPr>
          <w:rFonts w:ascii="Palatino Linotype" w:eastAsia="MS Mincho" w:hAnsi="Palatino Linotype"/>
          <w:b/>
          <w:lang w:val="es-ES_tradnl"/>
        </w:rPr>
      </w:pPr>
      <w:bookmarkStart w:id="59" w:name="_Toc84433126"/>
      <w:bookmarkStart w:id="60" w:name="_Toc105013154"/>
      <w:bookmarkStart w:id="61" w:name="_Toc34310247"/>
      <w:bookmarkStart w:id="62" w:name="_Toc34849558"/>
      <w:bookmarkStart w:id="63" w:name="_Toc53659481"/>
      <w:bookmarkStart w:id="64" w:name="_Toc67598514"/>
      <w:bookmarkStart w:id="65" w:name="_Toc69999203"/>
      <w:bookmarkStart w:id="66" w:name="_Toc73033012"/>
      <w:bookmarkStart w:id="67" w:name="_Toc466371865"/>
      <w:bookmarkStart w:id="68" w:name="_Toc466377653"/>
      <w:bookmarkEnd w:id="49"/>
      <w:bookmarkEnd w:id="50"/>
      <w:bookmarkEnd w:id="51"/>
      <w:bookmarkEnd w:id="52"/>
      <w:bookmarkEnd w:id="53"/>
      <w:r w:rsidRPr="00C45626">
        <w:rPr>
          <w:rFonts w:ascii="Palatino Linotype" w:eastAsia="MS Gothic" w:hAnsi="Palatino Linotype"/>
          <w:b/>
          <w:lang w:val="es-ES_tradnl" w:eastAsia="es-ES_tradnl"/>
        </w:rPr>
        <w:t xml:space="preserve">QUINTO. </w:t>
      </w:r>
      <w:r w:rsidRPr="00C45626">
        <w:rPr>
          <w:rFonts w:ascii="Palatino Linotype" w:eastAsia="MS Mincho" w:hAnsi="Palatino Linotype"/>
          <w:b/>
          <w:lang w:val="es-ES_tradnl"/>
        </w:rPr>
        <w:t>De la elaboración de la versión pública y el acuerdo de clasificación como información confidencial.</w:t>
      </w:r>
      <w:bookmarkEnd w:id="59"/>
      <w:bookmarkEnd w:id="60"/>
    </w:p>
    <w:p w14:paraId="6F81AC78" w14:textId="5E071E53" w:rsidR="00464C89" w:rsidRPr="00C45626" w:rsidRDefault="00464C89" w:rsidP="00CC364E">
      <w:pPr>
        <w:pStyle w:val="Prrafodelista"/>
        <w:numPr>
          <w:ilvl w:val="0"/>
          <w:numId w:val="8"/>
        </w:numPr>
        <w:spacing w:before="240" w:after="240" w:line="360" w:lineRule="auto"/>
        <w:ind w:left="0" w:hanging="11"/>
        <w:contextualSpacing/>
        <w:jc w:val="both"/>
        <w:rPr>
          <w:rFonts w:ascii="Palatino Linotype" w:hAnsi="Palatino Linotype" w:cs="Arial"/>
        </w:rPr>
      </w:pPr>
      <w:r w:rsidRPr="00C45626">
        <w:rPr>
          <w:rFonts w:ascii="Palatino Linotype" w:hAnsi="Palatino Linotype" w:cs="Arial"/>
          <w:color w:val="000000"/>
          <w:lang w:val="es-ES_tradnl"/>
        </w:rPr>
        <w:t xml:space="preserve"> Debe destacarse que debido a la naturaleza de </w:t>
      </w:r>
      <w:r w:rsidRPr="00C45626">
        <w:rPr>
          <w:rFonts w:ascii="Palatino Linotype" w:hAnsi="Palatino Linotype"/>
          <w:color w:val="000000"/>
          <w:lang w:val="es-ES_tradnl"/>
        </w:rPr>
        <w:t xml:space="preserve">la información solicitada, en la misma pudieran obrar datos personales o información reservada susceptibles de protegerse </w:t>
      </w:r>
      <w:r w:rsidRPr="00C45626">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CC26F07" w14:textId="77777777" w:rsidR="00464C89" w:rsidRPr="00C45626" w:rsidRDefault="00464C89" w:rsidP="007D7513">
      <w:pPr>
        <w:spacing w:before="240" w:after="240" w:line="360" w:lineRule="auto"/>
        <w:contextualSpacing/>
        <w:jc w:val="both"/>
        <w:rPr>
          <w:rFonts w:ascii="Palatino Linotype" w:hAnsi="Palatino Linotype" w:cs="Arial"/>
        </w:rPr>
      </w:pPr>
    </w:p>
    <w:p w14:paraId="2A2A4E10" w14:textId="77777777" w:rsidR="00464C89" w:rsidRPr="00C45626" w:rsidRDefault="00464C89" w:rsidP="00CC364E">
      <w:pPr>
        <w:numPr>
          <w:ilvl w:val="0"/>
          <w:numId w:val="8"/>
        </w:numPr>
        <w:spacing w:before="240" w:after="240" w:line="360" w:lineRule="auto"/>
        <w:ind w:left="0" w:hanging="11"/>
        <w:contextualSpacing/>
        <w:jc w:val="both"/>
        <w:rPr>
          <w:rFonts w:ascii="Palatino Linotype" w:hAnsi="Palatino Linotype" w:cs="Arial"/>
        </w:rPr>
      </w:pPr>
      <w:r w:rsidRPr="00C45626">
        <w:rPr>
          <w:rFonts w:ascii="Palatino Linotype" w:eastAsia="Calibri" w:hAnsi="Palatino Linotype" w:cs="Arial"/>
          <w:color w:val="000000"/>
          <w:lang w:eastAsia="es-MX"/>
        </w:rPr>
        <w:t xml:space="preserve">Es de señalar que, por lo que hace a las versiones públicas, el </w:t>
      </w:r>
      <w:r w:rsidRPr="00C45626">
        <w:rPr>
          <w:rFonts w:ascii="Palatino Linotype" w:eastAsia="Calibri" w:hAnsi="Palatino Linotype" w:cs="Arial"/>
          <w:b/>
          <w:color w:val="000000"/>
          <w:lang w:eastAsia="es-MX"/>
        </w:rPr>
        <w:t>SUJETO OBLIGADO</w:t>
      </w:r>
      <w:r w:rsidRPr="00C45626">
        <w:rPr>
          <w:rFonts w:ascii="Palatino Linotype" w:eastAsia="Calibri" w:hAnsi="Palatino Linotype" w:cs="Arial"/>
          <w:color w:val="000000"/>
          <w:lang w:eastAsia="es-MX"/>
        </w:rPr>
        <w:t xml:space="preserve"> debe cumplir con las formalidades exigidas en la Ley, por lo que </w:t>
      </w:r>
      <w:r w:rsidRPr="00C45626">
        <w:rPr>
          <w:rFonts w:ascii="Palatino Linotype" w:hAnsi="Palatino Linotype" w:cs="Arial"/>
          <w:color w:val="000000"/>
          <w:lang w:val="es-ES_tradnl" w:eastAsia="es-MX"/>
        </w:rPr>
        <w:t xml:space="preserve">para tal efecto emitirá el </w:t>
      </w:r>
      <w:r w:rsidRPr="00C45626">
        <w:rPr>
          <w:rFonts w:ascii="Palatino Linotype" w:eastAsia="Calibri" w:hAnsi="Palatino Linotype" w:cs="Arial"/>
          <w:color w:val="000000"/>
          <w:lang w:eastAsia="es-MX"/>
        </w:rPr>
        <w:t>Acuerdo del Comité de Transparencia en términos de los artículos 49 fracción</w:t>
      </w:r>
      <w:r w:rsidRPr="00C45626">
        <w:rPr>
          <w:rFonts w:ascii="Palatino Linotype" w:eastAsia="Calibri" w:hAnsi="Palatino Linotype" w:cs="Arial"/>
          <w:bCs/>
          <w:color w:val="000000"/>
          <w:lang w:val="es-ES_tradnl"/>
        </w:rPr>
        <w:t xml:space="preserve"> VIII,</w:t>
      </w:r>
      <w:r w:rsidRPr="00C45626">
        <w:rPr>
          <w:rFonts w:ascii="Palatino Linotype" w:eastAsia="Calibri" w:hAnsi="Palatino Linotype" w:cs="Arial"/>
          <w:color w:val="000000"/>
          <w:lang w:eastAsia="es-MX"/>
        </w:rPr>
        <w:t xml:space="preserve"> 122</w:t>
      </w:r>
      <w:r w:rsidRPr="00C45626">
        <w:rPr>
          <w:rFonts w:ascii="Palatino Linotype" w:hAnsi="Palatino Linotype"/>
          <w:vertAlign w:val="superscript"/>
          <w:lang w:eastAsia="es-MX"/>
        </w:rPr>
        <w:footnoteReference w:id="9"/>
      </w:r>
      <w:r w:rsidRPr="00C45626">
        <w:rPr>
          <w:rFonts w:ascii="Palatino Linotype" w:eastAsia="Calibri" w:hAnsi="Palatino Linotype" w:cs="Arial"/>
          <w:color w:val="000000"/>
          <w:lang w:eastAsia="es-MX"/>
        </w:rPr>
        <w:t>, 135</w:t>
      </w:r>
      <w:r w:rsidRPr="00C45626">
        <w:rPr>
          <w:rFonts w:ascii="Palatino Linotype" w:hAnsi="Palatino Linotype"/>
          <w:vertAlign w:val="superscript"/>
          <w:lang w:eastAsia="es-MX"/>
        </w:rPr>
        <w:footnoteReference w:id="10"/>
      </w:r>
      <w:r w:rsidRPr="00C45626">
        <w:rPr>
          <w:rFonts w:ascii="Palatino Linotype" w:eastAsia="Calibri" w:hAnsi="Palatino Linotype" w:cs="Arial"/>
          <w:color w:val="000000"/>
          <w:lang w:eastAsia="es-MX"/>
        </w:rPr>
        <w:t xml:space="preserve"> y 149 de la </w:t>
      </w:r>
      <w:r w:rsidRPr="00C45626">
        <w:rPr>
          <w:rFonts w:ascii="Palatino Linotype" w:eastAsia="Calibri" w:hAnsi="Palatino Linotype" w:cs="Arial"/>
          <w:b/>
          <w:color w:val="000000"/>
          <w:lang w:eastAsia="es-MX"/>
        </w:rPr>
        <w:t>Ley de Transparencia y Acceso a la Información Pública del Estado de México y Municipios</w:t>
      </w:r>
      <w:r w:rsidRPr="00C45626">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C45626" w:rsidRDefault="00464C89" w:rsidP="007D7513">
      <w:pPr>
        <w:spacing w:before="240" w:after="240" w:line="360" w:lineRule="auto"/>
        <w:contextualSpacing/>
        <w:jc w:val="both"/>
        <w:rPr>
          <w:rFonts w:ascii="Palatino Linotype" w:hAnsi="Palatino Linotype" w:cs="Arial"/>
        </w:rPr>
      </w:pPr>
    </w:p>
    <w:p w14:paraId="3B611EA5" w14:textId="77777777" w:rsidR="00464C89" w:rsidRPr="00C45626" w:rsidRDefault="00464C89" w:rsidP="00CC364E">
      <w:pPr>
        <w:keepNext/>
        <w:keepLines/>
        <w:numPr>
          <w:ilvl w:val="0"/>
          <w:numId w:val="7"/>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9" w:name="_Toc84433127"/>
      <w:bookmarkStart w:id="70" w:name="_Toc105013155"/>
      <w:r w:rsidRPr="00C45626">
        <w:rPr>
          <w:rFonts w:ascii="Palatino Linotype" w:eastAsiaTheme="majorEastAsia" w:hAnsi="Palatino Linotype" w:cstheme="majorBidi"/>
          <w:b/>
          <w:color w:val="000000" w:themeColor="text1"/>
          <w:lang w:val="es-ES_tradnl"/>
        </w:rPr>
        <w:t>De la clasificación de la información.</w:t>
      </w:r>
      <w:bookmarkEnd w:id="69"/>
      <w:bookmarkEnd w:id="70"/>
      <w:r w:rsidRPr="00C45626">
        <w:rPr>
          <w:rFonts w:ascii="Palatino Linotype" w:eastAsiaTheme="majorEastAsia" w:hAnsi="Palatino Linotype" w:cstheme="majorBidi"/>
          <w:b/>
          <w:color w:val="000000" w:themeColor="text1"/>
          <w:lang w:val="es-ES_tradnl"/>
        </w:rPr>
        <w:t xml:space="preserve"> </w:t>
      </w:r>
    </w:p>
    <w:p w14:paraId="17E1627B" w14:textId="77777777" w:rsidR="00464C89" w:rsidRPr="00C45626" w:rsidRDefault="00464C89" w:rsidP="007D7513">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C45626">
        <w:rPr>
          <w:rFonts w:ascii="Palatino Linotype" w:hAnsi="Palatino Linotype" w:cs="Arial"/>
          <w:color w:val="000000"/>
          <w:lang w:val="es-ES_tradnl"/>
        </w:rPr>
        <w:t>L</w:t>
      </w:r>
      <w:r w:rsidRPr="00C45626">
        <w:rPr>
          <w:rFonts w:ascii="Palatino Linotype" w:hAnsi="Palatino Linotype"/>
          <w:color w:val="000000"/>
          <w:lang w:val="es-ES_tradnl"/>
        </w:rPr>
        <w:t>a</w:t>
      </w:r>
      <w:r w:rsidRPr="00C45626">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45626">
        <w:rPr>
          <w:rFonts w:ascii="Palatino Linotype" w:hAnsi="Palatino Linotype"/>
          <w:vertAlign w:val="superscript"/>
          <w:lang w:val="es-ES_tradnl"/>
        </w:rPr>
        <w:footnoteReference w:id="11"/>
      </w:r>
      <w:r w:rsidRPr="00C45626">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45626">
        <w:rPr>
          <w:rFonts w:ascii="Palatino Linotype" w:hAnsi="Palatino Linotype"/>
          <w:vertAlign w:val="superscript"/>
          <w:lang w:val="es-ES_tradnl"/>
        </w:rPr>
        <w:footnoteReference w:id="12"/>
      </w:r>
      <w:r w:rsidRPr="00C45626">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DB6D72" w14:textId="77777777" w:rsidR="00464C89" w:rsidRPr="00C45626" w:rsidRDefault="00464C89" w:rsidP="007D7513">
      <w:pPr>
        <w:spacing w:before="240" w:after="240" w:line="360" w:lineRule="auto"/>
        <w:contextualSpacing/>
        <w:jc w:val="both"/>
        <w:rPr>
          <w:rFonts w:ascii="Palatino Linotype" w:hAnsi="Palatino Linotype" w:cs="Arial"/>
          <w:color w:val="000000"/>
          <w:lang w:val="es-ES_tradnl"/>
        </w:rPr>
      </w:pPr>
    </w:p>
    <w:p w14:paraId="27028F39" w14:textId="77777777" w:rsidR="00464C89" w:rsidRPr="00C45626" w:rsidRDefault="00464C89" w:rsidP="007D7513">
      <w:pPr>
        <w:keepNext/>
        <w:keepLines/>
        <w:spacing w:before="240" w:line="360" w:lineRule="auto"/>
        <w:outlineLvl w:val="0"/>
        <w:rPr>
          <w:rFonts w:ascii="Palatino Linotype" w:hAnsi="Palatino Linotype"/>
          <w:b/>
          <w:lang w:val="es-MX" w:eastAsia="en-US"/>
        </w:rPr>
      </w:pPr>
      <w:bookmarkStart w:id="71" w:name="_Toc105013156"/>
      <w:r w:rsidRPr="00C45626">
        <w:rPr>
          <w:rFonts w:ascii="Palatino Linotype" w:hAnsi="Palatino Linotype"/>
          <w:b/>
          <w:lang w:val="es-MX" w:eastAsia="en-US"/>
        </w:rPr>
        <w:t xml:space="preserve">II. </w:t>
      </w:r>
      <w:bookmarkStart w:id="72" w:name="_Toc5890461"/>
      <w:bookmarkStart w:id="73" w:name="_Toc50062187"/>
      <w:bookmarkStart w:id="74" w:name="_Toc63348478"/>
      <w:bookmarkStart w:id="75" w:name="_Toc67598515"/>
      <w:bookmarkStart w:id="76" w:name="_Toc69999204"/>
      <w:bookmarkStart w:id="77" w:name="_Toc73033013"/>
      <w:bookmarkStart w:id="78" w:name="_Toc84433128"/>
      <w:r w:rsidRPr="00C45626">
        <w:rPr>
          <w:rFonts w:ascii="Palatino Linotype" w:hAnsi="Palatino Linotype"/>
          <w:b/>
          <w:lang w:val="es-MX" w:eastAsia="en-US"/>
        </w:rPr>
        <w:t>Requisitos previos.</w:t>
      </w:r>
      <w:bookmarkEnd w:id="71"/>
      <w:bookmarkEnd w:id="72"/>
      <w:bookmarkEnd w:id="73"/>
      <w:bookmarkEnd w:id="74"/>
      <w:bookmarkEnd w:id="75"/>
      <w:bookmarkEnd w:id="76"/>
      <w:bookmarkEnd w:id="77"/>
      <w:bookmarkEnd w:id="78"/>
    </w:p>
    <w:p w14:paraId="304339A6" w14:textId="77777777" w:rsidR="001D6A83" w:rsidRPr="00C45626" w:rsidRDefault="001D6A83" w:rsidP="007D7513">
      <w:pPr>
        <w:keepNext/>
        <w:keepLines/>
        <w:spacing w:before="240" w:line="360" w:lineRule="auto"/>
        <w:outlineLvl w:val="0"/>
        <w:rPr>
          <w:rFonts w:ascii="Palatino Linotype" w:hAnsi="Palatino Linotype"/>
          <w:b/>
          <w:lang w:val="es-MX" w:eastAsia="en-US"/>
        </w:rPr>
      </w:pPr>
    </w:p>
    <w:p w14:paraId="283D4B42"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C45626">
        <w:rPr>
          <w:rFonts w:ascii="Palatino Linotype" w:hAnsi="Palatino Linotype"/>
          <w:lang w:val="es-ES_tradnl"/>
        </w:rPr>
        <w:t>Los</w:t>
      </w:r>
      <w:r w:rsidRPr="00C45626">
        <w:rPr>
          <w:rFonts w:ascii="Palatino Linotype" w:hAnsi="Palatino Linotype" w:cs="Arial"/>
          <w:color w:val="000000"/>
          <w:lang w:val="es-ES_tradnl"/>
        </w:rPr>
        <w:t xml:space="preserve"> </w:t>
      </w:r>
      <w:r w:rsidRPr="00C45626">
        <w:rPr>
          <w:rFonts w:ascii="Palatino Linotype" w:hAnsi="Palatino Linotype"/>
          <w:lang w:val="es-ES_tradnl"/>
        </w:rPr>
        <w:t>artículos</w:t>
      </w:r>
      <w:r w:rsidRPr="00C45626">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7CFCBD" w14:textId="77777777" w:rsidR="00464C89" w:rsidRPr="00C45626" w:rsidRDefault="00464C89" w:rsidP="007D7513">
      <w:pPr>
        <w:spacing w:before="240" w:after="240" w:line="360" w:lineRule="auto"/>
        <w:contextualSpacing/>
        <w:jc w:val="both"/>
        <w:rPr>
          <w:rFonts w:ascii="Palatino Linotype" w:hAnsi="Palatino Linotype" w:cs="Arial"/>
          <w:color w:val="000000"/>
          <w:lang w:val="es-ES_tradnl"/>
        </w:rPr>
      </w:pPr>
    </w:p>
    <w:p w14:paraId="1FF8CFBB"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C45626">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C45626" w:rsidRDefault="00464C89" w:rsidP="007D7513">
      <w:pPr>
        <w:spacing w:line="360" w:lineRule="auto"/>
        <w:ind w:left="708"/>
        <w:rPr>
          <w:rFonts w:ascii="Palatino Linotype" w:hAnsi="Palatino Linotype" w:cs="Arial"/>
          <w:color w:val="000000"/>
          <w:lang w:val="es-ES_tradnl"/>
        </w:rPr>
      </w:pPr>
    </w:p>
    <w:p w14:paraId="5ED72462" w14:textId="365988F4" w:rsidR="006A74E5"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C45626">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C45626">
        <w:rPr>
          <w:rFonts w:ascii="Palatino Linotype" w:hAnsi="Palatino Linotype" w:cs="Arial"/>
          <w:b/>
          <w:color w:val="000000"/>
          <w:lang w:val="es-ES_tradnl"/>
        </w:rPr>
        <w:t xml:space="preserve">no se puede hacer un acuerdo para clasificar de manera general todos los documentos de un expediente o área,  </w:t>
      </w:r>
      <w:r w:rsidRPr="00C45626">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3E7D421" w14:textId="77777777" w:rsidR="006A74E5" w:rsidRPr="00C45626" w:rsidRDefault="006A74E5" w:rsidP="007D7513">
      <w:pPr>
        <w:spacing w:before="240" w:after="240" w:line="360" w:lineRule="auto"/>
        <w:contextualSpacing/>
        <w:jc w:val="both"/>
        <w:rPr>
          <w:rFonts w:ascii="Palatino Linotype" w:hAnsi="Palatino Linotype" w:cs="Arial"/>
          <w:color w:val="000000"/>
          <w:lang w:val="es-ES_tradnl"/>
        </w:rPr>
      </w:pPr>
    </w:p>
    <w:p w14:paraId="5615F4F5" w14:textId="77777777" w:rsidR="00464C89" w:rsidRPr="00C45626" w:rsidRDefault="00464C89" w:rsidP="007D7513">
      <w:pPr>
        <w:keepNext/>
        <w:keepLines/>
        <w:spacing w:before="240" w:line="360" w:lineRule="auto"/>
        <w:outlineLvl w:val="0"/>
        <w:rPr>
          <w:rFonts w:ascii="Palatino Linotype" w:hAnsi="Palatino Linotype" w:cs="Arial"/>
          <w:color w:val="000000"/>
          <w:lang w:val="es-ES_tradnl"/>
        </w:rPr>
      </w:pPr>
      <w:bookmarkStart w:id="79" w:name="_Toc5890462"/>
      <w:bookmarkStart w:id="80" w:name="_Toc50062188"/>
      <w:bookmarkStart w:id="81" w:name="_Toc63348479"/>
      <w:bookmarkStart w:id="82" w:name="_Toc67598516"/>
      <w:bookmarkStart w:id="83" w:name="_Toc69999205"/>
      <w:bookmarkStart w:id="84" w:name="_Toc73033014"/>
      <w:bookmarkStart w:id="85" w:name="_Toc84433129"/>
      <w:bookmarkStart w:id="86" w:name="_Toc105013157"/>
      <w:r w:rsidRPr="00C45626">
        <w:rPr>
          <w:rFonts w:ascii="Palatino Linotype" w:hAnsi="Palatino Linotype"/>
          <w:b/>
          <w:lang w:val="es-MX" w:eastAsia="en-US"/>
        </w:rPr>
        <w:t>III</w:t>
      </w:r>
      <w:bookmarkStart w:id="87" w:name="_Toc5890463"/>
      <w:bookmarkStart w:id="88" w:name="_Toc50062189"/>
      <w:bookmarkStart w:id="89" w:name="_Toc63348480"/>
      <w:bookmarkStart w:id="90" w:name="_Toc67598517"/>
      <w:bookmarkStart w:id="91" w:name="_Toc69999206"/>
      <w:bookmarkStart w:id="92" w:name="_Toc73033015"/>
      <w:bookmarkEnd w:id="79"/>
      <w:bookmarkEnd w:id="80"/>
      <w:bookmarkEnd w:id="81"/>
      <w:bookmarkEnd w:id="82"/>
      <w:bookmarkEnd w:id="83"/>
      <w:bookmarkEnd w:id="84"/>
      <w:r w:rsidRPr="00C45626">
        <w:rPr>
          <w:rFonts w:ascii="Palatino Linotype" w:hAnsi="Palatino Linotype"/>
          <w:b/>
          <w:lang w:val="es-MX" w:eastAsia="en-US"/>
        </w:rPr>
        <w:t>. La intervención del comité de transparencia.</w:t>
      </w:r>
      <w:bookmarkEnd w:id="85"/>
      <w:bookmarkEnd w:id="86"/>
      <w:bookmarkEnd w:id="87"/>
      <w:bookmarkEnd w:id="88"/>
      <w:bookmarkEnd w:id="89"/>
      <w:bookmarkEnd w:id="90"/>
      <w:bookmarkEnd w:id="91"/>
      <w:bookmarkEnd w:id="92"/>
    </w:p>
    <w:p w14:paraId="23633B97" w14:textId="77777777" w:rsidR="00464C89" w:rsidRPr="00C45626" w:rsidRDefault="00464C89" w:rsidP="00CC364E">
      <w:pPr>
        <w:keepNext/>
        <w:keepLines/>
        <w:numPr>
          <w:ilvl w:val="0"/>
          <w:numId w:val="6"/>
        </w:numPr>
        <w:spacing w:before="240" w:after="160" w:line="360" w:lineRule="auto"/>
        <w:ind w:left="0" w:firstLine="0"/>
        <w:outlineLvl w:val="0"/>
        <w:rPr>
          <w:rFonts w:ascii="Palatino Linotype" w:hAnsi="Palatino Linotype"/>
          <w:b/>
          <w:lang w:val="es-MX" w:eastAsia="en-US"/>
        </w:rPr>
      </w:pPr>
      <w:bookmarkStart w:id="93" w:name="_Toc5890464"/>
      <w:bookmarkStart w:id="94" w:name="_Toc50062190"/>
      <w:bookmarkStart w:id="95" w:name="_Toc63348481"/>
      <w:bookmarkStart w:id="96" w:name="_Toc67598518"/>
      <w:bookmarkStart w:id="97" w:name="_Toc69999207"/>
      <w:bookmarkStart w:id="98" w:name="_Toc73033016"/>
      <w:bookmarkStart w:id="99" w:name="_Toc84433130"/>
      <w:bookmarkStart w:id="100" w:name="_Toc105013158"/>
      <w:r w:rsidRPr="00C45626">
        <w:rPr>
          <w:rFonts w:ascii="Palatino Linotype" w:hAnsi="Palatino Linotype"/>
          <w:b/>
          <w:lang w:val="es-MX" w:eastAsia="en-US"/>
        </w:rPr>
        <w:t>Formalidades para emitir el acuerdo de clasificación.</w:t>
      </w:r>
      <w:bookmarkEnd w:id="93"/>
      <w:bookmarkEnd w:id="94"/>
      <w:bookmarkEnd w:id="95"/>
      <w:bookmarkEnd w:id="96"/>
      <w:bookmarkEnd w:id="97"/>
      <w:bookmarkEnd w:id="98"/>
      <w:bookmarkEnd w:id="99"/>
      <w:bookmarkEnd w:id="100"/>
    </w:p>
    <w:p w14:paraId="30F1C881"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lang w:val="es-ES_tradnl" w:eastAsia="es-ES_tradnl"/>
        </w:rPr>
      </w:pPr>
      <w:r w:rsidRPr="00C45626">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C45626">
        <w:rPr>
          <w:rFonts w:ascii="Palatino Linotype" w:hAnsi="Palatino Linotype"/>
          <w:lang w:val="es-ES_tradnl"/>
        </w:rPr>
        <w:t xml:space="preserve">la fracción III del numeral Segundo de los </w:t>
      </w:r>
      <w:r w:rsidRPr="00C45626">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C45626">
        <w:rPr>
          <w:rFonts w:ascii="Palatino Linotype" w:hAnsi="Palatino Linotype"/>
          <w:lang w:val="es-ES_tradnl"/>
        </w:rPr>
        <w:t xml:space="preserve"> </w:t>
      </w:r>
      <w:r w:rsidRPr="00C45626">
        <w:rPr>
          <w:rFonts w:ascii="Palatino Linotype" w:hAnsi="Palatino Linotype" w:cs="Arial"/>
          <w:color w:val="000000"/>
          <w:lang w:val="es-ES_tradnl"/>
        </w:rPr>
        <w:t xml:space="preserve">cuenta con las facultades para </w:t>
      </w:r>
      <w:r w:rsidRPr="00C45626">
        <w:rPr>
          <w:rFonts w:ascii="Palatino Linotype" w:hAnsi="Palatino Linotype" w:cs="Arial"/>
          <w:b/>
          <w:color w:val="000000"/>
          <w:lang w:val="es-ES_tradnl"/>
        </w:rPr>
        <w:t>confirmar, modificar o revocar</w:t>
      </w:r>
      <w:r w:rsidRPr="00C45626">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C45626">
        <w:rPr>
          <w:rFonts w:ascii="Palatino Linotype" w:hAnsi="Palatino Linotype" w:cs="Arial"/>
          <w:b/>
          <w:color w:val="000000"/>
          <w:lang w:val="es-ES_tradnl"/>
        </w:rPr>
        <w:t>no aprueba</w:t>
      </w:r>
      <w:r w:rsidRPr="00C45626">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C45626" w:rsidRDefault="00464C89" w:rsidP="007D7513">
      <w:pPr>
        <w:spacing w:before="240" w:after="240" w:line="360" w:lineRule="auto"/>
        <w:contextualSpacing/>
        <w:jc w:val="both"/>
        <w:rPr>
          <w:rFonts w:ascii="Palatino Linotype" w:hAnsi="Palatino Linotype"/>
          <w:lang w:val="es-ES_tradnl" w:eastAsia="es-ES_tradnl"/>
        </w:rPr>
      </w:pPr>
    </w:p>
    <w:p w14:paraId="5F423611"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lang w:val="es-ES_tradnl" w:eastAsia="es-ES_tradnl"/>
        </w:rPr>
      </w:pPr>
      <w:r w:rsidRPr="00C45626">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C45626">
        <w:rPr>
          <w:rFonts w:ascii="Palatino Linotype" w:hAnsi="Palatino Linotype" w:cs="Arial"/>
          <w:b/>
          <w:color w:val="000000"/>
          <w:lang w:val="es-ES_tradnl"/>
        </w:rPr>
        <w:t>el acto reúna con los requisitos elementales</w:t>
      </w:r>
      <w:r w:rsidRPr="00C45626">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C45626" w:rsidRDefault="00464C89" w:rsidP="007D7513">
      <w:pPr>
        <w:spacing w:line="360" w:lineRule="auto"/>
        <w:ind w:left="708"/>
        <w:rPr>
          <w:rFonts w:ascii="Palatino Linotype" w:hAnsi="Palatino Linotype"/>
          <w:lang w:val="es-ES_tradnl"/>
        </w:rPr>
      </w:pPr>
    </w:p>
    <w:p w14:paraId="31C6068E"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lang w:val="es-ES_tradnl" w:eastAsia="es-ES_tradnl"/>
        </w:rPr>
      </w:pPr>
      <w:r w:rsidRPr="00C45626">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11FEFF" w14:textId="77777777" w:rsidR="001D6A83" w:rsidRPr="00C45626" w:rsidRDefault="001D6A83" w:rsidP="007D7513">
      <w:pPr>
        <w:spacing w:before="240" w:after="240" w:line="360" w:lineRule="auto"/>
        <w:contextualSpacing/>
        <w:jc w:val="both"/>
        <w:rPr>
          <w:rFonts w:ascii="Palatino Linotype" w:hAnsi="Palatino Linotype"/>
          <w:lang w:val="es-ES_tradnl" w:eastAsia="es-ES_tradnl"/>
        </w:rPr>
      </w:pPr>
    </w:p>
    <w:p w14:paraId="026B71F7" w14:textId="7D6BEBD5" w:rsidR="001D6A83" w:rsidRPr="00C45626" w:rsidRDefault="00464C89" w:rsidP="00CC364E">
      <w:pPr>
        <w:pStyle w:val="Prrafodelista"/>
        <w:keepNext/>
        <w:keepLines/>
        <w:numPr>
          <w:ilvl w:val="0"/>
          <w:numId w:val="6"/>
        </w:numPr>
        <w:spacing w:before="240" w:line="360" w:lineRule="auto"/>
        <w:ind w:left="142" w:hanging="142"/>
        <w:outlineLvl w:val="0"/>
        <w:rPr>
          <w:rFonts w:ascii="Palatino Linotype" w:hAnsi="Palatino Linotype"/>
          <w:b/>
          <w:lang w:val="es-MX" w:eastAsia="en-US"/>
        </w:rPr>
      </w:pPr>
      <w:bookmarkStart w:id="101" w:name="_Toc63348482"/>
      <w:bookmarkStart w:id="102" w:name="_Toc67598519"/>
      <w:bookmarkStart w:id="103" w:name="_Toc69999208"/>
      <w:bookmarkStart w:id="104" w:name="_Toc73033017"/>
      <w:bookmarkStart w:id="105" w:name="_Toc84433131"/>
      <w:bookmarkStart w:id="106" w:name="_Toc5890465"/>
      <w:bookmarkStart w:id="107" w:name="_Toc50062191"/>
      <w:bookmarkStart w:id="108" w:name="_Toc105013159"/>
      <w:r w:rsidRPr="00C45626">
        <w:rPr>
          <w:rFonts w:ascii="Palatino Linotype" w:hAnsi="Palatino Linotype"/>
          <w:b/>
          <w:lang w:val="es-MX" w:eastAsia="en-US"/>
        </w:rPr>
        <w:t>Requisitos de fondo del acuerdo de clasificación.</w:t>
      </w:r>
      <w:bookmarkEnd w:id="101"/>
      <w:bookmarkEnd w:id="102"/>
      <w:bookmarkEnd w:id="103"/>
      <w:bookmarkEnd w:id="104"/>
      <w:bookmarkEnd w:id="105"/>
      <w:bookmarkEnd w:id="106"/>
      <w:bookmarkEnd w:id="107"/>
      <w:bookmarkEnd w:id="108"/>
    </w:p>
    <w:p w14:paraId="45E4F634" w14:textId="1C9E15B1"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C45626">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DF6D29" w:rsidRPr="00C45626">
        <w:rPr>
          <w:rFonts w:ascii="Palatino Linotype" w:hAnsi="Palatino Linotype" w:cs="Arial"/>
          <w:color w:val="000000"/>
          <w:lang w:val="es-ES_tradnl"/>
        </w:rPr>
        <w:t>Generales, al</w:t>
      </w:r>
      <w:r w:rsidRPr="00C45626">
        <w:rPr>
          <w:rFonts w:ascii="Palatino Linotype" w:hAnsi="Palatino Linotype" w:cs="Arial"/>
          <w:color w:val="000000"/>
          <w:lang w:val="es-ES_tradnl"/>
        </w:rPr>
        <w:t xml:space="preserve"> señalar que la carga de la prueba, para justificar las restricciones, corresponde a los sujetos obligados, por lo que deberán fundar y motivar debidamente la clasificación. </w:t>
      </w:r>
    </w:p>
    <w:p w14:paraId="7BC60A12" w14:textId="77777777" w:rsidR="00464C89" w:rsidRPr="00C45626" w:rsidRDefault="00464C89" w:rsidP="007D7513">
      <w:pPr>
        <w:spacing w:before="240" w:after="240" w:line="360" w:lineRule="auto"/>
        <w:contextualSpacing/>
        <w:jc w:val="both"/>
        <w:rPr>
          <w:rFonts w:ascii="Palatino Linotype" w:hAnsi="Palatino Linotype" w:cs="Arial"/>
          <w:color w:val="000000"/>
          <w:lang w:val="es-ES_tradnl"/>
        </w:rPr>
      </w:pPr>
    </w:p>
    <w:p w14:paraId="777D44EE" w14:textId="2695AC9F"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C45626">
        <w:rPr>
          <w:rFonts w:ascii="Palatino Linotype" w:hAnsi="Palatino Linotype"/>
          <w:lang w:val="es-ES_tradnl"/>
        </w:rPr>
        <w:t xml:space="preserve">De lo anterior, se desprende </w:t>
      </w:r>
      <w:r w:rsidR="00DF6D29" w:rsidRPr="00C45626">
        <w:rPr>
          <w:rFonts w:ascii="Palatino Linotype" w:hAnsi="Palatino Linotype"/>
          <w:lang w:val="es-ES_tradnl"/>
        </w:rPr>
        <w:t>que,</w:t>
      </w:r>
      <w:r w:rsidRPr="00C45626">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BCA49FC" w14:textId="77777777" w:rsidR="00464C89" w:rsidRPr="00C45626" w:rsidRDefault="00464C89" w:rsidP="007D7513">
      <w:pPr>
        <w:spacing w:line="360" w:lineRule="auto"/>
        <w:ind w:left="708"/>
        <w:rPr>
          <w:rFonts w:ascii="Palatino Linotype" w:hAnsi="Palatino Linotype" w:cs="Arial"/>
          <w:color w:val="000000"/>
          <w:lang w:val="es-ES_tradnl"/>
        </w:rPr>
      </w:pPr>
    </w:p>
    <w:p w14:paraId="3A851533" w14:textId="77777777" w:rsidR="00464C89" w:rsidRPr="00C45626" w:rsidRDefault="00464C89" w:rsidP="007D7513">
      <w:pPr>
        <w:spacing w:before="240" w:after="240" w:line="360" w:lineRule="auto"/>
        <w:contextualSpacing/>
        <w:jc w:val="both"/>
        <w:rPr>
          <w:rFonts w:ascii="Palatino Linotype" w:hAnsi="Palatino Linotype" w:cs="Arial"/>
          <w:color w:val="000000"/>
          <w:lang w:val="es-ES_tradnl"/>
        </w:rPr>
      </w:pPr>
    </w:p>
    <w:p w14:paraId="1E8B1867"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C45626">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45626">
        <w:rPr>
          <w:rFonts w:ascii="Palatino Linotype" w:hAnsi="Palatino Linotype"/>
          <w:vertAlign w:val="superscript"/>
          <w:lang w:val="es-ES_tradnl"/>
        </w:rPr>
        <w:footnoteReference w:id="13"/>
      </w:r>
    </w:p>
    <w:p w14:paraId="5933D6D9" w14:textId="77777777" w:rsidR="00464C89" w:rsidRPr="00C45626" w:rsidRDefault="00464C89" w:rsidP="007D7513">
      <w:pPr>
        <w:spacing w:line="360" w:lineRule="auto"/>
        <w:ind w:left="708"/>
        <w:rPr>
          <w:rFonts w:ascii="Palatino Linotype" w:hAnsi="Palatino Linotype" w:cs="Arial"/>
          <w:color w:val="222222"/>
          <w:lang w:val="es-ES_tradnl" w:eastAsia="es-MX"/>
        </w:rPr>
      </w:pPr>
    </w:p>
    <w:p w14:paraId="34C61BD9"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C45626">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C45626" w:rsidRDefault="00464C89" w:rsidP="007D7513">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C45626" w:rsidRDefault="00464C89" w:rsidP="007D7513">
      <w:pPr>
        <w:spacing w:line="360" w:lineRule="auto"/>
        <w:ind w:left="851" w:right="618"/>
        <w:contextualSpacing/>
        <w:jc w:val="both"/>
        <w:rPr>
          <w:rFonts w:ascii="Palatino Linotype" w:hAnsi="Palatino Linotype" w:cs="Arial"/>
          <w:i/>
          <w:color w:val="000000"/>
          <w:lang w:val="es-ES_tradnl"/>
        </w:rPr>
      </w:pPr>
      <w:r w:rsidRPr="00C45626">
        <w:rPr>
          <w:rFonts w:ascii="Palatino Linotype" w:hAnsi="Palatino Linotype" w:cs="Arial"/>
          <w:b/>
          <w:i/>
          <w:color w:val="000000"/>
          <w:lang w:val="es-ES_tradnl"/>
        </w:rPr>
        <w:t>FUNDAMENTACIÓN Y MOTIVACIÓN.</w:t>
      </w:r>
      <w:r w:rsidRPr="00C45626">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C45626" w:rsidRDefault="00464C89" w:rsidP="007D7513">
      <w:pPr>
        <w:spacing w:line="360" w:lineRule="auto"/>
        <w:ind w:left="851" w:right="618"/>
        <w:contextualSpacing/>
        <w:jc w:val="both"/>
        <w:rPr>
          <w:rFonts w:ascii="Palatino Linotype" w:hAnsi="Palatino Linotype" w:cs="Arial"/>
          <w:i/>
          <w:color w:val="000000"/>
          <w:lang w:val="es-ES_tradnl"/>
        </w:rPr>
      </w:pPr>
      <w:r w:rsidRPr="00C45626">
        <w:rPr>
          <w:rFonts w:ascii="Palatino Linotype" w:hAnsi="Palatino Linotype" w:cs="Arial"/>
          <w:i/>
          <w:color w:val="000000"/>
          <w:lang w:val="es-ES_tradnl"/>
        </w:rPr>
        <w:t>SEGUNDO TRIBUNAL COLEGIADO DEL SEXTO CIRCUITO.</w:t>
      </w:r>
    </w:p>
    <w:p w14:paraId="2E31AA10" w14:textId="77777777" w:rsidR="00464C89" w:rsidRPr="00C45626" w:rsidRDefault="00464C89" w:rsidP="007D7513">
      <w:pPr>
        <w:spacing w:line="360" w:lineRule="auto"/>
        <w:ind w:left="851" w:right="618"/>
        <w:contextualSpacing/>
        <w:jc w:val="both"/>
        <w:rPr>
          <w:rFonts w:ascii="Palatino Linotype" w:hAnsi="Palatino Linotype" w:cs="Arial"/>
          <w:i/>
          <w:color w:val="000000"/>
          <w:lang w:val="es-ES_tradnl"/>
        </w:rPr>
      </w:pPr>
      <w:r w:rsidRPr="00C45626">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C45626" w:rsidRDefault="00464C89" w:rsidP="007D7513">
      <w:pPr>
        <w:spacing w:line="360" w:lineRule="auto"/>
        <w:ind w:left="851" w:right="618"/>
        <w:contextualSpacing/>
        <w:jc w:val="both"/>
        <w:rPr>
          <w:rFonts w:ascii="Palatino Linotype" w:hAnsi="Palatino Linotype" w:cs="Arial"/>
          <w:i/>
          <w:color w:val="000000"/>
          <w:lang w:val="es-ES_tradnl"/>
        </w:rPr>
      </w:pPr>
      <w:r w:rsidRPr="00C45626">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C45626" w:rsidRDefault="00464C89" w:rsidP="007D7513">
      <w:pPr>
        <w:spacing w:line="360" w:lineRule="auto"/>
        <w:ind w:left="851" w:right="618"/>
        <w:contextualSpacing/>
        <w:jc w:val="both"/>
        <w:rPr>
          <w:rFonts w:ascii="Palatino Linotype" w:hAnsi="Palatino Linotype" w:cs="Arial"/>
          <w:i/>
          <w:color w:val="000000"/>
          <w:lang w:val="es-ES_tradnl"/>
        </w:rPr>
      </w:pPr>
      <w:r w:rsidRPr="00C45626">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95D2D5C" w14:textId="77777777" w:rsidR="00464C89" w:rsidRPr="00C45626" w:rsidRDefault="00464C89" w:rsidP="007D7513">
      <w:pPr>
        <w:spacing w:line="360" w:lineRule="auto"/>
        <w:ind w:left="851" w:right="618"/>
        <w:contextualSpacing/>
        <w:jc w:val="both"/>
        <w:rPr>
          <w:rFonts w:ascii="Palatino Linotype" w:hAnsi="Palatino Linotype" w:cs="Arial"/>
          <w:i/>
          <w:color w:val="000000"/>
          <w:lang w:val="es-ES_tradnl"/>
        </w:rPr>
      </w:pPr>
      <w:r w:rsidRPr="00C45626">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C45626" w:rsidRDefault="00464C89" w:rsidP="007D7513">
      <w:pPr>
        <w:spacing w:line="360" w:lineRule="auto"/>
        <w:ind w:left="851" w:right="618"/>
        <w:contextualSpacing/>
        <w:jc w:val="both"/>
        <w:rPr>
          <w:rFonts w:ascii="Palatino Linotype" w:hAnsi="Palatino Linotype" w:cs="Arial"/>
          <w:i/>
          <w:color w:val="000000"/>
          <w:lang w:val="es-ES_tradnl"/>
        </w:rPr>
      </w:pPr>
      <w:r w:rsidRPr="00C45626">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C45626" w:rsidRDefault="00464C89" w:rsidP="007D7513">
      <w:pPr>
        <w:spacing w:line="360" w:lineRule="auto"/>
        <w:contextualSpacing/>
        <w:jc w:val="both"/>
        <w:rPr>
          <w:rFonts w:ascii="Palatino Linotype" w:hAnsi="Palatino Linotype" w:cs="Arial"/>
          <w:i/>
          <w:color w:val="000000"/>
          <w:lang w:val="es-ES_tradnl"/>
        </w:rPr>
      </w:pPr>
    </w:p>
    <w:p w14:paraId="4850C814"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C45626">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C45626" w:rsidRDefault="00464C89" w:rsidP="007D7513">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C45626">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C45626" w:rsidRDefault="00464C89" w:rsidP="007D7513">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C45626">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70F3507D" w14:textId="77777777" w:rsidR="00464C89" w:rsidRPr="00C45626" w:rsidRDefault="00464C89" w:rsidP="00A94E8D">
      <w:pPr>
        <w:spacing w:line="360" w:lineRule="auto"/>
        <w:rPr>
          <w:rFonts w:ascii="Palatino Linotype" w:hAnsi="Palatino Linotype" w:cs="Arial"/>
          <w:color w:val="222222"/>
          <w:lang w:val="es-ES_tradnl" w:eastAsia="es-MX"/>
        </w:rPr>
      </w:pPr>
    </w:p>
    <w:p w14:paraId="4163D0EF" w14:textId="77777777" w:rsidR="00464C89" w:rsidRPr="00C45626" w:rsidRDefault="00464C89" w:rsidP="00CC364E">
      <w:pPr>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C45626">
        <w:rPr>
          <w:rFonts w:ascii="Palatino Linotype" w:hAnsi="Palatino Linotype" w:cs="Arial"/>
          <w:color w:val="222222"/>
          <w:lang w:val="es-ES_tradnl" w:eastAsia="es-MX"/>
        </w:rPr>
        <w:t xml:space="preserve">Ahora bien, </w:t>
      </w:r>
      <w:r w:rsidRPr="00C45626">
        <w:rPr>
          <w:rFonts w:ascii="Palatino Linotype" w:hAnsi="Palatino Linotype" w:cs="Arial"/>
          <w:b/>
          <w:color w:val="222222"/>
          <w:lang w:val="es-ES_tradnl" w:eastAsia="es-MX"/>
        </w:rPr>
        <w:t>para cada caso además de fundar y motivar</w:t>
      </w:r>
      <w:r w:rsidRPr="00C45626">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C45626">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30D09B6" w14:textId="77777777" w:rsidR="005B54A5" w:rsidRPr="00C45626" w:rsidRDefault="005B54A5" w:rsidP="005B54A5">
      <w:pPr>
        <w:spacing w:before="240" w:after="240" w:line="360" w:lineRule="auto"/>
        <w:contextualSpacing/>
        <w:jc w:val="both"/>
        <w:rPr>
          <w:rFonts w:ascii="Palatino Linotype" w:eastAsia="Calibri" w:hAnsi="Palatino Linotype" w:cs="Arial"/>
          <w:lang w:eastAsia="es-MX"/>
        </w:rPr>
      </w:pPr>
    </w:p>
    <w:p w14:paraId="7C2B4AFA" w14:textId="77777777" w:rsidR="00E269F7" w:rsidRPr="00C45626" w:rsidRDefault="00E269F7" w:rsidP="005B54A5">
      <w:pPr>
        <w:spacing w:before="240" w:after="240" w:line="360" w:lineRule="auto"/>
        <w:contextualSpacing/>
        <w:jc w:val="both"/>
        <w:rPr>
          <w:rFonts w:ascii="Palatino Linotype" w:hAnsi="Palatino Linotype" w:cs="Arial"/>
          <w:color w:val="222222"/>
          <w:lang w:val="es-ES_tradnl" w:eastAsia="es-MX"/>
        </w:rPr>
      </w:pPr>
    </w:p>
    <w:p w14:paraId="66839595" w14:textId="183B9326" w:rsidR="00EA0165" w:rsidRPr="00C45626" w:rsidRDefault="003641B4" w:rsidP="007D7513">
      <w:pPr>
        <w:pStyle w:val="Ttulo1"/>
        <w:spacing w:line="360" w:lineRule="auto"/>
        <w:rPr>
          <w:rFonts w:ascii="Palatino Linotype" w:eastAsia="MS Mincho" w:hAnsi="Palatino Linotype"/>
          <w:b/>
          <w:color w:val="000000"/>
          <w:sz w:val="24"/>
          <w:szCs w:val="24"/>
          <w:lang w:val="es-ES_tradnl"/>
        </w:rPr>
      </w:pPr>
      <w:bookmarkStart w:id="109" w:name="_Toc105013160"/>
      <w:r w:rsidRPr="00C45626">
        <w:rPr>
          <w:rFonts w:ascii="Palatino Linotype" w:eastAsia="MS Gothic" w:hAnsi="Palatino Linotype"/>
          <w:b/>
          <w:color w:val="auto"/>
          <w:sz w:val="24"/>
          <w:szCs w:val="24"/>
          <w:lang w:val="es-ES_tradnl" w:eastAsia="es-ES_tradnl"/>
        </w:rPr>
        <w:t>SE</w:t>
      </w:r>
      <w:r w:rsidR="003E6F6D" w:rsidRPr="00C45626">
        <w:rPr>
          <w:rFonts w:ascii="Palatino Linotype" w:eastAsia="MS Gothic" w:hAnsi="Palatino Linotype"/>
          <w:b/>
          <w:color w:val="auto"/>
          <w:sz w:val="24"/>
          <w:szCs w:val="24"/>
          <w:lang w:val="es-ES_tradnl" w:eastAsia="es-ES_tradnl"/>
        </w:rPr>
        <w:t>XTO</w:t>
      </w:r>
      <w:r w:rsidR="00A52589" w:rsidRPr="00C45626">
        <w:rPr>
          <w:rFonts w:ascii="Palatino Linotype" w:eastAsia="MS Gothic" w:hAnsi="Palatino Linotype"/>
          <w:b/>
          <w:color w:val="auto"/>
          <w:sz w:val="24"/>
          <w:szCs w:val="24"/>
          <w:lang w:val="es-ES_tradnl" w:eastAsia="es-ES_tradnl"/>
        </w:rPr>
        <w:t>.</w:t>
      </w:r>
      <w:r w:rsidR="008F1049" w:rsidRPr="00C45626">
        <w:rPr>
          <w:rFonts w:ascii="Palatino Linotype" w:eastAsia="MS Gothic" w:hAnsi="Palatino Linotype"/>
          <w:b/>
          <w:color w:val="auto"/>
          <w:sz w:val="24"/>
          <w:szCs w:val="24"/>
          <w:lang w:val="es-ES_tradnl" w:eastAsia="es-ES_tradnl"/>
        </w:rPr>
        <w:t xml:space="preserve"> </w:t>
      </w:r>
      <w:bookmarkStart w:id="110" w:name="_Toc67588008"/>
      <w:bookmarkStart w:id="111" w:name="_Toc68804770"/>
      <w:bookmarkEnd w:id="61"/>
      <w:bookmarkEnd w:id="62"/>
      <w:bookmarkEnd w:id="63"/>
      <w:bookmarkEnd w:id="64"/>
      <w:bookmarkEnd w:id="65"/>
      <w:bookmarkEnd w:id="66"/>
      <w:r w:rsidR="00EA0165" w:rsidRPr="00C45626">
        <w:rPr>
          <w:rFonts w:ascii="Palatino Linotype" w:eastAsia="MS Mincho" w:hAnsi="Palatino Linotype"/>
          <w:b/>
          <w:color w:val="000000"/>
          <w:sz w:val="24"/>
          <w:szCs w:val="24"/>
          <w:lang w:val="es-ES_tradnl"/>
        </w:rPr>
        <w:t>De la decisión.</w:t>
      </w:r>
      <w:bookmarkEnd w:id="109"/>
      <w:bookmarkEnd w:id="110"/>
      <w:bookmarkEnd w:id="111"/>
      <w:r w:rsidR="00EA0165" w:rsidRPr="00C45626">
        <w:rPr>
          <w:rFonts w:ascii="Palatino Linotype" w:eastAsia="MS Mincho" w:hAnsi="Palatino Linotype"/>
          <w:b/>
          <w:color w:val="000000"/>
          <w:sz w:val="24"/>
          <w:szCs w:val="24"/>
          <w:lang w:val="es-ES_tradnl"/>
        </w:rPr>
        <w:t xml:space="preserve"> </w:t>
      </w:r>
    </w:p>
    <w:p w14:paraId="673B635B" w14:textId="15AB935C" w:rsidR="002C1824" w:rsidRPr="00C45626" w:rsidRDefault="002C1824" w:rsidP="002C1824">
      <w:pPr>
        <w:rPr>
          <w:rFonts w:eastAsia="MS Mincho"/>
          <w:lang w:val="es-ES_tradnl"/>
        </w:rPr>
      </w:pPr>
    </w:p>
    <w:p w14:paraId="74EA7B37" w14:textId="187ACAA4" w:rsidR="000200EF" w:rsidRPr="00C45626" w:rsidRDefault="00EA0165" w:rsidP="00CC364E">
      <w:pPr>
        <w:pStyle w:val="Prrafodelista"/>
        <w:numPr>
          <w:ilvl w:val="0"/>
          <w:numId w:val="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C45626">
        <w:rPr>
          <w:rFonts w:ascii="Palatino Linotype" w:hAnsi="Palatino Linotype" w:cs="Tahoma"/>
          <w:lang w:val="es-MX"/>
        </w:rPr>
        <w:t>Con base en todo lo expuesto, y con fundamento en el artículo 186, fracción II</w:t>
      </w:r>
      <w:r w:rsidR="002F750C" w:rsidRPr="00C45626">
        <w:rPr>
          <w:rFonts w:ascii="Palatino Linotype" w:hAnsi="Palatino Linotype" w:cs="Tahoma"/>
          <w:lang w:val="es-MX"/>
        </w:rPr>
        <w:t>I</w:t>
      </w:r>
      <w:r w:rsidRPr="00C45626">
        <w:rPr>
          <w:rFonts w:ascii="Palatino Linotype" w:hAnsi="Palatino Linotype" w:cs="Tahoma"/>
          <w:lang w:val="es-MX"/>
        </w:rPr>
        <w:t>, de la Ley de Transparencia y Acceso a la Información Pública del Estado de México y Municipios, este Instituto considera procedente</w:t>
      </w:r>
      <w:r w:rsidRPr="00C45626">
        <w:rPr>
          <w:rFonts w:ascii="Palatino Linotype" w:hAnsi="Palatino Linotype" w:cs="Tahoma"/>
          <w:b/>
          <w:lang w:val="es-MX"/>
        </w:rPr>
        <w:t xml:space="preserve"> </w:t>
      </w:r>
      <w:r w:rsidR="009F6E82" w:rsidRPr="00C45626">
        <w:rPr>
          <w:rFonts w:ascii="Palatino Linotype" w:hAnsi="Palatino Linotype" w:cs="Tahoma"/>
          <w:b/>
          <w:lang w:val="es-MX"/>
        </w:rPr>
        <w:t>MODIFICAR</w:t>
      </w:r>
      <w:r w:rsidR="0049105B" w:rsidRPr="00C45626">
        <w:rPr>
          <w:rFonts w:ascii="Palatino Linotype" w:hAnsi="Palatino Linotype" w:cs="Tahoma"/>
          <w:b/>
          <w:lang w:val="es-MX"/>
        </w:rPr>
        <w:t xml:space="preserve"> </w:t>
      </w:r>
      <w:r w:rsidR="0049105B" w:rsidRPr="00C45626">
        <w:rPr>
          <w:rFonts w:ascii="Palatino Linotype" w:hAnsi="Palatino Linotype" w:cs="Tahoma"/>
          <w:lang w:val="es-MX"/>
        </w:rPr>
        <w:t>la respuesta otorgada por la</w:t>
      </w:r>
      <w:r w:rsidR="000200EF" w:rsidRPr="00C45626">
        <w:rPr>
          <w:rFonts w:ascii="Palatino Linotype" w:hAnsi="Palatino Linotype"/>
          <w:b/>
          <w:lang w:val="es-ES_tradnl"/>
        </w:rPr>
        <w:t xml:space="preserve"> </w:t>
      </w:r>
      <w:r w:rsidR="00617FEB" w:rsidRPr="00C45626">
        <w:rPr>
          <w:rFonts w:ascii="Palatino Linotype" w:hAnsi="Palatino Linotype"/>
          <w:b/>
          <w:lang w:val="es-ES_tradnl"/>
        </w:rPr>
        <w:t xml:space="preserve">Tribunal de Justicia Administrativa del Estado de México </w:t>
      </w:r>
      <w:r w:rsidR="007F4FC6" w:rsidRPr="00C45626">
        <w:rPr>
          <w:rFonts w:ascii="Palatino Linotype" w:eastAsia="MS Mincho" w:hAnsi="Palatino Linotype"/>
          <w:lang w:val="es-ES_tradnl"/>
        </w:rPr>
        <w:t xml:space="preserve">y ordenar </w:t>
      </w:r>
      <w:r w:rsidR="00B14987" w:rsidRPr="00C45626">
        <w:rPr>
          <w:rFonts w:ascii="Palatino Linotype" w:eastAsia="MS Mincho" w:hAnsi="Palatino Linotype"/>
          <w:lang w:val="es-ES_tradnl"/>
        </w:rPr>
        <w:t xml:space="preserve">previa búsqueda exhaustiva, </w:t>
      </w:r>
      <w:r w:rsidR="007F4FC6" w:rsidRPr="00C45626">
        <w:rPr>
          <w:rFonts w:ascii="Palatino Linotype" w:eastAsia="MS Mincho" w:hAnsi="Palatino Linotype"/>
          <w:lang w:val="es-ES_tradnl"/>
        </w:rPr>
        <w:t xml:space="preserve">la entrega </w:t>
      </w:r>
      <w:r w:rsidR="00B14987" w:rsidRPr="00C45626">
        <w:rPr>
          <w:rFonts w:ascii="Palatino Linotype" w:eastAsia="MS Mincho" w:hAnsi="Palatino Linotype"/>
          <w:lang w:val="es-ES_tradnl"/>
        </w:rPr>
        <w:t xml:space="preserve">de la información solicitada. </w:t>
      </w:r>
    </w:p>
    <w:p w14:paraId="011B21BC" w14:textId="4F197426" w:rsidR="002C1824" w:rsidRPr="00C45626" w:rsidRDefault="00EA0165" w:rsidP="00CC364E">
      <w:pPr>
        <w:pStyle w:val="Prrafodelista"/>
        <w:numPr>
          <w:ilvl w:val="0"/>
          <w:numId w:val="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C45626">
        <w:rPr>
          <w:rFonts w:ascii="Palatino Linotype" w:eastAsia="MS Mincho" w:hAnsi="Palatino Linotype"/>
          <w:color w:val="000000"/>
        </w:rPr>
        <w:t xml:space="preserve">Por lo anteriormente expuesto y fundado, este </w:t>
      </w:r>
      <w:r w:rsidRPr="00C45626">
        <w:rPr>
          <w:rFonts w:ascii="Palatino Linotype" w:eastAsia="MS Mincho" w:hAnsi="Palatino Linotype"/>
          <w:b/>
          <w:bCs/>
          <w:color w:val="000000"/>
        </w:rPr>
        <w:t>ÓRGANO GARANTE</w:t>
      </w:r>
      <w:r w:rsidRPr="00C45626">
        <w:rPr>
          <w:rFonts w:ascii="Palatino Linotype" w:eastAsia="MS Mincho" w:hAnsi="Palatino Linotype"/>
          <w:color w:val="000000"/>
        </w:rPr>
        <w:t xml:space="preserve"> emite los siguientes:</w:t>
      </w:r>
      <w:bookmarkStart w:id="112" w:name="_Toc495427547"/>
      <w:bookmarkStart w:id="113" w:name="_Toc497905366"/>
    </w:p>
    <w:p w14:paraId="364F838A" w14:textId="0C22A33F" w:rsidR="002F750C" w:rsidRPr="00C45626" w:rsidRDefault="00EA0165" w:rsidP="007D7513">
      <w:pPr>
        <w:pStyle w:val="Ttulo1"/>
        <w:spacing w:line="360" w:lineRule="auto"/>
        <w:jc w:val="center"/>
        <w:rPr>
          <w:rFonts w:ascii="Palatino Linotype" w:hAnsi="Palatino Linotype"/>
          <w:b/>
          <w:color w:val="000000" w:themeColor="text1"/>
          <w:sz w:val="24"/>
          <w:szCs w:val="24"/>
          <w:lang w:val="pt-BR"/>
        </w:rPr>
      </w:pPr>
      <w:bookmarkStart w:id="114" w:name="_Toc105013161"/>
      <w:r w:rsidRPr="00C45626">
        <w:rPr>
          <w:rFonts w:ascii="Palatino Linotype" w:hAnsi="Palatino Linotype"/>
          <w:b/>
          <w:color w:val="000000" w:themeColor="text1"/>
          <w:sz w:val="24"/>
          <w:szCs w:val="24"/>
          <w:lang w:val="pt-BR"/>
        </w:rPr>
        <w:t>R E S O L U T I V O S</w:t>
      </w:r>
      <w:bookmarkEnd w:id="67"/>
      <w:bookmarkEnd w:id="68"/>
      <w:bookmarkEnd w:id="112"/>
      <w:bookmarkEnd w:id="113"/>
      <w:bookmarkEnd w:id="114"/>
    </w:p>
    <w:p w14:paraId="7434775D" w14:textId="77777777" w:rsidR="00985D90" w:rsidRPr="00C45626" w:rsidRDefault="00985D90" w:rsidP="007D7513">
      <w:pPr>
        <w:spacing w:line="360" w:lineRule="auto"/>
        <w:rPr>
          <w:rFonts w:ascii="Palatino Linotype" w:eastAsiaTheme="minorEastAsia" w:hAnsi="Palatino Linotype"/>
          <w:lang w:val="pt-BR"/>
        </w:rPr>
      </w:pPr>
    </w:p>
    <w:p w14:paraId="69D049B8" w14:textId="06E435CB" w:rsidR="00F85D73" w:rsidRPr="00C45626" w:rsidRDefault="002F750C" w:rsidP="007D7513">
      <w:pPr>
        <w:spacing w:line="360" w:lineRule="auto"/>
        <w:jc w:val="both"/>
        <w:rPr>
          <w:rFonts w:ascii="Palatino Linotype" w:eastAsiaTheme="minorEastAsia" w:hAnsi="Palatino Linotype" w:cs="Arial"/>
          <w:bCs/>
          <w:lang w:val="es-ES_tradnl"/>
        </w:rPr>
      </w:pPr>
      <w:r w:rsidRPr="00C45626">
        <w:rPr>
          <w:rFonts w:ascii="Palatino Linotype" w:hAnsi="Palatino Linotype" w:cs="Arial"/>
          <w:b/>
          <w:lang w:val="es-ES_tradnl"/>
        </w:rPr>
        <w:t xml:space="preserve">PRIMERO. </w:t>
      </w:r>
      <w:r w:rsidRPr="00C45626">
        <w:rPr>
          <w:rFonts w:ascii="Palatino Linotype" w:hAnsi="Palatino Linotype" w:cs="Arial"/>
          <w:lang w:val="es-ES_tradnl"/>
        </w:rPr>
        <w:t>Resultan</w:t>
      </w:r>
      <w:r w:rsidR="00B14987" w:rsidRPr="00C45626">
        <w:rPr>
          <w:rFonts w:ascii="Palatino Linotype" w:hAnsi="Palatino Linotype" w:cs="Arial"/>
          <w:lang w:val="es-ES_tradnl"/>
        </w:rPr>
        <w:t xml:space="preserve"> </w:t>
      </w:r>
      <w:r w:rsidR="00617FEB" w:rsidRPr="00C45626">
        <w:rPr>
          <w:rFonts w:ascii="Palatino Linotype" w:hAnsi="Palatino Linotype" w:cs="Arial"/>
          <w:lang w:val="es-ES_tradnl"/>
        </w:rPr>
        <w:t xml:space="preserve">parcialmente </w:t>
      </w:r>
      <w:r w:rsidRPr="00C45626">
        <w:rPr>
          <w:rFonts w:ascii="Palatino Linotype" w:hAnsi="Palatino Linotype" w:cs="Arial"/>
          <w:lang w:val="es-ES_tradnl"/>
        </w:rPr>
        <w:t>fundadas las</w:t>
      </w:r>
      <w:r w:rsidRPr="00C45626">
        <w:rPr>
          <w:rFonts w:ascii="Palatino Linotype" w:hAnsi="Palatino Linotype" w:cs="Arial"/>
          <w:b/>
          <w:lang w:val="es-ES_tradnl"/>
        </w:rPr>
        <w:t xml:space="preserve"> </w:t>
      </w:r>
      <w:r w:rsidRPr="00C45626">
        <w:rPr>
          <w:rFonts w:ascii="Palatino Linotype" w:hAnsi="Palatino Linotype" w:cs="Arial"/>
          <w:lang w:val="es-ES_tradnl"/>
        </w:rPr>
        <w:t xml:space="preserve">razones y motivos de inconformidad hechos valer </w:t>
      </w:r>
      <w:r w:rsidRPr="00C45626">
        <w:rPr>
          <w:rFonts w:ascii="Palatino Linotype" w:eastAsia="Calibri" w:hAnsi="Palatino Linotype" w:cs="Arial"/>
          <w:lang w:val="es-ES_tradnl"/>
        </w:rPr>
        <w:t>en el recurso de revisión</w:t>
      </w:r>
      <w:r w:rsidR="00617FEB" w:rsidRPr="00C45626">
        <w:rPr>
          <w:rFonts w:ascii="Palatino Linotype" w:eastAsia="Calibri" w:hAnsi="Palatino Linotype" w:cs="Arial"/>
          <w:lang w:val="es-ES_tradnl"/>
        </w:rPr>
        <w:t xml:space="preserve"> </w:t>
      </w:r>
      <w:r w:rsidR="005B54A5" w:rsidRPr="00C45626">
        <w:rPr>
          <w:rFonts w:ascii="Palatino Linotype" w:eastAsia="Calibri" w:hAnsi="Palatino Linotype" w:cs="Arial"/>
          <w:b/>
          <w:lang w:val="es-ES_tradnl"/>
        </w:rPr>
        <w:t>04813</w:t>
      </w:r>
      <w:r w:rsidR="00617FEB" w:rsidRPr="00C45626">
        <w:rPr>
          <w:rFonts w:ascii="Palatino Linotype" w:eastAsia="Calibri" w:hAnsi="Palatino Linotype" w:cs="Arial"/>
          <w:b/>
          <w:lang w:val="es-ES_tradnl"/>
        </w:rPr>
        <w:t>/INFOEM/IP/RR/2021</w:t>
      </w:r>
      <w:r w:rsidRPr="00C45626">
        <w:rPr>
          <w:rFonts w:ascii="Palatino Linotype" w:eastAsiaTheme="minorEastAsia" w:hAnsi="Palatino Linotype" w:cs="Arial"/>
          <w:b/>
          <w:bCs/>
          <w:lang w:val="es-ES_tradnl"/>
        </w:rPr>
        <w:t xml:space="preserve">, </w:t>
      </w:r>
      <w:r w:rsidR="00B95CDD" w:rsidRPr="00C45626">
        <w:rPr>
          <w:rFonts w:ascii="Palatino Linotype" w:eastAsiaTheme="minorEastAsia" w:hAnsi="Palatino Linotype" w:cs="Arial"/>
          <w:bCs/>
          <w:lang w:val="es-ES_tradnl"/>
        </w:rPr>
        <w:t>en términos del</w:t>
      </w:r>
      <w:r w:rsidR="0077107A" w:rsidRPr="00C45626">
        <w:rPr>
          <w:rFonts w:ascii="Palatino Linotype" w:eastAsiaTheme="minorEastAsia" w:hAnsi="Palatino Linotype" w:cs="Arial"/>
          <w:bCs/>
          <w:lang w:val="es-ES_tradnl"/>
        </w:rPr>
        <w:t xml:space="preserve"> </w:t>
      </w:r>
      <w:r w:rsidRPr="00C45626">
        <w:rPr>
          <w:rFonts w:ascii="Palatino Linotype" w:eastAsiaTheme="minorEastAsia" w:hAnsi="Palatino Linotype" w:cs="Arial"/>
          <w:b/>
          <w:bCs/>
          <w:lang w:val="es-ES_tradnl"/>
        </w:rPr>
        <w:t>Considerando</w:t>
      </w:r>
      <w:r w:rsidR="00F86921" w:rsidRPr="00C45626">
        <w:rPr>
          <w:rFonts w:ascii="Palatino Linotype" w:eastAsiaTheme="minorEastAsia" w:hAnsi="Palatino Linotype" w:cs="Arial"/>
          <w:b/>
          <w:bCs/>
          <w:lang w:val="es-ES_tradnl"/>
        </w:rPr>
        <w:t>s</w:t>
      </w:r>
      <w:r w:rsidRPr="00C45626">
        <w:rPr>
          <w:rFonts w:ascii="Palatino Linotype" w:eastAsiaTheme="minorEastAsia" w:hAnsi="Palatino Linotype" w:cs="Arial"/>
          <w:bCs/>
          <w:lang w:val="es-ES_tradnl"/>
        </w:rPr>
        <w:t xml:space="preserve"> </w:t>
      </w:r>
      <w:r w:rsidR="00B95CDD" w:rsidRPr="00C45626">
        <w:rPr>
          <w:rFonts w:ascii="Palatino Linotype" w:eastAsiaTheme="minorEastAsia" w:hAnsi="Palatino Linotype" w:cs="Arial"/>
          <w:b/>
          <w:bCs/>
          <w:lang w:val="es-ES_tradnl"/>
        </w:rPr>
        <w:t>CUARTO</w:t>
      </w:r>
      <w:r w:rsidR="00F86921" w:rsidRPr="00C45626">
        <w:rPr>
          <w:rFonts w:ascii="Palatino Linotype" w:eastAsiaTheme="minorEastAsia" w:hAnsi="Palatino Linotype" w:cs="Arial"/>
          <w:b/>
          <w:bCs/>
          <w:lang w:val="es-ES_tradnl"/>
        </w:rPr>
        <w:t xml:space="preserve"> y QUINTO</w:t>
      </w:r>
      <w:r w:rsidRPr="00C45626">
        <w:rPr>
          <w:rFonts w:ascii="Palatino Linotype" w:eastAsiaTheme="minorEastAsia" w:hAnsi="Palatino Linotype" w:cs="Arial"/>
          <w:b/>
          <w:bCs/>
          <w:lang w:val="es-ES_tradnl"/>
        </w:rPr>
        <w:t xml:space="preserve"> </w:t>
      </w:r>
      <w:r w:rsidRPr="00C45626">
        <w:rPr>
          <w:rFonts w:ascii="Palatino Linotype" w:eastAsiaTheme="minorEastAsia" w:hAnsi="Palatino Linotype" w:cs="Arial"/>
          <w:bCs/>
          <w:lang w:val="es-ES_tradnl"/>
        </w:rPr>
        <w:t>de la presente resolución.</w:t>
      </w:r>
    </w:p>
    <w:p w14:paraId="4F573C02" w14:textId="6ADF788A" w:rsidR="00B74573" w:rsidRPr="00C45626" w:rsidRDefault="00985D90" w:rsidP="007D7513">
      <w:pPr>
        <w:spacing w:before="240" w:line="360" w:lineRule="auto"/>
        <w:jc w:val="both"/>
        <w:rPr>
          <w:rFonts w:ascii="Palatino Linotype" w:eastAsia="MS Mincho" w:hAnsi="Palatino Linotype" w:cs="Arial"/>
          <w:lang w:val="es-MX"/>
        </w:rPr>
      </w:pPr>
      <w:bookmarkStart w:id="115" w:name="_Toc477891768"/>
      <w:bookmarkStart w:id="116" w:name="_Toc477891858"/>
      <w:bookmarkStart w:id="117" w:name="_Toc481576259"/>
      <w:bookmarkStart w:id="118" w:name="_Toc492590391"/>
      <w:bookmarkStart w:id="119" w:name="_Toc462653937"/>
      <w:bookmarkStart w:id="120" w:name="_Toc453696502"/>
      <w:bookmarkStart w:id="121" w:name="_Toc454301155"/>
      <w:r w:rsidRPr="00C45626">
        <w:rPr>
          <w:rFonts w:ascii="Palatino Linotype" w:eastAsiaTheme="minorEastAsia" w:hAnsi="Palatino Linotype" w:cstheme="minorBidi"/>
          <w:b/>
          <w:lang w:val="es-ES_tradnl"/>
        </w:rPr>
        <w:t>SEGUNDO.</w:t>
      </w:r>
      <w:r w:rsidRPr="00C45626">
        <w:rPr>
          <w:rFonts w:ascii="Palatino Linotype" w:eastAsiaTheme="majorEastAsia" w:hAnsi="Palatino Linotype" w:cstheme="majorBidi"/>
          <w:b/>
          <w:color w:val="365F91" w:themeColor="accent1" w:themeShade="BF"/>
          <w:lang w:val="es-MX" w:eastAsia="en-US"/>
        </w:rPr>
        <w:t xml:space="preserve"> </w:t>
      </w:r>
      <w:bookmarkEnd w:id="115"/>
      <w:bookmarkEnd w:id="116"/>
      <w:bookmarkEnd w:id="117"/>
      <w:bookmarkEnd w:id="118"/>
      <w:bookmarkEnd w:id="119"/>
      <w:bookmarkEnd w:id="120"/>
      <w:bookmarkEnd w:id="121"/>
      <w:r w:rsidRPr="00C45626">
        <w:rPr>
          <w:rFonts w:ascii="Palatino Linotype" w:eastAsia="Calibri" w:hAnsi="Palatino Linotype" w:cs="Arial"/>
          <w:lang w:val="es-ES_tradnl"/>
        </w:rPr>
        <w:t>Se</w:t>
      </w:r>
      <w:r w:rsidR="00B95CDD" w:rsidRPr="00C45626">
        <w:rPr>
          <w:rFonts w:ascii="Palatino Linotype" w:eastAsia="Calibri" w:hAnsi="Palatino Linotype" w:cs="Arial"/>
          <w:b/>
          <w:lang w:val="es-ES_tradnl"/>
        </w:rPr>
        <w:t xml:space="preserve"> MODIFICA</w:t>
      </w:r>
      <w:r w:rsidR="009015DD" w:rsidRPr="00C45626">
        <w:rPr>
          <w:rFonts w:ascii="Palatino Linotype" w:eastAsia="Calibri" w:hAnsi="Palatino Linotype" w:cs="Arial"/>
          <w:b/>
          <w:lang w:val="es-ES_tradnl"/>
        </w:rPr>
        <w:t xml:space="preserve"> </w:t>
      </w:r>
      <w:r w:rsidR="00617FEB" w:rsidRPr="00C45626">
        <w:rPr>
          <w:rFonts w:ascii="Palatino Linotype" w:eastAsia="Calibri" w:hAnsi="Palatino Linotype" w:cs="Arial"/>
          <w:lang w:val="es-ES_tradnl"/>
        </w:rPr>
        <w:t xml:space="preserve">la respuesta emitida por el </w:t>
      </w:r>
      <w:r w:rsidR="00617FEB" w:rsidRPr="00C45626">
        <w:rPr>
          <w:rFonts w:ascii="Palatino Linotype" w:eastAsia="Calibri" w:hAnsi="Palatino Linotype" w:cs="Arial"/>
          <w:b/>
          <w:lang w:val="es-ES_tradnl"/>
        </w:rPr>
        <w:t>Tribunal de Justicia Administrativa del Estado de México</w:t>
      </w:r>
      <w:r w:rsidRPr="00C45626">
        <w:rPr>
          <w:rFonts w:ascii="Palatino Linotype" w:eastAsia="Calibri" w:hAnsi="Palatino Linotype" w:cs="Arial"/>
          <w:lang w:val="es-ES_tradnl"/>
        </w:rPr>
        <w:t xml:space="preserve"> </w:t>
      </w:r>
      <w:r w:rsidR="00617FEB" w:rsidRPr="00C45626">
        <w:rPr>
          <w:rFonts w:ascii="Palatino Linotype" w:eastAsia="Calibri" w:hAnsi="Palatino Linotype" w:cs="Arial"/>
          <w:lang w:val="es-ES_tradnl"/>
        </w:rPr>
        <w:t xml:space="preserve">y </w:t>
      </w:r>
      <w:r w:rsidRPr="00C45626">
        <w:rPr>
          <w:rFonts w:ascii="Palatino Linotype" w:eastAsia="Calibri" w:hAnsi="Palatino Linotype" w:cs="Arial"/>
          <w:lang w:val="es-ES_tradnl"/>
        </w:rPr>
        <w:t>se</w:t>
      </w:r>
      <w:r w:rsidRPr="00C45626">
        <w:rPr>
          <w:rFonts w:ascii="Palatino Linotype" w:eastAsia="Calibri" w:hAnsi="Palatino Linotype" w:cs="Arial"/>
          <w:b/>
          <w:lang w:val="es-ES_tradnl"/>
        </w:rPr>
        <w:t xml:space="preserve"> ORDENA </w:t>
      </w:r>
      <w:r w:rsidRPr="00C45626">
        <w:rPr>
          <w:rFonts w:ascii="Palatino Linotype" w:hAnsi="Palatino Linotype" w:cs="Arial"/>
          <w:lang w:val="es-ES_tradnl"/>
        </w:rPr>
        <w:t xml:space="preserve">entregar vía Sistema de Acceso a la Información Mexiquense </w:t>
      </w:r>
      <w:r w:rsidR="0077107A" w:rsidRPr="00C45626">
        <w:rPr>
          <w:rFonts w:ascii="Palatino Linotype" w:hAnsi="Palatino Linotype" w:cs="Arial"/>
          <w:b/>
          <w:lang w:val="es-ES_tradnl"/>
        </w:rPr>
        <w:t>(SAIMEX)</w:t>
      </w:r>
      <w:r w:rsidR="0049105B" w:rsidRPr="00C45626">
        <w:rPr>
          <w:rFonts w:ascii="Palatino Linotype" w:eastAsia="MS Mincho" w:hAnsi="Palatino Linotype" w:cs="Arial"/>
          <w:lang w:val="es-MX"/>
        </w:rPr>
        <w:t>,</w:t>
      </w:r>
      <w:r w:rsidR="002D0878" w:rsidRPr="00C45626">
        <w:rPr>
          <w:rFonts w:ascii="Palatino Linotype" w:eastAsia="MS Mincho" w:hAnsi="Palatino Linotype" w:cs="Arial"/>
          <w:lang w:val="es-MX"/>
        </w:rPr>
        <w:t xml:space="preserve"> </w:t>
      </w:r>
      <w:r w:rsidR="000B07E5" w:rsidRPr="00C45626">
        <w:rPr>
          <w:rFonts w:ascii="Palatino Linotype" w:eastAsia="MS Mincho" w:hAnsi="Palatino Linotype" w:cs="Arial"/>
          <w:lang w:val="es-MX"/>
        </w:rPr>
        <w:t>en versión pública</w:t>
      </w:r>
      <w:r w:rsidR="002C0BB6" w:rsidRPr="00C45626">
        <w:rPr>
          <w:rFonts w:ascii="Palatino Linotype" w:eastAsia="MS Mincho" w:hAnsi="Palatino Linotype" w:cs="Arial"/>
          <w:lang w:val="es-MX"/>
        </w:rPr>
        <w:t xml:space="preserve"> de ser</w:t>
      </w:r>
      <w:r w:rsidR="00892AF9" w:rsidRPr="00C45626">
        <w:rPr>
          <w:rFonts w:ascii="Palatino Linotype" w:eastAsia="MS Mincho" w:hAnsi="Palatino Linotype" w:cs="Arial"/>
          <w:lang w:val="es-MX"/>
        </w:rPr>
        <w:t xml:space="preserve"> procedente</w:t>
      </w:r>
      <w:r w:rsidR="000B07E5" w:rsidRPr="00C45626">
        <w:rPr>
          <w:rFonts w:ascii="Palatino Linotype" w:eastAsia="MS Mincho" w:hAnsi="Palatino Linotype" w:cs="Arial"/>
          <w:lang w:val="es-MX"/>
        </w:rPr>
        <w:t xml:space="preserve">, </w:t>
      </w:r>
      <w:r w:rsidR="00B14987" w:rsidRPr="00C45626">
        <w:rPr>
          <w:rFonts w:ascii="Palatino Linotype" w:eastAsia="MS Mincho" w:hAnsi="Palatino Linotype" w:cs="Arial"/>
          <w:lang w:val="es-MX"/>
        </w:rPr>
        <w:t>previa búsqueda exhaustiva,</w:t>
      </w:r>
      <w:r w:rsidR="002C1824" w:rsidRPr="00C45626">
        <w:rPr>
          <w:rFonts w:ascii="Palatino Linotype" w:eastAsia="MS Mincho" w:hAnsi="Palatino Linotype" w:cs="Arial"/>
          <w:lang w:val="es-MX"/>
        </w:rPr>
        <w:t xml:space="preserve"> </w:t>
      </w:r>
      <w:r w:rsidR="00B74573" w:rsidRPr="00C45626">
        <w:rPr>
          <w:rFonts w:ascii="Palatino Linotype" w:eastAsia="MS Mincho" w:hAnsi="Palatino Linotype" w:cs="Arial"/>
          <w:lang w:val="es-MX"/>
        </w:rPr>
        <w:t xml:space="preserve">el </w:t>
      </w:r>
      <w:r w:rsidR="00DC36DB" w:rsidRPr="00C45626">
        <w:rPr>
          <w:rFonts w:ascii="Palatino Linotype" w:eastAsia="MS Mincho" w:hAnsi="Palatino Linotype" w:cs="Arial"/>
          <w:lang w:val="es-MX"/>
        </w:rPr>
        <w:t xml:space="preserve">o los </w:t>
      </w:r>
      <w:r w:rsidR="00B74573" w:rsidRPr="00C45626">
        <w:rPr>
          <w:rFonts w:ascii="Palatino Linotype" w:eastAsia="MS Mincho" w:hAnsi="Palatino Linotype" w:cs="Arial"/>
          <w:lang w:val="es-MX"/>
        </w:rPr>
        <w:t>documento</w:t>
      </w:r>
      <w:r w:rsidR="00DC36DB" w:rsidRPr="00C45626">
        <w:rPr>
          <w:rFonts w:ascii="Palatino Linotype" w:eastAsia="MS Mincho" w:hAnsi="Palatino Linotype" w:cs="Arial"/>
          <w:lang w:val="es-MX"/>
        </w:rPr>
        <w:t>s</w:t>
      </w:r>
      <w:r w:rsidR="00B74573" w:rsidRPr="00C45626">
        <w:rPr>
          <w:rFonts w:ascii="Palatino Linotype" w:eastAsia="MS Mincho" w:hAnsi="Palatino Linotype" w:cs="Arial"/>
          <w:lang w:val="es-MX"/>
        </w:rPr>
        <w:t xml:space="preserve"> donde conste</w:t>
      </w:r>
      <w:r w:rsidR="002C1824" w:rsidRPr="00C45626">
        <w:rPr>
          <w:rFonts w:ascii="Palatino Linotype" w:eastAsia="MS Mincho" w:hAnsi="Palatino Linotype" w:cs="Arial"/>
          <w:lang w:val="es-MX"/>
        </w:rPr>
        <w:t xml:space="preserve"> la siguiente </w:t>
      </w:r>
      <w:r w:rsidR="00D2145D" w:rsidRPr="00C45626">
        <w:rPr>
          <w:rFonts w:ascii="Palatino Linotype" w:eastAsia="MS Mincho" w:hAnsi="Palatino Linotype" w:cs="Arial"/>
          <w:lang w:val="es-MX"/>
        </w:rPr>
        <w:t>información</w:t>
      </w:r>
      <w:r w:rsidR="00B306BB" w:rsidRPr="00C45626">
        <w:rPr>
          <w:rFonts w:ascii="Palatino Linotype" w:eastAsia="MS Mincho" w:hAnsi="Palatino Linotype" w:cs="Arial"/>
          <w:lang w:val="es-MX"/>
        </w:rPr>
        <w:t xml:space="preserve">: </w:t>
      </w:r>
    </w:p>
    <w:p w14:paraId="757F4633" w14:textId="77777777" w:rsidR="00A94E8D" w:rsidRPr="00C45626" w:rsidRDefault="00A94E8D" w:rsidP="007D7513">
      <w:pPr>
        <w:spacing w:before="240" w:line="360" w:lineRule="auto"/>
        <w:jc w:val="both"/>
        <w:rPr>
          <w:rFonts w:ascii="Palatino Linotype" w:eastAsia="MS Mincho" w:hAnsi="Palatino Linotype" w:cs="Arial"/>
          <w:lang w:val="es-MX"/>
        </w:rPr>
      </w:pPr>
    </w:p>
    <w:p w14:paraId="66BF8CFC" w14:textId="6F10FF54" w:rsidR="00A94E8D" w:rsidRPr="00C45626" w:rsidRDefault="00962047" w:rsidP="00F60071">
      <w:pPr>
        <w:pStyle w:val="Prrafodelista"/>
        <w:numPr>
          <w:ilvl w:val="0"/>
          <w:numId w:val="12"/>
        </w:numPr>
        <w:tabs>
          <w:tab w:val="left" w:pos="2880"/>
        </w:tabs>
        <w:spacing w:before="240" w:line="360" w:lineRule="auto"/>
        <w:ind w:left="851" w:right="616" w:hanging="284"/>
        <w:jc w:val="both"/>
        <w:rPr>
          <w:rFonts w:ascii="Palatino Linotype" w:eastAsia="MS Mincho" w:hAnsi="Palatino Linotype" w:cs="Arial"/>
          <w:b/>
          <w:lang w:val="es-MX"/>
        </w:rPr>
      </w:pPr>
      <w:r w:rsidRPr="00C45626">
        <w:rPr>
          <w:rFonts w:ascii="Palatino Linotype" w:eastAsia="MS Mincho" w:hAnsi="Palatino Linotype" w:cs="Arial"/>
          <w:b/>
          <w:lang w:val="es-MX"/>
        </w:rPr>
        <w:t>D</w:t>
      </w:r>
      <w:r w:rsidR="00A94E8D" w:rsidRPr="00C45626">
        <w:rPr>
          <w:rFonts w:ascii="Palatino Linotype" w:eastAsia="MS Mincho" w:hAnsi="Palatino Linotype" w:cs="Arial"/>
          <w:b/>
          <w:lang w:val="es-MX"/>
        </w:rPr>
        <w:t xml:space="preserve">el </w:t>
      </w:r>
      <w:r w:rsidR="00F60071" w:rsidRPr="00C45626">
        <w:rPr>
          <w:rFonts w:ascii="Palatino Linotype" w:eastAsia="MS Mincho" w:hAnsi="Palatino Linotype" w:cs="Arial"/>
          <w:b/>
          <w:lang w:val="es-MX"/>
        </w:rPr>
        <w:t>primero (</w:t>
      </w:r>
      <w:r w:rsidR="00A94E8D" w:rsidRPr="00C45626">
        <w:rPr>
          <w:rFonts w:ascii="Palatino Linotype" w:eastAsia="MS Mincho" w:hAnsi="Palatino Linotype" w:cs="Arial"/>
          <w:b/>
          <w:lang w:val="es-MX"/>
        </w:rPr>
        <w:t>01</w:t>
      </w:r>
      <w:r w:rsidR="00F60071" w:rsidRPr="00C45626">
        <w:rPr>
          <w:rFonts w:ascii="Palatino Linotype" w:eastAsia="MS Mincho" w:hAnsi="Palatino Linotype" w:cs="Arial"/>
          <w:b/>
          <w:lang w:val="es-MX"/>
        </w:rPr>
        <w:t xml:space="preserve">) de enero de dos mil dieciocho al veinte (20) de julio de dos mil veintiuno. </w:t>
      </w:r>
    </w:p>
    <w:p w14:paraId="218CD18B" w14:textId="77777777" w:rsidR="00F60071" w:rsidRPr="00C45626" w:rsidRDefault="00F60071" w:rsidP="00F60071">
      <w:pPr>
        <w:tabs>
          <w:tab w:val="left" w:pos="2880"/>
        </w:tabs>
        <w:spacing w:before="240" w:line="360" w:lineRule="auto"/>
        <w:ind w:left="567" w:right="616"/>
        <w:jc w:val="both"/>
        <w:rPr>
          <w:rFonts w:ascii="Palatino Linotype" w:eastAsia="MS Mincho" w:hAnsi="Palatino Linotype" w:cs="Arial"/>
          <w:b/>
          <w:lang w:val="es-MX"/>
        </w:rPr>
      </w:pPr>
    </w:p>
    <w:p w14:paraId="30B94519" w14:textId="1E975CDE" w:rsidR="005B54A5" w:rsidRPr="00C45626" w:rsidRDefault="005B54A5" w:rsidP="00F60071">
      <w:pPr>
        <w:spacing w:after="160" w:line="360" w:lineRule="auto"/>
        <w:ind w:left="567" w:right="616"/>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a) Las políticas de gestión y tratamiento de los datos personales</w:t>
      </w:r>
      <w:r w:rsidR="00962047" w:rsidRPr="00C45626">
        <w:rPr>
          <w:rFonts w:ascii="Palatino Linotype" w:eastAsia="Calibri" w:hAnsi="Palatino Linotype"/>
          <w:color w:val="000000"/>
          <w:lang w:val="es-MX" w:eastAsia="en-US"/>
        </w:rPr>
        <w:t xml:space="preserve"> (que atiende el inciso A de la solicitud de información)</w:t>
      </w:r>
      <w:r w:rsidR="00F60071" w:rsidRPr="00C45626">
        <w:rPr>
          <w:rFonts w:ascii="Palatino Linotype" w:eastAsia="Calibri" w:hAnsi="Palatino Linotype"/>
          <w:color w:val="000000"/>
          <w:lang w:val="es-MX" w:eastAsia="en-US"/>
        </w:rPr>
        <w:t xml:space="preserve">; </w:t>
      </w:r>
    </w:p>
    <w:p w14:paraId="3DAE4A27" w14:textId="2FD26626" w:rsidR="00962047" w:rsidRPr="00C45626" w:rsidRDefault="00962047" w:rsidP="00F60071">
      <w:pPr>
        <w:spacing w:after="160" w:line="360" w:lineRule="auto"/>
        <w:ind w:left="567" w:right="616"/>
        <w:jc w:val="both"/>
        <w:rPr>
          <w:rFonts w:ascii="Palatino Linotype" w:eastAsia="Calibri" w:hAnsi="Palatino Linotype"/>
          <w:color w:val="000000"/>
          <w:lang w:val="es-MX" w:eastAsia="en-US"/>
        </w:rPr>
      </w:pPr>
      <w:r w:rsidRPr="00C45626">
        <w:rPr>
          <w:rFonts w:ascii="Palatino Linotype" w:eastAsia="Calibri" w:hAnsi="Palatino Linotype"/>
          <w:b/>
          <w:color w:val="000000"/>
          <w:lang w:val="es-MX" w:eastAsia="en-US"/>
        </w:rPr>
        <w:t>b</w:t>
      </w:r>
      <w:r w:rsidR="005B54A5" w:rsidRPr="00C45626">
        <w:rPr>
          <w:rFonts w:ascii="Palatino Linotype" w:eastAsia="Calibri" w:hAnsi="Palatino Linotype"/>
          <w:b/>
          <w:color w:val="000000"/>
          <w:lang w:val="es-MX" w:eastAsia="en-US"/>
        </w:rPr>
        <w:t>) El inventario de datos personales</w:t>
      </w:r>
      <w:r w:rsidR="00B306BB" w:rsidRPr="00C45626">
        <w:rPr>
          <w:rFonts w:ascii="Palatino Linotype" w:eastAsia="Calibri" w:hAnsi="Palatino Linotype"/>
          <w:b/>
          <w:color w:val="000000"/>
          <w:lang w:val="es-MX" w:eastAsia="en-US"/>
        </w:rPr>
        <w:t xml:space="preserve"> y los sistemas de tratamiento</w:t>
      </w:r>
      <w:r w:rsidRPr="00C45626">
        <w:rPr>
          <w:rFonts w:ascii="Palatino Linotype" w:eastAsia="Calibri" w:hAnsi="Palatino Linotype"/>
          <w:b/>
          <w:color w:val="000000"/>
          <w:lang w:val="es-MX" w:eastAsia="en-US"/>
        </w:rPr>
        <w:t xml:space="preserve"> </w:t>
      </w:r>
      <w:r w:rsidRPr="00C45626">
        <w:rPr>
          <w:rFonts w:ascii="Palatino Linotype" w:eastAsia="Calibri" w:hAnsi="Palatino Linotype"/>
          <w:color w:val="000000"/>
          <w:lang w:val="es-MX" w:eastAsia="en-US"/>
        </w:rPr>
        <w:t>(que atiende el inciso C de la solicitud de información)</w:t>
      </w:r>
      <w:r w:rsidR="00F60071" w:rsidRPr="00C45626">
        <w:rPr>
          <w:rFonts w:ascii="Palatino Linotype" w:eastAsia="Calibri" w:hAnsi="Palatino Linotype"/>
          <w:color w:val="000000"/>
          <w:lang w:val="es-MX" w:eastAsia="en-US"/>
        </w:rPr>
        <w:t>;</w:t>
      </w:r>
    </w:p>
    <w:p w14:paraId="4707812E" w14:textId="2B3DF50C" w:rsidR="005B54A5" w:rsidRPr="00C45626" w:rsidRDefault="00962047" w:rsidP="00F60071">
      <w:pPr>
        <w:spacing w:after="160" w:line="360" w:lineRule="auto"/>
        <w:ind w:left="567" w:right="616"/>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 xml:space="preserve">c) </w:t>
      </w:r>
      <w:r w:rsidR="005B54A5" w:rsidRPr="00C45626">
        <w:rPr>
          <w:rFonts w:ascii="Palatino Linotype" w:eastAsia="Calibri" w:hAnsi="Palatino Linotype"/>
          <w:b/>
          <w:color w:val="000000"/>
          <w:lang w:val="es-MX" w:eastAsia="en-US"/>
        </w:rPr>
        <w:t>Las medidas para el cumplimiento cotidiano de las políticas de gestión y trata</w:t>
      </w:r>
      <w:r w:rsidRPr="00C45626">
        <w:rPr>
          <w:rFonts w:ascii="Palatino Linotype" w:eastAsia="Calibri" w:hAnsi="Palatino Linotype"/>
          <w:b/>
          <w:color w:val="000000"/>
          <w:lang w:val="es-MX" w:eastAsia="en-US"/>
        </w:rPr>
        <w:t>miento de los datos personales</w:t>
      </w:r>
      <w:r w:rsidRPr="00C45626">
        <w:rPr>
          <w:rFonts w:ascii="Palatino Linotype" w:eastAsia="Calibri" w:hAnsi="Palatino Linotype"/>
          <w:color w:val="000000"/>
          <w:lang w:val="es-MX" w:eastAsia="en-US"/>
        </w:rPr>
        <w:t xml:space="preserve"> (que atiende el inciso G de la solicitud de información)</w:t>
      </w:r>
      <w:r w:rsidR="00F60071" w:rsidRPr="00C45626">
        <w:rPr>
          <w:rFonts w:ascii="Palatino Linotype" w:eastAsia="Calibri" w:hAnsi="Palatino Linotype"/>
          <w:color w:val="000000"/>
          <w:lang w:val="es-MX" w:eastAsia="en-US"/>
        </w:rPr>
        <w:t>;</w:t>
      </w:r>
    </w:p>
    <w:p w14:paraId="5A7CC09C" w14:textId="7B5A0DA9" w:rsidR="005B54A5" w:rsidRPr="00C45626" w:rsidRDefault="005B54A5" w:rsidP="00F60071">
      <w:pPr>
        <w:spacing w:after="160" w:line="360" w:lineRule="auto"/>
        <w:ind w:left="567" w:right="616"/>
        <w:jc w:val="both"/>
        <w:rPr>
          <w:rFonts w:ascii="Palatino Linotype" w:eastAsia="Calibri" w:hAnsi="Palatino Linotype"/>
          <w:color w:val="000000"/>
          <w:lang w:val="es-MX" w:eastAsia="en-US"/>
        </w:rPr>
      </w:pPr>
      <w:r w:rsidRPr="00C45626">
        <w:rPr>
          <w:rFonts w:ascii="Palatino Linotype" w:eastAsia="Calibri" w:hAnsi="Palatino Linotype"/>
          <w:b/>
          <w:color w:val="000000"/>
          <w:lang w:val="es-MX" w:eastAsia="en-US"/>
        </w:rPr>
        <w:t>e) Programa de capacitación de acuerdo al nivel, dependiendo de sus roles y responsabilidades respecto del trat</w:t>
      </w:r>
      <w:r w:rsidR="00F452F3" w:rsidRPr="00C45626">
        <w:rPr>
          <w:rFonts w:ascii="Palatino Linotype" w:eastAsia="Calibri" w:hAnsi="Palatino Linotype"/>
          <w:b/>
          <w:color w:val="000000"/>
          <w:lang w:val="es-MX" w:eastAsia="en-US"/>
        </w:rPr>
        <w:t>amiento de los datos personales</w:t>
      </w:r>
      <w:r w:rsidR="00962047" w:rsidRPr="00C45626">
        <w:rPr>
          <w:rFonts w:ascii="Palatino Linotype" w:eastAsia="Calibri" w:hAnsi="Palatino Linotype"/>
          <w:b/>
          <w:color w:val="000000"/>
          <w:lang w:val="es-MX" w:eastAsia="en-US"/>
        </w:rPr>
        <w:t xml:space="preserve"> </w:t>
      </w:r>
      <w:r w:rsidR="00962047" w:rsidRPr="00C45626">
        <w:rPr>
          <w:rFonts w:ascii="Palatino Linotype" w:eastAsia="Calibri" w:hAnsi="Palatino Linotype"/>
          <w:color w:val="000000"/>
          <w:lang w:val="es-MX" w:eastAsia="en-US"/>
        </w:rPr>
        <w:t xml:space="preserve">(que atiende el inciso I de la solicitud de información); </w:t>
      </w:r>
    </w:p>
    <w:p w14:paraId="01B5FE0B" w14:textId="1857A3CA" w:rsidR="002A226D" w:rsidRPr="00C45626" w:rsidRDefault="00D2145D" w:rsidP="00F60071">
      <w:pPr>
        <w:spacing w:after="160" w:line="360" w:lineRule="auto"/>
        <w:ind w:left="567" w:right="616"/>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f) Documento de seguridad de pro</w:t>
      </w:r>
      <w:r w:rsidR="00962047" w:rsidRPr="00C45626">
        <w:rPr>
          <w:rFonts w:ascii="Palatino Linotype" w:eastAsia="Calibri" w:hAnsi="Palatino Linotype"/>
          <w:b/>
          <w:color w:val="000000"/>
          <w:lang w:val="es-MX" w:eastAsia="en-US"/>
        </w:rPr>
        <w:t xml:space="preserve">tección de datos personales </w:t>
      </w:r>
      <w:r w:rsidR="00962047" w:rsidRPr="00C45626">
        <w:rPr>
          <w:rFonts w:ascii="Palatino Linotype" w:eastAsia="Calibri" w:hAnsi="Palatino Linotype"/>
          <w:color w:val="000000"/>
          <w:lang w:val="es-MX" w:eastAsia="en-US"/>
        </w:rPr>
        <w:t>(que atiende el inciso L del cuadro de análisis vertido en la resolución)</w:t>
      </w:r>
      <w:r w:rsidR="00F60071" w:rsidRPr="00C45626">
        <w:rPr>
          <w:rFonts w:ascii="Palatino Linotype" w:eastAsia="Calibri" w:hAnsi="Palatino Linotype"/>
          <w:color w:val="000000"/>
          <w:lang w:val="es-MX" w:eastAsia="en-US"/>
        </w:rPr>
        <w:t>:</w:t>
      </w:r>
    </w:p>
    <w:p w14:paraId="1C89104F" w14:textId="23A56147" w:rsidR="002A226D" w:rsidRPr="00C45626" w:rsidRDefault="002A226D" w:rsidP="00F60071">
      <w:pPr>
        <w:spacing w:after="160" w:line="360" w:lineRule="auto"/>
        <w:ind w:left="567" w:right="616"/>
        <w:jc w:val="both"/>
        <w:rPr>
          <w:rFonts w:ascii="Palatino Linotype" w:eastAsia="Calibri" w:hAnsi="Palatino Linotype"/>
          <w:color w:val="000000"/>
          <w:lang w:val="es-MX" w:eastAsia="en-US"/>
        </w:rPr>
      </w:pPr>
      <w:r w:rsidRPr="00C45626">
        <w:rPr>
          <w:rFonts w:ascii="Palatino Linotype" w:eastAsia="Calibri" w:hAnsi="Palatino Linotype"/>
          <w:b/>
          <w:color w:val="000000"/>
          <w:lang w:val="es-MX" w:eastAsia="en-US"/>
        </w:rPr>
        <w:t>g) Procedimientos de auditoría al sistema de gestión de protección de datos personales así como quien realiza dicho procedimiento</w:t>
      </w:r>
      <w:r w:rsidR="00962047" w:rsidRPr="00C45626">
        <w:rPr>
          <w:rFonts w:ascii="Palatino Linotype" w:eastAsia="Calibri" w:hAnsi="Palatino Linotype"/>
          <w:b/>
          <w:color w:val="000000"/>
          <w:lang w:val="es-MX" w:eastAsia="en-US"/>
        </w:rPr>
        <w:t xml:space="preserve"> </w:t>
      </w:r>
      <w:r w:rsidR="00962047" w:rsidRPr="00C45626">
        <w:rPr>
          <w:rFonts w:ascii="Palatino Linotype" w:eastAsia="Calibri" w:hAnsi="Palatino Linotype"/>
          <w:color w:val="000000"/>
          <w:lang w:val="es-MX" w:eastAsia="en-US"/>
        </w:rPr>
        <w:t>(que atiende el inciso J de la solicitud de información)</w:t>
      </w:r>
      <w:r w:rsidR="00F60071" w:rsidRPr="00C45626">
        <w:rPr>
          <w:rFonts w:ascii="Palatino Linotype" w:eastAsia="Calibri" w:hAnsi="Palatino Linotype"/>
          <w:color w:val="000000"/>
          <w:lang w:val="es-MX" w:eastAsia="en-US"/>
        </w:rPr>
        <w:t xml:space="preserve">; </w:t>
      </w:r>
    </w:p>
    <w:p w14:paraId="40C8ADDC" w14:textId="0E61AA83" w:rsidR="003C281B" w:rsidRPr="00C45626" w:rsidRDefault="002A226D" w:rsidP="00F60071">
      <w:pPr>
        <w:spacing w:after="160" w:line="360" w:lineRule="auto"/>
        <w:ind w:left="567" w:right="616"/>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h</w:t>
      </w:r>
      <w:r w:rsidR="005B54A5" w:rsidRPr="00C45626">
        <w:rPr>
          <w:rFonts w:ascii="Palatino Linotype" w:eastAsia="Calibri" w:hAnsi="Palatino Linotype"/>
          <w:b/>
          <w:color w:val="000000"/>
          <w:lang w:val="es-MX" w:eastAsia="en-US"/>
        </w:rPr>
        <w:t>) El</w:t>
      </w:r>
      <w:r w:rsidR="005B54A5" w:rsidRPr="00C45626">
        <w:rPr>
          <w:rFonts w:ascii="Palatino Linotype" w:eastAsiaTheme="minorEastAsia" w:hAnsi="Palatino Linotype" w:cstheme="minorBidi"/>
          <w:b/>
          <w:bCs/>
          <w:lang w:val="es-ES_tradnl"/>
        </w:rPr>
        <w:t xml:space="preserve"> Acuerdo del Comité de Transparencia que clasifique</w:t>
      </w:r>
      <w:r w:rsidR="00F05C5A" w:rsidRPr="00C45626">
        <w:rPr>
          <w:rFonts w:ascii="Palatino Linotype" w:eastAsiaTheme="minorEastAsia" w:hAnsi="Palatino Linotype" w:cstheme="minorBidi"/>
          <w:b/>
          <w:bCs/>
          <w:lang w:val="es-ES_tradnl"/>
        </w:rPr>
        <w:t xml:space="preserve"> como información confidencial: </w:t>
      </w:r>
      <w:r w:rsidR="005B54A5" w:rsidRPr="00C45626">
        <w:rPr>
          <w:rFonts w:ascii="Palatino Linotype" w:eastAsia="Calibri" w:hAnsi="Palatino Linotype"/>
          <w:b/>
          <w:color w:val="000000"/>
          <w:lang w:val="es-MX" w:eastAsia="en-US"/>
        </w:rPr>
        <w:t>el procedimiento de análisis de riesgos</w:t>
      </w:r>
      <w:r w:rsidR="00F60071" w:rsidRPr="00C45626">
        <w:rPr>
          <w:rFonts w:ascii="Palatino Linotype" w:eastAsia="Calibri" w:hAnsi="Palatino Linotype"/>
          <w:b/>
          <w:color w:val="000000"/>
          <w:lang w:val="es-MX" w:eastAsia="en-US"/>
        </w:rPr>
        <w:t>;</w:t>
      </w:r>
      <w:r w:rsidR="005B54A5" w:rsidRPr="00C45626">
        <w:rPr>
          <w:rFonts w:ascii="Palatino Linotype" w:eastAsia="Calibri" w:hAnsi="Palatino Linotype"/>
          <w:b/>
          <w:color w:val="000000"/>
          <w:lang w:val="es-MX" w:eastAsia="en-US"/>
        </w:rPr>
        <w:t xml:space="preserve"> los resultados de los análisis de</w:t>
      </w:r>
      <w:r w:rsidR="00F60071" w:rsidRPr="00C45626">
        <w:rPr>
          <w:rFonts w:ascii="Palatino Linotype" w:eastAsia="Calibri" w:hAnsi="Palatino Linotype"/>
          <w:b/>
          <w:color w:val="000000"/>
          <w:lang w:val="es-MX" w:eastAsia="en-US"/>
        </w:rPr>
        <w:t xml:space="preserve"> riesgo;</w:t>
      </w:r>
      <w:r w:rsidR="005B54A5" w:rsidRPr="00C45626">
        <w:rPr>
          <w:rFonts w:ascii="Palatino Linotype" w:eastAsia="Calibri" w:hAnsi="Palatino Linotype"/>
          <w:b/>
          <w:color w:val="000000"/>
          <w:lang w:val="es-MX" w:eastAsia="en-US"/>
        </w:rPr>
        <w:t xml:space="preserve"> los result</w:t>
      </w:r>
      <w:r w:rsidR="00F60071" w:rsidRPr="00C45626">
        <w:rPr>
          <w:rFonts w:ascii="Palatino Linotype" w:eastAsia="Calibri" w:hAnsi="Palatino Linotype"/>
          <w:b/>
          <w:color w:val="000000"/>
          <w:lang w:val="es-MX" w:eastAsia="en-US"/>
        </w:rPr>
        <w:t xml:space="preserve">ados de los análisis de brecha; </w:t>
      </w:r>
      <w:r w:rsidR="005B54A5" w:rsidRPr="00C45626">
        <w:rPr>
          <w:rFonts w:ascii="Palatino Linotype" w:eastAsia="Calibri" w:hAnsi="Palatino Linotype"/>
          <w:b/>
          <w:color w:val="000000"/>
          <w:lang w:val="es-MX" w:eastAsia="en-US"/>
        </w:rPr>
        <w:t>el plan de trabajo para la implementación de las medidas d</w:t>
      </w:r>
      <w:r w:rsidR="00F60071" w:rsidRPr="00C45626">
        <w:rPr>
          <w:rFonts w:ascii="Palatino Linotype" w:eastAsia="Calibri" w:hAnsi="Palatino Linotype"/>
          <w:b/>
          <w:color w:val="000000"/>
          <w:lang w:val="es-MX" w:eastAsia="en-US"/>
        </w:rPr>
        <w:t>e seguridad faltantes;</w:t>
      </w:r>
      <w:r w:rsidR="005B54A5" w:rsidRPr="00C45626">
        <w:rPr>
          <w:rFonts w:ascii="Palatino Linotype" w:eastAsia="Calibri" w:hAnsi="Palatino Linotype"/>
          <w:b/>
          <w:color w:val="000000"/>
          <w:lang w:val="es-MX" w:eastAsia="en-US"/>
        </w:rPr>
        <w:t xml:space="preserve"> el procedimiento o mecanismos de monitoreo periódico de las medidas de seguridad implementadas, las amenazas y vulneraciones a las que est</w:t>
      </w:r>
      <w:r w:rsidRPr="00C45626">
        <w:rPr>
          <w:rFonts w:ascii="Palatino Linotype" w:eastAsia="Calibri" w:hAnsi="Palatino Linotype"/>
          <w:b/>
          <w:color w:val="000000"/>
          <w:lang w:val="es-MX" w:eastAsia="en-US"/>
        </w:rPr>
        <w:t>án sujetos los datos personales</w:t>
      </w:r>
      <w:r w:rsidR="00F60071" w:rsidRPr="00C45626">
        <w:rPr>
          <w:rFonts w:ascii="Palatino Linotype" w:eastAsia="Calibri" w:hAnsi="Palatino Linotype"/>
          <w:b/>
          <w:color w:val="000000"/>
          <w:lang w:val="es-MX" w:eastAsia="en-US"/>
        </w:rPr>
        <w:t xml:space="preserve"> </w:t>
      </w:r>
      <w:r w:rsidR="00962047" w:rsidRPr="00C45626">
        <w:rPr>
          <w:rFonts w:ascii="Palatino Linotype" w:eastAsia="Calibri" w:hAnsi="Palatino Linotype"/>
          <w:color w:val="000000"/>
          <w:lang w:val="es-MX" w:eastAsia="en-US"/>
        </w:rPr>
        <w:t>(que atiende los incisos D, E, F, G</w:t>
      </w:r>
      <w:r w:rsidR="00F60071" w:rsidRPr="00C45626">
        <w:rPr>
          <w:rFonts w:ascii="Palatino Linotype" w:eastAsia="Calibri" w:hAnsi="Palatino Linotype"/>
          <w:color w:val="000000"/>
          <w:lang w:val="es-MX" w:eastAsia="en-US"/>
        </w:rPr>
        <w:t xml:space="preserve"> y </w:t>
      </w:r>
      <w:r w:rsidR="00962047" w:rsidRPr="00C45626">
        <w:rPr>
          <w:rFonts w:ascii="Palatino Linotype" w:eastAsia="Calibri" w:hAnsi="Palatino Linotype"/>
          <w:color w:val="000000"/>
          <w:lang w:val="es-MX" w:eastAsia="en-US"/>
        </w:rPr>
        <w:t>H de la solicitud de información)</w:t>
      </w:r>
      <w:r w:rsidR="00962047" w:rsidRPr="00C45626">
        <w:rPr>
          <w:rFonts w:ascii="Palatino Linotype" w:eastAsia="Calibri" w:hAnsi="Palatino Linotype"/>
          <w:b/>
          <w:color w:val="000000"/>
          <w:lang w:val="es-MX" w:eastAsia="en-US"/>
        </w:rPr>
        <w:t xml:space="preserve">. </w:t>
      </w:r>
    </w:p>
    <w:p w14:paraId="17E63822" w14:textId="77777777" w:rsidR="00962047" w:rsidRPr="00C45626" w:rsidRDefault="00962047" w:rsidP="00F60071">
      <w:pPr>
        <w:spacing w:after="160" w:line="360" w:lineRule="auto"/>
        <w:ind w:left="567" w:right="616"/>
        <w:jc w:val="both"/>
        <w:rPr>
          <w:rFonts w:ascii="Palatino Linotype" w:eastAsia="Calibri" w:hAnsi="Palatino Linotype"/>
          <w:b/>
          <w:color w:val="000000"/>
          <w:lang w:val="es-MX" w:eastAsia="en-US"/>
        </w:rPr>
      </w:pPr>
    </w:p>
    <w:p w14:paraId="59D78CAE" w14:textId="2AFB8EF5" w:rsidR="00D2145D" w:rsidRPr="00C45626" w:rsidRDefault="00962047" w:rsidP="00F60071">
      <w:pPr>
        <w:pStyle w:val="Prrafodelista"/>
        <w:numPr>
          <w:ilvl w:val="0"/>
          <w:numId w:val="7"/>
        </w:numPr>
        <w:spacing w:after="160" w:line="360" w:lineRule="auto"/>
        <w:ind w:left="567" w:right="616" w:firstLine="0"/>
        <w:jc w:val="both"/>
        <w:rPr>
          <w:rFonts w:ascii="Palatino Linotype" w:eastAsia="Calibri" w:hAnsi="Palatino Linotype"/>
          <w:b/>
          <w:color w:val="000000"/>
          <w:lang w:val="es-MX" w:eastAsia="en-US"/>
        </w:rPr>
      </w:pPr>
      <w:r w:rsidRPr="00C45626">
        <w:rPr>
          <w:rFonts w:ascii="Palatino Linotype" w:eastAsia="Calibri" w:hAnsi="Palatino Linotype"/>
          <w:b/>
          <w:color w:val="000000"/>
          <w:lang w:val="es-MX" w:eastAsia="en-US"/>
        </w:rPr>
        <w:t>El Acuerdo de Clasificación del Comité de Transparencia que clasifique como información confidencial los resultados de las auditorias del sistema de gestión de protección de datos personales desde que se implementaron al veintitrés</w:t>
      </w:r>
      <w:r w:rsidR="00F60071" w:rsidRPr="00C45626">
        <w:rPr>
          <w:rFonts w:ascii="Palatino Linotype" w:eastAsia="Calibri" w:hAnsi="Palatino Linotype"/>
          <w:b/>
          <w:color w:val="000000"/>
          <w:lang w:val="es-MX" w:eastAsia="en-US"/>
        </w:rPr>
        <w:t xml:space="preserve"> (23) de agosto de dos mil veintiuno </w:t>
      </w:r>
      <w:r w:rsidR="00F60071" w:rsidRPr="00C45626">
        <w:rPr>
          <w:rFonts w:ascii="Palatino Linotype" w:eastAsia="Calibri" w:hAnsi="Palatino Linotype"/>
          <w:color w:val="000000"/>
          <w:lang w:val="es-MX" w:eastAsia="en-US"/>
        </w:rPr>
        <w:t>(que atiende el inciso K de la solicitud de información).</w:t>
      </w:r>
    </w:p>
    <w:p w14:paraId="7308D479" w14:textId="77777777" w:rsidR="00F60071" w:rsidRPr="00C45626" w:rsidRDefault="00F60071" w:rsidP="00F60071">
      <w:pPr>
        <w:pStyle w:val="Prrafodelista"/>
        <w:spacing w:after="160" w:line="360" w:lineRule="auto"/>
        <w:ind w:left="567" w:right="616"/>
        <w:jc w:val="both"/>
        <w:rPr>
          <w:rFonts w:ascii="Palatino Linotype" w:eastAsia="Calibri" w:hAnsi="Palatino Linotype"/>
          <w:b/>
          <w:color w:val="000000"/>
          <w:lang w:val="es-MX" w:eastAsia="en-US"/>
        </w:rPr>
      </w:pPr>
    </w:p>
    <w:p w14:paraId="294A36DA" w14:textId="0A1380CE" w:rsidR="00B14987" w:rsidRPr="00C45626" w:rsidRDefault="002D0878"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C45626">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54C3105E" w14:textId="77777777" w:rsidR="00012BC4" w:rsidRPr="00C45626" w:rsidRDefault="00012BC4"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708B98C" w14:textId="160DDFF5" w:rsidR="00012BC4" w:rsidRPr="00C45626" w:rsidRDefault="00012BC4" w:rsidP="00012BC4">
      <w:pPr>
        <w:tabs>
          <w:tab w:val="left" w:pos="7088"/>
        </w:tabs>
        <w:autoSpaceDE w:val="0"/>
        <w:autoSpaceDN w:val="0"/>
        <w:adjustRightInd w:val="0"/>
        <w:spacing w:line="360" w:lineRule="auto"/>
        <w:ind w:right="49"/>
        <w:contextualSpacing/>
        <w:jc w:val="both"/>
        <w:rPr>
          <w:rFonts w:ascii="Palatino Linotype" w:hAnsi="Palatino Linotype" w:cs="Arial"/>
          <w:color w:val="202124"/>
        </w:rPr>
      </w:pPr>
      <w:r w:rsidRPr="00C45626">
        <w:rPr>
          <w:rFonts w:ascii="Palatino Linotype" w:hAnsi="Palatino Linotype" w:cs="Arial"/>
          <w:color w:val="202124"/>
        </w:rPr>
        <w:t xml:space="preserve">De ser el caso en que el </w:t>
      </w:r>
      <w:r w:rsidRPr="00C45626">
        <w:rPr>
          <w:rFonts w:ascii="Palatino Linotype" w:hAnsi="Palatino Linotype" w:cs="Arial"/>
          <w:b/>
          <w:color w:val="202124"/>
        </w:rPr>
        <w:t>SUJETO OBLIGADO</w:t>
      </w:r>
      <w:r w:rsidRPr="00C45626">
        <w:rPr>
          <w:rFonts w:ascii="Palatino Linotype" w:hAnsi="Palatino Linotype" w:cs="Arial"/>
          <w:color w:val="202124"/>
        </w:rPr>
        <w:t xml:space="preserve"> no localice la información </w:t>
      </w:r>
      <w:r w:rsidR="00577327" w:rsidRPr="00C45626">
        <w:rPr>
          <w:rFonts w:ascii="Palatino Linotype" w:hAnsi="Palatino Linotype" w:cs="Arial"/>
          <w:color w:val="202124"/>
        </w:rPr>
        <w:t>solicitada</w:t>
      </w:r>
      <w:r w:rsidRPr="00C45626">
        <w:rPr>
          <w:rFonts w:ascii="Palatino Linotype" w:hAnsi="Palatino Linotype" w:cs="Arial"/>
          <w:color w:val="202124"/>
        </w:rPr>
        <w:t>, deberá de emitir el Acuerdo de Inexistencia en términos de los artículos 49, fracciones II y XIII, 169 y 170 de la Ley de Transparencia y Acceso a la Información Pública del Estado de México y Municipios que al respecto emita su Comité de Transparencia.</w:t>
      </w:r>
    </w:p>
    <w:p w14:paraId="114DA9AF" w14:textId="77777777" w:rsidR="005B54A5" w:rsidRPr="00C45626" w:rsidRDefault="005B54A5"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7850F6CC" w14:textId="0E0D116E" w:rsidR="00397B04" w:rsidRPr="00C45626"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C45626">
        <w:rPr>
          <w:rFonts w:ascii="Palatino Linotype" w:hAnsi="Palatino Linotype" w:cs="Arial"/>
          <w:b/>
          <w:bCs/>
          <w:color w:val="222222"/>
          <w:lang w:val="es-ES_tradnl" w:eastAsia="es-MX"/>
        </w:rPr>
        <w:t xml:space="preserve">TERCERO. </w:t>
      </w:r>
      <w:r w:rsidRPr="00C45626">
        <w:rPr>
          <w:rFonts w:ascii="Palatino Linotype" w:hAnsi="Palatino Linotype" w:cs="Arial"/>
          <w:b/>
          <w:color w:val="222222"/>
          <w:lang w:val="es-ES_tradnl" w:eastAsia="es-MX"/>
        </w:rPr>
        <w:t>Notifíquese</w:t>
      </w:r>
      <w:r w:rsidRPr="00C45626">
        <w:rPr>
          <w:rFonts w:ascii="Palatino Linotype" w:hAnsi="Palatino Linotype" w:cs="Arial"/>
          <w:b/>
          <w:bCs/>
          <w:color w:val="222222"/>
          <w:lang w:val="es-ES_tradnl" w:eastAsia="es-MX"/>
        </w:rPr>
        <w:t xml:space="preserve"> </w:t>
      </w:r>
      <w:r w:rsidRPr="00C45626">
        <w:rPr>
          <w:rFonts w:ascii="Palatino Linotype" w:hAnsi="Palatino Linotype" w:cs="Arial"/>
          <w:color w:val="222222"/>
          <w:lang w:val="es-ES_tradnl" w:eastAsia="es-MX"/>
        </w:rPr>
        <w:t xml:space="preserve">al Titular de la Unidad de Transparencia del </w:t>
      </w:r>
      <w:r w:rsidRPr="00C45626">
        <w:rPr>
          <w:rFonts w:ascii="Palatino Linotype" w:hAnsi="Palatino Linotype" w:cs="Arial"/>
          <w:b/>
          <w:bCs/>
          <w:color w:val="222222"/>
          <w:lang w:val="es-ES_tradnl" w:eastAsia="es-MX"/>
        </w:rPr>
        <w:t>SUJETO OBLIGADO la presente resolución vía Sistema de Acceso a la Información Mexiquense (SAIMEX)</w:t>
      </w:r>
      <w:r w:rsidRPr="00C45626">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66272B2" w14:textId="77777777" w:rsidR="00054F89" w:rsidRPr="00C45626" w:rsidRDefault="00054F89"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C45626"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C45626">
        <w:rPr>
          <w:rFonts w:ascii="Palatino Linotype" w:eastAsia="Calibri" w:hAnsi="Palatino Linotype" w:cs="Arial"/>
          <w:b/>
          <w:bCs/>
          <w:color w:val="000000"/>
          <w:lang w:val="es-MX" w:eastAsia="en-US"/>
        </w:rPr>
        <w:t>CUARTO.</w:t>
      </w:r>
      <w:r w:rsidRPr="00C45626">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C45626" w:rsidRDefault="00397B04" w:rsidP="007D7513">
      <w:pPr>
        <w:spacing w:line="360" w:lineRule="auto"/>
        <w:rPr>
          <w:rFonts w:ascii="Palatino Linotype" w:eastAsia="MS Mincho" w:hAnsi="Palatino Linotype"/>
        </w:rPr>
      </w:pPr>
    </w:p>
    <w:p w14:paraId="6429D583" w14:textId="77777777" w:rsidR="00397B04" w:rsidRPr="00C45626" w:rsidRDefault="00397B04" w:rsidP="007D7513">
      <w:pPr>
        <w:shd w:val="clear" w:color="auto" w:fill="FFFFFF"/>
        <w:spacing w:line="360" w:lineRule="auto"/>
        <w:jc w:val="both"/>
        <w:rPr>
          <w:rFonts w:ascii="Palatino Linotype" w:hAnsi="Palatino Linotype"/>
          <w:color w:val="000000" w:themeColor="text1"/>
          <w:lang w:val="es-ES_tradnl"/>
        </w:rPr>
      </w:pPr>
      <w:r w:rsidRPr="00C45626">
        <w:rPr>
          <w:rFonts w:ascii="Palatino Linotype" w:hAnsi="Palatino Linotype" w:cs="Arial"/>
          <w:b/>
          <w:lang w:val="es-ES_tradnl"/>
        </w:rPr>
        <w:t xml:space="preserve">QUINTO. </w:t>
      </w:r>
      <w:r w:rsidRPr="00C45626">
        <w:rPr>
          <w:rFonts w:ascii="Palatino Linotype" w:hAnsi="Palatino Linotype"/>
          <w:b/>
          <w:bCs/>
          <w:color w:val="222222"/>
        </w:rPr>
        <w:t xml:space="preserve">Notifíquese </w:t>
      </w:r>
      <w:r w:rsidRPr="00C45626">
        <w:rPr>
          <w:rFonts w:ascii="Palatino Linotype" w:hAnsi="Palatino Linotype"/>
          <w:bCs/>
          <w:color w:val="222222"/>
        </w:rPr>
        <w:t xml:space="preserve">al </w:t>
      </w:r>
      <w:r w:rsidRPr="00C45626">
        <w:rPr>
          <w:rFonts w:ascii="Palatino Linotype" w:hAnsi="Palatino Linotype"/>
          <w:b/>
          <w:bCs/>
          <w:color w:val="222222"/>
        </w:rPr>
        <w:t>RECURRENTE</w:t>
      </w:r>
      <w:r w:rsidRPr="00C45626">
        <w:rPr>
          <w:rFonts w:ascii="Palatino Linotype" w:hAnsi="Palatino Linotype"/>
          <w:bCs/>
          <w:color w:val="222222"/>
        </w:rPr>
        <w:t xml:space="preserve"> </w:t>
      </w:r>
      <w:r w:rsidRPr="00C45626">
        <w:rPr>
          <w:rFonts w:ascii="Palatino Linotype" w:hAnsi="Palatino Linotype"/>
          <w:lang w:val="es-ES_tradnl"/>
        </w:rPr>
        <w:t xml:space="preserve">la presente resolución vía </w:t>
      </w:r>
      <w:r w:rsidRPr="00C45626">
        <w:rPr>
          <w:rFonts w:ascii="Palatino Linotype" w:hAnsi="Palatino Linotype" w:cs="Arial"/>
          <w:lang w:val="es-ES_tradnl"/>
        </w:rPr>
        <w:t xml:space="preserve">Sistema de Acceso a la Información Mexiquense </w:t>
      </w:r>
      <w:r w:rsidRPr="00C45626">
        <w:rPr>
          <w:rFonts w:ascii="Palatino Linotype" w:hAnsi="Palatino Linotype" w:cs="Arial"/>
          <w:b/>
          <w:lang w:val="es-ES_tradnl"/>
        </w:rPr>
        <w:t>(SAIMEX).</w:t>
      </w:r>
    </w:p>
    <w:p w14:paraId="33F0FF7F" w14:textId="77777777" w:rsidR="00397B04" w:rsidRPr="00C45626" w:rsidRDefault="00397B04" w:rsidP="007D7513">
      <w:pPr>
        <w:shd w:val="clear" w:color="auto" w:fill="FFFFFF"/>
        <w:spacing w:line="360" w:lineRule="auto"/>
        <w:jc w:val="both"/>
        <w:rPr>
          <w:rFonts w:ascii="Palatino Linotype" w:hAnsi="Palatino Linotype"/>
          <w:lang w:val="es-ES_tradnl"/>
        </w:rPr>
      </w:pPr>
    </w:p>
    <w:p w14:paraId="3F867D1C" w14:textId="21C0179D" w:rsidR="00397B04" w:rsidRPr="00C45626" w:rsidRDefault="00397B04" w:rsidP="007D7513">
      <w:pPr>
        <w:spacing w:line="360" w:lineRule="auto"/>
        <w:jc w:val="both"/>
        <w:rPr>
          <w:rFonts w:ascii="Palatino Linotype" w:hAnsi="Palatino Linotype"/>
          <w:b/>
          <w:lang w:val="es-MX" w:eastAsia="es-MX"/>
        </w:rPr>
      </w:pPr>
      <w:r w:rsidRPr="00C45626">
        <w:rPr>
          <w:rFonts w:ascii="Palatino Linotype" w:eastAsia="MS Mincho" w:hAnsi="Palatino Linotype"/>
          <w:b/>
          <w:lang w:val="es-MX"/>
        </w:rPr>
        <w:t>SEXTO.</w:t>
      </w:r>
      <w:r w:rsidRPr="00C45626">
        <w:rPr>
          <w:rFonts w:ascii="Palatino Linotype" w:eastAsia="MS Mincho" w:hAnsi="Palatino Linotype"/>
          <w:lang w:val="es-MX"/>
        </w:rPr>
        <w:t xml:space="preserve"> </w:t>
      </w:r>
      <w:r w:rsidRPr="00C45626">
        <w:rPr>
          <w:rFonts w:ascii="Palatino Linotype" w:eastAsia="MS Mincho" w:hAnsi="Palatino Linotype"/>
        </w:rPr>
        <w:t xml:space="preserve">Se hace del conocimiento del </w:t>
      </w:r>
      <w:r w:rsidRPr="00C45626">
        <w:rPr>
          <w:rFonts w:ascii="Palatino Linotype" w:eastAsia="MS Mincho" w:hAnsi="Palatino Linotype"/>
          <w:b/>
          <w:bCs/>
        </w:rPr>
        <w:t>RECURRENTE</w:t>
      </w:r>
      <w:r w:rsidRPr="00C45626">
        <w:rPr>
          <w:rFonts w:ascii="Palatino Linotype" w:hAnsi="Palatino Linotype"/>
          <w:bCs/>
          <w:color w:val="222222"/>
          <w:lang w:val="es-ES_tradnl"/>
        </w:rPr>
        <w:t xml:space="preserve"> </w:t>
      </w:r>
      <w:r w:rsidRPr="00C4562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C45626">
        <w:rPr>
          <w:rFonts w:ascii="Palatino Linotype" w:eastAsia="MS Mincho" w:hAnsi="Palatino Linotype"/>
          <w:bCs/>
        </w:rPr>
        <w:t>vía juicio de amparo</w:t>
      </w:r>
      <w:r w:rsidRPr="00C45626">
        <w:rPr>
          <w:rFonts w:ascii="Palatino Linotype" w:eastAsia="MS Mincho" w:hAnsi="Palatino Linotype"/>
        </w:rPr>
        <w:t> en los términos de las leyes aplicables.</w:t>
      </w:r>
      <w:r w:rsidRPr="00C45626">
        <w:rPr>
          <w:rFonts w:ascii="Palatino Linotype" w:eastAsia="MS Mincho" w:hAnsi="Palatino Linotype"/>
        </w:rPr>
        <w:tab/>
      </w:r>
      <w:r w:rsidRPr="00C45626">
        <w:rPr>
          <w:rFonts w:ascii="Palatino Linotype" w:hAnsi="Palatino Linotype"/>
          <w:b/>
          <w:lang w:val="es-MX" w:eastAsia="es-MX"/>
        </w:rPr>
        <w:t xml:space="preserve"> </w:t>
      </w:r>
    </w:p>
    <w:p w14:paraId="427440A4" w14:textId="77777777" w:rsidR="00F75614" w:rsidRDefault="00F75614" w:rsidP="00F75614">
      <w:pPr>
        <w:spacing w:before="240" w:after="240" w:line="360" w:lineRule="auto"/>
        <w:ind w:firstLine="1"/>
        <w:jc w:val="both"/>
        <w:rPr>
          <w:rFonts w:ascii="Palatino Linotype" w:hAnsi="Palatino Linotype"/>
        </w:rPr>
      </w:pPr>
      <w:r w:rsidRPr="00C4562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(08) DE JUNIO DE DOS MIL VEINTIDÓS, ANTE EL SECRETARIO TÉCNICO DEL PLENO ALEXIS TAPIA RAMÍREZ.</w:t>
      </w:r>
      <w:r w:rsidRPr="00624AAD">
        <w:rPr>
          <w:rFonts w:ascii="Palatino Linotype" w:hAnsi="Palatino Linotype"/>
        </w:rPr>
        <w:t xml:space="preserve"> </w:t>
      </w: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29"/>
      <w:footerReference w:type="default" r:id="rId30"/>
      <w:headerReference w:type="first" r:id="rId31"/>
      <w:footerReference w:type="first" r:id="rId3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054E2" w14:textId="77777777" w:rsidR="00D8727A" w:rsidRDefault="00D8727A" w:rsidP="00C80F8C">
      <w:r>
        <w:separator/>
      </w:r>
    </w:p>
  </w:endnote>
  <w:endnote w:type="continuationSeparator" w:id="0">
    <w:p w14:paraId="551BFDC7" w14:textId="77777777" w:rsidR="00D8727A" w:rsidRDefault="00D872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25BC480D" w:rsidR="00970DE3" w:rsidRPr="00817AAB" w:rsidRDefault="00970DE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F18E5">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F18E5">
      <w:rPr>
        <w:rFonts w:ascii="Palatino Linotype" w:hAnsi="Palatino Linotype" w:cs="Arial"/>
        <w:b/>
        <w:bCs/>
        <w:noProof/>
      </w:rPr>
      <w:t>19</w:t>
    </w:r>
    <w:r w:rsidRPr="00817AAB">
      <w:rPr>
        <w:rFonts w:ascii="Palatino Linotype" w:hAnsi="Palatino Linotype" w:cs="Arial"/>
        <w:b/>
        <w:bCs/>
      </w:rPr>
      <w:fldChar w:fldCharType="end"/>
    </w:r>
  </w:p>
  <w:p w14:paraId="1192A578" w14:textId="77777777" w:rsidR="00970DE3" w:rsidRDefault="00970DE3" w:rsidP="00935A0D">
    <w:pPr>
      <w:pStyle w:val="Piedepgina"/>
      <w:rPr>
        <w:rFonts w:ascii="Times New Roman" w:hAnsi="Times New Roman" w:cs="Times New Roman"/>
      </w:rPr>
    </w:pPr>
  </w:p>
  <w:p w14:paraId="14A770F8" w14:textId="77777777" w:rsidR="00970DE3" w:rsidRDefault="00970DE3"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39D291F1" w:rsidR="00970DE3" w:rsidRDefault="00970DE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F18E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F18E5">
      <w:rPr>
        <w:rFonts w:ascii="Arial" w:hAnsi="Arial" w:cs="Arial"/>
        <w:b/>
        <w:bCs/>
        <w:noProof/>
        <w:sz w:val="20"/>
        <w:szCs w:val="20"/>
      </w:rPr>
      <w:t>19</w:t>
    </w:r>
    <w:r>
      <w:rPr>
        <w:rFonts w:ascii="Arial" w:hAnsi="Arial" w:cs="Arial"/>
        <w:b/>
        <w:bCs/>
        <w:sz w:val="20"/>
        <w:szCs w:val="20"/>
      </w:rPr>
      <w:fldChar w:fldCharType="end"/>
    </w:r>
  </w:p>
  <w:p w14:paraId="5D98ABD5" w14:textId="77777777" w:rsidR="00970DE3" w:rsidRDefault="00970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6B98B" w14:textId="77777777" w:rsidR="00D8727A" w:rsidRDefault="00D8727A" w:rsidP="00C80F8C">
      <w:r>
        <w:separator/>
      </w:r>
    </w:p>
  </w:footnote>
  <w:footnote w:type="continuationSeparator" w:id="0">
    <w:p w14:paraId="7587A560" w14:textId="77777777" w:rsidR="00D8727A" w:rsidRDefault="00D8727A" w:rsidP="00C80F8C">
      <w:r>
        <w:continuationSeparator/>
      </w:r>
    </w:p>
  </w:footnote>
  <w:footnote w:id="1">
    <w:p w14:paraId="39D7764F" w14:textId="77777777" w:rsidR="00970DE3" w:rsidRDefault="00970DE3"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970DE3" w:rsidRDefault="00970DE3" w:rsidP="009C4F62">
      <w:pPr>
        <w:pStyle w:val="Textonotapie"/>
        <w:jc w:val="both"/>
        <w:rPr>
          <w:lang w:val="es-ES"/>
        </w:rPr>
      </w:pPr>
      <w:r>
        <w:rPr>
          <w:lang w:val="es-ES"/>
        </w:rPr>
        <w:t>(…)</w:t>
      </w:r>
    </w:p>
    <w:p w14:paraId="64F123DA" w14:textId="150C0AE8" w:rsidR="00970DE3" w:rsidRDefault="00970DE3" w:rsidP="009C4F62">
      <w:pPr>
        <w:pStyle w:val="Textonotapie"/>
        <w:jc w:val="both"/>
        <w:rPr>
          <w:lang w:val="es-ES"/>
        </w:rPr>
      </w:pPr>
      <w:r w:rsidRPr="00A2042B">
        <w:rPr>
          <w:lang w:val="es-ES"/>
        </w:rPr>
        <w:t>V. La entrega de información incompleta;</w:t>
      </w:r>
    </w:p>
    <w:p w14:paraId="1A8DFF2E" w14:textId="099444AE" w:rsidR="00970DE3" w:rsidRDefault="00970DE3" w:rsidP="009C4F62">
      <w:pPr>
        <w:pStyle w:val="Textonotapie"/>
        <w:jc w:val="both"/>
        <w:rPr>
          <w:lang w:val="es-ES"/>
        </w:rPr>
      </w:pPr>
      <w:r>
        <w:rPr>
          <w:lang w:val="es-ES"/>
        </w:rPr>
        <w:t xml:space="preserve"> (…)</w:t>
      </w:r>
    </w:p>
    <w:p w14:paraId="181B869A" w14:textId="42F5E63B" w:rsidR="00970DE3" w:rsidRDefault="00970DE3"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970DE3" w:rsidRDefault="00970DE3" w:rsidP="009C4F62">
      <w:pPr>
        <w:pStyle w:val="Textonotapie"/>
        <w:jc w:val="both"/>
        <w:rPr>
          <w:lang w:val="es-ES"/>
        </w:rPr>
      </w:pPr>
      <w:r>
        <w:rPr>
          <w:lang w:val="es-ES"/>
        </w:rPr>
        <w:t>(…)</w:t>
      </w:r>
    </w:p>
    <w:p w14:paraId="3EBA8880" w14:textId="5E3164DF" w:rsidR="00970DE3" w:rsidRDefault="00970DE3" w:rsidP="00A2042B">
      <w:pPr>
        <w:pStyle w:val="Textonotapie"/>
        <w:jc w:val="both"/>
        <w:rPr>
          <w:lang w:val="es-ES"/>
        </w:rPr>
      </w:pPr>
    </w:p>
    <w:p w14:paraId="1867D448" w14:textId="3D0D5CA2" w:rsidR="00970DE3" w:rsidRDefault="00970DE3" w:rsidP="009C4F62">
      <w:pPr>
        <w:pStyle w:val="Textonotapie"/>
        <w:jc w:val="both"/>
      </w:pPr>
    </w:p>
  </w:footnote>
  <w:footnote w:id="2">
    <w:p w14:paraId="6E57EC4F" w14:textId="77777777" w:rsidR="00970DE3" w:rsidRPr="00F5102E" w:rsidRDefault="00970DE3"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70DE3" w:rsidRPr="00F5102E" w:rsidRDefault="00970DE3" w:rsidP="00C548CF">
      <w:pPr>
        <w:pStyle w:val="Textonotapie"/>
        <w:jc w:val="both"/>
        <w:rPr>
          <w:rFonts w:ascii="Palatino Linotype" w:hAnsi="Palatino Linotype"/>
        </w:rPr>
      </w:pPr>
      <w:r w:rsidRPr="00F5102E">
        <w:rPr>
          <w:rFonts w:ascii="Palatino Linotype" w:hAnsi="Palatino Linotype"/>
        </w:rPr>
        <w:t>(…)</w:t>
      </w:r>
    </w:p>
    <w:p w14:paraId="42D31E86" w14:textId="77777777" w:rsidR="00970DE3" w:rsidRPr="00F5102E" w:rsidRDefault="00970DE3"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70DE3" w:rsidRPr="00F5102E" w:rsidRDefault="00970DE3"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70DE3" w:rsidRDefault="00970DE3"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2F9EDC29" w14:textId="121EBDF2" w:rsidR="00970DE3" w:rsidRPr="001A515B" w:rsidRDefault="00970DE3" w:rsidP="000028B3">
      <w:pPr>
        <w:pStyle w:val="Textonotapie"/>
        <w:ind w:right="49"/>
        <w:jc w:val="both"/>
        <w:rPr>
          <w:lang w:val="es-ES"/>
        </w:rPr>
      </w:pPr>
      <w:r>
        <w:rPr>
          <w:rStyle w:val="Refdenotaalpie"/>
        </w:rPr>
        <w:footnoteRef/>
      </w:r>
      <w:hyperlink r:id="rId1" w:history="1">
        <w:r w:rsidRPr="00AC21B9">
          <w:rPr>
            <w:rStyle w:val="Hipervnculo"/>
            <w:lang w:val="es-ES"/>
          </w:rPr>
          <w:t>https://home.inai.org.mx/wp-content/documentos/DocumentosSectorPublico/_GuiaPrincipiosDeberes.pdf</w:t>
        </w:r>
      </w:hyperlink>
      <w:r>
        <w:rPr>
          <w:lang w:val="es-ES"/>
        </w:rPr>
        <w:t xml:space="preserve"> </w:t>
      </w:r>
    </w:p>
  </w:footnote>
  <w:footnote w:id="4">
    <w:p w14:paraId="5CACD271" w14:textId="62246946" w:rsidR="00970DE3" w:rsidRDefault="00970DE3" w:rsidP="000028B3">
      <w:pPr>
        <w:pStyle w:val="Textonotapie"/>
        <w:jc w:val="both"/>
        <w:rPr>
          <w:lang w:val="es-ES"/>
        </w:rPr>
      </w:pPr>
      <w:r>
        <w:rPr>
          <w:rStyle w:val="Refdenotaalpie"/>
        </w:rPr>
        <w:footnoteRef/>
      </w:r>
      <w:r>
        <w:t xml:space="preserve"> </w:t>
      </w:r>
      <w:r>
        <w:rPr>
          <w:lang w:val="es-ES"/>
        </w:rPr>
        <w:t xml:space="preserve">Artículo 47 y 56 de los Lineamientos Generales de Protección de Datos Personales para el Sector Público.  </w:t>
      </w:r>
      <w:hyperlink r:id="rId2" w:history="1">
        <w:r w:rsidRPr="00AC21B9">
          <w:rPr>
            <w:rStyle w:val="Hipervnculo"/>
            <w:lang w:val="es-ES"/>
          </w:rPr>
          <w:t>https://colaboracion.uv.mx/rept/files/2018/08/066/LinamientosGeneralesDatosPersonales.pdf</w:t>
        </w:r>
      </w:hyperlink>
    </w:p>
    <w:p w14:paraId="69CA58A4" w14:textId="77777777" w:rsidR="00970DE3" w:rsidRDefault="00970DE3" w:rsidP="000028B3">
      <w:pPr>
        <w:pStyle w:val="Textonotapie"/>
        <w:jc w:val="both"/>
        <w:rPr>
          <w:lang w:val="es-ES"/>
        </w:rPr>
      </w:pPr>
    </w:p>
    <w:p w14:paraId="57571C5A" w14:textId="77777777" w:rsidR="00970DE3" w:rsidRDefault="00970DE3" w:rsidP="007563AE">
      <w:pPr>
        <w:pStyle w:val="Textonotapie"/>
        <w:jc w:val="both"/>
        <w:rPr>
          <w:lang w:val="es-ES"/>
        </w:rPr>
      </w:pPr>
    </w:p>
    <w:p w14:paraId="43E78DEC" w14:textId="77777777" w:rsidR="00970DE3" w:rsidRPr="000A570C" w:rsidRDefault="00970DE3" w:rsidP="007563AE">
      <w:pPr>
        <w:pStyle w:val="Textonotapie"/>
        <w:jc w:val="both"/>
        <w:rPr>
          <w:lang w:val="es-ES"/>
        </w:rPr>
      </w:pPr>
    </w:p>
  </w:footnote>
  <w:footnote w:id="5">
    <w:p w14:paraId="5E661251" w14:textId="6F33EBC9" w:rsidR="00970DE3" w:rsidRPr="00B378BC" w:rsidRDefault="00970DE3">
      <w:pPr>
        <w:pStyle w:val="Textonotapie"/>
        <w:rPr>
          <w:lang w:val="es-ES"/>
        </w:rPr>
      </w:pPr>
      <w:r>
        <w:rPr>
          <w:rStyle w:val="Refdenotaalpie"/>
        </w:rPr>
        <w:footnoteRef/>
      </w:r>
      <w:r>
        <w:t xml:space="preserve"> </w:t>
      </w:r>
      <w:r w:rsidRPr="00B378BC">
        <w:rPr>
          <w:lang w:val="es-ES"/>
        </w:rPr>
        <w:t xml:space="preserve">Artículos 58 y 59 de los </w:t>
      </w:r>
      <w:r w:rsidRPr="000028B3">
        <w:rPr>
          <w:lang w:val="es-ES"/>
        </w:rPr>
        <w:t xml:space="preserve">de los Lineamientos Generales de Protección de Datos Personales para el Sector Público.  </w:t>
      </w:r>
      <w:hyperlink r:id="rId3" w:history="1">
        <w:r w:rsidRPr="000028B3">
          <w:rPr>
            <w:rStyle w:val="Hipervnculo"/>
            <w:lang w:val="es-ES"/>
          </w:rPr>
          <w:t>https://colaboracion.uv.mx/rept/files/2018/08/066/LinamientosGeneralesDatosPersonales.pdf</w:t>
        </w:r>
      </w:hyperlink>
    </w:p>
  </w:footnote>
  <w:footnote w:id="6">
    <w:p w14:paraId="66C2EA68" w14:textId="327BB182" w:rsidR="00970DE3" w:rsidRPr="00D30CDE" w:rsidRDefault="00970DE3">
      <w:pPr>
        <w:pStyle w:val="Textonotapie"/>
        <w:rPr>
          <w:lang w:val="es-ES"/>
        </w:rPr>
      </w:pPr>
      <w:r>
        <w:rPr>
          <w:rStyle w:val="Refdenotaalpie"/>
        </w:rPr>
        <w:footnoteRef/>
      </w:r>
      <w:r>
        <w:t xml:space="preserve"> </w:t>
      </w:r>
      <w:r w:rsidRPr="00D30CDE">
        <w:rPr>
          <w:lang w:val="es-ES"/>
        </w:rPr>
        <w:t xml:space="preserve">Artículo 60 de los </w:t>
      </w:r>
      <w:r w:rsidRPr="000028B3">
        <w:rPr>
          <w:lang w:val="es-ES"/>
        </w:rPr>
        <w:t xml:space="preserve">de los Lineamientos Generales de Protección de Datos Personales para el Sector Público.  </w:t>
      </w:r>
      <w:hyperlink r:id="rId4" w:history="1">
        <w:r w:rsidRPr="000028B3">
          <w:rPr>
            <w:rStyle w:val="Hipervnculo"/>
            <w:lang w:val="es-ES"/>
          </w:rPr>
          <w:t>https://colaboracion.uv.mx/rept/files/2018/08/066/LinamientosGeneralesDatosPersonales.pdf</w:t>
        </w:r>
      </w:hyperlink>
    </w:p>
  </w:footnote>
  <w:footnote w:id="7">
    <w:p w14:paraId="0D090FEC" w14:textId="7613B0E9" w:rsidR="00970DE3" w:rsidRPr="00D30CDE" w:rsidRDefault="00970DE3">
      <w:pPr>
        <w:pStyle w:val="Textonotapie"/>
        <w:rPr>
          <w:lang w:val="es-ES"/>
        </w:rPr>
      </w:pPr>
      <w:r>
        <w:rPr>
          <w:rStyle w:val="Refdenotaalpie"/>
        </w:rPr>
        <w:footnoteRef/>
      </w:r>
      <w:r>
        <w:t xml:space="preserve"> </w:t>
      </w:r>
      <w:r w:rsidRPr="00D30CDE">
        <w:rPr>
          <w:lang w:val="es-ES"/>
        </w:rPr>
        <w:t>Artículo 63 de los Lineamientos Generales</w:t>
      </w:r>
    </w:p>
  </w:footnote>
  <w:footnote w:id="8">
    <w:p w14:paraId="1406B4FD" w14:textId="203A1C8C" w:rsidR="00970DE3" w:rsidRPr="000028B3" w:rsidRDefault="00970DE3">
      <w:pPr>
        <w:pStyle w:val="Textonotapie"/>
        <w:rPr>
          <w:lang w:val="es-ES"/>
        </w:rPr>
      </w:pPr>
      <w:r>
        <w:rPr>
          <w:rStyle w:val="Refdenotaalpie"/>
        </w:rPr>
        <w:footnoteRef/>
      </w:r>
      <w:r>
        <w:t xml:space="preserve"> </w:t>
      </w:r>
      <w:r w:rsidRPr="000028B3">
        <w:t>https://home.inai.org.mx/wp-content/documentos/DocumentosSectorPublico/_GuiaPrincipiosDeberes.pdf</w:t>
      </w:r>
    </w:p>
  </w:footnote>
  <w:footnote w:id="9">
    <w:p w14:paraId="4EE5ADB0" w14:textId="77777777" w:rsidR="00970DE3" w:rsidRPr="00985DD4" w:rsidRDefault="00970DE3"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970DE3" w:rsidRPr="00985DD4" w:rsidRDefault="00970DE3"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970DE3" w:rsidRPr="00BE13A0" w:rsidRDefault="00970DE3"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0">
    <w:p w14:paraId="5BFD695D" w14:textId="77777777" w:rsidR="00970DE3" w:rsidRPr="00985DD4" w:rsidRDefault="00970DE3"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14:paraId="23BFEDCD" w14:textId="77777777" w:rsidR="00970DE3" w:rsidRPr="009F19BE" w:rsidRDefault="00970DE3"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970DE3" w:rsidRPr="009F19BE" w:rsidRDefault="00970DE3"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2">
    <w:p w14:paraId="070C7BB5" w14:textId="77777777" w:rsidR="00970DE3" w:rsidRPr="009F19BE" w:rsidRDefault="00970DE3"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14:paraId="04F27280" w14:textId="77777777" w:rsidR="00970DE3" w:rsidRPr="00034B44" w:rsidRDefault="00970DE3"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970DE3" w14:paraId="6B4E3B81" w14:textId="77777777" w:rsidTr="00B4299A">
      <w:tc>
        <w:tcPr>
          <w:tcW w:w="2701" w:type="dxa"/>
          <w:vAlign w:val="center"/>
          <w:hideMark/>
        </w:tcPr>
        <w:p w14:paraId="0ABBC6C0" w14:textId="1226DAAF" w:rsidR="00970DE3" w:rsidRPr="00B4299A" w:rsidRDefault="00970DE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ECAE555" w:rsidR="00970DE3" w:rsidRPr="00B4299A" w:rsidRDefault="00970DE3" w:rsidP="006E011A">
          <w:pPr>
            <w:rPr>
              <w:rFonts w:ascii="Palatino Linotype" w:hAnsi="Palatino Linotype"/>
              <w:b/>
              <w:szCs w:val="22"/>
              <w:lang w:val="es-ES_tradnl"/>
            </w:rPr>
          </w:pPr>
          <w:r w:rsidRPr="00FD501B">
            <w:rPr>
              <w:rFonts w:ascii="Palatino Linotype" w:hAnsi="Palatino Linotype"/>
              <w:b/>
              <w:bCs/>
              <w:szCs w:val="22"/>
            </w:rPr>
            <w:t>04813/INFOEM/IP/RR/2021</w:t>
          </w:r>
        </w:p>
      </w:tc>
    </w:tr>
    <w:tr w:rsidR="00970DE3" w14:paraId="31CB780F" w14:textId="77777777" w:rsidTr="00B4299A">
      <w:trPr>
        <w:trHeight w:val="228"/>
      </w:trPr>
      <w:tc>
        <w:tcPr>
          <w:tcW w:w="2701" w:type="dxa"/>
          <w:vAlign w:val="center"/>
          <w:hideMark/>
        </w:tcPr>
        <w:p w14:paraId="4F49CB4A" w14:textId="6966D32E" w:rsidR="00970DE3" w:rsidRPr="00B4299A" w:rsidRDefault="00970DE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F2F7225" w:rsidR="00970DE3" w:rsidRPr="00B4299A" w:rsidRDefault="00970DE3" w:rsidP="00B96D41">
          <w:pPr>
            <w:jc w:val="both"/>
            <w:rPr>
              <w:rFonts w:ascii="Palatino Linotype" w:hAnsi="Palatino Linotype"/>
              <w:b/>
              <w:szCs w:val="22"/>
              <w:lang w:val="es-ES_tradnl"/>
            </w:rPr>
          </w:pPr>
          <w:r w:rsidRPr="00B96D41">
            <w:rPr>
              <w:rFonts w:ascii="Palatino Linotype" w:hAnsi="Palatino Linotype"/>
              <w:b/>
              <w:szCs w:val="22"/>
              <w:lang w:val="es-ES_tradnl"/>
            </w:rPr>
            <w:t>Tribunal de Justicia Administrativa del Estado de México</w:t>
          </w:r>
        </w:p>
      </w:tc>
    </w:tr>
    <w:tr w:rsidR="00970DE3" w14:paraId="69050F56" w14:textId="77777777" w:rsidTr="00B4299A">
      <w:tc>
        <w:tcPr>
          <w:tcW w:w="2701" w:type="dxa"/>
          <w:vAlign w:val="center"/>
          <w:hideMark/>
        </w:tcPr>
        <w:p w14:paraId="65C9B735" w14:textId="75C78F81" w:rsidR="00970DE3" w:rsidRPr="00B4299A" w:rsidRDefault="00970DE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70DE3" w:rsidRPr="00B4299A" w:rsidRDefault="00970DE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70DE3" w:rsidRDefault="00970DE3"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70DE3" w:rsidRDefault="00970DE3"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970DE3" w:rsidRDefault="00970DE3"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70DE3" w14:paraId="477E149B" w14:textId="77777777" w:rsidTr="00CB57FD">
      <w:trPr>
        <w:trHeight w:val="277"/>
      </w:trPr>
      <w:tc>
        <w:tcPr>
          <w:tcW w:w="2693" w:type="dxa"/>
          <w:vAlign w:val="center"/>
          <w:hideMark/>
        </w:tcPr>
        <w:p w14:paraId="5C0586E4" w14:textId="77777777" w:rsidR="00970DE3" w:rsidRPr="009B3353" w:rsidRDefault="00970DE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AFDE961" w:rsidR="00970DE3" w:rsidRPr="009B3353" w:rsidRDefault="00970DE3" w:rsidP="00761460">
          <w:pPr>
            <w:rPr>
              <w:rFonts w:ascii="Palatino Linotype" w:hAnsi="Palatino Linotype"/>
              <w:b/>
              <w:szCs w:val="22"/>
              <w:lang w:val="es-ES_tradnl"/>
            </w:rPr>
          </w:pPr>
          <w:r w:rsidRPr="00FD501B">
            <w:rPr>
              <w:rFonts w:ascii="Palatino Linotype" w:hAnsi="Palatino Linotype"/>
              <w:b/>
              <w:szCs w:val="22"/>
              <w:lang w:val="es-ES_tradnl"/>
            </w:rPr>
            <w:t>04813/INFOEM/IP/RR/2021</w:t>
          </w:r>
        </w:p>
      </w:tc>
    </w:tr>
    <w:tr w:rsidR="00970DE3" w14:paraId="5B5BE21C" w14:textId="77777777" w:rsidTr="00CB57FD">
      <w:tc>
        <w:tcPr>
          <w:tcW w:w="2693" w:type="dxa"/>
          <w:vAlign w:val="center"/>
          <w:hideMark/>
        </w:tcPr>
        <w:p w14:paraId="4AE96902" w14:textId="4E063913" w:rsidR="00970DE3" w:rsidRPr="009B3353" w:rsidRDefault="00970DE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11BCE02" w:rsidR="00970DE3" w:rsidRPr="009B3353" w:rsidRDefault="008F18E5" w:rsidP="008F18E5">
          <w:pPr>
            <w:rPr>
              <w:rFonts w:ascii="Palatino Linotype" w:hAnsi="Palatino Linotype"/>
              <w:b/>
              <w:szCs w:val="22"/>
              <w:lang w:val="es-ES_tradnl"/>
            </w:rPr>
          </w:pPr>
          <w:r>
            <w:rPr>
              <w:rFonts w:ascii="Palatino Linotype" w:hAnsi="Palatino Linotype"/>
              <w:b/>
              <w:bCs/>
              <w:szCs w:val="22"/>
            </w:rPr>
            <w:t>XXXXX XXXX XXXXXX</w:t>
          </w:r>
        </w:p>
      </w:tc>
    </w:tr>
    <w:tr w:rsidR="00970DE3" w14:paraId="22601A11" w14:textId="77777777" w:rsidTr="00CB57FD">
      <w:trPr>
        <w:trHeight w:val="228"/>
      </w:trPr>
      <w:tc>
        <w:tcPr>
          <w:tcW w:w="2693" w:type="dxa"/>
          <w:vAlign w:val="center"/>
          <w:hideMark/>
        </w:tcPr>
        <w:p w14:paraId="6EFE221D" w14:textId="49C5F800" w:rsidR="00970DE3" w:rsidRPr="009B3353" w:rsidRDefault="00970DE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648D3F6" w:rsidR="00970DE3" w:rsidRPr="009B3353" w:rsidRDefault="00970DE3" w:rsidP="003D473A">
          <w:pPr>
            <w:jc w:val="both"/>
            <w:rPr>
              <w:rFonts w:ascii="Palatino Linotype" w:eastAsia="Calibri" w:hAnsi="Palatino Linotype"/>
              <w:b/>
              <w:szCs w:val="22"/>
              <w:lang w:val="es-MX" w:eastAsia="en-US"/>
            </w:rPr>
          </w:pPr>
          <w:r w:rsidRPr="00B96D41">
            <w:rPr>
              <w:rFonts w:ascii="Palatino Linotype" w:eastAsia="Calibri" w:hAnsi="Palatino Linotype"/>
              <w:b/>
              <w:szCs w:val="22"/>
              <w:lang w:val="es-MX" w:eastAsia="en-US"/>
            </w:rPr>
            <w:t>Tribunal de Justicia Administrativa del Estado de México</w:t>
          </w:r>
        </w:p>
      </w:tc>
    </w:tr>
    <w:tr w:rsidR="00970DE3" w14:paraId="2D6C630E" w14:textId="77777777" w:rsidTr="00CB57FD">
      <w:tc>
        <w:tcPr>
          <w:tcW w:w="2693" w:type="dxa"/>
          <w:vAlign w:val="center"/>
          <w:hideMark/>
        </w:tcPr>
        <w:p w14:paraId="5BD4C6DB" w14:textId="7CF21504" w:rsidR="00970DE3" w:rsidRPr="009B3353" w:rsidRDefault="00970DE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70DE3" w:rsidRPr="009B3353" w:rsidRDefault="00970DE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70DE3" w:rsidRDefault="00970DE3"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AD3ECA"/>
    <w:multiLevelType w:val="hybridMultilevel"/>
    <w:tmpl w:val="2E781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777506"/>
    <w:multiLevelType w:val="hybridMultilevel"/>
    <w:tmpl w:val="B8C62624"/>
    <w:lvl w:ilvl="0" w:tplc="A7B8E14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3"/>
  </w:num>
  <w:num w:numId="5">
    <w:abstractNumId w:val="4"/>
  </w:num>
  <w:num w:numId="6">
    <w:abstractNumId w:val="0"/>
  </w:num>
  <w:num w:numId="7">
    <w:abstractNumId w:val="9"/>
  </w:num>
  <w:num w:numId="8">
    <w:abstractNumId w:val="8"/>
  </w:num>
  <w:num w:numId="9">
    <w:abstractNumId w:val="8"/>
  </w:num>
  <w:num w:numId="10">
    <w:abstractNumId w:val="1"/>
  </w:num>
  <w:num w:numId="11">
    <w:abstractNumId w:val="7"/>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8B3"/>
    <w:rsid w:val="000035AE"/>
    <w:rsid w:val="00003CF3"/>
    <w:rsid w:val="000045A8"/>
    <w:rsid w:val="000059CF"/>
    <w:rsid w:val="000061F4"/>
    <w:rsid w:val="0000625E"/>
    <w:rsid w:val="000064FC"/>
    <w:rsid w:val="0000746A"/>
    <w:rsid w:val="000079BD"/>
    <w:rsid w:val="000115F7"/>
    <w:rsid w:val="00012A5F"/>
    <w:rsid w:val="00012BC4"/>
    <w:rsid w:val="00012D1B"/>
    <w:rsid w:val="00012DD5"/>
    <w:rsid w:val="000134A7"/>
    <w:rsid w:val="000147FB"/>
    <w:rsid w:val="00014A65"/>
    <w:rsid w:val="000151A7"/>
    <w:rsid w:val="000151E0"/>
    <w:rsid w:val="000155EF"/>
    <w:rsid w:val="000163E2"/>
    <w:rsid w:val="00017474"/>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0C"/>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A22"/>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E65"/>
    <w:rsid w:val="00114D4B"/>
    <w:rsid w:val="00114DDF"/>
    <w:rsid w:val="00115AAD"/>
    <w:rsid w:val="00116064"/>
    <w:rsid w:val="00117030"/>
    <w:rsid w:val="0012062D"/>
    <w:rsid w:val="00120D7C"/>
    <w:rsid w:val="001210A4"/>
    <w:rsid w:val="00121816"/>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3C13"/>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515B"/>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1A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B2C"/>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6EBD"/>
    <w:rsid w:val="0029745A"/>
    <w:rsid w:val="00297AB0"/>
    <w:rsid w:val="002A0448"/>
    <w:rsid w:val="002A226D"/>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B6"/>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24F6"/>
    <w:rsid w:val="002D46BF"/>
    <w:rsid w:val="002D4C95"/>
    <w:rsid w:val="002D508B"/>
    <w:rsid w:val="002D678A"/>
    <w:rsid w:val="002D6AD2"/>
    <w:rsid w:val="002E03BC"/>
    <w:rsid w:val="002E1D63"/>
    <w:rsid w:val="002E2669"/>
    <w:rsid w:val="002E3DBB"/>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602F"/>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41B4"/>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4D04"/>
    <w:rsid w:val="003E5DB7"/>
    <w:rsid w:val="003E5F18"/>
    <w:rsid w:val="003E6A2E"/>
    <w:rsid w:val="003E6D0E"/>
    <w:rsid w:val="003E6F6D"/>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0B1"/>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C2B"/>
    <w:rsid w:val="00493E2F"/>
    <w:rsid w:val="00494CB5"/>
    <w:rsid w:val="004954D8"/>
    <w:rsid w:val="0049576C"/>
    <w:rsid w:val="00495836"/>
    <w:rsid w:val="00495A80"/>
    <w:rsid w:val="004967E8"/>
    <w:rsid w:val="004A0374"/>
    <w:rsid w:val="004A0812"/>
    <w:rsid w:val="004A0EA8"/>
    <w:rsid w:val="004A14D9"/>
    <w:rsid w:val="004A21F6"/>
    <w:rsid w:val="004A2680"/>
    <w:rsid w:val="004A4608"/>
    <w:rsid w:val="004A4B61"/>
    <w:rsid w:val="004A5E2D"/>
    <w:rsid w:val="004A6E0B"/>
    <w:rsid w:val="004A6EFE"/>
    <w:rsid w:val="004A70A0"/>
    <w:rsid w:val="004A755A"/>
    <w:rsid w:val="004A79C5"/>
    <w:rsid w:val="004A7C26"/>
    <w:rsid w:val="004B1858"/>
    <w:rsid w:val="004B1A4B"/>
    <w:rsid w:val="004B2540"/>
    <w:rsid w:val="004B3D11"/>
    <w:rsid w:val="004B455B"/>
    <w:rsid w:val="004B4987"/>
    <w:rsid w:val="004B4A83"/>
    <w:rsid w:val="004B4DC3"/>
    <w:rsid w:val="004B574B"/>
    <w:rsid w:val="004B58C3"/>
    <w:rsid w:val="004B675F"/>
    <w:rsid w:val="004B72C5"/>
    <w:rsid w:val="004B759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095B"/>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CF7"/>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531"/>
    <w:rsid w:val="005726F4"/>
    <w:rsid w:val="00572DA9"/>
    <w:rsid w:val="00573157"/>
    <w:rsid w:val="00573949"/>
    <w:rsid w:val="00573ECF"/>
    <w:rsid w:val="00574A4F"/>
    <w:rsid w:val="00575053"/>
    <w:rsid w:val="00576107"/>
    <w:rsid w:val="00576A50"/>
    <w:rsid w:val="00577287"/>
    <w:rsid w:val="0057732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54A5"/>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352"/>
    <w:rsid w:val="006954F2"/>
    <w:rsid w:val="006957B8"/>
    <w:rsid w:val="00697E9E"/>
    <w:rsid w:val="006A03CD"/>
    <w:rsid w:val="006A06FE"/>
    <w:rsid w:val="006A10D5"/>
    <w:rsid w:val="006A3BCF"/>
    <w:rsid w:val="006A42D4"/>
    <w:rsid w:val="006A48CE"/>
    <w:rsid w:val="006A4E98"/>
    <w:rsid w:val="006A505E"/>
    <w:rsid w:val="006A737B"/>
    <w:rsid w:val="006A74E5"/>
    <w:rsid w:val="006A77F3"/>
    <w:rsid w:val="006A7829"/>
    <w:rsid w:val="006A7D53"/>
    <w:rsid w:val="006B1A51"/>
    <w:rsid w:val="006B1BF1"/>
    <w:rsid w:val="006B23D4"/>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36C"/>
    <w:rsid w:val="006D153C"/>
    <w:rsid w:val="006D16CB"/>
    <w:rsid w:val="006D1A5E"/>
    <w:rsid w:val="006D25FC"/>
    <w:rsid w:val="006D396A"/>
    <w:rsid w:val="006D3F2C"/>
    <w:rsid w:val="006D4834"/>
    <w:rsid w:val="006D54A7"/>
    <w:rsid w:val="006D64F9"/>
    <w:rsid w:val="006D6E15"/>
    <w:rsid w:val="006D7A2C"/>
    <w:rsid w:val="006E011A"/>
    <w:rsid w:val="006E13E8"/>
    <w:rsid w:val="006E1421"/>
    <w:rsid w:val="006E2585"/>
    <w:rsid w:val="006E2EDE"/>
    <w:rsid w:val="006E307D"/>
    <w:rsid w:val="006E34B6"/>
    <w:rsid w:val="006E3ED4"/>
    <w:rsid w:val="006E4B3C"/>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3404"/>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28C8"/>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3AE"/>
    <w:rsid w:val="00757444"/>
    <w:rsid w:val="00757D2A"/>
    <w:rsid w:val="00757F23"/>
    <w:rsid w:val="00761460"/>
    <w:rsid w:val="007622C1"/>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2AF"/>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29CF"/>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0FF9"/>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0A31"/>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8E5"/>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4D7C"/>
    <w:rsid w:val="00955ADE"/>
    <w:rsid w:val="009573BD"/>
    <w:rsid w:val="0095790B"/>
    <w:rsid w:val="0096079C"/>
    <w:rsid w:val="0096089C"/>
    <w:rsid w:val="0096146C"/>
    <w:rsid w:val="00962047"/>
    <w:rsid w:val="00962E4E"/>
    <w:rsid w:val="00964C60"/>
    <w:rsid w:val="00964E79"/>
    <w:rsid w:val="00964F37"/>
    <w:rsid w:val="0096576D"/>
    <w:rsid w:val="00966926"/>
    <w:rsid w:val="00966C2B"/>
    <w:rsid w:val="00966FEC"/>
    <w:rsid w:val="00967C2E"/>
    <w:rsid w:val="00970DE3"/>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56B1"/>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0B6"/>
    <w:rsid w:val="00A94713"/>
    <w:rsid w:val="00A949F0"/>
    <w:rsid w:val="00A94E8D"/>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C05"/>
    <w:rsid w:val="00AA5F5D"/>
    <w:rsid w:val="00AB1362"/>
    <w:rsid w:val="00AB30F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395"/>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339"/>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6BB"/>
    <w:rsid w:val="00B30948"/>
    <w:rsid w:val="00B316E2"/>
    <w:rsid w:val="00B322FC"/>
    <w:rsid w:val="00B33A9A"/>
    <w:rsid w:val="00B33C2F"/>
    <w:rsid w:val="00B34D6D"/>
    <w:rsid w:val="00B35432"/>
    <w:rsid w:val="00B373AD"/>
    <w:rsid w:val="00B378BC"/>
    <w:rsid w:val="00B41343"/>
    <w:rsid w:val="00B4134E"/>
    <w:rsid w:val="00B4137E"/>
    <w:rsid w:val="00B41BE7"/>
    <w:rsid w:val="00B42775"/>
    <w:rsid w:val="00B4299A"/>
    <w:rsid w:val="00B42B2D"/>
    <w:rsid w:val="00B43908"/>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48FA"/>
    <w:rsid w:val="00B75466"/>
    <w:rsid w:val="00B76233"/>
    <w:rsid w:val="00B76358"/>
    <w:rsid w:val="00B77404"/>
    <w:rsid w:val="00B778AA"/>
    <w:rsid w:val="00B81C55"/>
    <w:rsid w:val="00B82000"/>
    <w:rsid w:val="00B82E36"/>
    <w:rsid w:val="00B84265"/>
    <w:rsid w:val="00B8497B"/>
    <w:rsid w:val="00B85D36"/>
    <w:rsid w:val="00B867AD"/>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50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11DB"/>
    <w:rsid w:val="00BF212E"/>
    <w:rsid w:val="00BF330A"/>
    <w:rsid w:val="00BF42CF"/>
    <w:rsid w:val="00BF469C"/>
    <w:rsid w:val="00BF558C"/>
    <w:rsid w:val="00BF685A"/>
    <w:rsid w:val="00BF6B39"/>
    <w:rsid w:val="00C0076A"/>
    <w:rsid w:val="00C0130F"/>
    <w:rsid w:val="00C02DF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336"/>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626"/>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4F44"/>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64E"/>
    <w:rsid w:val="00CC3C9F"/>
    <w:rsid w:val="00CC4A8B"/>
    <w:rsid w:val="00CC5C22"/>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539"/>
    <w:rsid w:val="00D049A0"/>
    <w:rsid w:val="00D07F0D"/>
    <w:rsid w:val="00D11533"/>
    <w:rsid w:val="00D11F5B"/>
    <w:rsid w:val="00D12E08"/>
    <w:rsid w:val="00D14D6E"/>
    <w:rsid w:val="00D15398"/>
    <w:rsid w:val="00D1585E"/>
    <w:rsid w:val="00D15EDB"/>
    <w:rsid w:val="00D16EAC"/>
    <w:rsid w:val="00D17381"/>
    <w:rsid w:val="00D17DCA"/>
    <w:rsid w:val="00D2145D"/>
    <w:rsid w:val="00D21482"/>
    <w:rsid w:val="00D217A4"/>
    <w:rsid w:val="00D236C3"/>
    <w:rsid w:val="00D24764"/>
    <w:rsid w:val="00D24A5F"/>
    <w:rsid w:val="00D25ADE"/>
    <w:rsid w:val="00D269B7"/>
    <w:rsid w:val="00D2728D"/>
    <w:rsid w:val="00D27298"/>
    <w:rsid w:val="00D278A7"/>
    <w:rsid w:val="00D30441"/>
    <w:rsid w:val="00D30CDE"/>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6B72"/>
    <w:rsid w:val="00D8727A"/>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06E"/>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C11"/>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03A"/>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4E0F"/>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FFA"/>
    <w:rsid w:val="00E269F7"/>
    <w:rsid w:val="00E26BBB"/>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04A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A39"/>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70C"/>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38E"/>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C7D6B"/>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C5A"/>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1D78"/>
    <w:rsid w:val="00F4347B"/>
    <w:rsid w:val="00F43FEC"/>
    <w:rsid w:val="00F452F3"/>
    <w:rsid w:val="00F45839"/>
    <w:rsid w:val="00F4715B"/>
    <w:rsid w:val="00F47385"/>
    <w:rsid w:val="00F47EF8"/>
    <w:rsid w:val="00F5164C"/>
    <w:rsid w:val="00F533A1"/>
    <w:rsid w:val="00F54CAB"/>
    <w:rsid w:val="00F552FA"/>
    <w:rsid w:val="00F555BE"/>
    <w:rsid w:val="00F567A8"/>
    <w:rsid w:val="00F574F8"/>
    <w:rsid w:val="00F576E4"/>
    <w:rsid w:val="00F60071"/>
    <w:rsid w:val="00F600F2"/>
    <w:rsid w:val="00F6065B"/>
    <w:rsid w:val="00F62E09"/>
    <w:rsid w:val="00F63C1F"/>
    <w:rsid w:val="00F6662F"/>
    <w:rsid w:val="00F70118"/>
    <w:rsid w:val="00F702B4"/>
    <w:rsid w:val="00F706F1"/>
    <w:rsid w:val="00F70E4A"/>
    <w:rsid w:val="00F743AF"/>
    <w:rsid w:val="00F75614"/>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4FD"/>
    <w:rsid w:val="00FA499D"/>
    <w:rsid w:val="00FA4F1D"/>
    <w:rsid w:val="00FA5129"/>
    <w:rsid w:val="00FA62D8"/>
    <w:rsid w:val="00FA6732"/>
    <w:rsid w:val="00FA7275"/>
    <w:rsid w:val="00FA7B5A"/>
    <w:rsid w:val="00FA7FCA"/>
    <w:rsid w:val="00FA7FF8"/>
    <w:rsid w:val="00FB1D01"/>
    <w:rsid w:val="00FB1D39"/>
    <w:rsid w:val="00FB20E7"/>
    <w:rsid w:val="00FB3A38"/>
    <w:rsid w:val="00FB48D6"/>
    <w:rsid w:val="00FB52E0"/>
    <w:rsid w:val="00FB53E4"/>
    <w:rsid w:val="00FB557F"/>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501B"/>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styleId="Refdecomentario">
    <w:name w:val="annotation reference"/>
    <w:basedOn w:val="Fuentedeprrafopredeter"/>
    <w:uiPriority w:val="99"/>
    <w:semiHidden/>
    <w:unhideWhenUsed/>
    <w:rsid w:val="004A7C26"/>
    <w:rPr>
      <w:sz w:val="16"/>
      <w:szCs w:val="16"/>
    </w:rPr>
  </w:style>
  <w:style w:type="paragraph" w:styleId="Textocomentario">
    <w:name w:val="annotation text"/>
    <w:basedOn w:val="Normal"/>
    <w:link w:val="TextocomentarioCar"/>
    <w:uiPriority w:val="99"/>
    <w:semiHidden/>
    <w:unhideWhenUsed/>
    <w:rsid w:val="004A7C26"/>
    <w:rPr>
      <w:sz w:val="20"/>
      <w:szCs w:val="20"/>
    </w:rPr>
  </w:style>
  <w:style w:type="character" w:customStyle="1" w:styleId="TextocomentarioCar">
    <w:name w:val="Texto comentario Car"/>
    <w:basedOn w:val="Fuentedeprrafopredeter"/>
    <w:link w:val="Textocomentario"/>
    <w:uiPriority w:val="99"/>
    <w:semiHidden/>
    <w:rsid w:val="004A7C2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7C26"/>
    <w:rPr>
      <w:b/>
      <w:bCs/>
    </w:rPr>
  </w:style>
  <w:style w:type="character" w:customStyle="1" w:styleId="AsuntodelcomentarioCar">
    <w:name w:val="Asunto del comentario Car"/>
    <w:basedOn w:val="TextocomentarioCar"/>
    <w:link w:val="Asuntodelcomentario"/>
    <w:uiPriority w:val="99"/>
    <w:semiHidden/>
    <w:rsid w:val="004A7C26"/>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4710825">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989760">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09551390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4054807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85337124">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001845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of.gob.mx/nota_detalle.php?codigo=5433280&amp;fecha=15/04/2016"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dof.gob.mx/nota_detalle.php?codigo=5511542&amp;fecha=26/01/201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rijaem.gob.mx/" TargetMode="External"/><Relationship Id="rId17" Type="http://schemas.openxmlformats.org/officeDocument/2006/relationships/hyperlink" Target="http://dof.gob.mx/nota_detalle.php?codigo=5511540&amp;fecha=26/01/2018" TargetMode="External"/><Relationship Id="rId25" Type="http://schemas.openxmlformats.org/officeDocument/2006/relationships/hyperlink" Target="http://inicio.ifai.org.mx/DocumentosdeInteres/AnexosDocumentoOrientador.zi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egislacion.edomex.gob.mx/sites/legislacion.edomex.gob.mx/files/files/pdf/ley/vig/leyvig244.pdf" TargetMode="External"/><Relationship Id="rId20" Type="http://schemas.openxmlformats.org/officeDocument/2006/relationships/hyperlink" Target="http://legislacion.edomex.gob.mx/sites/legislacion.edomex.gob.mx/files/files/vigentes/may083.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iputados.gob.mx/LeyesBiblio/pdf/LGPDPPSO.pdf" TargetMode="Externa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hyperlink" Target="https://trijaem.gob.mx/" TargetMode="External"/><Relationship Id="rId19" Type="http://schemas.openxmlformats.org/officeDocument/2006/relationships/hyperlink" Target="http://www.dof.gob.mx/nota_detalle.php?codigo=5436057&amp;fecha=04/05/2016"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31741.page" TargetMode="External"/><Relationship Id="rId14" Type="http://schemas.openxmlformats.org/officeDocument/2006/relationships/hyperlink" Target="https://trijaem.gob.mx/avisos-deprivacidad/"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hyperlink" Target="https://saimex.org.mx/saimex/solicitud/downloadAttach/1209017.p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laboracion.uv.mx/rept/files/2018/08/066/LinamientosGeneralesDatosPersonales.pdf" TargetMode="External"/><Relationship Id="rId2" Type="http://schemas.openxmlformats.org/officeDocument/2006/relationships/hyperlink" Target="https://colaboracion.uv.mx/rept/files/2018/08/066/LinamientosGeneralesDatosPersonales.pdf" TargetMode="External"/><Relationship Id="rId1" Type="http://schemas.openxmlformats.org/officeDocument/2006/relationships/hyperlink" Target="https://home.inai.org.mx/wp-content/documentos/DocumentosSectorPublico/_GuiaPrincipiosDeberes.pdf" TargetMode="External"/><Relationship Id="rId4" Type="http://schemas.openxmlformats.org/officeDocument/2006/relationships/hyperlink" Target="https://colaboracion.uv.mx/rept/files/2018/08/066/LinamientosGeneralesDatosPersonal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1ADF0-74B3-4D1F-A92F-F18749EE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24916</Words>
  <Characters>142026</Characters>
  <Application>Microsoft Office Word</Application>
  <DocSecurity>0</DocSecurity>
  <Lines>1183</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2022-07-12T08:01:00Z</dcterms:created>
  <dcterms:modified xsi:type="dcterms:W3CDTF">2022-07-12T08:01:00Z</dcterms:modified>
</cp:coreProperties>
</file>