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4D5E1F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w:t>
      </w:r>
      <w:bookmarkStart w:id="0" w:name="_GoBack"/>
      <w:bookmarkEnd w:id="0"/>
      <w:r w:rsidR="004B4283" w:rsidRPr="00883102">
        <w:rPr>
          <w:rFonts w:ascii="Palatino Linotype" w:eastAsia="Palatino Linotype" w:hAnsi="Palatino Linotype" w:cs="Palatino Linotype"/>
          <w:color w:val="000000"/>
          <w:sz w:val="24"/>
          <w:szCs w:val="24"/>
          <w:lang w:val="es-ES_tradnl"/>
        </w:rPr>
        <w:t xml:space="preserve">Metepec, </w:t>
      </w:r>
      <w:r w:rsidR="00B64C91" w:rsidRPr="00883102">
        <w:rPr>
          <w:rFonts w:ascii="Palatino Linotype" w:eastAsia="Palatino Linotype" w:hAnsi="Palatino Linotype" w:cs="Palatino Linotype"/>
          <w:color w:val="000000"/>
          <w:sz w:val="24"/>
          <w:szCs w:val="24"/>
          <w:lang w:val="es-ES_tradnl"/>
        </w:rPr>
        <w:t xml:space="preserve">México, a </w:t>
      </w:r>
      <w:r w:rsidR="00D8750E">
        <w:rPr>
          <w:rFonts w:ascii="Palatino Linotype" w:eastAsia="Palatino Linotype" w:hAnsi="Palatino Linotype" w:cs="Palatino Linotype"/>
          <w:color w:val="000000"/>
          <w:sz w:val="24"/>
          <w:szCs w:val="24"/>
          <w:lang w:val="es-ES_tradnl"/>
        </w:rPr>
        <w:t>ocho de junio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618A5E" w14:textId="3E09C947" w:rsidR="00C00092" w:rsidRPr="00C0009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C00092">
        <w:rPr>
          <w:rFonts w:ascii="Palatino Linotype" w:eastAsia="Palatino Linotype" w:hAnsi="Palatino Linotype" w:cs="Palatino Linotype"/>
          <w:b/>
          <w:color w:val="000000"/>
          <w:sz w:val="24"/>
          <w:szCs w:val="24"/>
          <w:lang w:val="es-ES_tradnl"/>
        </w:rPr>
        <w:t>7800</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C00092">
        <w:rPr>
          <w:rFonts w:ascii="Palatino Linotype" w:eastAsia="Palatino Linotype" w:hAnsi="Palatino Linotype" w:cs="Palatino Linotype"/>
          <w:color w:val="000000"/>
          <w:sz w:val="24"/>
          <w:szCs w:val="24"/>
          <w:lang w:val="es-ES_tradnl"/>
        </w:rPr>
        <w:t xml:space="preserve">un particular, en lo sucesivo </w:t>
      </w:r>
      <w:r w:rsidR="00C00092">
        <w:rPr>
          <w:rFonts w:ascii="Palatino Linotype" w:eastAsia="Palatino Linotype" w:hAnsi="Palatino Linotype" w:cs="Palatino Linotype"/>
          <w:b/>
          <w:color w:val="000000"/>
          <w:sz w:val="24"/>
          <w:szCs w:val="24"/>
          <w:lang w:val="es-ES_tradnl"/>
        </w:rPr>
        <w:t xml:space="preserve">El Recurrente, </w:t>
      </w:r>
      <w:r w:rsidR="00C00092">
        <w:rPr>
          <w:rFonts w:ascii="Palatino Linotype" w:eastAsia="Palatino Linotype" w:hAnsi="Palatino Linotype" w:cs="Palatino Linotype"/>
          <w:color w:val="000000"/>
          <w:sz w:val="24"/>
          <w:szCs w:val="24"/>
          <w:lang w:val="es-ES_tradnl"/>
        </w:rPr>
        <w:t xml:space="preserve">en contra de la falta de respuesta del </w:t>
      </w:r>
      <w:r w:rsidR="00C00092">
        <w:rPr>
          <w:rFonts w:ascii="Palatino Linotype" w:eastAsia="Palatino Linotype" w:hAnsi="Palatino Linotype" w:cs="Palatino Linotype"/>
          <w:b/>
          <w:color w:val="000000"/>
          <w:sz w:val="24"/>
          <w:szCs w:val="24"/>
          <w:lang w:val="es-ES_tradnl"/>
        </w:rPr>
        <w:t xml:space="preserve">Ayuntamiento de Ixtapaluca, </w:t>
      </w:r>
      <w:r w:rsidR="00C00092">
        <w:rPr>
          <w:rFonts w:ascii="Palatino Linotype" w:eastAsia="Palatino Linotype" w:hAnsi="Palatino Linotype" w:cs="Palatino Linotype"/>
          <w:color w:val="000000"/>
          <w:sz w:val="24"/>
          <w:szCs w:val="24"/>
          <w:lang w:val="es-ES_tradnl"/>
        </w:rPr>
        <w:t xml:space="preserve">en lo subsecuente </w:t>
      </w:r>
      <w:r w:rsidR="00C00092">
        <w:rPr>
          <w:rFonts w:ascii="Palatino Linotype" w:eastAsia="Palatino Linotype" w:hAnsi="Palatino Linotype" w:cs="Palatino Linotype"/>
          <w:b/>
          <w:color w:val="000000"/>
          <w:sz w:val="24"/>
          <w:szCs w:val="24"/>
          <w:lang w:val="es-ES_tradnl"/>
        </w:rPr>
        <w:t xml:space="preserve">El Sujeto Obligado, </w:t>
      </w:r>
      <w:r w:rsidR="00C00092">
        <w:rPr>
          <w:rFonts w:ascii="Palatino Linotype" w:eastAsia="Palatino Linotype" w:hAnsi="Palatino Linotype" w:cs="Palatino Linotype"/>
          <w:color w:val="000000"/>
          <w:sz w:val="24"/>
          <w:szCs w:val="24"/>
          <w:lang w:val="es-ES_tradnl"/>
        </w:rPr>
        <w:t xml:space="preserve">se procede a dictar la presente resolución. </w:t>
      </w:r>
    </w:p>
    <w:p w14:paraId="140386FA" w14:textId="77777777" w:rsidR="00C00092" w:rsidRDefault="00C0009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187B8688" w14:textId="54BBCE04" w:rsidR="00C0009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C00092">
        <w:rPr>
          <w:rFonts w:ascii="Palatino Linotype" w:eastAsia="Palatino Linotype" w:hAnsi="Palatino Linotype" w:cs="Palatino Linotype"/>
          <w:color w:val="000000"/>
          <w:sz w:val="24"/>
          <w:szCs w:val="24"/>
          <w:lang w:val="es-ES_tradnl"/>
        </w:rPr>
        <w:t xml:space="preserve">cinco de abril de dos mil veintidós, </w:t>
      </w:r>
      <w:r w:rsidR="00C00092">
        <w:rPr>
          <w:rFonts w:ascii="Palatino Linotype" w:eastAsia="Palatino Linotype" w:hAnsi="Palatino Linotype" w:cs="Palatino Linotype"/>
          <w:b/>
          <w:color w:val="000000"/>
          <w:sz w:val="24"/>
          <w:szCs w:val="24"/>
          <w:lang w:val="es-ES_tradnl"/>
        </w:rPr>
        <w:t xml:space="preserve">El Recurrente </w:t>
      </w:r>
      <w:r w:rsidR="00C00092"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00092">
        <w:rPr>
          <w:rFonts w:ascii="Palatino Linotype" w:eastAsia="Palatino Linotype" w:hAnsi="Palatino Linotype" w:cs="Palatino Linotype"/>
          <w:b/>
          <w:color w:val="000000"/>
          <w:sz w:val="24"/>
          <w:szCs w:val="24"/>
          <w:lang w:val="es-ES_tradnl"/>
        </w:rPr>
        <w:t>E</w:t>
      </w:r>
      <w:r w:rsidR="00C00092" w:rsidRPr="00C00092">
        <w:rPr>
          <w:rFonts w:ascii="Palatino Linotype" w:eastAsia="Palatino Linotype" w:hAnsi="Palatino Linotype" w:cs="Palatino Linotype"/>
          <w:b/>
          <w:color w:val="000000"/>
          <w:sz w:val="24"/>
          <w:szCs w:val="24"/>
          <w:lang w:val="es-ES_tradnl"/>
        </w:rPr>
        <w:t>l Sujeto Obligado,</w:t>
      </w:r>
      <w:r w:rsidR="00C00092"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C00092">
        <w:rPr>
          <w:rFonts w:ascii="Palatino Linotype" w:eastAsia="Palatino Linotype" w:hAnsi="Palatino Linotype" w:cs="Palatino Linotype"/>
          <w:color w:val="000000"/>
          <w:sz w:val="24"/>
          <w:szCs w:val="24"/>
          <w:lang w:val="es-ES_tradnl"/>
        </w:rPr>
        <w:t xml:space="preserve"> </w:t>
      </w:r>
      <w:r w:rsidR="00C00092">
        <w:rPr>
          <w:rFonts w:ascii="Palatino Linotype" w:eastAsia="Palatino Linotype" w:hAnsi="Palatino Linotype" w:cs="Palatino Linotype"/>
          <w:b/>
          <w:color w:val="000000"/>
          <w:sz w:val="24"/>
          <w:szCs w:val="24"/>
          <w:lang w:val="es-ES_tradnl"/>
        </w:rPr>
        <w:t xml:space="preserve">00119/IXTAPALU/IP/2022, </w:t>
      </w:r>
      <w:r w:rsidR="00C00092">
        <w:rPr>
          <w:rFonts w:ascii="Palatino Linotype" w:eastAsia="Palatino Linotype" w:hAnsi="Palatino Linotype" w:cs="Palatino Linotype"/>
          <w:color w:val="000000"/>
          <w:sz w:val="24"/>
          <w:szCs w:val="24"/>
          <w:lang w:val="es-ES_tradnl"/>
        </w:rPr>
        <w:t xml:space="preserve">mediante la cual solicitó información en el tenor siguiente: </w:t>
      </w:r>
    </w:p>
    <w:p w14:paraId="43DB4865" w14:textId="47038B65" w:rsidR="00C00092" w:rsidRPr="00C00092" w:rsidRDefault="00C00092" w:rsidP="00C00092">
      <w:pPr>
        <w:pStyle w:val="INFOEM"/>
        <w:rPr>
          <w:rFonts w:eastAsia="Palatino Linotype" w:cs="Palatino Linotype"/>
          <w:b/>
          <w:sz w:val="24"/>
          <w:szCs w:val="24"/>
          <w:lang w:val="es-ES_tradnl"/>
        </w:rPr>
      </w:pPr>
      <w:r>
        <w:t xml:space="preserve">“1. ¿Existe un órgano de acceso a la información pública municipal? 2. ¿Cuenta con módulo y portal web para hacer pública la información? 3. ¿Publica la información de acuerdo a la legislación en la materia? 4. ¿Se cuenta con algún programa para la detección y el combate de la corrupción que considere la participación ciudadana? 5. ¿Qué proporción guardan los procedimientos instaurados en relación a las denuncias procedentes? 6. ¿Se cuenta con instancia promotora de la participación ciudadana? </w:t>
      </w:r>
      <w:r>
        <w:lastRenderedPageBreak/>
        <w:t xml:space="preserve">7. ¿Se cuenta con un comité de planeación municipal? 8. ¿Cuáles son las comisiones y/o consejos existentes en el municipio y como </w:t>
      </w:r>
      <w:proofErr w:type="spellStart"/>
      <w:r>
        <w:t>estan</w:t>
      </w:r>
      <w:proofErr w:type="spellEnd"/>
      <w:r>
        <w:t xml:space="preserve"> integradas? 9. ¿Se cuenta con mecanismos de consulta ciudadana para la planeación y seguimiento de políticas y programas? 10. ¿Lleva a cabo el municipio consultas ciudadanas para la evaluación de su gestión? 11. ¿Se cuenta con órganos y mecanismos de contraloría social? 12. ¿Se cuenta con mecanismos de atención ciudadana a peticiones, quejas, denuncias y sugerencias ciudadanas, con seguimiento institucional? 13. ¿se han realizado labores en defensa del bienestar animal? ¿Se ha sorprendido a carretoneros en uso de caballos o burros para recolección de basura o estos cuentan con algún permiso para ello? ¿existe algún reglamento vigente de bienestar animal aprobado en esta administración o alguna pasada? ¿Si acaso hubiese alguno anterior se derogó o sigue vigente?” </w:t>
      </w:r>
      <w:r>
        <w:rPr>
          <w:b/>
        </w:rPr>
        <w:t>(Sic)</w:t>
      </w: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5AA2F783"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SEGUNDA</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7826FD0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C00092" w:rsidRPr="00C00092">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4D4619AD"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2727F934" w14:textId="3F152E05" w:rsidR="00C00092" w:rsidRPr="00C0009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En fecha </w:t>
      </w:r>
      <w:r w:rsidR="00C00092">
        <w:rPr>
          <w:rFonts w:ascii="Palatino Linotype" w:eastAsia="Palatino Linotype" w:hAnsi="Palatino Linotype" w:cs="Palatino Linotype"/>
          <w:color w:val="000000"/>
          <w:sz w:val="24"/>
          <w:szCs w:val="24"/>
          <w:lang w:val="es-ES_tradnl"/>
        </w:rPr>
        <w:t xml:space="preserve">once de mayo de dos mil veintidós, </w:t>
      </w:r>
      <w:r w:rsidR="00C00092">
        <w:rPr>
          <w:rFonts w:ascii="Palatino Linotype" w:eastAsia="Palatino Linotype" w:hAnsi="Palatino Linotype" w:cs="Palatino Linotype"/>
          <w:b/>
          <w:color w:val="000000"/>
          <w:sz w:val="24"/>
          <w:szCs w:val="24"/>
          <w:lang w:val="es-ES_tradnl"/>
        </w:rPr>
        <w:t xml:space="preserve">El Recurrente </w:t>
      </w:r>
      <w:r w:rsidR="00C00092">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C00092">
        <w:rPr>
          <w:rFonts w:ascii="Palatino Linotype" w:eastAsia="Palatino Linotype" w:hAnsi="Palatino Linotype" w:cs="Palatino Linotype"/>
          <w:b/>
          <w:color w:val="000000"/>
          <w:sz w:val="24"/>
          <w:szCs w:val="24"/>
          <w:lang w:val="es-ES_tradnl"/>
        </w:rPr>
        <w:t xml:space="preserve">SAIMEX </w:t>
      </w:r>
      <w:r w:rsidR="00C00092">
        <w:rPr>
          <w:rFonts w:ascii="Palatino Linotype" w:eastAsia="Palatino Linotype" w:hAnsi="Palatino Linotype" w:cs="Palatino Linotype"/>
          <w:color w:val="000000"/>
          <w:sz w:val="24"/>
          <w:szCs w:val="24"/>
          <w:lang w:val="es-ES_tradnl"/>
        </w:rPr>
        <w:t xml:space="preserve">con el expediente número </w:t>
      </w:r>
      <w:r w:rsidR="00C00092">
        <w:rPr>
          <w:rFonts w:ascii="Palatino Linotype" w:eastAsia="Palatino Linotype" w:hAnsi="Palatino Linotype" w:cs="Palatino Linotype"/>
          <w:b/>
          <w:color w:val="000000"/>
          <w:sz w:val="24"/>
          <w:szCs w:val="24"/>
          <w:lang w:val="es-ES_tradnl"/>
        </w:rPr>
        <w:t xml:space="preserve">07800/INFOEM/IP/RR/2022, </w:t>
      </w:r>
      <w:r w:rsidR="00C00092">
        <w:rPr>
          <w:rFonts w:ascii="Palatino Linotype" w:eastAsia="Palatino Linotype" w:hAnsi="Palatino Linotype" w:cs="Palatino Linotype"/>
          <w:color w:val="000000"/>
          <w:sz w:val="24"/>
          <w:szCs w:val="24"/>
          <w:lang w:val="es-ES_tradnl"/>
        </w:rPr>
        <w:t>manifestando lo siguiente:</w:t>
      </w: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00022AB6" w:rsidR="00C00092" w:rsidRPr="00C00092" w:rsidRDefault="00C00092" w:rsidP="00C00092">
      <w:pPr>
        <w:pStyle w:val="INFOEM"/>
        <w:rPr>
          <w:rFonts w:eastAsia="Palatino Linotype" w:cs="Palatino Linotype"/>
          <w:b/>
          <w:sz w:val="24"/>
          <w:szCs w:val="24"/>
          <w:lang w:val="es-ES_tradnl"/>
        </w:rPr>
      </w:pPr>
      <w:r>
        <w:t xml:space="preserve">“El H. Ayuntamiento de Ixtapaluca no entregó la información requerida en la solicitud con folio 00119/IXTAPALU/IP/2022.”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1A82F423" w:rsidR="00BE7F8D" w:rsidRPr="00C00092" w:rsidRDefault="00C00092" w:rsidP="00C00092">
      <w:pPr>
        <w:pStyle w:val="INFOEM"/>
        <w:rPr>
          <w:rFonts w:eastAsia="Palatino Linotype" w:cs="Palatino Linotype"/>
          <w:b/>
          <w:sz w:val="24"/>
          <w:szCs w:val="24"/>
          <w:lang w:val="es-ES_tradnl"/>
        </w:rPr>
      </w:pPr>
      <w:r>
        <w:t xml:space="preserve">“Por medio del presente, presento mi inconformidad en relación a la solicitud con folio 00119/IXTAPALU/IP/2022, en contra del Ayuntamiento de Ixtapaluca, ya que considero que se vulnera mi derecho al acceso a la información consagrado en el artículo sexto constitucional, al no dar respuesta alguna a la solicitud en cuestión en los plazos establecidos en el artículo 163 de la LEY DE TRANSPARENCIA Y ACCESO A LA INFORMACIÓN PÚBLICA DEL ESTADO DE MÉXICO Y MUNICIPIOS, que en su párrafo primero establece lo siguiente: "La Unidad de Transparencia deberá notificar la respuesta a la solicitud al interesado en el menor tiempo posible, que no podrá exceder de quince días hábiles, contados a partir del día siguiente a la presentación de aquélla.", en el caso solicitud referida, ésta fue presentada el 05/04/2022 y tenía como fecha </w:t>
      </w:r>
      <w:proofErr w:type="spellStart"/>
      <w:r>
        <w:t>limite</w:t>
      </w:r>
      <w:proofErr w:type="spellEnd"/>
      <w:r>
        <w:t xml:space="preserve"> de respuesta 03/05/2022; por ello, conforme a lo que establece el artículo 166 en su párrafo cuarto de la ley anteriormente citada: "Cuando el sujeto obligado no entregue la respuesta a la solicitud dentro del plazo previsto en la Ley, la solicitud se entenderá negada y el solicitante podrá interponer el recurso de revisión previsto en este ordenamiento." presento el presente </w:t>
      </w:r>
      <w:r>
        <w:lastRenderedPageBreak/>
        <w:t xml:space="preserve">recurso, a fin de que este Instituto instruya al sujeto obligado a entregar la información solicitada.”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w:t>
      </w:r>
      <w:r w:rsidR="004C2346">
        <w:rPr>
          <w:rFonts w:ascii="Palatino Linotype" w:eastAsia="Palatino Linotype" w:hAnsi="Palatino Linotype" w:cs="Palatino Linotype"/>
          <w:b/>
          <w:color w:val="000000"/>
          <w:sz w:val="26"/>
          <w:szCs w:val="26"/>
          <w:lang w:val="es-ES_tradnl"/>
        </w:rPr>
        <w:t>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39BC62B1"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684491">
        <w:rPr>
          <w:rFonts w:ascii="Palatino Linotype" w:eastAsia="Palatino Linotype" w:hAnsi="Palatino Linotype" w:cs="Palatino Linotype"/>
          <w:color w:val="000000"/>
          <w:sz w:val="24"/>
          <w:szCs w:val="24"/>
          <w:lang w:val="es-ES_tradnl"/>
        </w:rPr>
        <w:t xml:space="preserve">que en fecha </w:t>
      </w:r>
      <w:r w:rsidR="00C00092">
        <w:rPr>
          <w:rFonts w:ascii="Palatino Linotype" w:eastAsia="Palatino Linotype" w:hAnsi="Palatino Linotype" w:cs="Palatino Linotype"/>
          <w:color w:val="000000"/>
          <w:sz w:val="24"/>
          <w:szCs w:val="24"/>
          <w:lang w:val="es-ES_tradnl"/>
        </w:rPr>
        <w:t xml:space="preserve">diecisiete de mayo de dos mil veintidós, </w:t>
      </w:r>
      <w:r w:rsidRPr="00883102">
        <w:rPr>
          <w:rFonts w:ascii="Palatino Linotype" w:eastAsia="Palatino Linotype" w:hAnsi="Palatino Linotype" w:cs="Palatino Linotype"/>
          <w:color w:val="000000"/>
          <w:sz w:val="24"/>
          <w:szCs w:val="24"/>
          <w:lang w:val="es-ES_tradnl"/>
        </w:rPr>
        <w:t>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883102"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06D4075F" w14:textId="77777777" w:rsidR="00C00092" w:rsidRDefault="00C00092" w:rsidP="00C0009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F2B84BB" w14:textId="016404E8" w:rsidR="00C00092" w:rsidRDefault="00C00092" w:rsidP="00C000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veintisiete de mayo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57C9775C" w14:textId="77777777"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C87F557"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070A2B4D" w14:textId="77777777" w:rsidR="00C00092" w:rsidRDefault="00C00092" w:rsidP="00C0009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2C2BD51B"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289B4620"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7DE00E1"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4AD4ADFA"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C231B6C"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9DFE2A3"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D06705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B108D5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50C788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A79FA4F"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3484AC59"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0D4B1B7" w14:textId="77777777" w:rsidR="00C00092" w:rsidRPr="00187D70" w:rsidRDefault="00C00092" w:rsidP="00C0009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AB29C16" w14:textId="77777777" w:rsidR="00C00092" w:rsidRPr="009B74C2" w:rsidRDefault="00C00092" w:rsidP="00C0009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11AD355" w14:textId="77777777" w:rsidR="00C00092" w:rsidRPr="00187D70" w:rsidRDefault="00C00092" w:rsidP="00C00092">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2A2777" w14:textId="77777777" w:rsidR="00C00092" w:rsidRDefault="00C00092" w:rsidP="00C00092">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6538D3EC" w14:textId="77777777" w:rsidR="00C00092" w:rsidRPr="009B74C2" w:rsidRDefault="00C00092" w:rsidP="00C00092">
      <w:pPr>
        <w:spacing w:before="240" w:line="360" w:lineRule="auto"/>
        <w:ind w:left="851" w:right="851"/>
        <w:jc w:val="both"/>
        <w:rPr>
          <w:rFonts w:ascii="Palatino Linotype" w:hAnsi="Palatino Linotype" w:cs="Arial"/>
          <w:b/>
          <w:i/>
          <w:lang w:val="es-ES" w:eastAsia="es-ES"/>
        </w:rPr>
      </w:pPr>
    </w:p>
    <w:p w14:paraId="502700D1" w14:textId="77777777" w:rsidR="00C00092" w:rsidRDefault="00C00092" w:rsidP="00C00092">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hAnsi="Palatino Linotype" w:cs="Times New Roman"/>
          <w:sz w:val="24"/>
          <w:szCs w:val="24"/>
          <w:lang w:val="es-ES" w:eastAsia="es-ES"/>
        </w:rPr>
        <w:lastRenderedPageBreak/>
        <w:t xml:space="preserve">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035723FA"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410BDD53"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36992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C9DA15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76436756"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2E03B4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F4E5E45"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C834A3E" w14:textId="77777777" w:rsidR="00C0009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62B92982" w14:textId="77777777" w:rsidR="00C00092" w:rsidRPr="00187D70" w:rsidRDefault="00C00092" w:rsidP="00C0009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747A3BDC"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0576CBF"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4F39EC0"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DEA8B"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3BB9237"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DE518E8"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8F9365A"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p>
    <w:p w14:paraId="7BA6EBC4"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DAFAC92"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77C4C4E" w14:textId="77777777" w:rsidR="00C00092" w:rsidRPr="00187D70" w:rsidRDefault="00C00092" w:rsidP="00C0009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688426D" w14:textId="77777777" w:rsidR="00C00092" w:rsidRPr="009B74C2" w:rsidRDefault="00C00092" w:rsidP="00C0009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54690D43" w14:textId="77777777" w:rsidR="00C00092" w:rsidRDefault="00C00092" w:rsidP="00C00092">
      <w:pPr>
        <w:spacing w:after="0" w:line="360" w:lineRule="auto"/>
        <w:jc w:val="both"/>
        <w:rPr>
          <w:rFonts w:ascii="Palatino Linotype" w:eastAsia="Times New Roman" w:hAnsi="Palatino Linotype" w:cs="Times New Roman"/>
          <w:sz w:val="24"/>
          <w:szCs w:val="24"/>
          <w:lang w:val="es-ES" w:eastAsia="es-ES"/>
        </w:rPr>
      </w:pPr>
    </w:p>
    <w:p w14:paraId="5D2EAFFC" w14:textId="77777777" w:rsidR="00C00092" w:rsidRPr="00187D70" w:rsidRDefault="00C00092" w:rsidP="00C0009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63223EE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187D70">
        <w:rPr>
          <w:rFonts w:ascii="Palatino Linotype" w:hAnsi="Palatino Linotype" w:cs="Times New Roman"/>
          <w:i/>
          <w:lang w:val="es-ES" w:eastAsia="es-ES"/>
        </w:rPr>
        <w:lastRenderedPageBreak/>
        <w:t>cuyo ejercicio no podrá restringirse ni suspenderse, salvo en los casos y bajo las condiciones que esta Constitución establece.</w:t>
      </w:r>
    </w:p>
    <w:p w14:paraId="33D4BE8C" w14:textId="77777777" w:rsidR="00C00092" w:rsidRPr="00187D70" w:rsidRDefault="00C00092" w:rsidP="00C00092">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039EE066"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01134CE0" w14:textId="77777777" w:rsidR="00C00092" w:rsidRDefault="00C00092" w:rsidP="00C00092">
      <w:pPr>
        <w:spacing w:before="240" w:line="360" w:lineRule="auto"/>
        <w:ind w:left="851" w:right="851"/>
        <w:jc w:val="both"/>
        <w:rPr>
          <w:rFonts w:ascii="Palatino Linotype" w:hAnsi="Palatino Linotype" w:cs="Times New Roman"/>
          <w:b/>
          <w:i/>
          <w:lang w:val="es-ES" w:eastAsia="es-ES"/>
        </w:rPr>
      </w:pPr>
    </w:p>
    <w:p w14:paraId="5C78DA1B" w14:textId="77777777" w:rsidR="00C00092" w:rsidRDefault="00C00092" w:rsidP="00C0009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7FAF9BC6"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0EF7E99A" w14:textId="77777777" w:rsidR="00C00092" w:rsidRDefault="00C0009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794070EC" w14:textId="1BC4A5CA" w:rsidR="00DE3512" w:rsidRPr="00883102" w:rsidRDefault="005C3BE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CUARTO</w:t>
      </w:r>
      <w:r w:rsidR="00DE3512" w:rsidRPr="00883102">
        <w:rPr>
          <w:rFonts w:ascii="Palatino Linotype" w:eastAsia="Palatino Linotype" w:hAnsi="Palatino Linotype" w:cs="Palatino Linotype"/>
          <w:b/>
          <w:color w:val="000000"/>
          <w:sz w:val="26"/>
          <w:szCs w:val="26"/>
          <w:lang w:val="es-ES_tradnl"/>
        </w:rPr>
        <w:t>. Estudio y resolución del asunto.</w:t>
      </w:r>
    </w:p>
    <w:p w14:paraId="383917D4" w14:textId="6EA2DB5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Antes del entrar al estudio, cabe precisar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no realizó pronunciamiento alguno, pues no se debe perder de vista que el objeto del presente fallo nace a la vida jurídica en el momento en el que </w:t>
      </w:r>
      <w:r w:rsidR="005C3BE2">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w:t>
      </w:r>
      <w:r w:rsidRPr="00C00092">
        <w:rPr>
          <w:rFonts w:ascii="Palatino Linotype" w:eastAsia="Palatino Linotype" w:hAnsi="Palatino Linotype" w:cs="Palatino Linotype"/>
          <w:b/>
          <w:color w:val="000000"/>
          <w:sz w:val="24"/>
          <w:szCs w:val="24"/>
          <w:lang w:val="es-ES_tradnl"/>
        </w:rPr>
        <w:t>Sujeto Obligado</w:t>
      </w:r>
      <w:r w:rsidRPr="00883102">
        <w:rPr>
          <w:rFonts w:ascii="Palatino Linotype" w:eastAsia="Palatino Linotype" w:hAnsi="Palatino Linotype" w:cs="Palatino Linotype"/>
          <w:color w:val="000000"/>
          <w:sz w:val="24"/>
          <w:szCs w:val="24"/>
          <w:lang w:val="es-ES_tradnl"/>
        </w:rPr>
        <w:t xml:space="preserve"> para dar respuesta al </w:t>
      </w:r>
      <w:r w:rsidRPr="00C00092">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83102">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8E02DA3" w14:textId="794612C2" w:rsidR="00DE3512" w:rsidRPr="00883102" w:rsidRDefault="00C00092" w:rsidP="00C00092">
      <w:pPr>
        <w:pStyle w:val="INFOEM"/>
        <w:rPr>
          <w:lang w:val="es-ES_tradnl"/>
        </w:rPr>
      </w:pPr>
      <w:r>
        <w:rPr>
          <w:b/>
          <w:lang w:val="es-ES_tradnl"/>
        </w:rPr>
        <w:t>“</w:t>
      </w:r>
      <w:r w:rsidR="00DE3512" w:rsidRPr="00883102">
        <w:rPr>
          <w:b/>
          <w:lang w:val="es-ES_tradnl"/>
        </w:rPr>
        <w:t>Artículo 4.</w:t>
      </w:r>
      <w:r w:rsidR="00DE3512" w:rsidRPr="00883102">
        <w:rPr>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D899D0" w14:textId="77777777" w:rsidR="00DE3512" w:rsidRPr="00883102" w:rsidRDefault="00DE3512" w:rsidP="00C00092">
      <w:pPr>
        <w:pStyle w:val="INFOEM"/>
        <w:rPr>
          <w:lang w:val="es-ES_tradnl"/>
        </w:rPr>
      </w:pPr>
      <w:r w:rsidRPr="00883102">
        <w:rPr>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43661" w14:textId="77777777" w:rsidR="00DE3512" w:rsidRPr="00883102" w:rsidRDefault="00DE3512" w:rsidP="00C00092">
      <w:pPr>
        <w:pStyle w:val="INFOEM"/>
        <w:rPr>
          <w:lang w:val="es-ES_tradnl"/>
        </w:rPr>
      </w:pPr>
      <w:r w:rsidRPr="00883102">
        <w:rPr>
          <w:lang w:val="es-ES_tradnl"/>
        </w:rPr>
        <w:lastRenderedPageBreak/>
        <w:t>Los sujetos obligados deben poner en práctica, políticas y programas de acceso a la información que se apeguen a criterios de publicidad, veracidad, oportunidad, precisión y suficiencia en beneficio de los solicitantes.</w:t>
      </w:r>
    </w:p>
    <w:p w14:paraId="79EC60CD" w14:textId="77777777" w:rsidR="00DE3512" w:rsidRPr="00883102" w:rsidRDefault="00DE3512" w:rsidP="00C00092">
      <w:pPr>
        <w:pStyle w:val="INFOEM"/>
        <w:rPr>
          <w:lang w:val="es-ES_tradnl"/>
        </w:rPr>
      </w:pPr>
      <w:r w:rsidRPr="00883102">
        <w:rPr>
          <w:b/>
          <w:lang w:val="es-ES_tradnl"/>
        </w:rPr>
        <w:t>Artículo 12.</w:t>
      </w:r>
      <w:r w:rsidRPr="00883102">
        <w:rPr>
          <w:lang w:val="es-ES_tradnl"/>
        </w:rPr>
        <w:t xml:space="preserve"> Quienes generen, recopilen, administren, manejen, procesen, archiven o conserven información pública serán responsables de la misma en los términos de las disposiciones jurídicas aplicables.</w:t>
      </w:r>
    </w:p>
    <w:p w14:paraId="51ED37E8" w14:textId="77777777" w:rsidR="00DE3512" w:rsidRPr="00883102" w:rsidRDefault="00DE3512" w:rsidP="00C00092">
      <w:pPr>
        <w:pStyle w:val="INFOEM"/>
        <w:rPr>
          <w:lang w:val="es-ES_tradnl"/>
        </w:rPr>
      </w:pPr>
      <w:r w:rsidRPr="00883102">
        <w:rPr>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C00092">
      <w:pPr>
        <w:pStyle w:val="INFOEM"/>
        <w:rPr>
          <w:lang w:val="es-ES_tradnl"/>
        </w:rPr>
      </w:pPr>
      <w:r w:rsidRPr="00883102">
        <w:rPr>
          <w:lang w:val="es-ES_tradnl"/>
        </w:rPr>
        <w:t>(…)</w:t>
      </w:r>
    </w:p>
    <w:p w14:paraId="0E2F6367" w14:textId="77777777" w:rsidR="00DE3512" w:rsidRPr="00883102" w:rsidRDefault="00DE3512" w:rsidP="00C00092">
      <w:pPr>
        <w:pStyle w:val="INFOEM"/>
        <w:rPr>
          <w:b/>
          <w:lang w:val="es-ES_tradnl"/>
        </w:rPr>
      </w:pPr>
      <w:r w:rsidRPr="00883102">
        <w:rPr>
          <w:b/>
          <w:lang w:val="es-ES_tradnl"/>
        </w:rPr>
        <w:t xml:space="preserve">Artículo 24. </w:t>
      </w:r>
    </w:p>
    <w:p w14:paraId="4B052D26" w14:textId="77777777" w:rsidR="00DE3512" w:rsidRPr="00883102" w:rsidRDefault="00DE3512" w:rsidP="00C00092">
      <w:pPr>
        <w:pStyle w:val="INFOEM"/>
        <w:rPr>
          <w:lang w:val="es-ES_tradnl"/>
        </w:rPr>
      </w:pPr>
      <w:r w:rsidRPr="00883102">
        <w:rPr>
          <w:lang w:val="es-ES_tradnl"/>
        </w:rPr>
        <w:t>(…)</w:t>
      </w:r>
    </w:p>
    <w:p w14:paraId="20A1F6A1" w14:textId="77777777" w:rsidR="00DE3512" w:rsidRPr="00883102" w:rsidRDefault="00DE3512" w:rsidP="00C00092">
      <w:pPr>
        <w:pStyle w:val="INFOEM"/>
        <w:rPr>
          <w:lang w:val="es-ES_tradnl"/>
        </w:rPr>
      </w:pPr>
      <w:r w:rsidRPr="00883102">
        <w:rPr>
          <w:lang w:val="es-ES_tradnl"/>
        </w:rPr>
        <w:t>Los sujetos obligados solo proporcionarán la información pública que generen, administren o posean en el ejercicio de sus atribuciones.”</w:t>
      </w:r>
    </w:p>
    <w:p w14:paraId="007F4094" w14:textId="77777777" w:rsidR="00DE3512" w:rsidRPr="00883102" w:rsidRDefault="00DE3512" w:rsidP="00C00092">
      <w:pPr>
        <w:pStyle w:val="INFOEM"/>
        <w:rPr>
          <w:lang w:val="es-ES_tradnl"/>
        </w:rPr>
      </w:pPr>
      <w:r w:rsidRPr="00883102">
        <w:rPr>
          <w:lang w:val="es-ES_tradnl"/>
        </w:rPr>
        <w:t>(…)</w:t>
      </w:r>
    </w:p>
    <w:p w14:paraId="3B81CB7D" w14:textId="77777777" w:rsidR="00DE3512" w:rsidRPr="00883102" w:rsidRDefault="00DE3512" w:rsidP="00C00092">
      <w:pPr>
        <w:pStyle w:val="INFOEM"/>
        <w:rPr>
          <w:lang w:val="es-ES_tradnl"/>
        </w:rPr>
      </w:pPr>
      <w:r w:rsidRPr="00883102">
        <w:rPr>
          <w:b/>
          <w:lang w:val="es-ES_tradnl"/>
        </w:rPr>
        <w:t>Artículo 160.</w:t>
      </w:r>
      <w:r w:rsidRPr="00883102">
        <w:rPr>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w:t>
      </w:r>
      <w:r w:rsidRPr="00883102">
        <w:rPr>
          <w:lang w:val="es-ES_tradnl"/>
        </w:rPr>
        <w:lastRenderedPageBreak/>
        <w:t>entre aquellos formatos existentes, conforme a las características físicas de la información o del lugar donde se encuentre así lo permita.</w:t>
      </w:r>
    </w:p>
    <w:p w14:paraId="25E3C37E" w14:textId="5F2D7C21" w:rsidR="00DE3512" w:rsidRPr="00C00092" w:rsidRDefault="00DE3512" w:rsidP="00C00092">
      <w:pPr>
        <w:pStyle w:val="INFOEM"/>
        <w:rPr>
          <w:b/>
          <w:lang w:val="es-ES_tradnl"/>
        </w:rPr>
      </w:pPr>
      <w:r w:rsidRPr="00883102">
        <w:rPr>
          <w:lang w:val="es-ES_tradnl"/>
        </w:rPr>
        <w:t>En caso que la información solicitada consista en bases de datos se deberá privilegiar la entrega de la misma en formatos abiertos.</w:t>
      </w:r>
      <w:r w:rsidR="00C00092">
        <w:rPr>
          <w:lang w:val="es-ES_tradnl"/>
        </w:rPr>
        <w:t xml:space="preserve">” </w:t>
      </w:r>
      <w:r w:rsidR="00C00092">
        <w:rPr>
          <w:b/>
          <w:lang w:val="es-ES_tradnl"/>
        </w:rPr>
        <w:t>(Sic)</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que la obligación de los </w:t>
      </w:r>
      <w:r w:rsidRPr="003834CC">
        <w:rPr>
          <w:rFonts w:ascii="Palatino Linotype" w:eastAsia="Palatino Linotype" w:hAnsi="Palatino Linotype" w:cs="Palatino Linotype"/>
          <w:b/>
          <w:color w:val="000000"/>
          <w:sz w:val="24"/>
          <w:szCs w:val="24"/>
          <w:lang w:val="es-ES_tradnl"/>
        </w:rPr>
        <w:t>Sujetos Obligados</w:t>
      </w:r>
      <w:r w:rsidRPr="00883102">
        <w:rPr>
          <w:rFonts w:ascii="Palatino Linotype" w:eastAsia="Palatino Linotype" w:hAnsi="Palatino Linotype" w:cs="Palatino Linotype"/>
          <w:color w:val="000000"/>
          <w:sz w:val="24"/>
          <w:szCs w:val="24"/>
          <w:lang w:val="es-ES_tradnl"/>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A0DCD91" w14:textId="213D811F" w:rsidR="00DE3512" w:rsidRPr="003834CC" w:rsidRDefault="003834CC" w:rsidP="003834CC">
      <w:pPr>
        <w:pStyle w:val="INFOEM"/>
        <w:rPr>
          <w:b/>
          <w:lang w:val="es-ES_tradnl"/>
        </w:rPr>
      </w:pPr>
      <w:r>
        <w:rPr>
          <w:b/>
          <w:lang w:val="es-ES_tradnl"/>
        </w:rPr>
        <w:t>“</w:t>
      </w:r>
      <w:r w:rsidR="00DE3512" w:rsidRPr="00883102">
        <w:rPr>
          <w:b/>
          <w:lang w:val="es-ES_tradnl"/>
        </w:rPr>
        <w:t>Artículo 166.</w:t>
      </w:r>
      <w:r w:rsidR="00DE3512" w:rsidRPr="00883102">
        <w:rPr>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r>
        <w:rPr>
          <w:lang w:val="es-ES_tradnl"/>
        </w:rPr>
        <w:t xml:space="preserve">” </w:t>
      </w:r>
      <w:r>
        <w:rPr>
          <w:b/>
          <w:lang w:val="es-ES_tradnl"/>
        </w:rPr>
        <w:t>(Sic)</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 lo anterior, conforme a las acciones del Sujeto Obligado, se establece que éste vulnera el derecho de acceso a la información pública del </w:t>
      </w:r>
      <w:r w:rsidRPr="003834CC">
        <w:rPr>
          <w:rFonts w:ascii="Palatino Linotype" w:eastAsia="Palatino Linotype" w:hAnsi="Palatino Linotype" w:cs="Palatino Linotype"/>
          <w:b/>
          <w:color w:val="000000"/>
          <w:sz w:val="24"/>
          <w:szCs w:val="24"/>
          <w:lang w:val="es-ES_tradnl"/>
        </w:rPr>
        <w:t>Recurrente,</w:t>
      </w:r>
      <w:r w:rsidRPr="00883102">
        <w:rPr>
          <w:rFonts w:ascii="Palatino Linotype" w:eastAsia="Palatino Linotype" w:hAnsi="Palatino Linotype" w:cs="Palatino Linotype"/>
          <w:color w:val="000000"/>
          <w:sz w:val="24"/>
          <w:szCs w:val="24"/>
          <w:lang w:val="es-ES_tradnl"/>
        </w:rPr>
        <w:t xml:space="preserve"> toda vez que no entrega respuesta a la solicitud de información presentada, de conformidad a lo establecido en los artículos 24 fracción XI, y 166 de la ley local en la materia, y que señalan:</w:t>
      </w:r>
    </w:p>
    <w:p w14:paraId="3A476EBD" w14:textId="41229539" w:rsidR="00DE3512" w:rsidRPr="00883102" w:rsidRDefault="003834CC" w:rsidP="003834CC">
      <w:pPr>
        <w:pStyle w:val="INFOEM"/>
        <w:rPr>
          <w:lang w:val="es-ES_tradnl"/>
        </w:rPr>
      </w:pPr>
      <w:r>
        <w:rPr>
          <w:b/>
          <w:lang w:val="es-ES_tradnl"/>
        </w:rPr>
        <w:lastRenderedPageBreak/>
        <w:t>“</w:t>
      </w:r>
      <w:r w:rsidR="00DE3512" w:rsidRPr="00883102">
        <w:rPr>
          <w:b/>
          <w:lang w:val="es-ES_tradnl"/>
        </w:rPr>
        <w:t>Artículo 24.</w:t>
      </w:r>
      <w:r w:rsidR="00DE3512" w:rsidRPr="00883102">
        <w:rPr>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3834CC">
      <w:pPr>
        <w:pStyle w:val="INFOEM"/>
        <w:rPr>
          <w:lang w:val="es-ES_tradnl"/>
        </w:rPr>
      </w:pPr>
      <w:r w:rsidRPr="00883102">
        <w:rPr>
          <w:lang w:val="es-ES_tradnl"/>
        </w:rPr>
        <w:t>(...)</w:t>
      </w:r>
    </w:p>
    <w:p w14:paraId="24F1254C" w14:textId="77777777" w:rsidR="00DE3512" w:rsidRPr="00883102" w:rsidRDefault="00DE3512" w:rsidP="003834CC">
      <w:pPr>
        <w:pStyle w:val="INFOEM"/>
        <w:rPr>
          <w:lang w:val="es-ES_tradnl"/>
        </w:rPr>
      </w:pPr>
      <w:r w:rsidRPr="00883102">
        <w:rPr>
          <w:lang w:val="es-ES_tradnl"/>
        </w:rPr>
        <w:t>XI. Dar acceso a la información pública que le sea requerida, en los términos de la Ley General, esta Ley y demás disposiciones jurídicas aplicables;</w:t>
      </w:r>
    </w:p>
    <w:p w14:paraId="523090C7" w14:textId="72E3A7C0" w:rsidR="00DE3512" w:rsidRPr="003834CC" w:rsidRDefault="00DE3512" w:rsidP="003834CC">
      <w:pPr>
        <w:pStyle w:val="INFOEM"/>
        <w:rPr>
          <w:b/>
          <w:lang w:val="es-ES_tradnl"/>
        </w:rPr>
      </w:pPr>
      <w:r w:rsidRPr="00883102">
        <w:rPr>
          <w:lang w:val="es-ES_tradnl"/>
        </w:rPr>
        <w:t>(...)</w:t>
      </w:r>
      <w:r w:rsidR="003834CC">
        <w:rPr>
          <w:lang w:val="es-ES_tradnl"/>
        </w:rPr>
        <w:t xml:space="preserve">” </w:t>
      </w:r>
      <w:r w:rsidR="003834CC">
        <w:rPr>
          <w:b/>
          <w:lang w:val="es-ES_tradnl"/>
        </w:rPr>
        <w:t>(Sic)</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011D92FC" w:rsidR="00285EA0"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w:t>
      </w:r>
      <w:r w:rsidR="003834CC">
        <w:rPr>
          <w:rFonts w:ascii="Palatino Linotype" w:eastAsia="Palatino Linotype" w:hAnsi="Palatino Linotype" w:cs="Palatino Linotype"/>
          <w:color w:val="000000"/>
          <w:sz w:val="24"/>
          <w:szCs w:val="24"/>
          <w:lang w:val="es-ES_tradnl"/>
        </w:rPr>
        <w:t>el</w:t>
      </w:r>
      <w:r w:rsidR="00E11301">
        <w:rPr>
          <w:rFonts w:ascii="Palatino Linotype" w:eastAsia="Palatino Linotype" w:hAnsi="Palatino Linotype" w:cs="Palatino Linotype"/>
          <w:color w:val="000000"/>
          <w:sz w:val="24"/>
          <w:szCs w:val="24"/>
          <w:lang w:val="es-ES_tradnl"/>
        </w:rPr>
        <w:t xml:space="preserve"> hoy</w:t>
      </w:r>
      <w:r w:rsidR="00684491">
        <w:rPr>
          <w:rFonts w:ascii="Palatino Linotype" w:eastAsia="Palatino Linotype" w:hAnsi="Palatino Linotype" w:cs="Palatino Linotype"/>
          <w:color w:val="000000"/>
          <w:sz w:val="24"/>
          <w:szCs w:val="24"/>
          <w:lang w:val="es-ES_tradnl"/>
        </w:rPr>
        <w:t xml:space="preserve"> Recurrente solicitó conocer lo siguiente:</w:t>
      </w:r>
    </w:p>
    <w:p w14:paraId="0CA51264" w14:textId="2A0F2BB7" w:rsidR="003834CC" w:rsidRPr="003834CC" w:rsidRDefault="003834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1</w:t>
      </w:r>
      <w:r w:rsidRPr="003834CC">
        <w:rPr>
          <w:rFonts w:ascii="Palatino Linotype" w:eastAsia="Palatino Linotype" w:hAnsi="Palatino Linotype" w:cs="Palatino Linotype"/>
          <w:color w:val="000000"/>
          <w:sz w:val="24"/>
          <w:szCs w:val="24"/>
          <w:lang w:val="es-ES_tradnl"/>
        </w:rPr>
        <w:t>. ¿Existe un órgano de acceso a la información pública municipal?</w:t>
      </w:r>
    </w:p>
    <w:p w14:paraId="24BBE627" w14:textId="77777777" w:rsidR="003834CC" w:rsidRPr="003834CC" w:rsidRDefault="003834CC" w:rsidP="003834CC">
      <w:pPr>
        <w:pStyle w:val="INFOEM"/>
        <w:ind w:left="0"/>
        <w:rPr>
          <w:i w:val="0"/>
          <w:sz w:val="24"/>
          <w:szCs w:val="24"/>
        </w:rPr>
      </w:pPr>
      <w:r w:rsidRPr="003834CC">
        <w:rPr>
          <w:i w:val="0"/>
          <w:sz w:val="24"/>
          <w:szCs w:val="24"/>
        </w:rPr>
        <w:t xml:space="preserve">2. ¿Cuenta con módulo y portal web para hacer pública la información? </w:t>
      </w:r>
    </w:p>
    <w:p w14:paraId="5FE4720E" w14:textId="77777777" w:rsidR="003834CC" w:rsidRPr="003834CC" w:rsidRDefault="003834CC" w:rsidP="003834CC">
      <w:pPr>
        <w:pStyle w:val="INFOEM"/>
        <w:ind w:left="0"/>
        <w:rPr>
          <w:i w:val="0"/>
          <w:sz w:val="24"/>
          <w:szCs w:val="24"/>
        </w:rPr>
      </w:pPr>
      <w:r w:rsidRPr="003834CC">
        <w:rPr>
          <w:i w:val="0"/>
          <w:sz w:val="24"/>
          <w:szCs w:val="24"/>
        </w:rPr>
        <w:t xml:space="preserve">3. ¿Publica la información de acuerdo a la legislación en la materia? </w:t>
      </w:r>
    </w:p>
    <w:p w14:paraId="29E36CD2" w14:textId="77777777" w:rsidR="003834CC" w:rsidRPr="003834CC" w:rsidRDefault="003834CC" w:rsidP="003834CC">
      <w:pPr>
        <w:pStyle w:val="INFOEM"/>
        <w:ind w:left="0"/>
        <w:rPr>
          <w:i w:val="0"/>
          <w:sz w:val="24"/>
          <w:szCs w:val="24"/>
        </w:rPr>
      </w:pPr>
      <w:r w:rsidRPr="003834CC">
        <w:rPr>
          <w:i w:val="0"/>
          <w:sz w:val="24"/>
          <w:szCs w:val="24"/>
        </w:rPr>
        <w:t>4. ¿Se cuenta con algún programa para la detección y el combate de la corrupción que considere la participación ciudadana?</w:t>
      </w:r>
    </w:p>
    <w:p w14:paraId="6A41F513" w14:textId="77777777" w:rsidR="003834CC" w:rsidRPr="003834CC" w:rsidRDefault="003834CC" w:rsidP="003834CC">
      <w:pPr>
        <w:pStyle w:val="INFOEM"/>
        <w:ind w:left="0"/>
        <w:rPr>
          <w:i w:val="0"/>
          <w:sz w:val="24"/>
          <w:szCs w:val="24"/>
        </w:rPr>
      </w:pPr>
      <w:r w:rsidRPr="003834CC">
        <w:rPr>
          <w:i w:val="0"/>
          <w:sz w:val="24"/>
          <w:szCs w:val="24"/>
        </w:rPr>
        <w:t xml:space="preserve"> 5. ¿Qué proporción guardan los procedimientos instaurados en relación a las denuncias procedentes? </w:t>
      </w:r>
    </w:p>
    <w:p w14:paraId="33545F42" w14:textId="77777777" w:rsidR="003834CC" w:rsidRPr="003834CC" w:rsidRDefault="003834CC" w:rsidP="003834CC">
      <w:pPr>
        <w:pStyle w:val="INFOEM"/>
        <w:ind w:left="0"/>
        <w:rPr>
          <w:i w:val="0"/>
          <w:sz w:val="24"/>
          <w:szCs w:val="24"/>
        </w:rPr>
      </w:pPr>
      <w:r w:rsidRPr="003834CC">
        <w:rPr>
          <w:i w:val="0"/>
          <w:sz w:val="24"/>
          <w:szCs w:val="24"/>
        </w:rPr>
        <w:t>6. ¿Se cuenta con instancia promotora de la participación ciudadana?</w:t>
      </w:r>
    </w:p>
    <w:p w14:paraId="4B685D64" w14:textId="77777777" w:rsidR="003834CC" w:rsidRPr="003834CC" w:rsidRDefault="003834CC" w:rsidP="003834CC">
      <w:pPr>
        <w:pStyle w:val="INFOEM"/>
        <w:ind w:left="0"/>
        <w:rPr>
          <w:i w:val="0"/>
          <w:sz w:val="24"/>
          <w:szCs w:val="24"/>
        </w:rPr>
      </w:pPr>
      <w:r w:rsidRPr="003834CC">
        <w:rPr>
          <w:i w:val="0"/>
          <w:sz w:val="24"/>
          <w:szCs w:val="24"/>
        </w:rPr>
        <w:t xml:space="preserve"> 7. ¿Se cuenta con un comité de planeación municipal? </w:t>
      </w:r>
    </w:p>
    <w:p w14:paraId="47FB3412" w14:textId="42769859" w:rsidR="003834CC" w:rsidRPr="003834CC" w:rsidRDefault="003834CC" w:rsidP="003834CC">
      <w:pPr>
        <w:pStyle w:val="INFOEM"/>
        <w:ind w:left="0"/>
        <w:rPr>
          <w:i w:val="0"/>
          <w:sz w:val="24"/>
          <w:szCs w:val="24"/>
        </w:rPr>
      </w:pPr>
      <w:r w:rsidRPr="003834CC">
        <w:rPr>
          <w:i w:val="0"/>
          <w:sz w:val="24"/>
          <w:szCs w:val="24"/>
        </w:rPr>
        <w:lastRenderedPageBreak/>
        <w:t xml:space="preserve">8. ¿Cuáles son las comisiones y/o consejos existentes en el municipio y como están integradas? </w:t>
      </w:r>
    </w:p>
    <w:p w14:paraId="032EF62A" w14:textId="77777777" w:rsidR="003834CC" w:rsidRPr="003834CC" w:rsidRDefault="003834CC" w:rsidP="003834CC">
      <w:pPr>
        <w:pStyle w:val="INFOEM"/>
        <w:ind w:left="0"/>
        <w:rPr>
          <w:i w:val="0"/>
          <w:sz w:val="24"/>
          <w:szCs w:val="24"/>
        </w:rPr>
      </w:pPr>
      <w:r w:rsidRPr="003834CC">
        <w:rPr>
          <w:i w:val="0"/>
          <w:sz w:val="24"/>
          <w:szCs w:val="24"/>
        </w:rPr>
        <w:t xml:space="preserve">9. ¿Se cuenta con mecanismos de consulta ciudadana para la planeación y seguimiento de políticas y programas? </w:t>
      </w:r>
    </w:p>
    <w:p w14:paraId="7A2BF3DA" w14:textId="77777777" w:rsidR="003834CC" w:rsidRPr="003834CC" w:rsidRDefault="003834CC" w:rsidP="003834CC">
      <w:pPr>
        <w:pStyle w:val="INFOEM"/>
        <w:ind w:left="0"/>
        <w:rPr>
          <w:i w:val="0"/>
          <w:sz w:val="24"/>
          <w:szCs w:val="24"/>
        </w:rPr>
      </w:pPr>
      <w:r w:rsidRPr="003834CC">
        <w:rPr>
          <w:i w:val="0"/>
          <w:sz w:val="24"/>
          <w:szCs w:val="24"/>
        </w:rPr>
        <w:t xml:space="preserve">10. ¿Lleva a cabo el municipio consultas ciudadanas para la evaluación de su gestión? </w:t>
      </w:r>
    </w:p>
    <w:p w14:paraId="6F3FF650" w14:textId="77777777" w:rsidR="003834CC" w:rsidRPr="003834CC" w:rsidRDefault="003834CC" w:rsidP="003834CC">
      <w:pPr>
        <w:pStyle w:val="INFOEM"/>
        <w:ind w:left="0"/>
        <w:rPr>
          <w:i w:val="0"/>
          <w:sz w:val="24"/>
          <w:szCs w:val="24"/>
        </w:rPr>
      </w:pPr>
      <w:r w:rsidRPr="003834CC">
        <w:rPr>
          <w:i w:val="0"/>
          <w:sz w:val="24"/>
          <w:szCs w:val="24"/>
        </w:rPr>
        <w:t xml:space="preserve">11. ¿Se cuenta con órganos y mecanismos de contraloría social? </w:t>
      </w:r>
    </w:p>
    <w:p w14:paraId="455B3F45" w14:textId="079F4E76" w:rsidR="003834CC" w:rsidRPr="003834CC" w:rsidRDefault="003834CC" w:rsidP="003834CC">
      <w:pPr>
        <w:pStyle w:val="INFOEM"/>
        <w:ind w:left="0"/>
        <w:rPr>
          <w:i w:val="0"/>
          <w:sz w:val="24"/>
          <w:szCs w:val="24"/>
        </w:rPr>
      </w:pPr>
      <w:r>
        <w:rPr>
          <w:i w:val="0"/>
          <w:sz w:val="24"/>
          <w:szCs w:val="24"/>
        </w:rPr>
        <w:t>12. ¿S</w:t>
      </w:r>
      <w:r w:rsidRPr="003834CC">
        <w:rPr>
          <w:i w:val="0"/>
          <w:sz w:val="24"/>
          <w:szCs w:val="24"/>
        </w:rPr>
        <w:t xml:space="preserve">e cuenta con mecanismos de atención ciudadana a peticiones, quejas, denuncias y sugerencias ciudadanas, con seguimiento institucional? </w:t>
      </w:r>
    </w:p>
    <w:p w14:paraId="38A6C8A6" w14:textId="5291347A" w:rsidR="003834CC" w:rsidRPr="003834CC" w:rsidRDefault="003834CC" w:rsidP="003834CC">
      <w:pPr>
        <w:pStyle w:val="INFOEM"/>
        <w:ind w:left="0"/>
        <w:rPr>
          <w:i w:val="0"/>
          <w:sz w:val="24"/>
          <w:szCs w:val="24"/>
        </w:rPr>
      </w:pPr>
      <w:r>
        <w:rPr>
          <w:i w:val="0"/>
          <w:sz w:val="24"/>
          <w:szCs w:val="24"/>
        </w:rPr>
        <w:t>13. ¿S</w:t>
      </w:r>
      <w:r w:rsidRPr="003834CC">
        <w:rPr>
          <w:i w:val="0"/>
          <w:sz w:val="24"/>
          <w:szCs w:val="24"/>
        </w:rPr>
        <w:t xml:space="preserve">e han realizado labores en defensa del bienestar animal? </w:t>
      </w:r>
    </w:p>
    <w:p w14:paraId="7E51FC1C" w14:textId="0E0C2ED3" w:rsidR="003834CC" w:rsidRPr="003834CC" w:rsidRDefault="003834CC" w:rsidP="003834CC">
      <w:pPr>
        <w:pStyle w:val="INFOEM"/>
        <w:ind w:left="0"/>
        <w:rPr>
          <w:i w:val="0"/>
          <w:sz w:val="24"/>
          <w:szCs w:val="24"/>
        </w:rPr>
      </w:pPr>
      <w:r w:rsidRPr="003834CC">
        <w:rPr>
          <w:i w:val="0"/>
          <w:sz w:val="24"/>
          <w:szCs w:val="24"/>
        </w:rPr>
        <w:t>14.</w:t>
      </w:r>
      <w:r>
        <w:rPr>
          <w:i w:val="0"/>
          <w:sz w:val="24"/>
          <w:szCs w:val="24"/>
        </w:rPr>
        <w:t xml:space="preserve"> </w:t>
      </w:r>
      <w:r w:rsidRPr="003834CC">
        <w:rPr>
          <w:i w:val="0"/>
          <w:sz w:val="24"/>
          <w:szCs w:val="24"/>
        </w:rPr>
        <w:t xml:space="preserve">¿Se ha sorprendido a carretoneros en uso de caballos o burros para recolección de basura o estos cuentan con algún permiso para ello? </w:t>
      </w:r>
    </w:p>
    <w:p w14:paraId="6562C491" w14:textId="515FEA41" w:rsidR="003834CC" w:rsidRPr="003834CC" w:rsidRDefault="003834CC" w:rsidP="003834CC">
      <w:pPr>
        <w:pStyle w:val="INFOEM"/>
        <w:ind w:left="0"/>
        <w:rPr>
          <w:i w:val="0"/>
          <w:sz w:val="24"/>
          <w:szCs w:val="24"/>
        </w:rPr>
      </w:pPr>
      <w:r w:rsidRPr="003834CC">
        <w:rPr>
          <w:i w:val="0"/>
          <w:sz w:val="24"/>
          <w:szCs w:val="24"/>
        </w:rPr>
        <w:t>15.</w:t>
      </w:r>
      <w:r>
        <w:rPr>
          <w:i w:val="0"/>
          <w:sz w:val="24"/>
          <w:szCs w:val="24"/>
        </w:rPr>
        <w:t xml:space="preserve"> ¿E</w:t>
      </w:r>
      <w:r w:rsidRPr="003834CC">
        <w:rPr>
          <w:i w:val="0"/>
          <w:sz w:val="24"/>
          <w:szCs w:val="24"/>
        </w:rPr>
        <w:t xml:space="preserve">xiste algún reglamento vigente de bienestar animal aprobado en esta administración o alguna pasada? </w:t>
      </w:r>
    </w:p>
    <w:p w14:paraId="3BA79440" w14:textId="543BDC6B" w:rsidR="003834CC" w:rsidRPr="003834CC" w:rsidRDefault="003834CC" w:rsidP="003834CC">
      <w:pPr>
        <w:pStyle w:val="INFOEM"/>
        <w:ind w:left="0"/>
        <w:rPr>
          <w:rFonts w:eastAsia="Palatino Linotype" w:cs="Palatino Linotype"/>
          <w:b/>
          <w:i w:val="0"/>
          <w:sz w:val="24"/>
          <w:szCs w:val="24"/>
          <w:lang w:val="es-ES_tradnl"/>
        </w:rPr>
      </w:pPr>
      <w:r w:rsidRPr="003834CC">
        <w:rPr>
          <w:i w:val="0"/>
          <w:sz w:val="24"/>
          <w:szCs w:val="24"/>
        </w:rPr>
        <w:t>16.</w:t>
      </w:r>
      <w:r>
        <w:rPr>
          <w:i w:val="0"/>
          <w:sz w:val="24"/>
          <w:szCs w:val="24"/>
        </w:rPr>
        <w:t xml:space="preserve"> </w:t>
      </w:r>
      <w:r w:rsidRPr="003834CC">
        <w:rPr>
          <w:i w:val="0"/>
          <w:sz w:val="24"/>
          <w:szCs w:val="24"/>
        </w:rPr>
        <w:t>¿Si acaso hubiese alguno anterior se derogó o sigue vigente?</w:t>
      </w:r>
    </w:p>
    <w:p w14:paraId="33BF4053" w14:textId="77777777" w:rsidR="003834CC" w:rsidRDefault="003834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026AC0F4" w:rsidR="00285EA0" w:rsidRPr="00883102" w:rsidRDefault="003834C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rPr>
        <w:t>D</w:t>
      </w:r>
      <w:r w:rsidR="00FE6B3A" w:rsidRPr="00A27FD0">
        <w:rPr>
          <w:rFonts w:ascii="Palatino Linotype" w:eastAsia="Palatino Linotype" w:hAnsi="Palatino Linotype" w:cs="Palatino Linotype"/>
          <w:color w:val="000000"/>
          <w:sz w:val="24"/>
          <w:szCs w:val="24"/>
        </w:rPr>
        <w:t xml:space="preserve">ebido a que </w:t>
      </w:r>
      <w:r>
        <w:rPr>
          <w:rFonts w:ascii="Palatino Linotype" w:eastAsia="Palatino Linotype" w:hAnsi="Palatino Linotype" w:cs="Palatino Linotype"/>
          <w:b/>
          <w:color w:val="000000"/>
          <w:sz w:val="24"/>
          <w:szCs w:val="24"/>
        </w:rPr>
        <w:t>E</w:t>
      </w:r>
      <w:r w:rsidR="00FE6B3A" w:rsidRPr="003834CC">
        <w:rPr>
          <w:rFonts w:ascii="Palatino Linotype" w:eastAsia="Palatino Linotype" w:hAnsi="Palatino Linotype" w:cs="Palatino Linotype"/>
          <w:b/>
          <w:color w:val="000000"/>
          <w:sz w:val="24"/>
          <w:szCs w:val="24"/>
        </w:rPr>
        <w:t>l Sujeto Obligado</w:t>
      </w:r>
      <w:r w:rsidR="00FE6B3A" w:rsidRPr="00A27FD0">
        <w:rPr>
          <w:rFonts w:ascii="Palatino Linotype" w:eastAsia="Palatino Linotype" w:hAnsi="Palatino Linotype" w:cs="Palatino Linotype"/>
          <w:color w:val="000000"/>
          <w:sz w:val="24"/>
          <w:szCs w:val="24"/>
        </w:rPr>
        <w:t xml:space="preserve"> no</w:t>
      </w:r>
      <w:r w:rsidR="00FE6B3A">
        <w:rPr>
          <w:rFonts w:ascii="Palatino Linotype" w:eastAsia="Palatino Linotype" w:hAnsi="Palatino Linotype" w:cs="Palatino Linotype"/>
          <w:color w:val="000000"/>
          <w:sz w:val="24"/>
          <w:szCs w:val="24"/>
        </w:rPr>
        <w:t xml:space="preserve"> atendió la solicitud de mérito, </w:t>
      </w:r>
      <w:r>
        <w:rPr>
          <w:rFonts w:ascii="Palatino Linotype" w:eastAsia="Palatino Linotype" w:hAnsi="Palatino Linotype" w:cs="Palatino Linotype"/>
          <w:color w:val="000000"/>
          <w:sz w:val="24"/>
          <w:szCs w:val="24"/>
        </w:rPr>
        <w:t>el</w:t>
      </w:r>
      <w:r w:rsidR="00FE6B3A">
        <w:rPr>
          <w:rFonts w:ascii="Palatino Linotype" w:eastAsia="Palatino Linotype" w:hAnsi="Palatino Linotype" w:cs="Palatino Linotype"/>
          <w:color w:val="000000"/>
          <w:sz w:val="24"/>
          <w:szCs w:val="24"/>
        </w:rPr>
        <w:t xml:space="preserve"> particular interpuso su medio de impugnación señalando como acto impugnado </w:t>
      </w:r>
      <w:r w:rsidR="00684491">
        <w:rPr>
          <w:rFonts w:ascii="Palatino Linotype" w:eastAsia="Palatino Linotype" w:hAnsi="Palatino Linotype" w:cs="Palatino Linotype"/>
          <w:color w:val="000000"/>
          <w:sz w:val="24"/>
          <w:szCs w:val="24"/>
        </w:rPr>
        <w:t xml:space="preserve">la solicitud </w:t>
      </w:r>
      <w:r w:rsidR="00DC0ED9">
        <w:rPr>
          <w:rFonts w:ascii="Palatino Linotype" w:eastAsia="Palatino Linotype" w:hAnsi="Palatino Linotype" w:cs="Palatino Linotype"/>
          <w:color w:val="000000"/>
          <w:sz w:val="24"/>
          <w:szCs w:val="24"/>
        </w:rPr>
        <w:t>que</w:t>
      </w:r>
      <w:r w:rsidR="00684491">
        <w:rPr>
          <w:rFonts w:ascii="Palatino Linotype" w:eastAsia="Palatino Linotype" w:hAnsi="Palatino Linotype" w:cs="Palatino Linotype"/>
          <w:color w:val="000000"/>
          <w:sz w:val="24"/>
          <w:szCs w:val="24"/>
        </w:rPr>
        <w:t xml:space="preserve"> realizó </w:t>
      </w:r>
      <w:r w:rsidR="00E11301">
        <w:rPr>
          <w:rFonts w:ascii="Palatino Linotype" w:eastAsia="Palatino Linotype" w:hAnsi="Palatino Linotype" w:cs="Palatino Linotype"/>
          <w:color w:val="000000"/>
          <w:sz w:val="24"/>
          <w:szCs w:val="24"/>
        </w:rPr>
        <w:t xml:space="preserve">y </w:t>
      </w:r>
      <w:r w:rsidR="00684491">
        <w:rPr>
          <w:rFonts w:ascii="Palatino Linotype" w:eastAsia="Palatino Linotype" w:hAnsi="Palatino Linotype" w:cs="Palatino Linotype"/>
          <w:color w:val="000000"/>
          <w:sz w:val="24"/>
          <w:szCs w:val="24"/>
        </w:rPr>
        <w:t xml:space="preserve">dando como </w:t>
      </w:r>
      <w:r w:rsidR="00E11301">
        <w:rPr>
          <w:rFonts w:ascii="Palatino Linotype" w:eastAsia="Palatino Linotype" w:hAnsi="Palatino Linotype" w:cs="Palatino Linotype"/>
          <w:color w:val="000000"/>
          <w:sz w:val="24"/>
          <w:szCs w:val="24"/>
        </w:rPr>
        <w:t xml:space="preserve">razones o motivos de inconformidad </w:t>
      </w:r>
      <w:r w:rsidR="00684491">
        <w:rPr>
          <w:rFonts w:ascii="Palatino Linotype" w:eastAsia="Palatino Linotype" w:hAnsi="Palatino Linotype" w:cs="Palatino Linotype"/>
          <w:color w:val="000000"/>
          <w:sz w:val="24"/>
          <w:szCs w:val="24"/>
        </w:rPr>
        <w:t>la falta de respuesta.</w:t>
      </w:r>
    </w:p>
    <w:p w14:paraId="66470891" w14:textId="438DE293"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En ese orden de ideas, se tiene que </w:t>
      </w:r>
      <w:r w:rsidR="003834CC">
        <w:rPr>
          <w:rFonts w:ascii="Palatino Linotype" w:eastAsiaTheme="minorHAnsi" w:hAnsi="Palatino Linotype" w:cstheme="minorBidi"/>
          <w:b/>
          <w:sz w:val="24"/>
          <w:szCs w:val="24"/>
          <w:lang w:val="es-ES_tradnl" w:eastAsia="en-US"/>
        </w:rPr>
        <w:t>E</w:t>
      </w:r>
      <w:r w:rsidRPr="003834CC">
        <w:rPr>
          <w:rFonts w:ascii="Palatino Linotype" w:eastAsiaTheme="minorHAnsi" w:hAnsi="Palatino Linotype" w:cstheme="minorBidi"/>
          <w:b/>
          <w:sz w:val="24"/>
          <w:szCs w:val="24"/>
          <w:lang w:val="es-ES_tradnl" w:eastAsia="en-US"/>
        </w:rPr>
        <w:t>l Sujeto Obligado</w:t>
      </w:r>
      <w:r w:rsidRPr="00883102">
        <w:rPr>
          <w:rFonts w:ascii="Palatino Linotype" w:eastAsiaTheme="minorHAnsi" w:hAnsi="Palatino Linotype" w:cstheme="minorBidi"/>
          <w:sz w:val="24"/>
          <w:szCs w:val="24"/>
          <w:lang w:val="es-ES_tradnl" w:eastAsia="en-US"/>
        </w:rPr>
        <w:t xml:space="preserve">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Pr="00883102">
        <w:rPr>
          <w:rFonts w:ascii="Palatino Linotype" w:eastAsiaTheme="minorHAnsi" w:hAnsi="Palatino Linotype" w:cstheme="minorBidi"/>
          <w:sz w:val="24"/>
          <w:szCs w:val="24"/>
          <w:lang w:val="es-ES_tradnl" w:eastAsia="en-US"/>
        </w:rPr>
        <w:t xml:space="preserve">a falta de informe 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E5EE3B2" w:rsidR="00DE3512" w:rsidRPr="00883102" w:rsidRDefault="00683B9C" w:rsidP="00AF13E8">
      <w:pPr>
        <w:spacing w:after="0" w:line="360" w:lineRule="auto"/>
        <w:jc w:val="both"/>
        <w:rPr>
          <w:rFonts w:ascii="Palatino Linotype" w:eastAsiaTheme="minorHAnsi" w:hAnsi="Palatino Linotype" w:cstheme="minorBidi"/>
          <w:sz w:val="24"/>
          <w:szCs w:val="24"/>
          <w:lang w:val="es-ES_tradnl" w:eastAsia="en-US"/>
        </w:rPr>
      </w:pPr>
      <w:r>
        <w:rPr>
          <w:rFonts w:ascii="Palatino Linotype" w:eastAsiaTheme="minorHAnsi" w:hAnsi="Palatino Linotype" w:cstheme="minorBidi"/>
          <w:sz w:val="24"/>
          <w:szCs w:val="24"/>
          <w:lang w:val="es-ES_tradnl" w:eastAsia="en-US"/>
        </w:rPr>
        <w:t xml:space="preserve">En esa tesitura, </w:t>
      </w:r>
      <w:r w:rsidR="00DE3512" w:rsidRPr="00883102">
        <w:rPr>
          <w:rFonts w:ascii="Palatino Linotype" w:eastAsia="Palatino Linotype" w:hAnsi="Palatino Linotype" w:cs="Palatino Linotype"/>
          <w:color w:val="000000"/>
          <w:sz w:val="24"/>
          <w:szCs w:val="24"/>
          <w:lang w:val="es-ES_tradnl"/>
        </w:rPr>
        <w:t xml:space="preserve">se </w:t>
      </w:r>
      <w:r w:rsidR="00AF13E8"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5F55D976" w14:textId="3C093733" w:rsidR="00DE3512" w:rsidRPr="00883102" w:rsidRDefault="003834CC" w:rsidP="003834CC">
      <w:pPr>
        <w:pStyle w:val="INFOEM"/>
        <w:rPr>
          <w:lang w:val="es-ES_tradnl"/>
        </w:rPr>
      </w:pPr>
      <w:r>
        <w:rPr>
          <w:b/>
          <w:lang w:val="es-ES_tradnl"/>
        </w:rPr>
        <w:t>“</w:t>
      </w:r>
      <w:r w:rsidR="00DE3512" w:rsidRPr="00883102">
        <w:rPr>
          <w:b/>
          <w:lang w:val="es-ES_tradnl"/>
        </w:rPr>
        <w:t>Artículo 179.</w:t>
      </w:r>
      <w:r w:rsidR="00DE3512" w:rsidRPr="00883102">
        <w:rPr>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3834CC">
      <w:pPr>
        <w:pStyle w:val="INFOEM"/>
        <w:rPr>
          <w:lang w:val="es-ES_tradnl"/>
        </w:rPr>
      </w:pPr>
      <w:r w:rsidRPr="00883102">
        <w:rPr>
          <w:b/>
          <w:lang w:val="es-ES_tradnl"/>
        </w:rPr>
        <w:t>(…)</w:t>
      </w:r>
    </w:p>
    <w:p w14:paraId="21F74450" w14:textId="77777777" w:rsidR="00DE3512" w:rsidRPr="00883102" w:rsidRDefault="00DE3512" w:rsidP="003834CC">
      <w:pPr>
        <w:pStyle w:val="INFOEM"/>
        <w:rPr>
          <w:b/>
          <w:lang w:val="es-ES_tradnl"/>
        </w:rPr>
      </w:pPr>
      <w:r w:rsidRPr="00883102">
        <w:rPr>
          <w:b/>
          <w:lang w:val="es-ES_tradnl"/>
        </w:rPr>
        <w:t>VII. La falta de respuesta a una solicitud de acceso a la información;</w:t>
      </w:r>
    </w:p>
    <w:p w14:paraId="26047C5E" w14:textId="77777777" w:rsidR="00DE3512" w:rsidRPr="00883102" w:rsidRDefault="00DE3512" w:rsidP="003834CC">
      <w:pPr>
        <w:pStyle w:val="INFOEM"/>
        <w:rPr>
          <w:b/>
          <w:lang w:val="es-ES_tradnl"/>
        </w:rPr>
      </w:pPr>
      <w:r w:rsidRPr="00883102">
        <w:rPr>
          <w:b/>
          <w:lang w:val="es-ES_tradnl"/>
        </w:rPr>
        <w:t>(…)</w:t>
      </w:r>
    </w:p>
    <w:p w14:paraId="1523EAAF" w14:textId="77777777" w:rsidR="00DE3512" w:rsidRPr="00883102" w:rsidRDefault="00DE3512" w:rsidP="003834CC">
      <w:pPr>
        <w:pStyle w:val="INFOEM"/>
        <w:rPr>
          <w:b/>
          <w:lang w:val="es-ES_tradnl"/>
        </w:rPr>
      </w:pPr>
      <w:r w:rsidRPr="00883102">
        <w:rPr>
          <w:b/>
          <w:lang w:val="es-ES_tradnl"/>
        </w:rPr>
        <w:t>XI. La falta de trámite a una solicitud;</w:t>
      </w:r>
    </w:p>
    <w:p w14:paraId="1DEEE875" w14:textId="3EF8E789" w:rsidR="00DE3512" w:rsidRPr="003834CC" w:rsidRDefault="00DE3512" w:rsidP="003834CC">
      <w:pPr>
        <w:pStyle w:val="INFOEM"/>
        <w:rPr>
          <w:b/>
          <w:lang w:val="es-ES_tradnl"/>
        </w:rPr>
      </w:pPr>
      <w:r w:rsidRPr="00883102">
        <w:rPr>
          <w:b/>
          <w:lang w:val="es-ES_tradnl"/>
        </w:rPr>
        <w:t>(…</w:t>
      </w:r>
      <w:r w:rsidRPr="00883102">
        <w:rPr>
          <w:lang w:val="es-ES_tradnl"/>
        </w:rPr>
        <w:t>)</w:t>
      </w:r>
      <w:proofErr w:type="gramStart"/>
      <w:r w:rsidR="003834CC">
        <w:rPr>
          <w:lang w:val="es-ES_tradnl"/>
        </w:rPr>
        <w:t>”</w:t>
      </w:r>
      <w:r w:rsidR="003834CC">
        <w:rPr>
          <w:b/>
          <w:lang w:val="es-ES_tradnl"/>
        </w:rPr>
        <w:t>(</w:t>
      </w:r>
      <w:proofErr w:type="gramEnd"/>
      <w:r w:rsidR="003834CC">
        <w:rPr>
          <w:b/>
          <w:lang w:val="es-ES_tradnl"/>
        </w:rPr>
        <w:t>Sic)</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16F5251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E11301">
        <w:rPr>
          <w:rFonts w:ascii="Palatino Linotype" w:eastAsia="Palatino Linotype" w:hAnsi="Palatino Linotype" w:cs="Palatino Linotype"/>
          <w:color w:val="000000"/>
          <w:sz w:val="24"/>
          <w:szCs w:val="24"/>
          <w:lang w:val="es-ES_tradnl"/>
        </w:rPr>
        <w:t>la</w:t>
      </w:r>
      <w:r w:rsidRPr="00883102">
        <w:rPr>
          <w:rFonts w:ascii="Palatino Linotype" w:eastAsia="Palatino Linotype" w:hAnsi="Palatino Linotype" w:cs="Palatino Linotype"/>
          <w:color w:val="000000"/>
          <w:sz w:val="24"/>
          <w:szCs w:val="24"/>
          <w:lang w:val="es-ES_tradnl"/>
        </w:rPr>
        <w:t xml:space="preserve">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3FBFC4AB"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w:t>
      </w:r>
      <w:r w:rsidRPr="008B7C81">
        <w:rPr>
          <w:rFonts w:ascii="Palatino Linotype" w:eastAsiaTheme="minorHAnsi" w:hAnsi="Palatino Linotype" w:cs="Arial"/>
          <w:b/>
          <w:sz w:val="24"/>
          <w:szCs w:val="24"/>
          <w:lang w:val="es-ES_tradnl" w:eastAsia="en-US"/>
        </w:rPr>
        <w:t>SAIMEX</w:t>
      </w:r>
      <w:r w:rsidRPr="00883102">
        <w:rPr>
          <w:rFonts w:ascii="Palatino Linotype" w:eastAsiaTheme="minorHAnsi" w:hAnsi="Palatino Linotype" w:cs="Arial"/>
          <w:sz w:val="24"/>
          <w:szCs w:val="24"/>
          <w:lang w:val="es-ES_tradnl" w:eastAsia="en-US"/>
        </w:rPr>
        <w:t xml:space="preserve"> y observó que las razones o motivos de inconformidad hechos valer por </w:t>
      </w:r>
      <w:r w:rsidR="003834CC">
        <w:rPr>
          <w:rFonts w:ascii="Palatino Linotype" w:eastAsiaTheme="minorHAnsi" w:hAnsi="Palatino Linotype" w:cs="Arial"/>
          <w:sz w:val="24"/>
          <w:szCs w:val="24"/>
          <w:lang w:val="es-ES_tradnl" w:eastAsia="en-US"/>
        </w:rPr>
        <w:t>el</w:t>
      </w:r>
      <w:r w:rsidRPr="00883102">
        <w:rPr>
          <w:rFonts w:ascii="Palatino Linotype" w:eastAsiaTheme="minorHAnsi" w:hAnsi="Palatino Linotype" w:cs="Arial"/>
          <w:sz w:val="24"/>
          <w:szCs w:val="24"/>
          <w:lang w:val="es-ES_tradnl" w:eastAsia="en-US"/>
        </w:rPr>
        <w:t xml:space="preserve">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674C22F2" w14:textId="4456FFDD" w:rsidR="00E6674B" w:rsidRPr="00883102" w:rsidRDefault="003834CC" w:rsidP="003834CC">
      <w:pPr>
        <w:pStyle w:val="INFOEM"/>
        <w:rPr>
          <w:lang w:val="es-ES_tradnl" w:eastAsia="en-US"/>
        </w:rPr>
      </w:pPr>
      <w:r>
        <w:rPr>
          <w:b/>
          <w:lang w:val="es-ES_tradnl" w:eastAsia="en-US"/>
        </w:rPr>
        <w:t>“</w:t>
      </w:r>
      <w:r w:rsidR="00E6674B" w:rsidRPr="00883102">
        <w:rPr>
          <w:b/>
          <w:lang w:val="es-ES_tradnl" w:eastAsia="en-US"/>
        </w:rPr>
        <w:t>Artículo 6o.</w:t>
      </w:r>
      <w:r w:rsidR="00E6674B" w:rsidRPr="00883102">
        <w:rPr>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00E6674B" w:rsidRPr="00883102">
        <w:rPr>
          <w:lang w:val="es-ES_tradnl" w:eastAsia="en-US"/>
        </w:rPr>
        <w:lastRenderedPageBreak/>
        <w:t xml:space="preserve">de réplica será ejercido en los términos dispuestos por la ley. </w:t>
      </w:r>
      <w:r w:rsidR="00E6674B" w:rsidRPr="00883102">
        <w:rPr>
          <w:b/>
          <w:lang w:val="es-ES_tradnl" w:eastAsia="en-US"/>
        </w:rPr>
        <w:t>El derecho a la información será garantizado por el Estado.</w:t>
      </w:r>
      <w:r w:rsidR="00E6674B" w:rsidRPr="00883102">
        <w:rPr>
          <w:lang w:val="es-ES_tradnl" w:eastAsia="en-US"/>
        </w:rPr>
        <w:t xml:space="preserve"> </w:t>
      </w:r>
    </w:p>
    <w:p w14:paraId="759FE83A" w14:textId="77777777" w:rsidR="00E6674B" w:rsidRPr="00883102" w:rsidRDefault="00E6674B" w:rsidP="003834CC">
      <w:pPr>
        <w:pStyle w:val="INFOEM"/>
        <w:rPr>
          <w:lang w:val="es-ES_tradnl" w:eastAsia="en-US"/>
        </w:rPr>
      </w:pPr>
      <w:r w:rsidRPr="00883102">
        <w:rPr>
          <w:lang w:val="es-ES_tradnl" w:eastAsia="en-US"/>
        </w:rPr>
        <w:t>Toda persona tiene derecho al libre acceso a información plural y oportuna, así como a buscar, recibir y difundir información e ideas de toda índole por cualquier medio de expresión.</w:t>
      </w:r>
    </w:p>
    <w:p w14:paraId="2C783424" w14:textId="77777777" w:rsidR="00E6674B" w:rsidRPr="00883102" w:rsidRDefault="00E6674B" w:rsidP="003834CC">
      <w:pPr>
        <w:pStyle w:val="INFOEM"/>
        <w:rPr>
          <w:lang w:val="es-ES_tradnl" w:eastAsia="en-US"/>
        </w:rPr>
      </w:pPr>
      <w:r w:rsidRPr="00883102">
        <w:rPr>
          <w:lang w:val="es-ES_tradnl" w:eastAsia="en-US"/>
        </w:rPr>
        <w:t>Para efectos de lo dispuesto en el presente artículo se observará lo siguiente:</w:t>
      </w:r>
    </w:p>
    <w:p w14:paraId="1A751D26" w14:textId="77777777" w:rsidR="00E6674B" w:rsidRPr="00883102" w:rsidRDefault="00E6674B" w:rsidP="003834CC">
      <w:pPr>
        <w:pStyle w:val="INFOEM"/>
        <w:rPr>
          <w:lang w:val="es-ES_tradnl" w:eastAsia="en-US"/>
        </w:rPr>
      </w:pPr>
      <w:r w:rsidRPr="00883102">
        <w:rPr>
          <w:lang w:val="es-ES_tradnl" w:eastAsia="en-US"/>
        </w:rPr>
        <w:t>A. Para el ejercicio del derecho de acceso a la información, la Federación, los Estados y el Distrito Federal, en el ámbito de sus respectivas competencias, se regirán por los siguientes principios y bases:</w:t>
      </w:r>
    </w:p>
    <w:p w14:paraId="0FBB9CCF" w14:textId="77777777" w:rsidR="00E6674B" w:rsidRPr="00883102" w:rsidRDefault="00E6674B" w:rsidP="003834CC">
      <w:pPr>
        <w:pStyle w:val="INFOEM"/>
        <w:rPr>
          <w:lang w:val="es-ES_tradnl" w:eastAsia="en-US"/>
        </w:rPr>
      </w:pPr>
      <w:r w:rsidRPr="00883102">
        <w:rPr>
          <w:b/>
          <w:lang w:val="es-ES_tradnl" w:eastAsia="en-US"/>
        </w:rPr>
        <w:t>I. Toda la información en posesión de</w:t>
      </w:r>
      <w:r w:rsidRPr="00883102">
        <w:rPr>
          <w:lang w:val="es-ES_tradnl" w:eastAsia="en-US"/>
        </w:rPr>
        <w:t xml:space="preserve"> </w:t>
      </w:r>
      <w:r w:rsidRPr="00883102">
        <w:rPr>
          <w:b/>
          <w:lang w:val="es-ES_tradnl" w:eastAsia="en-US"/>
        </w:rPr>
        <w:t>cualquier autoridad</w:t>
      </w:r>
      <w:r w:rsidRPr="00883102">
        <w:rPr>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b/>
          <w:lang w:val="es-ES_tradnl" w:eastAsia="en-US"/>
        </w:rPr>
        <w:t>en el ámbito federal, estatal y municipal, es pública</w:t>
      </w:r>
      <w:r w:rsidRPr="00883102">
        <w:rPr>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b/>
          <w:lang w:val="es-ES_tradnl" w:eastAsia="en-US"/>
        </w:rPr>
        <w:t>Los sujetos obligados deberán documentar todo acto que derive del ejercicio de sus facultades, competencias o funciones</w:t>
      </w:r>
      <w:r w:rsidRPr="00883102">
        <w:rPr>
          <w:lang w:val="es-ES_tradnl" w:eastAsia="en-US"/>
        </w:rPr>
        <w:t>, la ley determinará los supuestos específicos bajo los cuales procederá la declaración de inexistencia de la información.</w:t>
      </w:r>
    </w:p>
    <w:p w14:paraId="2B7B6294" w14:textId="77777777" w:rsidR="00E6674B" w:rsidRPr="00883102" w:rsidRDefault="00E6674B" w:rsidP="003834CC">
      <w:pPr>
        <w:pStyle w:val="INFOEM"/>
        <w:rPr>
          <w:lang w:val="es-ES_tradnl" w:eastAsia="en-US"/>
        </w:rPr>
      </w:pPr>
      <w:r w:rsidRPr="00883102">
        <w:rPr>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3834CC">
      <w:pPr>
        <w:pStyle w:val="INFOEM"/>
        <w:rPr>
          <w:lang w:val="es-ES_tradnl" w:eastAsia="en-US"/>
        </w:rPr>
      </w:pPr>
      <w:r w:rsidRPr="00883102">
        <w:rPr>
          <w:lang w:val="es-ES_tradnl" w:eastAsia="en-US"/>
        </w:rPr>
        <w:lastRenderedPageBreak/>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3834CC">
      <w:pPr>
        <w:pStyle w:val="INFOEM"/>
        <w:rPr>
          <w:lang w:val="es-ES_tradnl" w:eastAsia="en-US"/>
        </w:rPr>
      </w:pPr>
      <w:r w:rsidRPr="00883102">
        <w:rPr>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3834CC">
      <w:pPr>
        <w:pStyle w:val="INFOEM"/>
        <w:rPr>
          <w:lang w:val="es-ES_tradnl" w:eastAsia="en-US"/>
        </w:rPr>
      </w:pPr>
      <w:r w:rsidRPr="00883102">
        <w:rPr>
          <w:b/>
          <w:lang w:val="es-ES_tradnl" w:eastAsia="en-US"/>
        </w:rPr>
        <w:t>V. Los sujetos obligados deberán preservar sus documentos en archivos administrativos actualizados y publicarán, a través de los medios electrónicos disponibles</w:t>
      </w:r>
      <w:r w:rsidRPr="00883102">
        <w:rPr>
          <w:lang w:val="es-ES_tradnl" w:eastAsia="en-US"/>
        </w:rPr>
        <w:t xml:space="preserve">, </w:t>
      </w:r>
      <w:r w:rsidRPr="00883102">
        <w:rPr>
          <w:b/>
          <w:lang w:val="es-ES_tradnl" w:eastAsia="en-US"/>
        </w:rPr>
        <w:t xml:space="preserve">la información completa y actualizada sobre el ejercicio de los recursos públicos </w:t>
      </w:r>
      <w:r w:rsidRPr="00883102">
        <w:rPr>
          <w:lang w:val="es-ES_tradnl" w:eastAsia="en-US"/>
        </w:rPr>
        <w:t>y los indicadores que permitan rendir cuenta del cumplimiento de sus objetivos y de los resultados obtenidos.</w:t>
      </w:r>
    </w:p>
    <w:p w14:paraId="301B8C9B" w14:textId="77777777" w:rsidR="00E6674B" w:rsidRPr="00883102" w:rsidRDefault="00E6674B" w:rsidP="003834CC">
      <w:pPr>
        <w:pStyle w:val="INFOEM"/>
        <w:rPr>
          <w:lang w:val="es-ES_tradnl" w:eastAsia="en-US"/>
        </w:rPr>
      </w:pPr>
      <w:r w:rsidRPr="00883102">
        <w:rPr>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3834CC">
      <w:pPr>
        <w:pStyle w:val="INFOEM"/>
        <w:rPr>
          <w:lang w:val="es-ES_tradnl" w:eastAsia="en-US"/>
        </w:rPr>
      </w:pPr>
      <w:r w:rsidRPr="00883102">
        <w:rPr>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3834CC">
      <w:pPr>
        <w:pStyle w:val="INFOEM"/>
        <w:rPr>
          <w:lang w:val="es-ES_tradnl" w:eastAsia="en-US"/>
        </w:rPr>
      </w:pPr>
      <w:r w:rsidRPr="00883102">
        <w:rPr>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3834CC">
      <w:pPr>
        <w:pStyle w:val="INFOEM"/>
        <w:rPr>
          <w:lang w:val="es-ES_tradnl" w:eastAsia="en-US"/>
        </w:rPr>
      </w:pPr>
      <w:r w:rsidRPr="00883102">
        <w:rPr>
          <w:lang w:val="es-ES_tradnl" w:eastAsia="en-US"/>
        </w:rPr>
        <w:lastRenderedPageBreak/>
        <w:t>(…)</w:t>
      </w:r>
    </w:p>
    <w:p w14:paraId="252ED9E9" w14:textId="77777777" w:rsidR="00E6674B" w:rsidRPr="00883102" w:rsidRDefault="00E6674B" w:rsidP="003834CC">
      <w:pPr>
        <w:pStyle w:val="INFOEM"/>
        <w:rPr>
          <w:lang w:val="es-ES_tradnl" w:eastAsia="en-US"/>
        </w:rPr>
      </w:pPr>
      <w:r w:rsidRPr="00883102">
        <w:rPr>
          <w:lang w:val="es-ES_tradnl" w:eastAsia="en-US"/>
        </w:rPr>
        <w:t>La ley establecerá aquella información que se considere reservada o confidencial.</w:t>
      </w:r>
    </w:p>
    <w:p w14:paraId="116A8F4C" w14:textId="2CC4916F" w:rsidR="00E6674B" w:rsidRPr="003834CC" w:rsidRDefault="00E6674B" w:rsidP="003834CC">
      <w:pPr>
        <w:pStyle w:val="INFOEM"/>
        <w:rPr>
          <w:b/>
          <w:lang w:val="es-ES_tradnl" w:eastAsia="en-US"/>
        </w:rPr>
      </w:pPr>
      <w:r w:rsidRPr="00883102">
        <w:rPr>
          <w:lang w:val="es-ES_tradnl" w:eastAsia="en-US"/>
        </w:rPr>
        <w:t xml:space="preserve">(…) </w:t>
      </w:r>
      <w:proofErr w:type="gramStart"/>
      <w:r w:rsidR="003834CC">
        <w:rPr>
          <w:lang w:val="es-ES_tradnl" w:eastAsia="en-US"/>
        </w:rPr>
        <w:t xml:space="preserve">“ </w:t>
      </w:r>
      <w:r w:rsidR="003834CC">
        <w:rPr>
          <w:b/>
          <w:lang w:val="es-ES_tradnl" w:eastAsia="en-US"/>
        </w:rPr>
        <w:t>(</w:t>
      </w:r>
      <w:proofErr w:type="gramEnd"/>
      <w:r w:rsidR="003834CC">
        <w:rPr>
          <w:b/>
          <w:lang w:val="es-ES_tradnl" w:eastAsia="en-US"/>
        </w:rPr>
        <w:t>Sic)</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442A16C0" w14:textId="0B5E2FDC" w:rsidR="00E6674B" w:rsidRPr="00883102" w:rsidRDefault="003834CC" w:rsidP="003834CC">
      <w:pPr>
        <w:pStyle w:val="INFOEM"/>
        <w:rPr>
          <w:lang w:val="es-ES_tradnl" w:eastAsia="en-US"/>
        </w:rPr>
      </w:pPr>
      <w:r>
        <w:rPr>
          <w:lang w:val="es-ES_tradnl" w:eastAsia="en-US"/>
        </w:rPr>
        <w:t>“</w:t>
      </w:r>
      <w:r w:rsidR="00E6674B" w:rsidRPr="00883102">
        <w:rPr>
          <w:lang w:val="es-ES_tradnl" w:eastAsia="en-US"/>
        </w:rPr>
        <w:t>Artículo 5. (…)</w:t>
      </w:r>
    </w:p>
    <w:p w14:paraId="2656B05A" w14:textId="77777777" w:rsidR="00E6674B" w:rsidRPr="00883102" w:rsidRDefault="00E6674B" w:rsidP="003834CC">
      <w:pPr>
        <w:pStyle w:val="INFOEM"/>
        <w:rPr>
          <w:lang w:val="es-ES_tradnl" w:eastAsia="en-US"/>
        </w:rPr>
      </w:pPr>
      <w:r w:rsidRPr="00883102">
        <w:rPr>
          <w:lang w:val="es-ES_tradnl" w:eastAsia="en-US"/>
        </w:rPr>
        <w:t xml:space="preserve">El derecho a la información será garantizado por el Estado. La ley establecerá las previsiones que permitan asegurar la protección, el respeto y la difusión de este derecho. </w:t>
      </w:r>
    </w:p>
    <w:p w14:paraId="4257D6E7" w14:textId="77777777" w:rsidR="00E6674B" w:rsidRPr="00883102" w:rsidRDefault="00E6674B" w:rsidP="003834CC">
      <w:pPr>
        <w:pStyle w:val="INFOEM"/>
        <w:rPr>
          <w:lang w:val="es-ES_tradnl" w:eastAsia="en-US"/>
        </w:rPr>
      </w:pPr>
      <w:r w:rsidRPr="00883102">
        <w:rPr>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65A9DD" w14:textId="77777777" w:rsidR="00E6674B" w:rsidRPr="00883102" w:rsidRDefault="00E6674B" w:rsidP="003834CC">
      <w:pPr>
        <w:pStyle w:val="INFOEM"/>
        <w:rPr>
          <w:lang w:val="es-ES_tradnl" w:eastAsia="en-US"/>
        </w:rPr>
      </w:pPr>
      <w:r w:rsidRPr="00883102">
        <w:rPr>
          <w:lang w:val="es-ES_tradnl" w:eastAsia="en-US"/>
        </w:rPr>
        <w:t>Este derecho se regirá por los principios y bases siguientes:</w:t>
      </w:r>
    </w:p>
    <w:p w14:paraId="3945F32C" w14:textId="77777777" w:rsidR="00E6674B" w:rsidRPr="00883102" w:rsidRDefault="00E6674B" w:rsidP="003834CC">
      <w:pPr>
        <w:pStyle w:val="INFOEM"/>
        <w:rPr>
          <w:lang w:val="es-ES_tradnl" w:eastAsia="en-US"/>
        </w:rPr>
      </w:pPr>
      <w:r w:rsidRPr="00883102">
        <w:rPr>
          <w:lang w:val="es-ES_tradnl" w:eastAsia="en-U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w:t>
      </w:r>
      <w:r w:rsidRPr="00883102">
        <w:rPr>
          <w:u w:val="single"/>
          <w:lang w:val="es-ES_tradnl" w:eastAsia="en-US"/>
        </w:rPr>
        <w:t>la administración pública municipal y sus organismos descentralizados</w:t>
      </w:r>
      <w:r w:rsidRPr="00883102">
        <w:rPr>
          <w:lang w:val="es-ES_tradnl" w:eastAsia="en-US"/>
        </w:rPr>
        <w:t xml:space="preserve">, asimismo de cualquier persona física, jurídica colectiva o sindicato </w:t>
      </w:r>
      <w:r w:rsidRPr="00883102">
        <w:rPr>
          <w:lang w:val="es-ES_tradnl" w:eastAsia="en-US"/>
        </w:rPr>
        <w:lastRenderedPageBreak/>
        <w:t>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3834CC">
      <w:pPr>
        <w:pStyle w:val="INFOEM"/>
        <w:rPr>
          <w:lang w:val="es-ES_tradnl" w:eastAsia="en-US"/>
        </w:rPr>
      </w:pPr>
      <w:r w:rsidRPr="00883102">
        <w:rPr>
          <w:lang w:val="es-ES_tradnl"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3834CC">
      <w:pPr>
        <w:pStyle w:val="INFOEM"/>
        <w:rPr>
          <w:lang w:val="es-ES_tradnl" w:eastAsia="en-US"/>
        </w:rPr>
      </w:pPr>
      <w:r w:rsidRPr="00883102">
        <w:rPr>
          <w:lang w:val="es-ES_tradnl" w:eastAsia="en-US"/>
        </w:rPr>
        <w:t>III. Toda persona, sin necesidad de acreditar interés alguno o justificar su utilización, tendrá acceso gratuito a la información pública, a sus datos personales o a la rectificación de éstos.</w:t>
      </w:r>
    </w:p>
    <w:p w14:paraId="32E648C8" w14:textId="77777777" w:rsidR="00E6674B" w:rsidRPr="00883102" w:rsidRDefault="00E6674B" w:rsidP="003834CC">
      <w:pPr>
        <w:pStyle w:val="INFOEM"/>
        <w:rPr>
          <w:lang w:val="es-ES_tradnl" w:eastAsia="en-US"/>
        </w:rPr>
      </w:pPr>
      <w:r w:rsidRPr="00883102">
        <w:rPr>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3834CC">
      <w:pPr>
        <w:pStyle w:val="INFOEM"/>
        <w:rPr>
          <w:lang w:val="es-ES_tradnl" w:eastAsia="en-US"/>
        </w:rPr>
      </w:pPr>
      <w:r w:rsidRPr="00883102">
        <w:rPr>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3834CC">
      <w:pPr>
        <w:pStyle w:val="INFOEM"/>
        <w:rPr>
          <w:lang w:val="es-ES_tradnl" w:eastAsia="en-US"/>
        </w:rPr>
      </w:pPr>
      <w:r w:rsidRPr="00883102">
        <w:rPr>
          <w:lang w:val="es-ES_tradnl"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4B2CEFD5" w:rsidR="00E6674B" w:rsidRPr="003834CC" w:rsidRDefault="00E6674B" w:rsidP="003834CC">
      <w:pPr>
        <w:pStyle w:val="INFOEM"/>
        <w:rPr>
          <w:rFonts w:asciiTheme="minorHAnsi" w:hAnsiTheme="minorHAnsi"/>
          <w:b/>
          <w:lang w:val="es-ES_tradnl" w:eastAsia="en-US"/>
        </w:rPr>
      </w:pPr>
      <w:r w:rsidRPr="00883102">
        <w:rPr>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hAnsiTheme="minorHAnsi"/>
          <w:lang w:val="es-ES_tradnl" w:eastAsia="en-US"/>
        </w:rPr>
        <w:t>.</w:t>
      </w:r>
      <w:r w:rsidR="003834CC">
        <w:rPr>
          <w:rFonts w:asciiTheme="minorHAnsi" w:hAnsiTheme="minorHAnsi"/>
          <w:lang w:val="es-ES_tradnl" w:eastAsia="en-US"/>
        </w:rPr>
        <w:t xml:space="preserve">” </w:t>
      </w:r>
      <w:r w:rsidR="003834CC" w:rsidRPr="003834CC">
        <w:rPr>
          <w:b/>
          <w:lang w:val="es-ES_tradnl" w:eastAsia="en-US"/>
        </w:rPr>
        <w:t>(Sic)</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883102" w:rsidRDefault="00683B9C" w:rsidP="00E6674B">
      <w:pPr>
        <w:spacing w:after="0" w:line="360" w:lineRule="auto"/>
        <w:jc w:val="both"/>
        <w:rPr>
          <w:rFonts w:ascii="Palatino Linotype" w:eastAsia="Arial Unicode MS" w:hAnsi="Palatino Linotype" w:cstheme="minorBidi"/>
          <w:sz w:val="24"/>
          <w:szCs w:val="24"/>
          <w:lang w:val="es-ES_tradnl" w:eastAsia="en-US"/>
        </w:rPr>
      </w:pPr>
      <w:r>
        <w:rPr>
          <w:rFonts w:ascii="Palatino Linotype" w:hAnsi="Palatino Linotype" w:cstheme="minorBidi"/>
          <w:sz w:val="24"/>
          <w:szCs w:val="24"/>
          <w:lang w:val="es-ES_tradnl" w:eastAsia="en-US"/>
        </w:rPr>
        <w:t>En esa tenor</w:t>
      </w:r>
      <w:r w:rsidR="00E6674B" w:rsidRPr="00883102">
        <w:rPr>
          <w:rFonts w:ascii="Palatino Linotype" w:hAnsi="Palatino Linotype" w:cstheme="minorBidi"/>
          <w:sz w:val="24"/>
          <w:szCs w:val="24"/>
          <w:lang w:val="es-ES_tradnl" w:eastAsia="en-US"/>
        </w:rPr>
        <w:t xml:space="preserve">, </w:t>
      </w:r>
      <w:r w:rsidR="00E6674B"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883102">
        <w:rPr>
          <w:rFonts w:ascii="Palatino Linotype" w:eastAsia="Arial Unicode MS" w:hAnsi="Palatino Linotype" w:cs="Arial"/>
          <w:sz w:val="24"/>
          <w:szCs w:val="24"/>
          <w:lang w:val="es-ES_tradnl" w:eastAsia="en-US"/>
        </w:rPr>
        <w:lastRenderedPageBreak/>
        <w:t>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883102" w:rsidRDefault="00683B9C" w:rsidP="00E6674B">
      <w:pPr>
        <w:spacing w:after="0" w:line="360" w:lineRule="auto"/>
        <w:jc w:val="both"/>
        <w:rPr>
          <w:rFonts w:ascii="Palatino Linotype" w:eastAsiaTheme="minorHAnsi" w:hAnsi="Palatino Linotype" w:cs="Arial"/>
          <w:sz w:val="24"/>
          <w:szCs w:val="24"/>
          <w:lang w:val="es-ES_tradnl" w:eastAsia="en-US"/>
        </w:rPr>
      </w:pPr>
      <w:r>
        <w:rPr>
          <w:rFonts w:ascii="Palatino Linotype" w:eastAsiaTheme="minorHAnsi" w:hAnsi="Palatino Linotype" w:cs="Arial"/>
          <w:sz w:val="24"/>
          <w:szCs w:val="24"/>
          <w:lang w:val="es-ES_tradnl" w:eastAsia="en-US"/>
        </w:rPr>
        <w:lastRenderedPageBreak/>
        <w:t>Así</w:t>
      </w:r>
      <w:r w:rsidR="00E6674B" w:rsidRPr="00883102">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D8A7B13" w14:textId="504D3216" w:rsidR="00E6674B" w:rsidRPr="00883102" w:rsidRDefault="003834CC" w:rsidP="003834CC">
      <w:pPr>
        <w:pStyle w:val="INFOEM"/>
        <w:rPr>
          <w:lang w:val="es-ES_tradnl" w:eastAsia="en-US"/>
        </w:rPr>
      </w:pPr>
      <w:r>
        <w:rPr>
          <w:lang w:val="es-ES_tradnl" w:eastAsia="en-US"/>
        </w:rPr>
        <w:t>“</w:t>
      </w:r>
      <w:r w:rsidR="00E6674B" w:rsidRPr="00883102">
        <w:rPr>
          <w:lang w:val="es-ES_tradnl" w:eastAsia="en-US"/>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6465CF23" w14:textId="1E95F90E" w:rsidR="00E6674B" w:rsidRPr="003834CC" w:rsidRDefault="00E6674B" w:rsidP="003834CC">
      <w:pPr>
        <w:pStyle w:val="INFOEM"/>
        <w:rPr>
          <w:b/>
          <w:lang w:val="es-ES_tradnl" w:eastAsia="en-US"/>
        </w:rPr>
      </w:pPr>
      <w:r w:rsidRPr="00883102">
        <w:rPr>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3834CC">
        <w:rPr>
          <w:lang w:val="es-ES_tradnl" w:eastAsia="en-US"/>
        </w:rPr>
        <w:t xml:space="preserve">” </w:t>
      </w:r>
      <w:r w:rsidR="003834CC">
        <w:rPr>
          <w:b/>
          <w:lang w:val="es-ES_tradnl" w:eastAsia="en-US"/>
        </w:rPr>
        <w:t>(Sic)</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1"/>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 xml:space="preserve">i el Sujeto Obligado advierte que dentro de la información solicitada se contienen datos personales que sean susceptibles </w:t>
      </w:r>
      <w:r w:rsidRPr="00883102">
        <w:rPr>
          <w:rFonts w:ascii="Palatino Linotype" w:eastAsiaTheme="minorHAnsi" w:hAnsi="Palatino Linotype" w:cs="Arial"/>
          <w:sz w:val="24"/>
          <w:szCs w:val="24"/>
          <w:lang w:val="es-ES_tradnl" w:eastAsia="en-US"/>
        </w:rPr>
        <w:lastRenderedPageBreak/>
        <w:t>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w:t>
      </w:r>
      <w:r w:rsidRPr="00883102">
        <w:rPr>
          <w:rFonts w:ascii="Palatino Linotype" w:eastAsiaTheme="minorHAnsi" w:hAnsi="Palatino Linotype" w:cs="Arial"/>
          <w:sz w:val="24"/>
          <w:szCs w:val="24"/>
          <w:lang w:val="es-ES_tradnl" w:eastAsia="en-US"/>
        </w:rPr>
        <w:lastRenderedPageBreak/>
        <w:t>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61A5EE02" w14:textId="790E792C" w:rsidR="00574AA5" w:rsidRPr="003834CC" w:rsidRDefault="003834CC" w:rsidP="003834CC">
      <w:pPr>
        <w:pStyle w:val="INFOEM"/>
        <w:rPr>
          <w:b/>
          <w:lang w:val="es-ES_tradnl" w:eastAsia="en-US"/>
        </w:rPr>
      </w:pPr>
      <w:r w:rsidRPr="003834CC">
        <w:rPr>
          <w:b/>
          <w:lang w:val="es-ES_tradnl" w:eastAsia="en-US"/>
        </w:rPr>
        <w:lastRenderedPageBreak/>
        <w:t>“</w:t>
      </w:r>
      <w:r w:rsidR="00E6674B" w:rsidRPr="003834CC">
        <w:rPr>
          <w:b/>
          <w:lang w:val="es-ES_tradnl" w:eastAsia="en-US"/>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p>
    <w:p w14:paraId="15F8BAEA" w14:textId="6D818206" w:rsidR="00E6674B" w:rsidRPr="003834CC" w:rsidRDefault="00E6674B" w:rsidP="003834CC">
      <w:pPr>
        <w:pStyle w:val="INFOEM"/>
        <w:rPr>
          <w:b/>
          <w:lang w:val="es-ES_tradnl" w:eastAsia="en-US"/>
        </w:rPr>
      </w:pPr>
      <w:r w:rsidRPr="00883102">
        <w:rPr>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83102">
        <w:rPr>
          <w:lang w:val="es-ES_tradnl" w:eastAsia="en-US"/>
        </w:rPr>
        <w:t>officio</w:t>
      </w:r>
      <w:proofErr w:type="spellEnd"/>
      <w:r w:rsidRPr="00883102">
        <w:rPr>
          <w:lang w:val="es-ES_tradnl" w:eastAsia="en-US"/>
        </w:rPr>
        <w:t>, con el propósito de obtener una versión que sea pública para la parte interesada.</w:t>
      </w:r>
      <w:r w:rsidR="003834CC">
        <w:rPr>
          <w:lang w:val="es-ES_tradnl" w:eastAsia="en-US"/>
        </w:rPr>
        <w:t xml:space="preserve">” </w:t>
      </w:r>
      <w:r w:rsidR="003834CC">
        <w:rPr>
          <w:b/>
          <w:lang w:val="es-ES_tradnl" w:eastAsia="en-US"/>
        </w:rPr>
        <w:t>(Sic)</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Por todo lo anterior, la reserva de la información implica una clasificación, la cual debe entenderse como el proceso mediante el cual el Sujeto Obligado determina que la información en su poder </w:t>
      </w:r>
      <w:proofErr w:type="spellStart"/>
      <w:r w:rsidRPr="00883102">
        <w:rPr>
          <w:rFonts w:ascii="Palatino Linotype" w:eastAsiaTheme="minorHAnsi" w:hAnsi="Palatino Linotype" w:cstheme="minorBidi"/>
          <w:bCs/>
          <w:sz w:val="24"/>
          <w:szCs w:val="24"/>
          <w:lang w:val="es-ES_tradnl" w:eastAsia="en-US"/>
        </w:rPr>
        <w:t>actualiza</w:t>
      </w:r>
      <w:proofErr w:type="spellEnd"/>
      <w:r w:rsidRPr="00883102">
        <w:rPr>
          <w:rFonts w:ascii="Palatino Linotype" w:eastAsiaTheme="minorHAnsi" w:hAnsi="Palatino Linotype" w:cstheme="minorBidi"/>
          <w:bCs/>
          <w:sz w:val="24"/>
          <w:szCs w:val="24"/>
          <w:lang w:val="es-ES_tradnl" w:eastAsia="en-US"/>
        </w:rPr>
        <w:t xml:space="preserve">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883102">
        <w:rPr>
          <w:rFonts w:ascii="Palatino Linotype" w:eastAsiaTheme="minorHAnsi" w:hAnsi="Palatino Linotype" w:cstheme="minorBidi"/>
          <w:sz w:val="24"/>
          <w:szCs w:val="24"/>
          <w:lang w:val="es-ES_tradnl" w:eastAsia="en-US"/>
        </w:rPr>
        <w:lastRenderedPageBreak/>
        <w:t>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3834CC">
      <w:pPr>
        <w:numPr>
          <w:ilvl w:val="0"/>
          <w:numId w:val="9"/>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w:t>
      </w:r>
      <w:proofErr w:type="gramStart"/>
      <w:r>
        <w:rPr>
          <w:rFonts w:ascii="Palatino Linotype" w:eastAsia="Palatino Linotype" w:hAnsi="Palatino Linotype" w:cs="Palatino Linotype"/>
          <w:color w:val="000000"/>
          <w:sz w:val="24"/>
          <w:szCs w:val="24"/>
        </w:rPr>
        <w:t>actualizan</w:t>
      </w:r>
      <w:proofErr w:type="gramEnd"/>
      <w:r>
        <w:rPr>
          <w:rFonts w:ascii="Palatino Linotype" w:eastAsia="Palatino Linotype" w:hAnsi="Palatino Linotype" w:cs="Palatino Linotype"/>
          <w:color w:val="000000"/>
          <w:sz w:val="24"/>
          <w:szCs w:val="24"/>
        </w:rPr>
        <w:t xml:space="preserve"> 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15F1BC3B" w14:textId="3C9CCA9E" w:rsidR="006F759B" w:rsidRPr="009610D3" w:rsidRDefault="003834CC" w:rsidP="003834CC">
      <w:pPr>
        <w:pStyle w:val="INFOEM"/>
      </w:pPr>
      <w:r>
        <w:rPr>
          <w:b/>
        </w:rPr>
        <w:t>“</w:t>
      </w:r>
      <w:r w:rsidR="006F759B" w:rsidRPr="009610D3">
        <w:rPr>
          <w:b/>
        </w:rPr>
        <w:t xml:space="preserve">Artículo 3. </w:t>
      </w:r>
      <w:r w:rsidR="006F759B" w:rsidRPr="009610D3">
        <w:t>Para los efectos de la presente Ley se entenderá por:</w:t>
      </w:r>
    </w:p>
    <w:p w14:paraId="75CEEA03" w14:textId="77777777" w:rsidR="006F759B" w:rsidRPr="009610D3" w:rsidRDefault="006F759B" w:rsidP="003834CC">
      <w:pPr>
        <w:pStyle w:val="INFOEM"/>
      </w:pPr>
      <w:r w:rsidRPr="009610D3">
        <w:t>(…)</w:t>
      </w:r>
    </w:p>
    <w:p w14:paraId="1DF47957" w14:textId="77777777" w:rsidR="006F759B" w:rsidRPr="009610D3" w:rsidRDefault="006F759B" w:rsidP="003834CC">
      <w:pPr>
        <w:pStyle w:val="INFOEM"/>
      </w:pPr>
      <w:r w:rsidRPr="009610D3">
        <w:rPr>
          <w:b/>
          <w:bCs/>
        </w:rPr>
        <w:t>XXXIII.</w:t>
      </w:r>
      <w:r w:rsidRPr="009610D3">
        <w:t xml:space="preserve"> </w:t>
      </w:r>
      <w:r w:rsidRPr="009610D3">
        <w:rPr>
          <w:b/>
          <w:bCs/>
        </w:rPr>
        <w:t>Prueba de Daño:</w:t>
      </w:r>
      <w:r w:rsidRPr="009610D3">
        <w:t xml:space="preserve"> </w:t>
      </w:r>
      <w:r w:rsidRPr="009610D3">
        <w:rPr>
          <w:b/>
          <w:bCs/>
          <w:u w:val="single"/>
        </w:rPr>
        <w:t>Responsabilidad de los sujetos obligados de demostrar de manera fundada y motivada que la divulgación de información lesiona el interés jurídicamente protegido por la Ley</w:t>
      </w:r>
      <w:r w:rsidRPr="009610D3">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3834CC">
      <w:pPr>
        <w:pStyle w:val="INFOEM"/>
      </w:pPr>
      <w:r w:rsidRPr="009610D3">
        <w:rPr>
          <w:b/>
          <w:bCs/>
        </w:rPr>
        <w:lastRenderedPageBreak/>
        <w:t>Artículo 128.</w:t>
      </w:r>
      <w:r w:rsidRPr="009610D3">
        <w:t xml:space="preserve"> En los casos en que se niegue el acceso a la información, por actualizarse alguno de los supuestos de clasificación, el Comité de Transparencia deberá confirmar, modificar o revocar la decisión.</w:t>
      </w:r>
    </w:p>
    <w:p w14:paraId="38C672E8" w14:textId="77777777" w:rsidR="006F759B" w:rsidRPr="009610D3" w:rsidRDefault="006F759B" w:rsidP="003834CC">
      <w:pPr>
        <w:pStyle w:val="INFOEM"/>
      </w:pPr>
      <w:r w:rsidRPr="009610D3">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b/>
          <w:bCs/>
          <w:u w:val="single"/>
        </w:rPr>
        <w:t>el sujeto obligado deberá, en todo momento, aplicar una prueba de daño</w:t>
      </w:r>
      <w:r w:rsidRPr="009610D3">
        <w:t>.</w:t>
      </w:r>
    </w:p>
    <w:p w14:paraId="2EFC93C2" w14:textId="77777777" w:rsidR="006F759B" w:rsidRPr="009610D3" w:rsidRDefault="006F759B" w:rsidP="003834CC">
      <w:pPr>
        <w:pStyle w:val="INFOEM"/>
      </w:pPr>
      <w:r w:rsidRPr="009610D3">
        <w:t>Tratándose de aquélla información que actualice los supuestos de clasificación, deberá señalarse el plazo al que estará sujeto la reserva.</w:t>
      </w:r>
    </w:p>
    <w:p w14:paraId="38132B90" w14:textId="77777777" w:rsidR="006F759B" w:rsidRPr="009610D3" w:rsidRDefault="006F759B" w:rsidP="003834CC">
      <w:pPr>
        <w:pStyle w:val="INFOEM"/>
      </w:pPr>
      <w:r w:rsidRPr="009610D3">
        <w:rPr>
          <w:b/>
          <w:bCs/>
        </w:rPr>
        <w:t>Artículo 129</w:t>
      </w:r>
      <w:r w:rsidRPr="009610D3">
        <w:t xml:space="preserve">. </w:t>
      </w:r>
      <w:r w:rsidRPr="009610D3">
        <w:rPr>
          <w:b/>
          <w:bCs/>
          <w:u w:val="single"/>
        </w:rPr>
        <w:t>En la aplicación de la prueba de daño, el sujeto obligado deberá precisar las razones objetivas por las que la apertura de la información generaría una afectación</w:t>
      </w:r>
      <w:r w:rsidRPr="009610D3">
        <w:t>, justificando que:</w:t>
      </w:r>
    </w:p>
    <w:p w14:paraId="525329C4" w14:textId="77777777" w:rsidR="006F759B" w:rsidRPr="009610D3" w:rsidRDefault="006F759B" w:rsidP="003834CC">
      <w:pPr>
        <w:pStyle w:val="INFOEM"/>
        <w:rPr>
          <w:szCs w:val="22"/>
        </w:rPr>
      </w:pPr>
      <w:r w:rsidRPr="009610D3">
        <w:rPr>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3834CC">
      <w:pPr>
        <w:pStyle w:val="INFOEM"/>
        <w:rPr>
          <w:szCs w:val="22"/>
        </w:rPr>
      </w:pPr>
      <w:r w:rsidRPr="009610D3">
        <w:rPr>
          <w:szCs w:val="22"/>
        </w:rPr>
        <w:t>El riesgo de perjuicio que supondría la divulgación supera el interés público general de que se difunda; y</w:t>
      </w:r>
    </w:p>
    <w:p w14:paraId="5F45A854" w14:textId="500F86B4" w:rsidR="006F759B" w:rsidRPr="003834CC" w:rsidRDefault="006F759B" w:rsidP="003834CC">
      <w:pPr>
        <w:pStyle w:val="INFOEM"/>
        <w:rPr>
          <w:b/>
          <w:szCs w:val="22"/>
        </w:rPr>
      </w:pPr>
      <w:r w:rsidRPr="009610D3">
        <w:rPr>
          <w:szCs w:val="22"/>
        </w:rPr>
        <w:t>La limitación se adecua al principio de proporcionalidad y representa el medio menos restrictivo disponible representa el medio menos restrictivo disponible para evitar el perjuicio.</w:t>
      </w:r>
      <w:r w:rsidR="003834CC">
        <w:rPr>
          <w:szCs w:val="22"/>
        </w:rPr>
        <w:t xml:space="preserve">” </w:t>
      </w:r>
      <w:r w:rsidR="003834CC">
        <w:rPr>
          <w:b/>
          <w:szCs w:val="22"/>
        </w:rPr>
        <w:t>(Sic)</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2"/>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en las que, respectivamente, se dispone lo siguiente:</w:t>
      </w:r>
    </w:p>
    <w:p w14:paraId="2828F8C1" w14:textId="1562A263" w:rsidR="006F759B" w:rsidRPr="003834CC" w:rsidRDefault="003834CC" w:rsidP="003834CC">
      <w:pPr>
        <w:pStyle w:val="INFOEM"/>
        <w:rPr>
          <w:b/>
        </w:rPr>
      </w:pPr>
      <w:r>
        <w:rPr>
          <w:b/>
        </w:rPr>
        <w:t>“</w:t>
      </w:r>
      <w:r w:rsidR="006F759B" w:rsidRPr="003834CC">
        <w:rPr>
          <w:b/>
        </w:rPr>
        <w:t>ACCESO A LA INFORMACIÓN. EJERCICIO DEL DERECHO RELATIVO TRATÁNDOSE DE LA CLASIFICADA COMO CONFIDENCIAL, MEDIANTE LA PRUEBA DE DAÑO O DEL INTERÉS PÚBLICO Y ROL DEL JUEZ DE AMPARO PARA FACILITAR LA DEFENSA DE LAS PARTES.</w:t>
      </w:r>
    </w:p>
    <w:p w14:paraId="46DBC0CE" w14:textId="3BE91FF3" w:rsidR="006F759B" w:rsidRPr="003834CC" w:rsidRDefault="006F759B" w:rsidP="003834CC">
      <w:pPr>
        <w:pStyle w:val="INFOEM"/>
        <w:rPr>
          <w:b/>
        </w:rPr>
      </w:pPr>
      <w:r w:rsidRPr="00783B44">
        <w:t>Para el ejercicio del derecho de acceso a la información, previsto en el artículo</w:t>
      </w:r>
      <w:r>
        <w:t xml:space="preserve"> </w:t>
      </w:r>
      <w:r w:rsidRPr="00783B44">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t xml:space="preserve">. </w:t>
      </w:r>
      <w:r w:rsidRPr="00783B44">
        <w:lastRenderedPageBreak/>
        <w:t xml:space="preserve">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u w:val="single"/>
        </w:rPr>
        <w:t>se advierte que corresponde a los sujetos obligados realizar la clasificación de la información que obre en su poder</w:t>
      </w:r>
      <w:r w:rsidRPr="00783B44">
        <w:t xml:space="preserve"> y, contra la decisión que adopten, procede interponer el recurso de revisión ante el organismo garante que corresponda. En consecuencia, </w:t>
      </w:r>
      <w:r w:rsidRPr="00783B44">
        <w:rPr>
          <w:u w:val="single"/>
        </w:rPr>
        <w:t>la obligación de clasificar la información corresponde única y directamente a los sujetos obligado</w:t>
      </w:r>
      <w:r w:rsidRPr="00783B44">
        <w:t xml:space="preserve">s, en tanto que al Juez de amparo sólo compete facilitar, bajo su más estricta responsabilidad, el acceso a la que sea "indispensable para la </w:t>
      </w:r>
      <w:r w:rsidR="003834CC">
        <w:t xml:space="preserve">adecuada defensa de las partes" </w:t>
      </w:r>
      <w:r w:rsidR="003834CC">
        <w:rPr>
          <w:b/>
        </w:rPr>
        <w:t>(Sic)</w:t>
      </w:r>
    </w:p>
    <w:p w14:paraId="77807D9E" w14:textId="77777777" w:rsidR="006F759B" w:rsidRPr="00783B44" w:rsidRDefault="006F759B" w:rsidP="003834CC">
      <w:pPr>
        <w:pStyle w:val="INFOEM"/>
      </w:pPr>
    </w:p>
    <w:p w14:paraId="17600DFD" w14:textId="05EE1B0B" w:rsidR="006F759B" w:rsidRPr="003834CC" w:rsidRDefault="003834CC" w:rsidP="003834CC">
      <w:pPr>
        <w:pStyle w:val="INFOEM"/>
        <w:rPr>
          <w:b/>
        </w:rPr>
      </w:pPr>
      <w:r>
        <w:rPr>
          <w:b/>
        </w:rPr>
        <w:t>“</w:t>
      </w:r>
      <w:r w:rsidR="006F759B" w:rsidRPr="003834CC">
        <w:rPr>
          <w:b/>
        </w:rPr>
        <w:t>PRUEBA DE DAÑO EN LA CLASIFICACIÓN DE LA INFORMACIÓN PÚBLICA. SU VALIDEZ NO DEPENDE DE LOS MEDIOS DE PRUEBA QUE EL SUJETO OBLIGADO APORTE.</w:t>
      </w:r>
    </w:p>
    <w:p w14:paraId="5B05527D" w14:textId="6FD07B39" w:rsidR="006F759B" w:rsidRPr="003834CC" w:rsidRDefault="006F759B" w:rsidP="003834CC">
      <w:pPr>
        <w:pStyle w:val="INFOEM"/>
        <w:rPr>
          <w:b/>
        </w:rPr>
      </w:pPr>
      <w:r w:rsidRPr="00783B44">
        <w:t>De acuerdo con el artículo</w:t>
      </w:r>
      <w:r>
        <w:t xml:space="preserve"> </w:t>
      </w:r>
      <w:r w:rsidRPr="00783B44">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u w:val="single"/>
        </w:rPr>
        <w:t xml:space="preserve">la prueba de daño es la argumentación fundada y motivada que deben realizar los sujetos obligados para acreditar que la divulgación </w:t>
      </w:r>
      <w:r w:rsidRPr="00783B44">
        <w:rPr>
          <w:u w:val="single"/>
        </w:rPr>
        <w:lastRenderedPageBreak/>
        <w:t>de la información lesiona un interés jurídicamente protegido y que el daño que puede producir es mayor que el interés de conocer ésta</w:t>
      </w:r>
      <w:r w:rsidRPr="00783B44">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r w:rsidR="003834CC">
        <w:t xml:space="preserve">” </w:t>
      </w:r>
      <w:r w:rsidR="003834CC">
        <w:rPr>
          <w:b/>
        </w:rPr>
        <w:t>(Sic)</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este Órgano Garante de la Protección de Datos Personales no omite mencionar que, si dentro de la información que se ordena su entrega, el Sujeto Obligado advierte documentos que por su propia y especial naturaleza son privados, </w:t>
      </w:r>
      <w:r w:rsidRPr="00883102">
        <w:rPr>
          <w:rFonts w:ascii="Palatino Linotype" w:eastAsiaTheme="minorHAnsi" w:hAnsi="Palatino Linotype" w:cs="Arial"/>
          <w:sz w:val="24"/>
          <w:szCs w:val="24"/>
          <w:lang w:val="es-ES_tradnl" w:eastAsia="en-US"/>
        </w:rPr>
        <w:lastRenderedPageBreak/>
        <w:t>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2C1435B7" w14:textId="59E18876" w:rsidR="003834CC" w:rsidRDefault="003834CC" w:rsidP="003834CC">
      <w:pPr>
        <w:pStyle w:val="INFOEM"/>
        <w:rPr>
          <w:b/>
          <w:lang w:val="es-ES_tradnl" w:eastAsia="en-US"/>
        </w:rPr>
      </w:pPr>
      <w:r>
        <w:rPr>
          <w:b/>
          <w:lang w:val="es-ES_tradnl" w:eastAsia="en-US"/>
        </w:rPr>
        <w:t>“</w:t>
      </w:r>
      <w:r w:rsidR="00E6674B" w:rsidRPr="00883102">
        <w:rPr>
          <w:b/>
          <w:lang w:val="es-ES_tradnl" w:eastAsia="en-US"/>
        </w:rPr>
        <w:t xml:space="preserve">INEXISTENCIA DE LA INFORMACIÓN. SUPUESTOS PARA EMITIR LA RESOLUCIÓN DE LA. </w:t>
      </w:r>
    </w:p>
    <w:p w14:paraId="367C1837" w14:textId="054F4958" w:rsidR="00E6674B" w:rsidRPr="003834CC" w:rsidRDefault="00E6674B" w:rsidP="003834CC">
      <w:pPr>
        <w:pStyle w:val="INFOEM"/>
        <w:rPr>
          <w:b/>
          <w:lang w:val="es-ES_tradnl" w:eastAsia="en-US"/>
        </w:rPr>
      </w:pPr>
      <w:r w:rsidRPr="00883102">
        <w:rPr>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883102">
        <w:rPr>
          <w:lang w:val="es-ES_tradnl" w:eastAsia="en-US"/>
        </w:rPr>
        <w:lastRenderedPageBreak/>
        <w:t>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3834CC">
        <w:rPr>
          <w:lang w:val="es-ES_tradnl" w:eastAsia="en-US"/>
        </w:rPr>
        <w:t xml:space="preserve">” </w:t>
      </w:r>
      <w:r w:rsidR="003834CC">
        <w:rPr>
          <w:b/>
          <w:lang w:val="es-ES_tradnl" w:eastAsia="en-US"/>
        </w:rPr>
        <w:t>(Sic)</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8DDB23E"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w:t>
      </w:r>
      <w:r w:rsidR="003834CC">
        <w:rPr>
          <w:rFonts w:ascii="Palatino Linotype" w:eastAsiaTheme="minorHAnsi" w:hAnsi="Palatino Linotype" w:cs="Arial"/>
          <w:b/>
          <w:sz w:val="24"/>
          <w:szCs w:val="24"/>
          <w:lang w:val="es-ES_tradnl" w:eastAsia="en-US"/>
        </w:rPr>
        <w:t>E</w:t>
      </w:r>
      <w:r w:rsidRPr="003834CC">
        <w:rPr>
          <w:rFonts w:ascii="Palatino Linotype" w:eastAsiaTheme="minorHAnsi" w:hAnsi="Palatino Linotype" w:cs="Arial"/>
          <w:b/>
          <w:sz w:val="24"/>
          <w:szCs w:val="24"/>
          <w:lang w:val="es-ES_tradnl" w:eastAsia="en-US"/>
        </w:rPr>
        <w:t>l Recurrente</w:t>
      </w:r>
      <w:r w:rsidRPr="00883102">
        <w:rPr>
          <w:rFonts w:ascii="Palatino Linotype" w:eastAsiaTheme="minorHAnsi" w:hAnsi="Palatino Linotype" w:cs="Arial"/>
          <w:sz w:val="24"/>
          <w:szCs w:val="24"/>
          <w:lang w:val="es-ES_tradnl" w:eastAsia="en-US"/>
        </w:rPr>
        <w:t>,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4B73CC7A"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AF3B5E">
        <w:rPr>
          <w:rFonts w:ascii="Palatino Linotype" w:eastAsiaTheme="minorHAnsi" w:hAnsi="Palatino Linotype" w:cstheme="minorHAnsi"/>
          <w:sz w:val="24"/>
          <w:szCs w:val="24"/>
          <w:lang w:val="es-ES_tradnl" w:eastAsia="en-US"/>
        </w:rPr>
        <w:t>El</w:t>
      </w:r>
      <w:r w:rsidRPr="00883102">
        <w:rPr>
          <w:rFonts w:ascii="Palatino Linotype" w:eastAsiaTheme="minorHAnsi" w:hAnsi="Palatino Linotype" w:cstheme="minorHAnsi"/>
          <w:sz w:val="24"/>
          <w:szCs w:val="24"/>
          <w:lang w:val="es-ES_tradnl" w:eastAsia="en-US"/>
        </w:rPr>
        <w:t xml:space="preserve">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 xml:space="preserve">Considerando </w:t>
      </w:r>
      <w:r w:rsidR="00E11301">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6EFC868C"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3834CC">
        <w:rPr>
          <w:rFonts w:ascii="Palatino Linotype" w:eastAsia="Palatino Linotype" w:hAnsi="Palatino Linotype" w:cs="Palatino Linotype"/>
          <w:b/>
          <w:color w:val="000000"/>
          <w:sz w:val="24"/>
          <w:szCs w:val="24"/>
          <w:lang w:val="es-ES_tradnl"/>
        </w:rPr>
        <w:t xml:space="preserve">00119/IXTAPALU/IP/2022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E11301">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w:t>
      </w:r>
      <w:r w:rsidR="00AF13E8"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lastRenderedPageBreak/>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w:t>
      </w:r>
      <w:r w:rsidR="00AF13E8" w:rsidRPr="003834CC">
        <w:rPr>
          <w:rFonts w:ascii="Palatino Linotype" w:eastAsiaTheme="minorHAnsi" w:hAnsi="Palatino Linotype" w:cstheme="minorBidi"/>
          <w:b/>
          <w:color w:val="222222"/>
          <w:sz w:val="24"/>
          <w:szCs w:val="24"/>
          <w:lang w:val="es-ES_tradnl"/>
        </w:rPr>
        <w:t>(SAIMEX)</w:t>
      </w:r>
      <w:r w:rsidR="00E6674B" w:rsidRPr="003834CC">
        <w:rPr>
          <w:rFonts w:ascii="Palatino Linotype" w:eastAsiaTheme="minorHAnsi" w:hAnsi="Palatino Linotype" w:cstheme="minorHAnsi"/>
          <w:b/>
          <w:sz w:val="24"/>
          <w:szCs w:val="24"/>
          <w:lang w:val="es-ES_tradnl" w:eastAsia="en-US"/>
        </w:rPr>
        <w:t>,</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127CF2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3834CC">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Recurrente</w:t>
      </w:r>
      <w:r w:rsidRPr="00883102">
        <w:rPr>
          <w:rFonts w:ascii="Palatino Linotype" w:eastAsiaTheme="minorHAnsi" w:hAnsi="Palatino Linotype" w:cstheme="minorHAnsi"/>
          <w:sz w:val="24"/>
          <w:szCs w:val="24"/>
          <w:lang w:val="es-ES_tradnl" w:eastAsia="en-US"/>
        </w:rPr>
        <w:t xml:space="preserv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3834CC">
        <w:rPr>
          <w:rFonts w:ascii="Palatino Linotype" w:eastAsiaTheme="minorHAnsi" w:hAnsi="Palatino Linotype" w:cstheme="minorHAnsi"/>
          <w:b/>
          <w:sz w:val="24"/>
          <w:szCs w:val="24"/>
          <w:lang w:val="es-ES_tradnl" w:eastAsia="en-US"/>
        </w:rPr>
        <w:t>(SAIMEX)</w:t>
      </w:r>
      <w:r w:rsidR="003834CC">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281B3E72"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E11301">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11BC72BC"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lastRenderedPageBreak/>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AF3B5E">
        <w:rPr>
          <w:rFonts w:ascii="Palatino Linotype" w:eastAsiaTheme="minorHAnsi" w:hAnsi="Palatino Linotype" w:cstheme="minorHAnsi"/>
          <w:color w:val="222222"/>
          <w:sz w:val="24"/>
          <w:szCs w:val="24"/>
          <w:lang w:val="es-ES_tradnl" w:eastAsia="es-ES_tradnl"/>
        </w:rPr>
        <w:t>del</w:t>
      </w:r>
      <w:r w:rsidRPr="00883102">
        <w:rPr>
          <w:rFonts w:ascii="Palatino Linotype" w:eastAsiaTheme="minorHAnsi" w:hAnsi="Palatino Linotype" w:cstheme="minorHAnsi"/>
          <w:color w:val="222222"/>
          <w:sz w:val="24"/>
          <w:szCs w:val="24"/>
          <w:lang w:val="es-ES_tradnl" w:eastAsia="es-ES_tradnl"/>
        </w:rPr>
        <w:t xml:space="preserv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EACF497" w14:textId="77777777" w:rsidR="003834CC" w:rsidRDefault="003834CC" w:rsidP="003834CC">
      <w:pPr>
        <w:pStyle w:val="Prrafodelista"/>
        <w:autoSpaceDE w:val="0"/>
        <w:autoSpaceDN w:val="0"/>
        <w:adjustRightInd w:val="0"/>
        <w:spacing w:before="240" w:after="160" w:line="360" w:lineRule="auto"/>
        <w:ind w:left="0"/>
        <w:jc w:val="both"/>
        <w:rPr>
          <w:rFonts w:ascii="Palatino Linotype" w:hAnsi="Palatino Linotype" w:cs="Arial"/>
        </w:rPr>
      </w:pPr>
      <w:bookmarkStart w:id="1" w:name="_heading=h.gjdgxs" w:colFirst="0" w:colLast="0"/>
      <w:bookmarkEnd w:id="1"/>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VIGÉSIMA PRIMERA SESIÓN ORDINARIA CELEBRADA EL OCHO DE JUNIO </w:t>
      </w:r>
      <w:r w:rsidRPr="00266B85">
        <w:rPr>
          <w:rFonts w:ascii="Palatino Linotype" w:hAnsi="Palatino Linotype" w:cs="Arial"/>
        </w:rPr>
        <w:t>DE DOS MIL VEINTIDÓS, ANTE</w:t>
      </w:r>
      <w:r>
        <w:rPr>
          <w:rFonts w:ascii="Palatino Linotype" w:hAnsi="Palatino Linotype" w:cs="Arial"/>
        </w:rPr>
        <w:t xml:space="preserve"> EL  SECRETARIO TÉCNICO DEL PLENO, ALEXIS TAPIA RAMÍREZ. </w:t>
      </w:r>
    </w:p>
    <w:p w14:paraId="2C301CBF" w14:textId="77777777" w:rsidR="003834CC" w:rsidRDefault="003834CC" w:rsidP="003834CC">
      <w:pPr>
        <w:spacing w:line="360" w:lineRule="auto"/>
        <w:jc w:val="both"/>
        <w:rPr>
          <w:rFonts w:ascii="Palatino Linotype" w:hAnsi="Palatino Linotype"/>
          <w:bCs/>
          <w:sz w:val="24"/>
          <w:szCs w:val="24"/>
        </w:rPr>
      </w:pPr>
      <w:r>
        <w:rPr>
          <w:rFonts w:ascii="Palatino Linotype" w:hAnsi="Palatino Linotype"/>
          <w:bCs/>
          <w:sz w:val="18"/>
          <w:szCs w:val="18"/>
        </w:rPr>
        <w:t>CCR/J</w:t>
      </w:r>
      <w:r w:rsidRPr="00280B8B">
        <w:rPr>
          <w:rFonts w:ascii="Palatino Linotype" w:hAnsi="Palatino Linotype"/>
          <w:bCs/>
          <w:sz w:val="18"/>
          <w:szCs w:val="18"/>
        </w:rPr>
        <w:t>CMA</w:t>
      </w:r>
    </w:p>
    <w:p w14:paraId="4CCBA7B3" w14:textId="2417C081" w:rsidR="003834CC" w:rsidRDefault="003834CC" w:rsidP="003834CC">
      <w:pPr>
        <w:spacing w:after="0" w:line="360" w:lineRule="auto"/>
        <w:jc w:val="both"/>
        <w:rPr>
          <w:rFonts w:ascii="Palatino Linotype" w:hAnsi="Palatino Linotype" w:cs="Times New Roman"/>
          <w:sz w:val="24"/>
          <w:szCs w:val="24"/>
          <w:lang w:eastAsia="es-ES"/>
        </w:rPr>
      </w:pP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Default="00D718B8" w:rsidP="00663A37">
      <w:pPr>
        <w:rPr>
          <w:rFonts w:ascii="Palatino Linotype" w:hAnsi="Palatino Linotype"/>
          <w:sz w:val="20"/>
          <w:szCs w:val="20"/>
          <w:lang w:val="es-ES_tradnl"/>
        </w:rPr>
      </w:pPr>
    </w:p>
    <w:p w14:paraId="42E11C6D" w14:textId="77777777" w:rsidR="003834CC" w:rsidRDefault="003834CC" w:rsidP="00663A37">
      <w:pPr>
        <w:rPr>
          <w:rFonts w:ascii="Palatino Linotype" w:hAnsi="Palatino Linotype"/>
          <w:sz w:val="20"/>
          <w:szCs w:val="20"/>
          <w:lang w:val="es-ES_tradnl"/>
        </w:rPr>
      </w:pPr>
    </w:p>
    <w:p w14:paraId="510C4C3A" w14:textId="77777777" w:rsidR="003834CC" w:rsidRDefault="003834CC" w:rsidP="00663A37">
      <w:pPr>
        <w:rPr>
          <w:rFonts w:ascii="Palatino Linotype" w:hAnsi="Palatino Linotype"/>
          <w:sz w:val="20"/>
          <w:szCs w:val="20"/>
          <w:lang w:val="es-ES_tradnl"/>
        </w:rPr>
      </w:pPr>
    </w:p>
    <w:p w14:paraId="5FD5239C" w14:textId="77777777" w:rsidR="003834CC" w:rsidRDefault="003834CC" w:rsidP="00663A37">
      <w:pPr>
        <w:rPr>
          <w:rFonts w:ascii="Palatino Linotype" w:hAnsi="Palatino Linotype"/>
          <w:sz w:val="20"/>
          <w:szCs w:val="20"/>
          <w:lang w:val="es-ES_tradnl"/>
        </w:rPr>
      </w:pPr>
    </w:p>
    <w:p w14:paraId="0EC41003" w14:textId="77777777" w:rsidR="003834CC" w:rsidRDefault="003834CC" w:rsidP="00663A37">
      <w:pPr>
        <w:rPr>
          <w:rFonts w:ascii="Palatino Linotype" w:hAnsi="Palatino Linotype"/>
          <w:sz w:val="20"/>
          <w:szCs w:val="20"/>
          <w:lang w:val="es-ES_tradnl"/>
        </w:rPr>
      </w:pPr>
    </w:p>
    <w:p w14:paraId="12A6EBA1" w14:textId="77777777" w:rsidR="003834CC" w:rsidRDefault="003834CC" w:rsidP="00663A37">
      <w:pPr>
        <w:rPr>
          <w:rFonts w:ascii="Palatino Linotype" w:hAnsi="Palatino Linotype"/>
          <w:sz w:val="20"/>
          <w:szCs w:val="20"/>
          <w:lang w:val="es-ES_tradnl"/>
        </w:rPr>
      </w:pPr>
    </w:p>
    <w:p w14:paraId="28AA3D3B" w14:textId="77777777" w:rsidR="003834CC" w:rsidRDefault="003834CC" w:rsidP="00663A37">
      <w:pPr>
        <w:rPr>
          <w:rFonts w:ascii="Palatino Linotype" w:hAnsi="Palatino Linotype"/>
          <w:sz w:val="20"/>
          <w:szCs w:val="20"/>
          <w:lang w:val="es-ES_tradnl"/>
        </w:rPr>
      </w:pPr>
    </w:p>
    <w:p w14:paraId="25FBCDB0" w14:textId="77777777" w:rsidR="003834CC" w:rsidRDefault="003834CC" w:rsidP="00663A37">
      <w:pPr>
        <w:rPr>
          <w:rFonts w:ascii="Palatino Linotype" w:hAnsi="Palatino Linotype"/>
          <w:sz w:val="20"/>
          <w:szCs w:val="20"/>
          <w:lang w:val="es-ES_tradnl"/>
        </w:rPr>
      </w:pPr>
    </w:p>
    <w:p w14:paraId="480E96D4" w14:textId="77777777" w:rsidR="003834CC" w:rsidRDefault="003834CC" w:rsidP="00663A37">
      <w:pPr>
        <w:rPr>
          <w:rFonts w:ascii="Palatino Linotype" w:hAnsi="Palatino Linotype"/>
          <w:sz w:val="20"/>
          <w:szCs w:val="20"/>
          <w:lang w:val="es-ES_tradnl"/>
        </w:rPr>
      </w:pPr>
    </w:p>
    <w:p w14:paraId="72BD1E33" w14:textId="77777777" w:rsidR="003834CC" w:rsidRDefault="003834CC" w:rsidP="00663A37">
      <w:pPr>
        <w:rPr>
          <w:rFonts w:ascii="Palatino Linotype" w:hAnsi="Palatino Linotype"/>
          <w:sz w:val="20"/>
          <w:szCs w:val="20"/>
          <w:lang w:val="es-ES_tradnl"/>
        </w:rPr>
      </w:pPr>
    </w:p>
    <w:p w14:paraId="5C3C8CE7" w14:textId="77777777" w:rsidR="003834CC" w:rsidRDefault="003834CC" w:rsidP="00663A37">
      <w:pPr>
        <w:rPr>
          <w:rFonts w:ascii="Palatino Linotype" w:hAnsi="Palatino Linotype"/>
          <w:sz w:val="20"/>
          <w:szCs w:val="20"/>
          <w:lang w:val="es-ES_tradnl"/>
        </w:rPr>
      </w:pPr>
    </w:p>
    <w:p w14:paraId="19F655DC" w14:textId="77777777" w:rsidR="003834CC" w:rsidRPr="00883102" w:rsidRDefault="003834CC" w:rsidP="00663A37">
      <w:pPr>
        <w:rPr>
          <w:rFonts w:ascii="Palatino Linotype" w:hAnsi="Palatino Linotype"/>
          <w:sz w:val="20"/>
          <w:szCs w:val="20"/>
          <w:lang w:val="es-ES_tradnl"/>
        </w:rPr>
      </w:pPr>
    </w:p>
    <w:sectPr w:rsidR="003834CC"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07AE3" w14:textId="77777777" w:rsidR="002F68C3" w:rsidRDefault="002F68C3" w:rsidP="00F2498E">
      <w:pPr>
        <w:spacing w:after="0" w:line="240" w:lineRule="auto"/>
      </w:pPr>
      <w:r>
        <w:separator/>
      </w:r>
    </w:p>
  </w:endnote>
  <w:endnote w:type="continuationSeparator" w:id="0">
    <w:p w14:paraId="7BFCE9BA" w14:textId="77777777" w:rsidR="002F68C3" w:rsidRDefault="002F68C3"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D487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D4877">
      <w:rPr>
        <w:rFonts w:ascii="Palatino Linotype" w:hAnsi="Palatino Linotype"/>
        <w:b/>
        <w:bCs/>
        <w:noProof/>
        <w:sz w:val="20"/>
      </w:rPr>
      <w:t>45</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D487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D4877">
      <w:rPr>
        <w:rFonts w:ascii="Palatino Linotype" w:hAnsi="Palatino Linotype"/>
        <w:b/>
        <w:bCs/>
        <w:noProof/>
        <w:sz w:val="20"/>
      </w:rPr>
      <w:t>45</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DC22C" w14:textId="77777777" w:rsidR="002F68C3" w:rsidRDefault="002F68C3" w:rsidP="00F2498E">
      <w:pPr>
        <w:spacing w:after="0" w:line="240" w:lineRule="auto"/>
      </w:pPr>
      <w:r>
        <w:separator/>
      </w:r>
    </w:p>
  </w:footnote>
  <w:footnote w:type="continuationSeparator" w:id="0">
    <w:p w14:paraId="3B664791" w14:textId="77777777" w:rsidR="002F68C3" w:rsidRDefault="002F68C3" w:rsidP="00F2498E">
      <w:pPr>
        <w:spacing w:after="0" w:line="240" w:lineRule="auto"/>
      </w:pPr>
      <w:r>
        <w:continuationSeparator/>
      </w:r>
    </w:p>
  </w:footnote>
  <w:footnote w:id="1">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2">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3">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2F68C3">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0A65135"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C00092">
            <w:rPr>
              <w:rFonts w:ascii="Palatino Linotype" w:hAnsi="Palatino Linotype" w:cs="Arial"/>
              <w:b/>
              <w:bCs/>
              <w:sz w:val="24"/>
              <w:szCs w:val="24"/>
            </w:rPr>
            <w:t>7800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1C08D32"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Ixtapaluca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2F68C3">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6CCA7526"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C00092">
            <w:rPr>
              <w:rFonts w:ascii="Palatino Linotype" w:hAnsi="Palatino Linotype" w:cs="Arial"/>
              <w:b/>
              <w:bCs/>
              <w:sz w:val="24"/>
              <w:szCs w:val="24"/>
            </w:rPr>
            <w:t>7800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0D9FF5BC" w:rsidR="00A27FD0" w:rsidRPr="00C50FCD" w:rsidRDefault="00AD4877"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xxxxxxxxxxxxxxxxxx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96B7459"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Ixtapaluca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2F68C3">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4"/>
  </w:num>
  <w:num w:numId="5">
    <w:abstractNumId w:val="5"/>
  </w:num>
  <w:num w:numId="6">
    <w:abstractNumId w:val="1"/>
  </w:num>
  <w:num w:numId="7">
    <w:abstractNumId w:val="3"/>
  </w:num>
  <w:num w:numId="8">
    <w:abstractNumId w:val="0"/>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68C3"/>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5EC7"/>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4877"/>
    <w:rsid w:val="00AD76EF"/>
    <w:rsid w:val="00AE19D1"/>
    <w:rsid w:val="00AE25BF"/>
    <w:rsid w:val="00AE2666"/>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29947-DE9E-4AB6-99CA-7651C8F37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9761</Words>
  <Characters>53689</Characters>
  <Application>Microsoft Office Word</Application>
  <DocSecurity>0</DocSecurity>
  <Lines>447</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2019-06-13T15:30:00Z</cp:lastPrinted>
  <dcterms:created xsi:type="dcterms:W3CDTF">2022-06-23T15:23:00Z</dcterms:created>
  <dcterms:modified xsi:type="dcterms:W3CDTF">2022-06-23T15:30:00Z</dcterms:modified>
</cp:coreProperties>
</file>