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16B77"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veintisiete de enero de dos mil veintidós</w:t>
      </w:r>
      <w:r>
        <w:rPr>
          <w:rFonts w:ascii="Palatino Linotype" w:eastAsia="Palatino Linotype" w:hAnsi="Palatino Linotype" w:cs="Palatino Linotype"/>
        </w:rPr>
        <w:t>.</w:t>
      </w:r>
    </w:p>
    <w:p w14:paraId="49C4A43F" w14:textId="6976EBF9" w:rsidR="008018CA" w:rsidRDefault="008A6E6C">
      <w:pPr>
        <w:spacing w:before="240" w:after="240" w:line="360" w:lineRule="auto"/>
        <w:ind w:right="425"/>
        <w:jc w:val="both"/>
        <w:rPr>
          <w:rFonts w:ascii="Palatino Linotype" w:eastAsia="Palatino Linotype" w:hAnsi="Palatino Linotype" w:cs="Palatino Linotype"/>
          <w:b/>
        </w:rPr>
      </w:pPr>
      <w:r>
        <w:rPr>
          <w:rFonts w:ascii="Palatino Linotype" w:eastAsia="Palatino Linotype" w:hAnsi="Palatino Linotype" w:cs="Palatino Linotype"/>
        </w:rPr>
        <w:t xml:space="preserve">Visto el expediente relativo al recurso de revisión </w:t>
      </w:r>
      <w:r>
        <w:rPr>
          <w:rFonts w:ascii="Palatino Linotype" w:eastAsia="Palatino Linotype" w:hAnsi="Palatino Linotype" w:cs="Palatino Linotype"/>
          <w:b/>
        </w:rPr>
        <w:t xml:space="preserve">05349/INFOEM/IP/RR/2021 </w:t>
      </w:r>
      <w:r>
        <w:rPr>
          <w:rFonts w:ascii="Palatino Linotype" w:eastAsia="Palatino Linotype" w:hAnsi="Palatino Linotype" w:cs="Palatino Linotype"/>
        </w:rPr>
        <w:t xml:space="preserve">interpuesto por </w:t>
      </w:r>
      <w:r w:rsidR="00ED3BDC" w:rsidRPr="00ED3BDC">
        <w:rPr>
          <w:rFonts w:ascii="Palatino Linotype" w:eastAsia="Palatino Linotype" w:hAnsi="Palatino Linotype" w:cs="Palatino Linotype"/>
          <w:b/>
        </w:rPr>
        <w:t>XXXXXX XXXX XXXXX</w:t>
      </w:r>
      <w:r>
        <w:rPr>
          <w:rFonts w:ascii="Palatino Linotype" w:eastAsia="Palatino Linotype" w:hAnsi="Palatino Linotype" w:cs="Palatino Linotype"/>
        </w:rPr>
        <w:t>, a quien en lo sucesivo se le denominará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contra de la respuesta a su solicitud de información con número de folio </w:t>
      </w:r>
      <w:r>
        <w:rPr>
          <w:rFonts w:ascii="Palatino Linotype" w:eastAsia="Palatino Linotype" w:hAnsi="Palatino Linotype" w:cs="Palatino Linotype"/>
          <w:b/>
        </w:rPr>
        <w:t xml:space="preserve">00440/CUAUTIT/IP/2021, </w:t>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Ayuntamiento de Cuautitlán,</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 siguiente.</w:t>
      </w:r>
    </w:p>
    <w:p w14:paraId="17DDF3EF" w14:textId="77777777" w:rsidR="008018CA" w:rsidRDefault="008A6E6C">
      <w:pPr>
        <w:numPr>
          <w:ilvl w:val="0"/>
          <w:numId w:val="4"/>
        </w:numPr>
        <w:spacing w:before="240" w:line="360" w:lineRule="auto"/>
        <w:ind w:left="1077" w:right="900" w:hanging="368"/>
        <w:jc w:val="center"/>
        <w:rPr>
          <w:rFonts w:ascii="Palatino Linotype" w:eastAsia="Palatino Linotype" w:hAnsi="Palatino Linotype" w:cs="Palatino Linotype"/>
          <w:b/>
        </w:rPr>
      </w:pPr>
      <w:r>
        <w:rPr>
          <w:rFonts w:ascii="Palatino Linotype" w:eastAsia="Palatino Linotype" w:hAnsi="Palatino Linotype" w:cs="Palatino Linotype"/>
          <w:b/>
        </w:rPr>
        <w:t>A N T E C E D E N T E S:</w:t>
      </w:r>
    </w:p>
    <w:p w14:paraId="38E3D2A5" w14:textId="77777777" w:rsidR="008018CA" w:rsidRDefault="008A6E6C">
      <w:pPr>
        <w:spacing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El </w:t>
      </w:r>
      <w:r>
        <w:rPr>
          <w:rFonts w:ascii="Palatino Linotype" w:eastAsia="Palatino Linotype" w:hAnsi="Palatino Linotype" w:cs="Palatino Linotype"/>
          <w:b/>
        </w:rPr>
        <w:t>cinco de</w:t>
      </w:r>
      <w:r>
        <w:rPr>
          <w:rFonts w:ascii="Palatino Linotype" w:eastAsia="Palatino Linotype" w:hAnsi="Palatino Linotype" w:cs="Palatino Linotype"/>
        </w:rPr>
        <w:t xml:space="preserve"> </w:t>
      </w:r>
      <w:r>
        <w:rPr>
          <w:rFonts w:ascii="Palatino Linotype" w:eastAsia="Palatino Linotype" w:hAnsi="Palatino Linotype" w:cs="Palatino Linotype"/>
          <w:b/>
        </w:rPr>
        <w:t>octubre de</w:t>
      </w:r>
      <w:r>
        <w:rPr>
          <w:rFonts w:ascii="Palatino Linotype" w:eastAsia="Palatino Linotype" w:hAnsi="Palatino Linotype" w:cs="Palatino Linotype"/>
        </w:rPr>
        <w:t xml:space="preserve"> </w:t>
      </w:r>
      <w:r>
        <w:rPr>
          <w:rFonts w:ascii="Palatino Linotype" w:eastAsia="Palatino Linotype" w:hAnsi="Palatino Linotype" w:cs="Palatino Linotype"/>
          <w:b/>
        </w:rPr>
        <w:t>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formuló una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requiriéndole lo siguiente:</w:t>
      </w:r>
    </w:p>
    <w:p w14:paraId="1714CDF9" w14:textId="3EB91F1E" w:rsidR="008018CA" w:rsidRDefault="008A6E6C">
      <w:pPr>
        <w:spacing w:before="240" w:after="240"/>
        <w:ind w:left="851"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como se muestra en el archivo que se anexa, el </w:t>
      </w:r>
      <w:proofErr w:type="spellStart"/>
      <w:r w:rsidR="00CD394A">
        <w:rPr>
          <w:rFonts w:ascii="Palatino Linotype" w:eastAsia="Palatino Linotype" w:hAnsi="Palatino Linotype" w:cs="Palatino Linotype"/>
          <w:i/>
          <w:color w:val="000000"/>
          <w:sz w:val="22"/>
          <w:szCs w:val="22"/>
        </w:rPr>
        <w:t>Xx</w:t>
      </w:r>
      <w:proofErr w:type="spellEnd"/>
      <w:r>
        <w:rPr>
          <w:rFonts w:ascii="Palatino Linotype" w:eastAsia="Palatino Linotype" w:hAnsi="Palatino Linotype" w:cs="Palatino Linotype"/>
          <w:i/>
          <w:color w:val="000000"/>
          <w:sz w:val="22"/>
          <w:szCs w:val="22"/>
        </w:rPr>
        <w:t xml:space="preserve">. </w:t>
      </w:r>
      <w:proofErr w:type="spellStart"/>
      <w:r w:rsidR="00CD394A">
        <w:rPr>
          <w:rFonts w:ascii="Palatino Linotype" w:eastAsia="Palatino Linotype" w:hAnsi="Palatino Linotype" w:cs="Palatino Linotype"/>
          <w:i/>
          <w:color w:val="000000"/>
          <w:sz w:val="22"/>
          <w:szCs w:val="22"/>
        </w:rPr>
        <w:t>Xxxx</w:t>
      </w:r>
      <w:proofErr w:type="spellEnd"/>
      <w:r>
        <w:rPr>
          <w:rFonts w:ascii="Palatino Linotype" w:eastAsia="Palatino Linotype" w:hAnsi="Palatino Linotype" w:cs="Palatino Linotype"/>
          <w:i/>
          <w:color w:val="000000"/>
          <w:sz w:val="22"/>
          <w:szCs w:val="22"/>
        </w:rPr>
        <w:t xml:space="preserve"> </w:t>
      </w:r>
      <w:proofErr w:type="spellStart"/>
      <w:r w:rsidR="00CD394A">
        <w:rPr>
          <w:rFonts w:ascii="Palatino Linotype" w:eastAsia="Palatino Linotype" w:hAnsi="Palatino Linotype" w:cs="Palatino Linotype"/>
          <w:i/>
          <w:color w:val="000000"/>
          <w:sz w:val="22"/>
          <w:szCs w:val="22"/>
        </w:rPr>
        <w:t>Xxxxx</w:t>
      </w:r>
      <w:proofErr w:type="spellEnd"/>
      <w:r>
        <w:rPr>
          <w:rFonts w:ascii="Palatino Linotype" w:eastAsia="Palatino Linotype" w:hAnsi="Palatino Linotype" w:cs="Palatino Linotype"/>
          <w:i/>
          <w:color w:val="000000"/>
          <w:sz w:val="22"/>
          <w:szCs w:val="22"/>
        </w:rPr>
        <w:t xml:space="preserve"> se hace pasar por el administrador para sembrar terror con sus </w:t>
      </w:r>
      <w:proofErr w:type="spellStart"/>
      <w:r>
        <w:rPr>
          <w:rFonts w:ascii="Palatino Linotype" w:eastAsia="Palatino Linotype" w:hAnsi="Palatino Linotype" w:cs="Palatino Linotype"/>
          <w:i/>
          <w:color w:val="000000"/>
          <w:sz w:val="22"/>
          <w:szCs w:val="22"/>
        </w:rPr>
        <w:t>multiples</w:t>
      </w:r>
      <w:proofErr w:type="spellEnd"/>
      <w:r>
        <w:rPr>
          <w:rFonts w:ascii="Palatino Linotype" w:eastAsia="Palatino Linotype" w:hAnsi="Palatino Linotype" w:cs="Palatino Linotype"/>
          <w:i/>
          <w:color w:val="000000"/>
          <w:sz w:val="22"/>
          <w:szCs w:val="22"/>
        </w:rPr>
        <w:t xml:space="preserve"> amenazas con los vecinos que no pagan las cuotas de mantenimiento; por lo anterior expuesto, </w:t>
      </w:r>
      <w:r w:rsidRPr="009A4B40">
        <w:rPr>
          <w:rFonts w:ascii="Palatino Linotype" w:eastAsia="Palatino Linotype" w:hAnsi="Palatino Linotype" w:cs="Palatino Linotype"/>
          <w:b/>
          <w:i/>
          <w:color w:val="000000"/>
          <w:sz w:val="22"/>
          <w:szCs w:val="22"/>
        </w:rPr>
        <w:t>solicitamos nos sea entregada el acta donde este</w:t>
      </w:r>
      <w:r>
        <w:rPr>
          <w:rFonts w:ascii="Palatino Linotype" w:eastAsia="Palatino Linotype" w:hAnsi="Palatino Linotype" w:cs="Palatino Linotype"/>
          <w:i/>
          <w:color w:val="000000"/>
          <w:sz w:val="22"/>
          <w:szCs w:val="22"/>
        </w:rPr>
        <w:t xml:space="preserve"> delincuente </w:t>
      </w:r>
      <w:r w:rsidRPr="009A4B40">
        <w:rPr>
          <w:rFonts w:ascii="Palatino Linotype" w:eastAsia="Palatino Linotype" w:hAnsi="Palatino Linotype" w:cs="Palatino Linotype"/>
          <w:b/>
          <w:i/>
          <w:color w:val="000000"/>
          <w:sz w:val="22"/>
          <w:szCs w:val="22"/>
        </w:rPr>
        <w:t>se acredita como administrador</w:t>
      </w:r>
      <w:r>
        <w:rPr>
          <w:rFonts w:ascii="Palatino Linotype" w:eastAsia="Palatino Linotype" w:hAnsi="Palatino Linotype" w:cs="Palatino Linotype"/>
          <w:i/>
          <w:color w:val="000000"/>
          <w:sz w:val="22"/>
          <w:szCs w:val="22"/>
        </w:rPr>
        <w:t xml:space="preserve">, </w:t>
      </w:r>
      <w:proofErr w:type="spellStart"/>
      <w:r w:rsidRPr="009A4B40">
        <w:rPr>
          <w:rFonts w:ascii="Palatino Linotype" w:eastAsia="Palatino Linotype" w:hAnsi="Palatino Linotype" w:cs="Palatino Linotype"/>
          <w:b/>
          <w:i/>
          <w:color w:val="000000"/>
          <w:sz w:val="22"/>
          <w:szCs w:val="22"/>
        </w:rPr>
        <w:t>asi</w:t>
      </w:r>
      <w:proofErr w:type="spellEnd"/>
      <w:r w:rsidRPr="009A4B40">
        <w:rPr>
          <w:rFonts w:ascii="Palatino Linotype" w:eastAsia="Palatino Linotype" w:hAnsi="Palatino Linotype" w:cs="Palatino Linotype"/>
          <w:b/>
          <w:i/>
          <w:color w:val="000000"/>
          <w:sz w:val="22"/>
          <w:szCs w:val="22"/>
        </w:rPr>
        <w:t xml:space="preserve"> como los comprobantes de gastos que acreditan la </w:t>
      </w:r>
      <w:proofErr w:type="spellStart"/>
      <w:r w:rsidRPr="009A4B40">
        <w:rPr>
          <w:rFonts w:ascii="Palatino Linotype" w:eastAsia="Palatino Linotype" w:hAnsi="Palatino Linotype" w:cs="Palatino Linotype"/>
          <w:b/>
          <w:i/>
          <w:color w:val="000000"/>
          <w:sz w:val="22"/>
          <w:szCs w:val="22"/>
        </w:rPr>
        <w:t>rendicion</w:t>
      </w:r>
      <w:proofErr w:type="spellEnd"/>
      <w:r w:rsidRPr="009A4B40">
        <w:rPr>
          <w:rFonts w:ascii="Palatino Linotype" w:eastAsia="Palatino Linotype" w:hAnsi="Palatino Linotype" w:cs="Palatino Linotype"/>
          <w:b/>
          <w:i/>
          <w:color w:val="000000"/>
          <w:sz w:val="22"/>
          <w:szCs w:val="22"/>
        </w:rPr>
        <w:t xml:space="preserve"> de cuentas</w:t>
      </w:r>
      <w:r>
        <w:rPr>
          <w:rFonts w:ascii="Palatino Linotype" w:eastAsia="Palatino Linotype" w:hAnsi="Palatino Linotype" w:cs="Palatino Linotype"/>
          <w:i/>
          <w:color w:val="000000"/>
          <w:sz w:val="22"/>
          <w:szCs w:val="22"/>
        </w:rPr>
        <w:t xml:space="preserve"> que entrego en semanas pasadas, adicionalmente requerimos conocer si es verdad que se </w:t>
      </w:r>
      <w:proofErr w:type="spellStart"/>
      <w:r>
        <w:rPr>
          <w:rFonts w:ascii="Palatino Linotype" w:eastAsia="Palatino Linotype" w:hAnsi="Palatino Linotype" w:cs="Palatino Linotype"/>
          <w:i/>
          <w:color w:val="000000"/>
          <w:sz w:val="22"/>
          <w:szCs w:val="22"/>
        </w:rPr>
        <w:t>procedera</w:t>
      </w:r>
      <w:proofErr w:type="spellEnd"/>
      <w:r>
        <w:rPr>
          <w:rFonts w:ascii="Palatino Linotype" w:eastAsia="Palatino Linotype" w:hAnsi="Palatino Linotype" w:cs="Palatino Linotype"/>
          <w:i/>
          <w:color w:val="000000"/>
          <w:sz w:val="22"/>
          <w:szCs w:val="22"/>
        </w:rPr>
        <w:t xml:space="preserve"> a clausurar las cisternas al interior del fraccionamiento y si nos cobraran alguna multa porque no se cuenta con licencia de funcionamiento para los agente de seguridad que tenemos en la caseta principal de acceso al fraccionamiento</w:t>
      </w:r>
      <w:r>
        <w:rPr>
          <w:rFonts w:ascii="Palatino Linotype" w:eastAsia="Palatino Linotype" w:hAnsi="Palatino Linotype" w:cs="Palatino Linotype"/>
          <w:i/>
          <w:sz w:val="22"/>
          <w:szCs w:val="22"/>
        </w:rPr>
        <w:t>” (Sic)</w:t>
      </w:r>
    </w:p>
    <w:p w14:paraId="142E8E9E" w14:textId="77777777" w:rsidR="008018CA" w:rsidRDefault="008018CA">
      <w:pPr>
        <w:spacing w:before="240" w:after="240"/>
        <w:ind w:right="900"/>
        <w:jc w:val="both"/>
        <w:rPr>
          <w:rFonts w:ascii="Palatino Linotype" w:eastAsia="Palatino Linotype" w:hAnsi="Palatino Linotype" w:cs="Palatino Linotype"/>
          <w:b/>
          <w:sz w:val="22"/>
          <w:szCs w:val="22"/>
        </w:rPr>
      </w:pPr>
    </w:p>
    <w:p w14:paraId="59220FF9" w14:textId="77777777" w:rsidR="008018CA" w:rsidRDefault="008018CA">
      <w:pPr>
        <w:spacing w:before="240" w:after="240"/>
        <w:ind w:right="900"/>
        <w:jc w:val="both"/>
        <w:rPr>
          <w:rFonts w:ascii="Palatino Linotype" w:eastAsia="Palatino Linotype" w:hAnsi="Palatino Linotype" w:cs="Palatino Linotype"/>
          <w:b/>
          <w:sz w:val="22"/>
          <w:szCs w:val="22"/>
        </w:rPr>
      </w:pPr>
    </w:p>
    <w:p w14:paraId="0ACBB5BA" w14:textId="77777777" w:rsidR="008018CA" w:rsidRDefault="008A6E6C">
      <w:pPr>
        <w:spacing w:before="240" w:after="240"/>
        <w:ind w:right="90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4407541F" w14:textId="77777777" w:rsidR="008018CA" w:rsidRDefault="008A6E6C">
      <w:pPr>
        <w:numPr>
          <w:ilvl w:val="0"/>
          <w:numId w:val="1"/>
        </w:numPr>
        <w:pBdr>
          <w:top w:val="nil"/>
          <w:left w:val="nil"/>
          <w:bottom w:val="nil"/>
          <w:right w:val="nil"/>
          <w:between w:val="nil"/>
        </w:pBdr>
        <w:spacing w:before="240" w:after="240" w:line="360" w:lineRule="auto"/>
        <w:ind w:left="567" w:right="902" w:firstLine="0"/>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“REPORTE DEL MES DE SEPTIEMBRE DE 2021.pdf”: </w:t>
      </w:r>
      <w:r>
        <w:rPr>
          <w:rFonts w:ascii="Palatino Linotype" w:eastAsia="Palatino Linotype" w:hAnsi="Palatino Linotype" w:cs="Palatino Linotype"/>
          <w:color w:val="000000"/>
          <w:sz w:val="22"/>
          <w:szCs w:val="22"/>
        </w:rPr>
        <w:t>Presentación en PowerPoint, mediante la que se reportan las Recaudaciones de Donaciones del Fraccionamiento Real De San Fernando.</w:t>
      </w:r>
    </w:p>
    <w:p w14:paraId="683301E6" w14:textId="77777777" w:rsidR="008018CA" w:rsidRDefault="008A6E6C">
      <w:pPr>
        <w:spacing w:before="240" w:after="240" w:line="360" w:lineRule="auto"/>
        <w:ind w:left="567"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“evidencia_uno.jpg”: </w:t>
      </w:r>
      <w:r>
        <w:rPr>
          <w:rFonts w:ascii="Palatino Linotype" w:eastAsia="Palatino Linotype" w:hAnsi="Palatino Linotype" w:cs="Palatino Linotype"/>
          <w:sz w:val="22"/>
          <w:szCs w:val="22"/>
        </w:rPr>
        <w:t xml:space="preserve">Captura de pantalla de una conversación en la aplicación </w:t>
      </w:r>
      <w:proofErr w:type="spellStart"/>
      <w:r>
        <w:rPr>
          <w:rFonts w:ascii="Palatino Linotype" w:eastAsia="Palatino Linotype" w:hAnsi="Palatino Linotype" w:cs="Palatino Linotype"/>
          <w:sz w:val="22"/>
          <w:szCs w:val="22"/>
        </w:rPr>
        <w:t>Whatsapp</w:t>
      </w:r>
      <w:proofErr w:type="spellEnd"/>
      <w:r>
        <w:rPr>
          <w:rFonts w:ascii="Palatino Linotype" w:eastAsia="Palatino Linotype" w:hAnsi="Palatino Linotype" w:cs="Palatino Linotype"/>
          <w:sz w:val="22"/>
          <w:szCs w:val="22"/>
        </w:rPr>
        <w:t>.</w:t>
      </w:r>
    </w:p>
    <w:p w14:paraId="07DCD031" w14:textId="77777777" w:rsidR="008018CA" w:rsidRDefault="008A6E6C">
      <w:pPr>
        <w:numPr>
          <w:ilvl w:val="0"/>
          <w:numId w:val="3"/>
        </w:numPr>
        <w:spacing w:before="280" w:after="280" w:line="360" w:lineRule="auto"/>
        <w:ind w:left="567" w:right="992" w:firstLine="0"/>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w:t>
      </w:r>
      <w:hyperlink r:id="rId8">
        <w:r>
          <w:rPr>
            <w:rFonts w:ascii="Palatino Linotype" w:eastAsia="Palatino Linotype" w:hAnsi="Palatino Linotype" w:cs="Palatino Linotype"/>
            <w:b/>
            <w:color w:val="000000"/>
            <w:sz w:val="22"/>
            <w:szCs w:val="22"/>
          </w:rPr>
          <w:t>pñlokm_2.pdf</w:t>
        </w:r>
      </w:hyperlink>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Soporte documental, consistente en dos imágenes, donde se observa en un acceso y en la puerta dos cartulinas con avisos.</w:t>
      </w:r>
    </w:p>
    <w:p w14:paraId="3D2B900A" w14:textId="77777777" w:rsidR="008018CA" w:rsidRDefault="008A6E6C">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4B4197DD" w14:textId="77777777" w:rsidR="008018CA" w:rsidRDefault="008A6E6C">
      <w:pPr>
        <w:tabs>
          <w:tab w:val="left" w:pos="8789"/>
        </w:tabs>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t>2. Respuesta.</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veintiséis de octubre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respuesta a la solicitud sustancialmente en los siguientes términos: </w:t>
      </w:r>
    </w:p>
    <w:tbl>
      <w:tblPr>
        <w:tblStyle w:val="a"/>
        <w:tblW w:w="13225" w:type="dxa"/>
        <w:tblInd w:w="-142" w:type="dxa"/>
        <w:tblLayout w:type="fixed"/>
        <w:tblLook w:val="0400" w:firstRow="0" w:lastRow="0" w:firstColumn="0" w:lastColumn="0" w:noHBand="0" w:noVBand="1"/>
      </w:tblPr>
      <w:tblGrid>
        <w:gridCol w:w="13225"/>
      </w:tblGrid>
      <w:tr w:rsidR="008018CA" w14:paraId="74A5B6D2" w14:textId="77777777">
        <w:trPr>
          <w:trHeight w:val="150"/>
        </w:trPr>
        <w:tc>
          <w:tcPr>
            <w:tcW w:w="13225" w:type="dxa"/>
            <w:vAlign w:val="center"/>
          </w:tcPr>
          <w:p w14:paraId="2E6BD706" w14:textId="77777777" w:rsidR="008018CA" w:rsidRDefault="008A6E6C">
            <w:pPr>
              <w:spacing w:before="240" w:after="240"/>
              <w:ind w:left="847" w:right="441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A24BD92" w14:textId="77777777" w:rsidR="008018CA" w:rsidRDefault="008A6E6C">
            <w:pPr>
              <w:spacing w:before="240" w:after="240"/>
              <w:ind w:left="847" w:right="416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remite contestación a solicitud de información</w:t>
            </w:r>
          </w:p>
          <w:p w14:paraId="6E897350" w14:textId="77777777" w:rsidR="008018CA" w:rsidRDefault="008A6E6C">
            <w:pPr>
              <w:spacing w:before="240" w:after="240"/>
              <w:ind w:left="847" w:right="416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ATENTAMENTEE</w:t>
            </w:r>
          </w:p>
          <w:p w14:paraId="2A19A5D8" w14:textId="77777777" w:rsidR="008018CA" w:rsidRDefault="008A6E6C">
            <w:pPr>
              <w:spacing w:before="240" w:after="240"/>
              <w:ind w:left="847" w:right="416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C.ANAISSA RAMIREZ ALDAMA” (Sic)</w:t>
            </w:r>
          </w:p>
          <w:p w14:paraId="34FC2AF5" w14:textId="77777777" w:rsidR="008018CA" w:rsidRDefault="008018CA">
            <w:pPr>
              <w:spacing w:before="240" w:after="240"/>
              <w:ind w:right="2285"/>
              <w:jc w:val="both"/>
              <w:rPr>
                <w:rFonts w:ascii="Palatino Linotype" w:eastAsia="Palatino Linotype" w:hAnsi="Palatino Linotype" w:cs="Palatino Linotype"/>
                <w:b/>
              </w:rPr>
            </w:pPr>
          </w:p>
          <w:p w14:paraId="4908CA87" w14:textId="77777777" w:rsidR="008018CA" w:rsidRDefault="008018CA">
            <w:pPr>
              <w:spacing w:before="240" w:after="240"/>
              <w:ind w:right="2285"/>
              <w:jc w:val="both"/>
              <w:rPr>
                <w:rFonts w:ascii="Palatino Linotype" w:eastAsia="Palatino Linotype" w:hAnsi="Palatino Linotype" w:cs="Palatino Linotype"/>
                <w:b/>
              </w:rPr>
            </w:pPr>
          </w:p>
          <w:p w14:paraId="714E687E" w14:textId="77777777" w:rsidR="008018CA" w:rsidRDefault="008A6E6C">
            <w:pPr>
              <w:spacing w:before="240" w:after="240"/>
              <w:ind w:right="2285"/>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14:paraId="680BA69A" w14:textId="77777777" w:rsidR="008018CA" w:rsidRDefault="000745AC">
            <w:pPr>
              <w:numPr>
                <w:ilvl w:val="0"/>
                <w:numId w:val="2"/>
              </w:numPr>
              <w:spacing w:before="240" w:after="240" w:line="360" w:lineRule="auto"/>
              <w:ind w:left="564" w:right="4584" w:firstLine="0"/>
              <w:jc w:val="both"/>
              <w:rPr>
                <w:rFonts w:ascii="Palatino Linotype" w:eastAsia="Palatino Linotype" w:hAnsi="Palatino Linotype" w:cs="Palatino Linotype"/>
                <w:b/>
                <w:i/>
              </w:rPr>
            </w:pPr>
            <w:r>
              <w:rPr>
                <w:noProof/>
                <w:lang w:val="es-MX" w:eastAsia="es-MX"/>
              </w:rPr>
              <mc:AlternateContent>
                <mc:Choice Requires="wps">
                  <w:drawing>
                    <wp:anchor distT="0" distB="0" distL="114300" distR="114300" simplePos="0" relativeHeight="251658240" behindDoc="0" locked="0" layoutInCell="1" hidden="0" allowOverlap="1" wp14:anchorId="2E794052" wp14:editId="7CA5449B">
                      <wp:simplePos x="0" y="0"/>
                      <wp:positionH relativeFrom="column">
                        <wp:posOffset>440055</wp:posOffset>
                      </wp:positionH>
                      <wp:positionV relativeFrom="paragraph">
                        <wp:posOffset>2118995</wp:posOffset>
                      </wp:positionV>
                      <wp:extent cx="5337175" cy="4497070"/>
                      <wp:effectExtent l="0" t="0" r="34925" b="36830"/>
                      <wp:wrapNone/>
                      <wp:docPr id="27" name="Conector recto de flecha 27"/>
                      <wp:cNvGraphicFramePr/>
                      <a:graphic xmlns:a="http://schemas.openxmlformats.org/drawingml/2006/main">
                        <a:graphicData uri="http://schemas.microsoft.com/office/word/2010/wordprocessingShape">
                          <wps:wsp>
                            <wps:cNvCnPr/>
                            <wps:spPr>
                              <a:xfrm>
                                <a:off x="0" y="0"/>
                                <a:ext cx="5337545" cy="4497572"/>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34F00269" id="_x0000_t32" coordsize="21600,21600" o:spt="32" o:oned="t" path="m,l21600,21600e" filled="f">
                      <v:path arrowok="t" fillok="f" o:connecttype="none"/>
                      <o:lock v:ext="edit" shapetype="t"/>
                    </v:shapetype>
                    <v:shape id="Conector recto de flecha 27" o:spid="_x0000_s1026" type="#_x0000_t32" style="position:absolute;margin-left:34.65pt;margin-top:166.85pt;width:420.25pt;height:35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YU7AEAAMcDAAAOAAAAZHJzL2Uyb0RvYy54bWysU9uOEzEMfUfiH6K805l2W7o76nQfWpYX&#10;BCsBH+DNpRORm+LQaf8eJ9PtcnlAQsxDxnF8HPv4ZHN/cpYdVUITfM/ns5Yz5UWQxh96/vXLw5tb&#10;zjCDl2CDVz0/K+T329evNmPs1CIMwUqVGCXx2I2x50POsWsaFINygLMQladDHZKDTNt0aGSCkbI7&#10;2yza9m0zhiRjCkIhknc/HfJtza+1EvmT1qgysz2n2nJdU12fytpsN9AdEsTBiEsZ8A9VODCeLr2m&#10;2kMG9j2ZP1I5I1LAoPNMBNcErY1QtQfqZt7+1s3nAaKqvRA5GK804f9LKz4eHxMzsueLNWceHM1o&#10;R5MSOSSWyo9JxbRVYgBGIcTXGLEj2M4/pssO42MqzZ90cuVPbbFT5fh85VidMhPkXN3crFfLFWeC&#10;zpbLu/VqvShZmxd4TJjfq+BYMXqOOYE5DJnKmuqaV6bh+AHzBHwGlLt9eDDWkh8669lImrxrVzR5&#10;AaQubSGT6SL1i/5Q82CwRhZMgVTdqZ1N7AikGPltfqntl6hy3x5wmILqUQmDzplMarbG9fy2Ld/k&#10;HhTId16yfI5Eryd6eakMHWdW0bMho8IzGPv3OGLKeiKszGFivlhPQZ7rQKqf1FIpvSi7yPHnfUW/&#10;vL/tDwAAAP//AwBQSwMEFAAGAAgAAAAhAPkRbubgAAAACwEAAA8AAABkcnMvZG93bnJldi54bWxM&#10;j0FLw0AQhe+C/2EZwZvdrZHajdmUIi0IImgrep1kp0kwuxuy2zb+e8eTHof5eO97xWpyvTjRGLvg&#10;DcxnCgT5OtjONwbe99ubJYiY0FvsgycD3xRhVV5eFJjbcPZvdNqlRnCIjzkaaFMacilj3ZLDOAsD&#10;ef4dwugw8Tk20o545nDXy1ulFtJh57mhxYEeW6q/dkdn4OnjZV9p3CyHg143z9lWdZ+vG2Our6b1&#10;A4hEU/qD4Vef1aFkpyocvY2iN7DQGZMGsiy7B8GAVpq3VEyqu7kGWRby/4byBwAA//8DAFBLAQIt&#10;ABQABgAIAAAAIQC2gziS/gAAAOEBAAATAAAAAAAAAAAAAAAAAAAAAABbQ29udGVudF9UeXBlc10u&#10;eG1sUEsBAi0AFAAGAAgAAAAhADj9If/WAAAAlAEAAAsAAAAAAAAAAAAAAAAALwEAAF9yZWxzLy5y&#10;ZWxzUEsBAi0AFAAGAAgAAAAhAKa9JhTsAQAAxwMAAA4AAAAAAAAAAAAAAAAALgIAAGRycy9lMm9E&#10;b2MueG1sUEsBAi0AFAAGAAgAAAAhAPkRbubgAAAACwEAAA8AAAAAAAAAAAAAAAAARgQAAGRycy9k&#10;b3ducmV2LnhtbFBLBQYAAAAABAAEAPMAAABTBQAAAAA=&#10;" strokecolor="black [3200]" strokeweight="1.5pt">
                      <v:stroke startarrowwidth="narrow" startarrowlength="short" endarrowwidth="narrow" endarrowlength="short" joinstyle="miter"/>
                    </v:shape>
                  </w:pict>
                </mc:Fallback>
              </mc:AlternateContent>
            </w:r>
            <w:r w:rsidR="008A6E6C">
              <w:rPr>
                <w:rFonts w:ascii="Palatino Linotype" w:eastAsia="Palatino Linotype" w:hAnsi="Palatino Linotype" w:cs="Palatino Linotype"/>
                <w:b/>
                <w:i/>
              </w:rPr>
              <w:t xml:space="preserve">“SAIMEX 00440.pdf” </w:t>
            </w:r>
            <w:r w:rsidR="008A6E6C">
              <w:rPr>
                <w:rFonts w:ascii="Palatino Linotype" w:eastAsia="Palatino Linotype" w:hAnsi="Palatino Linotype" w:cs="Palatino Linotype"/>
              </w:rPr>
              <w:t xml:space="preserve">: Consistente en un soporte documental de dos fojas, suscrito por el Síndico Municipal de Cuautitlán y </w:t>
            </w:r>
            <w:hyperlink r:id="rId9">
              <w:r w:rsidR="008A6E6C">
                <w:rPr>
                  <w:rFonts w:ascii="Palatino Linotype" w:eastAsia="Palatino Linotype" w:hAnsi="Palatino Linotype" w:cs="Palatino Linotype"/>
                  <w:b/>
                  <w:color w:val="000000"/>
                </w:rPr>
                <w:t>CONTESTACIÓN 0440-2021.ZIP</w:t>
              </w:r>
            </w:hyperlink>
            <w:r w:rsidR="008A6E6C">
              <w:rPr>
                <w:rFonts w:ascii="Palatino Linotype" w:eastAsia="Palatino Linotype" w:hAnsi="Palatino Linotype" w:cs="Palatino Linotype"/>
              </w:rPr>
              <w:t xml:space="preserve">, por medio del cual la Coordinadora de la Unidad de Transparencia del </w:t>
            </w:r>
            <w:r w:rsidR="008A6E6C">
              <w:rPr>
                <w:rFonts w:ascii="Palatino Linotype" w:eastAsia="Palatino Linotype" w:hAnsi="Palatino Linotype" w:cs="Palatino Linotype"/>
                <w:b/>
              </w:rPr>
              <w:t>SUJETO OBLIGADO,</w:t>
            </w:r>
            <w:r w:rsidR="008A6E6C">
              <w:rPr>
                <w:rFonts w:ascii="Palatino Linotype" w:eastAsia="Palatino Linotype" w:hAnsi="Palatino Linotype" w:cs="Palatino Linotype"/>
              </w:rPr>
              <w:t xml:space="preserve"> hace del conocimiento a la Síndico Municipal del turno al servidor público habilitado de la solicitud de información, con el objeto de dar cumplimiento a la contestación de dicha solicitud; los cuales se insertan a continuación: </w:t>
            </w:r>
          </w:p>
          <w:p w14:paraId="22035377" w14:textId="43FA8B79" w:rsidR="008018CA" w:rsidRDefault="001601FF">
            <w:pPr>
              <w:spacing w:before="240" w:after="240" w:line="360" w:lineRule="auto"/>
              <w:ind w:right="4426"/>
              <w:jc w:val="center"/>
              <w:rPr>
                <w:rFonts w:ascii="Palatino Linotype" w:eastAsia="Palatino Linotype" w:hAnsi="Palatino Linotype" w:cs="Palatino Linotype"/>
                <w:b/>
                <w:i/>
              </w:rPr>
            </w:pPr>
            <w:r>
              <w:rPr>
                <w:noProof/>
              </w:rPr>
              <w:lastRenderedPageBreak/>
              <w:t xml:space="preserve"> </w:t>
            </w:r>
            <w:r>
              <w:rPr>
                <w:noProof/>
              </w:rPr>
              <w:drawing>
                <wp:inline distT="0" distB="0" distL="0" distR="0" wp14:anchorId="637AF936" wp14:editId="5086A8E1">
                  <wp:extent cx="5548541" cy="72595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08" t="24410" r="41948" b="10594"/>
                          <a:stretch/>
                        </pic:blipFill>
                        <pic:spPr bwMode="auto">
                          <a:xfrm>
                            <a:off x="0" y="0"/>
                            <a:ext cx="5596971" cy="732290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639825" w14:textId="762D15EB" w:rsidR="008018CA" w:rsidRDefault="008A6E6C">
      <w:pPr>
        <w:spacing w:before="240" w:after="240" w:line="360" w:lineRule="auto"/>
        <w:ind w:right="425"/>
        <w:jc w:val="center"/>
        <w:rPr>
          <w:rFonts w:ascii="Palatino Linotype" w:eastAsia="Palatino Linotype" w:hAnsi="Palatino Linotype" w:cs="Palatino Linotype"/>
          <w:b/>
        </w:rPr>
      </w:pPr>
      <w:r>
        <w:rPr>
          <w:noProof/>
          <w:lang w:val="es-MX" w:eastAsia="es-MX"/>
        </w:rPr>
        <w:lastRenderedPageBreak/>
        <w:drawing>
          <wp:anchor distT="0" distB="0" distL="114300" distR="114300" simplePos="0" relativeHeight="251662336" behindDoc="0" locked="0" layoutInCell="1" allowOverlap="1" wp14:anchorId="4F8741E0" wp14:editId="0F3A364E">
            <wp:simplePos x="0" y="0"/>
            <wp:positionH relativeFrom="page">
              <wp:align>center</wp:align>
            </wp:positionH>
            <wp:positionV relativeFrom="paragraph">
              <wp:posOffset>495300</wp:posOffset>
            </wp:positionV>
            <wp:extent cx="5041578" cy="2600325"/>
            <wp:effectExtent l="0" t="0" r="6985" b="0"/>
            <wp:wrapTopAndBottom/>
            <wp:docPr id="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11">
                      <a:extLst>
                        <a:ext uri="{28A0092B-C50C-407E-A947-70E740481C1C}">
                          <a14:useLocalDpi xmlns:a14="http://schemas.microsoft.com/office/drawing/2010/main" val="0"/>
                        </a:ext>
                      </a:extLst>
                    </a:blip>
                    <a:srcRect l="34436" t="19927" r="35288" b="55088"/>
                    <a:stretch/>
                  </pic:blipFill>
                  <pic:spPr bwMode="auto">
                    <a:xfrm>
                      <a:off x="0" y="0"/>
                      <a:ext cx="5041578"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68AC52" w14:textId="3AAEDE45" w:rsidR="00FC71D5" w:rsidRDefault="00FC71D5">
      <w:pPr>
        <w:spacing w:before="240" w:after="240" w:line="360" w:lineRule="auto"/>
        <w:ind w:right="425"/>
        <w:jc w:val="center"/>
        <w:rPr>
          <w:rFonts w:ascii="Palatino Linotype" w:eastAsia="Palatino Linotype" w:hAnsi="Palatino Linotype" w:cs="Palatino Linotype"/>
          <w:b/>
        </w:rPr>
      </w:pPr>
      <w:r>
        <w:rPr>
          <w:noProof/>
        </w:rPr>
        <w:drawing>
          <wp:anchor distT="0" distB="0" distL="114300" distR="114300" simplePos="0" relativeHeight="251661312" behindDoc="0" locked="0" layoutInCell="1" allowOverlap="1" wp14:anchorId="00928DC7" wp14:editId="78331D63">
            <wp:simplePos x="0" y="0"/>
            <wp:positionH relativeFrom="column">
              <wp:posOffset>215265</wp:posOffset>
            </wp:positionH>
            <wp:positionV relativeFrom="paragraph">
              <wp:posOffset>3192145</wp:posOffset>
            </wp:positionV>
            <wp:extent cx="5078730" cy="2847975"/>
            <wp:effectExtent l="0" t="0" r="7620" b="9525"/>
            <wp:wrapTopAndBottom/>
            <wp:docPr id="2" name="Imagen 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Word&#10;&#10;Descripción generada automáticamente"/>
                    <pic:cNvPicPr/>
                  </pic:nvPicPr>
                  <pic:blipFill rotWithShape="1">
                    <a:blip r:embed="rId12">
                      <a:extLst>
                        <a:ext uri="{28A0092B-C50C-407E-A947-70E740481C1C}">
                          <a14:useLocalDpi xmlns:a14="http://schemas.microsoft.com/office/drawing/2010/main" val="0"/>
                        </a:ext>
                      </a:extLst>
                    </a:blip>
                    <a:srcRect l="59095" t="50647" r="11877" b="20412"/>
                    <a:stretch/>
                  </pic:blipFill>
                  <pic:spPr bwMode="auto">
                    <a:xfrm>
                      <a:off x="0" y="0"/>
                      <a:ext cx="5078730" cy="284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D06EAD" w14:textId="77777777" w:rsidR="008018CA" w:rsidRDefault="008A6E6C">
      <w:pPr>
        <w:tabs>
          <w:tab w:val="left" w:pos="8789"/>
        </w:tabs>
        <w:spacing w:before="240" w:after="240" w:line="360" w:lineRule="auto"/>
        <w:ind w:right="425"/>
        <w:jc w:val="center"/>
        <w:rPr>
          <w:rFonts w:ascii="Palatino Linotype" w:eastAsia="Palatino Linotype" w:hAnsi="Palatino Linotype" w:cs="Palatino Linotype"/>
          <w:b/>
        </w:rPr>
      </w:pPr>
      <w:r>
        <w:rPr>
          <w:noProof/>
          <w:lang w:val="es-MX" w:eastAsia="es-MX"/>
        </w:rPr>
        <w:lastRenderedPageBreak/>
        <w:drawing>
          <wp:inline distT="0" distB="0" distL="0" distR="0" wp14:anchorId="28FA838D" wp14:editId="2D958D1E">
            <wp:extent cx="5728181" cy="7586485"/>
            <wp:effectExtent l="0" t="0" r="0" b="0"/>
            <wp:docPr id="33" name="image5.png" descr="Interfaz de usuario gráfica,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Aplicación, Word&#10;&#10;Descripción generada automáticamente"/>
                    <pic:cNvPicPr preferRelativeResize="0"/>
                  </pic:nvPicPr>
                  <pic:blipFill>
                    <a:blip r:embed="rId13"/>
                    <a:srcRect l="34999" t="11841" r="30860" b="7765"/>
                    <a:stretch>
                      <a:fillRect/>
                    </a:stretch>
                  </pic:blipFill>
                  <pic:spPr>
                    <a:xfrm>
                      <a:off x="0" y="0"/>
                      <a:ext cx="5728181" cy="7586485"/>
                    </a:xfrm>
                    <a:prstGeom prst="rect">
                      <a:avLst/>
                    </a:prstGeom>
                    <a:ln/>
                  </pic:spPr>
                </pic:pic>
              </a:graphicData>
            </a:graphic>
          </wp:inline>
        </w:drawing>
      </w:r>
    </w:p>
    <w:p w14:paraId="1632B546"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sidR="006570C1">
        <w:rPr>
          <w:rFonts w:ascii="Palatino Linotype" w:eastAsia="Palatino Linotype" w:hAnsi="Palatino Linotype" w:cs="Palatino Linotype"/>
        </w:rPr>
        <w:t xml:space="preserve">Inconforme la </w:t>
      </w:r>
      <w:r>
        <w:rPr>
          <w:rFonts w:ascii="Palatino Linotype" w:eastAsia="Palatino Linotype" w:hAnsi="Palatino Linotype" w:cs="Palatino Linotype"/>
        </w:rPr>
        <w:t xml:space="preserve">solicitante con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interpuso el recurso de revisión citado con antelación, a través del SAIMEX en fecha </w:t>
      </w:r>
      <w:r>
        <w:rPr>
          <w:rFonts w:ascii="Palatino Linotype" w:eastAsia="Palatino Linotype" w:hAnsi="Palatino Linotype" w:cs="Palatino Linotype"/>
          <w:b/>
        </w:rPr>
        <w:t>3 de noviembre de dos mil veintiuno</w:t>
      </w:r>
      <w:r>
        <w:rPr>
          <w:rFonts w:ascii="Palatino Linotype" w:eastAsia="Palatino Linotype" w:hAnsi="Palatino Linotype" w:cs="Palatino Linotype"/>
        </w:rPr>
        <w:t>, expresando lo siguiente:</w:t>
      </w:r>
    </w:p>
    <w:p w14:paraId="3260EA6A" w14:textId="77777777" w:rsidR="008018CA" w:rsidRDefault="008A6E6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4B0DAFE3" w14:textId="77777777" w:rsidR="008018CA" w:rsidRDefault="008A6E6C">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no se </w:t>
      </w:r>
      <w:proofErr w:type="spellStart"/>
      <w:r>
        <w:rPr>
          <w:rFonts w:ascii="Palatino Linotype" w:eastAsia="Palatino Linotype" w:hAnsi="Palatino Linotype" w:cs="Palatino Linotype"/>
          <w:i/>
          <w:color w:val="000000"/>
          <w:sz w:val="22"/>
          <w:szCs w:val="22"/>
        </w:rPr>
        <w:t>respondio</w:t>
      </w:r>
      <w:proofErr w:type="spellEnd"/>
      <w:r>
        <w:rPr>
          <w:rFonts w:ascii="Palatino Linotype" w:eastAsia="Palatino Linotype" w:hAnsi="Palatino Linotype" w:cs="Palatino Linotype"/>
          <w:i/>
          <w:color w:val="000000"/>
          <w:sz w:val="22"/>
          <w:szCs w:val="22"/>
        </w:rPr>
        <w:t xml:space="preserve"> lo que se </w:t>
      </w:r>
      <w:proofErr w:type="spellStart"/>
      <w:r>
        <w:rPr>
          <w:rFonts w:ascii="Palatino Linotype" w:eastAsia="Palatino Linotype" w:hAnsi="Palatino Linotype" w:cs="Palatino Linotype"/>
          <w:i/>
          <w:color w:val="000000"/>
          <w:sz w:val="22"/>
          <w:szCs w:val="22"/>
        </w:rPr>
        <w:t>pidio</w:t>
      </w:r>
      <w:proofErr w:type="spellEnd"/>
      <w:r>
        <w:rPr>
          <w:rFonts w:ascii="Palatino Linotype" w:eastAsia="Palatino Linotype" w:hAnsi="Palatino Linotype" w:cs="Palatino Linotype"/>
          <w:i/>
          <w:color w:val="000000"/>
          <w:sz w:val="22"/>
          <w:szCs w:val="22"/>
        </w:rPr>
        <w:t xml:space="preserve"> en la solicitud inicial</w:t>
      </w:r>
      <w:r>
        <w:rPr>
          <w:rFonts w:ascii="Palatino Linotype" w:eastAsia="Palatino Linotype" w:hAnsi="Palatino Linotype" w:cs="Palatino Linotype"/>
          <w:i/>
          <w:sz w:val="22"/>
          <w:szCs w:val="22"/>
        </w:rPr>
        <w:t>” (Sic)</w:t>
      </w:r>
    </w:p>
    <w:p w14:paraId="672166F6" w14:textId="77777777" w:rsidR="008018CA" w:rsidRDefault="008018CA">
      <w:pPr>
        <w:ind w:left="567" w:right="902"/>
        <w:jc w:val="both"/>
        <w:rPr>
          <w:rFonts w:ascii="Palatino Linotype" w:eastAsia="Palatino Linotype" w:hAnsi="Palatino Linotype" w:cs="Palatino Linotype"/>
          <w:i/>
          <w:sz w:val="22"/>
          <w:szCs w:val="22"/>
        </w:rPr>
      </w:pPr>
    </w:p>
    <w:p w14:paraId="0777E0DC" w14:textId="77777777" w:rsidR="008018CA" w:rsidRDefault="008A6E6C">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1CFA0435" w14:textId="77777777" w:rsidR="008018CA" w:rsidRDefault="008A6E6C">
      <w:pPr>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 xml:space="preserve">no se </w:t>
      </w:r>
      <w:proofErr w:type="spellStart"/>
      <w:r>
        <w:rPr>
          <w:rFonts w:ascii="Palatino Linotype" w:eastAsia="Palatino Linotype" w:hAnsi="Palatino Linotype" w:cs="Palatino Linotype"/>
          <w:i/>
          <w:color w:val="000000"/>
          <w:sz w:val="22"/>
          <w:szCs w:val="22"/>
        </w:rPr>
        <w:t>respondio</w:t>
      </w:r>
      <w:proofErr w:type="spellEnd"/>
      <w:r>
        <w:rPr>
          <w:rFonts w:ascii="Palatino Linotype" w:eastAsia="Palatino Linotype" w:hAnsi="Palatino Linotype" w:cs="Palatino Linotype"/>
          <w:i/>
          <w:color w:val="000000"/>
          <w:sz w:val="22"/>
          <w:szCs w:val="22"/>
        </w:rPr>
        <w:t xml:space="preserve"> lo que se </w:t>
      </w:r>
      <w:proofErr w:type="spellStart"/>
      <w:r>
        <w:rPr>
          <w:rFonts w:ascii="Palatino Linotype" w:eastAsia="Palatino Linotype" w:hAnsi="Palatino Linotype" w:cs="Palatino Linotype"/>
          <w:i/>
          <w:color w:val="000000"/>
          <w:sz w:val="22"/>
          <w:szCs w:val="22"/>
        </w:rPr>
        <w:t>pidio</w:t>
      </w:r>
      <w:proofErr w:type="spellEnd"/>
      <w:r>
        <w:rPr>
          <w:rFonts w:ascii="Palatino Linotype" w:eastAsia="Palatino Linotype" w:hAnsi="Palatino Linotype" w:cs="Palatino Linotype"/>
          <w:i/>
          <w:color w:val="000000"/>
          <w:sz w:val="22"/>
          <w:szCs w:val="22"/>
        </w:rPr>
        <w:t xml:space="preserve"> en la solicitud inicial</w:t>
      </w:r>
      <w:r>
        <w:rPr>
          <w:rFonts w:ascii="Palatino Linotype" w:eastAsia="Palatino Linotype" w:hAnsi="Palatino Linotype" w:cs="Palatino Linotype"/>
          <w:i/>
          <w:sz w:val="22"/>
          <w:szCs w:val="22"/>
        </w:rPr>
        <w:t>” (Sic)</w:t>
      </w:r>
    </w:p>
    <w:p w14:paraId="3E802624" w14:textId="77777777" w:rsidR="006570C1" w:rsidRDefault="006570C1">
      <w:pPr>
        <w:spacing w:before="240" w:after="240" w:line="360" w:lineRule="auto"/>
        <w:ind w:right="425"/>
        <w:jc w:val="both"/>
        <w:rPr>
          <w:rFonts w:ascii="Palatino Linotype" w:eastAsia="Palatino Linotype" w:hAnsi="Palatino Linotype" w:cs="Palatino Linotype"/>
          <w:b/>
        </w:rPr>
      </w:pPr>
    </w:p>
    <w:p w14:paraId="55441875"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para su análisis, estudio, elaboración del proyecto y presentación ante el Pleno de este Instituto.</w:t>
      </w:r>
    </w:p>
    <w:p w14:paraId="306B1121" w14:textId="77777777" w:rsidR="006570C1" w:rsidRDefault="006570C1">
      <w:pPr>
        <w:spacing w:before="240" w:after="240" w:line="360" w:lineRule="auto"/>
        <w:ind w:right="425"/>
        <w:jc w:val="both"/>
        <w:rPr>
          <w:rFonts w:ascii="Palatino Linotype" w:eastAsia="Palatino Linotype" w:hAnsi="Palatino Linotype" w:cs="Palatino Linotype"/>
          <w:b/>
        </w:rPr>
      </w:pPr>
    </w:p>
    <w:p w14:paraId="167CE38D"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ocho de noviembre de dos mil veintiuno</w:t>
      </w:r>
      <w:r>
        <w:rPr>
          <w:rFonts w:ascii="Palatino Linotype" w:eastAsia="Palatino Linotype" w:hAnsi="Palatino Linotype" w:cs="Palatino Linotype"/>
        </w:rPr>
        <w:t xml:space="preserve">, este Instituto de Transparencia, Acceso a la Información Pública y Protección de Datos Personales del Estado de México y Municipios, admitió a trámite el recurso de revisión que ahora se resuelve, dando un plazo máximo de siete días hábiles para </w:t>
      </w:r>
      <w:r>
        <w:rPr>
          <w:rFonts w:ascii="Palatino Linotype" w:eastAsia="Palatino Linotype" w:hAnsi="Palatino Linotype" w:cs="Palatino Linotype"/>
        </w:rPr>
        <w:lastRenderedPageBreak/>
        <w:t xml:space="preserve">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5032536A"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De las constancias del expediente electrónico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xml:space="preserve">,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 informe justificado, asimismo por cuanto hace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tiene que en fecha </w:t>
      </w:r>
      <w:r>
        <w:rPr>
          <w:rFonts w:ascii="Palatino Linotype" w:eastAsia="Palatino Linotype" w:hAnsi="Palatino Linotype" w:cs="Palatino Linotype"/>
          <w:b/>
        </w:rPr>
        <w:t>diecinueve de noviembre de dos mil veintiuno</w:t>
      </w:r>
      <w:r>
        <w:rPr>
          <w:rFonts w:ascii="Palatino Linotype" w:eastAsia="Palatino Linotype" w:hAnsi="Palatino Linotype" w:cs="Palatino Linotype"/>
        </w:rPr>
        <w:t xml:space="preserve">, emitió pronunciamiento mediante el siguiente soporte documental: </w:t>
      </w:r>
    </w:p>
    <w:p w14:paraId="35B6F661" w14:textId="77777777" w:rsidR="008018CA" w:rsidRDefault="000745AC">
      <w:pPr>
        <w:spacing w:before="240" w:after="240" w:line="360" w:lineRule="auto"/>
        <w:ind w:right="425"/>
        <w:jc w:val="both"/>
        <w:rPr>
          <w:rFonts w:ascii="Palatino Linotype" w:eastAsia="Palatino Linotype" w:hAnsi="Palatino Linotype" w:cs="Palatino Linotype"/>
        </w:rPr>
      </w:pPr>
      <w:r>
        <w:rPr>
          <w:noProof/>
          <w:lang w:val="es-MX" w:eastAsia="es-MX"/>
        </w:rPr>
        <mc:AlternateContent>
          <mc:Choice Requires="wps">
            <w:drawing>
              <wp:anchor distT="0" distB="0" distL="114300" distR="114300" simplePos="0" relativeHeight="251659264" behindDoc="0" locked="0" layoutInCell="1" hidden="0" allowOverlap="1" wp14:anchorId="5D538A05" wp14:editId="68E2BEA6">
                <wp:simplePos x="0" y="0"/>
                <wp:positionH relativeFrom="margin">
                  <wp:posOffset>163873</wp:posOffset>
                </wp:positionH>
                <wp:positionV relativeFrom="paragraph">
                  <wp:posOffset>1016014</wp:posOffset>
                </wp:positionV>
                <wp:extent cx="5515935" cy="3516423"/>
                <wp:effectExtent l="0" t="0" r="27940" b="27305"/>
                <wp:wrapNone/>
                <wp:docPr id="28" name="Conector recto de flecha 28"/>
                <wp:cNvGraphicFramePr/>
                <a:graphic xmlns:a="http://schemas.openxmlformats.org/drawingml/2006/main">
                  <a:graphicData uri="http://schemas.microsoft.com/office/word/2010/wordprocessingShape">
                    <wps:wsp>
                      <wps:cNvCnPr/>
                      <wps:spPr>
                        <a:xfrm>
                          <a:off x="0" y="0"/>
                          <a:ext cx="5515935" cy="3516423"/>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704B6BDE" id="Conector recto de flecha 28" o:spid="_x0000_s1026" type="#_x0000_t32" style="position:absolute;margin-left:12.9pt;margin-top:80pt;width:434.35pt;height:27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JkB6wEAAMcDAAAOAAAAZHJzL2Uyb0RvYy54bWysU01v2zAMvQ/YfxB0X2wnc9EacXpI1l2G&#10;LcC6H8BKcixMXxC1OPn3o+Qs3cdhQFEfZIrio8jHp/X9yRp2VBG1dz1vFjVnygkvtTv0/Nvjw7tb&#10;zjCBk2C8Uz0/K+T3m7dv1lPo1NKP3kgVGSVx2E2h52NKoasqFKOygAsflKPDwUcLibbxUMkIE2W3&#10;plrW9U01+ShD9EIhknc3H/JNyT8MSqQvw4AqMdNzqi2VNZb1Ka/VZg3dIUIYtbiUAS+owoJ2dOk1&#10;1Q4SsB9R/5PKahE9+iEthLeVHwYtVOmBumnqv7r5OkJQpRciB8OVJny9tOLzcR+Zlj1f0qQcWJrR&#10;liYlko8s5h+Tig1GiREYhRBfU8COYFu3j5cdhn3MzZ+GaPOf2mKnwvH5yrE6JSbI2bZNe7dqORN0&#10;tmqbm/fLVc5aPcNDxPRRecuy0XNMEfRhTFTWXFdTmIbjJ0wz8Bcg3+38gzaG/NAZxybS5F3d0uQF&#10;kLoGA4lMG6hfdIeSB73RMmMypOhObU1kRyDFyO/NpbY/ovJ9O8BxDipHOQw6qxOp2Wjb89s6f7N7&#10;VCA/OMnSORC9jujluTK0nBlFz4aMAk+gzf/jiCnjiLA8h5n5bD15eS4DKX5SS6H0ouwsx9/3Bf38&#10;/jY/AQAA//8DAFBLAwQUAAYACAAAACEAsKYsu+IAAAAKAQAADwAAAGRycy9kb3ducmV2LnhtbEyP&#10;QUvDQBCF74L/YRnBm91ta2sSsylFWhCkoK3odZLdJsHsbMhu2/jvHU96fPMeb76Xr0bXibMdQutJ&#10;w3SiQFiqvGmp1vB+2N4lIEJEMth5shq+bYBVcX2VY2b8hd7seR9rwSUUMtTQxNhnUoaqsQ7DxPeW&#10;2Dv6wWFkOdTSDHjhctfJmVJL6bAl/tBgb58aW33tT07D88fuUKa4Sfpjuq5f5lvVfr5utL69GdeP&#10;IKId418YfvEZHQpmKv2JTBCdhtmCySPfl4o3cSBJ7xcgSg0P03kCssjl/wnFDwAAAP//AwBQSwEC&#10;LQAUAAYACAAAACEAtoM4kv4AAADhAQAAEwAAAAAAAAAAAAAAAAAAAAAAW0NvbnRlbnRfVHlwZXNd&#10;LnhtbFBLAQItABQABgAIAAAAIQA4/SH/1gAAAJQBAAALAAAAAAAAAAAAAAAAAC8BAABfcmVscy8u&#10;cmVsc1BLAQItABQABgAIAAAAIQAawJkB6wEAAMcDAAAOAAAAAAAAAAAAAAAAAC4CAABkcnMvZTJv&#10;RG9jLnhtbFBLAQItABQABgAIAAAAIQCwpiy74gAAAAoBAAAPAAAAAAAAAAAAAAAAAEUEAABkcnMv&#10;ZG93bnJldi54bWxQSwUGAAAAAAQABADzAAAAVAUAAAAA&#10;" strokecolor="black [3200]" strokeweight="1.5pt">
                <v:stroke startarrowwidth="narrow" startarrowlength="short" endarrowwidth="narrow" endarrowlength="short" joinstyle="miter"/>
                <w10:wrap anchorx="margin"/>
              </v:shape>
            </w:pict>
          </mc:Fallback>
        </mc:AlternateContent>
      </w:r>
      <w:r w:rsidR="008A6E6C">
        <w:rPr>
          <w:rFonts w:ascii="Palatino Linotype" w:eastAsia="Palatino Linotype" w:hAnsi="Palatino Linotype" w:cs="Palatino Linotype"/>
          <w:b/>
          <w:i/>
          <w:sz w:val="22"/>
          <w:szCs w:val="22"/>
        </w:rPr>
        <w:t>“</w:t>
      </w:r>
      <w:hyperlink r:id="rId14">
        <w:r w:rsidR="008A6E6C">
          <w:rPr>
            <w:rFonts w:ascii="Palatino Linotype" w:eastAsia="Palatino Linotype" w:hAnsi="Palatino Linotype" w:cs="Palatino Linotype"/>
            <w:b/>
            <w:color w:val="000000"/>
            <w:sz w:val="22"/>
            <w:szCs w:val="22"/>
          </w:rPr>
          <w:t>05349_INFOEM_IP_RR_2021.pdf</w:t>
        </w:r>
      </w:hyperlink>
      <w:r w:rsidR="008A6E6C">
        <w:rPr>
          <w:rFonts w:ascii="Palatino Linotype" w:eastAsia="Palatino Linotype" w:hAnsi="Palatino Linotype" w:cs="Palatino Linotype"/>
          <w:b/>
          <w:i/>
        </w:rPr>
        <w:t xml:space="preserve">”: </w:t>
      </w:r>
      <w:r w:rsidR="008A6E6C">
        <w:rPr>
          <w:rFonts w:ascii="Palatino Linotype" w:eastAsia="Palatino Linotype" w:hAnsi="Palatino Linotype" w:cs="Palatino Linotype"/>
        </w:rPr>
        <w:t>Archivo electrónico de dos fojas, consistente en los alegatos de la parte Recurrente, se inserta la captura de pantalla de las dos páginas para mayor referencia.</w:t>
      </w:r>
    </w:p>
    <w:p w14:paraId="4716BE28" w14:textId="4646EFDD" w:rsidR="008018CA" w:rsidRDefault="008018CA">
      <w:pPr>
        <w:spacing w:before="240" w:after="240" w:line="360" w:lineRule="auto"/>
        <w:ind w:right="425"/>
        <w:jc w:val="both"/>
        <w:rPr>
          <w:rFonts w:ascii="Palatino Linotype" w:eastAsia="Palatino Linotype" w:hAnsi="Palatino Linotype" w:cs="Palatino Linotype"/>
        </w:rPr>
      </w:pPr>
    </w:p>
    <w:p w14:paraId="2A6CD491" w14:textId="33EDACC6" w:rsidR="00CE5A2B" w:rsidRDefault="00CE5A2B">
      <w:pPr>
        <w:spacing w:before="240" w:after="240" w:line="360" w:lineRule="auto"/>
        <w:ind w:right="425"/>
        <w:jc w:val="both"/>
        <w:rPr>
          <w:rFonts w:ascii="Palatino Linotype" w:eastAsia="Palatino Linotype" w:hAnsi="Palatino Linotype" w:cs="Palatino Linotype"/>
        </w:rPr>
      </w:pPr>
    </w:p>
    <w:p w14:paraId="400A0451" w14:textId="5B546FD7" w:rsidR="00CE5A2B" w:rsidRDefault="00CE5A2B">
      <w:pPr>
        <w:spacing w:before="240" w:after="240" w:line="360" w:lineRule="auto"/>
        <w:ind w:right="425"/>
        <w:jc w:val="both"/>
        <w:rPr>
          <w:rFonts w:ascii="Palatino Linotype" w:eastAsia="Palatino Linotype" w:hAnsi="Palatino Linotype" w:cs="Palatino Linotype"/>
        </w:rPr>
      </w:pPr>
    </w:p>
    <w:p w14:paraId="515371D5" w14:textId="0942D358" w:rsidR="00CE5A2B" w:rsidRDefault="00CE5A2B">
      <w:pPr>
        <w:spacing w:before="240" w:after="240" w:line="360" w:lineRule="auto"/>
        <w:ind w:right="425"/>
        <w:jc w:val="both"/>
        <w:rPr>
          <w:rFonts w:ascii="Palatino Linotype" w:eastAsia="Palatino Linotype" w:hAnsi="Palatino Linotype" w:cs="Palatino Linotype"/>
        </w:rPr>
      </w:pPr>
    </w:p>
    <w:p w14:paraId="63B29E13" w14:textId="56672734" w:rsidR="00CE5A2B" w:rsidRDefault="00CE5A2B">
      <w:pPr>
        <w:spacing w:before="240" w:after="240" w:line="360" w:lineRule="auto"/>
        <w:ind w:right="425"/>
        <w:jc w:val="both"/>
        <w:rPr>
          <w:rFonts w:ascii="Palatino Linotype" w:eastAsia="Palatino Linotype" w:hAnsi="Palatino Linotype" w:cs="Palatino Linotype"/>
        </w:rPr>
      </w:pPr>
    </w:p>
    <w:p w14:paraId="4E57C9BC" w14:textId="18E314F4" w:rsidR="00CE5A2B" w:rsidRDefault="00CE5A2B">
      <w:pPr>
        <w:spacing w:before="240" w:after="240" w:line="360" w:lineRule="auto"/>
        <w:ind w:right="425"/>
        <w:jc w:val="both"/>
        <w:rPr>
          <w:rFonts w:ascii="Palatino Linotype" w:eastAsia="Palatino Linotype" w:hAnsi="Palatino Linotype" w:cs="Palatino Linotype"/>
        </w:rPr>
      </w:pPr>
    </w:p>
    <w:p w14:paraId="5AA79E72" w14:textId="6B765207" w:rsidR="00CE5A2B" w:rsidRDefault="00CE5A2B">
      <w:pPr>
        <w:spacing w:before="240" w:after="240" w:line="360" w:lineRule="auto"/>
        <w:ind w:right="425"/>
        <w:jc w:val="both"/>
        <w:rPr>
          <w:rFonts w:ascii="Palatino Linotype" w:eastAsia="Palatino Linotype" w:hAnsi="Palatino Linotype" w:cs="Palatino Linotype"/>
        </w:rPr>
      </w:pPr>
    </w:p>
    <w:p w14:paraId="3535D5D9" w14:textId="6D59B0AF" w:rsidR="00CE5A2B" w:rsidRDefault="00CE5A2B">
      <w:pPr>
        <w:spacing w:before="240" w:after="240" w:line="360" w:lineRule="auto"/>
        <w:ind w:right="425"/>
        <w:jc w:val="both"/>
        <w:rPr>
          <w:rFonts w:ascii="Palatino Linotype" w:eastAsia="Palatino Linotype" w:hAnsi="Palatino Linotype" w:cs="Palatino Linotype"/>
        </w:rPr>
      </w:pPr>
    </w:p>
    <w:p w14:paraId="24DC1506" w14:textId="2A1F4CF1" w:rsidR="00CE5A2B" w:rsidRDefault="00CE5A2B" w:rsidP="002B6BC8">
      <w:pPr>
        <w:spacing w:before="240" w:after="240" w:line="360" w:lineRule="auto"/>
        <w:ind w:right="425"/>
        <w:jc w:val="center"/>
        <w:rPr>
          <w:rFonts w:ascii="Palatino Linotype" w:eastAsia="Palatino Linotype" w:hAnsi="Palatino Linotype" w:cs="Palatino Linotype"/>
        </w:rPr>
      </w:pPr>
      <w:r>
        <w:rPr>
          <w:noProof/>
        </w:rPr>
        <w:lastRenderedPageBreak/>
        <w:drawing>
          <wp:inline distT="0" distB="0" distL="0" distR="0" wp14:anchorId="0DD77127" wp14:editId="692202A5">
            <wp:extent cx="5652792" cy="7402665"/>
            <wp:effectExtent l="0" t="0" r="5080" b="8255"/>
            <wp:docPr id="12" name="Imagen 12"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Word&#10;&#10;Descripción generada automáticamente"/>
                    <pic:cNvPicPr/>
                  </pic:nvPicPr>
                  <pic:blipFill rotWithShape="1">
                    <a:blip r:embed="rId15"/>
                    <a:srcRect l="16852" t="24647" r="55425" b="10813"/>
                    <a:stretch/>
                  </pic:blipFill>
                  <pic:spPr bwMode="auto">
                    <a:xfrm>
                      <a:off x="0" y="0"/>
                      <a:ext cx="5707238" cy="7473966"/>
                    </a:xfrm>
                    <a:prstGeom prst="rect">
                      <a:avLst/>
                    </a:prstGeom>
                    <a:ln>
                      <a:noFill/>
                    </a:ln>
                    <a:extLst>
                      <a:ext uri="{53640926-AAD7-44D8-BBD7-CCE9431645EC}">
                        <a14:shadowObscured xmlns:a14="http://schemas.microsoft.com/office/drawing/2010/main"/>
                      </a:ext>
                    </a:extLst>
                  </pic:spPr>
                </pic:pic>
              </a:graphicData>
            </a:graphic>
          </wp:inline>
        </w:drawing>
      </w:r>
    </w:p>
    <w:p w14:paraId="4E89D2FB" w14:textId="3D6BBEF4" w:rsidR="008018CA" w:rsidRDefault="00CE5A2B" w:rsidP="002B6BC8">
      <w:pPr>
        <w:spacing w:before="240" w:after="240" w:line="360" w:lineRule="auto"/>
        <w:ind w:right="425"/>
        <w:jc w:val="center"/>
        <w:rPr>
          <w:rFonts w:ascii="Palatino Linotype" w:eastAsia="Palatino Linotype" w:hAnsi="Palatino Linotype" w:cs="Palatino Linotype"/>
        </w:rPr>
      </w:pPr>
      <w:r>
        <w:rPr>
          <w:noProof/>
        </w:rPr>
        <w:lastRenderedPageBreak/>
        <w:drawing>
          <wp:inline distT="0" distB="0" distL="0" distR="0" wp14:anchorId="69897413" wp14:editId="1BE1EE5A">
            <wp:extent cx="5358194" cy="6114554"/>
            <wp:effectExtent l="0" t="0" r="0" b="635"/>
            <wp:docPr id="13" name="Imagen 13"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 Word&#10;&#10;Descripción generada automáticamente"/>
                    <pic:cNvPicPr/>
                  </pic:nvPicPr>
                  <pic:blipFill rotWithShape="1">
                    <a:blip r:embed="rId15"/>
                    <a:srcRect l="56127" t="26104" r="16826" b="19025"/>
                    <a:stretch/>
                  </pic:blipFill>
                  <pic:spPr bwMode="auto">
                    <a:xfrm>
                      <a:off x="0" y="0"/>
                      <a:ext cx="5398758" cy="6160844"/>
                    </a:xfrm>
                    <a:prstGeom prst="rect">
                      <a:avLst/>
                    </a:prstGeom>
                    <a:ln>
                      <a:noFill/>
                    </a:ln>
                    <a:extLst>
                      <a:ext uri="{53640926-AAD7-44D8-BBD7-CCE9431645EC}">
                        <a14:shadowObscured xmlns:a14="http://schemas.microsoft.com/office/drawing/2010/main"/>
                      </a:ext>
                    </a:extLst>
                  </pic:spPr>
                </pic:pic>
              </a:graphicData>
            </a:graphic>
          </wp:inline>
        </w:drawing>
      </w:r>
    </w:p>
    <w:p w14:paraId="13526916" w14:textId="174A4C5E"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t xml:space="preserve">7. Cierre de instrucción.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diecinueve de enero del dos mil veintidós</w:t>
      </w:r>
      <w:r>
        <w:rPr>
          <w:rFonts w:ascii="Palatino Linotype" w:eastAsia="Palatino Linotype" w:hAnsi="Palatino Linotype" w:cs="Palatino Linotype"/>
        </w:rPr>
        <w:t xml:space="preserve">, la Comisionada Ponente determinó el cierre de instrucción en términos de la fracción </w:t>
      </w:r>
      <w:r>
        <w:rPr>
          <w:rFonts w:ascii="Palatino Linotype" w:eastAsia="Palatino Linotype" w:hAnsi="Palatino Linotype" w:cs="Palatino Linotype"/>
        </w:rPr>
        <w:lastRenderedPageBreak/>
        <w:t>VI del artículo 185 de la Ley de Transparencia y Acceso a la Información Pública del Estado de México y Municipios.</w:t>
      </w:r>
    </w:p>
    <w:p w14:paraId="5B962CA2" w14:textId="77777777" w:rsidR="008018CA" w:rsidRDefault="008A6E6C">
      <w:pPr>
        <w:tabs>
          <w:tab w:val="left" w:pos="8789"/>
        </w:tabs>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diecinueve de enero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181, párrafo tercero de la Ley de Transparencia y Acceso a la Información Pública del Estado de México y Municipios. </w:t>
      </w:r>
    </w:p>
    <w:p w14:paraId="2B3B332C" w14:textId="77777777" w:rsidR="008018CA" w:rsidRDefault="008A6E6C">
      <w:pPr>
        <w:numPr>
          <w:ilvl w:val="0"/>
          <w:numId w:val="4"/>
        </w:numPr>
        <w:spacing w:before="240" w:line="360" w:lineRule="auto"/>
        <w:ind w:left="0" w:right="425" w:firstLine="0"/>
        <w:jc w:val="center"/>
        <w:rPr>
          <w:rFonts w:ascii="Palatino Linotype" w:eastAsia="Palatino Linotype" w:hAnsi="Palatino Linotype" w:cs="Palatino Linotype"/>
          <w:b/>
        </w:rPr>
      </w:pPr>
      <w:r>
        <w:rPr>
          <w:rFonts w:ascii="Palatino Linotype" w:eastAsia="Palatino Linotype" w:hAnsi="Palatino Linotype" w:cs="Palatino Linotype"/>
          <w:b/>
        </w:rPr>
        <w:t>C O N S I D E R A N D O:</w:t>
      </w:r>
    </w:p>
    <w:p w14:paraId="1926DD2D" w14:textId="77777777" w:rsidR="008018CA" w:rsidRDefault="008A6E6C">
      <w:pPr>
        <w:spacing w:after="240" w:line="360" w:lineRule="auto"/>
        <w:ind w:right="425"/>
        <w:jc w:val="both"/>
        <w:rPr>
          <w:rFonts w:ascii="Palatino Linotype" w:eastAsia="Palatino Linotype" w:hAnsi="Palatino Linotype" w:cs="Palatino Linotype"/>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w:t>
      </w:r>
      <w:r>
        <w:rPr>
          <w:rFonts w:ascii="Palatino Linotype" w:eastAsia="Palatino Linotype" w:hAnsi="Palatino Linotype" w:cs="Palatino Linotype"/>
        </w:rPr>
        <w:t xml:space="preserve">9, fracciones I y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02FFD80D" w14:textId="77777777" w:rsidR="008018CA" w:rsidRDefault="008A6E6C">
      <w:pPr>
        <w:tabs>
          <w:tab w:val="left" w:pos="8789"/>
        </w:tabs>
        <w:spacing w:before="240" w:after="240" w:line="360" w:lineRule="auto"/>
        <w:ind w:right="425"/>
        <w:jc w:val="both"/>
        <w:rPr>
          <w:rFonts w:ascii="Palatino Linotype" w:eastAsia="Palatino Linotype" w:hAnsi="Palatino Linotype" w:cs="Palatino Linotype"/>
          <w:sz w:val="28"/>
          <w:szCs w:val="28"/>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 en los </w:t>
      </w:r>
      <w:r>
        <w:rPr>
          <w:rFonts w:ascii="Palatino Linotype" w:eastAsia="Palatino Linotype" w:hAnsi="Palatino Linotype" w:cs="Palatino Linotype"/>
        </w:rPr>
        <w:lastRenderedPageBreak/>
        <w:t xml:space="preserve">artículos 178 y 180 de la Ley de Transparencia y Acceso a la Información Pública del Estado de México y Municipios. </w:t>
      </w:r>
    </w:p>
    <w:p w14:paraId="2C100FE3" w14:textId="77777777" w:rsidR="008018CA" w:rsidRDefault="008A6E6C">
      <w:pPr>
        <w:spacing w:before="240" w:after="240"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contados a partir de la fecha en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la respuesta, toda vez que ésta fue pronunciada el día </w:t>
      </w:r>
      <w:r>
        <w:rPr>
          <w:rFonts w:ascii="Palatino Linotype" w:eastAsia="Palatino Linotype" w:hAnsi="Palatino Linotype" w:cs="Palatino Linotype"/>
          <w:b/>
        </w:rPr>
        <w:t>veintiséis</w:t>
      </w:r>
      <w:r>
        <w:rPr>
          <w:rFonts w:ascii="Palatino Linotype" w:eastAsia="Palatino Linotype" w:hAnsi="Palatino Linotype" w:cs="Palatino Linotype"/>
          <w:b/>
          <w:color w:val="000000"/>
        </w:rPr>
        <w:t xml:space="preserve"> de octubre de dos mil veintiuno</w:t>
      </w:r>
      <w:r>
        <w:rPr>
          <w:rFonts w:ascii="Palatino Linotype" w:eastAsia="Palatino Linotype" w:hAnsi="Palatino Linotype" w:cs="Palatino Linotype"/>
        </w:rPr>
        <w:t>, mientras que la</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el recurso de revisión el</w:t>
      </w:r>
      <w:r>
        <w:rPr>
          <w:rFonts w:ascii="Palatino Linotype" w:eastAsia="Palatino Linotype" w:hAnsi="Palatino Linotype" w:cs="Palatino Linotype"/>
          <w:b/>
          <w:color w:val="C00000"/>
        </w:rPr>
        <w:t xml:space="preserve"> </w:t>
      </w:r>
      <w:r>
        <w:rPr>
          <w:rFonts w:ascii="Palatino Linotype" w:eastAsia="Palatino Linotype" w:hAnsi="Palatino Linotype" w:cs="Palatino Linotype"/>
          <w:b/>
          <w:color w:val="000000"/>
        </w:rPr>
        <w:t>tres de noviembre del dos mil veintiuno</w:t>
      </w:r>
      <w:r>
        <w:rPr>
          <w:rFonts w:ascii="Palatino Linotype" w:eastAsia="Palatino Linotype" w:hAnsi="Palatino Linotype" w:cs="Palatino Linotype"/>
          <w:b/>
          <w:color w:val="002060"/>
        </w:rPr>
        <w:t>,</w:t>
      </w:r>
      <w:r>
        <w:rPr>
          <w:rFonts w:ascii="Palatino Linotype" w:eastAsia="Palatino Linotype" w:hAnsi="Palatino Linotype" w:cs="Palatino Linotype"/>
          <w:b/>
          <w:color w:val="C00000"/>
        </w:rPr>
        <w:t xml:space="preserve"> </w:t>
      </w:r>
      <w:r>
        <w:rPr>
          <w:rFonts w:ascii="Palatino Linotype" w:eastAsia="Palatino Linotype" w:hAnsi="Palatino Linotype" w:cs="Palatino Linotype"/>
          <w:color w:val="000000"/>
        </w:rPr>
        <w:t xml:space="preserve">esto es, al </w:t>
      </w:r>
      <w:r>
        <w:rPr>
          <w:rFonts w:ascii="Palatino Linotype" w:eastAsia="Palatino Linotype" w:hAnsi="Palatino Linotype" w:cs="Palatino Linotype"/>
          <w:b/>
          <w:color w:val="000000"/>
        </w:rPr>
        <w:t>quinto día hábil</w:t>
      </w:r>
      <w:r>
        <w:rPr>
          <w:rFonts w:ascii="Palatino Linotype" w:eastAsia="Palatino Linotype" w:hAnsi="Palatino Linotype" w:cs="Palatino Linotype"/>
          <w:color w:val="000000"/>
        </w:rPr>
        <w:t xml:space="preserve"> después de conocer la respuesta, luego entonces, se encuentra dentro de los márgenes temporales previstos por la normatividad vigente. </w:t>
      </w:r>
    </w:p>
    <w:p w14:paraId="7F3E54E6" w14:textId="77777777" w:rsidR="008018CA" w:rsidRDefault="008A6E6C">
      <w:pPr>
        <w:spacing w:before="240" w:after="240"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consecuencia y después de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54BFFCE" w14:textId="77777777" w:rsidR="008018CA" w:rsidRDefault="008A6E6C">
      <w:pPr>
        <w:spacing w:before="240" w:after="240" w:line="360" w:lineRule="auto"/>
        <w:ind w:right="425"/>
        <w:jc w:val="both"/>
        <w:rPr>
          <w:rFonts w:ascii="Quattrocento Sans" w:eastAsia="Quattrocento Sans" w:hAnsi="Quattrocento Sans" w:cs="Quattrocento Sans"/>
        </w:rPr>
      </w:pPr>
      <w:r>
        <w:rPr>
          <w:rFonts w:ascii="Palatino Linotype" w:eastAsia="Palatino Linotype" w:hAnsi="Palatino Linotype" w:cs="Palatino Linotype"/>
        </w:rPr>
        <w:t>Dentro de este marco, se advierte que resulta procedente la interposición del recurso, de acuerdo con lo que disponen los artículos 176 y 179 fracción I del ordenamiento legal citado, que establecen los supuestos en que puede interponerse el recurso de revisión:</w:t>
      </w:r>
    </w:p>
    <w:p w14:paraId="1FA14C3E" w14:textId="77777777" w:rsidR="008018CA" w:rsidRDefault="008A6E6C">
      <w:pPr>
        <w:spacing w:before="240" w:after="240"/>
        <w:ind w:left="851"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0"/>
          <w:szCs w:val="20"/>
        </w:rPr>
        <w:t xml:space="preserve"> “</w:t>
      </w:r>
      <w:r>
        <w:rPr>
          <w:rFonts w:ascii="Palatino Linotype" w:eastAsia="Palatino Linotype" w:hAnsi="Palatino Linotype" w:cs="Palatino Linotype"/>
          <w:b/>
          <w:i/>
          <w:sz w:val="22"/>
          <w:szCs w:val="22"/>
        </w:rPr>
        <w:t xml:space="preserve">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14:paraId="09F6A82A" w14:textId="77777777" w:rsidR="008018CA" w:rsidRDefault="008A6E6C">
      <w:pPr>
        <w:spacing w:after="120"/>
        <w:ind w:left="851" w:right="99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b/>
          <w:sz w:val="22"/>
          <w:szCs w:val="22"/>
        </w:rPr>
        <w:t>.-</w:t>
      </w:r>
      <w:r>
        <w:rPr>
          <w:rFonts w:ascii="Bookman Old Style" w:eastAsia="Bookman Old Style" w:hAnsi="Bookman Old Style" w:cs="Bookman Old Styl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69E0B3A" w14:textId="77777777" w:rsidR="008018CA" w:rsidRDefault="008A6E6C">
      <w:pPr>
        <w:spacing w:after="120"/>
        <w:ind w:left="851" w:right="99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0821A437" w14:textId="77777777" w:rsidR="008018CA" w:rsidRDefault="008A6E6C">
      <w:pPr>
        <w:spacing w:after="120"/>
        <w:ind w:left="851" w:right="99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DA573ED" w14:textId="77777777" w:rsidR="008018CA" w:rsidRDefault="008A6E6C">
      <w:pPr>
        <w:spacing w:after="120"/>
        <w:ind w:left="851" w:right="992"/>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1F5D0971"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En consecuencia, resulta conforme a derecho entrar al estudio de fondo y resolver el presente medio de impugnación.</w:t>
      </w:r>
    </w:p>
    <w:p w14:paraId="4F3FEC52" w14:textId="77777777" w:rsidR="008018CA" w:rsidRDefault="008A6E6C">
      <w:pPr>
        <w:spacing w:before="240" w:after="240" w:line="360" w:lineRule="auto"/>
        <w:ind w:right="425"/>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Una vez realizado el análisis de las constancias que integran el expediente en que se actúa, se desprende que la litis</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en el presente medio de impugnación consiste en determinar la legalidad de la respuesta emitida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la solicitud de acceso a la información, y en su caso resolver si resulta procedente ordenar lo requerido según las manifestaciones hechas al momento de interponerse el presente medio de impugnación, de conformidad con lo dispuesto en la Ley de Transparencia y Acceso a la Información Pública del Estado de México y Municipios.</w:t>
      </w:r>
    </w:p>
    <w:p w14:paraId="6259EF70" w14:textId="77777777" w:rsidR="008018CA" w:rsidRDefault="008A6E6C">
      <w:pPr>
        <w:spacing w:before="240" w:after="240" w:line="360" w:lineRule="auto"/>
        <w:ind w:right="425"/>
        <w:jc w:val="both"/>
        <w:rPr>
          <w:rFonts w:ascii="Palatino Linotype" w:eastAsia="Palatino Linotype" w:hAnsi="Palatino Linotype" w:cs="Palatino Linotype"/>
          <w:b/>
          <w:sz w:val="28"/>
          <w:szCs w:val="28"/>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este apartado se expondrán las razones y fundamentos de orden jurídico nacional y estatal que soportan la decisión de este Órgano Garante en el asunto que nos ocupa, tras analizar los motivos de inconformidad de la</w:t>
      </w:r>
      <w:r w:rsidR="006570C1">
        <w:rPr>
          <w:rFonts w:ascii="Palatino Linotype" w:eastAsia="Palatino Linotype" w:hAnsi="Palatino Linotype" w:cs="Palatino Linotype"/>
        </w:rPr>
        <w:t xml:space="preserve"> </w:t>
      </w:r>
      <w:r w:rsidR="006570C1">
        <w:rPr>
          <w:rFonts w:ascii="Palatino Linotype" w:eastAsia="Palatino Linotype" w:hAnsi="Palatino Linotype" w:cs="Palatino Linotype"/>
          <w:b/>
        </w:rPr>
        <w:t>RECURRENTE</w:t>
      </w:r>
      <w:r>
        <w:rPr>
          <w:rFonts w:ascii="Palatino Linotype" w:eastAsia="Palatino Linotype" w:hAnsi="Palatino Linotype" w:cs="Palatino Linotype"/>
        </w:rPr>
        <w:t xml:space="preserve">, los argumentos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el marco jurídico aplicable.</w:t>
      </w:r>
    </w:p>
    <w:p w14:paraId="2F4379E0"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Como fue referido en los antecedentes de la presente resolución,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medularmente lo siguiente: </w:t>
      </w:r>
    </w:p>
    <w:p w14:paraId="4AA74637" w14:textId="77777777" w:rsidR="008018CA" w:rsidRDefault="008A6E6C">
      <w:pPr>
        <w:spacing w:before="240" w:after="240"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1.-Acta donde el Sr. Juan López se acredita como administrador, así como los comprobantes de gastos que acreditan la rendición de cuentas que entrego en semanas pasadas, </w:t>
      </w:r>
    </w:p>
    <w:p w14:paraId="0E3D7C88"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color w:val="000000"/>
        </w:rPr>
        <w:t>2.- Requerimos conocer si es verdad que se procederá a clausurar las cisternas al interior del fraccionamiento y si nos cobraran alguna multa porque no se cuenta con licencia de funcionamiento para los agentes de seguridad que tenemos en la caseta principal de acceso al fraccionamiento</w:t>
      </w:r>
    </w:p>
    <w:p w14:paraId="67DF2AFF" w14:textId="1049FE68"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en respuesta al requerimiento formulado por el particular,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turnó la solicitud a la unidad administrativa que consideró competente, siendo esta, la Sindicatura del Ayuntamiento de Cuautitlán, la cual emitió su respuesta mediante el oficio MCM/SM/405/2021, suscrito por la Síndico del Municipio de Cuautitlán, con el cual se informó que, con relación a la queja referida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derivada de la recaudación de ingresos o cuotas, así como el supuesto permiso por parte de esa autoridad, éste es un hecho falso, dado que la Ley que Regula el Régimen de Propiedad en Condominio del Estado de México es muy clara para señalar quien tiene esa responsabilidad y que los referidos, son hechos de una controversia interna entre condóminos y representantes de las mesas directivas internas del Fraccionamiento. Asimismo, se indicó que la Sindicatura, en función de sus atribuciones, se dio a la tarea de estar cerca de la comunidad brindando pláticas condominales que permiten dar a conocer los derechos y obligaciones de la Ley mencionada; por último, se señaló que, derivado de la queja que adjuntó el particular, se iniciaron procedimientos de </w:t>
      </w:r>
      <w:r>
        <w:rPr>
          <w:rFonts w:ascii="Palatino Linotype" w:eastAsia="Palatino Linotype" w:hAnsi="Palatino Linotype" w:cs="Palatino Linotype"/>
          <w:color w:val="000000"/>
        </w:rPr>
        <w:lastRenderedPageBreak/>
        <w:t xml:space="preserve">juicios </w:t>
      </w:r>
      <w:r w:rsidR="001D0436">
        <w:rPr>
          <w:rFonts w:ascii="Palatino Linotype" w:eastAsia="Palatino Linotype" w:hAnsi="Palatino Linotype" w:cs="Palatino Linotype"/>
          <w:color w:val="000000"/>
        </w:rPr>
        <w:t>arbitrales y</w:t>
      </w:r>
      <w:r>
        <w:rPr>
          <w:rFonts w:ascii="Palatino Linotype" w:eastAsia="Palatino Linotype" w:hAnsi="Palatino Linotype" w:cs="Palatino Linotype"/>
          <w:color w:val="000000"/>
        </w:rPr>
        <w:t xml:space="preserve"> que en las actuaciones que integran estos expedientes, no se ha dictado el supuesto permiso por parte por parte de la Sindicatura.</w:t>
      </w:r>
    </w:p>
    <w:p w14:paraId="17C6A4E6" w14:textId="77777777" w:rsidR="00312768" w:rsidRDefault="00312768">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p>
    <w:p w14:paraId="343ACF4A" w14:textId="771F8D55" w:rsidR="00312768" w:rsidRPr="00E14633" w:rsidRDefault="00312768" w:rsidP="00312768">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sidRPr="00E14633">
        <w:rPr>
          <w:rFonts w:ascii="Palatino Linotype" w:eastAsia="Palatino Linotype" w:hAnsi="Palatino Linotype" w:cs="Palatino Linotype"/>
          <w:color w:val="000000"/>
        </w:rPr>
        <w:t xml:space="preserve">Ahora, respecto del actuar del </w:t>
      </w:r>
      <w:r w:rsidRPr="00E14633">
        <w:rPr>
          <w:rFonts w:ascii="Palatino Linotype" w:eastAsia="Palatino Linotype" w:hAnsi="Palatino Linotype" w:cs="Palatino Linotype"/>
          <w:b/>
          <w:bCs/>
          <w:color w:val="000000"/>
        </w:rPr>
        <w:t>SUJETO OBLIAGDO</w:t>
      </w:r>
      <w:r w:rsidRPr="00E14633">
        <w:rPr>
          <w:rFonts w:ascii="Palatino Linotype" w:eastAsia="Palatino Linotype" w:hAnsi="Palatino Linotype" w:cs="Palatino Linotype"/>
          <w:color w:val="000000"/>
        </w:rPr>
        <w:t xml:space="preserve">, de la </w:t>
      </w:r>
      <w:r w:rsidR="001D0436" w:rsidRPr="00E14633">
        <w:rPr>
          <w:rFonts w:ascii="Palatino Linotype" w:eastAsia="Palatino Linotype" w:hAnsi="Palatino Linotype" w:cs="Palatino Linotype"/>
          <w:color w:val="000000"/>
        </w:rPr>
        <w:t>respuesta se</w:t>
      </w:r>
      <w:r w:rsidRPr="00E14633">
        <w:rPr>
          <w:rFonts w:ascii="Palatino Linotype" w:eastAsia="Palatino Linotype" w:hAnsi="Palatino Linotype" w:cs="Palatino Linotype"/>
          <w:color w:val="000000"/>
        </w:rPr>
        <w:t xml:space="preserve"> aprecia que se dejaron a la vista datos personales susceptibles de ser clasificados como confidenciales, por lo que es necesario dar vista al área competente para que en ejercicio de sus atribuciones realice las investigaciones pertinentes por las omisiones detectadas atribuibles al </w:t>
      </w:r>
      <w:r w:rsidRPr="00E14633">
        <w:rPr>
          <w:rFonts w:ascii="Palatino Linotype" w:eastAsia="Palatino Linotype" w:hAnsi="Palatino Linotype" w:cs="Palatino Linotype"/>
          <w:b/>
          <w:bCs/>
          <w:color w:val="000000"/>
        </w:rPr>
        <w:t>SUJETO OBLIGADO</w:t>
      </w:r>
      <w:r w:rsidRPr="00E14633">
        <w:rPr>
          <w:rFonts w:ascii="Palatino Linotype" w:eastAsia="Palatino Linotype" w:hAnsi="Palatino Linotype" w:cs="Palatino Linotype"/>
          <w:color w:val="000000"/>
        </w:rPr>
        <w:t>.</w:t>
      </w:r>
    </w:p>
    <w:p w14:paraId="107DFBDB" w14:textId="77777777" w:rsidR="001D0436" w:rsidRPr="00E14633" w:rsidRDefault="001D0436" w:rsidP="00312768">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p>
    <w:p w14:paraId="0E9030E0" w14:textId="4F2F0BE5" w:rsidR="00312768" w:rsidRDefault="00312768" w:rsidP="00312768">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sidRPr="00E14633">
        <w:rPr>
          <w:rFonts w:ascii="Palatino Linotype" w:eastAsia="Palatino Linotype" w:hAnsi="Palatino Linotype" w:cs="Palatino Linotype"/>
          <w:color w:val="000000"/>
        </w:rPr>
        <w:t xml:space="preserve">Sobre el particular, si bien, la presente Resolución no tiene por objetivo investigar y determinar posibles violaciones al derecho a la protección de Datos Personales, toda vez que este Organismo Autónomo, advirtió en la sustanciación de éste una violación en el tratamiento efectuado por el </w:t>
      </w:r>
      <w:r w:rsidRPr="00E14633">
        <w:rPr>
          <w:rFonts w:ascii="Palatino Linotype" w:eastAsia="Palatino Linotype" w:hAnsi="Palatino Linotype" w:cs="Palatino Linotype"/>
          <w:b/>
          <w:bCs/>
          <w:color w:val="000000"/>
        </w:rPr>
        <w:t>SUJETO OBLIGADO</w:t>
      </w:r>
      <w:r w:rsidRPr="00E14633">
        <w:rPr>
          <w:rFonts w:ascii="Palatino Linotype" w:eastAsia="Palatino Linotype" w:hAnsi="Palatino Linotype" w:cs="Palatino Linotype"/>
          <w:color w:val="000000"/>
        </w:rPr>
        <w:t>, se considera procedente dar vista al Contralor Interno y Titular del Órgano de Control y Vigilancia de este Instituto.</w:t>
      </w:r>
    </w:p>
    <w:p w14:paraId="77815E50" w14:textId="77777777" w:rsidR="008018CA" w:rsidRDefault="008018CA">
      <w:pPr>
        <w:spacing w:line="360" w:lineRule="auto"/>
        <w:ind w:right="425"/>
        <w:jc w:val="both"/>
        <w:rPr>
          <w:rFonts w:ascii="Palatino Linotype" w:eastAsia="Palatino Linotype" w:hAnsi="Palatino Linotype" w:cs="Palatino Linotype"/>
        </w:rPr>
      </w:pPr>
    </w:p>
    <w:p w14:paraId="390C0F8F" w14:textId="77777777" w:rsidR="008018CA" w:rsidRDefault="008A6E6C">
      <w:pPr>
        <w:spacing w:line="360" w:lineRule="auto"/>
        <w:ind w:right="425"/>
        <w:jc w:val="both"/>
        <w:rPr>
          <w:rFonts w:ascii="Palatino Linotype" w:eastAsia="Palatino Linotype" w:hAnsi="Palatino Linotype" w:cs="Palatino Linotype"/>
          <w:i/>
        </w:rPr>
      </w:pPr>
      <w:r>
        <w:rPr>
          <w:rFonts w:ascii="Palatino Linotype" w:eastAsia="Palatino Linotype" w:hAnsi="Palatino Linotype" w:cs="Palatino Linotype"/>
        </w:rPr>
        <w:t xml:space="preserve">Una vez conocida la respuesta,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medio de impugnación que nos ocupa, expresando como razones o motivos de inconformidad </w:t>
      </w:r>
      <w:r>
        <w:rPr>
          <w:rFonts w:ascii="Palatino Linotype" w:eastAsia="Palatino Linotype" w:hAnsi="Palatino Linotype" w:cs="Palatino Linotype"/>
          <w:i/>
        </w:rPr>
        <w:t>“</w:t>
      </w:r>
      <w:r>
        <w:rPr>
          <w:rFonts w:ascii="Palatino Linotype" w:eastAsia="Palatino Linotype" w:hAnsi="Palatino Linotype" w:cs="Palatino Linotype"/>
          <w:i/>
          <w:color w:val="000000"/>
        </w:rPr>
        <w:t xml:space="preserve">no se </w:t>
      </w:r>
      <w:proofErr w:type="spellStart"/>
      <w:r>
        <w:rPr>
          <w:rFonts w:ascii="Palatino Linotype" w:eastAsia="Palatino Linotype" w:hAnsi="Palatino Linotype" w:cs="Palatino Linotype"/>
          <w:i/>
          <w:color w:val="000000"/>
        </w:rPr>
        <w:t>respondio</w:t>
      </w:r>
      <w:proofErr w:type="spellEnd"/>
      <w:r>
        <w:rPr>
          <w:rFonts w:ascii="Palatino Linotype" w:eastAsia="Palatino Linotype" w:hAnsi="Palatino Linotype" w:cs="Palatino Linotype"/>
          <w:i/>
          <w:color w:val="000000"/>
        </w:rPr>
        <w:t xml:space="preserve"> lo que se </w:t>
      </w:r>
      <w:proofErr w:type="spellStart"/>
      <w:r>
        <w:rPr>
          <w:rFonts w:ascii="Palatino Linotype" w:eastAsia="Palatino Linotype" w:hAnsi="Palatino Linotype" w:cs="Palatino Linotype"/>
          <w:i/>
          <w:color w:val="000000"/>
        </w:rPr>
        <w:t>pidio</w:t>
      </w:r>
      <w:proofErr w:type="spellEnd"/>
      <w:r>
        <w:rPr>
          <w:rFonts w:ascii="Palatino Linotype" w:eastAsia="Palatino Linotype" w:hAnsi="Palatino Linotype" w:cs="Palatino Linotype"/>
          <w:i/>
          <w:color w:val="000000"/>
        </w:rPr>
        <w:t xml:space="preserve"> en la solicitud inicial</w:t>
      </w:r>
      <w:r>
        <w:rPr>
          <w:rFonts w:ascii="Palatino Linotype" w:eastAsia="Palatino Linotype" w:hAnsi="Palatino Linotype" w:cs="Palatino Linotype"/>
          <w:i/>
        </w:rPr>
        <w:t>” (Sic)</w:t>
      </w:r>
    </w:p>
    <w:p w14:paraId="1EBDBB64" w14:textId="77777777"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Reviste interés para el presente estudio, el contenido del archivo digital </w:t>
      </w:r>
      <w:r>
        <w:rPr>
          <w:rFonts w:ascii="Palatino Linotype" w:eastAsia="Palatino Linotype" w:hAnsi="Palatino Linotype" w:cs="Palatino Linotype"/>
          <w:b/>
          <w:i/>
        </w:rPr>
        <w:t>“</w:t>
      </w:r>
      <w:hyperlink r:id="rId16">
        <w:r>
          <w:rPr>
            <w:rFonts w:ascii="Palatino Linotype" w:eastAsia="Palatino Linotype" w:hAnsi="Palatino Linotype" w:cs="Palatino Linotype"/>
            <w:b/>
            <w:color w:val="000000"/>
            <w:sz w:val="22"/>
            <w:szCs w:val="22"/>
          </w:rPr>
          <w:t>05349_INFOEM_IP_RR_2021.pdf</w:t>
        </w:r>
      </w:hyperlink>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por ser el soporte documental de dos fojas, que contiene los alegatos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posterior a expresar la problemática vivida en su fraccionamiento manifestó: </w:t>
      </w:r>
    </w:p>
    <w:p w14:paraId="6FCAA804" w14:textId="77777777" w:rsidR="008018CA" w:rsidRDefault="008A6E6C">
      <w:pPr>
        <w:spacing w:before="240" w:after="240"/>
        <w:ind w:left="851" w:right="992"/>
        <w:jc w:val="both"/>
        <w:rPr>
          <w:i/>
        </w:rPr>
      </w:pPr>
      <w:r>
        <w:rPr>
          <w:i/>
        </w:rPr>
        <w:lastRenderedPageBreak/>
        <w:t xml:space="preserve">“Por lo anterior expuesto le pido su apoyo para. </w:t>
      </w:r>
    </w:p>
    <w:p w14:paraId="4C9CA69A" w14:textId="77777777" w:rsidR="008018CA" w:rsidRDefault="008A6E6C">
      <w:pPr>
        <w:spacing w:before="240" w:after="240"/>
        <w:ind w:left="851" w:right="992"/>
        <w:jc w:val="both"/>
        <w:rPr>
          <w:i/>
        </w:rPr>
      </w:pPr>
      <w:r>
        <w:rPr>
          <w:i/>
        </w:rPr>
        <w:t xml:space="preserve">1. Darle el exhorto a la Sindicatura Municipal porque no conocen de la ley y aun </w:t>
      </w:r>
      <w:proofErr w:type="spellStart"/>
      <w:r>
        <w:rPr>
          <w:i/>
        </w:rPr>
        <w:t>asi</w:t>
      </w:r>
      <w:proofErr w:type="spellEnd"/>
      <w:r>
        <w:rPr>
          <w:i/>
        </w:rPr>
        <w:t xml:space="preserve"> se atreven a ir a dar pláticas, basados en sus ideas o lineamientos absurdos como el de “No Intervención” </w:t>
      </w:r>
    </w:p>
    <w:p w14:paraId="30B0333E" w14:textId="77777777" w:rsidR="008018CA" w:rsidRDefault="008A6E6C">
      <w:pPr>
        <w:spacing w:before="240" w:after="240"/>
        <w:ind w:left="851" w:right="992"/>
        <w:jc w:val="both"/>
        <w:rPr>
          <w:i/>
        </w:rPr>
      </w:pPr>
      <w:r>
        <w:rPr>
          <w:i/>
        </w:rPr>
        <w:t xml:space="preserve">2. Que sean sancionados los vecinos que nos quitaron la tranquilidad desde hace meses y que están demandados por la delegada. </w:t>
      </w:r>
    </w:p>
    <w:p w14:paraId="72AAAE6F" w14:textId="77777777" w:rsidR="008018CA" w:rsidRDefault="008A6E6C">
      <w:pPr>
        <w:spacing w:before="240" w:after="240"/>
        <w:ind w:left="851" w:right="992"/>
        <w:jc w:val="both"/>
        <w:rPr>
          <w:i/>
        </w:rPr>
      </w:pPr>
      <w:r>
        <w:rPr>
          <w:i/>
        </w:rPr>
        <w:t xml:space="preserve">3. Que nos den unas platicas de la ley de </w:t>
      </w:r>
      <w:proofErr w:type="gramStart"/>
      <w:r>
        <w:rPr>
          <w:i/>
        </w:rPr>
        <w:t>condominio</w:t>
      </w:r>
      <w:proofErr w:type="gramEnd"/>
      <w:r>
        <w:rPr>
          <w:i/>
        </w:rPr>
        <w:t xml:space="preserve"> pero impartidas por expertos o al menos gente que ya haya tenido una acreditación o por la procuraduría social del estado de mexica o por la procuraduría social de la CDMX o alguna otra institución de gobierno que nos ayude a entender bien, cuáles son nuestras obligaciones reales y cuales nuestros derechos. </w:t>
      </w:r>
    </w:p>
    <w:p w14:paraId="18F2BB28" w14:textId="77777777" w:rsidR="008018CA" w:rsidRDefault="008A6E6C">
      <w:pPr>
        <w:spacing w:before="240" w:after="240"/>
        <w:ind w:left="851" w:right="992"/>
        <w:jc w:val="both"/>
        <w:rPr>
          <w:i/>
        </w:rPr>
      </w:pPr>
      <w:r>
        <w:rPr>
          <w:i/>
        </w:rPr>
        <w:t xml:space="preserve">Muchas gracias por su atención y apoyo. </w:t>
      </w:r>
    </w:p>
    <w:p w14:paraId="3302B77D" w14:textId="77777777" w:rsidR="008018CA" w:rsidRDefault="008A6E6C">
      <w:pPr>
        <w:spacing w:before="240" w:after="240"/>
        <w:ind w:left="851" w:right="992"/>
        <w:jc w:val="both"/>
        <w:rPr>
          <w:i/>
        </w:rPr>
      </w:pPr>
      <w:r>
        <w:rPr>
          <w:i/>
        </w:rPr>
        <w:t xml:space="preserve">Atte. </w:t>
      </w:r>
    </w:p>
    <w:p w14:paraId="0A45F49B" w14:textId="77777777" w:rsidR="008018CA" w:rsidRDefault="008A6E6C">
      <w:pPr>
        <w:ind w:left="851" w:right="992"/>
        <w:jc w:val="both"/>
        <w:rPr>
          <w:i/>
        </w:rPr>
      </w:pPr>
      <w:r>
        <w:rPr>
          <w:i/>
        </w:rPr>
        <w:t xml:space="preserve">Evelin Nava Torres </w:t>
      </w:r>
    </w:p>
    <w:p w14:paraId="38C588A5" w14:textId="77777777" w:rsidR="008018CA" w:rsidRDefault="008A6E6C">
      <w:pPr>
        <w:ind w:left="851" w:right="992"/>
        <w:jc w:val="both"/>
        <w:rPr>
          <w:i/>
        </w:rPr>
      </w:pPr>
      <w:r>
        <w:rPr>
          <w:i/>
        </w:rPr>
        <w:t xml:space="preserve">Av. </w:t>
      </w:r>
      <w:proofErr w:type="spellStart"/>
      <w:r>
        <w:rPr>
          <w:i/>
        </w:rPr>
        <w:t>Teyahualco</w:t>
      </w:r>
      <w:proofErr w:type="spellEnd"/>
      <w:r>
        <w:rPr>
          <w:i/>
        </w:rPr>
        <w:t xml:space="preserve"> #588, Fraccionamiento Real de San Fernando, </w:t>
      </w:r>
    </w:p>
    <w:p w14:paraId="0D17ED79" w14:textId="77777777" w:rsidR="008018CA" w:rsidRDefault="008A6E6C">
      <w:pPr>
        <w:ind w:left="851" w:right="992"/>
        <w:jc w:val="both"/>
        <w:rPr>
          <w:i/>
        </w:rPr>
      </w:pPr>
      <w:r>
        <w:rPr>
          <w:i/>
        </w:rPr>
        <w:t>Rancho Santa Elena, Cuautitlán, Estado de México” (Sic)</w:t>
      </w:r>
    </w:p>
    <w:p w14:paraId="69FDF207" w14:textId="77777777" w:rsidR="008018CA" w:rsidRDefault="008018CA">
      <w:pPr>
        <w:ind w:left="851" w:right="992"/>
        <w:jc w:val="both"/>
        <w:rPr>
          <w:rFonts w:ascii="Palatino Linotype" w:eastAsia="Palatino Linotype" w:hAnsi="Palatino Linotype" w:cs="Palatino Linotype"/>
          <w:i/>
        </w:rPr>
      </w:pPr>
    </w:p>
    <w:p w14:paraId="4E3AE3CA"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omitió rendir su Informe Justificado; por consiguiente, es necesario precisar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al no rendir su Informe Justificado en el término otorgado de siete días hábiles, con el que pudo manifestar lo que a derecho le asistiera y conviniera, dejó de justificar las razones o motivos que lo llevaron a emitir la respuesta que ahora se impugna, generando con esta omisión el perjuicio en su contra, sin embargo, no es obstáculo para que este Órgano Garante conozca y resuelva el presente recurso de revisión, si se considera lo que al respecto ha señalado la autoridad jurisdiccional al emitir la tesis 2a. XXII/96, con número de registro 200629, en la que se establece lo siguiente:</w:t>
      </w:r>
    </w:p>
    <w:p w14:paraId="44418FC7" w14:textId="77777777" w:rsidR="008018CA" w:rsidRDefault="008018CA">
      <w:pPr>
        <w:spacing w:line="360" w:lineRule="auto"/>
        <w:rPr>
          <w:rFonts w:ascii="Palatino Linotype" w:eastAsia="Palatino Linotype" w:hAnsi="Palatino Linotype" w:cs="Palatino Linotype"/>
        </w:rPr>
      </w:pPr>
    </w:p>
    <w:p w14:paraId="2235A581" w14:textId="77777777" w:rsidR="008018CA" w:rsidRDefault="008A6E6C">
      <w:pPr>
        <w:ind w:left="851" w:right="992"/>
        <w:jc w:val="both"/>
        <w:rPr>
          <w:rFonts w:ascii="Palatino Linotype" w:eastAsia="Palatino Linotype" w:hAnsi="Palatino Linotype" w:cs="Palatino Linotype"/>
        </w:rPr>
      </w:pPr>
      <w:r>
        <w:rPr>
          <w:rFonts w:ascii="Palatino Linotype" w:eastAsia="Palatino Linotype" w:hAnsi="Palatino Linotype" w:cs="Palatino Linotype"/>
          <w:b/>
          <w:i/>
          <w:color w:val="000000"/>
        </w:rPr>
        <w:lastRenderedPageBreak/>
        <w:t>QUEJA, RECURSO DE. LA OMISION DE RENDIR EL INFORME RESPECTIVO NO IMPIDE QUE SE RESUELVA.</w:t>
      </w:r>
      <w:r>
        <w:rPr>
          <w:rFonts w:ascii="Palatino Linotype" w:eastAsia="Palatino Linotype" w:hAnsi="Palatino Linotype" w:cs="Palatino Linotype"/>
          <w:i/>
          <w:color w:val="000000"/>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w:t>
      </w:r>
      <w:r>
        <w:rPr>
          <w:rFonts w:ascii="Palatino Linotype" w:eastAsia="Palatino Linotype" w:hAnsi="Palatino Linotype" w:cs="Palatino Linotype"/>
          <w:b/>
          <w:i/>
          <w:color w:val="000000"/>
        </w:rPr>
        <w:t>concluir que la falta de informe justificado de alguna autoridad responsable durante la tramitación del recurso de queja no es obstáculo para que se resuelva</w:t>
      </w:r>
      <w:r>
        <w:rPr>
          <w:rFonts w:ascii="Palatino Linotype" w:eastAsia="Palatino Linotype" w:hAnsi="Palatino Linotype" w:cs="Palatino Linotype"/>
          <w:i/>
          <w:color w:val="000000"/>
        </w:rPr>
        <w:t>,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w:t>
      </w:r>
    </w:p>
    <w:p w14:paraId="7F1B0207" w14:textId="77777777" w:rsidR="008018CA" w:rsidRDefault="008018CA">
      <w:pPr>
        <w:spacing w:line="360" w:lineRule="auto"/>
        <w:rPr>
          <w:rFonts w:ascii="Palatino Linotype" w:eastAsia="Palatino Linotype" w:hAnsi="Palatino Linotype" w:cs="Palatino Linotype"/>
        </w:rPr>
      </w:pPr>
    </w:p>
    <w:p w14:paraId="4A29C146"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Por lo que se reitera que la falta de informe justificado no impide que este Instituto conozca y resuelva el recurso de revisión, sino que sólo propicia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pierda la oportunidad de justificar su respuesta y manifestar lo que a su derecho convenga.</w:t>
      </w:r>
    </w:p>
    <w:p w14:paraId="3EE888A6" w14:textId="77777777" w:rsidR="008018CA" w:rsidRDefault="008018CA">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p>
    <w:p w14:paraId="79CF298F"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quedando establecido lo anterior, este Órgano Garante considera viable realizar el estudio en aras de establecer si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colma la pretensión de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así como calificar los motivos de inconformidad del particular. </w:t>
      </w:r>
    </w:p>
    <w:p w14:paraId="1B7A4A50" w14:textId="77777777" w:rsidR="008018CA" w:rsidRDefault="008018CA">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p>
    <w:p w14:paraId="3D81A02D"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es pertinente enfatizar lo que, respecto al derecho de acceso a la información pública, refiere el artículo 6° de la Constitución Política de los Estados Unidos Mexicanos, que en su parte conducente señala:</w:t>
      </w:r>
    </w:p>
    <w:p w14:paraId="30EAB245" w14:textId="77777777" w:rsidR="008018CA" w:rsidRDefault="008018C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6C5C554"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6o.</w:t>
      </w:r>
      <w:r>
        <w:rPr>
          <w:rFonts w:ascii="Palatino Linotype" w:eastAsia="Palatino Linotype" w:hAnsi="Palatino Linotype" w:cs="Palatino Linotype"/>
          <w:i/>
          <w:color w:val="000000"/>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eastAsia="Palatino Linotype" w:hAnsi="Palatino Linotype" w:cs="Palatino Linotype"/>
          <w:b/>
          <w:i/>
          <w:color w:val="000000"/>
        </w:rPr>
        <w:t>El derecho a la información será garantizado por el Estado.</w:t>
      </w:r>
      <w:r>
        <w:rPr>
          <w:rFonts w:ascii="Palatino Linotype" w:eastAsia="Palatino Linotype" w:hAnsi="Palatino Linotype" w:cs="Palatino Linotype"/>
          <w:i/>
          <w:color w:val="000000"/>
        </w:rPr>
        <w:t xml:space="preserve"> </w:t>
      </w:r>
    </w:p>
    <w:p w14:paraId="5C2FED33" w14:textId="77777777" w:rsidR="008018CA" w:rsidRDefault="008018CA">
      <w:pPr>
        <w:pBdr>
          <w:top w:val="nil"/>
          <w:left w:val="nil"/>
          <w:bottom w:val="nil"/>
          <w:right w:val="nil"/>
          <w:between w:val="nil"/>
        </w:pBdr>
        <w:ind w:left="851" w:right="992"/>
        <w:jc w:val="both"/>
        <w:rPr>
          <w:rFonts w:ascii="Palatino Linotype" w:eastAsia="Palatino Linotype" w:hAnsi="Palatino Linotype" w:cs="Palatino Linotype"/>
          <w:i/>
          <w:color w:val="000000"/>
        </w:rPr>
      </w:pPr>
    </w:p>
    <w:p w14:paraId="35AB9485"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Toda persona tiene derecho al libre acceso a información plural y oportuna, así como a buscar, recibir y difundir información e ideas de toda índole por cualquier medio de expresión.</w:t>
      </w:r>
    </w:p>
    <w:p w14:paraId="126D87BD" w14:textId="77777777" w:rsidR="008018CA" w:rsidRDefault="008018CA">
      <w:pPr>
        <w:pBdr>
          <w:top w:val="nil"/>
          <w:left w:val="nil"/>
          <w:bottom w:val="nil"/>
          <w:right w:val="nil"/>
          <w:between w:val="nil"/>
        </w:pBdr>
        <w:ind w:left="851" w:right="992"/>
        <w:jc w:val="both"/>
        <w:rPr>
          <w:rFonts w:ascii="Palatino Linotype" w:eastAsia="Palatino Linotype" w:hAnsi="Palatino Linotype" w:cs="Palatino Linotype"/>
          <w:i/>
          <w:color w:val="000000"/>
        </w:rPr>
      </w:pPr>
    </w:p>
    <w:p w14:paraId="0EFD13D6"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Para efectos de lo dispuesto en el presente artículo se observará lo siguiente:</w:t>
      </w:r>
    </w:p>
    <w:p w14:paraId="1DEEB8BC" w14:textId="77777777" w:rsidR="008018CA" w:rsidRDefault="008018CA">
      <w:pPr>
        <w:pBdr>
          <w:top w:val="nil"/>
          <w:left w:val="nil"/>
          <w:bottom w:val="nil"/>
          <w:right w:val="nil"/>
          <w:between w:val="nil"/>
        </w:pBdr>
        <w:ind w:left="851" w:right="992"/>
        <w:jc w:val="both"/>
        <w:rPr>
          <w:rFonts w:ascii="Palatino Linotype" w:eastAsia="Palatino Linotype" w:hAnsi="Palatino Linotype" w:cs="Palatino Linotype"/>
          <w:i/>
          <w:color w:val="000000"/>
        </w:rPr>
      </w:pPr>
    </w:p>
    <w:p w14:paraId="6A31BC6A"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A. Para el ejercicio del derecho de acceso a la información, la Federación, los Estados y el Distrito Federal, en el ámbito de sus respectivas competencias, se regirán por los siguientes principios y bases:</w:t>
      </w:r>
    </w:p>
    <w:p w14:paraId="11163096" w14:textId="77777777" w:rsidR="008018CA" w:rsidRDefault="008018CA">
      <w:pPr>
        <w:pBdr>
          <w:top w:val="nil"/>
          <w:left w:val="nil"/>
          <w:bottom w:val="nil"/>
          <w:right w:val="nil"/>
          <w:between w:val="nil"/>
        </w:pBdr>
        <w:ind w:left="851" w:right="992"/>
        <w:jc w:val="both"/>
        <w:rPr>
          <w:rFonts w:ascii="Palatino Linotype" w:eastAsia="Palatino Linotype" w:hAnsi="Palatino Linotype" w:cs="Palatino Linotype"/>
          <w:i/>
          <w:color w:val="000000"/>
        </w:rPr>
      </w:pPr>
    </w:p>
    <w:p w14:paraId="1B52AA8F"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I. Toda la información en posesión de</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cualquier autoridad</w:t>
      </w:r>
      <w:r>
        <w:rPr>
          <w:rFonts w:ascii="Palatino Linotype" w:eastAsia="Palatino Linotype" w:hAnsi="Palatino Linotype" w:cs="Palatino Linotype"/>
          <w:i/>
          <w:color w:val="000000"/>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Pr>
          <w:rFonts w:ascii="Palatino Linotype" w:eastAsia="Palatino Linotype" w:hAnsi="Palatino Linotype" w:cs="Palatino Linotype"/>
          <w:b/>
          <w:i/>
          <w:color w:val="000000"/>
        </w:rPr>
        <w:t>en el ámbito federal, estatal y municipal, es pública</w:t>
      </w:r>
      <w:r>
        <w:rPr>
          <w:rFonts w:ascii="Palatino Linotype" w:eastAsia="Palatino Linotype" w:hAnsi="Palatino Linotype" w:cs="Palatino Linotype"/>
          <w:i/>
          <w:color w:val="000000"/>
        </w:rPr>
        <w:t xml:space="preserve"> y sólo podrá ser reservada temporalmente por razones de interés público y seguridad nacional, en los términos que fijen las leyes. En la interpretación de este derecho deberá prevalecer el principio de máxima publicidad. </w:t>
      </w:r>
      <w:r>
        <w:rPr>
          <w:rFonts w:ascii="Palatino Linotype" w:eastAsia="Palatino Linotype" w:hAnsi="Palatino Linotype" w:cs="Palatino Linotype"/>
          <w:b/>
          <w:i/>
          <w:color w:val="000000"/>
        </w:rPr>
        <w:t>Los sujetos obligados deberán documentar todo acto que derive del ejercicio de sus facultades, competencias o funciones</w:t>
      </w:r>
      <w:r>
        <w:rPr>
          <w:rFonts w:ascii="Palatino Linotype" w:eastAsia="Palatino Linotype" w:hAnsi="Palatino Linotype" w:cs="Palatino Linotype"/>
          <w:i/>
          <w:color w:val="000000"/>
        </w:rPr>
        <w:t>, la ley determinará los supuestos específicos bajo los cuales procederá la declaración de inexistencia de la información.</w:t>
      </w:r>
    </w:p>
    <w:p w14:paraId="4D65EF0A"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La información que se refiere a la vida privada y los datos personales será protegida en los términos y con las excepciones que fijen las leyes.</w:t>
      </w:r>
    </w:p>
    <w:p w14:paraId="5A902A39"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67B0B382"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IV.   Se establecerán mecanismos de acceso a la información y procedimientos de revisión expeditos que se sustanciarán ante los organismos autónomos especializados e imparciales que establece esta Constitución.</w:t>
      </w:r>
    </w:p>
    <w:p w14:paraId="00E36429"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V. Los sujetos obligados deberán preservar sus documentos en archivos administrativos actualizados y publicarán, a través de los medios electrónicos disponibles</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la información completa y actualizada sobre el ejercicio de los recursos públicos </w:t>
      </w:r>
      <w:r>
        <w:rPr>
          <w:rFonts w:ascii="Palatino Linotype" w:eastAsia="Palatino Linotype" w:hAnsi="Palatino Linotype" w:cs="Palatino Linotype"/>
          <w:i/>
          <w:color w:val="000000"/>
        </w:rPr>
        <w:t>y los indicadores que permitan rendir cuenta del cumplimiento de sus objetivos y de los resultados obtenidos.</w:t>
      </w:r>
    </w:p>
    <w:p w14:paraId="2E863BE2"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 Las leyes determinarán la manera en que los sujetos obligados deberán hacer pública la información relativa a los recursos públicos que entreguen a personas físicas o morales.</w:t>
      </w:r>
    </w:p>
    <w:p w14:paraId="6EB40F69"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VII. La inobservancia a las disposiciones en materia de acceso a la información pública será sancionada en los términos que dispongan las leyes.</w:t>
      </w:r>
    </w:p>
    <w:p w14:paraId="0CC03156"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431679D"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p>
    <w:p w14:paraId="3660D4CB" w14:textId="77777777" w:rsidR="008018CA" w:rsidRDefault="008A6E6C">
      <w:pPr>
        <w:pBdr>
          <w:top w:val="nil"/>
          <w:left w:val="nil"/>
          <w:bottom w:val="nil"/>
          <w:right w:val="nil"/>
          <w:between w:val="nil"/>
        </w:pBdr>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ley establecerá aquella información que se considere reservada o confidencial.” (Sic)</w:t>
      </w:r>
    </w:p>
    <w:p w14:paraId="3BD032A8" w14:textId="77777777" w:rsidR="008018CA" w:rsidRDefault="008018CA">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p>
    <w:p w14:paraId="3D3438BD"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Por su parte, la Constitución Política del Estado Libre y Soberano de México, en su artículo 5°, dispone en su parte conducente, lo siguiente:</w:t>
      </w:r>
    </w:p>
    <w:p w14:paraId="17717F1B" w14:textId="77777777" w:rsidR="008018CA" w:rsidRDefault="008018C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825FD7B"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“Artículo 5</w:t>
      </w:r>
      <w:r>
        <w:rPr>
          <w:rFonts w:ascii="Palatino Linotype" w:eastAsia="Palatino Linotype" w:hAnsi="Palatino Linotype" w:cs="Palatino Linotype"/>
          <w:i/>
          <w:color w:val="000000"/>
        </w:rPr>
        <w:t xml:space="preserve">. … </w:t>
      </w:r>
    </w:p>
    <w:p w14:paraId="647A4D3F"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El derecho a la información será garantizado por el Estado. La ley establecerá las previsiones que permitan asegurar la protección, el respeto y la difusión de este derecho. </w:t>
      </w:r>
    </w:p>
    <w:p w14:paraId="42F24393" w14:textId="77777777" w:rsidR="008018CA" w:rsidRDefault="008018CA">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p>
    <w:p w14:paraId="63174880"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F453823" w14:textId="77777777" w:rsidR="008018CA" w:rsidRDefault="008018CA">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p>
    <w:p w14:paraId="6D873DD3"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Este derecho se regirá por los principios y bases siguientes:</w:t>
      </w:r>
    </w:p>
    <w:p w14:paraId="785BC0CF" w14:textId="77777777" w:rsidR="008018CA" w:rsidRDefault="008018CA">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p>
    <w:p w14:paraId="7300BA76"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DFE250B"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La información referente a la intimidad de la vida privada y la imagen de las personas será protegida a través de un marco jurídico rígido de tratamiento y manejo de datos personales, con las excepciones que establezca la ley reglamentaria.</w:t>
      </w:r>
    </w:p>
    <w:p w14:paraId="19E011A8"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Toda persona, sin necesidad de acreditar interés alguno o justificar su utilización, tendrá acceso gratuito a la información pública, a sus datos personales o a la rectificación de éstos.</w:t>
      </w:r>
    </w:p>
    <w:p w14:paraId="44121AD8"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IV. Se establecerán mecanismos de acceso a la información y procedimientos de revisión expeditos que se sustanciarán ante el organismo autónomo especializado e imparcial que establece esta Constitución.</w:t>
      </w:r>
    </w:p>
    <w:p w14:paraId="059CAEE2"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V. Los procedimientos de acceso a la información pública, de acceso, corrección y supresión de datos personales, así como los recursos de revisión derivados de los mismos, podrán tramitarse por medios electrónicos, a través </w:t>
      </w:r>
      <w:r>
        <w:rPr>
          <w:rFonts w:ascii="Palatino Linotype" w:eastAsia="Palatino Linotype" w:hAnsi="Palatino Linotype" w:cs="Palatino Linotype"/>
          <w:i/>
          <w:color w:val="000000"/>
        </w:rPr>
        <w:lastRenderedPageBreak/>
        <w:t>de un sistema automatizado que para tal efecto establezca la ley reglamentaria y el organismo autónomo garante en el ámbito de su competencia. Las resoluciones que correspondan a estos procedimientos se sistematizarán para favorecer su consulta.</w:t>
      </w:r>
    </w:p>
    <w:p w14:paraId="66EDC27B"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4A4AD33B" w14:textId="77777777" w:rsidR="008018CA" w:rsidRDefault="008A6E6C">
      <w:pPr>
        <w:pBdr>
          <w:top w:val="nil"/>
          <w:left w:val="nil"/>
          <w:bottom w:val="nil"/>
          <w:right w:val="nil"/>
          <w:between w:val="nil"/>
        </w:pBdr>
        <w:tabs>
          <w:tab w:val="left" w:pos="8222"/>
        </w:tabs>
        <w:ind w:left="851" w:right="99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VII. La ley reglamentaria, determinará la manera en que los sujetos obligados deberán hacer pública la información relativa a los recursos públicos que entreguen a personas físicas o jurídicas colectivas.” (Sic)</w:t>
      </w:r>
    </w:p>
    <w:p w14:paraId="33966383" w14:textId="77777777" w:rsidR="008018CA" w:rsidRDefault="008018C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7473B4"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En ese orden de ideas, la Ley de Transparencia y Acceso a la Información Pública del Estado de México y Municipios, prevé en su artículo 23, fracción IV, lo siguiente:</w:t>
      </w:r>
    </w:p>
    <w:p w14:paraId="2D879570" w14:textId="77777777" w:rsidR="008018CA" w:rsidRDefault="008018CA">
      <w:pPr>
        <w:spacing w:line="360" w:lineRule="auto"/>
        <w:ind w:left="851"/>
        <w:jc w:val="both"/>
        <w:rPr>
          <w:rFonts w:ascii="Palatino Linotype" w:eastAsia="Palatino Linotype" w:hAnsi="Palatino Linotype" w:cs="Palatino Linotype"/>
        </w:rPr>
      </w:pPr>
    </w:p>
    <w:p w14:paraId="457CA362"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“Artículo 23.</w:t>
      </w:r>
      <w:r>
        <w:rPr>
          <w:rFonts w:ascii="Palatino Linotype" w:eastAsia="Palatino Linotype" w:hAnsi="Palatino Linotype" w:cs="Palatino Linotype"/>
          <w:i/>
        </w:rPr>
        <w:t xml:space="preserve"> Son sujetos obligados a transparentar y permitir el acceso a su información y proteger los datos personales que obren en su poder:</w:t>
      </w:r>
    </w:p>
    <w:p w14:paraId="5994BB32"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9DE49C7"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IV. </w:t>
      </w:r>
      <w:r>
        <w:rPr>
          <w:rFonts w:ascii="Palatino Linotype" w:eastAsia="Palatino Linotype" w:hAnsi="Palatino Linotype" w:cs="Palatino Linotype"/>
          <w:b/>
          <w:i/>
          <w:u w:val="single"/>
        </w:rPr>
        <w:t>Los ayuntamientos y las dependencias</w:t>
      </w:r>
      <w:r>
        <w:rPr>
          <w:rFonts w:ascii="Palatino Linotype" w:eastAsia="Palatino Linotype" w:hAnsi="Palatino Linotype" w:cs="Palatino Linotype"/>
          <w:i/>
        </w:rPr>
        <w:t xml:space="preserve">, organismos, órganos y entidades de la administración </w:t>
      </w:r>
      <w:proofErr w:type="gramStart"/>
      <w:r>
        <w:rPr>
          <w:rFonts w:ascii="Palatino Linotype" w:eastAsia="Palatino Linotype" w:hAnsi="Palatino Linotype" w:cs="Palatino Linotype"/>
          <w:i/>
        </w:rPr>
        <w:t>municipal;…</w:t>
      </w:r>
      <w:proofErr w:type="gramEnd"/>
      <w:r>
        <w:rPr>
          <w:rFonts w:ascii="Palatino Linotype" w:eastAsia="Palatino Linotype" w:hAnsi="Palatino Linotype" w:cs="Palatino Linotype"/>
          <w:i/>
        </w:rPr>
        <w:t>” (Sic)</w:t>
      </w:r>
    </w:p>
    <w:p w14:paraId="1FC11E41" w14:textId="77777777" w:rsidR="008018CA" w:rsidRDefault="008018C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4EB2579D"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así </w:t>
      </w:r>
      <w:proofErr w:type="gramStart"/>
      <w:r>
        <w:rPr>
          <w:rFonts w:ascii="Palatino Linotype" w:eastAsia="Palatino Linotype" w:hAnsi="Palatino Linotype" w:cs="Palatino Linotype"/>
          <w:color w:val="000000"/>
        </w:rPr>
        <w:t>que</w:t>
      </w:r>
      <w:proofErr w:type="gramEnd"/>
      <w:r>
        <w:rPr>
          <w:rFonts w:ascii="Palatino Linotype" w:eastAsia="Palatino Linotype" w:hAnsi="Palatino Linotype" w:cs="Palatino Linotype"/>
          <w:color w:val="000000"/>
        </w:rPr>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AD7FE20" w14:textId="77777777" w:rsidR="008018CA" w:rsidRDefault="008018CA">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p>
    <w:p w14:paraId="3B3CCE2B"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segundo término, se debe resaltar que de la solicitud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únicamente se desprende el requerimiento del acta donde el particular referido en la solicitud de información se acredita como administrador, así como los comprobantes de gastos que acreditan la rendición de cuentas entregadas.</w:t>
      </w:r>
    </w:p>
    <w:p w14:paraId="26BE1878" w14:textId="77777777" w:rsidR="008018CA" w:rsidRDefault="008018CA">
      <w:pPr>
        <w:spacing w:line="360" w:lineRule="auto"/>
        <w:ind w:right="425"/>
        <w:jc w:val="both"/>
        <w:rPr>
          <w:rFonts w:ascii="Palatino Linotype" w:eastAsia="Palatino Linotype" w:hAnsi="Palatino Linotype" w:cs="Palatino Linotype"/>
        </w:rPr>
      </w:pPr>
    </w:p>
    <w:p w14:paraId="65BD8D0E"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Esto debido a que la parte de la solicitud en la que se señaló que “</w:t>
      </w:r>
      <w:r>
        <w:rPr>
          <w:rFonts w:ascii="Palatino Linotype" w:eastAsia="Palatino Linotype" w:hAnsi="Palatino Linotype" w:cs="Palatino Linotype"/>
          <w:i/>
        </w:rPr>
        <w:t>requerimos conocer si es verdad que se procederá a clausurar las cisternas al interior del fraccionamiento y si nos cobraran alguna multa porque no se cuenta con licencia de funcionamiento para los agentes de seguridad que tenemos en la caseta principal de acceso al fraccionamiento</w:t>
      </w:r>
      <w:r>
        <w:rPr>
          <w:rFonts w:ascii="Palatino Linotype" w:eastAsia="Palatino Linotype" w:hAnsi="Palatino Linotype" w:cs="Palatino Linotype"/>
        </w:rPr>
        <w:t xml:space="preserve">”. constituye una suposición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así como cuestionamientos planteados al </w:t>
      </w:r>
      <w:r>
        <w:rPr>
          <w:rFonts w:ascii="Palatino Linotype" w:eastAsia="Palatino Linotype" w:hAnsi="Palatino Linotype" w:cs="Palatino Linotype"/>
          <w:b/>
        </w:rPr>
        <w:t>SUJETO OBLIGADO</w:t>
      </w:r>
      <w:r>
        <w:rPr>
          <w:rFonts w:ascii="Palatino Linotype" w:eastAsia="Palatino Linotype" w:hAnsi="Palatino Linotype" w:cs="Palatino Linotype"/>
        </w:rPr>
        <w:t>. En ese sentido, al consistir en una suposición, se considera que dichas expresiones son manifestaciones subjetivas, por lo que no son materia del derecho de acceso a la información pública pues no pueden colmarse mediante la entrega de documentos previamente generados por los sujetos obligados en ejercicio de sus funciones de derecho público que reflejen un acto de autoridad o bien, en los que se vean implicado el uso de recursos públicos.</w:t>
      </w:r>
    </w:p>
    <w:p w14:paraId="33D94DA5" w14:textId="77777777" w:rsidR="008018CA" w:rsidRDefault="008018CA">
      <w:pPr>
        <w:spacing w:line="360" w:lineRule="auto"/>
        <w:ind w:right="425"/>
        <w:jc w:val="both"/>
        <w:rPr>
          <w:rFonts w:ascii="Palatino Linotype" w:eastAsia="Palatino Linotype" w:hAnsi="Palatino Linotype" w:cs="Palatino Linotype"/>
        </w:rPr>
      </w:pPr>
    </w:p>
    <w:p w14:paraId="32847A93"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Del mismo modo, es toral establecer que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Pr>
          <w:rFonts w:ascii="Palatino Linotype" w:eastAsia="Palatino Linotype" w:hAnsi="Palatino Linotype" w:cs="Palatino Linotype"/>
          <w:color w:val="000000"/>
        </w:rPr>
        <w:t>Villanueva</w:t>
      </w:r>
      <w:proofErr w:type="spellEnd"/>
      <w:r>
        <w:rPr>
          <w:rFonts w:ascii="Palatino Linotype" w:eastAsia="Palatino Linotype" w:hAnsi="Palatino Linotype" w:cs="Palatino Linotype"/>
          <w:color w:val="000000"/>
        </w:rPr>
        <w:t xml:space="preserve"> quien señala que </w:t>
      </w:r>
      <w:r>
        <w:rPr>
          <w:rFonts w:ascii="Palatino Linotype" w:eastAsia="Palatino Linotype" w:hAnsi="Palatino Linotype" w:cs="Palatino Linotype"/>
          <w:i/>
          <w:color w:val="000000"/>
        </w:rPr>
        <w:t xml:space="preserve">“la prerrogativa de la persona para acceder a datos, registros y todo tipo de informaciones en poder de entidades públicas y empresas privadas que ejercen gasto público </w:t>
      </w:r>
      <w:r>
        <w:rPr>
          <w:rFonts w:ascii="Palatino Linotype" w:eastAsia="Palatino Linotype" w:hAnsi="Palatino Linotype" w:cs="Palatino Linotype"/>
          <w:i/>
          <w:color w:val="000000"/>
        </w:rPr>
        <w:lastRenderedPageBreak/>
        <w:t>o cumplen funciones de autoridad, con las excepciones taxativas que establezca la ley en una sociedad democrática.</w:t>
      </w:r>
      <w:r>
        <w:rPr>
          <w:rFonts w:ascii="Palatino Linotype" w:eastAsia="Palatino Linotype" w:hAnsi="Palatino Linotype" w:cs="Palatino Linotype"/>
          <w:i/>
          <w:color w:val="000000"/>
          <w:vertAlign w:val="superscript"/>
        </w:rPr>
        <w:footnoteReference w:id="1"/>
      </w:r>
      <w:r>
        <w:rPr>
          <w:rFonts w:ascii="Palatino Linotype" w:eastAsia="Palatino Linotype" w:hAnsi="Palatino Linotype" w:cs="Palatino Linotype"/>
          <w:i/>
          <w:color w:val="000000"/>
        </w:rPr>
        <w:t>” (Sic)</w:t>
      </w:r>
    </w:p>
    <w:p w14:paraId="1F5F25C2" w14:textId="77777777" w:rsidR="008018CA" w:rsidRDefault="008018CA">
      <w:pPr>
        <w:pBdr>
          <w:top w:val="nil"/>
          <w:left w:val="nil"/>
          <w:bottom w:val="nil"/>
          <w:right w:val="nil"/>
          <w:between w:val="nil"/>
        </w:pBdr>
        <w:spacing w:line="360" w:lineRule="auto"/>
        <w:ind w:right="425"/>
        <w:jc w:val="both"/>
        <w:rPr>
          <w:rFonts w:ascii="Palatino Linotype" w:eastAsia="Palatino Linotype" w:hAnsi="Palatino Linotype" w:cs="Palatino Linotype"/>
          <w:i/>
          <w:color w:val="000000"/>
        </w:rPr>
      </w:pPr>
    </w:p>
    <w:p w14:paraId="20383A7A"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28281A3C" w14:textId="77777777" w:rsidR="008018CA" w:rsidRDefault="008018CA">
      <w:pPr>
        <w:spacing w:line="360" w:lineRule="auto"/>
        <w:jc w:val="both"/>
        <w:rPr>
          <w:rFonts w:ascii="Palatino Linotype" w:eastAsia="Palatino Linotype" w:hAnsi="Palatino Linotype" w:cs="Palatino Linotype"/>
        </w:rPr>
      </w:pPr>
    </w:p>
    <w:p w14:paraId="25834751"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TEMÁTICA DE LOS ARTÍCULOS 2, FRACCIÓN V, XV, Y XVI, 32, 4,11 Y 41.</w:t>
      </w:r>
      <w:r>
        <w:rPr>
          <w:rFonts w:ascii="Palatino Linotype" w:eastAsia="Palatino Linotype" w:hAnsi="Palatino Linotype" w:cs="Palatino Linotype"/>
          <w:i/>
        </w:rPr>
        <w:t xml:space="preserve"> De conformidad con los artículos antes referidos, el derecho de acceso a la información </w:t>
      </w:r>
      <w:proofErr w:type="gramStart"/>
      <w:r>
        <w:rPr>
          <w:rFonts w:ascii="Palatino Linotype" w:eastAsia="Palatino Linotype" w:hAnsi="Palatino Linotype" w:cs="Palatino Linotype"/>
          <w:i/>
        </w:rPr>
        <w:t>pública,</w:t>
      </w:r>
      <w:proofErr w:type="gramEnd"/>
      <w:r>
        <w:rPr>
          <w:rFonts w:ascii="Palatino Linotype" w:eastAsia="Palatino Linotype" w:hAnsi="Palatino Linotype" w:cs="Palatino Linotype"/>
          <w:i/>
        </w:rPr>
        <w:t xml:space="preserve">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853A7E6"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En </w:t>
      </w:r>
      <w:proofErr w:type="gramStart"/>
      <w:r>
        <w:rPr>
          <w:rFonts w:ascii="Palatino Linotype" w:eastAsia="Palatino Linotype" w:hAnsi="Palatino Linotype" w:cs="Palatino Linotype"/>
          <w:i/>
        </w:rPr>
        <w:t>consecuencia</w:t>
      </w:r>
      <w:proofErr w:type="gramEnd"/>
      <w:r>
        <w:rPr>
          <w:rFonts w:ascii="Palatino Linotype" w:eastAsia="Palatino Linotype" w:hAnsi="Palatino Linotype" w:cs="Palatino Linotype"/>
          <w:i/>
        </w:rPr>
        <w:t xml:space="preserve"> el acceso a la información se refiere a que se cumplan cualquiera de los siguientes tres supuestos:</w:t>
      </w:r>
    </w:p>
    <w:p w14:paraId="7C5CE23E"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generada por los Sujetos Obligados;</w:t>
      </w:r>
    </w:p>
    <w:p w14:paraId="12604D80"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sea administrada por los Sujetos Obligados, y</w:t>
      </w:r>
    </w:p>
    <w:p w14:paraId="1389ED69"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Que se trate de información registrada en cualquier soporte documental, </w:t>
      </w:r>
      <w:proofErr w:type="gramStart"/>
      <w:r>
        <w:rPr>
          <w:rFonts w:ascii="Palatino Linotype" w:eastAsia="Palatino Linotype" w:hAnsi="Palatino Linotype" w:cs="Palatino Linotype"/>
          <w:i/>
        </w:rPr>
        <w:t>que</w:t>
      </w:r>
      <w:proofErr w:type="gramEnd"/>
      <w:r>
        <w:rPr>
          <w:rFonts w:ascii="Palatino Linotype" w:eastAsia="Palatino Linotype" w:hAnsi="Palatino Linotype" w:cs="Palatino Linotype"/>
          <w:i/>
        </w:rPr>
        <w:t xml:space="preserve"> en ejercicio de las atribuciones conferidas, se encuentre en posesión de los Sujetos Obligados.</w:t>
      </w:r>
    </w:p>
    <w:p w14:paraId="2D659AAE" w14:textId="77777777" w:rsidR="008018CA" w:rsidRDefault="008018CA">
      <w:pPr>
        <w:spacing w:line="360" w:lineRule="auto"/>
        <w:jc w:val="both"/>
        <w:rPr>
          <w:rFonts w:ascii="Palatino Linotype" w:eastAsia="Palatino Linotype" w:hAnsi="Palatino Linotype" w:cs="Palatino Linotype"/>
        </w:rPr>
      </w:pPr>
    </w:p>
    <w:p w14:paraId="2DEBCE44" w14:textId="77777777" w:rsidR="008018CA" w:rsidRDefault="008A6E6C">
      <w:pPr>
        <w:tabs>
          <w:tab w:val="left" w:pos="8789"/>
        </w:tabs>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En ese orden de ideas, respecto a la solicitud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sobre el acta donde el particular referido en la solicitud de información se acredita como administrador, así como los comprobantes de gastos que acreditan la rendición de cuentas entregadas, respecto del Fraccionamiento Real de San Fernando en Cuautitlán, es necesario hacer referencia a lo establecido en la Ley que Regula el Régimen de Propiedad en Condominio en el Estado de México, que en sus artículos 1, 2 fracción VIII, 29 fracción I, 30, 46, 50, 51, 57 y 58, en los que se dispone lo siguiente:</w:t>
      </w:r>
    </w:p>
    <w:p w14:paraId="4A54E45D" w14:textId="77777777" w:rsidR="008018CA" w:rsidRDefault="008018CA">
      <w:pPr>
        <w:spacing w:line="360" w:lineRule="auto"/>
        <w:jc w:val="both"/>
        <w:rPr>
          <w:rFonts w:ascii="Palatino Linotype" w:eastAsia="Palatino Linotype" w:hAnsi="Palatino Linotype" w:cs="Palatino Linotype"/>
        </w:rPr>
      </w:pPr>
    </w:p>
    <w:p w14:paraId="35C99F93"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 </w:t>
      </w:r>
      <w:r>
        <w:rPr>
          <w:rFonts w:ascii="Palatino Linotype" w:eastAsia="Palatino Linotype" w:hAnsi="Palatino Linotype" w:cs="Palatino Linotype"/>
          <w:i/>
        </w:rPr>
        <w:t>La presente Ley es de interés público y tiene por objeto establecer las bases para regular la constitución, organización, funcionamiento, modificación, administración y extinción del régimen de propiedad en condominio, así como su convivencia social y solución de controversias entre condóminos y residentes, y entre éstos y su administrador o Comité de Administración.</w:t>
      </w:r>
    </w:p>
    <w:p w14:paraId="12FB9170" w14:textId="77777777" w:rsidR="008018CA" w:rsidRDefault="008018CA">
      <w:pPr>
        <w:ind w:left="567" w:right="616"/>
        <w:jc w:val="both"/>
        <w:rPr>
          <w:rFonts w:ascii="Palatino Linotype" w:eastAsia="Palatino Linotype" w:hAnsi="Palatino Linotype" w:cs="Palatino Linotype"/>
          <w:i/>
        </w:rPr>
      </w:pPr>
    </w:p>
    <w:p w14:paraId="580730A8" w14:textId="77777777" w:rsidR="008018CA" w:rsidRDefault="008A6E6C">
      <w:pPr>
        <w:ind w:left="851" w:right="616"/>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 </w:t>
      </w:r>
      <w:r>
        <w:rPr>
          <w:rFonts w:ascii="Palatino Linotype" w:eastAsia="Palatino Linotype" w:hAnsi="Palatino Linotype" w:cs="Palatino Linotype"/>
          <w:i/>
        </w:rPr>
        <w:t xml:space="preserve">Para efectos de </w:t>
      </w:r>
      <w:proofErr w:type="gramStart"/>
      <w:r>
        <w:rPr>
          <w:rFonts w:ascii="Palatino Linotype" w:eastAsia="Palatino Linotype" w:hAnsi="Palatino Linotype" w:cs="Palatino Linotype"/>
          <w:i/>
        </w:rPr>
        <w:t>ésta</w:t>
      </w:r>
      <w:proofErr w:type="gramEnd"/>
      <w:r>
        <w:rPr>
          <w:rFonts w:ascii="Palatino Linotype" w:eastAsia="Palatino Linotype" w:hAnsi="Palatino Linotype" w:cs="Palatino Linotype"/>
          <w:i/>
        </w:rPr>
        <w:t xml:space="preserve"> ley se entiende por:</w:t>
      </w:r>
    </w:p>
    <w:p w14:paraId="26E27500" w14:textId="77777777" w:rsidR="008018CA" w:rsidRDefault="008A6E6C">
      <w:pPr>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8AF3DEA"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VIII. </w:t>
      </w:r>
      <w:r>
        <w:rPr>
          <w:rFonts w:ascii="Palatino Linotype" w:eastAsia="Palatino Linotype" w:hAnsi="Palatino Linotype" w:cs="Palatino Linotype"/>
          <w:i/>
        </w:rPr>
        <w:t>Asamblea: órgano máximo de decisión de un condominio, integrado por la mayoría de los condóminos, en el que se resolverán los asuntos de interés común, respecto al condominio;</w:t>
      </w:r>
    </w:p>
    <w:p w14:paraId="55E72DB2"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0D0F0E4"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29.- </w:t>
      </w:r>
      <w:r>
        <w:rPr>
          <w:rFonts w:ascii="Palatino Linotype" w:eastAsia="Palatino Linotype" w:hAnsi="Palatino Linotype" w:cs="Palatino Linotype"/>
          <w:i/>
        </w:rPr>
        <w:t>Serán facultades de la asamblea, sin menoscabo de las demás que le otorgue el reglamento interior del condominio las siguientes:</w:t>
      </w:r>
    </w:p>
    <w:p w14:paraId="0AB60B89" w14:textId="77777777" w:rsidR="008018CA" w:rsidRDefault="008018CA">
      <w:pPr>
        <w:ind w:left="851" w:right="992"/>
        <w:jc w:val="both"/>
        <w:rPr>
          <w:rFonts w:ascii="Palatino Linotype" w:eastAsia="Palatino Linotype" w:hAnsi="Palatino Linotype" w:cs="Palatino Linotype"/>
          <w:i/>
        </w:rPr>
      </w:pPr>
    </w:p>
    <w:p w14:paraId="04E53CCC" w14:textId="77777777" w:rsidR="008018CA" w:rsidRDefault="008A6E6C">
      <w:pPr>
        <w:ind w:left="851" w:right="992"/>
        <w:jc w:val="both"/>
        <w:rPr>
          <w:rFonts w:ascii="Palatino Linotype" w:eastAsia="Palatino Linotype" w:hAnsi="Palatino Linotype" w:cs="Palatino Linotype"/>
        </w:rPr>
      </w:pPr>
      <w:r>
        <w:rPr>
          <w:rFonts w:ascii="Palatino Linotype" w:eastAsia="Palatino Linotype" w:hAnsi="Palatino Linotype" w:cs="Palatino Linotype"/>
          <w:b/>
          <w:i/>
        </w:rPr>
        <w:t xml:space="preserve">I. </w:t>
      </w:r>
      <w:r>
        <w:rPr>
          <w:rFonts w:ascii="Palatino Linotype" w:eastAsia="Palatino Linotype" w:hAnsi="Palatino Linotype" w:cs="Palatino Linotype"/>
          <w:b/>
          <w:i/>
          <w:u w:val="single"/>
        </w:rPr>
        <w:t>Nombrar y remover al administrador o al comité de administración en los términos del reglamento interior del condominio</w:t>
      </w:r>
      <w:r>
        <w:rPr>
          <w:rFonts w:ascii="Palatino Linotype" w:eastAsia="Palatino Linotype" w:hAnsi="Palatino Linotype" w:cs="Palatino Linotype"/>
          <w:b/>
          <w:i/>
        </w:rPr>
        <w:t xml:space="preserve">, </w:t>
      </w:r>
      <w:r>
        <w:rPr>
          <w:rFonts w:ascii="Palatino Linotype" w:eastAsia="Palatino Linotype" w:hAnsi="Palatino Linotype" w:cs="Palatino Linotype"/>
        </w:rPr>
        <w:t>excepto al que funja el primer año, que será designado por quienes otorguen la escritura constitutiva del condominio;</w:t>
      </w:r>
    </w:p>
    <w:p w14:paraId="695A1029"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3F2ADB9F" w14:textId="77777777" w:rsidR="008018CA" w:rsidRDefault="008018CA">
      <w:pPr>
        <w:ind w:left="851" w:right="992"/>
        <w:jc w:val="both"/>
        <w:rPr>
          <w:rFonts w:ascii="Palatino Linotype" w:eastAsia="Palatino Linotype" w:hAnsi="Palatino Linotype" w:cs="Palatino Linotype"/>
          <w:i/>
        </w:rPr>
      </w:pPr>
    </w:p>
    <w:p w14:paraId="6A383DB9"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Artículo 30.-</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condominios serán administrados por un Comité de Administración o por un administrador que designará la Asamblea General</w:t>
      </w:r>
      <w:r>
        <w:rPr>
          <w:rFonts w:ascii="Palatino Linotype" w:eastAsia="Palatino Linotype" w:hAnsi="Palatino Linotype" w:cs="Palatino Linotype"/>
          <w:i/>
        </w:rPr>
        <w:t>, por el tiempo que ésta determine, salvo cuando la designación recaiga en un condómino, en cuyo caso durará en el cargo de uno a tres años, según lo disponga la asamblea.</w:t>
      </w:r>
    </w:p>
    <w:p w14:paraId="0AA4CFAE" w14:textId="77777777" w:rsidR="008018CA" w:rsidRDefault="008018CA">
      <w:pPr>
        <w:ind w:left="851" w:right="992"/>
        <w:jc w:val="both"/>
        <w:rPr>
          <w:rFonts w:ascii="Palatino Linotype" w:eastAsia="Palatino Linotype" w:hAnsi="Palatino Linotype" w:cs="Palatino Linotype"/>
          <w:i/>
        </w:rPr>
      </w:pPr>
    </w:p>
    <w:p w14:paraId="6FC00825"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En el caso de que se opte por un administrador, éste podrá ser o no alguno de los condóminos. Si lo es, quedará exceptuado por acuerdo de la asamblea de otorgar la garantía a que se refiere la fracción III del artículo anterior. Si la administración recae en un comité, éste tomará sus resoluciones por acuerdo de por lo menos las dos terceras partes de sus miembros, en caso de desacuerdo, someterá el asunto a la asamblea. El comité </w:t>
      </w:r>
      <w:proofErr w:type="gramStart"/>
      <w:r>
        <w:rPr>
          <w:rFonts w:ascii="Palatino Linotype" w:eastAsia="Palatino Linotype" w:hAnsi="Palatino Linotype" w:cs="Palatino Linotype"/>
          <w:i/>
        </w:rPr>
        <w:t>designara</w:t>
      </w:r>
      <w:proofErr w:type="gramEnd"/>
      <w:r>
        <w:rPr>
          <w:rFonts w:ascii="Palatino Linotype" w:eastAsia="Palatino Linotype" w:hAnsi="Palatino Linotype" w:cs="Palatino Linotype"/>
          <w:i/>
        </w:rPr>
        <w:t xml:space="preserve"> a la persona a cuyo cargo estará la ejecución material de los actos de administración.</w:t>
      </w:r>
    </w:p>
    <w:p w14:paraId="35056DA7" w14:textId="77777777" w:rsidR="008018CA" w:rsidRDefault="008018CA">
      <w:pPr>
        <w:ind w:left="851" w:right="992"/>
        <w:jc w:val="both"/>
        <w:rPr>
          <w:rFonts w:ascii="Palatino Linotype" w:eastAsia="Palatino Linotype" w:hAnsi="Palatino Linotype" w:cs="Palatino Linotype"/>
          <w:i/>
        </w:rPr>
      </w:pPr>
    </w:p>
    <w:p w14:paraId="2C4C5D09"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Cuando el condominio esté constituido por sesenta o más unidades de propiedad exclusiva, se podrá elegir por lote o por manzana un comité de administración o administrador quien establecerá las cuotas o aportaciones con base al valor comercial del inmueble tomado al día de la determinación y no podrán éstas exceder del 1% del valor </w:t>
      </w:r>
      <w:proofErr w:type="gramStart"/>
      <w:r>
        <w:rPr>
          <w:rFonts w:ascii="Palatino Linotype" w:eastAsia="Palatino Linotype" w:hAnsi="Palatino Linotype" w:cs="Palatino Linotype"/>
          <w:i/>
        </w:rPr>
        <w:t>del mismo</w:t>
      </w:r>
      <w:proofErr w:type="gramEnd"/>
      <w:r>
        <w:rPr>
          <w:rFonts w:ascii="Palatino Linotype" w:eastAsia="Palatino Linotype" w:hAnsi="Palatino Linotype" w:cs="Palatino Linotype"/>
          <w:i/>
        </w:rPr>
        <w:t>.</w:t>
      </w:r>
    </w:p>
    <w:p w14:paraId="0899F30C" w14:textId="77777777" w:rsidR="008018CA" w:rsidRDefault="008018CA">
      <w:pPr>
        <w:ind w:left="851" w:right="992"/>
        <w:jc w:val="both"/>
        <w:rPr>
          <w:rFonts w:ascii="Palatino Linotype" w:eastAsia="Palatino Linotype" w:hAnsi="Palatino Linotype" w:cs="Palatino Linotype"/>
          <w:i/>
        </w:rPr>
      </w:pPr>
    </w:p>
    <w:p w14:paraId="150DBF7F"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Cuando el pago de las cuotas o aportaciones se divida en mensualidades éstas habrán de cubrirse por adelantado. El monto de los fondos se integrará en proporción al valor de cada unidad de propiedad exclusiva, según lo establecido en la escritura constitutiva.</w:t>
      </w:r>
    </w:p>
    <w:p w14:paraId="4B781E16" w14:textId="77777777" w:rsidR="008018CA" w:rsidRDefault="008018CA">
      <w:pPr>
        <w:ind w:left="851" w:right="992"/>
        <w:jc w:val="both"/>
        <w:rPr>
          <w:rFonts w:ascii="Palatino Linotype" w:eastAsia="Palatino Linotype" w:hAnsi="Palatino Linotype" w:cs="Palatino Linotype"/>
          <w:i/>
        </w:rPr>
      </w:pPr>
    </w:p>
    <w:p w14:paraId="5A271F9C"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 xml:space="preserve">Las primeras aportaciones para la constitución de ambos </w:t>
      </w:r>
      <w:proofErr w:type="gramStart"/>
      <w:r>
        <w:rPr>
          <w:rFonts w:ascii="Palatino Linotype" w:eastAsia="Palatino Linotype" w:hAnsi="Palatino Linotype" w:cs="Palatino Linotype"/>
          <w:i/>
        </w:rPr>
        <w:t>fondos,</w:t>
      </w:r>
      <w:proofErr w:type="gramEnd"/>
      <w:r>
        <w:rPr>
          <w:rFonts w:ascii="Palatino Linotype" w:eastAsia="Palatino Linotype" w:hAnsi="Palatino Linotype" w:cs="Palatino Linotype"/>
          <w:i/>
        </w:rPr>
        <w:t xml:space="preserve"> serán determinadas en la escritura constitutiva del condominio. El fondo de reserva en tanto no se use deberá invertirse en valores de renta fija redimibles a la vista. El fondo destinado al mantenimiento y administración será bastante para contar anticipadamente con el numerario que cubra los gastos de tres meses.</w:t>
      </w:r>
    </w:p>
    <w:p w14:paraId="29F499E9" w14:textId="77777777" w:rsidR="008018CA" w:rsidRDefault="008018CA">
      <w:pPr>
        <w:ind w:left="851" w:right="992"/>
        <w:jc w:val="both"/>
        <w:rPr>
          <w:rFonts w:ascii="Palatino Linotype" w:eastAsia="Palatino Linotype" w:hAnsi="Palatino Linotype" w:cs="Palatino Linotype"/>
          <w:i/>
        </w:rPr>
      </w:pPr>
    </w:p>
    <w:p w14:paraId="27C14B40"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Las decisiones respecto a asuntos de convivencia </w:t>
      </w:r>
      <w:proofErr w:type="gramStart"/>
      <w:r>
        <w:rPr>
          <w:rFonts w:ascii="Palatino Linotype" w:eastAsia="Palatino Linotype" w:hAnsi="Palatino Linotype" w:cs="Palatino Linotype"/>
          <w:i/>
        </w:rPr>
        <w:t>cotidiana,</w:t>
      </w:r>
      <w:proofErr w:type="gramEnd"/>
      <w:r>
        <w:rPr>
          <w:rFonts w:ascii="Palatino Linotype" w:eastAsia="Palatino Linotype" w:hAnsi="Palatino Linotype" w:cs="Palatino Linotype"/>
          <w:i/>
        </w:rPr>
        <w:t xml:space="preserve"> serán facultad de la asamblea, incluyendo las modificaciones a la propiedad condominal, excluyendo los cambios de uso del suelo, de densidad e intensidad de su aprovechamiento y de altura máxima permitida.</w:t>
      </w:r>
    </w:p>
    <w:p w14:paraId="3D70944B" w14:textId="77777777" w:rsidR="008018CA" w:rsidRDefault="008018CA">
      <w:pPr>
        <w:ind w:left="851" w:right="992"/>
        <w:jc w:val="both"/>
        <w:rPr>
          <w:rFonts w:ascii="Palatino Linotype" w:eastAsia="Palatino Linotype" w:hAnsi="Palatino Linotype" w:cs="Palatino Linotype"/>
          <w:i/>
        </w:rPr>
      </w:pPr>
    </w:p>
    <w:p w14:paraId="22F5C402"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Artículo 46.-</w:t>
      </w:r>
      <w:r>
        <w:rPr>
          <w:rFonts w:ascii="Palatino Linotype" w:eastAsia="Palatino Linotype" w:hAnsi="Palatino Linotype" w:cs="Palatino Linotype"/>
          <w:i/>
        </w:rPr>
        <w:t xml:space="preserve"> El Síndico Municipal, será competente para desahogar los procedimientos arbitrales para resolver controversias en materia de propiedad en condominio.</w:t>
      </w:r>
    </w:p>
    <w:p w14:paraId="496D547F" w14:textId="77777777" w:rsidR="008018CA" w:rsidRDefault="008018CA">
      <w:pPr>
        <w:ind w:left="851" w:right="992"/>
        <w:jc w:val="both"/>
        <w:rPr>
          <w:rFonts w:ascii="Palatino Linotype" w:eastAsia="Palatino Linotype" w:hAnsi="Palatino Linotype" w:cs="Palatino Linotype"/>
          <w:i/>
        </w:rPr>
      </w:pPr>
    </w:p>
    <w:p w14:paraId="024F68D4"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50.- </w:t>
      </w:r>
      <w:r>
        <w:rPr>
          <w:rFonts w:ascii="Palatino Linotype" w:eastAsia="Palatino Linotype" w:hAnsi="Palatino Linotype" w:cs="Palatino Linotype"/>
          <w:i/>
        </w:rPr>
        <w:t>Las controversias que se susciten con motivo del incumplimiento de las obligaciones por parte de los condóminos, de los administradores o del Comité de Administración; o por violaciones al Reglamento General del Condominio o al Acta Constitutiva del condominio, serán resueltas a través del procedimiento de arbitraje, en los términos de la presente ley.</w:t>
      </w:r>
    </w:p>
    <w:p w14:paraId="3B753494" w14:textId="77777777" w:rsidR="008018CA" w:rsidRDefault="008018CA">
      <w:pPr>
        <w:ind w:left="851" w:right="992"/>
        <w:jc w:val="both"/>
        <w:rPr>
          <w:rFonts w:ascii="Palatino Linotype" w:eastAsia="Palatino Linotype" w:hAnsi="Palatino Linotype" w:cs="Palatino Linotype"/>
          <w:i/>
        </w:rPr>
      </w:pPr>
    </w:p>
    <w:p w14:paraId="1A6EE803"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Artículo 51.-</w:t>
      </w:r>
      <w:r>
        <w:rPr>
          <w:rFonts w:ascii="Palatino Linotype" w:eastAsia="Palatino Linotype" w:hAnsi="Palatino Linotype" w:cs="Palatino Linotype"/>
          <w:i/>
        </w:rPr>
        <w:t xml:space="preserve"> El procedimiento de arbitraje se substanciará ante el Síndico Municipal, el cual contará con plena libertad y autonomía para emitir sus laudos e imponer las sanciones previstas en la presente ley.</w:t>
      </w:r>
    </w:p>
    <w:p w14:paraId="2BC78831" w14:textId="77777777" w:rsidR="008018CA" w:rsidRDefault="008018CA">
      <w:pPr>
        <w:ind w:left="851" w:right="992"/>
        <w:jc w:val="both"/>
        <w:rPr>
          <w:rFonts w:ascii="Palatino Linotype" w:eastAsia="Palatino Linotype" w:hAnsi="Palatino Linotype" w:cs="Palatino Linotype"/>
          <w:i/>
        </w:rPr>
      </w:pPr>
    </w:p>
    <w:p w14:paraId="20C0961F"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57.- </w:t>
      </w:r>
      <w:r>
        <w:rPr>
          <w:rFonts w:ascii="Palatino Linotype" w:eastAsia="Palatino Linotype" w:hAnsi="Palatino Linotype" w:cs="Palatino Linotype"/>
          <w:i/>
        </w:rPr>
        <w:t>El procedimiento arbitral terminará por:</w:t>
      </w:r>
    </w:p>
    <w:p w14:paraId="174BE055" w14:textId="77777777" w:rsidR="008018CA" w:rsidRDefault="008018CA">
      <w:pPr>
        <w:ind w:left="851" w:right="992"/>
        <w:jc w:val="both"/>
        <w:rPr>
          <w:rFonts w:ascii="Palatino Linotype" w:eastAsia="Palatino Linotype" w:hAnsi="Palatino Linotype" w:cs="Palatino Linotype"/>
          <w:i/>
        </w:rPr>
      </w:pPr>
    </w:p>
    <w:p w14:paraId="54E9D1C7"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 </w:t>
      </w:r>
      <w:r>
        <w:rPr>
          <w:rFonts w:ascii="Palatino Linotype" w:eastAsia="Palatino Linotype" w:hAnsi="Palatino Linotype" w:cs="Palatino Linotype"/>
          <w:i/>
        </w:rPr>
        <w:t>Desistimiento;</w:t>
      </w:r>
    </w:p>
    <w:p w14:paraId="2921A246"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 </w:t>
      </w:r>
      <w:r>
        <w:rPr>
          <w:rFonts w:ascii="Palatino Linotype" w:eastAsia="Palatino Linotype" w:hAnsi="Palatino Linotype" w:cs="Palatino Linotype"/>
          <w:i/>
        </w:rPr>
        <w:t>Laudo que resuelva la controversia;</w:t>
      </w:r>
    </w:p>
    <w:p w14:paraId="0A5B2F40"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 xml:space="preserve">III. </w:t>
      </w:r>
      <w:r>
        <w:rPr>
          <w:rFonts w:ascii="Palatino Linotype" w:eastAsia="Palatino Linotype" w:hAnsi="Palatino Linotype" w:cs="Palatino Linotype"/>
          <w:i/>
        </w:rPr>
        <w:t>Acuerdo de las partes mediante convenio ajustado a la legislación civil vigente, el cual tendrá aparejada ejecución.</w:t>
      </w:r>
    </w:p>
    <w:p w14:paraId="6730593A"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IV.</w:t>
      </w:r>
      <w:r>
        <w:rPr>
          <w:rFonts w:ascii="Palatino Linotype" w:eastAsia="Palatino Linotype" w:hAnsi="Palatino Linotype" w:cs="Palatino Linotype"/>
          <w:i/>
        </w:rPr>
        <w:t xml:space="preserve"> Convenio celebrado vía mediación Judicial, o ante las Mesas Calificadoras y Conciliadoras Municipales.</w:t>
      </w:r>
    </w:p>
    <w:p w14:paraId="44DC0200" w14:textId="77777777" w:rsidR="008018CA" w:rsidRDefault="008018CA">
      <w:pPr>
        <w:ind w:left="851" w:right="992"/>
        <w:jc w:val="both"/>
        <w:rPr>
          <w:rFonts w:ascii="Palatino Linotype" w:eastAsia="Palatino Linotype" w:hAnsi="Palatino Linotype" w:cs="Palatino Linotype"/>
          <w:i/>
        </w:rPr>
      </w:pPr>
    </w:p>
    <w:p w14:paraId="4745A479"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t>Artículo 58.-</w:t>
      </w:r>
      <w:r>
        <w:rPr>
          <w:rFonts w:ascii="Palatino Linotype" w:eastAsia="Palatino Linotype" w:hAnsi="Palatino Linotype" w:cs="Palatino Linotype"/>
          <w:i/>
        </w:rPr>
        <w:t xml:space="preserve"> Terminada la instrucción del procedimiento, la mesa de arbitraje dictará el laudo que resuelva la controversia. En caso de que alguna de las partes o ambas consideren que el laudo no es claro en alguno de sus contenidos, solicitarán a la mesa, dentro de los tres días siguientes de la notificación, se aclare o corrija. La interpretación que emita la mesa de arbitraje formará parte del laudo.” (Sic)</w:t>
      </w:r>
    </w:p>
    <w:p w14:paraId="55C39411" w14:textId="77777777" w:rsidR="008018CA" w:rsidRDefault="008018CA">
      <w:pPr>
        <w:spacing w:line="360" w:lineRule="auto"/>
        <w:jc w:val="both"/>
        <w:rPr>
          <w:rFonts w:ascii="Palatino Linotype" w:eastAsia="Palatino Linotype" w:hAnsi="Palatino Linotype" w:cs="Palatino Linotype"/>
        </w:rPr>
      </w:pPr>
    </w:p>
    <w:p w14:paraId="4B142F69"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Del análisis a los artículos transcritos se desprende que la Ley en cita es de interés público y tiene por objeto establecer las bases para regular la constitución, organización, funcionamiento, modificación, administración y extinción del régimen de propiedad en condominio y de solucionar controversias entre condóminos y residentes, y entre éstos y con su administrador o Comité de Administración; </w:t>
      </w:r>
      <w:r>
        <w:rPr>
          <w:rFonts w:ascii="Palatino Linotype" w:eastAsia="Palatino Linotype" w:hAnsi="Palatino Linotype" w:cs="Palatino Linotype"/>
          <w:b/>
        </w:rPr>
        <w:t>que la Asamblea es el Órgano máximo de decisión de un condominio y entre sus facultades está la de nombrar y remover al Administrador o al Comité de Administración</w:t>
      </w:r>
      <w:r>
        <w:rPr>
          <w:rFonts w:ascii="Palatino Linotype" w:eastAsia="Palatino Linotype" w:hAnsi="Palatino Linotype" w:cs="Palatino Linotype"/>
        </w:rPr>
        <w:t xml:space="preserve">; que los condominios serán administrados por un Comité de Administración o por un Administrador designado por la Asamblea General; </w:t>
      </w:r>
      <w:r>
        <w:rPr>
          <w:rFonts w:ascii="Palatino Linotype" w:eastAsia="Palatino Linotype" w:hAnsi="Palatino Linotype" w:cs="Palatino Linotype"/>
          <w:b/>
        </w:rPr>
        <w:t>que el Síndico Municipal es la autoridad competente para desahogar los procedimientos arbitrales</w:t>
      </w:r>
      <w:r>
        <w:rPr>
          <w:rFonts w:ascii="Palatino Linotype" w:eastAsia="Palatino Linotype" w:hAnsi="Palatino Linotype" w:cs="Palatino Linotype"/>
        </w:rPr>
        <w:t xml:space="preserve"> para resolver controversias en materia de propiedad en condominio; que dichas controversias se resolverán a través del procedimiento de arbitraje y éste se substanciará ante el Síndico Municipal, quien contará con plena libertad y autonomía para emitir sus laudos e imponer sancionas; que dicho procedimiento puede concluir por desistimiento, laudo que resuelva la controversia, acuerdo de las partes o mediante convenio celebrado vía mediación judicial; por último, que una vez terminada la instrucción del procedimiento arbitral se dictará el laudo que resuelva la controversia.</w:t>
      </w:r>
    </w:p>
    <w:p w14:paraId="606BA3D0" w14:textId="77777777" w:rsidR="008018CA" w:rsidRDefault="008018CA">
      <w:pPr>
        <w:spacing w:line="360" w:lineRule="auto"/>
        <w:jc w:val="both"/>
        <w:rPr>
          <w:rFonts w:ascii="Palatino Linotype" w:eastAsia="Palatino Linotype" w:hAnsi="Palatino Linotype" w:cs="Palatino Linotype"/>
        </w:rPr>
      </w:pPr>
    </w:p>
    <w:p w14:paraId="1C784625"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se advierte que </w:t>
      </w:r>
      <w:r>
        <w:rPr>
          <w:rFonts w:ascii="Palatino Linotype" w:eastAsia="Palatino Linotype" w:hAnsi="Palatino Linotype" w:cs="Palatino Linotype"/>
          <w:b/>
        </w:rPr>
        <w:t>los Síndicos municipales no intervienen en la designación de los administradores o Comités de Administración, puesto que esta es una facultad exclusiva de la Asamblea General</w:t>
      </w:r>
      <w:r>
        <w:rPr>
          <w:rFonts w:ascii="Palatino Linotype" w:eastAsia="Palatino Linotype" w:hAnsi="Palatino Linotype" w:cs="Palatino Linotype"/>
        </w:rPr>
        <w:t xml:space="preserve"> como Órgano máximo de decisión en un condominio, y que la participación de dichas autoridades se limita </w:t>
      </w:r>
      <w:r>
        <w:rPr>
          <w:rFonts w:ascii="Palatino Linotype" w:eastAsia="Palatino Linotype" w:hAnsi="Palatino Linotype" w:cs="Palatino Linotype"/>
        </w:rPr>
        <w:lastRenderedPageBreak/>
        <w:t>al desahogo de procedimientos arbitrales en los que dictará laudos con plena libertad y autonomía, dando por terminado así el procedimiento arbitral; o bien si existe un desistimiento, acuerdo o convenio celebrado.</w:t>
      </w:r>
    </w:p>
    <w:p w14:paraId="4D27BC47" w14:textId="77777777" w:rsidR="008018CA" w:rsidRDefault="008018CA">
      <w:pPr>
        <w:spacing w:line="360" w:lineRule="auto"/>
        <w:ind w:right="425"/>
        <w:jc w:val="both"/>
        <w:rPr>
          <w:rFonts w:ascii="Palatino Linotype" w:eastAsia="Palatino Linotype" w:hAnsi="Palatino Linotype" w:cs="Palatino Linotype"/>
        </w:rPr>
      </w:pPr>
    </w:p>
    <w:p w14:paraId="086ECA89"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Así, dado que la solicitud consiste en requerir el acta donde el particular referido en la solicitud de información se acredita como administrador, así como los comprobantes de gastos que acreditan la rendición de cuentas entregadas, </w:t>
      </w:r>
      <w:r>
        <w:rPr>
          <w:rFonts w:ascii="Palatino Linotype" w:eastAsia="Palatino Linotype" w:hAnsi="Palatino Linotype" w:cs="Palatino Linotype"/>
          <w:b/>
        </w:rPr>
        <w:t>es evidente que dicha autoridad está imposibilitada para hacer entrega de dicho documento, toda vez que no se encuentra entre sus facultades generar el documento solicitado</w:t>
      </w:r>
      <w:r>
        <w:rPr>
          <w:rFonts w:ascii="Palatino Linotype" w:eastAsia="Palatino Linotype" w:hAnsi="Palatino Linotype" w:cs="Palatino Linotype"/>
        </w:rPr>
        <w:t xml:space="preserve">, pues esta es una atribución de la Asamblea General del fraccionamiento.  </w:t>
      </w:r>
    </w:p>
    <w:p w14:paraId="1D5C9BF9" w14:textId="77777777" w:rsidR="008018CA" w:rsidRDefault="008018CA">
      <w:pPr>
        <w:spacing w:line="360" w:lineRule="auto"/>
        <w:ind w:right="425"/>
        <w:jc w:val="both"/>
        <w:rPr>
          <w:rFonts w:ascii="Palatino Linotype" w:eastAsia="Palatino Linotype" w:hAnsi="Palatino Linotype" w:cs="Palatino Linotype"/>
        </w:rPr>
      </w:pPr>
    </w:p>
    <w:p w14:paraId="04D86DC3" w14:textId="4A262B28"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se debe resaltar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que se iniciaron </w:t>
      </w:r>
      <w:r w:rsidR="001D0436">
        <w:rPr>
          <w:rFonts w:ascii="Palatino Linotype" w:eastAsia="Palatino Linotype" w:hAnsi="Palatino Linotype" w:cs="Palatino Linotype"/>
        </w:rPr>
        <w:t xml:space="preserve">dos </w:t>
      </w:r>
      <w:r>
        <w:rPr>
          <w:rFonts w:ascii="Palatino Linotype" w:eastAsia="Palatino Linotype" w:hAnsi="Palatino Linotype" w:cs="Palatino Linotype"/>
        </w:rPr>
        <w:t xml:space="preserve">procedimientos de juicios arbitrales, los cuales ingresaron los días veintiocho de julio y tres de septiembre, ambos del año en curso, respectivamente; empero, dentro de las actuaciones de esos expedientes, </w:t>
      </w:r>
      <w:r>
        <w:rPr>
          <w:rFonts w:ascii="Palatino Linotype" w:eastAsia="Palatino Linotype" w:hAnsi="Palatino Linotype" w:cs="Palatino Linotype"/>
          <w:b/>
        </w:rPr>
        <w:t>no se ha dictado por parte de la Sindicatura algún permiso para la recolección de cuotas</w:t>
      </w:r>
      <w:r>
        <w:rPr>
          <w:rFonts w:ascii="Palatino Linotype" w:eastAsia="Palatino Linotype" w:hAnsi="Palatino Linotype" w:cs="Palatino Linotype"/>
        </w:rPr>
        <w:t xml:space="preserve">, puesto que la multicitada Ley reguladora es muy clara en señalar quien o quienes tienen esa responsabilidad (esto es, la Asamblea General) y que los hechos descritos son derivados de una controversia interna entre condominios y representantes de mesas directivas internas del Fraccionamiento San Fernando. </w:t>
      </w:r>
    </w:p>
    <w:p w14:paraId="7DF77E32" w14:textId="77777777" w:rsidR="008018CA" w:rsidRDefault="008018CA">
      <w:pPr>
        <w:spacing w:line="360" w:lineRule="auto"/>
        <w:ind w:right="425"/>
        <w:jc w:val="both"/>
        <w:rPr>
          <w:rFonts w:ascii="Palatino Linotype" w:eastAsia="Palatino Linotype" w:hAnsi="Palatino Linotype" w:cs="Palatino Linotype"/>
        </w:rPr>
      </w:pPr>
    </w:p>
    <w:p w14:paraId="1AB13263"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tal forma que la respuesta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 traduce en un pronunciamiento en sentido negativo; es decir, se concluye que la respuesta </w:t>
      </w:r>
      <w:r>
        <w:rPr>
          <w:rFonts w:ascii="Palatino Linotype" w:eastAsia="Palatino Linotype" w:hAnsi="Palatino Linotype" w:cs="Palatino Linotype"/>
          <w:color w:val="000000"/>
        </w:rPr>
        <w:lastRenderedPageBreak/>
        <w:t>constituye hechos negativos, pues no se ha generado, poseído o administrado el documento relativo a lo solicitado por el Recurrente. Así, el Pleno de este Órgano Garante ha sostenido que ante un hecho negativo resulta innecesaria una declaratoria de inexistencia en términos de los artículos 19, 169 y 170 de la Ley de Transparencia y Acceso a la Información Pública del Estado de México y Municipios, resultando aplicable la siguiente tesis:</w:t>
      </w:r>
    </w:p>
    <w:p w14:paraId="1AE6BAF0" w14:textId="77777777" w:rsidR="008018CA" w:rsidRDefault="008018CA">
      <w:pPr>
        <w:spacing w:line="360" w:lineRule="auto"/>
        <w:rPr>
          <w:rFonts w:ascii="Palatino Linotype" w:eastAsia="Palatino Linotype" w:hAnsi="Palatino Linotype" w:cs="Palatino Linotype"/>
        </w:rPr>
      </w:pPr>
    </w:p>
    <w:p w14:paraId="209E3ACB" w14:textId="77777777" w:rsidR="008018CA" w:rsidRDefault="008A6E6C">
      <w:pPr>
        <w:ind w:left="851" w:right="992"/>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HECHOS NEGATIVOS, NO SON SUSCEPTIBLES DE DEMOSTRACIÓN. </w:t>
      </w:r>
    </w:p>
    <w:p w14:paraId="71423AA9"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Tratándose de un hecho negativo, el Juez no tiene por qué invocar prueba alguna de la que se desprenda, ya que es bien sabido que esta clase de hechos no son susceptibles de demostración.</w:t>
      </w:r>
    </w:p>
    <w:p w14:paraId="14D15916" w14:textId="77777777" w:rsidR="008018CA" w:rsidRDefault="008018CA">
      <w:pPr>
        <w:spacing w:line="360" w:lineRule="auto"/>
        <w:ind w:left="567" w:right="567"/>
        <w:jc w:val="both"/>
        <w:rPr>
          <w:rFonts w:ascii="Palatino Linotype" w:eastAsia="Palatino Linotype" w:hAnsi="Palatino Linotype" w:cs="Palatino Linotype"/>
          <w:i/>
        </w:rPr>
      </w:pPr>
    </w:p>
    <w:p w14:paraId="3E5365DA"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Además, de conformidad con lo establecido en el artículo 12 de la Ley de la materia,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proporcionará la información que obra en sus archivos, lo que </w:t>
      </w:r>
      <w:r>
        <w:rPr>
          <w:rFonts w:ascii="Palatino Linotype" w:eastAsia="Palatino Linotype" w:hAnsi="Palatino Linotype" w:cs="Palatino Linotype"/>
          <w:i/>
        </w:rPr>
        <w:t>a contrario sensu</w:t>
      </w:r>
      <w:r>
        <w:rPr>
          <w:rFonts w:ascii="Palatino Linotype" w:eastAsia="Palatino Linotype" w:hAnsi="Palatino Linotype" w:cs="Palatino Linotype"/>
        </w:rPr>
        <w:t xml:space="preserve"> significa que no está obligado a proporcionar lo que no obre en sus archivos.</w:t>
      </w:r>
    </w:p>
    <w:p w14:paraId="20773344" w14:textId="77777777" w:rsidR="008018CA" w:rsidRDefault="008018CA">
      <w:pPr>
        <w:spacing w:line="360" w:lineRule="auto"/>
        <w:jc w:val="both"/>
        <w:rPr>
          <w:rFonts w:ascii="Palatino Linotype" w:eastAsia="Palatino Linotype" w:hAnsi="Palatino Linotype" w:cs="Palatino Linotype"/>
        </w:rPr>
      </w:pPr>
    </w:p>
    <w:p w14:paraId="17F66DBB"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destaca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un pronunciamiento. Por ende, al existir un pronunciamiento, aún en sentido negativo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este Órgano Garante estima conveniente </w:t>
      </w:r>
      <w:proofErr w:type="gramStart"/>
      <w:r>
        <w:rPr>
          <w:rFonts w:ascii="Palatino Linotype" w:eastAsia="Palatino Linotype" w:hAnsi="Palatino Linotype" w:cs="Palatino Linotype"/>
        </w:rPr>
        <w:t>señalar</w:t>
      </w:r>
      <w:proofErr w:type="gramEnd"/>
      <w:r>
        <w:rPr>
          <w:rFonts w:ascii="Palatino Linotype" w:eastAsia="Palatino Linotype" w:hAnsi="Palatino Linotype" w:cs="Palatino Linotype"/>
        </w:rPr>
        <w:t xml:space="preserve"> que no está facultado para manifestarse sobre la veracidad de la información proporcionada, ya que no existe precepto legal alguna en la Ley de la Materia que permita, vía recurso de revisión, que se pronuncie al respecto. Por analogía, sirve de apoyo a lo anterior el </w:t>
      </w:r>
      <w:r>
        <w:rPr>
          <w:rFonts w:ascii="Palatino Linotype" w:eastAsia="Palatino Linotype" w:hAnsi="Palatino Linotype" w:cs="Palatino Linotype"/>
        </w:rPr>
        <w:lastRenderedPageBreak/>
        <w:t>Criterio 31/10 emitido por el entonces Instituto Federal de Accesos a la Información y Protección de Datos, que a la letra establece lo siguiente:</w:t>
      </w:r>
    </w:p>
    <w:p w14:paraId="63DC50FC" w14:textId="77777777" w:rsidR="008018CA" w:rsidRDefault="008018CA">
      <w:pPr>
        <w:spacing w:line="360" w:lineRule="auto"/>
        <w:jc w:val="both"/>
        <w:rPr>
          <w:rFonts w:ascii="Palatino Linotype" w:eastAsia="Palatino Linotype" w:hAnsi="Palatino Linotype" w:cs="Palatino Linotype"/>
        </w:rPr>
      </w:pPr>
    </w:p>
    <w:p w14:paraId="161BBA47" w14:textId="77777777" w:rsidR="008018CA" w:rsidRDefault="008A6E6C">
      <w:pPr>
        <w:ind w:left="851" w:right="992"/>
        <w:jc w:val="both"/>
        <w:rPr>
          <w:rFonts w:ascii="Palatino Linotype" w:eastAsia="Palatino Linotype" w:hAnsi="Palatino Linotype" w:cs="Palatino Linotype"/>
        </w:rPr>
      </w:pPr>
      <w:r>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14:paraId="40C5EA65" w14:textId="77777777" w:rsidR="008018CA" w:rsidRDefault="008018CA">
      <w:pPr>
        <w:spacing w:line="360" w:lineRule="auto"/>
        <w:jc w:val="both"/>
        <w:rPr>
          <w:rFonts w:ascii="Palatino Linotype" w:eastAsia="Palatino Linotype" w:hAnsi="Palatino Linotype" w:cs="Palatino Linotype"/>
        </w:rPr>
      </w:pPr>
    </w:p>
    <w:p w14:paraId="03BDEBCD"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De tal forma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realizó un pronunciamiento con el cual respondió a la solicitud realizada por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cuyo sentido no transgrede el derecho de acceso a la información del particular debido 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está constreñido a generar, poseer o administrar la información solicitada, en virtud de que no se ha emitido por parte de la Sindicatura Municipal, algún permiso para la recolección de cuotas. </w:t>
      </w:r>
    </w:p>
    <w:p w14:paraId="280BD969" w14:textId="77777777" w:rsidR="008018CA" w:rsidRDefault="008018CA">
      <w:pPr>
        <w:spacing w:line="360" w:lineRule="auto"/>
        <w:jc w:val="both"/>
        <w:rPr>
          <w:rFonts w:ascii="Palatino Linotype" w:eastAsia="Palatino Linotype" w:hAnsi="Palatino Linotype" w:cs="Palatino Linotype"/>
        </w:rPr>
      </w:pPr>
    </w:p>
    <w:p w14:paraId="69A064FD"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no se omite mencionar que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momento de presentar sus alegatos durante la etapa de instrucción en el procedimiento de </w:t>
      </w:r>
      <w:r>
        <w:rPr>
          <w:rFonts w:ascii="Palatino Linotype" w:eastAsia="Palatino Linotype" w:hAnsi="Palatino Linotype" w:cs="Palatino Linotype"/>
        </w:rPr>
        <w:lastRenderedPageBreak/>
        <w:t>resolución de este recurso de revisión, realizó una solicitud en el sentido de que se le dé el exhorto a la Sindicatura Municipal porque no conocen la Ley y aun así dan platicas basados en la idea de no intervención, que sean sancionados los vecinos que les quitaron la tranquilidad y que están demandados por la Delegada y que les den unas pláticas sobre la ley de condominios impartidas por expertos, que les ayude a entender cuáles son sus obligaciones y cuales sus derechos.</w:t>
      </w:r>
    </w:p>
    <w:p w14:paraId="494F2191" w14:textId="77777777" w:rsidR="008018CA" w:rsidRDefault="008018CA">
      <w:pPr>
        <w:spacing w:line="360" w:lineRule="auto"/>
        <w:ind w:right="425"/>
        <w:jc w:val="both"/>
        <w:rPr>
          <w:rFonts w:ascii="Palatino Linotype" w:eastAsia="Palatino Linotype" w:hAnsi="Palatino Linotype" w:cs="Palatino Linotype"/>
        </w:rPr>
      </w:pPr>
    </w:p>
    <w:p w14:paraId="7BC7817A"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dicha petición es improcedente debido a que no se realizó al momento de generar su solicitud de acceso a la información pública, pues se reitera que la misma se llevó a cabo en su escrito de alegatos. Por tanto, se estima que dicho requerimiento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 una ampliación a su solicitud de información o </w:t>
      </w:r>
      <w:r>
        <w:rPr>
          <w:rFonts w:ascii="Palatino Linotype" w:eastAsia="Palatino Linotype" w:hAnsi="Palatino Linotype" w:cs="Palatino Linotype"/>
          <w:i/>
        </w:rPr>
        <w:t xml:space="preserve">plus </w:t>
      </w:r>
      <w:proofErr w:type="spellStart"/>
      <w:r>
        <w:rPr>
          <w:rFonts w:ascii="Palatino Linotype" w:eastAsia="Palatino Linotype" w:hAnsi="Palatino Linotype" w:cs="Palatino Linotype"/>
          <w:i/>
        </w:rPr>
        <w:t>petitio</w:t>
      </w:r>
      <w:proofErr w:type="spellEnd"/>
      <w:r>
        <w:rPr>
          <w:rFonts w:ascii="Palatino Linotype" w:eastAsia="Palatino Linotype" w:hAnsi="Palatino Linotype" w:cs="Palatino Linotype"/>
        </w:rPr>
        <w:t xml:space="preserve">; esto es, que se adhirió información que no había sido solicitada; por tanto, dichas manifestaciones, al haber sido realizadas en un momento posterior al ingreso de la solicitud original, devienen infundadas, debido a que al ser requerimientos que no se plantearon ante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momento de realizar su solicitud de información, resulta injustificado examinar tales peticiones pues éstas no fueron del conocimiento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lo que, no tuvo la oportunidad legal de analizarlas ni de pronunciarse sobre ellas. </w:t>
      </w:r>
    </w:p>
    <w:p w14:paraId="2FBF224D" w14:textId="77777777" w:rsidR="008018CA" w:rsidRDefault="008018CA">
      <w:pPr>
        <w:spacing w:line="360" w:lineRule="auto"/>
        <w:jc w:val="both"/>
        <w:rPr>
          <w:rFonts w:ascii="Palatino Linotype" w:eastAsia="Palatino Linotype" w:hAnsi="Palatino Linotype" w:cs="Palatino Linotype"/>
        </w:rPr>
      </w:pPr>
    </w:p>
    <w:p w14:paraId="5293BCE9"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Sirve de apoyo por analogía la siguiente tesis jurisprudencial número VI. 2º. A. J/7, publicada en el Semanario Judicial de la Federación y su gaceta, bajo el número de registro digital 178788, en la que se establece lo siguiente:</w:t>
      </w:r>
    </w:p>
    <w:p w14:paraId="08C327CA" w14:textId="77777777" w:rsidR="008018CA" w:rsidRDefault="008018CA">
      <w:pPr>
        <w:spacing w:line="360" w:lineRule="auto"/>
        <w:jc w:val="both"/>
        <w:rPr>
          <w:rFonts w:ascii="Palatino Linotype" w:eastAsia="Palatino Linotype" w:hAnsi="Palatino Linotype" w:cs="Palatino Linotype"/>
        </w:rPr>
      </w:pPr>
    </w:p>
    <w:p w14:paraId="41DA2E80" w14:textId="77777777" w:rsidR="008018CA" w:rsidRDefault="008A6E6C">
      <w:pPr>
        <w:tabs>
          <w:tab w:val="left" w:pos="8222"/>
        </w:tabs>
        <w:ind w:left="851" w:right="992"/>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CONCEPTOS DE VIOLACIÓN EN EL AMPARO DIRECTO. INOPERANCIA DE LOS QUE INTRODUCEN CUESTIONAMIENTOS NOVEDOSOS QUE NO FUERON PLANTEADOS EN EL JUICIO NATURAL.</w:t>
      </w:r>
      <w:r>
        <w:rPr>
          <w:rFonts w:ascii="Palatino Linotype" w:eastAsia="Palatino Linotype" w:hAnsi="Palatino Linotype" w:cs="Palatino Linotype"/>
          <w:i/>
        </w:rPr>
        <w:t xml:space="preserve"> </w:t>
      </w:r>
    </w:p>
    <w:p w14:paraId="6A36AE3A" w14:textId="77777777" w:rsidR="008018CA" w:rsidRDefault="008A6E6C">
      <w:pPr>
        <w:ind w:left="851" w:right="992"/>
        <w:jc w:val="both"/>
        <w:rPr>
          <w:rFonts w:ascii="Palatino Linotype" w:eastAsia="Palatino Linotype" w:hAnsi="Palatino Linotype" w:cs="Palatino Linotype"/>
          <w:i/>
        </w:rPr>
      </w:pPr>
      <w:r>
        <w:rPr>
          <w:rFonts w:ascii="Palatino Linotype" w:eastAsia="Palatino Linotype" w:hAnsi="Palatino Linotype" w:cs="Palatino Linotype"/>
          <w:i/>
        </w:rPr>
        <w:t>Si en los conceptos de violación se formulan argumentos que no se plantearon ante la Sala Fiscal que dictó la sentencia que constituye el acto reclamado, los mismos son inoperantes, toda vez que resultaría injustificado examinar la constitucionalidad de la sentencia combatida a la luz de razonamientos que no conoció la autoridad responsable, pues como tales manifestaciones no formaron parte de la litis natural, la Sala no tuvo la oportunidad legal de analizarlas ni de pronunciarse sobre ellas.</w:t>
      </w:r>
    </w:p>
    <w:p w14:paraId="4EC6DD15" w14:textId="77777777" w:rsidR="008018CA" w:rsidRDefault="008018CA">
      <w:pPr>
        <w:spacing w:line="360" w:lineRule="auto"/>
        <w:jc w:val="both"/>
        <w:rPr>
          <w:rFonts w:ascii="Palatino Linotype" w:eastAsia="Palatino Linotype" w:hAnsi="Palatino Linotype" w:cs="Palatino Linotype"/>
        </w:rPr>
      </w:pPr>
    </w:p>
    <w:p w14:paraId="3E1C4BB1" w14:textId="77777777" w:rsidR="008018CA" w:rsidRDefault="008A6E6C">
      <w:pPr>
        <w:spacing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rPr>
        <w:t xml:space="preserve">De tal forma, dados los argumentos vertidos en párrafos anteriores, este Órgano Garante estima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al informar 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no ha emitido el permiso referido en su solicitud que permite recaudar cuotas en virtud de que no está entre sus atribuciones de derecho público, colmó las pretensiones del hoy Recurrente. Consecuentemente, debido a que la respuesta se encuentra apegada a la normatividad relativa y aplicable, se satisface plenamente el requerimiento del particular por lo que los motivos de inconformidad planteados en el recurso de revisión devienen infundados, siendo lo procedente confirmar la respuesta del </w:t>
      </w:r>
      <w:r>
        <w:rPr>
          <w:rFonts w:ascii="Palatino Linotype" w:eastAsia="Palatino Linotype" w:hAnsi="Palatino Linotype" w:cs="Palatino Linotype"/>
          <w:b/>
        </w:rPr>
        <w:t>SUJETO OBLIGADO.</w:t>
      </w:r>
    </w:p>
    <w:p w14:paraId="5E908FB4" w14:textId="77777777" w:rsidR="008018CA" w:rsidRDefault="008018CA">
      <w:pPr>
        <w:spacing w:line="360" w:lineRule="auto"/>
        <w:ind w:right="425"/>
        <w:jc w:val="both"/>
        <w:rPr>
          <w:rFonts w:ascii="Palatino Linotype" w:eastAsia="Palatino Linotype" w:hAnsi="Palatino Linotype" w:cs="Palatino Linotype"/>
        </w:rPr>
      </w:pPr>
    </w:p>
    <w:p w14:paraId="6AE5D464" w14:textId="77777777" w:rsidR="008018CA" w:rsidRDefault="008A6E6C">
      <w:pPr>
        <w:pBdr>
          <w:top w:val="nil"/>
          <w:left w:val="nil"/>
          <w:bottom w:val="nil"/>
          <w:right w:val="nil"/>
          <w:between w:val="nil"/>
        </w:pBdr>
        <w:spacing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con fundamento en el artículo 186 fracción II de la Ley de Transparencia y Acceso a la Información Pública del Estado de México y Municipios, 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a la solicitud de información pública </w:t>
      </w:r>
      <w:r>
        <w:rPr>
          <w:rFonts w:ascii="Palatino Linotype" w:eastAsia="Palatino Linotype" w:hAnsi="Palatino Linotype" w:cs="Palatino Linotype"/>
          <w:b/>
          <w:color w:val="000000"/>
        </w:rPr>
        <w:t>00440/CUAUTIT/IP/2021</w:t>
      </w:r>
      <w:r>
        <w:rPr>
          <w:rFonts w:ascii="Palatino Linotype" w:eastAsia="Palatino Linotype" w:hAnsi="Palatino Linotype" w:cs="Palatino Linotype"/>
          <w:color w:val="000000"/>
        </w:rPr>
        <w:t xml:space="preserve"> que ha sido materia del presente fallo, por lo que este Pleno:</w:t>
      </w:r>
    </w:p>
    <w:p w14:paraId="0E11DEAB" w14:textId="77777777" w:rsidR="008018CA" w:rsidRDefault="008018CA">
      <w:pPr>
        <w:spacing w:before="120" w:after="120" w:line="360" w:lineRule="auto"/>
        <w:ind w:right="425"/>
        <w:jc w:val="both"/>
        <w:rPr>
          <w:rFonts w:ascii="Palatino Linotype" w:eastAsia="Palatino Linotype" w:hAnsi="Palatino Linotype" w:cs="Palatino Linotype"/>
          <w:highlight w:val="yellow"/>
        </w:rPr>
      </w:pPr>
    </w:p>
    <w:p w14:paraId="5E97ED9B" w14:textId="77777777" w:rsidR="008018CA" w:rsidRDefault="008A6E6C">
      <w:pPr>
        <w:spacing w:before="240" w:after="240" w:line="360" w:lineRule="auto"/>
        <w:ind w:right="425"/>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III R E S U E L V E</w:t>
      </w:r>
    </w:p>
    <w:p w14:paraId="058348F3" w14:textId="77777777" w:rsidR="008018CA" w:rsidRDefault="008A6E6C">
      <w:pPr>
        <w:widowControl w:val="0"/>
        <w:pBdr>
          <w:top w:val="nil"/>
          <w:left w:val="nil"/>
          <w:bottom w:val="nil"/>
          <w:right w:val="nil"/>
          <w:between w:val="nil"/>
        </w:pBdr>
        <w:spacing w:after="240" w:line="360" w:lineRule="auto"/>
        <w:ind w:right="425"/>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CONFIRMA</w:t>
      </w:r>
      <w:r>
        <w:rPr>
          <w:rFonts w:ascii="Palatino Linotype" w:eastAsia="Palatino Linotype" w:hAnsi="Palatino Linotype" w:cs="Palatino Linotype"/>
          <w:color w:val="000000"/>
        </w:rPr>
        <w:t xml:space="preserve"> la respuesta </w:t>
      </w:r>
      <w:r w:rsidR="00570F07">
        <w:rPr>
          <w:rFonts w:ascii="Palatino Linotype" w:eastAsia="Palatino Linotype" w:hAnsi="Palatino Linotype" w:cs="Palatino Linotype"/>
          <w:color w:val="000000"/>
        </w:rPr>
        <w:t>del SUJETO OBLIGADO a</w:t>
      </w:r>
      <w:r>
        <w:rPr>
          <w:rFonts w:ascii="Palatino Linotype" w:eastAsia="Palatino Linotype" w:hAnsi="Palatino Linotype" w:cs="Palatino Linotype"/>
          <w:color w:val="000000"/>
        </w:rPr>
        <w:t xml:space="preserve"> la solicitud de información </w:t>
      </w:r>
      <w:r>
        <w:rPr>
          <w:rFonts w:ascii="Palatino Linotype" w:eastAsia="Palatino Linotype" w:hAnsi="Palatino Linotype" w:cs="Palatino Linotype"/>
          <w:b/>
          <w:color w:val="000000"/>
        </w:rPr>
        <w:t xml:space="preserve">00440/CUAUTIT/IP/2021 </w:t>
      </w:r>
      <w:r>
        <w:rPr>
          <w:rFonts w:ascii="Palatino Linotype" w:eastAsia="Palatino Linotype" w:hAnsi="Palatino Linotype" w:cs="Palatino Linotype"/>
          <w:color w:val="000000"/>
        </w:rPr>
        <w:t xml:space="preserve">por resultar infundadas las razones o motivos de inconformidad hechos valer por la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en términos del </w:t>
      </w:r>
      <w:r>
        <w:rPr>
          <w:rFonts w:ascii="Palatino Linotype" w:eastAsia="Palatino Linotype" w:hAnsi="Palatino Linotype" w:cs="Palatino Linotype"/>
          <w:b/>
          <w:color w:val="000000"/>
        </w:rPr>
        <w:t>Considerando Cuarto</w:t>
      </w:r>
      <w:r>
        <w:rPr>
          <w:rFonts w:ascii="Palatino Linotype" w:eastAsia="Palatino Linotype" w:hAnsi="Palatino Linotype" w:cs="Palatino Linotype"/>
          <w:color w:val="000000"/>
        </w:rPr>
        <w:t xml:space="preserve"> de la presente resolución.</w:t>
      </w:r>
    </w:p>
    <w:p w14:paraId="18924C80" w14:textId="77777777" w:rsidR="008018CA" w:rsidRDefault="008A6E6C">
      <w:pPr>
        <w:spacing w:after="160" w:line="360" w:lineRule="auto"/>
        <w:ind w:right="425"/>
        <w:jc w:val="both"/>
        <w:rPr>
          <w:rFonts w:ascii="Palatino Linotype" w:eastAsia="Palatino Linotype" w:hAnsi="Palatino Linotype" w:cs="Palatino Linotype"/>
          <w:b/>
        </w:rPr>
      </w:pPr>
      <w:r>
        <w:rPr>
          <w:rFonts w:ascii="Palatino Linotype" w:eastAsia="Palatino Linotype" w:hAnsi="Palatino Linotype" w:cs="Palatino Linotype"/>
          <w:b/>
          <w:color w:val="000000"/>
        </w:rPr>
        <w:t>Segundo</w:t>
      </w:r>
      <w:r>
        <w:rPr>
          <w:rFonts w:ascii="Palatino Linotype" w:eastAsia="Palatino Linotype" w:hAnsi="Palatino Linotype" w:cs="Palatino Linotype"/>
          <w:color w:val="000000"/>
        </w:rPr>
        <w:t>.</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14:paraId="3F8D8325" w14:textId="7EE17DC0" w:rsidR="008018CA" w:rsidRDefault="008A6E6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b/>
          <w:color w:val="000000"/>
        </w:rPr>
        <w:t xml:space="preserve">Tercero. </w:t>
      </w:r>
      <w:r>
        <w:rPr>
          <w:rFonts w:ascii="Palatino Linotype" w:eastAsia="Palatino Linotype" w:hAnsi="Palatino Linotype" w:cs="Palatino Linotype"/>
          <w:b/>
        </w:rPr>
        <w:t xml:space="preserve">Notifíquese vía Sistema de Acceso a la Información Mexiquense (SAIMEX), </w:t>
      </w:r>
      <w:r>
        <w:rPr>
          <w:rFonts w:ascii="Palatino Linotype" w:eastAsia="Palatino Linotype" w:hAnsi="Palatino Linotype" w:cs="Palatino Linotype"/>
        </w:rPr>
        <w:t xml:space="preserve">la presente resolución a la </w:t>
      </w:r>
      <w:r>
        <w:rPr>
          <w:rFonts w:ascii="Palatino Linotype" w:eastAsia="Palatino Linotype" w:hAnsi="Palatino Linotype" w:cs="Palatino Linotype"/>
          <w:b/>
        </w:rPr>
        <w:t>RECURRENTE</w:t>
      </w:r>
      <w:r>
        <w:rPr>
          <w:rFonts w:ascii="Palatino Linotype" w:eastAsia="Palatino Linotype" w:hAnsi="Palatino Linotype" w:cs="Palatino Linotype"/>
        </w:rPr>
        <w:t>, así como, que de conformidad con lo establecido en el artículo 196 de la Ley de Transparencia y Acceso a la Información Pública del Estado de México y Municipios, podrá impugnarla vía Juicio de Amparo en los términos de las leyes aplicables.</w:t>
      </w:r>
    </w:p>
    <w:p w14:paraId="2BA233C0" w14:textId="69A8945B" w:rsidR="00E14633" w:rsidRPr="00E14633" w:rsidRDefault="00E14633">
      <w:pPr>
        <w:spacing w:before="240" w:after="240" w:line="360" w:lineRule="auto"/>
        <w:ind w:right="425"/>
        <w:jc w:val="both"/>
        <w:rPr>
          <w:rFonts w:ascii="Palatino Linotype" w:eastAsia="Palatino Linotype" w:hAnsi="Palatino Linotype" w:cs="Palatino Linotype"/>
        </w:rPr>
      </w:pPr>
      <w:r w:rsidRPr="00E14633">
        <w:rPr>
          <w:rFonts w:ascii="Palatino Linotype" w:eastAsia="Palatino Linotype" w:hAnsi="Palatino Linotype" w:cs="Palatino Linotype"/>
          <w:b/>
          <w:bCs/>
        </w:rPr>
        <w:t xml:space="preserve">Cuarto. </w:t>
      </w:r>
      <w:r w:rsidRPr="00E14633">
        <w:rPr>
          <w:rFonts w:ascii="Palatino Linotype" w:eastAsia="Palatino Linotype" w:hAnsi="Palatino Linotype" w:cs="Palatino Linotype"/>
        </w:rPr>
        <w:t xml:space="preserve">Con fundamento en lo dispuesto en el artículo 190 de la Ley de Transparencia y Acceso a la Información Pública del Estado de México y Municipios, gírese oficio al Contralor Interno y Titular del Órgano de Control y Vigilancia de este Instituto con la finalidad de que actúe </w:t>
      </w:r>
      <w:proofErr w:type="gramStart"/>
      <w:r w:rsidRPr="00E14633">
        <w:rPr>
          <w:rFonts w:ascii="Palatino Linotype" w:eastAsia="Palatino Linotype" w:hAnsi="Palatino Linotype" w:cs="Palatino Linotype"/>
        </w:rPr>
        <w:t>en razón de</w:t>
      </w:r>
      <w:proofErr w:type="gramEnd"/>
      <w:r w:rsidRPr="00E14633">
        <w:rPr>
          <w:rFonts w:ascii="Palatino Linotype" w:eastAsia="Palatino Linotype" w:hAnsi="Palatino Linotype" w:cs="Palatino Linotype"/>
        </w:rPr>
        <w:t xml:space="preserve"> su competencia, en términos de lo dispuesto en el Considerando Cuarto de la presente Resolución.</w:t>
      </w:r>
    </w:p>
    <w:p w14:paraId="32ED0892" w14:textId="19430E53" w:rsidR="008018CA" w:rsidRDefault="000745AC">
      <w:pPr>
        <w:spacing w:before="240" w:after="240" w:line="360" w:lineRule="auto"/>
        <w:ind w:right="425"/>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7D3D83CA" wp14:editId="3BF5E1D5">
                <wp:simplePos x="0" y="0"/>
                <wp:positionH relativeFrom="column">
                  <wp:posOffset>195771</wp:posOffset>
                </wp:positionH>
                <wp:positionV relativeFrom="paragraph">
                  <wp:posOffset>3091874</wp:posOffset>
                </wp:positionV>
                <wp:extent cx="5433237" cy="3168502"/>
                <wp:effectExtent l="0" t="0" r="34290" b="32385"/>
                <wp:wrapNone/>
                <wp:docPr id="1" name="Conector recto 1"/>
                <wp:cNvGraphicFramePr/>
                <a:graphic xmlns:a="http://schemas.openxmlformats.org/drawingml/2006/main">
                  <a:graphicData uri="http://schemas.microsoft.com/office/word/2010/wordprocessingShape">
                    <wps:wsp>
                      <wps:cNvCnPr/>
                      <wps:spPr>
                        <a:xfrm>
                          <a:off x="0" y="0"/>
                          <a:ext cx="5433237" cy="3168502"/>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127718"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4pt,243.45pt" to="443.2pt,4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e82AEAAAMEAAAOAAAAZHJzL2Uyb0RvYy54bWysU01v2zAMvQ/YfxB0b2wnS9cacXpI0V2G&#10;LdjWH6DKUixMX6C02Pn3o2THKboWGIZdJFF6fOQjqc3dYDQ5CgjK2YZWi5ISYblrlT009PHHw9UN&#10;JSEy2zLtrGjoSQR6t33/btP7Wixd53QrgCCJDXXvG9rF6OuiCLwThoWF88Lio3RgWEQTDkULrEd2&#10;o4tlWV4XvYPWg+MiBLy9Hx/pNvNLKXj8KmUQkeiGYm4xr5DXp7QW2w2rD8B8p/iUBvuHLAxTFoPO&#10;VPcsMvIL1B9URnFwwcm44M4UTkrFRdaAaqryhZrvHfMia8HiBD+XKfw/Wv7luAeiWuwdJZYZbNEO&#10;G8WjAwJpI1WqUe9DjdCd3cNkBb+HJHiQYNKOUsiQ63qa6yqGSDherj+sVsvVR0o4vq2q65t1uUys&#10;xcXdQ4ifhDMkHRqqlU3CWc2On0McoWdIutaW9JjybbkuMyw4rdoHpXV6zMMjdhrIkWHb45AlYLBn&#10;KLS0xQySsFFKPsWTFiP/NyGxLJh8NQZIA3nhbH+eObVFZHKRGH12mrJ6y2nCJjeRh/RvHWd0juhs&#10;nB2Nsg5eS/UiX474s+pRa5L95NpTbmwuB05abs30K9IoP7ez++Xvbn8DAAD//wMAUEsDBBQABgAI&#10;AAAAIQA0UEp/4gAAAAoBAAAPAAAAZHJzL2Rvd25yZXYueG1sTI/BTsMwEETvSPyDtUhcqtYplOCE&#10;bCqIQOoN2iK4usk2CcTrKHbbwNdjTnAczWjmTbYcTSeONLjWMsJ8FoEgLm3Vco3wun2aKhDOa650&#10;Z5kQvsjBMj8/y3Ra2ROv6bjxtQgl7FKN0Hjfp1K6siGj3cz2xMHb28FoH+RQy2rQp1BuOnkVRbE0&#10;uuWw0OieiobKz83BIOyfk7eH90nx8rg1q9tiXn+4yfiNeHkx3t+B8DT6vzD84gd0yAPTzh64cqJD&#10;uI4CuUdYqDgBEQJKxQsQO4RE3SQg80z+v5D/AAAA//8DAFBLAQItABQABgAIAAAAIQC2gziS/gAA&#10;AOEBAAATAAAAAAAAAAAAAAAAAAAAAABbQ29udGVudF9UeXBlc10ueG1sUEsBAi0AFAAGAAgAAAAh&#10;ADj9If/WAAAAlAEAAAsAAAAAAAAAAAAAAAAALwEAAF9yZWxzLy5yZWxzUEsBAi0AFAAGAAgAAAAh&#10;ALa657zYAQAAAwQAAA4AAAAAAAAAAAAAAAAALgIAAGRycy9lMm9Eb2MueG1sUEsBAi0AFAAGAAgA&#10;AAAhADRQSn/iAAAACgEAAA8AAAAAAAAAAAAAAAAAMgQAAGRycy9kb3ducmV2LnhtbFBLBQYAAAAA&#10;BAAEAPMAAABBBQAAAAA=&#10;" strokecolor="black [3213]" strokeweight="1.5pt">
                <v:stroke joinstyle="miter"/>
              </v:line>
            </w:pict>
          </mc:Fallback>
        </mc:AlternateContent>
      </w:r>
      <w:r w:rsidR="008A6E6C">
        <w:rPr>
          <w:rFonts w:ascii="Palatino Linotype" w:eastAsia="Palatino Linotype" w:hAnsi="Palatino Linotype" w:cs="Palatino Linotype"/>
        </w:rPr>
        <w:t xml:space="preserve">ASÍ LO RESUELVE, POR UNANIMIDAD DE VOTOS  EL PLENO DEL INSTITUTO DE TRANSPARENCIA, ACCESO A LA INFORMACIÓN PÚBLICA Y </w:t>
      </w:r>
      <w:r w:rsidR="008A6E6C">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 SHARON CRISTINA MORALES MARTÍNEZ (AUSENCIA JUSTIFICADA); LUIS GUSTAVO PARRA NORIEGA Y GUADALUPE RAMÍREZ PEÑA; EN LA TERCERA SESIÓN ORDINARIA CELEBRADA EL VEINTISIET</w:t>
      </w:r>
      <w:r w:rsidR="0021425E">
        <w:rPr>
          <w:rFonts w:ascii="Palatino Linotype" w:eastAsia="Palatino Linotype" w:hAnsi="Palatino Linotype" w:cs="Palatino Linotype"/>
        </w:rPr>
        <w:t>E</w:t>
      </w:r>
      <w:r w:rsidR="008A6E6C">
        <w:rPr>
          <w:rFonts w:ascii="Palatino Linotype" w:eastAsia="Palatino Linotype" w:hAnsi="Palatino Linotype" w:cs="Palatino Linotype"/>
        </w:rPr>
        <w:t xml:space="preserve"> DE ENERO DEL DOS MIL VEINTIDÓS, ANTE EL SECRETARIO TÉCNICO DEL PLENO, ALEXIS TAPIA </w:t>
      </w:r>
      <w:r w:rsidR="0021425E">
        <w:rPr>
          <w:rFonts w:ascii="Palatino Linotype" w:eastAsia="Palatino Linotype" w:hAnsi="Palatino Linotype" w:cs="Palatino Linotype"/>
          <w:noProof/>
        </w:rPr>
        <mc:AlternateContent>
          <mc:Choice Requires="wps">
            <w:drawing>
              <wp:anchor distT="0" distB="0" distL="114300" distR="114300" simplePos="0" relativeHeight="251663360" behindDoc="0" locked="0" layoutInCell="1" allowOverlap="1" wp14:anchorId="65A2B3D2" wp14:editId="16169683">
                <wp:simplePos x="0" y="0"/>
                <wp:positionH relativeFrom="column">
                  <wp:posOffset>53339</wp:posOffset>
                </wp:positionH>
                <wp:positionV relativeFrom="paragraph">
                  <wp:posOffset>2491740</wp:posOffset>
                </wp:positionV>
                <wp:extent cx="5686425" cy="468630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686425" cy="4686300"/>
                        </a:xfrm>
                        <a:prstGeom prst="line">
                          <a:avLst/>
                        </a:prstGeom>
                        <a:ln w="1905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D23D69" id="Conector recto 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pt,196.2pt" to="451.95pt,5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DzvwEAANgDAAAOAAAAZHJzL2Uyb0RvYy54bWysU8tu2zAQvBfoPxC8x5Ld2EgEyzkkSC9F&#10;G7TJBzDk0iLKF0jWkv++S8qWgqYFgqAXivuY2Z3lanszGE0OEKJytqXLRU0JWO6EsvuWPj3eX1xR&#10;EhOzgmlnoaVHiPRm9/HDtvcNrFzntIBAkMTGpvct7VLyTVVF3oFhceE8WAxKFwxLaIZ9JQLrkd3o&#10;alXXm6p3QfjgOMSI3rsxSHeFX0rg6ZuUERLRLcXeUjlDOZ/zWe22rNkH5jvFT22wd3RhmLJYdKK6&#10;Y4mRX0G9ojKKBxedTAvuTOWkVByKBlSzrP9Q86NjHooWHE7005ji/6PlXw+39iHgGHofm+gfQlYx&#10;yGDyF/sjQxnWcRoWDIlwdK43V5vL1ZoSjrFLND7VZZzVDPchps/gDMmXlmplsxrWsMOXmLAkpp5T&#10;sltb0uMOXdfruqRFp5W4V1rnYNkIuNWBHBi+ZRqW+e2Q4UUWWtqic5ZSbumoYeT/DpIogc0vxwJ5&#10;y2ZO8fPMqS1mZojE6hPo1NW/QKfcDIOyeW8FTtmlorNpAhplXfhbq7N8OeafVY9as+xnJ47lYcs4&#10;cH3KtE6rnvfzpV3g8w+5+w0AAP//AwBQSwMEFAAGAAgAAAAhAC6oQ/PhAAAACgEAAA8AAABkcnMv&#10;ZG93bnJldi54bWxMj8FOwzAMhu9IvENkJC7TlnSdYC1NJ6hA4jbYJrhmrdcWGqdqsq3w9JgT3Gz9&#10;n35/zlaj7cQJB9860hDNFAik0lUt1Rp226fpEoQPhirTOUINX+hhlV9eZCat3Jle8bQJteAS8qnR&#10;0ITQp1L6skFr/Mz1SJwd3GBN4HWoZTWYM5fbTs6VupHWtMQXGtNj0WD5uTlaDYd18vbwPileHrf2&#10;+baI6g8/Gb+1vr4a7+9ABBzDHwy/+qwOOTvt3ZEqLzoNywWDGuJkzgPniYoTEHsGo1gtQOaZ/P9C&#10;/gMAAP//AwBQSwECLQAUAAYACAAAACEAtoM4kv4AAADhAQAAEwAAAAAAAAAAAAAAAAAAAAAAW0Nv&#10;bnRlbnRfVHlwZXNdLnhtbFBLAQItABQABgAIAAAAIQA4/SH/1gAAAJQBAAALAAAAAAAAAAAAAAAA&#10;AC8BAABfcmVscy8ucmVsc1BLAQItABQABgAIAAAAIQBqWqDzvwEAANgDAAAOAAAAAAAAAAAAAAAA&#10;AC4CAABkcnMvZTJvRG9jLnhtbFBLAQItABQABgAIAAAAIQAuqEPz4QAAAAoBAAAPAAAAAAAAAAAA&#10;AAAAABkEAABkcnMvZG93bnJldi54bWxQSwUGAAAAAAQABADzAAAAJwUAAAAA&#10;" strokecolor="black [3213]" strokeweight="1.5pt">
                <v:stroke joinstyle="miter"/>
              </v:line>
            </w:pict>
          </mc:Fallback>
        </mc:AlternateContent>
      </w:r>
      <w:r w:rsidR="008A6E6C">
        <w:rPr>
          <w:rFonts w:ascii="Palatino Linotype" w:eastAsia="Palatino Linotype" w:hAnsi="Palatino Linotype" w:cs="Palatino Linotype"/>
        </w:rPr>
        <w:t>RAMÍREZ.</w:t>
      </w:r>
    </w:p>
    <w:p w14:paraId="4A6E929E" w14:textId="77777777" w:rsidR="008018CA" w:rsidRDefault="008018CA">
      <w:pPr>
        <w:spacing w:before="240" w:after="240" w:line="360" w:lineRule="auto"/>
        <w:jc w:val="both"/>
        <w:rPr>
          <w:rFonts w:ascii="Palatino Linotype" w:eastAsia="Palatino Linotype" w:hAnsi="Palatino Linotype" w:cs="Palatino Linotype"/>
        </w:rPr>
      </w:pPr>
    </w:p>
    <w:p w14:paraId="0EFB9F7A" w14:textId="77777777" w:rsidR="008018CA" w:rsidRDefault="008018CA">
      <w:pPr>
        <w:spacing w:before="240" w:after="240" w:line="360" w:lineRule="auto"/>
        <w:jc w:val="both"/>
        <w:rPr>
          <w:rFonts w:ascii="Palatino Linotype" w:eastAsia="Palatino Linotype" w:hAnsi="Palatino Linotype" w:cs="Palatino Linotype"/>
        </w:rPr>
      </w:pPr>
    </w:p>
    <w:p w14:paraId="6621CA42" w14:textId="77777777" w:rsidR="008018CA" w:rsidRDefault="008018CA">
      <w:pPr>
        <w:spacing w:before="240" w:after="240" w:line="360" w:lineRule="auto"/>
        <w:jc w:val="both"/>
        <w:rPr>
          <w:rFonts w:ascii="Palatino Linotype" w:eastAsia="Palatino Linotype" w:hAnsi="Palatino Linotype" w:cs="Palatino Linotype"/>
        </w:rPr>
        <w:sectPr w:rsidR="008018CA">
          <w:headerReference w:type="default" r:id="rId17"/>
          <w:footerReference w:type="default" r:id="rId18"/>
          <w:headerReference w:type="first" r:id="rId19"/>
          <w:footerReference w:type="first" r:id="rId20"/>
          <w:pgSz w:w="12240" w:h="15840"/>
          <w:pgMar w:top="1985" w:right="1325" w:bottom="1701" w:left="1701" w:header="709" w:footer="709" w:gutter="0"/>
          <w:pgNumType w:start="1"/>
          <w:cols w:space="720"/>
          <w:titlePg/>
        </w:sectPr>
      </w:pPr>
    </w:p>
    <w:p w14:paraId="395935FF" w14:textId="77777777" w:rsidR="008018CA" w:rsidRDefault="008018CA">
      <w:pPr>
        <w:spacing w:before="240" w:after="240" w:line="360" w:lineRule="auto"/>
        <w:jc w:val="both"/>
        <w:rPr>
          <w:rFonts w:ascii="Palatino Linotype" w:eastAsia="Palatino Linotype" w:hAnsi="Palatino Linotype" w:cs="Palatino Linotype"/>
        </w:rPr>
      </w:pPr>
    </w:p>
    <w:sectPr w:rsidR="008018CA">
      <w:headerReference w:type="first" r:id="rId21"/>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17833" w14:textId="77777777" w:rsidR="003E51E6" w:rsidRDefault="003E51E6">
      <w:r>
        <w:separator/>
      </w:r>
    </w:p>
  </w:endnote>
  <w:endnote w:type="continuationSeparator" w:id="0">
    <w:p w14:paraId="19880D4F" w14:textId="77777777" w:rsidR="003E51E6" w:rsidRDefault="003E5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Quattrocento San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B01AD" w14:textId="77777777" w:rsidR="008018CA" w:rsidRDefault="008A6E6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5CD6">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5CD6">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7BFC014B" w14:textId="77777777" w:rsidR="008018CA" w:rsidRDefault="008018CA">
    <w:pPr>
      <w:pBdr>
        <w:top w:val="nil"/>
        <w:left w:val="nil"/>
        <w:bottom w:val="nil"/>
        <w:right w:val="nil"/>
        <w:between w:val="nil"/>
      </w:pBdr>
      <w:tabs>
        <w:tab w:val="center" w:pos="4252"/>
        <w:tab w:val="right" w:pos="8504"/>
      </w:tabs>
      <w:rPr>
        <w:color w:val="000000"/>
      </w:rPr>
    </w:pPr>
  </w:p>
  <w:p w14:paraId="0DCA83F9" w14:textId="77777777" w:rsidR="008018CA" w:rsidRDefault="008018CA">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B2130" w14:textId="77777777" w:rsidR="008018CA" w:rsidRDefault="008A6E6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795CD6">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795CD6">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46B4F3AC" w14:textId="77777777" w:rsidR="008018CA" w:rsidRDefault="008018CA">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17923" w14:textId="77777777" w:rsidR="003E51E6" w:rsidRDefault="003E51E6">
      <w:r>
        <w:separator/>
      </w:r>
    </w:p>
  </w:footnote>
  <w:footnote w:type="continuationSeparator" w:id="0">
    <w:p w14:paraId="1170DFA8" w14:textId="77777777" w:rsidR="003E51E6" w:rsidRDefault="003E51E6">
      <w:r>
        <w:continuationSeparator/>
      </w:r>
    </w:p>
  </w:footnote>
  <w:footnote w:id="1">
    <w:p w14:paraId="0CD9810A" w14:textId="77777777" w:rsidR="008018CA" w:rsidRDefault="008A6E6C">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VILLANUEVA 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E925" w14:textId="58A937E3" w:rsidR="008018CA" w:rsidRDefault="00CD394A">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1882EB4" wp14:editId="3C34BD5A">
          <wp:simplePos x="0" y="0"/>
          <wp:positionH relativeFrom="column">
            <wp:posOffset>-1318260</wp:posOffset>
          </wp:positionH>
          <wp:positionV relativeFrom="paragraph">
            <wp:posOffset>-450215</wp:posOffset>
          </wp:positionV>
          <wp:extent cx="8824595" cy="10009315"/>
          <wp:effectExtent l="0" t="0" r="0" b="0"/>
          <wp:wrapNone/>
          <wp:docPr id="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824595" cy="100093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1"/>
      <w:tblW w:w="5528" w:type="dxa"/>
      <w:tblInd w:w="3261" w:type="dxa"/>
      <w:tblLayout w:type="fixed"/>
      <w:tblLook w:val="0400" w:firstRow="0" w:lastRow="0" w:firstColumn="0" w:lastColumn="0" w:noHBand="0" w:noVBand="1"/>
    </w:tblPr>
    <w:tblGrid>
      <w:gridCol w:w="2552"/>
      <w:gridCol w:w="2976"/>
    </w:tblGrid>
    <w:tr w:rsidR="008018CA" w14:paraId="38DFBF44" w14:textId="77777777">
      <w:tc>
        <w:tcPr>
          <w:tcW w:w="2552" w:type="dxa"/>
          <w:vAlign w:val="center"/>
        </w:tcPr>
        <w:p w14:paraId="63D90901" w14:textId="77777777" w:rsidR="008018CA" w:rsidRDefault="008A6E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183B6008" w14:textId="77777777" w:rsidR="008018CA" w:rsidRDefault="008A6E6C">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05349/INFOEM/IP/RR/2021</w:t>
          </w:r>
        </w:p>
      </w:tc>
    </w:tr>
    <w:tr w:rsidR="008018CA" w14:paraId="26FCE867" w14:textId="77777777">
      <w:trPr>
        <w:trHeight w:val="228"/>
      </w:trPr>
      <w:tc>
        <w:tcPr>
          <w:tcW w:w="2552" w:type="dxa"/>
          <w:vAlign w:val="center"/>
        </w:tcPr>
        <w:p w14:paraId="7AB95B8E" w14:textId="77777777" w:rsidR="008018CA" w:rsidRDefault="008A6E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33FA5E35" w14:textId="77777777" w:rsidR="008018CA" w:rsidRDefault="008A6E6C">
          <w:pPr>
            <w:ind w:right="88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Cuautitlán</w:t>
          </w:r>
        </w:p>
      </w:tc>
    </w:tr>
    <w:tr w:rsidR="008018CA" w14:paraId="0DAC598D" w14:textId="77777777">
      <w:tc>
        <w:tcPr>
          <w:tcW w:w="2552" w:type="dxa"/>
          <w:vAlign w:val="center"/>
        </w:tcPr>
        <w:p w14:paraId="4F6C8664" w14:textId="77777777" w:rsidR="008018CA" w:rsidRDefault="008A6E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116C9567" w14:textId="77777777" w:rsidR="008018CA" w:rsidRDefault="008A6E6C">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7F4347D" w14:textId="1F1DE364" w:rsidR="008018CA" w:rsidRDefault="008A6E6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A80D6" w14:textId="77777777" w:rsidR="008018CA" w:rsidRDefault="008A6E6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56255B8A" wp14:editId="72359672">
          <wp:simplePos x="0" y="0"/>
          <wp:positionH relativeFrom="column">
            <wp:posOffset>-1080134</wp:posOffset>
          </wp:positionH>
          <wp:positionV relativeFrom="paragraph">
            <wp:posOffset>-438784</wp:posOffset>
          </wp:positionV>
          <wp:extent cx="7635600" cy="9943200"/>
          <wp:effectExtent l="0" t="0" r="0" b="0"/>
          <wp:wrapNone/>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38" w:type="dxa"/>
      <w:tblInd w:w="3119" w:type="dxa"/>
      <w:tblLayout w:type="fixed"/>
      <w:tblLook w:val="0400" w:firstRow="0" w:lastRow="0" w:firstColumn="0" w:lastColumn="0" w:noHBand="0" w:noVBand="1"/>
    </w:tblPr>
    <w:tblGrid>
      <w:gridCol w:w="2551"/>
      <w:gridCol w:w="3687"/>
    </w:tblGrid>
    <w:tr w:rsidR="008018CA" w14:paraId="4750B4C7" w14:textId="77777777">
      <w:tc>
        <w:tcPr>
          <w:tcW w:w="2551" w:type="dxa"/>
          <w:vAlign w:val="center"/>
        </w:tcPr>
        <w:p w14:paraId="256D84E9" w14:textId="77777777" w:rsidR="008018CA" w:rsidRDefault="008A6E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75909929" w14:textId="77777777" w:rsidR="008018CA" w:rsidRDefault="008A6E6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05349/INFOEM/IP/RR/2021</w:t>
          </w:r>
        </w:p>
      </w:tc>
    </w:tr>
    <w:tr w:rsidR="008018CA" w14:paraId="709527D7" w14:textId="77777777">
      <w:tc>
        <w:tcPr>
          <w:tcW w:w="2551" w:type="dxa"/>
          <w:vAlign w:val="center"/>
        </w:tcPr>
        <w:p w14:paraId="7E340BEF" w14:textId="77777777" w:rsidR="008018CA" w:rsidRDefault="008A6E6C">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Recurrente: </w:t>
          </w:r>
        </w:p>
      </w:tc>
      <w:tc>
        <w:tcPr>
          <w:tcW w:w="3687" w:type="dxa"/>
          <w:vAlign w:val="center"/>
        </w:tcPr>
        <w:p w14:paraId="2DBAC144" w14:textId="2215411C" w:rsidR="008018CA" w:rsidRDefault="00ED3BD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XXXXXX</w:t>
          </w:r>
          <w:r w:rsidR="008A6E6C">
            <w:rPr>
              <w:rFonts w:ascii="Palatino Linotype" w:eastAsia="Palatino Linotype" w:hAnsi="Palatino Linotype" w:cs="Palatino Linotype"/>
              <w:b/>
              <w:sz w:val="21"/>
              <w:szCs w:val="21"/>
            </w:rPr>
            <w:t xml:space="preserve"> </w:t>
          </w:r>
          <w:r>
            <w:rPr>
              <w:rFonts w:ascii="Palatino Linotype" w:eastAsia="Palatino Linotype" w:hAnsi="Palatino Linotype" w:cs="Palatino Linotype"/>
              <w:b/>
              <w:sz w:val="21"/>
              <w:szCs w:val="21"/>
            </w:rPr>
            <w:t>XXXX</w:t>
          </w:r>
          <w:r w:rsidR="008A6E6C">
            <w:rPr>
              <w:rFonts w:ascii="Palatino Linotype" w:eastAsia="Palatino Linotype" w:hAnsi="Palatino Linotype" w:cs="Palatino Linotype"/>
              <w:b/>
              <w:sz w:val="21"/>
              <w:szCs w:val="21"/>
            </w:rPr>
            <w:t xml:space="preserve"> </w:t>
          </w:r>
          <w:r>
            <w:rPr>
              <w:rFonts w:ascii="Palatino Linotype" w:eastAsia="Palatino Linotype" w:hAnsi="Palatino Linotype" w:cs="Palatino Linotype"/>
              <w:b/>
              <w:sz w:val="21"/>
              <w:szCs w:val="21"/>
            </w:rPr>
            <w:t>XXXXX</w:t>
          </w:r>
        </w:p>
      </w:tc>
    </w:tr>
    <w:tr w:rsidR="008018CA" w14:paraId="38C399DE" w14:textId="77777777">
      <w:trPr>
        <w:trHeight w:val="228"/>
      </w:trPr>
      <w:tc>
        <w:tcPr>
          <w:tcW w:w="2551" w:type="dxa"/>
          <w:vAlign w:val="center"/>
        </w:tcPr>
        <w:p w14:paraId="252650A7" w14:textId="77777777" w:rsidR="008018CA" w:rsidRDefault="008A6E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49F0DFB9" w14:textId="77777777" w:rsidR="008018CA" w:rsidRDefault="008A6E6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Cuautitlán</w:t>
          </w:r>
        </w:p>
      </w:tc>
    </w:tr>
    <w:tr w:rsidR="008018CA" w14:paraId="2350842D" w14:textId="77777777">
      <w:tc>
        <w:tcPr>
          <w:tcW w:w="2551" w:type="dxa"/>
          <w:vAlign w:val="center"/>
        </w:tcPr>
        <w:p w14:paraId="42F2B570" w14:textId="77777777" w:rsidR="008018CA" w:rsidRDefault="008A6E6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742750B7" w14:textId="77777777" w:rsidR="008018CA" w:rsidRDefault="008A6E6C">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2EB8A63" w14:textId="77777777" w:rsidR="008018CA" w:rsidRDefault="008018CA">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2F3E0" w14:textId="77777777" w:rsidR="008018CA" w:rsidRDefault="008A6E6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90852"/>
    <w:multiLevelType w:val="multilevel"/>
    <w:tmpl w:val="BE762CD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20C2744C"/>
    <w:multiLevelType w:val="multilevel"/>
    <w:tmpl w:val="CCD22E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7072A52"/>
    <w:multiLevelType w:val="multilevel"/>
    <w:tmpl w:val="74D6D9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99777F"/>
    <w:multiLevelType w:val="multilevel"/>
    <w:tmpl w:val="2AC408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8CA"/>
    <w:rsid w:val="000745AC"/>
    <w:rsid w:val="001601FF"/>
    <w:rsid w:val="001D0436"/>
    <w:rsid w:val="0021425E"/>
    <w:rsid w:val="002B6BC8"/>
    <w:rsid w:val="00312768"/>
    <w:rsid w:val="003E51E6"/>
    <w:rsid w:val="004710E5"/>
    <w:rsid w:val="0056297D"/>
    <w:rsid w:val="00570F07"/>
    <w:rsid w:val="005F6E3B"/>
    <w:rsid w:val="006570C1"/>
    <w:rsid w:val="00795CD6"/>
    <w:rsid w:val="008018CA"/>
    <w:rsid w:val="008A6E6C"/>
    <w:rsid w:val="009A4B40"/>
    <w:rsid w:val="009E53DC"/>
    <w:rsid w:val="00AA5806"/>
    <w:rsid w:val="00CD394A"/>
    <w:rsid w:val="00CE5A2B"/>
    <w:rsid w:val="00E14633"/>
    <w:rsid w:val="00ED3BDC"/>
    <w:rsid w:val="00F149FB"/>
    <w:rsid w:val="00FC71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3454A"/>
  <w15:docId w15:val="{53426CF9-D4F4-4AB5-996D-FA2CCDB73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65F"/>
    <w:rPr>
      <w:lang w:eastAsia="es-ES"/>
    </w:rPr>
  </w:style>
  <w:style w:type="paragraph" w:styleId="Ttulo1">
    <w:name w:val="heading 1"/>
    <w:basedOn w:val="Normal"/>
    <w:next w:val="Normal"/>
    <w:link w:val="Ttulo1Car"/>
    <w:uiPriority w:val="9"/>
    <w:qFormat/>
    <w:rsid w:val="00303B2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F13CBB"/>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292"/>
    <w:rPr>
      <w:rFonts w:eastAsiaTheme="minorEastAsia"/>
      <w:sz w:val="24"/>
      <w:szCs w:val="24"/>
      <w:lang w:val="es-ES_tradnl" w:eastAsia="es-ES"/>
    </w:rPr>
  </w:style>
  <w:style w:type="paragraph" w:styleId="Piedepgina">
    <w:name w:val="footer"/>
    <w:basedOn w:val="Normal"/>
    <w:link w:val="PiedepginaCar"/>
    <w:uiPriority w:val="99"/>
    <w:unhideWhenUsed/>
    <w:rsid w:val="005B22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292"/>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292"/>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292"/>
    <w:pPr>
      <w:ind w:left="708"/>
    </w:pPr>
    <w:rPr>
      <w:sz w:val="22"/>
      <w:szCs w:val="22"/>
      <w:lang w:eastAsia="en-US"/>
    </w:rPr>
  </w:style>
  <w:style w:type="table" w:styleId="Tablaconcuadrcula">
    <w:name w:val="Table Grid"/>
    <w:basedOn w:val="Tablanormal"/>
    <w:uiPriority w:val="59"/>
    <w:rsid w:val="005B2292"/>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B2292"/>
  </w:style>
  <w:style w:type="character" w:customStyle="1" w:styleId="apple-converted-space">
    <w:name w:val="apple-converted-space"/>
    <w:basedOn w:val="Fuentedeprrafopredeter"/>
    <w:rsid w:val="005B2292"/>
  </w:style>
  <w:style w:type="character" w:styleId="Hipervnculo">
    <w:name w:val="Hyperlink"/>
    <w:basedOn w:val="Fuentedeprrafopredeter"/>
    <w:uiPriority w:val="99"/>
    <w:unhideWhenUsed/>
    <w:rsid w:val="005B2292"/>
    <w:rPr>
      <w:color w:val="0000FF"/>
      <w:u w:val="single"/>
    </w:rPr>
  </w:style>
  <w:style w:type="paragraph" w:customStyle="1" w:styleId="paragraph">
    <w:name w:val="paragraph"/>
    <w:basedOn w:val="Normal"/>
    <w:rsid w:val="005B2292"/>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5B2292"/>
    <w:rPr>
      <w:lang w:val="es-MX" w:eastAsia="es-ES"/>
    </w:rPr>
  </w:style>
  <w:style w:type="character" w:customStyle="1" w:styleId="SinespaciadoCar">
    <w:name w:val="Sin espaciado Car"/>
    <w:aliases w:val="Francesa Car,INAI Car"/>
    <w:link w:val="Sinespaciado"/>
    <w:uiPriority w:val="1"/>
    <w:locked/>
    <w:rsid w:val="005B2292"/>
    <w:rPr>
      <w:rFonts w:ascii="Times New Roman" w:eastAsia="Times New Roman" w:hAnsi="Times New Roman" w:cs="Times New Roman"/>
      <w:sz w:val="24"/>
      <w:szCs w:val="24"/>
      <w:lang w:val="es-MX"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2292"/>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B2292"/>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B2292"/>
    <w:rPr>
      <w:sz w:val="20"/>
      <w:szCs w:val="20"/>
      <w:lang w:val="es-MX"/>
    </w:rPr>
  </w:style>
  <w:style w:type="paragraph" w:styleId="z-Principiodelformulario">
    <w:name w:val="HTML Top of Form"/>
    <w:basedOn w:val="Normal"/>
    <w:next w:val="Normal"/>
    <w:link w:val="z-PrincipiodelformularioCar"/>
    <w:hidden/>
    <w:uiPriority w:val="99"/>
    <w:semiHidden/>
    <w:unhideWhenUsed/>
    <w:rsid w:val="001429B1"/>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1429B1"/>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429B1"/>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1429B1"/>
    <w:rPr>
      <w:rFonts w:ascii="Arial" w:eastAsia="Times New Roman" w:hAnsi="Arial" w:cs="Arial"/>
      <w:vanish/>
      <w:sz w:val="16"/>
      <w:szCs w:val="16"/>
      <w:lang w:eastAsia="es-ES"/>
    </w:rPr>
  </w:style>
  <w:style w:type="character" w:styleId="nfasisintenso">
    <w:name w:val="Intense Emphasis"/>
    <w:basedOn w:val="Fuentedeprrafopredeter"/>
    <w:uiPriority w:val="21"/>
    <w:qFormat/>
    <w:rsid w:val="0005620C"/>
    <w:rPr>
      <w:i/>
      <w:iCs/>
      <w:color w:val="5B9BD5" w:themeColor="accent1"/>
    </w:rPr>
  </w:style>
  <w:style w:type="table" w:customStyle="1" w:styleId="Tablaconcuadrcula1">
    <w:name w:val="Tabla con cuadrícula1"/>
    <w:basedOn w:val="Tablanormal"/>
    <w:next w:val="Tablaconcuadrcula"/>
    <w:uiPriority w:val="39"/>
    <w:rsid w:val="002D5368"/>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03B21"/>
    <w:rPr>
      <w:rFonts w:ascii="Tahoma" w:hAnsi="Tahoma" w:cs="Tahoma"/>
      <w:sz w:val="16"/>
      <w:szCs w:val="16"/>
    </w:rPr>
  </w:style>
  <w:style w:type="character" w:customStyle="1" w:styleId="TextodegloboCar">
    <w:name w:val="Texto de globo Car"/>
    <w:basedOn w:val="Fuentedeprrafopredeter"/>
    <w:link w:val="Textodeglobo"/>
    <w:uiPriority w:val="99"/>
    <w:semiHidden/>
    <w:rsid w:val="00303B21"/>
    <w:rPr>
      <w:rFonts w:ascii="Tahoma" w:eastAsia="Times New Roman" w:hAnsi="Tahoma" w:cs="Tahoma"/>
      <w:sz w:val="16"/>
      <w:szCs w:val="16"/>
      <w:lang w:eastAsia="es-ES"/>
    </w:rPr>
  </w:style>
  <w:style w:type="character" w:customStyle="1" w:styleId="Ttulo1Car">
    <w:name w:val="Título 1 Car"/>
    <w:basedOn w:val="Fuentedeprrafopredeter"/>
    <w:link w:val="Ttulo1"/>
    <w:uiPriority w:val="9"/>
    <w:rsid w:val="00303B21"/>
    <w:rPr>
      <w:rFonts w:asciiTheme="majorHAnsi" w:eastAsiaTheme="majorEastAsia" w:hAnsiTheme="majorHAnsi" w:cstheme="majorBidi"/>
      <w:b/>
      <w:bCs/>
      <w:color w:val="2E74B5" w:themeColor="accent1" w:themeShade="BF"/>
      <w:sz w:val="28"/>
      <w:szCs w:val="28"/>
      <w:lang w:eastAsia="es-ES"/>
    </w:rPr>
  </w:style>
  <w:style w:type="table" w:customStyle="1" w:styleId="Tablaconcuadrcula2">
    <w:name w:val="Tabla con cuadrícula2"/>
    <w:basedOn w:val="Tablanormal"/>
    <w:next w:val="Tablaconcuadrcula"/>
    <w:uiPriority w:val="59"/>
    <w:rsid w:val="00255CC3"/>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nfasis11">
    <w:name w:val="Tabla de lista 1 clara - Énfasis 11"/>
    <w:basedOn w:val="Tablanormal"/>
    <w:uiPriority w:val="46"/>
    <w:rsid w:val="00255CC3"/>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4Car">
    <w:name w:val="Título 4 Car"/>
    <w:basedOn w:val="Fuentedeprrafopredeter"/>
    <w:link w:val="Ttulo4"/>
    <w:uiPriority w:val="9"/>
    <w:semiHidden/>
    <w:rsid w:val="00F13CBB"/>
    <w:rPr>
      <w:rFonts w:asciiTheme="majorHAnsi" w:eastAsiaTheme="majorEastAsia" w:hAnsiTheme="majorHAnsi" w:cstheme="majorBidi"/>
      <w:i/>
      <w:iCs/>
      <w:color w:val="2E74B5" w:themeColor="accent1" w:themeShade="BF"/>
      <w:sz w:val="24"/>
      <w:szCs w:val="24"/>
      <w:lang w:eastAsia="es-ES"/>
    </w:rPr>
  </w:style>
  <w:style w:type="table" w:customStyle="1" w:styleId="Tabladelista1clara-nfasis121">
    <w:name w:val="Tabla de lista 1 clara - Énfasis 121"/>
    <w:basedOn w:val="Tablanormal"/>
    <w:next w:val="Tabladelista1clara-nfasis1"/>
    <w:uiPriority w:val="46"/>
    <w:rsid w:val="0063318C"/>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63318C"/>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il">
    <w:name w:val="il"/>
    <w:basedOn w:val="Fuentedeprrafopredeter"/>
    <w:rsid w:val="00390BA7"/>
  </w:style>
  <w:style w:type="paragraph" w:styleId="NormalWeb">
    <w:name w:val="Normal (Web)"/>
    <w:basedOn w:val="Normal"/>
    <w:uiPriority w:val="99"/>
    <w:unhideWhenUsed/>
    <w:rsid w:val="00390BA7"/>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29056.page"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aimex.org.mx/saimex/solicitud/downloadAttach/1267526.pag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43820.page" TargetMode="External"/><Relationship Id="rId14" Type="http://schemas.openxmlformats.org/officeDocument/2006/relationships/hyperlink" Target="https://www.saimex.org.mx/saimex/solicitud/downloadAttach/1267526.pag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xV/1wfsaLgj496NchXiZ1b2xUw==">AMUW2mVnGbqU/dGxN3ZQzpUYPfSBpa/jKJ8nMSeAaDNiGs/Dp0lnn2WjAigFN3KhKiQwhqWr6oYXZhgrWpg3xOGaXMYAoNreF/ChKqNu48pmRozZoiGXwxQ=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35</Pages>
  <Words>6881</Words>
  <Characters>37848</Characters>
  <Application>Microsoft Office Word</Application>
  <DocSecurity>0</DocSecurity>
  <Lines>315</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sonyy</dc:creator>
  <cp:lastModifiedBy>Carlos Alberto Cortes Diaz</cp:lastModifiedBy>
  <cp:revision>10</cp:revision>
  <dcterms:created xsi:type="dcterms:W3CDTF">2022-01-20T22:57:00Z</dcterms:created>
  <dcterms:modified xsi:type="dcterms:W3CDTF">2022-01-28T05:07:00Z</dcterms:modified>
</cp:coreProperties>
</file>