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E75B" w14:textId="094C7A9C" w:rsidR="0091500F" w:rsidRPr="005B5632" w:rsidRDefault="0091500F" w:rsidP="005B5632">
      <w:pPr>
        <w:spacing w:line="360" w:lineRule="auto"/>
        <w:jc w:val="both"/>
        <w:rPr>
          <w:rFonts w:ascii="Palatino Linotype" w:hAnsi="Palatino Linotype"/>
        </w:rPr>
      </w:pPr>
      <w:r w:rsidRPr="005B5632">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396933" w:rsidRPr="005B5632">
        <w:rPr>
          <w:rFonts w:ascii="Palatino Linotype" w:hAnsi="Palatino Linotype"/>
        </w:rPr>
        <w:t xml:space="preserve"> </w:t>
      </w:r>
      <w:r w:rsidR="00310C7E" w:rsidRPr="005B5632">
        <w:rPr>
          <w:rFonts w:ascii="Palatino Linotype" w:hAnsi="Palatino Linotype"/>
        </w:rPr>
        <w:t>nueve</w:t>
      </w:r>
      <w:r w:rsidRPr="005B5632">
        <w:rPr>
          <w:rFonts w:ascii="Palatino Linotype" w:hAnsi="Palatino Linotype"/>
        </w:rPr>
        <w:t xml:space="preserve"> de noviembre de dos mil veintidós. </w:t>
      </w:r>
    </w:p>
    <w:p w14:paraId="72C1498D" w14:textId="77777777" w:rsidR="0091500F" w:rsidRPr="005B5632" w:rsidRDefault="0091500F" w:rsidP="005B5632">
      <w:pPr>
        <w:spacing w:line="360" w:lineRule="auto"/>
        <w:jc w:val="both"/>
        <w:rPr>
          <w:rFonts w:ascii="Palatino Linotype" w:hAnsi="Palatino Linotype"/>
        </w:rPr>
      </w:pPr>
    </w:p>
    <w:p w14:paraId="7C2F889A" w14:textId="322F1FC2"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Visto el expediente relativo al recurso de revisión </w:t>
      </w:r>
      <w:r w:rsidRPr="005B5632">
        <w:rPr>
          <w:rFonts w:ascii="Palatino Linotype" w:hAnsi="Palatino Linotype"/>
          <w:b/>
        </w:rPr>
        <w:t>07889/INFOEM/IP/RR/2022</w:t>
      </w:r>
      <w:r w:rsidRPr="005B5632">
        <w:rPr>
          <w:rFonts w:ascii="Palatino Linotype" w:hAnsi="Palatino Linotype"/>
        </w:rPr>
        <w:t xml:space="preserve">, interpuesto por </w:t>
      </w:r>
      <w:r w:rsidR="00C12BA1">
        <w:rPr>
          <w:rFonts w:ascii="Palatino Linotype" w:hAnsi="Palatino Linotype"/>
          <w:b/>
        </w:rPr>
        <w:t xml:space="preserve">XXXXX </w:t>
      </w:r>
      <w:proofErr w:type="spellStart"/>
      <w:r w:rsidR="00C12BA1">
        <w:rPr>
          <w:rFonts w:ascii="Palatino Linotype" w:hAnsi="Palatino Linotype"/>
          <w:b/>
        </w:rPr>
        <w:t>XXXXX</w:t>
      </w:r>
      <w:proofErr w:type="spellEnd"/>
      <w:r w:rsidR="00C12BA1">
        <w:rPr>
          <w:rFonts w:ascii="Palatino Linotype" w:hAnsi="Palatino Linotype"/>
          <w:b/>
        </w:rPr>
        <w:t xml:space="preserve"> </w:t>
      </w:r>
      <w:proofErr w:type="spellStart"/>
      <w:r w:rsidR="00C12BA1">
        <w:rPr>
          <w:rFonts w:ascii="Palatino Linotype" w:hAnsi="Palatino Linotype"/>
          <w:b/>
        </w:rPr>
        <w:t>XXXXX</w:t>
      </w:r>
      <w:proofErr w:type="spellEnd"/>
      <w:r w:rsidRPr="005B5632">
        <w:rPr>
          <w:rFonts w:ascii="Palatino Linotype" w:hAnsi="Palatino Linotype"/>
        </w:rPr>
        <w:t>, al cual</w:t>
      </w:r>
      <w:r w:rsidR="001F08B5" w:rsidRPr="005B5632">
        <w:rPr>
          <w:rFonts w:ascii="Palatino Linotype" w:hAnsi="Palatino Linotype"/>
        </w:rPr>
        <w:t xml:space="preserve"> en lo sucesivo se le denominará</w:t>
      </w:r>
      <w:r w:rsidRPr="005B5632">
        <w:rPr>
          <w:rFonts w:ascii="Palatino Linotype" w:hAnsi="Palatino Linotype"/>
        </w:rPr>
        <w:t xml:space="preserve"> el </w:t>
      </w:r>
      <w:r w:rsidRPr="005B5632">
        <w:rPr>
          <w:rFonts w:ascii="Palatino Linotype" w:hAnsi="Palatino Linotype"/>
          <w:b/>
        </w:rPr>
        <w:t>RECURRENTE</w:t>
      </w:r>
      <w:r w:rsidRPr="005B5632">
        <w:rPr>
          <w:rFonts w:ascii="Palatino Linotype" w:hAnsi="Palatino Linotype"/>
        </w:rPr>
        <w:t xml:space="preserve">, en contra de la respuesta a su solicitud de información identificada con número de folio </w:t>
      </w:r>
      <w:r w:rsidRPr="005B5632">
        <w:rPr>
          <w:rFonts w:ascii="Palatino Linotype" w:hAnsi="Palatino Linotype"/>
          <w:b/>
        </w:rPr>
        <w:t>00051/MELOCAM/IP/2022</w:t>
      </w:r>
      <w:r w:rsidRPr="005B5632">
        <w:rPr>
          <w:rFonts w:ascii="Palatino Linotype" w:hAnsi="Palatino Linotype"/>
        </w:rPr>
        <w:t xml:space="preserve"> proporcionada por parte del </w:t>
      </w:r>
      <w:r w:rsidRPr="005B5632">
        <w:rPr>
          <w:rFonts w:ascii="Palatino Linotype" w:hAnsi="Palatino Linotype"/>
          <w:b/>
        </w:rPr>
        <w:t>Ayuntamiento de Melchor Ocampo</w:t>
      </w:r>
      <w:r w:rsidRPr="005B5632">
        <w:rPr>
          <w:rFonts w:ascii="Palatino Linotype" w:hAnsi="Palatino Linotype"/>
        </w:rPr>
        <w:t xml:space="preserve">, en lo sucesivo el </w:t>
      </w:r>
      <w:r w:rsidRPr="005B5632">
        <w:rPr>
          <w:rFonts w:ascii="Palatino Linotype" w:hAnsi="Palatino Linotype"/>
          <w:b/>
        </w:rPr>
        <w:t>SUJETO OBLIGADO</w:t>
      </w:r>
      <w:r w:rsidRPr="005B5632">
        <w:rPr>
          <w:rFonts w:ascii="Palatino Linotype" w:hAnsi="Palatino Linotype"/>
        </w:rPr>
        <w:t>; se procede a dictar la presente resolución, con base en los siguientes:</w:t>
      </w:r>
    </w:p>
    <w:p w14:paraId="469868D1" w14:textId="77777777" w:rsidR="0091500F" w:rsidRPr="005B5632" w:rsidRDefault="0091500F" w:rsidP="005B5632">
      <w:pPr>
        <w:spacing w:line="360" w:lineRule="auto"/>
        <w:jc w:val="both"/>
        <w:rPr>
          <w:rFonts w:ascii="Palatino Linotype" w:hAnsi="Palatino Linotype"/>
        </w:rPr>
      </w:pPr>
    </w:p>
    <w:p w14:paraId="5FF9F0EA" w14:textId="77777777" w:rsidR="0091500F" w:rsidRPr="005B5632" w:rsidRDefault="0091500F" w:rsidP="005B5632">
      <w:pPr>
        <w:spacing w:line="360" w:lineRule="auto"/>
        <w:jc w:val="center"/>
        <w:rPr>
          <w:rFonts w:ascii="Palatino Linotype" w:hAnsi="Palatino Linotype"/>
          <w:b/>
        </w:rPr>
      </w:pPr>
      <w:r w:rsidRPr="005B5632">
        <w:rPr>
          <w:rFonts w:ascii="Palatino Linotype" w:hAnsi="Palatino Linotype"/>
          <w:b/>
        </w:rPr>
        <w:t>I.</w:t>
      </w:r>
      <w:r w:rsidRPr="005B5632">
        <w:rPr>
          <w:rFonts w:ascii="Palatino Linotype" w:hAnsi="Palatino Linotype"/>
          <w:b/>
        </w:rPr>
        <w:tab/>
        <w:t>A N T E C E D E N T E S</w:t>
      </w:r>
    </w:p>
    <w:p w14:paraId="129C3CCB" w14:textId="77777777" w:rsidR="0091500F" w:rsidRPr="005B5632" w:rsidRDefault="0091500F" w:rsidP="005B5632">
      <w:pPr>
        <w:spacing w:line="360" w:lineRule="auto"/>
        <w:jc w:val="both"/>
        <w:rPr>
          <w:rFonts w:ascii="Palatino Linotype" w:hAnsi="Palatino Linotype"/>
        </w:rPr>
      </w:pPr>
    </w:p>
    <w:p w14:paraId="0ED4EDEC" w14:textId="125FE78F" w:rsidR="0091500F" w:rsidRPr="005B5632" w:rsidRDefault="0091500F" w:rsidP="005B5632">
      <w:pPr>
        <w:pStyle w:val="Prrafodelista"/>
        <w:numPr>
          <w:ilvl w:val="0"/>
          <w:numId w:val="20"/>
        </w:numPr>
        <w:spacing w:line="360" w:lineRule="auto"/>
        <w:ind w:left="0" w:firstLine="0"/>
        <w:jc w:val="both"/>
        <w:rPr>
          <w:rFonts w:ascii="Palatino Linotype" w:hAnsi="Palatino Linotype"/>
          <w:sz w:val="24"/>
        </w:rPr>
      </w:pPr>
      <w:r w:rsidRPr="005B5632">
        <w:rPr>
          <w:rFonts w:ascii="Palatino Linotype" w:hAnsi="Palatino Linotype"/>
          <w:b/>
          <w:sz w:val="24"/>
        </w:rPr>
        <w:t>Solicitud de acceso a la información</w:t>
      </w:r>
      <w:r w:rsidRPr="005B5632">
        <w:rPr>
          <w:rFonts w:ascii="Palatino Linotype" w:hAnsi="Palatino Linotype"/>
          <w:sz w:val="24"/>
        </w:rPr>
        <w:t xml:space="preserve">. Con fecha </w:t>
      </w:r>
      <w:r w:rsidRPr="005B5632">
        <w:rPr>
          <w:rFonts w:ascii="Palatino Linotype" w:hAnsi="Palatino Linotype"/>
          <w:b/>
          <w:sz w:val="24"/>
        </w:rPr>
        <w:t>dieciocho de abril de dos mil veintidós</w:t>
      </w:r>
      <w:r w:rsidRPr="005B5632">
        <w:rPr>
          <w:rFonts w:ascii="Palatino Linotype" w:hAnsi="Palatino Linotype"/>
          <w:sz w:val="24"/>
        </w:rPr>
        <w:t xml:space="preserve">, la parte </w:t>
      </w:r>
      <w:r w:rsidRPr="005B5632">
        <w:rPr>
          <w:rFonts w:ascii="Palatino Linotype" w:hAnsi="Palatino Linotype"/>
          <w:b/>
          <w:sz w:val="24"/>
        </w:rPr>
        <w:t>RECURRENTE</w:t>
      </w:r>
      <w:r w:rsidRPr="005B5632">
        <w:rPr>
          <w:rFonts w:ascii="Palatino Linotype" w:hAnsi="Palatino Linotype"/>
          <w:sz w:val="24"/>
        </w:rPr>
        <w:t xml:space="preserve"> formuló solicitud de acceso a información pública </w:t>
      </w:r>
      <w:proofErr w:type="gramStart"/>
      <w:r w:rsidRPr="005B5632">
        <w:rPr>
          <w:rFonts w:ascii="Palatino Linotype" w:hAnsi="Palatino Linotype"/>
          <w:sz w:val="24"/>
        </w:rPr>
        <w:t xml:space="preserve">al  </w:t>
      </w:r>
      <w:r w:rsidRPr="005B5632">
        <w:rPr>
          <w:rFonts w:ascii="Palatino Linotype" w:hAnsi="Palatino Linotype"/>
          <w:b/>
          <w:sz w:val="24"/>
        </w:rPr>
        <w:t>SUJETO</w:t>
      </w:r>
      <w:proofErr w:type="gramEnd"/>
      <w:r w:rsidRPr="005B5632">
        <w:rPr>
          <w:rFonts w:ascii="Palatino Linotype" w:hAnsi="Palatino Linotype"/>
          <w:b/>
          <w:sz w:val="24"/>
        </w:rPr>
        <w:t xml:space="preserve"> OBLIGADO</w:t>
      </w:r>
      <w:r w:rsidRPr="005B5632">
        <w:rPr>
          <w:rFonts w:ascii="Palatino Linotype" w:hAnsi="Palatino Linotype"/>
          <w:sz w:val="24"/>
        </w:rPr>
        <w:t xml:space="preserve"> a través del Sistema de Acceso a la Información Mexiquense, en adelante </w:t>
      </w:r>
      <w:r w:rsidRPr="005B5632">
        <w:rPr>
          <w:rFonts w:ascii="Palatino Linotype" w:hAnsi="Palatino Linotype"/>
          <w:b/>
          <w:sz w:val="24"/>
        </w:rPr>
        <w:t>SAIMEX</w:t>
      </w:r>
      <w:r w:rsidRPr="005B5632">
        <w:rPr>
          <w:rFonts w:ascii="Palatino Linotype" w:hAnsi="Palatino Linotype"/>
          <w:sz w:val="24"/>
        </w:rPr>
        <w:t xml:space="preserve">, en la que requirió lo siguiente: </w:t>
      </w:r>
    </w:p>
    <w:p w14:paraId="19B836BA" w14:textId="77777777" w:rsidR="0091500F" w:rsidRPr="005B5632" w:rsidRDefault="0091500F" w:rsidP="005B5632">
      <w:pPr>
        <w:spacing w:line="360" w:lineRule="auto"/>
        <w:jc w:val="both"/>
        <w:rPr>
          <w:rFonts w:ascii="Palatino Linotype" w:hAnsi="Palatino Linotype"/>
        </w:rPr>
      </w:pPr>
    </w:p>
    <w:p w14:paraId="4B1835B1" w14:textId="77777777" w:rsidR="0091500F" w:rsidRPr="005B5632" w:rsidRDefault="0091500F" w:rsidP="005B5632">
      <w:pPr>
        <w:spacing w:line="360" w:lineRule="auto"/>
        <w:ind w:left="567" w:right="616"/>
        <w:jc w:val="both"/>
        <w:rPr>
          <w:rFonts w:ascii="Palatino Linotype" w:hAnsi="Palatino Linotype"/>
          <w:i/>
          <w:sz w:val="22"/>
        </w:rPr>
      </w:pPr>
      <w:r w:rsidRPr="005B5632">
        <w:rPr>
          <w:rFonts w:ascii="Palatino Linotype" w:hAnsi="Palatino Linotype"/>
          <w:i/>
          <w:sz w:val="22"/>
        </w:rPr>
        <w:t xml:space="preserve">“Solicitó información del avance de aplicación a los elementos activos del MUNICIPIO DE MELCHOR OCAMPO sobre exámenes de control y confianza de los elementos activos al día de hoy (12 de abril del 2022), cuanto aprobados, cuantos removidos de su cargo por no aprobar los exámenes, el programa de capacitación para los elementos activos, monto del presupuesto anual del ejercicio fiscal 2022 destinado a la capacitación (anexar documentación para verificación del monto)y adiestramiento para los elementos </w:t>
      </w:r>
      <w:r w:rsidRPr="005B5632">
        <w:rPr>
          <w:rFonts w:ascii="Palatino Linotype" w:hAnsi="Palatino Linotype"/>
          <w:i/>
          <w:sz w:val="22"/>
        </w:rPr>
        <w:lastRenderedPageBreak/>
        <w:t xml:space="preserve">de seguridad pública. Organigrama de mandos altos, mandos medios, así como versión publica de los </w:t>
      </w:r>
      <w:proofErr w:type="spellStart"/>
      <w:r w:rsidRPr="005B5632">
        <w:rPr>
          <w:rFonts w:ascii="Palatino Linotype" w:hAnsi="Palatino Linotype"/>
          <w:i/>
          <w:sz w:val="22"/>
        </w:rPr>
        <w:t>curriculums</w:t>
      </w:r>
      <w:proofErr w:type="spellEnd"/>
      <w:r w:rsidRPr="005B5632">
        <w:rPr>
          <w:rFonts w:ascii="Palatino Linotype" w:hAnsi="Palatino Linotype"/>
          <w:i/>
          <w:sz w:val="22"/>
        </w:rPr>
        <w:t xml:space="preserve"> de los elementos y la aprobación de </w:t>
      </w:r>
      <w:proofErr w:type="spellStart"/>
      <w:r w:rsidRPr="005B5632">
        <w:rPr>
          <w:rFonts w:ascii="Palatino Linotype" w:hAnsi="Palatino Linotype"/>
          <w:i/>
          <w:sz w:val="22"/>
        </w:rPr>
        <w:t>examenes</w:t>
      </w:r>
      <w:proofErr w:type="spellEnd"/>
      <w:r w:rsidRPr="005B5632">
        <w:rPr>
          <w:rFonts w:ascii="Palatino Linotype" w:hAnsi="Palatino Linotype"/>
          <w:i/>
          <w:sz w:val="22"/>
        </w:rPr>
        <w:t xml:space="preserve"> de control y confianza, </w:t>
      </w:r>
      <w:proofErr w:type="spellStart"/>
      <w:r w:rsidRPr="005B5632">
        <w:rPr>
          <w:rFonts w:ascii="Palatino Linotype" w:hAnsi="Palatino Linotype"/>
          <w:i/>
          <w:sz w:val="22"/>
        </w:rPr>
        <w:t>asi</w:t>
      </w:r>
      <w:proofErr w:type="spellEnd"/>
      <w:r w:rsidRPr="005B5632">
        <w:rPr>
          <w:rFonts w:ascii="Palatino Linotype" w:hAnsi="Palatino Linotype"/>
          <w:i/>
          <w:sz w:val="22"/>
        </w:rPr>
        <w:t xml:space="preserve"> como antidoping “.  (Sic)</w:t>
      </w:r>
    </w:p>
    <w:p w14:paraId="7AD0A302" w14:textId="77777777" w:rsidR="0091500F" w:rsidRPr="005B5632" w:rsidRDefault="0091500F" w:rsidP="005B5632">
      <w:pPr>
        <w:spacing w:line="360" w:lineRule="auto"/>
        <w:jc w:val="both"/>
        <w:rPr>
          <w:rFonts w:ascii="Palatino Linotype" w:hAnsi="Palatino Linotype"/>
        </w:rPr>
      </w:pPr>
    </w:p>
    <w:p w14:paraId="310A9085"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b/>
        </w:rPr>
        <w:t>Modalidad elegida para la entrega de la información:</w:t>
      </w:r>
      <w:r w:rsidRPr="005B5632">
        <w:rPr>
          <w:rFonts w:ascii="Palatino Linotype" w:hAnsi="Palatino Linotype"/>
        </w:rPr>
        <w:t xml:space="preserve"> a través del Sistema de Acceso a la Información Mexiquense (SAIMEX).</w:t>
      </w:r>
    </w:p>
    <w:p w14:paraId="7D56FD7A" w14:textId="77777777" w:rsidR="0091500F" w:rsidRPr="005B5632" w:rsidRDefault="0091500F" w:rsidP="005B5632">
      <w:pPr>
        <w:spacing w:line="360" w:lineRule="auto"/>
        <w:jc w:val="both"/>
        <w:rPr>
          <w:rFonts w:ascii="Palatino Linotype" w:hAnsi="Palatino Linotype"/>
        </w:rPr>
      </w:pPr>
    </w:p>
    <w:p w14:paraId="0D47363F" w14:textId="7FEDC7A7" w:rsidR="0091500F" w:rsidRPr="005B5632" w:rsidRDefault="0091500F" w:rsidP="005B5632">
      <w:pPr>
        <w:pStyle w:val="Prrafodelista"/>
        <w:numPr>
          <w:ilvl w:val="0"/>
          <w:numId w:val="20"/>
        </w:numPr>
        <w:spacing w:line="360" w:lineRule="auto"/>
        <w:ind w:left="0" w:firstLine="0"/>
        <w:jc w:val="both"/>
        <w:rPr>
          <w:rFonts w:ascii="Palatino Linotype" w:hAnsi="Palatino Linotype"/>
          <w:sz w:val="24"/>
        </w:rPr>
      </w:pPr>
      <w:r w:rsidRPr="005B5632">
        <w:rPr>
          <w:rFonts w:ascii="Palatino Linotype" w:hAnsi="Palatino Linotype"/>
          <w:b/>
          <w:sz w:val="24"/>
        </w:rPr>
        <w:t>Respuesta</w:t>
      </w:r>
      <w:r w:rsidRPr="005B5632">
        <w:rPr>
          <w:rFonts w:ascii="Palatino Linotype" w:hAnsi="Palatino Linotype"/>
          <w:sz w:val="24"/>
        </w:rPr>
        <w:t xml:space="preserve">. Con fecha </w:t>
      </w:r>
      <w:r w:rsidRPr="005B5632">
        <w:rPr>
          <w:rFonts w:ascii="Palatino Linotype" w:hAnsi="Palatino Linotype"/>
          <w:b/>
          <w:sz w:val="24"/>
        </w:rPr>
        <w:t>nueve de mayo de dos mil veintidós</w:t>
      </w:r>
      <w:r w:rsidRPr="005B5632">
        <w:rPr>
          <w:rFonts w:ascii="Palatino Linotype" w:hAnsi="Palatino Linotype"/>
          <w:sz w:val="24"/>
        </w:rPr>
        <w:t xml:space="preserve">, el </w:t>
      </w:r>
      <w:r w:rsidRPr="005B5632">
        <w:rPr>
          <w:rFonts w:ascii="Palatino Linotype" w:hAnsi="Palatino Linotype"/>
          <w:b/>
          <w:sz w:val="24"/>
        </w:rPr>
        <w:t xml:space="preserve">SUJETO OBLIGADO </w:t>
      </w:r>
      <w:r w:rsidRPr="005B5632">
        <w:rPr>
          <w:rFonts w:ascii="Palatino Linotype" w:hAnsi="Palatino Linotype"/>
          <w:sz w:val="24"/>
        </w:rPr>
        <w:t xml:space="preserve">envió su respuesta a la solicitud de acceso a la información a través del </w:t>
      </w:r>
      <w:r w:rsidRPr="005B5632">
        <w:rPr>
          <w:rFonts w:ascii="Palatino Linotype" w:hAnsi="Palatino Linotype"/>
          <w:b/>
          <w:sz w:val="24"/>
        </w:rPr>
        <w:t>SAIMEX</w:t>
      </w:r>
      <w:r w:rsidRPr="005B5632">
        <w:rPr>
          <w:rFonts w:ascii="Palatino Linotype" w:hAnsi="Palatino Linotype"/>
          <w:sz w:val="24"/>
        </w:rPr>
        <w:t>, la cual versa como sigue:</w:t>
      </w:r>
    </w:p>
    <w:p w14:paraId="7FF8CB5A" w14:textId="77777777" w:rsidR="0091500F" w:rsidRPr="005B5632" w:rsidRDefault="0091500F" w:rsidP="005B5632">
      <w:pPr>
        <w:spacing w:line="360" w:lineRule="auto"/>
        <w:jc w:val="both"/>
        <w:rPr>
          <w:rFonts w:ascii="Palatino Linotype" w:hAnsi="Palatino Linotype"/>
        </w:rPr>
      </w:pPr>
    </w:p>
    <w:p w14:paraId="78CA4C3C" w14:textId="77777777" w:rsidR="0091500F" w:rsidRPr="005B5632" w:rsidRDefault="0091500F" w:rsidP="005B5632">
      <w:pPr>
        <w:spacing w:line="360" w:lineRule="auto"/>
        <w:ind w:left="567" w:right="900"/>
        <w:jc w:val="both"/>
        <w:rPr>
          <w:rFonts w:ascii="Palatino Linotype" w:hAnsi="Palatino Linotype"/>
          <w:i/>
          <w:sz w:val="22"/>
        </w:rPr>
      </w:pPr>
      <w:r w:rsidRPr="005B5632">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E12F9F" w14:textId="77777777" w:rsidR="0091500F" w:rsidRPr="005B5632" w:rsidRDefault="0091500F" w:rsidP="005B5632">
      <w:pPr>
        <w:spacing w:line="360" w:lineRule="auto"/>
        <w:ind w:left="567" w:right="900"/>
        <w:jc w:val="both"/>
        <w:rPr>
          <w:rFonts w:ascii="Palatino Linotype" w:hAnsi="Palatino Linotype"/>
          <w:i/>
          <w:sz w:val="22"/>
        </w:rPr>
      </w:pPr>
    </w:p>
    <w:p w14:paraId="4854077D" w14:textId="03DB8746" w:rsidR="0091500F" w:rsidRPr="005B5632" w:rsidRDefault="0091500F" w:rsidP="005B5632">
      <w:pPr>
        <w:spacing w:line="360" w:lineRule="auto"/>
        <w:ind w:left="567" w:right="900"/>
        <w:jc w:val="both"/>
        <w:rPr>
          <w:rFonts w:ascii="Palatino Linotype" w:hAnsi="Palatino Linotype"/>
          <w:i/>
          <w:sz w:val="20"/>
        </w:rPr>
      </w:pPr>
      <w:r w:rsidRPr="005B5632">
        <w:rPr>
          <w:rFonts w:ascii="Palatino Linotype" w:hAnsi="Palatino Linotype"/>
          <w:i/>
          <w:sz w:val="22"/>
        </w:rPr>
        <w:t xml:space="preserve">Estando en tiempo y forma en términos de los artículos 12, 150, 157, 163 y demás relativos de la Ley de Transparencia y Acceso a la Información Pública del Estado de México y Municipios vigente, con respecto a su petición 00051/MELOCAM/IP/2022 mediante el sistema SAIMEX, se le informa: Se le informa con fundamento en lo dispuesto por los artículos 113 fracción I y XII de la ley de transparencia general , articulo 140 fracciones I y XI, </w:t>
      </w:r>
      <w:proofErr w:type="spellStart"/>
      <w:r w:rsidRPr="005B5632">
        <w:rPr>
          <w:rFonts w:ascii="Palatino Linotype" w:hAnsi="Palatino Linotype"/>
          <w:i/>
          <w:sz w:val="22"/>
        </w:rPr>
        <w:t>articulo</w:t>
      </w:r>
      <w:proofErr w:type="spellEnd"/>
      <w:r w:rsidRPr="005B5632">
        <w:rPr>
          <w:rFonts w:ascii="Palatino Linotype" w:hAnsi="Palatino Linotype"/>
          <w:i/>
          <w:sz w:val="22"/>
        </w:rPr>
        <w:t xml:space="preserve"> 143 fracción I de la ley de transparencia del estado de México, articulo 110 párrafo II de al del sistema nacional de seguridad </w:t>
      </w:r>
      <w:proofErr w:type="spellStart"/>
      <w:r w:rsidRPr="005B5632">
        <w:rPr>
          <w:rFonts w:ascii="Palatino Linotype" w:hAnsi="Palatino Linotype"/>
          <w:i/>
          <w:sz w:val="22"/>
        </w:rPr>
        <w:t>publica</w:t>
      </w:r>
      <w:proofErr w:type="spellEnd"/>
      <w:r w:rsidRPr="005B5632">
        <w:rPr>
          <w:rFonts w:ascii="Palatino Linotype" w:hAnsi="Palatino Linotype"/>
          <w:i/>
          <w:sz w:val="22"/>
        </w:rPr>
        <w:t xml:space="preserve">, la información solicitada es de carácter confidencial.. En virtud de lo anterior la presente solicitud se archiva como concluida, y en términos del artículo 176, 177 y 178 de la Ley de Transparencia y </w:t>
      </w:r>
      <w:r w:rsidRPr="005B5632">
        <w:rPr>
          <w:rFonts w:ascii="Palatino Linotype" w:hAnsi="Palatino Linotype"/>
          <w:i/>
          <w:sz w:val="22"/>
        </w:rPr>
        <w:lastRenderedPageBreak/>
        <w:t>Acceso a la Información del Estado de México y Municipios vigente se hace de su conocimiento que tiene el derecho de interponer el recurso de revisión en un término de quince días hábiles.”. (Sic)</w:t>
      </w:r>
    </w:p>
    <w:p w14:paraId="5AB02FD5" w14:textId="77777777" w:rsidR="0091500F" w:rsidRPr="005B5632" w:rsidRDefault="0091500F" w:rsidP="005B5632">
      <w:pPr>
        <w:spacing w:line="360" w:lineRule="auto"/>
        <w:jc w:val="both"/>
        <w:rPr>
          <w:rFonts w:ascii="Palatino Linotype" w:hAnsi="Palatino Linotype"/>
        </w:rPr>
      </w:pPr>
    </w:p>
    <w:p w14:paraId="3427EE06" w14:textId="67B545E0" w:rsidR="0091500F" w:rsidRPr="005B5632" w:rsidRDefault="0091500F" w:rsidP="005B5632">
      <w:pPr>
        <w:pStyle w:val="Prrafodelista"/>
        <w:numPr>
          <w:ilvl w:val="0"/>
          <w:numId w:val="20"/>
        </w:numPr>
        <w:spacing w:line="360" w:lineRule="auto"/>
        <w:ind w:left="0" w:firstLine="0"/>
        <w:jc w:val="both"/>
        <w:rPr>
          <w:rFonts w:ascii="Palatino Linotype" w:hAnsi="Palatino Linotype"/>
          <w:sz w:val="24"/>
        </w:rPr>
      </w:pPr>
      <w:r w:rsidRPr="005B5632">
        <w:rPr>
          <w:rFonts w:ascii="Palatino Linotype" w:hAnsi="Palatino Linotype"/>
          <w:b/>
          <w:sz w:val="24"/>
        </w:rPr>
        <w:t>Interposición del recurso de revisión.</w:t>
      </w:r>
      <w:r w:rsidRPr="005B5632">
        <w:rPr>
          <w:rFonts w:ascii="Palatino Linotype" w:hAnsi="Palatino Linotype"/>
          <w:sz w:val="24"/>
        </w:rPr>
        <w:t xml:space="preserve"> Inconforme el Solicitante con la respuesta del </w:t>
      </w:r>
      <w:r w:rsidRPr="005B5632">
        <w:rPr>
          <w:rFonts w:ascii="Palatino Linotype" w:hAnsi="Palatino Linotype"/>
          <w:b/>
          <w:sz w:val="24"/>
        </w:rPr>
        <w:t>SUJETO OBLIGADO</w:t>
      </w:r>
      <w:r w:rsidRPr="005B5632">
        <w:rPr>
          <w:rFonts w:ascii="Palatino Linotype" w:hAnsi="Palatino Linotype"/>
          <w:sz w:val="24"/>
        </w:rPr>
        <w:t xml:space="preserve"> interpuso Recurso de Revisión a través del </w:t>
      </w:r>
      <w:r w:rsidRPr="005B5632">
        <w:rPr>
          <w:rFonts w:ascii="Palatino Linotype" w:hAnsi="Palatino Linotype"/>
          <w:b/>
          <w:sz w:val="24"/>
        </w:rPr>
        <w:t>SAIMEX</w:t>
      </w:r>
      <w:r w:rsidRPr="005B5632">
        <w:rPr>
          <w:rFonts w:ascii="Palatino Linotype" w:hAnsi="Palatino Linotype"/>
          <w:sz w:val="24"/>
        </w:rPr>
        <w:t xml:space="preserve"> en fecha </w:t>
      </w:r>
      <w:r w:rsidRPr="005B5632">
        <w:rPr>
          <w:rFonts w:ascii="Palatino Linotype" w:hAnsi="Palatino Linotype"/>
          <w:b/>
          <w:sz w:val="24"/>
        </w:rPr>
        <w:t>dieciséis de mayo de dos mil veintidós</w:t>
      </w:r>
      <w:r w:rsidRPr="005B5632">
        <w:rPr>
          <w:rFonts w:ascii="Palatino Linotype" w:hAnsi="Palatino Linotype"/>
          <w:sz w:val="24"/>
        </w:rPr>
        <w:t>, a través del cual expresó lo siguiente:</w:t>
      </w:r>
    </w:p>
    <w:p w14:paraId="7AE32861" w14:textId="77777777" w:rsidR="0091500F" w:rsidRPr="005B5632" w:rsidRDefault="0091500F" w:rsidP="005B5632">
      <w:pPr>
        <w:spacing w:line="360" w:lineRule="auto"/>
        <w:ind w:right="616"/>
        <w:jc w:val="both"/>
        <w:rPr>
          <w:rFonts w:ascii="Palatino Linotype" w:hAnsi="Palatino Linotype"/>
          <w:sz w:val="22"/>
        </w:rPr>
      </w:pPr>
    </w:p>
    <w:p w14:paraId="11C75FB4" w14:textId="6BAA1ABD" w:rsidR="0091500F" w:rsidRPr="005B5632" w:rsidRDefault="0091500F" w:rsidP="005B5632">
      <w:pPr>
        <w:spacing w:line="360" w:lineRule="auto"/>
        <w:ind w:left="567" w:right="616"/>
        <w:jc w:val="both"/>
        <w:rPr>
          <w:rFonts w:ascii="Palatino Linotype" w:hAnsi="Palatino Linotype"/>
          <w:b/>
          <w:sz w:val="22"/>
        </w:rPr>
      </w:pPr>
      <w:r w:rsidRPr="005B5632">
        <w:rPr>
          <w:rFonts w:ascii="Palatino Linotype" w:hAnsi="Palatino Linotype"/>
          <w:b/>
          <w:sz w:val="22"/>
        </w:rPr>
        <w:t>a)</w:t>
      </w:r>
      <w:r w:rsidRPr="005B5632">
        <w:rPr>
          <w:rFonts w:ascii="Palatino Linotype" w:hAnsi="Palatino Linotype"/>
          <w:b/>
          <w:sz w:val="22"/>
        </w:rPr>
        <w:tab/>
        <w:t xml:space="preserve">Acto impugnado. </w:t>
      </w:r>
      <w:r w:rsidRPr="005B5632">
        <w:rPr>
          <w:rFonts w:ascii="Palatino Linotype" w:hAnsi="Palatino Linotype"/>
          <w:i/>
          <w:sz w:val="22"/>
        </w:rPr>
        <w:t>“</w:t>
      </w:r>
      <w:r w:rsidRPr="005B5632">
        <w:rPr>
          <w:rFonts w:ascii="Palatino Linotype" w:hAnsi="Palatino Linotype"/>
          <w:b/>
          <w:i/>
          <w:sz w:val="22"/>
          <w:u w:val="single"/>
        </w:rPr>
        <w:t>la información solicitada no coincide con la respuesta</w:t>
      </w:r>
      <w:r w:rsidRPr="005B5632">
        <w:rPr>
          <w:rFonts w:ascii="Palatino Linotype" w:hAnsi="Palatino Linotype"/>
          <w:i/>
          <w:sz w:val="22"/>
        </w:rPr>
        <w:t>”.  (Sic)</w:t>
      </w:r>
    </w:p>
    <w:p w14:paraId="28AF2CDF" w14:textId="77777777" w:rsidR="0091500F" w:rsidRPr="005B5632" w:rsidRDefault="0091500F" w:rsidP="005B5632">
      <w:pPr>
        <w:spacing w:line="360" w:lineRule="auto"/>
        <w:ind w:left="567" w:right="616"/>
        <w:jc w:val="both"/>
        <w:rPr>
          <w:rFonts w:ascii="Palatino Linotype" w:hAnsi="Palatino Linotype"/>
          <w:sz w:val="22"/>
        </w:rPr>
      </w:pPr>
    </w:p>
    <w:p w14:paraId="6F597C8D" w14:textId="1F456239" w:rsidR="0091500F" w:rsidRPr="005B5632" w:rsidRDefault="0091500F" w:rsidP="005B5632">
      <w:pPr>
        <w:spacing w:line="360" w:lineRule="auto"/>
        <w:ind w:left="567" w:right="616"/>
        <w:jc w:val="both"/>
        <w:rPr>
          <w:rFonts w:ascii="Palatino Linotype" w:hAnsi="Palatino Linotype"/>
          <w:i/>
          <w:sz w:val="22"/>
        </w:rPr>
      </w:pPr>
      <w:r w:rsidRPr="005B5632">
        <w:rPr>
          <w:rFonts w:ascii="Palatino Linotype" w:hAnsi="Palatino Linotype"/>
          <w:b/>
          <w:sz w:val="22"/>
        </w:rPr>
        <w:t>b)</w:t>
      </w:r>
      <w:r w:rsidRPr="005B5632">
        <w:rPr>
          <w:rFonts w:ascii="Palatino Linotype" w:hAnsi="Palatino Linotype"/>
          <w:b/>
          <w:sz w:val="22"/>
        </w:rPr>
        <w:tab/>
        <w:t>Motivos de inconformidad.</w:t>
      </w:r>
      <w:r w:rsidRPr="005B5632">
        <w:rPr>
          <w:rFonts w:ascii="Palatino Linotype" w:hAnsi="Palatino Linotype"/>
          <w:sz w:val="22"/>
        </w:rPr>
        <w:t xml:space="preserve"> </w:t>
      </w:r>
      <w:r w:rsidRPr="005B5632">
        <w:rPr>
          <w:rFonts w:ascii="Palatino Linotype" w:hAnsi="Palatino Linotype"/>
          <w:i/>
          <w:sz w:val="22"/>
        </w:rPr>
        <w:t xml:space="preserve">“la solicitud no es contestada, el fundamento legal con el que contestan es confuso é inexistente ya que no existe ninguna ley que se llame "articulo 110 párrafo II de al del sistema nacional de seguridad </w:t>
      </w:r>
      <w:proofErr w:type="spellStart"/>
      <w:r w:rsidRPr="005B5632">
        <w:rPr>
          <w:rFonts w:ascii="Palatino Linotype" w:hAnsi="Palatino Linotype"/>
          <w:i/>
          <w:sz w:val="22"/>
        </w:rPr>
        <w:t>publica</w:t>
      </w:r>
      <w:proofErr w:type="spellEnd"/>
      <w:proofErr w:type="gramStart"/>
      <w:r w:rsidRPr="005B5632">
        <w:rPr>
          <w:rFonts w:ascii="Palatino Linotype" w:hAnsi="Palatino Linotype"/>
          <w:i/>
          <w:sz w:val="22"/>
        </w:rPr>
        <w:t>" ,</w:t>
      </w:r>
      <w:proofErr w:type="gramEnd"/>
      <w:r w:rsidRPr="005B5632">
        <w:rPr>
          <w:rFonts w:ascii="Palatino Linotype" w:hAnsi="Palatino Linotype"/>
          <w:i/>
          <w:sz w:val="22"/>
        </w:rPr>
        <w:t xml:space="preserve"> se solicita información presupuestal que es de carácter público al cual tampoco entregaron dicha información y el programa de capacitación forma parte de metas del ente solicitado no veo cual sería el problema de negación de información “. (Sic)</w:t>
      </w:r>
    </w:p>
    <w:p w14:paraId="570C12D3" w14:textId="77777777" w:rsidR="0091500F" w:rsidRPr="005B5632" w:rsidRDefault="0091500F" w:rsidP="005B5632">
      <w:pPr>
        <w:spacing w:line="360" w:lineRule="auto"/>
        <w:jc w:val="both"/>
        <w:rPr>
          <w:rFonts w:ascii="Palatino Linotype" w:hAnsi="Palatino Linotype"/>
        </w:rPr>
      </w:pPr>
    </w:p>
    <w:p w14:paraId="459BD945" w14:textId="2A2C5474" w:rsidR="0091500F" w:rsidRPr="005B5632" w:rsidRDefault="0091500F" w:rsidP="005B5632">
      <w:pPr>
        <w:pStyle w:val="Prrafodelista"/>
        <w:numPr>
          <w:ilvl w:val="0"/>
          <w:numId w:val="20"/>
        </w:numPr>
        <w:spacing w:line="360" w:lineRule="auto"/>
        <w:ind w:left="0" w:firstLine="0"/>
        <w:jc w:val="both"/>
        <w:rPr>
          <w:rFonts w:ascii="Palatino Linotype" w:hAnsi="Palatino Linotype"/>
          <w:sz w:val="24"/>
        </w:rPr>
      </w:pPr>
      <w:r w:rsidRPr="005B5632">
        <w:rPr>
          <w:rFonts w:ascii="Palatino Linotype" w:hAnsi="Palatino Linotype"/>
          <w:b/>
          <w:sz w:val="24"/>
        </w:rPr>
        <w:t>Turno.</w:t>
      </w:r>
      <w:r w:rsidRPr="005B5632">
        <w:rPr>
          <w:rFonts w:ascii="Palatino Linotype" w:hAnsi="Palatino Linotype"/>
          <w:sz w:val="24"/>
        </w:rPr>
        <w:t xml:space="preserve"> De conformidad con el artículo 185, fracción I de la Ley de Transparencia y Acceso a la Información Pública del Estado de México y Municipios, el recurso de revisión número </w:t>
      </w:r>
      <w:r w:rsidRPr="005B5632">
        <w:rPr>
          <w:rFonts w:ascii="Palatino Linotype" w:hAnsi="Palatino Linotype"/>
          <w:b/>
          <w:sz w:val="24"/>
        </w:rPr>
        <w:t>07889/INFOEM/IP/RR/2022</w:t>
      </w:r>
      <w:r w:rsidRPr="005B5632">
        <w:rPr>
          <w:rFonts w:ascii="Palatino Linotype" w:hAnsi="Palatino Linotype"/>
          <w:sz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6EB0EC0" w14:textId="692CF50E" w:rsidR="0091500F" w:rsidRPr="005B5632" w:rsidRDefault="0091500F" w:rsidP="005B5632">
      <w:pPr>
        <w:pStyle w:val="Prrafodelista"/>
        <w:numPr>
          <w:ilvl w:val="0"/>
          <w:numId w:val="20"/>
        </w:numPr>
        <w:spacing w:line="360" w:lineRule="auto"/>
        <w:ind w:left="0" w:firstLine="0"/>
        <w:jc w:val="both"/>
        <w:rPr>
          <w:rFonts w:ascii="Palatino Linotype" w:hAnsi="Palatino Linotype"/>
          <w:sz w:val="24"/>
        </w:rPr>
      </w:pPr>
      <w:r w:rsidRPr="005B5632">
        <w:rPr>
          <w:rFonts w:ascii="Palatino Linotype" w:hAnsi="Palatino Linotype"/>
          <w:b/>
          <w:sz w:val="24"/>
        </w:rPr>
        <w:lastRenderedPageBreak/>
        <w:t>Admisión del recurso de revisión:</w:t>
      </w:r>
      <w:r w:rsidRPr="005B5632">
        <w:rPr>
          <w:rFonts w:ascii="Palatino Linotype" w:hAnsi="Palatino Linotype"/>
          <w:sz w:val="24"/>
        </w:rPr>
        <w:t xml:space="preserve"> En fecha d</w:t>
      </w:r>
      <w:r w:rsidRPr="005B5632">
        <w:rPr>
          <w:rFonts w:ascii="Palatino Linotype" w:hAnsi="Palatino Linotype"/>
          <w:b/>
          <w:sz w:val="24"/>
        </w:rPr>
        <w:t>iecinueve de mayo de dos mil veintidós,</w:t>
      </w:r>
      <w:r w:rsidRPr="005B5632">
        <w:rPr>
          <w:rFonts w:ascii="Palatino Linotype" w:hAnsi="Palatino Linotype"/>
          <w:sz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2A197B2" w14:textId="77777777" w:rsidR="0091500F" w:rsidRPr="005B5632" w:rsidRDefault="0091500F" w:rsidP="005B5632">
      <w:pPr>
        <w:spacing w:line="360" w:lineRule="auto"/>
        <w:jc w:val="both"/>
        <w:rPr>
          <w:rFonts w:ascii="Palatino Linotype" w:hAnsi="Palatino Linotype"/>
        </w:rPr>
      </w:pPr>
    </w:p>
    <w:p w14:paraId="2B8BC008" w14:textId="5B116971" w:rsidR="0091500F" w:rsidRPr="005B5632" w:rsidRDefault="0091500F" w:rsidP="005B5632">
      <w:pPr>
        <w:pStyle w:val="Prrafodelista"/>
        <w:numPr>
          <w:ilvl w:val="0"/>
          <w:numId w:val="20"/>
        </w:numPr>
        <w:spacing w:line="360" w:lineRule="auto"/>
        <w:ind w:left="0" w:firstLine="0"/>
        <w:jc w:val="both"/>
        <w:rPr>
          <w:rFonts w:ascii="Palatino Linotype" w:hAnsi="Palatino Linotype"/>
          <w:sz w:val="24"/>
        </w:rPr>
      </w:pPr>
      <w:r w:rsidRPr="005B5632">
        <w:rPr>
          <w:rFonts w:ascii="Palatino Linotype" w:hAnsi="Palatino Linotype"/>
          <w:b/>
          <w:sz w:val="24"/>
        </w:rPr>
        <w:t>Manifestaciones:</w:t>
      </w:r>
      <w:r w:rsidRPr="005B5632">
        <w:rPr>
          <w:rFonts w:ascii="Palatino Linotype" w:hAnsi="Palatino Linotype"/>
          <w:sz w:val="24"/>
        </w:rPr>
        <w:t xml:space="preserve"> Las partes fueron omisas en rendir manifestaciones. </w:t>
      </w:r>
    </w:p>
    <w:p w14:paraId="4606F263" w14:textId="77777777" w:rsidR="0091500F" w:rsidRPr="005B5632" w:rsidRDefault="0091500F" w:rsidP="005B5632">
      <w:pPr>
        <w:pStyle w:val="Prrafodelista"/>
        <w:spacing w:line="360" w:lineRule="auto"/>
        <w:ind w:left="0"/>
        <w:jc w:val="both"/>
        <w:rPr>
          <w:rFonts w:ascii="Palatino Linotype" w:hAnsi="Palatino Linotype"/>
          <w:sz w:val="24"/>
        </w:rPr>
      </w:pPr>
    </w:p>
    <w:p w14:paraId="1501ED7F" w14:textId="554E39C3" w:rsidR="0091500F" w:rsidRPr="005B5632" w:rsidRDefault="0091500F" w:rsidP="005B5632">
      <w:pPr>
        <w:spacing w:line="360" w:lineRule="auto"/>
        <w:jc w:val="center"/>
        <w:rPr>
          <w:rFonts w:ascii="Palatino Linotype" w:hAnsi="Palatino Linotype"/>
        </w:rPr>
      </w:pPr>
      <w:r w:rsidRPr="005B5632">
        <w:rPr>
          <w:rFonts w:ascii="Palatino Linotype" w:hAnsi="Palatino Linotype"/>
          <w:noProof/>
          <w:lang w:val="es-MX" w:eastAsia="es-MX"/>
        </w:rPr>
        <w:drawing>
          <wp:inline distT="0" distB="0" distL="0" distR="0" wp14:anchorId="350AC3A2" wp14:editId="7B4DC7B2">
            <wp:extent cx="5612130" cy="13887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88745"/>
                    </a:xfrm>
                    <a:prstGeom prst="rect">
                      <a:avLst/>
                    </a:prstGeom>
                  </pic:spPr>
                </pic:pic>
              </a:graphicData>
            </a:graphic>
          </wp:inline>
        </w:drawing>
      </w:r>
    </w:p>
    <w:p w14:paraId="138D8DBE" w14:textId="77777777" w:rsidR="0091500F" w:rsidRPr="005B5632" w:rsidRDefault="0091500F" w:rsidP="005B5632">
      <w:pPr>
        <w:spacing w:line="360" w:lineRule="auto"/>
        <w:jc w:val="center"/>
        <w:rPr>
          <w:rFonts w:ascii="Palatino Linotype" w:hAnsi="Palatino Linotype"/>
        </w:rPr>
      </w:pPr>
    </w:p>
    <w:p w14:paraId="276CE410" w14:textId="77777777" w:rsidR="0091500F" w:rsidRPr="005B5632" w:rsidRDefault="0091500F" w:rsidP="005B5632">
      <w:pPr>
        <w:pStyle w:val="Prrafodelista"/>
        <w:numPr>
          <w:ilvl w:val="0"/>
          <w:numId w:val="20"/>
        </w:numPr>
        <w:spacing w:line="360" w:lineRule="auto"/>
        <w:ind w:left="0" w:firstLine="0"/>
        <w:jc w:val="both"/>
        <w:rPr>
          <w:rFonts w:ascii="Palatino Linotype" w:hAnsi="Palatino Linotype"/>
          <w:sz w:val="24"/>
        </w:rPr>
      </w:pPr>
      <w:r w:rsidRPr="005B5632">
        <w:rPr>
          <w:rFonts w:ascii="Palatino Linotype" w:hAnsi="Palatino Linotype"/>
          <w:b/>
          <w:sz w:val="24"/>
        </w:rPr>
        <w:t>Cierre de instrucción</w:t>
      </w:r>
      <w:r w:rsidRPr="005B5632">
        <w:rPr>
          <w:rFonts w:ascii="Palatino Linotype" w:hAnsi="Palatino Linotype"/>
          <w:sz w:val="24"/>
        </w:rPr>
        <w:t xml:space="preserve">. En fecha </w:t>
      </w:r>
      <w:r w:rsidRPr="005B5632">
        <w:rPr>
          <w:rFonts w:ascii="Palatino Linotype" w:hAnsi="Palatino Linotype"/>
          <w:b/>
          <w:sz w:val="24"/>
        </w:rPr>
        <w:t>siete de junio de dos mil veintidós</w:t>
      </w:r>
      <w:r w:rsidRPr="005B5632">
        <w:rPr>
          <w:rFonts w:ascii="Palatino Linotype" w:hAnsi="Palatino Linotype"/>
          <w:sz w:val="24"/>
        </w:rPr>
        <w:t>, la Comisionada ponente determinó el cierre de instrucción en términos de la fracción VI del artículo 185 de la Ley de Transparencia y Acceso a la Información Pública del Estado de México y Municipios.</w:t>
      </w:r>
    </w:p>
    <w:p w14:paraId="24A3C475" w14:textId="77777777" w:rsidR="0091500F" w:rsidRPr="005B5632" w:rsidRDefault="0091500F" w:rsidP="005B5632">
      <w:pPr>
        <w:pStyle w:val="Prrafodelista"/>
        <w:spacing w:line="360" w:lineRule="auto"/>
        <w:ind w:left="0"/>
        <w:jc w:val="both"/>
        <w:rPr>
          <w:rFonts w:ascii="Palatino Linotype" w:hAnsi="Palatino Linotype"/>
          <w:sz w:val="24"/>
        </w:rPr>
      </w:pPr>
    </w:p>
    <w:p w14:paraId="1620B4C3" w14:textId="2F4B12EC" w:rsidR="0091500F" w:rsidRPr="005B5632" w:rsidRDefault="0091500F" w:rsidP="005B5632">
      <w:pPr>
        <w:pStyle w:val="Prrafodelista"/>
        <w:numPr>
          <w:ilvl w:val="0"/>
          <w:numId w:val="20"/>
        </w:numPr>
        <w:spacing w:line="360" w:lineRule="auto"/>
        <w:ind w:left="0" w:firstLine="0"/>
        <w:jc w:val="both"/>
        <w:rPr>
          <w:rFonts w:ascii="Palatino Linotype" w:hAnsi="Palatino Linotype"/>
          <w:sz w:val="28"/>
        </w:rPr>
      </w:pPr>
      <w:r w:rsidRPr="005B5632">
        <w:rPr>
          <w:rFonts w:ascii="Palatino Linotype" w:hAnsi="Palatino Linotype"/>
          <w:b/>
          <w:sz w:val="24"/>
        </w:rPr>
        <w:t>Ampliación de plazo:</w:t>
      </w:r>
      <w:r w:rsidRPr="005B5632">
        <w:rPr>
          <w:rFonts w:ascii="Palatino Linotype" w:hAnsi="Palatino Linotype"/>
          <w:sz w:val="24"/>
        </w:rPr>
        <w:t xml:space="preserve"> El </w:t>
      </w:r>
      <w:r w:rsidR="002B324C" w:rsidRPr="005B5632">
        <w:rPr>
          <w:rFonts w:ascii="Palatino Linotype" w:hAnsi="Palatino Linotype"/>
          <w:b/>
          <w:sz w:val="24"/>
        </w:rPr>
        <w:t>cuatro de agosto de</w:t>
      </w:r>
      <w:r w:rsidRPr="005B5632">
        <w:rPr>
          <w:rFonts w:ascii="Palatino Linotype" w:hAnsi="Palatino Linotype"/>
          <w:b/>
          <w:sz w:val="24"/>
        </w:rPr>
        <w:t xml:space="preserve"> dos mil veintidós</w:t>
      </w:r>
      <w:r w:rsidRPr="005B5632">
        <w:rPr>
          <w:rFonts w:ascii="Palatino Linotype" w:hAnsi="Palatino Linotype"/>
          <w:sz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FC35A34" w14:textId="77777777" w:rsidR="0091500F" w:rsidRPr="005B5632" w:rsidRDefault="0091500F" w:rsidP="005B5632">
      <w:pPr>
        <w:spacing w:line="360" w:lineRule="auto"/>
        <w:jc w:val="both"/>
        <w:rPr>
          <w:rFonts w:ascii="Palatino Linotype" w:hAnsi="Palatino Linotype"/>
        </w:rPr>
      </w:pPr>
    </w:p>
    <w:p w14:paraId="04687408"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380331"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 </w:t>
      </w:r>
    </w:p>
    <w:p w14:paraId="1DDF2FB1"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355851"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 </w:t>
      </w:r>
    </w:p>
    <w:p w14:paraId="1789EC0D"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317349"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 </w:t>
      </w:r>
    </w:p>
    <w:p w14:paraId="54DD9CFD" w14:textId="719A1631" w:rsidR="0091500F" w:rsidRPr="005B5632" w:rsidRDefault="0091500F" w:rsidP="005B5632">
      <w:pPr>
        <w:spacing w:line="360" w:lineRule="auto"/>
        <w:jc w:val="both"/>
        <w:rPr>
          <w:rFonts w:ascii="Palatino Linotype" w:hAnsi="Palatino Linotype"/>
        </w:rPr>
      </w:pPr>
      <w:r w:rsidRPr="005B563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DC6CD4"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747DAEE" w14:textId="77777777" w:rsidR="0091500F" w:rsidRPr="005B5632" w:rsidRDefault="0091500F" w:rsidP="005B5632">
      <w:pPr>
        <w:spacing w:line="360" w:lineRule="auto"/>
        <w:ind w:left="709" w:right="616"/>
        <w:jc w:val="both"/>
        <w:rPr>
          <w:rFonts w:ascii="Palatino Linotype" w:hAnsi="Palatino Linotype"/>
          <w:sz w:val="22"/>
        </w:rPr>
      </w:pPr>
    </w:p>
    <w:p w14:paraId="0AA6B51B" w14:textId="77777777" w:rsidR="0091500F" w:rsidRPr="005B5632" w:rsidRDefault="0091500F" w:rsidP="005B5632">
      <w:pPr>
        <w:spacing w:line="360" w:lineRule="auto"/>
        <w:ind w:left="709" w:right="616"/>
        <w:jc w:val="both"/>
        <w:rPr>
          <w:rFonts w:ascii="Palatino Linotype" w:hAnsi="Palatino Linotype"/>
          <w:sz w:val="22"/>
        </w:rPr>
      </w:pPr>
      <w:r w:rsidRPr="005B5632">
        <w:rPr>
          <w:rFonts w:ascii="Palatino Linotype" w:hAnsi="Palatino Linotype"/>
          <w:b/>
          <w:sz w:val="22"/>
        </w:rPr>
        <w:t>a)      Complejidad del asunto:</w:t>
      </w:r>
      <w:r w:rsidRPr="005B5632">
        <w:rPr>
          <w:rFonts w:ascii="Palatino Linotype" w:hAnsi="Palatino Linotype"/>
          <w:sz w:val="22"/>
        </w:rPr>
        <w:t xml:space="preserve"> La complejidad de la prueba, la pluralidad de sujetos procesales, el tiempo transcurrido, las características y contexto del recurso.</w:t>
      </w:r>
    </w:p>
    <w:p w14:paraId="387E7BB7" w14:textId="77777777" w:rsidR="0091500F" w:rsidRPr="005B5632" w:rsidRDefault="0091500F" w:rsidP="005B5632">
      <w:pPr>
        <w:spacing w:line="360" w:lineRule="auto"/>
        <w:ind w:left="709" w:right="616"/>
        <w:jc w:val="both"/>
        <w:rPr>
          <w:rFonts w:ascii="Palatino Linotype" w:hAnsi="Palatino Linotype"/>
          <w:sz w:val="22"/>
        </w:rPr>
      </w:pPr>
      <w:r w:rsidRPr="005B5632">
        <w:rPr>
          <w:rFonts w:ascii="Palatino Linotype" w:hAnsi="Palatino Linotype"/>
          <w:b/>
          <w:sz w:val="22"/>
        </w:rPr>
        <w:t>b)     Actividad Procesal del interesado:</w:t>
      </w:r>
      <w:r w:rsidRPr="005B5632">
        <w:rPr>
          <w:rFonts w:ascii="Palatino Linotype" w:hAnsi="Palatino Linotype"/>
          <w:sz w:val="22"/>
        </w:rPr>
        <w:t xml:space="preserve"> Acciones u omisiones del interesado.</w:t>
      </w:r>
    </w:p>
    <w:p w14:paraId="675CEA14" w14:textId="77777777" w:rsidR="0091500F" w:rsidRPr="005B5632" w:rsidRDefault="0091500F" w:rsidP="005B5632">
      <w:pPr>
        <w:spacing w:line="360" w:lineRule="auto"/>
        <w:ind w:left="709" w:right="616"/>
        <w:jc w:val="both"/>
        <w:rPr>
          <w:rFonts w:ascii="Palatino Linotype" w:hAnsi="Palatino Linotype"/>
          <w:sz w:val="22"/>
        </w:rPr>
      </w:pPr>
      <w:r w:rsidRPr="005B5632">
        <w:rPr>
          <w:rFonts w:ascii="Palatino Linotype" w:hAnsi="Palatino Linotype"/>
          <w:b/>
          <w:sz w:val="22"/>
        </w:rPr>
        <w:t>c)      Conducta de la Autoridad</w:t>
      </w:r>
      <w:r w:rsidRPr="005B5632">
        <w:rPr>
          <w:rFonts w:ascii="Palatino Linotype" w:hAnsi="Palatino Linotype"/>
          <w:sz w:val="22"/>
        </w:rPr>
        <w:t>: Las Acciones u omisiones realizadas en el procedimiento. Así como si la autoridad actuó con la debida diligencia.</w:t>
      </w:r>
    </w:p>
    <w:p w14:paraId="728CEFDB" w14:textId="77777777" w:rsidR="0091500F" w:rsidRPr="005B5632" w:rsidRDefault="0091500F" w:rsidP="005B5632">
      <w:pPr>
        <w:spacing w:line="360" w:lineRule="auto"/>
        <w:ind w:left="709" w:right="616"/>
        <w:jc w:val="both"/>
        <w:rPr>
          <w:rFonts w:ascii="Palatino Linotype" w:hAnsi="Palatino Linotype"/>
          <w:sz w:val="22"/>
        </w:rPr>
      </w:pPr>
      <w:r w:rsidRPr="005B5632">
        <w:rPr>
          <w:rFonts w:ascii="Palatino Linotype" w:hAnsi="Palatino Linotype"/>
          <w:b/>
          <w:sz w:val="22"/>
        </w:rPr>
        <w:t>d) La afectación generada en la situación jurídica de la persona involucrada en el proceso:</w:t>
      </w:r>
      <w:r w:rsidRPr="005B5632">
        <w:rPr>
          <w:rFonts w:ascii="Palatino Linotype" w:hAnsi="Palatino Linotype"/>
          <w:sz w:val="22"/>
        </w:rPr>
        <w:t xml:space="preserve"> Violación a sus derechos humanos.</w:t>
      </w:r>
    </w:p>
    <w:p w14:paraId="23DAA8A9" w14:textId="77777777" w:rsidR="0091500F" w:rsidRPr="005B5632" w:rsidRDefault="0091500F" w:rsidP="005B5632">
      <w:pPr>
        <w:spacing w:line="360" w:lineRule="auto"/>
        <w:jc w:val="both"/>
        <w:rPr>
          <w:rFonts w:ascii="Palatino Linotype" w:hAnsi="Palatino Linotype"/>
        </w:rPr>
      </w:pPr>
    </w:p>
    <w:p w14:paraId="168517DD"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F1432B"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 </w:t>
      </w:r>
    </w:p>
    <w:p w14:paraId="64AA7FD7"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Argumento que encuentra sustento en la jurisprudencia P./J. 32/92 emitida por el Pleno de la Suprema Corte de Justicia de la Nación de rubro “</w:t>
      </w:r>
      <w:r w:rsidRPr="005B5632">
        <w:rPr>
          <w:rFonts w:ascii="Palatino Linotype" w:hAnsi="Palatino Linotype"/>
          <w:b/>
        </w:rPr>
        <w:t xml:space="preserve">TÉRMINOS PROCESALES. PARA DETERMINAR SI UN FUNCIONARIO JUDICIAL ACTUÓ INDEBIDAMENTE POR NO RESPETARLOS SE DEBE ATENDER AL PRESUPUESTO QUE CONSIDERÓ EL LEGISLADOR AL FIJARLOS Y LAS </w:t>
      </w:r>
      <w:r w:rsidRPr="005B5632">
        <w:rPr>
          <w:rFonts w:ascii="Palatino Linotype" w:hAnsi="Palatino Linotype"/>
          <w:b/>
        </w:rPr>
        <w:lastRenderedPageBreak/>
        <w:t>CARACTERÍSTICAS DEL CASO.”</w:t>
      </w:r>
      <w:r w:rsidRPr="005B5632">
        <w:rPr>
          <w:rFonts w:ascii="Palatino Linotype" w:hAnsi="Palatino Linotype"/>
        </w:rPr>
        <w:t>, visible en la Gaceta del Seminario Judicial de la Federación con el registro digital 205635.</w:t>
      </w:r>
    </w:p>
    <w:p w14:paraId="5B542BE9" w14:textId="77777777" w:rsidR="0091500F" w:rsidRPr="005B5632" w:rsidRDefault="0091500F" w:rsidP="005B5632">
      <w:pPr>
        <w:spacing w:line="360" w:lineRule="auto"/>
        <w:jc w:val="both"/>
        <w:rPr>
          <w:rFonts w:ascii="Palatino Linotype" w:hAnsi="Palatino Linotype"/>
        </w:rPr>
      </w:pPr>
    </w:p>
    <w:p w14:paraId="7BF75649"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B62009" w14:textId="77777777" w:rsidR="0091500F" w:rsidRPr="005B5632" w:rsidRDefault="0091500F" w:rsidP="005B5632">
      <w:pPr>
        <w:spacing w:line="360" w:lineRule="auto"/>
        <w:jc w:val="both"/>
        <w:rPr>
          <w:rFonts w:ascii="Palatino Linotype" w:hAnsi="Palatino Linotype"/>
        </w:rPr>
      </w:pPr>
    </w:p>
    <w:p w14:paraId="17F7DA4E"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A7E9E6E"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 </w:t>
      </w:r>
    </w:p>
    <w:p w14:paraId="0690AF5E" w14:textId="77777777" w:rsidR="0091500F" w:rsidRPr="005B5632" w:rsidRDefault="0091500F" w:rsidP="005B5632">
      <w:pPr>
        <w:spacing w:line="360" w:lineRule="auto"/>
        <w:ind w:left="567" w:right="616"/>
        <w:jc w:val="both"/>
        <w:rPr>
          <w:rFonts w:ascii="Palatino Linotype" w:hAnsi="Palatino Linotype"/>
          <w:sz w:val="22"/>
        </w:rPr>
      </w:pPr>
      <w:r w:rsidRPr="005B5632">
        <w:rPr>
          <w:rFonts w:ascii="Palatino Linotype" w:hAnsi="Palatino Linotype"/>
          <w:b/>
          <w:sz w:val="22"/>
        </w:rPr>
        <w:t xml:space="preserve"> “PLAZO RAZONABLE PARA RESOLVER. DIMENSIÓN Y EFECTOS DE ESTE CONCEPTO CUANDO SE ADUCE EXCESIVA CARGA DE TRABAJO.”</w:t>
      </w:r>
      <w:r w:rsidRPr="005B5632">
        <w:rPr>
          <w:rFonts w:ascii="Palatino Linotype" w:hAnsi="Palatino Linotype"/>
          <w:sz w:val="22"/>
        </w:rPr>
        <w:t xml:space="preserve"> consultable en el Seminario Judicial de la Federación y su gaceta, con el registro digital 2002351.</w:t>
      </w:r>
    </w:p>
    <w:p w14:paraId="77A44E9C" w14:textId="77777777" w:rsidR="0091500F" w:rsidRPr="005B5632" w:rsidRDefault="0091500F" w:rsidP="005B5632">
      <w:pPr>
        <w:spacing w:line="360" w:lineRule="auto"/>
        <w:ind w:left="567" w:right="616"/>
        <w:jc w:val="both"/>
        <w:rPr>
          <w:rFonts w:ascii="Palatino Linotype" w:hAnsi="Palatino Linotype"/>
          <w:sz w:val="22"/>
        </w:rPr>
      </w:pPr>
      <w:r w:rsidRPr="005B5632">
        <w:rPr>
          <w:rFonts w:ascii="Palatino Linotype" w:hAnsi="Palatino Linotype"/>
          <w:sz w:val="22"/>
        </w:rPr>
        <w:t xml:space="preserve"> </w:t>
      </w:r>
    </w:p>
    <w:p w14:paraId="7568AFFA" w14:textId="77777777" w:rsidR="0091500F" w:rsidRPr="005B5632" w:rsidRDefault="0091500F" w:rsidP="005B5632">
      <w:pPr>
        <w:spacing w:line="360" w:lineRule="auto"/>
        <w:ind w:left="567" w:right="616"/>
        <w:jc w:val="both"/>
        <w:rPr>
          <w:rFonts w:ascii="Palatino Linotype" w:hAnsi="Palatino Linotype"/>
          <w:sz w:val="22"/>
        </w:rPr>
      </w:pPr>
      <w:r w:rsidRPr="005B5632">
        <w:rPr>
          <w:rFonts w:ascii="Palatino Linotype" w:hAnsi="Palatino Linotype"/>
          <w:b/>
          <w:sz w:val="22"/>
        </w:rPr>
        <w:t xml:space="preserve">“PLAZO RAZONABLE PARA RESOLVER. CONCEPTO Y ELEMENTOS QUE LO INTEGRAN A LA LUZ DEL DERECHO INTERNACIONAL DE </w:t>
      </w:r>
      <w:r w:rsidRPr="005B5632">
        <w:rPr>
          <w:rFonts w:ascii="Palatino Linotype" w:hAnsi="Palatino Linotype"/>
          <w:b/>
          <w:sz w:val="22"/>
        </w:rPr>
        <w:lastRenderedPageBreak/>
        <w:t>LOS DERECHOS HUMANOS.”</w:t>
      </w:r>
      <w:r w:rsidRPr="005B5632">
        <w:rPr>
          <w:rFonts w:ascii="Palatino Linotype" w:hAnsi="Palatino Linotype"/>
          <w:sz w:val="22"/>
        </w:rPr>
        <w:t>, visible en el Seminario Judicial de la Federación y su gaceta, con el registro digital 2002350.</w:t>
      </w:r>
    </w:p>
    <w:p w14:paraId="4C340D05" w14:textId="77777777" w:rsidR="0091500F" w:rsidRPr="005B5632" w:rsidRDefault="0091500F" w:rsidP="005B5632">
      <w:pPr>
        <w:spacing w:line="360" w:lineRule="auto"/>
        <w:jc w:val="both"/>
        <w:rPr>
          <w:rFonts w:ascii="Palatino Linotype" w:hAnsi="Palatino Linotype"/>
        </w:rPr>
      </w:pPr>
    </w:p>
    <w:p w14:paraId="03E454C2"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9944514" w14:textId="77777777" w:rsidR="0091500F" w:rsidRPr="005B5632" w:rsidRDefault="0091500F" w:rsidP="005B5632">
      <w:pPr>
        <w:spacing w:line="360" w:lineRule="auto"/>
        <w:jc w:val="both"/>
        <w:rPr>
          <w:rFonts w:ascii="Palatino Linotype" w:hAnsi="Palatino Linotype"/>
        </w:rPr>
      </w:pPr>
    </w:p>
    <w:p w14:paraId="782B0FB7"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Debido a que fue debidamente sustanciado el expediente electrónico y no existe diligencia pendiente de desahogo, se emite la Resolución que conforme a Derecho proceda, de acuerdo con los siguientes: </w:t>
      </w:r>
    </w:p>
    <w:p w14:paraId="2706DE90" w14:textId="77777777" w:rsidR="0091500F" w:rsidRPr="005B5632" w:rsidRDefault="0091500F" w:rsidP="005B5632">
      <w:pPr>
        <w:spacing w:line="360" w:lineRule="auto"/>
        <w:jc w:val="both"/>
        <w:rPr>
          <w:rFonts w:ascii="Palatino Linotype" w:hAnsi="Palatino Linotype"/>
        </w:rPr>
      </w:pPr>
    </w:p>
    <w:p w14:paraId="4D94F02F" w14:textId="77777777" w:rsidR="0091500F" w:rsidRPr="005B5632" w:rsidRDefault="0091500F" w:rsidP="005B5632">
      <w:pPr>
        <w:spacing w:line="360" w:lineRule="auto"/>
        <w:jc w:val="center"/>
        <w:rPr>
          <w:rFonts w:ascii="Palatino Linotype" w:hAnsi="Palatino Linotype"/>
          <w:b/>
        </w:rPr>
      </w:pPr>
      <w:r w:rsidRPr="005B5632">
        <w:rPr>
          <w:rFonts w:ascii="Palatino Linotype" w:hAnsi="Palatino Linotype"/>
          <w:b/>
        </w:rPr>
        <w:t>II.</w:t>
      </w:r>
      <w:r w:rsidRPr="005B5632">
        <w:rPr>
          <w:rFonts w:ascii="Palatino Linotype" w:hAnsi="Palatino Linotype"/>
          <w:b/>
        </w:rPr>
        <w:tab/>
        <w:t>C O N S I D E R A N D O:</w:t>
      </w:r>
    </w:p>
    <w:p w14:paraId="65CF2BEA" w14:textId="77777777" w:rsidR="0091500F" w:rsidRPr="005B5632" w:rsidRDefault="0091500F" w:rsidP="005B5632">
      <w:pPr>
        <w:spacing w:line="360" w:lineRule="auto"/>
        <w:jc w:val="both"/>
        <w:rPr>
          <w:rFonts w:ascii="Palatino Linotype" w:hAnsi="Palatino Linotype"/>
        </w:rPr>
      </w:pPr>
    </w:p>
    <w:p w14:paraId="57D49EFA"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b/>
        </w:rPr>
        <w:t>Primero. Competencia.</w:t>
      </w:r>
      <w:r w:rsidRPr="005B5632">
        <w:rPr>
          <w:rFonts w:ascii="Palatino Linotype" w:hAnsi="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E3B709" w14:textId="77777777" w:rsidR="0091500F" w:rsidRPr="005B5632" w:rsidRDefault="0091500F" w:rsidP="005B5632">
      <w:pPr>
        <w:spacing w:line="360" w:lineRule="auto"/>
        <w:jc w:val="both"/>
        <w:rPr>
          <w:rFonts w:ascii="Palatino Linotype" w:hAnsi="Palatino Linotype"/>
        </w:rPr>
      </w:pPr>
    </w:p>
    <w:p w14:paraId="44F1A26B"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b/>
        </w:rPr>
        <w:lastRenderedPageBreak/>
        <w:t>Segundo. Oportunidad y Procedibilidad del Recurso de Revisión.</w:t>
      </w:r>
      <w:r w:rsidRPr="005B5632">
        <w:rPr>
          <w:rFonts w:ascii="Palatino Linotype" w:hAnsi="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04F0CE06" w14:textId="77777777" w:rsidR="0091500F" w:rsidRPr="005B5632" w:rsidRDefault="0091500F" w:rsidP="005B5632">
      <w:pPr>
        <w:spacing w:line="360" w:lineRule="auto"/>
        <w:jc w:val="both"/>
        <w:rPr>
          <w:rFonts w:ascii="Palatino Linotype" w:hAnsi="Palatino Linotype"/>
        </w:rPr>
      </w:pPr>
    </w:p>
    <w:p w14:paraId="251C65EB"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5B5632">
        <w:rPr>
          <w:rFonts w:ascii="Palatino Linotype" w:hAnsi="Palatino Linotype"/>
          <w:b/>
        </w:rPr>
        <w:t>SUJETO OBLIGADO</w:t>
      </w:r>
      <w:r w:rsidRPr="005B5632">
        <w:rPr>
          <w:rFonts w:ascii="Palatino Linotype" w:hAnsi="Palatino Linotype"/>
        </w:rPr>
        <w:t xml:space="preserve"> remitió la respuesta a la solicitud de información el </w:t>
      </w:r>
      <w:r w:rsidRPr="005B5632">
        <w:rPr>
          <w:rFonts w:ascii="Palatino Linotype" w:hAnsi="Palatino Linotype"/>
          <w:b/>
        </w:rPr>
        <w:t>nueve de mayo de dos mil veintidós</w:t>
      </w:r>
      <w:r w:rsidRPr="005B5632">
        <w:rPr>
          <w:rFonts w:ascii="Palatino Linotype" w:hAnsi="Palatino Linotype"/>
        </w:rPr>
        <w:t xml:space="preserve">, mientras que el recurso de revisión interpuesto por la parte </w:t>
      </w:r>
      <w:r w:rsidRPr="005B5632">
        <w:rPr>
          <w:rFonts w:ascii="Palatino Linotype" w:hAnsi="Palatino Linotype"/>
          <w:b/>
        </w:rPr>
        <w:t xml:space="preserve">RECURRENTE </w:t>
      </w:r>
      <w:r w:rsidRPr="005B5632">
        <w:rPr>
          <w:rFonts w:ascii="Palatino Linotype" w:hAnsi="Palatino Linotype"/>
        </w:rPr>
        <w:t xml:space="preserve">se tuvo por presentado el </w:t>
      </w:r>
      <w:r w:rsidRPr="005B5632">
        <w:rPr>
          <w:rFonts w:ascii="Palatino Linotype" w:hAnsi="Palatino Linotype"/>
          <w:b/>
        </w:rPr>
        <w:t>dieciséis de mayo de dos mil veintidós</w:t>
      </w:r>
      <w:r w:rsidRPr="005B5632">
        <w:rPr>
          <w:rFonts w:ascii="Palatino Linotype" w:hAnsi="Palatino Linotype"/>
        </w:rPr>
        <w:t xml:space="preserve">, esto es al tercer día en que se proporcionó la respuesta. </w:t>
      </w:r>
    </w:p>
    <w:p w14:paraId="4D7EA284" w14:textId="77777777" w:rsidR="0091500F" w:rsidRPr="005B5632" w:rsidRDefault="0091500F" w:rsidP="005B5632">
      <w:pPr>
        <w:spacing w:line="360" w:lineRule="auto"/>
        <w:jc w:val="both"/>
        <w:rPr>
          <w:rFonts w:ascii="Palatino Linotype" w:hAnsi="Palatino Linotype"/>
        </w:rPr>
      </w:pPr>
    </w:p>
    <w:p w14:paraId="0E2D79FF"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En este sentido, al considerar la fecha en que se formuló la solicitud y la fecha en que respondió a esta el </w:t>
      </w:r>
      <w:r w:rsidRPr="005B5632">
        <w:rPr>
          <w:rFonts w:ascii="Palatino Linotype" w:hAnsi="Palatino Linotype"/>
          <w:b/>
        </w:rPr>
        <w:t>SUJETO OBLIGADO</w:t>
      </w:r>
      <w:r w:rsidRPr="005B5632">
        <w:rPr>
          <w:rFonts w:ascii="Palatino Linotype" w:hAnsi="Palatino Linotype"/>
        </w:rPr>
        <w:t xml:space="preserve">; así como la fecha en que se interpuso el recurso de revisión, se concluye que el presente recurso de revisión se encuentra dentro de los márgenes temporales previstos en las disposiciones legales referidas. </w:t>
      </w:r>
    </w:p>
    <w:p w14:paraId="01ADEF87" w14:textId="77777777" w:rsidR="0091500F" w:rsidRPr="005B5632" w:rsidRDefault="0091500F" w:rsidP="005B5632">
      <w:pPr>
        <w:spacing w:line="360" w:lineRule="auto"/>
        <w:jc w:val="both"/>
        <w:rPr>
          <w:rFonts w:ascii="Palatino Linotype" w:hAnsi="Palatino Linotype"/>
        </w:rPr>
      </w:pPr>
    </w:p>
    <w:p w14:paraId="62F0B9B3" w14:textId="3F525CAD"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EL SAIMEX.  </w:t>
      </w:r>
    </w:p>
    <w:p w14:paraId="4810F291"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lastRenderedPageBreak/>
        <w:t>Finalmente, resulta procedente la interposición del recurso de revisión al rubro anotado, toda vez que se actualiza las hipótesis previstas en el artículo 179, fracción VI de la Ley de la materia, que a la letra dice:</w:t>
      </w:r>
    </w:p>
    <w:p w14:paraId="4D367A78" w14:textId="77777777" w:rsidR="0091500F" w:rsidRPr="005B5632" w:rsidRDefault="0091500F" w:rsidP="005B5632">
      <w:pPr>
        <w:spacing w:line="360" w:lineRule="auto"/>
        <w:jc w:val="both"/>
        <w:rPr>
          <w:rFonts w:ascii="Palatino Linotype" w:hAnsi="Palatino Linotype"/>
        </w:rPr>
      </w:pPr>
    </w:p>
    <w:p w14:paraId="3E05269C" w14:textId="77777777" w:rsidR="0091500F" w:rsidRPr="005B5632" w:rsidRDefault="0091500F" w:rsidP="005B5632">
      <w:pPr>
        <w:spacing w:line="276" w:lineRule="auto"/>
        <w:ind w:left="567" w:right="616"/>
        <w:jc w:val="both"/>
        <w:rPr>
          <w:rFonts w:ascii="Palatino Linotype" w:hAnsi="Palatino Linotype"/>
          <w:i/>
        </w:rPr>
      </w:pPr>
      <w:r w:rsidRPr="005B5632">
        <w:rPr>
          <w:rFonts w:ascii="Palatino Linotype" w:hAnsi="Palatino Linotype"/>
          <w:i/>
        </w:rPr>
        <w:t>“</w:t>
      </w:r>
      <w:r w:rsidRPr="005B5632">
        <w:rPr>
          <w:rFonts w:ascii="Palatino Linotype" w:hAnsi="Palatino Linotype"/>
          <w:b/>
          <w:i/>
        </w:rPr>
        <w:t>Artículo 179.</w:t>
      </w:r>
      <w:r w:rsidRPr="005B5632">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66A7006B" w14:textId="77777777" w:rsidR="0091500F" w:rsidRPr="005B5632" w:rsidRDefault="0091500F" w:rsidP="005B5632">
      <w:pPr>
        <w:spacing w:line="276" w:lineRule="auto"/>
        <w:ind w:left="567" w:right="616"/>
        <w:jc w:val="both"/>
        <w:rPr>
          <w:rFonts w:ascii="Palatino Linotype" w:hAnsi="Palatino Linotype"/>
          <w:i/>
        </w:rPr>
      </w:pPr>
      <w:r w:rsidRPr="005B5632">
        <w:rPr>
          <w:rFonts w:ascii="Palatino Linotype" w:hAnsi="Palatino Linotype"/>
          <w:i/>
        </w:rPr>
        <w:t>…</w:t>
      </w:r>
    </w:p>
    <w:p w14:paraId="2FC7E93B" w14:textId="77777777" w:rsidR="0091500F" w:rsidRPr="005B5632" w:rsidRDefault="0091500F" w:rsidP="005B5632">
      <w:pPr>
        <w:spacing w:line="276" w:lineRule="auto"/>
        <w:ind w:left="567" w:right="616"/>
        <w:jc w:val="both"/>
        <w:rPr>
          <w:rFonts w:ascii="Palatino Linotype" w:hAnsi="Palatino Linotype"/>
          <w:i/>
        </w:rPr>
      </w:pPr>
      <w:r w:rsidRPr="005B5632">
        <w:rPr>
          <w:rFonts w:ascii="Palatino Linotype" w:hAnsi="Palatino Linotype"/>
          <w:i/>
        </w:rPr>
        <w:t>VI. La entrega de información que no corresponde con lo solicitado;” (Sic)</w:t>
      </w:r>
    </w:p>
    <w:p w14:paraId="234B468A" w14:textId="77777777" w:rsidR="0091500F" w:rsidRPr="005B5632" w:rsidRDefault="0091500F" w:rsidP="005B5632">
      <w:pPr>
        <w:spacing w:line="360" w:lineRule="auto"/>
        <w:jc w:val="both"/>
        <w:rPr>
          <w:rFonts w:ascii="Palatino Linotype" w:hAnsi="Palatino Linotype"/>
        </w:rPr>
      </w:pPr>
    </w:p>
    <w:p w14:paraId="19DDE843" w14:textId="0C399C76" w:rsidR="0091500F" w:rsidRPr="005B5632" w:rsidRDefault="0091500F" w:rsidP="005B5632">
      <w:pPr>
        <w:spacing w:line="360" w:lineRule="auto"/>
        <w:jc w:val="both"/>
        <w:rPr>
          <w:rFonts w:ascii="Palatino Linotype" w:hAnsi="Palatino Linotype"/>
        </w:rPr>
      </w:pPr>
      <w:r w:rsidRPr="005B5632">
        <w:rPr>
          <w:rFonts w:ascii="Palatino Linotype" w:hAnsi="Palatino Linotype"/>
          <w:b/>
        </w:rPr>
        <w:t>Tercero. Materia de la revisión</w:t>
      </w:r>
      <w:r w:rsidRPr="005B5632">
        <w:rPr>
          <w:rFonts w:ascii="Palatino Linotype" w:hAnsi="Palatino Linotype"/>
        </w:rPr>
        <w:t xml:space="preserve">. De la revisión a las constancias y documentos que obran en el expediente electrónico se advierte, que el tema sobre el que este Organismo Garante </w:t>
      </w:r>
      <w:r w:rsidR="001F08B5" w:rsidRPr="005B5632">
        <w:rPr>
          <w:rFonts w:ascii="Palatino Linotype" w:hAnsi="Palatino Linotype"/>
        </w:rPr>
        <w:t>se pronunciará será en determinar si se actualiza la hipótesis contenida en la fracción VI del artículo 179 de la Ley de Transparencia y Acceso a la Información Pública del Estado de México y Municipios.</w:t>
      </w:r>
    </w:p>
    <w:p w14:paraId="71241ACB" w14:textId="77777777" w:rsidR="0091500F" w:rsidRPr="005B5632" w:rsidRDefault="0091500F" w:rsidP="005B5632">
      <w:pPr>
        <w:spacing w:line="360" w:lineRule="auto"/>
        <w:jc w:val="both"/>
        <w:rPr>
          <w:rFonts w:ascii="Palatino Linotype" w:hAnsi="Palatino Linotype"/>
        </w:rPr>
      </w:pPr>
    </w:p>
    <w:p w14:paraId="15A676DC"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b/>
        </w:rPr>
        <w:t>Cuarto. Estudio de fondo del asunto.</w:t>
      </w:r>
      <w:r w:rsidRPr="005B5632">
        <w:rPr>
          <w:rFonts w:ascii="Palatino Linotype" w:hAnsi="Palatino Linotype"/>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280ED3C" w14:textId="77777777" w:rsidR="0091500F" w:rsidRPr="005B5632" w:rsidRDefault="0091500F" w:rsidP="005B5632">
      <w:pPr>
        <w:spacing w:line="360" w:lineRule="auto"/>
        <w:jc w:val="both"/>
        <w:rPr>
          <w:rFonts w:ascii="Palatino Linotype" w:hAnsi="Palatino Linotype"/>
        </w:rPr>
      </w:pPr>
    </w:p>
    <w:p w14:paraId="4C5B3C82" w14:textId="2E2A941D"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b/>
          <w:i/>
          <w:sz w:val="22"/>
        </w:rPr>
        <w:lastRenderedPageBreak/>
        <w:t>Artículo 1o.</w:t>
      </w:r>
      <w:r w:rsidRPr="005B5632">
        <w:rPr>
          <w:rFonts w:ascii="Palatino Linotype" w:hAnsi="Palatino Linotype"/>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2D1932"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542C886D"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B7AA1B4"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w:t>
      </w:r>
    </w:p>
    <w:p w14:paraId="3A9A43A4"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b/>
          <w:i/>
          <w:sz w:val="22"/>
        </w:rPr>
        <w:t>“Artículo 6o</w:t>
      </w:r>
      <w:r w:rsidRPr="005B5632">
        <w:rPr>
          <w:rFonts w:ascii="Palatino Linotype" w:hAnsi="Palatino Linotype"/>
          <w:i/>
          <w:sz w:val="22"/>
        </w:rPr>
        <w:t>.</w:t>
      </w:r>
    </w:p>
    <w:p w14:paraId="4B21CED5"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w:t>
      </w:r>
    </w:p>
    <w:p w14:paraId="6B089C90"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A. Para el ejercicio del derecho de acceso a la información, la Federación y las entidades federativas, en el ámbito de sus respectivas competencias, se regirán por los siguientes principios y bases:</w:t>
      </w:r>
    </w:p>
    <w:p w14:paraId="446B42B0"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EA35DF"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 xml:space="preserve"> II. La información que se refiere a la vida privada y los datos personales será protegida en los términos y con las excepciones que fijen las leyes.</w:t>
      </w:r>
    </w:p>
    <w:p w14:paraId="7121A757"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 xml:space="preserve"> III. Toda persona, sin necesidad de acreditar interés alguno o justificar su utilización, tendrá acceso gratuito a la información pública, a sus datos personales o a la rectificación de éstos.</w:t>
      </w:r>
    </w:p>
    <w:p w14:paraId="331DB40F"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lastRenderedPageBreak/>
        <w:t xml:space="preserve"> IV. Se establecerán mecanismos de acceso a la información y procedimientos de revisión expeditos que se sustanciarán ante los organismos autónomos especializados e imparciales que establece esta Constitución.</w:t>
      </w:r>
    </w:p>
    <w:p w14:paraId="15917C3E"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958135E"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 xml:space="preserve"> VI. Las leyes determinarán la manera en que los sujetos obligados deberán hacer pública la información relativa a los recursos públicos que entreguen a personas físicas o morales.</w:t>
      </w:r>
    </w:p>
    <w:p w14:paraId="12EBC382"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 xml:space="preserve"> VII. La inobservancia a las disposiciones en materia de acceso a la información pública será sancionada en los términos que dispongan las leyes. [...]</w:t>
      </w:r>
    </w:p>
    <w:p w14:paraId="79B81B34" w14:textId="77777777" w:rsidR="0091500F" w:rsidRPr="005B5632" w:rsidRDefault="0091500F" w:rsidP="005B5632">
      <w:pPr>
        <w:spacing w:line="276" w:lineRule="auto"/>
        <w:ind w:left="567" w:right="616"/>
        <w:jc w:val="both"/>
        <w:rPr>
          <w:rFonts w:ascii="Palatino Linotype" w:hAnsi="Palatino Linotype"/>
          <w:i/>
          <w:sz w:val="22"/>
        </w:rPr>
      </w:pPr>
    </w:p>
    <w:p w14:paraId="26F896F3"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9C3A1E6" w14:textId="77777777" w:rsidR="0091500F" w:rsidRPr="005B5632" w:rsidRDefault="0091500F" w:rsidP="005B5632">
      <w:pPr>
        <w:spacing w:line="276" w:lineRule="auto"/>
        <w:ind w:left="567" w:right="616"/>
        <w:jc w:val="both"/>
        <w:rPr>
          <w:rFonts w:ascii="Palatino Linotype" w:hAnsi="Palatino Linotype"/>
          <w:i/>
          <w:sz w:val="22"/>
        </w:rPr>
      </w:pPr>
    </w:p>
    <w:p w14:paraId="5126C22E"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b/>
          <w:i/>
          <w:sz w:val="22"/>
        </w:rPr>
        <w:t>“Artículo 4.</w:t>
      </w:r>
      <w:r w:rsidRPr="005B5632">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6F43F71"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332BEFE"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sidRPr="005B5632">
        <w:rPr>
          <w:rFonts w:ascii="Palatino Linotype" w:hAnsi="Palatino Linotype"/>
          <w:i/>
          <w:sz w:val="22"/>
        </w:rPr>
        <w:t>.”(</w:t>
      </w:r>
      <w:proofErr w:type="gramEnd"/>
      <w:r w:rsidRPr="005B5632">
        <w:rPr>
          <w:rFonts w:ascii="Palatino Linotype" w:hAnsi="Palatino Linotype"/>
          <w:i/>
          <w:sz w:val="22"/>
        </w:rPr>
        <w:t>Sic)</w:t>
      </w:r>
    </w:p>
    <w:p w14:paraId="7CD61A85" w14:textId="77777777" w:rsidR="0091500F" w:rsidRPr="005B5632" w:rsidRDefault="0091500F" w:rsidP="005B5632">
      <w:pPr>
        <w:spacing w:line="360" w:lineRule="auto"/>
        <w:jc w:val="both"/>
        <w:rPr>
          <w:rFonts w:ascii="Palatino Linotype" w:hAnsi="Palatino Linotype"/>
        </w:rPr>
      </w:pPr>
    </w:p>
    <w:p w14:paraId="3CC45116"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2677AB4" w14:textId="77777777" w:rsidR="0091500F" w:rsidRPr="005B5632" w:rsidRDefault="0091500F" w:rsidP="005B5632">
      <w:pPr>
        <w:spacing w:line="360" w:lineRule="auto"/>
        <w:jc w:val="both"/>
        <w:rPr>
          <w:rFonts w:ascii="Palatino Linotype" w:hAnsi="Palatino Linotype"/>
        </w:rPr>
      </w:pPr>
    </w:p>
    <w:p w14:paraId="66DB30B1"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b/>
          <w:i/>
          <w:sz w:val="22"/>
        </w:rPr>
        <w:t>“Artículo 12</w:t>
      </w:r>
      <w:r w:rsidRPr="005B5632">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 </w:t>
      </w:r>
    </w:p>
    <w:p w14:paraId="01E7E653" w14:textId="77777777" w:rsidR="0091500F" w:rsidRPr="005B5632" w:rsidRDefault="0091500F" w:rsidP="005B5632">
      <w:pPr>
        <w:spacing w:line="276" w:lineRule="auto"/>
        <w:ind w:left="567" w:right="616"/>
        <w:jc w:val="both"/>
        <w:rPr>
          <w:rFonts w:ascii="Palatino Linotype" w:hAnsi="Palatino Linotype"/>
          <w:i/>
          <w:sz w:val="22"/>
        </w:rPr>
      </w:pPr>
      <w:r w:rsidRPr="005B5632">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87BA078" w14:textId="77777777" w:rsidR="0091500F" w:rsidRPr="005B5632" w:rsidRDefault="0091500F" w:rsidP="005B5632">
      <w:pPr>
        <w:spacing w:line="360" w:lineRule="auto"/>
        <w:ind w:left="567" w:right="616"/>
        <w:jc w:val="both"/>
        <w:rPr>
          <w:rFonts w:ascii="Palatino Linotype" w:hAnsi="Palatino Linotype"/>
          <w:i/>
        </w:rPr>
      </w:pPr>
    </w:p>
    <w:p w14:paraId="79C7FCC6"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08393F54" w14:textId="77777777" w:rsidR="0091500F" w:rsidRPr="005B5632" w:rsidRDefault="0091500F" w:rsidP="005B5632">
      <w:pPr>
        <w:spacing w:line="276" w:lineRule="auto"/>
        <w:ind w:left="567" w:right="758"/>
        <w:jc w:val="both"/>
        <w:rPr>
          <w:rFonts w:ascii="Palatino Linotype" w:hAnsi="Palatino Linotype"/>
          <w:sz w:val="22"/>
        </w:rPr>
      </w:pPr>
    </w:p>
    <w:p w14:paraId="173F35B0" w14:textId="77777777" w:rsidR="0091500F" w:rsidRPr="005B5632" w:rsidRDefault="0091500F" w:rsidP="005B5632">
      <w:pPr>
        <w:spacing w:line="276" w:lineRule="auto"/>
        <w:ind w:left="567" w:right="758"/>
        <w:jc w:val="both"/>
        <w:rPr>
          <w:rFonts w:ascii="Palatino Linotype" w:hAnsi="Palatino Linotype"/>
          <w:i/>
          <w:sz w:val="22"/>
        </w:rPr>
      </w:pPr>
      <w:r w:rsidRPr="005B5632">
        <w:rPr>
          <w:rFonts w:ascii="Palatino Linotype" w:hAnsi="Palatino Linotype"/>
          <w:i/>
          <w:sz w:val="22"/>
        </w:rPr>
        <w:lastRenderedPageBreak/>
        <w:t>03/17</w:t>
      </w:r>
    </w:p>
    <w:p w14:paraId="6EFB4EF1" w14:textId="77777777" w:rsidR="0091500F" w:rsidRPr="005B5632" w:rsidRDefault="0091500F" w:rsidP="005B5632">
      <w:pPr>
        <w:spacing w:line="276" w:lineRule="auto"/>
        <w:ind w:left="567" w:right="758"/>
        <w:jc w:val="both"/>
        <w:rPr>
          <w:rFonts w:ascii="Palatino Linotype" w:hAnsi="Palatino Linotype"/>
          <w:b/>
          <w:i/>
          <w:sz w:val="22"/>
        </w:rPr>
      </w:pPr>
      <w:r w:rsidRPr="005B5632">
        <w:rPr>
          <w:rFonts w:ascii="Palatino Linotype" w:hAnsi="Palatino Linotype"/>
          <w:b/>
          <w:i/>
          <w:sz w:val="22"/>
        </w:rPr>
        <w:t>“NO EXISTE OBLIGACIÓN DE ELABORAR DOCUMENTOS AD HOC PARA ATENDER LAS SOLICITUDES DE ACCESO A LA INFORMACIÓN.</w:t>
      </w:r>
    </w:p>
    <w:p w14:paraId="3A10619F" w14:textId="77777777" w:rsidR="0091500F" w:rsidRPr="005B5632" w:rsidRDefault="0091500F" w:rsidP="005B5632">
      <w:pPr>
        <w:spacing w:line="276" w:lineRule="auto"/>
        <w:ind w:left="567" w:right="758"/>
        <w:jc w:val="both"/>
        <w:rPr>
          <w:rFonts w:ascii="Palatino Linotype" w:hAnsi="Palatino Linotype"/>
          <w:i/>
          <w:sz w:val="22"/>
        </w:rPr>
      </w:pPr>
      <w:r w:rsidRPr="005B5632">
        <w:rPr>
          <w:rFonts w:ascii="Palatino Linotype" w:hAnsi="Palatino Linotype"/>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17DE429" w14:textId="77777777" w:rsidR="0091500F" w:rsidRPr="005B5632" w:rsidRDefault="0091500F" w:rsidP="005B5632">
      <w:pPr>
        <w:spacing w:line="276" w:lineRule="auto"/>
        <w:ind w:left="567" w:right="758"/>
        <w:jc w:val="both"/>
        <w:rPr>
          <w:rFonts w:ascii="Palatino Linotype" w:hAnsi="Palatino Linotype"/>
          <w:sz w:val="22"/>
        </w:rPr>
      </w:pPr>
    </w:p>
    <w:p w14:paraId="75A6B2BC"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23DF32" w14:textId="77777777" w:rsidR="0091500F" w:rsidRPr="005B5632" w:rsidRDefault="0091500F" w:rsidP="005B5632">
      <w:pPr>
        <w:spacing w:line="360" w:lineRule="auto"/>
        <w:jc w:val="both"/>
        <w:rPr>
          <w:rFonts w:ascii="Palatino Linotype" w:hAnsi="Palatino Linotype"/>
        </w:rPr>
      </w:pPr>
    </w:p>
    <w:p w14:paraId="56362F3E"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BF528F" w14:textId="77777777" w:rsidR="0091500F" w:rsidRPr="005B5632" w:rsidRDefault="0091500F" w:rsidP="005B5632">
      <w:pPr>
        <w:spacing w:line="360" w:lineRule="auto"/>
        <w:jc w:val="both"/>
        <w:rPr>
          <w:rFonts w:ascii="Palatino Linotype" w:hAnsi="Palatino Linotype"/>
        </w:rPr>
      </w:pPr>
    </w:p>
    <w:p w14:paraId="01CF2D84"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411D448" w14:textId="77777777" w:rsidR="0091500F" w:rsidRPr="005B5632" w:rsidRDefault="0091500F" w:rsidP="005B5632">
      <w:pPr>
        <w:spacing w:line="276" w:lineRule="auto"/>
        <w:ind w:left="567" w:right="758"/>
        <w:jc w:val="both"/>
        <w:rPr>
          <w:rFonts w:ascii="Palatino Linotype" w:hAnsi="Palatino Linotype"/>
          <w:i/>
          <w:sz w:val="22"/>
        </w:rPr>
      </w:pPr>
    </w:p>
    <w:p w14:paraId="3B0991E5" w14:textId="77777777" w:rsidR="0091500F" w:rsidRPr="005B5632" w:rsidRDefault="0091500F" w:rsidP="005B5632">
      <w:pPr>
        <w:spacing w:line="276" w:lineRule="auto"/>
        <w:ind w:left="567" w:right="758"/>
        <w:jc w:val="both"/>
        <w:rPr>
          <w:rFonts w:ascii="Palatino Linotype" w:hAnsi="Palatino Linotype"/>
          <w:i/>
          <w:sz w:val="22"/>
        </w:rPr>
      </w:pPr>
      <w:r w:rsidRPr="005B5632">
        <w:rPr>
          <w:rFonts w:ascii="Palatino Linotype" w:hAnsi="Palatino Linotype"/>
          <w:b/>
          <w:i/>
          <w:sz w:val="22"/>
        </w:rPr>
        <w:t>“Artículo 3.</w:t>
      </w:r>
      <w:r w:rsidRPr="005B5632">
        <w:rPr>
          <w:rFonts w:ascii="Palatino Linotype" w:hAnsi="Palatino Linotype"/>
          <w:i/>
          <w:sz w:val="22"/>
        </w:rPr>
        <w:t xml:space="preserve"> Para los efectos de la presente Ley se entenderá por:</w:t>
      </w:r>
    </w:p>
    <w:p w14:paraId="792ED073" w14:textId="77777777" w:rsidR="0091500F" w:rsidRPr="005B5632" w:rsidRDefault="0091500F" w:rsidP="005B5632">
      <w:pPr>
        <w:spacing w:line="276" w:lineRule="auto"/>
        <w:ind w:left="567" w:right="758"/>
        <w:jc w:val="both"/>
        <w:rPr>
          <w:rFonts w:ascii="Palatino Linotype" w:hAnsi="Palatino Linotype"/>
          <w:i/>
          <w:sz w:val="22"/>
        </w:rPr>
      </w:pPr>
      <w:r w:rsidRPr="005B5632">
        <w:rPr>
          <w:rFonts w:ascii="Palatino Linotype" w:hAnsi="Palatino Linotype"/>
          <w:i/>
          <w:sz w:val="22"/>
        </w:rPr>
        <w:t>…</w:t>
      </w:r>
    </w:p>
    <w:p w14:paraId="57806B16" w14:textId="1156D100" w:rsidR="0091500F" w:rsidRPr="005B5632" w:rsidRDefault="0091500F" w:rsidP="005B5632">
      <w:pPr>
        <w:spacing w:line="276" w:lineRule="auto"/>
        <w:ind w:left="567" w:right="758"/>
        <w:jc w:val="both"/>
        <w:rPr>
          <w:rFonts w:ascii="Palatino Linotype" w:hAnsi="Palatino Linotype"/>
          <w:i/>
          <w:sz w:val="22"/>
        </w:rPr>
      </w:pPr>
      <w:r w:rsidRPr="005B5632">
        <w:rPr>
          <w:rFonts w:ascii="Palatino Linotype" w:hAnsi="Palatino Linotype"/>
          <w:i/>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93416BD" w14:textId="77777777" w:rsidR="001F08B5" w:rsidRPr="005B5632" w:rsidRDefault="001F08B5" w:rsidP="005B5632">
      <w:pPr>
        <w:spacing w:line="276" w:lineRule="auto"/>
        <w:ind w:left="567" w:right="758"/>
        <w:jc w:val="both"/>
        <w:rPr>
          <w:rFonts w:ascii="Palatino Linotype" w:hAnsi="Palatino Linotype"/>
          <w:i/>
          <w:sz w:val="22"/>
        </w:rPr>
      </w:pPr>
    </w:p>
    <w:p w14:paraId="7498FD69"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3E9DDB" w14:textId="77777777" w:rsidR="0091500F" w:rsidRPr="005B5632" w:rsidRDefault="0091500F" w:rsidP="005B5632">
      <w:pPr>
        <w:spacing w:line="360" w:lineRule="auto"/>
        <w:ind w:left="567" w:right="758"/>
        <w:jc w:val="both"/>
        <w:rPr>
          <w:rFonts w:ascii="Palatino Linotype" w:hAnsi="Palatino Linotype"/>
          <w:i/>
          <w:sz w:val="22"/>
        </w:rPr>
      </w:pPr>
    </w:p>
    <w:p w14:paraId="7E590927" w14:textId="77777777" w:rsidR="001F08B5" w:rsidRPr="005B5632" w:rsidRDefault="001F08B5" w:rsidP="005B5632">
      <w:pPr>
        <w:spacing w:line="360" w:lineRule="auto"/>
        <w:ind w:left="567" w:right="758"/>
        <w:jc w:val="both"/>
        <w:rPr>
          <w:rFonts w:ascii="Palatino Linotype" w:hAnsi="Palatino Linotype"/>
          <w:i/>
          <w:sz w:val="22"/>
        </w:rPr>
      </w:pPr>
    </w:p>
    <w:p w14:paraId="38C11BB9" w14:textId="77777777" w:rsidR="001F08B5" w:rsidRPr="005B5632" w:rsidRDefault="001F08B5" w:rsidP="005B5632">
      <w:pPr>
        <w:spacing w:line="360" w:lineRule="auto"/>
        <w:ind w:left="567" w:right="758"/>
        <w:jc w:val="both"/>
        <w:rPr>
          <w:rFonts w:ascii="Palatino Linotype" w:hAnsi="Palatino Linotype"/>
          <w:i/>
          <w:sz w:val="22"/>
        </w:rPr>
      </w:pPr>
    </w:p>
    <w:p w14:paraId="59FF978E" w14:textId="42FA85BD" w:rsidR="0091500F" w:rsidRPr="005B5632" w:rsidRDefault="0091500F" w:rsidP="005B5632">
      <w:pPr>
        <w:spacing w:line="360" w:lineRule="auto"/>
        <w:ind w:left="567" w:right="758"/>
        <w:jc w:val="both"/>
        <w:rPr>
          <w:rFonts w:ascii="Palatino Linotype" w:hAnsi="Palatino Linotype"/>
          <w:b/>
          <w:i/>
          <w:sz w:val="22"/>
        </w:rPr>
      </w:pPr>
      <w:r w:rsidRPr="005B5632">
        <w:rPr>
          <w:rFonts w:ascii="Palatino Linotype" w:hAnsi="Palatino Linotype"/>
          <w:b/>
          <w:i/>
          <w:sz w:val="22"/>
        </w:rPr>
        <w:lastRenderedPageBreak/>
        <w:t>“CRITERIO 0002-11</w:t>
      </w:r>
      <w:r w:rsidR="001F08B5" w:rsidRPr="005B5632">
        <w:rPr>
          <w:rFonts w:ascii="Palatino Linotype" w:hAnsi="Palatino Linotype"/>
          <w:b/>
          <w:i/>
          <w:sz w:val="22"/>
        </w:rPr>
        <w:t xml:space="preserve"> </w:t>
      </w:r>
      <w:r w:rsidRPr="005B5632">
        <w:rPr>
          <w:rFonts w:ascii="Palatino Linotype" w:hAnsi="Palatino Linotype"/>
          <w:b/>
          <w:i/>
          <w:sz w:val="22"/>
        </w:rPr>
        <w:t>INFORMACIÓN PÚBLICA, CONCEPTO DE, EN MATERIA DE TRANSPARENCIA. INTERPRETACIÓN SISTEMÁTICA DE LOS ARTÍCULOS 2°, FRACCIÓN V, XV, Y XVI, 3°, 4°, 11 Y 41.</w:t>
      </w:r>
      <w:r w:rsidRPr="005B5632">
        <w:rPr>
          <w:rFonts w:ascii="Palatino Linotype" w:hAnsi="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66141A" w14:textId="77777777" w:rsidR="0091500F" w:rsidRPr="005B5632" w:rsidRDefault="0091500F" w:rsidP="005B5632">
      <w:pPr>
        <w:spacing w:line="360" w:lineRule="auto"/>
        <w:ind w:left="567" w:right="758"/>
        <w:jc w:val="both"/>
        <w:rPr>
          <w:rFonts w:ascii="Palatino Linotype" w:hAnsi="Palatino Linotype"/>
          <w:i/>
          <w:sz w:val="22"/>
        </w:rPr>
      </w:pPr>
      <w:r w:rsidRPr="005B5632">
        <w:rPr>
          <w:rFonts w:ascii="Palatino Linotype" w:hAnsi="Palatino Linotype"/>
          <w:i/>
          <w:sz w:val="22"/>
        </w:rPr>
        <w:t xml:space="preserve">En </w:t>
      </w:r>
      <w:proofErr w:type="gramStart"/>
      <w:r w:rsidRPr="005B5632">
        <w:rPr>
          <w:rFonts w:ascii="Palatino Linotype" w:hAnsi="Palatino Linotype"/>
          <w:i/>
          <w:sz w:val="22"/>
        </w:rPr>
        <w:t>consecuencia</w:t>
      </w:r>
      <w:proofErr w:type="gramEnd"/>
      <w:r w:rsidRPr="005B5632">
        <w:rPr>
          <w:rFonts w:ascii="Palatino Linotype" w:hAnsi="Palatino Linotype"/>
          <w:i/>
          <w:sz w:val="22"/>
        </w:rPr>
        <w:t xml:space="preserve"> el acceso a la información se refiere a que se cumplan cualquiera de los siguientes tres supuestos:</w:t>
      </w:r>
    </w:p>
    <w:p w14:paraId="101E0A68" w14:textId="77777777" w:rsidR="0091500F" w:rsidRPr="005B5632" w:rsidRDefault="0091500F" w:rsidP="005B5632">
      <w:pPr>
        <w:spacing w:line="360" w:lineRule="auto"/>
        <w:ind w:left="567" w:right="758"/>
        <w:jc w:val="both"/>
        <w:rPr>
          <w:rFonts w:ascii="Palatino Linotype" w:hAnsi="Palatino Linotype"/>
          <w:i/>
          <w:sz w:val="22"/>
        </w:rPr>
      </w:pPr>
      <w:r w:rsidRPr="005B5632">
        <w:rPr>
          <w:rFonts w:ascii="Palatino Linotype" w:hAnsi="Palatino Linotype"/>
          <w:i/>
          <w:sz w:val="22"/>
        </w:rPr>
        <w:t>1)</w:t>
      </w:r>
      <w:r w:rsidRPr="005B5632">
        <w:rPr>
          <w:rFonts w:ascii="Palatino Linotype" w:hAnsi="Palatino Linotype"/>
          <w:i/>
          <w:sz w:val="22"/>
        </w:rPr>
        <w:tab/>
        <w:t xml:space="preserve">Que se trate de información registrada en cualquier soporte documental, </w:t>
      </w:r>
      <w:proofErr w:type="gramStart"/>
      <w:r w:rsidRPr="005B5632">
        <w:rPr>
          <w:rFonts w:ascii="Palatino Linotype" w:hAnsi="Palatino Linotype"/>
          <w:i/>
          <w:sz w:val="22"/>
        </w:rPr>
        <w:t>que</w:t>
      </w:r>
      <w:proofErr w:type="gramEnd"/>
      <w:r w:rsidRPr="005B5632">
        <w:rPr>
          <w:rFonts w:ascii="Palatino Linotype" w:hAnsi="Palatino Linotype"/>
          <w:i/>
          <w:sz w:val="22"/>
        </w:rPr>
        <w:t xml:space="preserve"> en ejercicio de las atribuciones conferidas, sea generada por los Sujetos Obligados;</w:t>
      </w:r>
    </w:p>
    <w:p w14:paraId="6B81ECE7" w14:textId="77777777" w:rsidR="0091500F" w:rsidRPr="005B5632" w:rsidRDefault="0091500F" w:rsidP="005B5632">
      <w:pPr>
        <w:spacing w:line="360" w:lineRule="auto"/>
        <w:ind w:left="567" w:right="758"/>
        <w:jc w:val="both"/>
        <w:rPr>
          <w:rFonts w:ascii="Palatino Linotype" w:hAnsi="Palatino Linotype"/>
          <w:i/>
          <w:sz w:val="22"/>
        </w:rPr>
      </w:pPr>
      <w:r w:rsidRPr="005B5632">
        <w:rPr>
          <w:rFonts w:ascii="Palatino Linotype" w:hAnsi="Palatino Linotype"/>
          <w:i/>
          <w:sz w:val="22"/>
        </w:rPr>
        <w:t>2)</w:t>
      </w:r>
      <w:r w:rsidRPr="005B5632">
        <w:rPr>
          <w:rFonts w:ascii="Palatino Linotype" w:hAnsi="Palatino Linotype"/>
          <w:i/>
          <w:sz w:val="22"/>
        </w:rPr>
        <w:tab/>
        <w:t xml:space="preserve">Que se trate de información registrada en cualquier soporte documental, </w:t>
      </w:r>
      <w:proofErr w:type="gramStart"/>
      <w:r w:rsidRPr="005B5632">
        <w:rPr>
          <w:rFonts w:ascii="Palatino Linotype" w:hAnsi="Palatino Linotype"/>
          <w:i/>
          <w:sz w:val="22"/>
        </w:rPr>
        <w:t>que</w:t>
      </w:r>
      <w:proofErr w:type="gramEnd"/>
      <w:r w:rsidRPr="005B5632">
        <w:rPr>
          <w:rFonts w:ascii="Palatino Linotype" w:hAnsi="Palatino Linotype"/>
          <w:i/>
          <w:sz w:val="22"/>
        </w:rPr>
        <w:t xml:space="preserve"> en ejercicio de las atribuciones conferidas, sea administrada por los Sujetos Obligados, y</w:t>
      </w:r>
    </w:p>
    <w:p w14:paraId="726A51CD" w14:textId="77777777" w:rsidR="0091500F" w:rsidRPr="005B5632" w:rsidRDefault="0091500F" w:rsidP="005B5632">
      <w:pPr>
        <w:spacing w:line="360" w:lineRule="auto"/>
        <w:ind w:left="567" w:right="758"/>
        <w:jc w:val="both"/>
        <w:rPr>
          <w:rFonts w:ascii="Palatino Linotype" w:hAnsi="Palatino Linotype"/>
          <w:i/>
          <w:sz w:val="22"/>
        </w:rPr>
      </w:pPr>
      <w:r w:rsidRPr="005B5632">
        <w:rPr>
          <w:rFonts w:ascii="Palatino Linotype" w:hAnsi="Palatino Linotype"/>
          <w:i/>
          <w:sz w:val="22"/>
        </w:rPr>
        <w:t xml:space="preserve">3) Que se trate de información registrada en cualquier soporte documental, </w:t>
      </w:r>
      <w:proofErr w:type="gramStart"/>
      <w:r w:rsidRPr="005B5632">
        <w:rPr>
          <w:rFonts w:ascii="Palatino Linotype" w:hAnsi="Palatino Linotype"/>
          <w:i/>
          <w:sz w:val="22"/>
        </w:rPr>
        <w:t>que</w:t>
      </w:r>
      <w:proofErr w:type="gramEnd"/>
      <w:r w:rsidRPr="005B5632">
        <w:rPr>
          <w:rFonts w:ascii="Palatino Linotype" w:hAnsi="Palatino Linotype"/>
          <w:i/>
          <w:sz w:val="22"/>
        </w:rPr>
        <w:t xml:space="preserve"> en ejercicio de las atribuciones conferidas, se encuentre en posesión de los Sujetos Obligados.” (Sic)</w:t>
      </w:r>
    </w:p>
    <w:p w14:paraId="73D11749" w14:textId="77777777" w:rsidR="0091500F" w:rsidRPr="005B5632" w:rsidRDefault="0091500F" w:rsidP="005B5632">
      <w:pPr>
        <w:spacing w:line="360" w:lineRule="auto"/>
        <w:jc w:val="both"/>
        <w:rPr>
          <w:rFonts w:ascii="Palatino Linotype" w:hAnsi="Palatino Linotype"/>
        </w:rPr>
      </w:pPr>
    </w:p>
    <w:p w14:paraId="3777486D"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w:t>
      </w:r>
      <w:r w:rsidRPr="005B5632">
        <w:rPr>
          <w:rFonts w:ascii="Palatino Linotype" w:hAnsi="Palatino Linotype"/>
        </w:rPr>
        <w:lastRenderedPageBreak/>
        <w:t>interés individual y cuya divulgación resulta útil para que el público comprenda las actividades que llevan a cabo los Sujetos Obligados .</w:t>
      </w:r>
    </w:p>
    <w:p w14:paraId="76224FA4" w14:textId="77777777" w:rsidR="0091500F" w:rsidRPr="005B5632" w:rsidRDefault="0091500F" w:rsidP="005B5632">
      <w:pPr>
        <w:spacing w:line="360" w:lineRule="auto"/>
        <w:jc w:val="both"/>
        <w:rPr>
          <w:rFonts w:ascii="Palatino Linotype" w:hAnsi="Palatino Linotype"/>
        </w:rPr>
      </w:pPr>
    </w:p>
    <w:p w14:paraId="1D5642D0"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De las actuaciones que integran el expediente electrónico, se procede al análisis del agravio hecho valer por el Recurrente, relativo a la entrega de la información que no corresponde con lo solicitado, lo que actualiza la causal de procedencia la fracción VI del artículo 179 de la Ley de Transparencia y Acceso a la Información Pública del Estado de México y Municipios. </w:t>
      </w:r>
    </w:p>
    <w:p w14:paraId="114DDF56" w14:textId="77777777" w:rsidR="0091500F" w:rsidRPr="005B5632" w:rsidRDefault="0091500F" w:rsidP="005B5632">
      <w:pPr>
        <w:spacing w:line="360" w:lineRule="auto"/>
        <w:jc w:val="both"/>
        <w:rPr>
          <w:rFonts w:ascii="Palatino Linotype" w:hAnsi="Palatino Linotype"/>
        </w:rPr>
      </w:pPr>
    </w:p>
    <w:p w14:paraId="737D9B70"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Para ello, en principio resulta necesario recordar que la pretensión del ahora Recurrente es obtener la siguiente información: </w:t>
      </w:r>
    </w:p>
    <w:p w14:paraId="34C1168B" w14:textId="77777777" w:rsidR="0091500F" w:rsidRPr="005B5632" w:rsidRDefault="0091500F" w:rsidP="005B5632">
      <w:pPr>
        <w:spacing w:line="360" w:lineRule="auto"/>
        <w:ind w:left="567" w:right="616"/>
        <w:jc w:val="both"/>
        <w:rPr>
          <w:rFonts w:ascii="Palatino Linotype" w:hAnsi="Palatino Linotype"/>
          <w:sz w:val="22"/>
        </w:rPr>
      </w:pPr>
    </w:p>
    <w:p w14:paraId="6E8A99E6" w14:textId="5DA85057" w:rsidR="0091500F" w:rsidRPr="005B5632" w:rsidRDefault="0091500F" w:rsidP="005B5632">
      <w:pPr>
        <w:spacing w:line="360" w:lineRule="auto"/>
        <w:ind w:left="567" w:right="616"/>
        <w:jc w:val="both"/>
        <w:rPr>
          <w:rFonts w:ascii="Palatino Linotype" w:hAnsi="Palatino Linotype"/>
          <w:b/>
          <w:sz w:val="22"/>
        </w:rPr>
      </w:pPr>
      <w:r w:rsidRPr="005B5632">
        <w:rPr>
          <w:rFonts w:ascii="Palatino Linotype" w:hAnsi="Palatino Linotype"/>
          <w:b/>
          <w:sz w:val="22"/>
        </w:rPr>
        <w:t>Del avance de la aplicación de los exámenes de control y confianza de los elementos activos al d</w:t>
      </w:r>
      <w:r w:rsidR="001F08B5" w:rsidRPr="005B5632">
        <w:rPr>
          <w:rFonts w:ascii="Palatino Linotype" w:hAnsi="Palatino Linotype"/>
          <w:b/>
          <w:sz w:val="22"/>
        </w:rPr>
        <w:t xml:space="preserve">oce </w:t>
      </w:r>
      <w:r w:rsidRPr="005B5632">
        <w:rPr>
          <w:rFonts w:ascii="Palatino Linotype" w:hAnsi="Palatino Linotype"/>
          <w:b/>
          <w:sz w:val="22"/>
        </w:rPr>
        <w:t>de abril de dos mil veintidós:</w:t>
      </w:r>
    </w:p>
    <w:p w14:paraId="2E9E0C6C" w14:textId="77777777" w:rsidR="00675F13" w:rsidRPr="005B5632" w:rsidRDefault="00675F13" w:rsidP="005B5632">
      <w:pPr>
        <w:spacing w:line="360" w:lineRule="auto"/>
        <w:ind w:left="567" w:right="616"/>
        <w:jc w:val="both"/>
        <w:rPr>
          <w:rFonts w:ascii="Palatino Linotype" w:hAnsi="Palatino Linotype"/>
          <w:sz w:val="22"/>
        </w:rPr>
      </w:pPr>
    </w:p>
    <w:p w14:paraId="71ECAA60" w14:textId="77777777" w:rsidR="00675F13" w:rsidRPr="005B5632" w:rsidRDefault="0091500F" w:rsidP="005B5632">
      <w:pPr>
        <w:pStyle w:val="Prrafodelista"/>
        <w:numPr>
          <w:ilvl w:val="0"/>
          <w:numId w:val="22"/>
        </w:numPr>
        <w:spacing w:line="360" w:lineRule="auto"/>
        <w:ind w:right="616"/>
        <w:jc w:val="both"/>
        <w:rPr>
          <w:rFonts w:ascii="Palatino Linotype" w:hAnsi="Palatino Linotype"/>
        </w:rPr>
      </w:pPr>
      <w:r w:rsidRPr="005B5632">
        <w:rPr>
          <w:rFonts w:ascii="Palatino Linotype" w:hAnsi="Palatino Linotype"/>
        </w:rPr>
        <w:t>Número de elementos aprobados</w:t>
      </w:r>
    </w:p>
    <w:p w14:paraId="6408776C" w14:textId="77777777" w:rsidR="00675F13" w:rsidRPr="005B5632" w:rsidRDefault="0091500F" w:rsidP="005B5632">
      <w:pPr>
        <w:pStyle w:val="Prrafodelista"/>
        <w:numPr>
          <w:ilvl w:val="0"/>
          <w:numId w:val="22"/>
        </w:numPr>
        <w:spacing w:line="360" w:lineRule="auto"/>
        <w:ind w:right="616"/>
        <w:jc w:val="both"/>
        <w:rPr>
          <w:rFonts w:ascii="Palatino Linotype" w:hAnsi="Palatino Linotype"/>
        </w:rPr>
      </w:pPr>
      <w:r w:rsidRPr="005B5632">
        <w:rPr>
          <w:rFonts w:ascii="Palatino Linotype" w:hAnsi="Palatino Linotype"/>
        </w:rPr>
        <w:t>Número de elementos removidos de su cargo por no aprobar los exámenes</w:t>
      </w:r>
    </w:p>
    <w:p w14:paraId="3BC60373" w14:textId="77777777" w:rsidR="00675F13" w:rsidRPr="005B5632" w:rsidRDefault="0091500F" w:rsidP="005B5632">
      <w:pPr>
        <w:pStyle w:val="Prrafodelista"/>
        <w:numPr>
          <w:ilvl w:val="0"/>
          <w:numId w:val="22"/>
        </w:numPr>
        <w:spacing w:line="360" w:lineRule="auto"/>
        <w:ind w:right="616"/>
        <w:jc w:val="both"/>
        <w:rPr>
          <w:rFonts w:ascii="Palatino Linotype" w:hAnsi="Palatino Linotype"/>
        </w:rPr>
      </w:pPr>
      <w:r w:rsidRPr="005B5632">
        <w:rPr>
          <w:rFonts w:ascii="Palatino Linotype" w:hAnsi="Palatino Linotype"/>
        </w:rPr>
        <w:t>Programa de capacitación para los elementos activos.</w:t>
      </w:r>
    </w:p>
    <w:p w14:paraId="50072E35" w14:textId="77777777" w:rsidR="00675F13" w:rsidRPr="005B5632" w:rsidRDefault="0091500F" w:rsidP="005B5632">
      <w:pPr>
        <w:pStyle w:val="Prrafodelista"/>
        <w:numPr>
          <w:ilvl w:val="0"/>
          <w:numId w:val="22"/>
        </w:numPr>
        <w:spacing w:line="360" w:lineRule="auto"/>
        <w:ind w:right="616"/>
        <w:jc w:val="both"/>
        <w:rPr>
          <w:rFonts w:ascii="Palatino Linotype" w:hAnsi="Palatino Linotype"/>
        </w:rPr>
      </w:pPr>
      <w:r w:rsidRPr="005B5632">
        <w:rPr>
          <w:rFonts w:ascii="Palatino Linotype" w:hAnsi="Palatino Linotype"/>
        </w:rPr>
        <w:t>Monto del presupuesto anual del ejercicio fiscal 2022 destinado a la capacitación (anexar documentación para verificación del monto) y adiestramiento para los elementos de seguridad pública;</w:t>
      </w:r>
    </w:p>
    <w:p w14:paraId="19C3D010" w14:textId="77777777" w:rsidR="00675F13" w:rsidRPr="005B5632" w:rsidRDefault="0091500F" w:rsidP="005B5632">
      <w:pPr>
        <w:pStyle w:val="Prrafodelista"/>
        <w:numPr>
          <w:ilvl w:val="0"/>
          <w:numId w:val="22"/>
        </w:numPr>
        <w:spacing w:line="360" w:lineRule="auto"/>
        <w:ind w:right="616"/>
        <w:jc w:val="both"/>
        <w:rPr>
          <w:rFonts w:ascii="Palatino Linotype" w:hAnsi="Palatino Linotype"/>
        </w:rPr>
      </w:pPr>
      <w:r w:rsidRPr="005B5632">
        <w:rPr>
          <w:rFonts w:ascii="Palatino Linotype" w:hAnsi="Palatino Linotype"/>
        </w:rPr>
        <w:t>Organigrama de mandos altos y mandos medios;</w:t>
      </w:r>
    </w:p>
    <w:p w14:paraId="2316705F" w14:textId="77777777" w:rsidR="00675F13" w:rsidRPr="005B5632" w:rsidRDefault="0091500F" w:rsidP="005B5632">
      <w:pPr>
        <w:pStyle w:val="Prrafodelista"/>
        <w:numPr>
          <w:ilvl w:val="0"/>
          <w:numId w:val="22"/>
        </w:numPr>
        <w:spacing w:line="360" w:lineRule="auto"/>
        <w:ind w:right="616"/>
        <w:jc w:val="both"/>
        <w:rPr>
          <w:rFonts w:ascii="Palatino Linotype" w:hAnsi="Palatino Linotype"/>
        </w:rPr>
      </w:pPr>
      <w:r w:rsidRPr="005B5632">
        <w:rPr>
          <w:rFonts w:ascii="Palatino Linotype" w:hAnsi="Palatino Linotype"/>
        </w:rPr>
        <w:t xml:space="preserve">Versión publica de los </w:t>
      </w:r>
      <w:proofErr w:type="spellStart"/>
      <w:r w:rsidR="00675F13" w:rsidRPr="005B5632">
        <w:rPr>
          <w:rFonts w:ascii="Palatino Linotype" w:hAnsi="Palatino Linotype"/>
        </w:rPr>
        <w:t>Curriculums</w:t>
      </w:r>
      <w:proofErr w:type="spellEnd"/>
      <w:r w:rsidR="00675F13" w:rsidRPr="005B5632">
        <w:rPr>
          <w:rFonts w:ascii="Palatino Linotype" w:hAnsi="Palatino Linotype"/>
        </w:rPr>
        <w:t xml:space="preserve"> de los elementos y;</w:t>
      </w:r>
    </w:p>
    <w:p w14:paraId="066EAF75" w14:textId="2EE1A9A8" w:rsidR="0091500F" w:rsidRPr="005B5632" w:rsidRDefault="0091500F" w:rsidP="005B5632">
      <w:pPr>
        <w:pStyle w:val="Prrafodelista"/>
        <w:numPr>
          <w:ilvl w:val="0"/>
          <w:numId w:val="22"/>
        </w:numPr>
        <w:tabs>
          <w:tab w:val="left" w:pos="567"/>
          <w:tab w:val="left" w:pos="1560"/>
        </w:tabs>
        <w:spacing w:line="360" w:lineRule="auto"/>
        <w:ind w:right="616"/>
        <w:jc w:val="both"/>
        <w:rPr>
          <w:rFonts w:ascii="Palatino Linotype" w:hAnsi="Palatino Linotype"/>
        </w:rPr>
      </w:pPr>
      <w:r w:rsidRPr="005B5632">
        <w:rPr>
          <w:rFonts w:ascii="Palatino Linotype" w:hAnsi="Palatino Linotype"/>
        </w:rPr>
        <w:tab/>
        <w:t xml:space="preserve">Versión pública de la aprobación de exámenes de control y confianza, así como antidoping. </w:t>
      </w:r>
    </w:p>
    <w:p w14:paraId="5F4DC430" w14:textId="77777777" w:rsidR="0091500F" w:rsidRPr="005B5632" w:rsidRDefault="0091500F" w:rsidP="005B5632">
      <w:pPr>
        <w:spacing w:line="360" w:lineRule="auto"/>
        <w:jc w:val="both"/>
        <w:rPr>
          <w:rFonts w:ascii="Palatino Linotype" w:hAnsi="Palatino Linotype"/>
        </w:rPr>
      </w:pPr>
    </w:p>
    <w:p w14:paraId="456C577A"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lastRenderedPageBreak/>
        <w:t xml:space="preserve">En respuesta, el Sujeto Obligado refirió que la información se encontraba clasificada de conformidad con lo dispuesto en el artículo 113, fracción I y XII de la Ley de Transparencia General; artículos 140 fracciones I y XI y 143 </w:t>
      </w:r>
      <w:proofErr w:type="gramStart"/>
      <w:r w:rsidRPr="005B5632">
        <w:rPr>
          <w:rFonts w:ascii="Palatino Linotype" w:hAnsi="Palatino Linotype"/>
        </w:rPr>
        <w:t>fracción  I</w:t>
      </w:r>
      <w:proofErr w:type="gramEnd"/>
      <w:r w:rsidRPr="005B5632">
        <w:rPr>
          <w:rFonts w:ascii="Palatino Linotype" w:hAnsi="Palatino Linotype"/>
        </w:rPr>
        <w:t xml:space="preserve"> de la Ley de Transparencia del Estado de México; artículo 110 párrafo II de la Ley del Sistema Nacional de Seguridad Pública. </w:t>
      </w:r>
    </w:p>
    <w:p w14:paraId="6864CEB1" w14:textId="77777777" w:rsidR="0091500F" w:rsidRPr="005B5632" w:rsidRDefault="0091500F" w:rsidP="005B5632">
      <w:pPr>
        <w:spacing w:line="360" w:lineRule="auto"/>
        <w:jc w:val="both"/>
        <w:rPr>
          <w:rFonts w:ascii="Palatino Linotype" w:hAnsi="Palatino Linotype"/>
        </w:rPr>
      </w:pPr>
    </w:p>
    <w:p w14:paraId="7E5A414D"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Por lo anterior, el Particular se inconformó señalando que la información solicitada no coincidía con la proporcionada por el Sujeto Obligado en respuesta, en principio porque el fundamento legal enviado era confuso e inexistente, ya que no existe alguna Ley que se llame “</w:t>
      </w:r>
      <w:r w:rsidRPr="005B5632">
        <w:rPr>
          <w:rFonts w:ascii="Palatino Linotype" w:hAnsi="Palatino Linotype"/>
          <w:i/>
        </w:rPr>
        <w:t>artículo 110 párrafo II del Sistema Nacional de Seguridad Pública”</w:t>
      </w:r>
      <w:r w:rsidRPr="005B5632">
        <w:rPr>
          <w:rFonts w:ascii="Palatino Linotype" w:hAnsi="Palatino Linotype"/>
        </w:rPr>
        <w:t xml:space="preserve">; porque la información presupuestal es de carácter público y; el programa de capacitación forma parte de metas del Sujeto Obligado. </w:t>
      </w:r>
    </w:p>
    <w:p w14:paraId="23FA0853" w14:textId="77777777" w:rsidR="00912FB6" w:rsidRPr="005B5632" w:rsidRDefault="00912FB6" w:rsidP="005B5632">
      <w:pPr>
        <w:spacing w:line="360" w:lineRule="auto"/>
        <w:jc w:val="both"/>
        <w:rPr>
          <w:rFonts w:ascii="Palatino Linotype" w:hAnsi="Palatino Linotype"/>
        </w:rPr>
      </w:pPr>
    </w:p>
    <w:p w14:paraId="6C7944EC" w14:textId="00984C65" w:rsidR="0091500F" w:rsidRPr="005B5632" w:rsidRDefault="00912FB6" w:rsidP="005B5632">
      <w:pPr>
        <w:spacing w:line="360" w:lineRule="auto"/>
        <w:jc w:val="both"/>
        <w:rPr>
          <w:rFonts w:ascii="Palatino Linotype" w:hAnsi="Palatino Linotype"/>
        </w:rPr>
      </w:pPr>
      <w:r w:rsidRPr="005B5632">
        <w:rPr>
          <w:rFonts w:ascii="Palatino Linotype" w:hAnsi="Palatino Linotype"/>
        </w:rPr>
        <w:t>Ahora bien, en el caso que ahora nos ocupa,</w:t>
      </w:r>
      <w:r w:rsidR="0091500F" w:rsidRPr="005B5632">
        <w:rPr>
          <w:rFonts w:ascii="Palatino Linotype" w:hAnsi="Palatino Linotype"/>
        </w:rPr>
        <w:t xml:space="preserve"> cabe precisar que conforme al artículo 20 de la Ley de Transparencia y Acceso a la Información Pública del Estado de México y Municipios, ante la negativa de acceso a la información o su inexistencia, el sujeto obligado deberá demostrar que se encuentra en alguna de las excepciones establecidas en la normatividad aplicable. </w:t>
      </w:r>
    </w:p>
    <w:p w14:paraId="0355F864" w14:textId="77777777" w:rsidR="0091500F" w:rsidRPr="005B5632" w:rsidRDefault="0091500F" w:rsidP="005B5632">
      <w:pPr>
        <w:spacing w:line="360" w:lineRule="auto"/>
        <w:jc w:val="both"/>
        <w:rPr>
          <w:rFonts w:ascii="Palatino Linotype" w:hAnsi="Palatino Linotype"/>
        </w:rPr>
      </w:pPr>
    </w:p>
    <w:p w14:paraId="2DF18557" w14:textId="6E21B0F0" w:rsidR="0091500F"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En por lo que, resulta necesario señalar que las excepciones al derecho de acceso a la información consisten en que la documentación sea inexistente o se encuentre clasificada; es decir, la negativa de acceso a la información recae cuando la documentación no se encuentre en los archivos del sujeto obligado, o bien, exista, pero no pueda ser proporcionada por contener datos confidenciales o reservados. </w:t>
      </w:r>
    </w:p>
    <w:p w14:paraId="259513ED"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lastRenderedPageBreak/>
        <w:t>De tal forma que, en los casos en que se niegue el acceso a la información, por actualizarse alguno de los supuestos de clasificación, el Comité de Transparencia deberá confirmar, modificar o revocar la decisión;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32A4336" w14:textId="77777777" w:rsidR="0091500F" w:rsidRPr="005B5632" w:rsidRDefault="0091500F" w:rsidP="005B5632">
      <w:pPr>
        <w:spacing w:line="360" w:lineRule="auto"/>
        <w:jc w:val="both"/>
        <w:rPr>
          <w:rFonts w:ascii="Palatino Linotype" w:hAnsi="Palatino Linotype"/>
        </w:rPr>
      </w:pPr>
    </w:p>
    <w:p w14:paraId="67615FD5"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En ese sentido, el Octavo de los Lineamientos Generales en Materia de Clasificación y Desclasificación de la Información, así como para la Elaboración de Versiones Públicas –Lineamientos Generales-, precisa que para fundar la clasificación de la información se deberán señalar el artículo, fracción, inciso, párrafo o numeral de la Ley aplicable y para motivar la clasificación se deberán indicar las razones y circunstancias especiales que lo llevaron a concluir que el caso particular se ajusta al supuesto previsto por la norma legal invocada.</w:t>
      </w:r>
    </w:p>
    <w:p w14:paraId="1DA659D4" w14:textId="77777777" w:rsidR="0091500F" w:rsidRPr="005B5632" w:rsidRDefault="0091500F" w:rsidP="005B5632">
      <w:pPr>
        <w:spacing w:line="360" w:lineRule="auto"/>
        <w:jc w:val="both"/>
        <w:rPr>
          <w:rFonts w:ascii="Palatino Linotype" w:hAnsi="Palatino Linotype"/>
        </w:rPr>
      </w:pPr>
    </w:p>
    <w:p w14:paraId="11D0DFA1" w14:textId="77777777" w:rsidR="0091500F" w:rsidRPr="005B5632" w:rsidRDefault="0091500F" w:rsidP="005B5632">
      <w:pPr>
        <w:spacing w:line="360" w:lineRule="auto"/>
        <w:jc w:val="both"/>
        <w:rPr>
          <w:rFonts w:ascii="Palatino Linotype" w:hAnsi="Palatino Linotype"/>
        </w:rPr>
      </w:pPr>
      <w:r w:rsidRPr="005B5632">
        <w:rPr>
          <w:rFonts w:ascii="Palatino Linotype" w:hAnsi="Palatino Linotype"/>
        </w:rPr>
        <w:t>Lo anterior, toma sustento con la Tesis aislada número I. 4o. P. 56 P, Octava Época, publicada en el Semanario Judicial de la Federación, Tomo XIV, noviembre de mil novecientos noventa y cuatro, (p. 450), que establece lo siguiente:</w:t>
      </w:r>
    </w:p>
    <w:p w14:paraId="151FCD27" w14:textId="77777777" w:rsidR="0091500F" w:rsidRPr="005B5632" w:rsidRDefault="0091500F" w:rsidP="005B5632">
      <w:pPr>
        <w:spacing w:line="360" w:lineRule="auto"/>
        <w:jc w:val="both"/>
        <w:rPr>
          <w:rFonts w:ascii="Palatino Linotype" w:hAnsi="Palatino Linotype"/>
        </w:rPr>
      </w:pPr>
    </w:p>
    <w:p w14:paraId="000E0459" w14:textId="77777777" w:rsidR="0091500F" w:rsidRPr="005B5632" w:rsidRDefault="0091500F" w:rsidP="005B5632">
      <w:pPr>
        <w:spacing w:line="276" w:lineRule="auto"/>
        <w:ind w:left="567" w:right="616"/>
        <w:jc w:val="both"/>
        <w:rPr>
          <w:rFonts w:ascii="Palatino Linotype" w:hAnsi="Palatino Linotype"/>
          <w:i/>
          <w:sz w:val="22"/>
          <w:szCs w:val="22"/>
        </w:rPr>
      </w:pPr>
      <w:r w:rsidRPr="005B5632">
        <w:rPr>
          <w:rFonts w:ascii="Palatino Linotype" w:hAnsi="Palatino Linotype"/>
          <w:b/>
          <w:i/>
          <w:sz w:val="22"/>
          <w:szCs w:val="22"/>
        </w:rPr>
        <w:t>“FUNDAMENTACION Y MOTIVACION, CONCEPTO DE.</w:t>
      </w:r>
      <w:r w:rsidRPr="005B5632">
        <w:rPr>
          <w:rFonts w:ascii="Palatino Linotype" w:hAnsi="Palatino Linotype"/>
          <w:i/>
          <w:sz w:val="22"/>
          <w:szCs w:val="22"/>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4C98022" w14:textId="77777777" w:rsidR="0091500F" w:rsidRPr="005B5632" w:rsidRDefault="0091500F" w:rsidP="005B5632">
      <w:pPr>
        <w:spacing w:line="360" w:lineRule="auto"/>
        <w:jc w:val="both"/>
        <w:rPr>
          <w:rFonts w:ascii="Palatino Linotype" w:hAnsi="Palatino Linotype"/>
        </w:rPr>
      </w:pPr>
    </w:p>
    <w:p w14:paraId="31455BDD" w14:textId="573C8C8E" w:rsidR="0091500F" w:rsidRPr="005B5632" w:rsidRDefault="0091500F" w:rsidP="005B5632">
      <w:pPr>
        <w:spacing w:line="360" w:lineRule="auto"/>
        <w:jc w:val="both"/>
        <w:rPr>
          <w:rFonts w:ascii="Palatino Linotype" w:hAnsi="Palatino Linotype"/>
        </w:rPr>
      </w:pPr>
      <w:r w:rsidRPr="005B5632">
        <w:rPr>
          <w:rFonts w:ascii="Palatino Linotype" w:hAnsi="Palatino Linotype"/>
        </w:rPr>
        <w:lastRenderedPageBreak/>
        <w:t xml:space="preserve">Al respecto, el Ayuntamiento de Melchor Ocampo, en respuesta precisó que la información solicitada, se encontraba clasificada </w:t>
      </w:r>
      <w:r w:rsidR="003D0D89" w:rsidRPr="005B5632">
        <w:rPr>
          <w:rFonts w:ascii="Palatino Linotype" w:hAnsi="Palatino Linotype"/>
        </w:rPr>
        <w:t xml:space="preserve">bajo los siguientes preceptos normativos: </w:t>
      </w:r>
    </w:p>
    <w:p w14:paraId="4CE207A6" w14:textId="77777777" w:rsidR="0091500F" w:rsidRPr="005B5632" w:rsidRDefault="0091500F" w:rsidP="005B5632">
      <w:pPr>
        <w:spacing w:line="360" w:lineRule="auto"/>
        <w:ind w:left="567" w:right="616"/>
        <w:jc w:val="both"/>
        <w:rPr>
          <w:rFonts w:ascii="Palatino Linotype" w:hAnsi="Palatino Linotype"/>
          <w:i/>
          <w:sz w:val="22"/>
        </w:rPr>
      </w:pPr>
    </w:p>
    <w:p w14:paraId="48E90BBC" w14:textId="5EAAF87C" w:rsidR="003D0D89" w:rsidRPr="005B5632" w:rsidRDefault="003D0D89" w:rsidP="005B5632">
      <w:pPr>
        <w:spacing w:line="276" w:lineRule="auto"/>
        <w:ind w:left="567" w:right="616"/>
        <w:jc w:val="center"/>
        <w:rPr>
          <w:rFonts w:ascii="Palatino Linotype" w:hAnsi="Palatino Linotype"/>
          <w:b/>
          <w:i/>
          <w:sz w:val="22"/>
          <w:szCs w:val="22"/>
        </w:rPr>
      </w:pPr>
      <w:r w:rsidRPr="005B5632">
        <w:rPr>
          <w:rFonts w:ascii="Palatino Linotype" w:hAnsi="Palatino Linotype"/>
          <w:b/>
          <w:i/>
          <w:sz w:val="22"/>
          <w:szCs w:val="22"/>
        </w:rPr>
        <w:t>Ley General de Transparencia.</w:t>
      </w:r>
    </w:p>
    <w:p w14:paraId="5D7177E3" w14:textId="77777777" w:rsidR="003D0D89" w:rsidRPr="005B5632" w:rsidRDefault="003D0D89" w:rsidP="005B5632">
      <w:pPr>
        <w:spacing w:line="276" w:lineRule="auto"/>
        <w:ind w:left="567" w:right="616"/>
        <w:jc w:val="both"/>
        <w:rPr>
          <w:rFonts w:ascii="Palatino Linotype" w:hAnsi="Palatino Linotype"/>
          <w:i/>
          <w:sz w:val="22"/>
          <w:szCs w:val="22"/>
        </w:rPr>
      </w:pPr>
    </w:p>
    <w:p w14:paraId="16BD5C81" w14:textId="77777777" w:rsidR="003D0D89" w:rsidRPr="005B5632" w:rsidRDefault="003D0D89" w:rsidP="005B5632">
      <w:pPr>
        <w:spacing w:line="276" w:lineRule="auto"/>
        <w:ind w:left="567" w:right="616"/>
        <w:jc w:val="both"/>
        <w:rPr>
          <w:rFonts w:ascii="Palatino Linotype" w:hAnsi="Palatino Linotype"/>
          <w:i/>
          <w:sz w:val="22"/>
          <w:szCs w:val="22"/>
        </w:rPr>
      </w:pPr>
      <w:r w:rsidRPr="005B5632">
        <w:rPr>
          <w:rFonts w:ascii="Palatino Linotype" w:hAnsi="Palatino Linotype"/>
          <w:b/>
          <w:i/>
          <w:sz w:val="22"/>
          <w:szCs w:val="22"/>
        </w:rPr>
        <w:t>Artículo 113</w:t>
      </w:r>
      <w:r w:rsidRPr="005B5632">
        <w:rPr>
          <w:rFonts w:ascii="Palatino Linotype" w:hAnsi="Palatino Linotype"/>
          <w:i/>
          <w:sz w:val="22"/>
          <w:szCs w:val="22"/>
        </w:rPr>
        <w:t xml:space="preserve">. Como información reservada podrá clasificarse aquella cuya publicación: </w:t>
      </w:r>
    </w:p>
    <w:p w14:paraId="01B70898" w14:textId="77777777" w:rsidR="003D0D89" w:rsidRPr="005B5632" w:rsidRDefault="003D0D89" w:rsidP="005B5632">
      <w:pPr>
        <w:spacing w:line="276" w:lineRule="auto"/>
        <w:ind w:left="567" w:right="616"/>
        <w:jc w:val="both"/>
        <w:rPr>
          <w:rFonts w:ascii="Palatino Linotype" w:hAnsi="Palatino Linotype"/>
          <w:i/>
          <w:sz w:val="22"/>
          <w:szCs w:val="22"/>
        </w:rPr>
      </w:pPr>
    </w:p>
    <w:p w14:paraId="38EB99FA" w14:textId="79926EF1" w:rsidR="003D0D89" w:rsidRPr="005B5632" w:rsidRDefault="003D0D89" w:rsidP="005B5632">
      <w:pPr>
        <w:spacing w:line="276" w:lineRule="auto"/>
        <w:ind w:left="567" w:right="616"/>
        <w:jc w:val="both"/>
        <w:rPr>
          <w:rFonts w:ascii="Palatino Linotype" w:hAnsi="Palatino Linotype"/>
          <w:i/>
          <w:sz w:val="22"/>
          <w:szCs w:val="22"/>
        </w:rPr>
      </w:pPr>
      <w:r w:rsidRPr="005B5632">
        <w:rPr>
          <w:rFonts w:ascii="Palatino Linotype" w:hAnsi="Palatino Linotype"/>
          <w:i/>
          <w:sz w:val="22"/>
          <w:szCs w:val="22"/>
        </w:rPr>
        <w:t>I. Comprometa la seguridad nacional, la seguridad pública o la defensa nacional y cuente con un propósito genuino y un efecto demostrable;</w:t>
      </w:r>
    </w:p>
    <w:p w14:paraId="65D15834" w14:textId="4ECBD4FC" w:rsidR="003D0D89" w:rsidRPr="005B5632" w:rsidRDefault="003D0D89" w:rsidP="005B5632">
      <w:pPr>
        <w:spacing w:line="276" w:lineRule="auto"/>
        <w:ind w:left="567" w:right="616"/>
        <w:jc w:val="both"/>
        <w:rPr>
          <w:rFonts w:ascii="Palatino Linotype" w:hAnsi="Palatino Linotype"/>
          <w:i/>
          <w:sz w:val="22"/>
          <w:szCs w:val="22"/>
        </w:rPr>
      </w:pPr>
      <w:r w:rsidRPr="005B5632">
        <w:rPr>
          <w:rFonts w:ascii="Palatino Linotype" w:hAnsi="Palatino Linotype"/>
          <w:i/>
          <w:sz w:val="22"/>
          <w:szCs w:val="22"/>
        </w:rPr>
        <w:t>…</w:t>
      </w:r>
    </w:p>
    <w:p w14:paraId="7CB6B4CA" w14:textId="24C19769" w:rsidR="003D0D89" w:rsidRPr="005B5632" w:rsidRDefault="003D0D89" w:rsidP="005B5632">
      <w:pPr>
        <w:spacing w:line="276" w:lineRule="auto"/>
        <w:ind w:left="567" w:right="616"/>
        <w:jc w:val="both"/>
        <w:rPr>
          <w:rFonts w:ascii="Palatino Linotype" w:hAnsi="Palatino Linotype"/>
          <w:i/>
          <w:sz w:val="22"/>
          <w:szCs w:val="22"/>
        </w:rPr>
      </w:pPr>
      <w:r w:rsidRPr="005B5632">
        <w:rPr>
          <w:rFonts w:ascii="Palatino Linotype" w:hAnsi="Palatino Linotype"/>
          <w:i/>
          <w:sz w:val="22"/>
          <w:szCs w:val="22"/>
        </w:rPr>
        <w:t>XII. Se encuentre contenida dentro de las investigaciones de hechos que la ley señale como delitos y se tramiten ante el Ministerio Público, y</w:t>
      </w:r>
    </w:p>
    <w:p w14:paraId="7751C346" w14:textId="77777777" w:rsidR="003D0D89" w:rsidRPr="005B5632" w:rsidRDefault="003D0D89" w:rsidP="005B5632">
      <w:pPr>
        <w:spacing w:line="360" w:lineRule="auto"/>
        <w:jc w:val="both"/>
        <w:rPr>
          <w:rFonts w:ascii="Palatino Linotype" w:hAnsi="Palatino Linotype"/>
          <w:sz w:val="22"/>
          <w:szCs w:val="22"/>
        </w:rPr>
      </w:pPr>
    </w:p>
    <w:p w14:paraId="01FA4EDF" w14:textId="0E0EDFFA" w:rsidR="003D0D89" w:rsidRPr="005B5632" w:rsidRDefault="003D0D89" w:rsidP="005B5632">
      <w:pPr>
        <w:spacing w:line="360" w:lineRule="auto"/>
        <w:ind w:left="567" w:right="616"/>
        <w:jc w:val="center"/>
        <w:rPr>
          <w:rFonts w:ascii="Palatino Linotype" w:hAnsi="Palatino Linotype"/>
          <w:b/>
          <w:i/>
          <w:sz w:val="22"/>
          <w:szCs w:val="22"/>
        </w:rPr>
      </w:pPr>
      <w:r w:rsidRPr="005B5632">
        <w:rPr>
          <w:rFonts w:ascii="Palatino Linotype" w:hAnsi="Palatino Linotype"/>
          <w:b/>
          <w:i/>
          <w:sz w:val="22"/>
          <w:szCs w:val="22"/>
        </w:rPr>
        <w:t>Ley de Transparencia y Acceso a la Información Pública del Estado de México y Municipios.</w:t>
      </w:r>
    </w:p>
    <w:p w14:paraId="26A8F6BA" w14:textId="77777777" w:rsidR="003D0D89" w:rsidRPr="005B5632" w:rsidRDefault="003D0D89" w:rsidP="005B5632">
      <w:pPr>
        <w:spacing w:line="360" w:lineRule="auto"/>
        <w:ind w:left="567" w:right="616"/>
        <w:jc w:val="center"/>
        <w:rPr>
          <w:rFonts w:ascii="Palatino Linotype" w:hAnsi="Palatino Linotype"/>
          <w:b/>
          <w:i/>
          <w:sz w:val="22"/>
          <w:szCs w:val="22"/>
        </w:rPr>
      </w:pPr>
    </w:p>
    <w:p w14:paraId="72376D4D" w14:textId="77777777" w:rsidR="00A4781F" w:rsidRPr="005B5632" w:rsidRDefault="003D0D89" w:rsidP="005B5632">
      <w:pPr>
        <w:spacing w:line="276" w:lineRule="auto"/>
        <w:ind w:left="567" w:right="616"/>
        <w:jc w:val="both"/>
        <w:rPr>
          <w:rFonts w:ascii="Palatino Linotype" w:hAnsi="Palatino Linotype"/>
          <w:i/>
          <w:sz w:val="22"/>
          <w:szCs w:val="22"/>
        </w:rPr>
      </w:pPr>
      <w:r w:rsidRPr="005B5632">
        <w:rPr>
          <w:rFonts w:ascii="Palatino Linotype" w:hAnsi="Palatino Linotype"/>
          <w:b/>
          <w:i/>
          <w:sz w:val="22"/>
          <w:szCs w:val="22"/>
        </w:rPr>
        <w:t>Artículo 140</w:t>
      </w:r>
      <w:r w:rsidRPr="005B5632">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7311D148" w14:textId="53691397" w:rsidR="003D0D89" w:rsidRPr="005B5632" w:rsidRDefault="003D0D89" w:rsidP="005B5632">
      <w:pPr>
        <w:spacing w:line="276" w:lineRule="auto"/>
        <w:ind w:left="567" w:right="616"/>
        <w:jc w:val="both"/>
        <w:rPr>
          <w:rFonts w:ascii="Palatino Linotype" w:hAnsi="Palatino Linotype"/>
          <w:i/>
          <w:sz w:val="22"/>
          <w:szCs w:val="22"/>
        </w:rPr>
      </w:pPr>
      <w:r w:rsidRPr="005B5632">
        <w:rPr>
          <w:rFonts w:ascii="Palatino Linotype" w:hAnsi="Palatino Linotype"/>
          <w:i/>
          <w:sz w:val="22"/>
          <w:szCs w:val="22"/>
        </w:rPr>
        <w:t>I. Comprometa la seguridad pública y cuente con un propósito genuino y un efecto demostrable;</w:t>
      </w:r>
    </w:p>
    <w:p w14:paraId="01216200" w14:textId="5B0E8080" w:rsidR="00A4781F" w:rsidRPr="005B5632" w:rsidRDefault="00A4781F" w:rsidP="005B5632">
      <w:pPr>
        <w:spacing w:line="276" w:lineRule="auto"/>
        <w:ind w:left="567" w:right="616"/>
        <w:jc w:val="both"/>
        <w:rPr>
          <w:rFonts w:ascii="Palatino Linotype" w:hAnsi="Palatino Linotype"/>
          <w:i/>
          <w:sz w:val="22"/>
          <w:szCs w:val="22"/>
        </w:rPr>
      </w:pPr>
      <w:r w:rsidRPr="005B5632">
        <w:rPr>
          <w:rFonts w:ascii="Palatino Linotype" w:hAnsi="Palatino Linotype"/>
          <w:i/>
          <w:sz w:val="22"/>
          <w:szCs w:val="22"/>
        </w:rPr>
        <w:t>…</w:t>
      </w:r>
    </w:p>
    <w:p w14:paraId="3B0E0547" w14:textId="320889AC" w:rsidR="003D0D89" w:rsidRPr="005B5632" w:rsidRDefault="00A4781F" w:rsidP="005B5632">
      <w:pPr>
        <w:spacing w:line="276" w:lineRule="auto"/>
        <w:ind w:left="567" w:right="616"/>
        <w:jc w:val="both"/>
        <w:rPr>
          <w:rFonts w:ascii="Palatino Linotype" w:hAnsi="Palatino Linotype"/>
          <w:i/>
          <w:sz w:val="22"/>
          <w:szCs w:val="22"/>
        </w:rPr>
      </w:pPr>
      <w:r w:rsidRPr="005B5632">
        <w:rPr>
          <w:rFonts w:ascii="Palatino Linotype" w:hAnsi="Palatino Linotype"/>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w:t>
      </w:r>
      <w:r w:rsidR="00D16FF8" w:rsidRPr="005B5632">
        <w:rPr>
          <w:rFonts w:ascii="Palatino Linotype" w:hAnsi="Palatino Linotype"/>
          <w:i/>
          <w:sz w:val="22"/>
          <w:szCs w:val="22"/>
        </w:rPr>
        <w:t>osiciones jurídicas aplicables;</w:t>
      </w:r>
    </w:p>
    <w:p w14:paraId="0D7B978D" w14:textId="457C6767" w:rsidR="00D16FF8" w:rsidRPr="005B5632" w:rsidRDefault="00D16FF8" w:rsidP="005B5632">
      <w:pPr>
        <w:spacing w:line="276" w:lineRule="auto"/>
        <w:ind w:left="567" w:right="616"/>
        <w:jc w:val="both"/>
        <w:rPr>
          <w:rFonts w:ascii="Palatino Linotype" w:hAnsi="Palatino Linotype"/>
          <w:i/>
          <w:sz w:val="22"/>
          <w:szCs w:val="22"/>
        </w:rPr>
      </w:pPr>
      <w:r w:rsidRPr="005B5632">
        <w:rPr>
          <w:rFonts w:ascii="Palatino Linotype" w:hAnsi="Palatino Linotype"/>
          <w:i/>
          <w:sz w:val="22"/>
          <w:szCs w:val="22"/>
        </w:rPr>
        <w:t>…</w:t>
      </w:r>
    </w:p>
    <w:p w14:paraId="0C9661F5" w14:textId="77777777" w:rsidR="00D16FF8" w:rsidRPr="005B5632" w:rsidRDefault="00D16FF8" w:rsidP="005B5632">
      <w:pPr>
        <w:spacing w:line="276" w:lineRule="auto"/>
        <w:ind w:left="567" w:right="616"/>
        <w:jc w:val="both"/>
        <w:rPr>
          <w:rFonts w:ascii="Palatino Linotype" w:hAnsi="Palatino Linotype"/>
          <w:i/>
          <w:sz w:val="22"/>
        </w:rPr>
      </w:pPr>
      <w:r w:rsidRPr="005B5632">
        <w:rPr>
          <w:rFonts w:ascii="Palatino Linotype" w:hAnsi="Palatino Linotype"/>
          <w:b/>
          <w:i/>
          <w:sz w:val="22"/>
        </w:rPr>
        <w:lastRenderedPageBreak/>
        <w:t>Artículo 143.</w:t>
      </w:r>
      <w:r w:rsidRPr="005B5632">
        <w:rPr>
          <w:rFonts w:ascii="Palatino Linotype" w:hAnsi="Palatino Linotype"/>
          <w:i/>
          <w:sz w:val="22"/>
        </w:rPr>
        <w:t xml:space="preserve"> Para los efectos de esta Ley se considera información confidencial, la clasificada como tal, de manera permanente, por su naturaleza, cuando: </w:t>
      </w:r>
    </w:p>
    <w:p w14:paraId="5097BD3F" w14:textId="003898A6" w:rsidR="00D16FF8" w:rsidRPr="005B5632" w:rsidRDefault="00D16FF8" w:rsidP="005B5632">
      <w:pPr>
        <w:spacing w:line="276" w:lineRule="auto"/>
        <w:ind w:left="567" w:right="616"/>
        <w:jc w:val="both"/>
        <w:rPr>
          <w:rFonts w:ascii="Palatino Linotype" w:hAnsi="Palatino Linotype"/>
          <w:i/>
          <w:sz w:val="22"/>
        </w:rPr>
      </w:pPr>
      <w:r w:rsidRPr="005B5632">
        <w:rPr>
          <w:rFonts w:ascii="Palatino Linotype" w:hAnsi="Palatino Linotype"/>
          <w:i/>
          <w:sz w:val="22"/>
        </w:rPr>
        <w:t>I. Se refiera a la información privada y los datos personales concernientes a una persona física o jurídico colectiva identificada o identificable;</w:t>
      </w:r>
    </w:p>
    <w:p w14:paraId="1644C4F7" w14:textId="30982347" w:rsidR="00D16FF8" w:rsidRPr="005B5632" w:rsidRDefault="00D16FF8" w:rsidP="005B5632">
      <w:pPr>
        <w:spacing w:line="276" w:lineRule="auto"/>
        <w:ind w:left="567" w:right="616"/>
        <w:jc w:val="both"/>
        <w:rPr>
          <w:rFonts w:ascii="Palatino Linotype" w:hAnsi="Palatino Linotype"/>
          <w:i/>
          <w:sz w:val="20"/>
          <w:szCs w:val="22"/>
        </w:rPr>
      </w:pPr>
      <w:r w:rsidRPr="005B5632">
        <w:rPr>
          <w:rFonts w:ascii="Palatino Linotype" w:hAnsi="Palatino Linotype"/>
          <w:i/>
          <w:sz w:val="22"/>
        </w:rPr>
        <w:t>…</w:t>
      </w:r>
    </w:p>
    <w:p w14:paraId="36DD5D08" w14:textId="5A4D31C5" w:rsidR="00A4781F" w:rsidRPr="005B5632" w:rsidRDefault="00A4781F" w:rsidP="005B5632">
      <w:pPr>
        <w:spacing w:line="276" w:lineRule="auto"/>
        <w:ind w:left="567" w:right="616"/>
        <w:jc w:val="center"/>
        <w:rPr>
          <w:rFonts w:ascii="Palatino Linotype" w:hAnsi="Palatino Linotype"/>
          <w:b/>
          <w:i/>
          <w:sz w:val="22"/>
          <w:szCs w:val="22"/>
        </w:rPr>
      </w:pPr>
      <w:r w:rsidRPr="005B5632">
        <w:rPr>
          <w:rFonts w:ascii="Palatino Linotype" w:hAnsi="Palatino Linotype"/>
          <w:b/>
          <w:i/>
          <w:sz w:val="22"/>
          <w:szCs w:val="22"/>
        </w:rPr>
        <w:t>Ley General del Sistema Nacional de Seguridad Pública</w:t>
      </w:r>
    </w:p>
    <w:p w14:paraId="18FBA72F" w14:textId="77777777" w:rsidR="00A4781F" w:rsidRPr="005B5632" w:rsidRDefault="00A4781F" w:rsidP="005B5632">
      <w:pPr>
        <w:spacing w:line="276" w:lineRule="auto"/>
        <w:ind w:left="567" w:right="616"/>
        <w:jc w:val="both"/>
        <w:rPr>
          <w:rFonts w:ascii="Palatino Linotype" w:hAnsi="Palatino Linotype"/>
          <w:i/>
          <w:sz w:val="22"/>
          <w:szCs w:val="22"/>
        </w:rPr>
      </w:pPr>
    </w:p>
    <w:p w14:paraId="1E483179" w14:textId="77777777" w:rsidR="00A4781F" w:rsidRPr="005B5632" w:rsidRDefault="00A4781F" w:rsidP="005B5632">
      <w:pPr>
        <w:spacing w:line="276" w:lineRule="auto"/>
        <w:ind w:left="567" w:right="616"/>
        <w:jc w:val="both"/>
        <w:rPr>
          <w:rFonts w:ascii="Palatino Linotype" w:hAnsi="Palatino Linotype"/>
          <w:i/>
          <w:sz w:val="22"/>
          <w:szCs w:val="22"/>
        </w:rPr>
      </w:pPr>
      <w:r w:rsidRPr="005B5632">
        <w:rPr>
          <w:rFonts w:ascii="Palatino Linotype" w:hAnsi="Palatino Linotype"/>
          <w:b/>
          <w:i/>
          <w:sz w:val="22"/>
          <w:szCs w:val="22"/>
        </w:rPr>
        <w:t>Artículo 110.-</w:t>
      </w:r>
      <w:r w:rsidRPr="005B5632">
        <w:rPr>
          <w:rFonts w:ascii="Palatino Linotype" w:hAnsi="Palatino Linotype"/>
          <w:i/>
          <w:sz w:val="22"/>
          <w:szCs w:val="22"/>
        </w:rPr>
        <w:t xml:space="preserve"> Los integrantes del Sistema están obligados a permitir la interconexión de sus Bases de Datos para compartir la información sobre Seguridad Pública con el Sistema Nacional de Información, en los términos de esta Ley y otras disposiciones jurídicas aplicables. </w:t>
      </w:r>
    </w:p>
    <w:p w14:paraId="2BBEA301" w14:textId="77777777" w:rsidR="00A4781F" w:rsidRPr="005B5632" w:rsidRDefault="00A4781F" w:rsidP="005B5632">
      <w:pPr>
        <w:spacing w:line="276" w:lineRule="auto"/>
        <w:ind w:left="567" w:right="616"/>
        <w:jc w:val="both"/>
        <w:rPr>
          <w:rFonts w:ascii="Palatino Linotype" w:hAnsi="Palatino Linotype"/>
          <w:i/>
          <w:sz w:val="22"/>
          <w:szCs w:val="22"/>
        </w:rPr>
      </w:pPr>
    </w:p>
    <w:p w14:paraId="7725234E" w14:textId="529EA8CD" w:rsidR="00A4781F" w:rsidRPr="005B5632" w:rsidRDefault="00A4781F" w:rsidP="005B5632">
      <w:pPr>
        <w:spacing w:line="276" w:lineRule="auto"/>
        <w:ind w:left="567" w:right="616"/>
        <w:jc w:val="both"/>
        <w:rPr>
          <w:rFonts w:ascii="Palatino Linotype" w:hAnsi="Palatino Linotype"/>
          <w:i/>
          <w:sz w:val="22"/>
          <w:szCs w:val="22"/>
        </w:rPr>
      </w:pPr>
      <w:r w:rsidRPr="005B5632">
        <w:rPr>
          <w:rFonts w:ascii="Palatino Linotype" w:hAnsi="Palatino Linotype"/>
          <w:i/>
          <w:sz w:val="22"/>
          <w:szCs w:val="22"/>
        </w:rPr>
        <w:t>Para efecto de dar cumplimiento al párrafo anterior, se adoptarán los mecanismos tecnológicos necesarios para la interconexión en tiempo real y respaldo de la información.</w:t>
      </w:r>
    </w:p>
    <w:p w14:paraId="4B8031BB" w14:textId="79E810D0" w:rsidR="00A4781F" w:rsidRPr="005B5632" w:rsidRDefault="00A4781F" w:rsidP="005B5632">
      <w:pPr>
        <w:spacing w:line="276" w:lineRule="auto"/>
        <w:ind w:left="567" w:right="616"/>
        <w:jc w:val="both"/>
        <w:rPr>
          <w:rFonts w:ascii="Palatino Linotype" w:hAnsi="Palatino Linotype"/>
          <w:i/>
          <w:sz w:val="22"/>
          <w:szCs w:val="22"/>
        </w:rPr>
      </w:pPr>
      <w:r w:rsidRPr="005B5632">
        <w:rPr>
          <w:rFonts w:ascii="Palatino Linotype" w:hAnsi="Palatino Linotype"/>
          <w:i/>
          <w:sz w:val="22"/>
          <w:szCs w:val="22"/>
        </w:rPr>
        <w:t>…</w:t>
      </w:r>
    </w:p>
    <w:p w14:paraId="629E90A5" w14:textId="77777777" w:rsidR="0091500F" w:rsidRPr="005B5632" w:rsidRDefault="0091500F" w:rsidP="005B5632">
      <w:pPr>
        <w:spacing w:line="360" w:lineRule="auto"/>
        <w:jc w:val="both"/>
        <w:rPr>
          <w:rFonts w:ascii="Palatino Linotype" w:hAnsi="Palatino Linotype"/>
          <w:b/>
          <w:i/>
          <w:sz w:val="22"/>
        </w:rPr>
      </w:pPr>
    </w:p>
    <w:p w14:paraId="5E7B4940" w14:textId="296F1305" w:rsidR="00A4781F" w:rsidRPr="005B5632" w:rsidRDefault="00A4781F" w:rsidP="005B5632">
      <w:pPr>
        <w:spacing w:line="360" w:lineRule="auto"/>
        <w:jc w:val="both"/>
        <w:rPr>
          <w:rFonts w:ascii="Palatino Linotype" w:hAnsi="Palatino Linotype"/>
        </w:rPr>
      </w:pPr>
      <w:r w:rsidRPr="005B5632">
        <w:rPr>
          <w:rFonts w:ascii="Palatino Linotype" w:hAnsi="Palatino Linotype"/>
        </w:rPr>
        <w:t>Como se advierte, el Ayuntamiento de Melchor Ocampo, justificó la negativa</w:t>
      </w:r>
      <w:r w:rsidR="004E7F0E" w:rsidRPr="005B5632">
        <w:rPr>
          <w:rFonts w:ascii="Palatino Linotype" w:hAnsi="Palatino Linotype"/>
        </w:rPr>
        <w:t xml:space="preserve"> de la información </w:t>
      </w:r>
      <w:r w:rsidRPr="005B5632">
        <w:rPr>
          <w:rFonts w:ascii="Palatino Linotype" w:hAnsi="Palatino Linotype"/>
        </w:rPr>
        <w:t>únicamente invocando preceptos normativos de distintas leyes; siendo que de la consulta de cada uno de los artículos citados, se colige que el Sujeto Obligado se niega a entregar la información</w:t>
      </w:r>
      <w:r w:rsidR="004E7F0E" w:rsidRPr="005B5632">
        <w:rPr>
          <w:rFonts w:ascii="Palatino Linotype" w:hAnsi="Palatino Linotype"/>
        </w:rPr>
        <w:t xml:space="preserve"> medularmente</w:t>
      </w:r>
      <w:r w:rsidR="00D16FF8" w:rsidRPr="005B5632">
        <w:rPr>
          <w:rFonts w:ascii="Palatino Linotype" w:hAnsi="Palatino Linotype"/>
        </w:rPr>
        <w:t xml:space="preserve"> </w:t>
      </w:r>
      <w:r w:rsidRPr="005B5632">
        <w:rPr>
          <w:rFonts w:ascii="Palatino Linotype" w:hAnsi="Palatino Linotype"/>
        </w:rPr>
        <w:t xml:space="preserve">porque </w:t>
      </w:r>
      <w:r w:rsidR="004E7F0E" w:rsidRPr="005B5632">
        <w:rPr>
          <w:rFonts w:ascii="Palatino Linotype" w:hAnsi="Palatino Linotype"/>
        </w:rPr>
        <w:t>a su criterio</w:t>
      </w:r>
      <w:r w:rsidRPr="005B5632">
        <w:rPr>
          <w:rFonts w:ascii="Palatino Linotype" w:hAnsi="Palatino Linotype"/>
        </w:rPr>
        <w:t xml:space="preserve"> comprometería l</w:t>
      </w:r>
      <w:r w:rsidR="00D16FF8" w:rsidRPr="005B5632">
        <w:rPr>
          <w:rFonts w:ascii="Palatino Linotype" w:hAnsi="Palatino Linotype"/>
        </w:rPr>
        <w:t xml:space="preserve">a seguridad pública, causaría un daño u obstrucción a la prevención o persecución de los delitos, alteraría el proceso de investigación, vulneraría la conducción de procedimientos, además de que se refiere a información privada y datos personales de una persona física o jurídico colectiva. </w:t>
      </w:r>
    </w:p>
    <w:p w14:paraId="752C425C" w14:textId="77777777" w:rsidR="00A4781F" w:rsidRPr="005B5632" w:rsidRDefault="00A4781F" w:rsidP="005B5632">
      <w:pPr>
        <w:spacing w:line="360" w:lineRule="auto"/>
        <w:jc w:val="both"/>
        <w:rPr>
          <w:rFonts w:ascii="Palatino Linotype" w:hAnsi="Palatino Linotype"/>
        </w:rPr>
      </w:pPr>
    </w:p>
    <w:p w14:paraId="7A63E1F9" w14:textId="24B29672" w:rsidR="0091500F" w:rsidRPr="005B5632" w:rsidRDefault="00D16FF8" w:rsidP="005B5632">
      <w:pPr>
        <w:spacing w:line="360" w:lineRule="auto"/>
        <w:jc w:val="both"/>
        <w:rPr>
          <w:rFonts w:ascii="Palatino Linotype" w:hAnsi="Palatino Linotype"/>
        </w:rPr>
      </w:pPr>
      <w:r w:rsidRPr="005B5632">
        <w:rPr>
          <w:rFonts w:ascii="Palatino Linotype" w:hAnsi="Palatino Linotype"/>
        </w:rPr>
        <w:t>De lo anterior, se colige que el Sujeto Obligado si bien refirió en respuesta los preceptos normativos que a s</w:t>
      </w:r>
      <w:r w:rsidR="0029495D" w:rsidRPr="005B5632">
        <w:rPr>
          <w:rFonts w:ascii="Palatino Linotype" w:hAnsi="Palatino Linotype"/>
        </w:rPr>
        <w:t>u consideración se actualizaban para reservar la información, también lo es que este no motivó la clasificación d</w:t>
      </w:r>
      <w:r w:rsidR="004E7F0E" w:rsidRPr="005B5632">
        <w:rPr>
          <w:rFonts w:ascii="Palatino Linotype" w:hAnsi="Palatino Linotype"/>
        </w:rPr>
        <w:t xml:space="preserve">e esta, ya que como </w:t>
      </w:r>
      <w:r w:rsidR="004E7F0E" w:rsidRPr="005B5632">
        <w:rPr>
          <w:rFonts w:ascii="Palatino Linotype" w:hAnsi="Palatino Linotype"/>
        </w:rPr>
        <w:lastRenderedPageBreak/>
        <w:t>se mencionó</w:t>
      </w:r>
      <w:r w:rsidR="0029495D" w:rsidRPr="005B5632">
        <w:rPr>
          <w:rFonts w:ascii="Palatino Linotype" w:hAnsi="Palatino Linotype"/>
        </w:rPr>
        <w:t xml:space="preserve">, únicamente justificó la negativa </w:t>
      </w:r>
      <w:r w:rsidR="004E7F0E" w:rsidRPr="005B5632">
        <w:rPr>
          <w:rFonts w:ascii="Palatino Linotype" w:hAnsi="Palatino Linotype"/>
        </w:rPr>
        <w:t xml:space="preserve">de la </w:t>
      </w:r>
      <w:r w:rsidR="0029495D" w:rsidRPr="005B5632">
        <w:rPr>
          <w:rFonts w:ascii="Palatino Linotype" w:hAnsi="Palatino Linotype"/>
        </w:rPr>
        <w:t>información invocando</w:t>
      </w:r>
      <w:r w:rsidR="004E7F0E" w:rsidRPr="005B5632">
        <w:rPr>
          <w:rFonts w:ascii="Palatino Linotype" w:hAnsi="Palatino Linotype"/>
        </w:rPr>
        <w:t xml:space="preserve"> distintos preceptos normativos;</w:t>
      </w:r>
      <w:r w:rsidR="0029495D" w:rsidRPr="005B5632">
        <w:rPr>
          <w:rFonts w:ascii="Palatino Linotype" w:hAnsi="Palatino Linotype"/>
        </w:rPr>
        <w:t xml:space="preserve"> por ello, es de recordar que el artículo 105 de la Ley General de Transparencia precisa lo siguiente:</w:t>
      </w:r>
    </w:p>
    <w:p w14:paraId="1D69BDF3" w14:textId="77777777" w:rsidR="00546742" w:rsidRPr="005B5632" w:rsidRDefault="00546742" w:rsidP="005B5632">
      <w:pPr>
        <w:spacing w:line="276" w:lineRule="auto"/>
        <w:ind w:left="567" w:right="616"/>
        <w:jc w:val="both"/>
        <w:rPr>
          <w:rFonts w:ascii="Palatino Linotype" w:hAnsi="Palatino Linotype"/>
        </w:rPr>
      </w:pPr>
    </w:p>
    <w:p w14:paraId="723751A8" w14:textId="77777777" w:rsidR="0029495D" w:rsidRPr="005B5632" w:rsidRDefault="0029495D" w:rsidP="005B5632">
      <w:pPr>
        <w:spacing w:line="276" w:lineRule="auto"/>
        <w:ind w:left="567" w:right="616"/>
        <w:jc w:val="both"/>
        <w:rPr>
          <w:rFonts w:ascii="Palatino Linotype" w:hAnsi="Palatino Linotype"/>
          <w:b/>
          <w:i/>
          <w:sz w:val="22"/>
          <w:u w:val="single"/>
        </w:rPr>
      </w:pPr>
      <w:r w:rsidRPr="005B5632">
        <w:rPr>
          <w:rFonts w:ascii="Palatino Linotype" w:hAnsi="Palatino Linotype"/>
          <w:b/>
          <w:i/>
          <w:sz w:val="22"/>
        </w:rPr>
        <w:t>Artículo 105.</w:t>
      </w:r>
      <w:r w:rsidRPr="005B5632">
        <w:rPr>
          <w:rFonts w:ascii="Palatino Linotype" w:hAnsi="Palatino Linotype"/>
          <w:i/>
          <w:sz w:val="22"/>
        </w:rPr>
        <w:t xml:space="preserve"> Los sujetos obligados deberán aplicar, de manera restrictiva y limitada, las </w:t>
      </w:r>
      <w:r w:rsidRPr="005B5632">
        <w:rPr>
          <w:rFonts w:ascii="Palatino Linotype" w:hAnsi="Palatino Linotype"/>
          <w:b/>
          <w:i/>
          <w:sz w:val="22"/>
          <w:u w:val="single"/>
        </w:rPr>
        <w:t xml:space="preserve">excepciones al derecho de acceso a la información prevista en el presente Título y deberán acreditar su procedencia. </w:t>
      </w:r>
    </w:p>
    <w:p w14:paraId="4F4499C9" w14:textId="77777777" w:rsidR="0029495D" w:rsidRPr="005B5632" w:rsidRDefault="0029495D" w:rsidP="005B5632">
      <w:pPr>
        <w:spacing w:line="276" w:lineRule="auto"/>
        <w:ind w:left="567" w:right="616"/>
        <w:jc w:val="both"/>
        <w:rPr>
          <w:rFonts w:ascii="Palatino Linotype" w:hAnsi="Palatino Linotype"/>
          <w:b/>
          <w:i/>
          <w:sz w:val="22"/>
          <w:lang w:val="es-MX"/>
        </w:rPr>
      </w:pPr>
      <w:r w:rsidRPr="005B5632">
        <w:rPr>
          <w:rFonts w:ascii="Palatino Linotype" w:hAnsi="Palatino Linotype"/>
          <w:b/>
          <w:i/>
          <w:sz w:val="22"/>
        </w:rPr>
        <w:t>La carga de la prueba para justificar toda negativa de acceso a la información, por actualizarse cualquiera de los supuestos de reserva previstos, corresponderá a los sujetos obligados.</w:t>
      </w:r>
    </w:p>
    <w:p w14:paraId="709F8E4F" w14:textId="77777777" w:rsidR="0029495D" w:rsidRPr="005B5632" w:rsidRDefault="0029495D" w:rsidP="005B5632">
      <w:pPr>
        <w:spacing w:line="360" w:lineRule="auto"/>
        <w:jc w:val="both"/>
        <w:rPr>
          <w:rFonts w:ascii="Palatino Linotype" w:hAnsi="Palatino Linotype"/>
        </w:rPr>
      </w:pPr>
    </w:p>
    <w:p w14:paraId="4A7B67EA" w14:textId="733B96A9" w:rsidR="00D16FF8" w:rsidRPr="005B5632" w:rsidRDefault="0029495D" w:rsidP="005B5632">
      <w:pPr>
        <w:spacing w:line="360" w:lineRule="auto"/>
        <w:jc w:val="both"/>
        <w:rPr>
          <w:rFonts w:ascii="Palatino Linotype" w:hAnsi="Palatino Linotype"/>
        </w:rPr>
      </w:pPr>
      <w:r w:rsidRPr="005B5632">
        <w:rPr>
          <w:rFonts w:ascii="Palatino Linotype" w:hAnsi="Palatino Linotype"/>
        </w:rPr>
        <w:t xml:space="preserve">En razón de lo anterior, se tiene que los sujetos obligados siempre tendrán la obligación de probar a través de su fundamentación, motivación y del análisis del daño, que en el caso concreto resulta necesario que se tenga que limitar el derecho de acceso a la información, entendiendo que esta </w:t>
      </w:r>
      <w:r w:rsidRPr="005B5632">
        <w:rPr>
          <w:rFonts w:ascii="Palatino Linotype" w:hAnsi="Palatino Linotype"/>
          <w:i/>
        </w:rPr>
        <w:t>“limitación”</w:t>
      </w:r>
      <w:r w:rsidRPr="005B5632">
        <w:rPr>
          <w:rFonts w:ascii="Palatino Linotype" w:hAnsi="Palatino Linotype"/>
        </w:rPr>
        <w:t xml:space="preserve"> es restrictiva y limitada, es decir, excepcionalmente se va a aplicar, por lo que, resulta necesario que la limitación al derecho de acceso a la información se encuentre debidamente </w:t>
      </w:r>
      <w:r w:rsidRPr="005B5632">
        <w:rPr>
          <w:rFonts w:ascii="Palatino Linotype" w:hAnsi="Palatino Linotype"/>
          <w:b/>
        </w:rPr>
        <w:t>fundada y motivada</w:t>
      </w:r>
      <w:r w:rsidRPr="005B5632">
        <w:rPr>
          <w:rFonts w:ascii="Palatino Linotype" w:hAnsi="Palatino Linotype"/>
        </w:rPr>
        <w:t>.</w:t>
      </w:r>
    </w:p>
    <w:p w14:paraId="500FD618" w14:textId="77777777" w:rsidR="0029495D" w:rsidRPr="005B5632" w:rsidRDefault="0029495D" w:rsidP="005B5632">
      <w:pPr>
        <w:spacing w:line="360" w:lineRule="auto"/>
        <w:jc w:val="both"/>
        <w:rPr>
          <w:rFonts w:ascii="Palatino Linotype" w:hAnsi="Palatino Linotype"/>
        </w:rPr>
      </w:pPr>
    </w:p>
    <w:p w14:paraId="0A952493" w14:textId="4F65F08D" w:rsidR="0029495D" w:rsidRPr="005B5632" w:rsidRDefault="0029495D" w:rsidP="005B5632">
      <w:pPr>
        <w:spacing w:line="360" w:lineRule="auto"/>
        <w:jc w:val="both"/>
        <w:rPr>
          <w:rFonts w:ascii="Palatino Linotype" w:hAnsi="Palatino Linotype"/>
          <w:b/>
        </w:rPr>
      </w:pPr>
      <w:r w:rsidRPr="005B5632">
        <w:rPr>
          <w:rFonts w:ascii="Palatino Linotype" w:hAnsi="Palatino Linotype"/>
        </w:rPr>
        <w:t xml:space="preserve">Es decir que los sujetos obligados deberán encuadrar con exactitud los preceptos normativos </w:t>
      </w:r>
      <w:r w:rsidR="00546742" w:rsidRPr="005B5632">
        <w:rPr>
          <w:rFonts w:ascii="Palatino Linotype" w:hAnsi="Palatino Linotype"/>
        </w:rPr>
        <w:t xml:space="preserve">que se ajustan al caso concreto, </w:t>
      </w:r>
      <w:r w:rsidR="00546742" w:rsidRPr="005B5632">
        <w:rPr>
          <w:rFonts w:ascii="Palatino Linotype" w:hAnsi="Palatino Linotype"/>
          <w:b/>
        </w:rPr>
        <w:t>y realizar un razonamiento jurídico que explique las razones por las cuales resulta procedente la clasificación de la información</w:t>
      </w:r>
      <w:r w:rsidR="00546742" w:rsidRPr="005B5632">
        <w:rPr>
          <w:rFonts w:ascii="Palatino Linotype" w:hAnsi="Palatino Linotype"/>
        </w:rPr>
        <w:t xml:space="preserve">, en otras palabras, </w:t>
      </w:r>
      <w:r w:rsidR="00546742" w:rsidRPr="005B5632">
        <w:rPr>
          <w:rFonts w:ascii="Palatino Linotype" w:hAnsi="Palatino Linotype"/>
          <w:b/>
        </w:rPr>
        <w:t xml:space="preserve">deberán adecuar los motivos aducidos y las normas aplicables, con la finalidad de que se configuren las hipótesis normativas. </w:t>
      </w:r>
    </w:p>
    <w:p w14:paraId="65F7EE8B" w14:textId="77777777" w:rsidR="00546742" w:rsidRPr="005B5632" w:rsidRDefault="00546742" w:rsidP="005B5632">
      <w:pPr>
        <w:spacing w:line="360" w:lineRule="auto"/>
        <w:jc w:val="both"/>
        <w:rPr>
          <w:rFonts w:ascii="Palatino Linotype" w:hAnsi="Palatino Linotype"/>
          <w:lang w:val="es-MX"/>
        </w:rPr>
      </w:pPr>
    </w:p>
    <w:p w14:paraId="3986B7AF" w14:textId="70DFDEAE" w:rsidR="00B11895" w:rsidRPr="005B5632" w:rsidRDefault="00B11895" w:rsidP="005B5632">
      <w:pPr>
        <w:spacing w:line="360" w:lineRule="auto"/>
        <w:jc w:val="both"/>
        <w:rPr>
          <w:rFonts w:ascii="Palatino Linotype" w:hAnsi="Palatino Linotype"/>
          <w:lang w:val="es-MX"/>
        </w:rPr>
      </w:pPr>
      <w:r w:rsidRPr="005B5632">
        <w:rPr>
          <w:rFonts w:ascii="Palatino Linotype" w:hAnsi="Palatino Linotype"/>
          <w:lang w:val="es-MX"/>
        </w:rPr>
        <w:lastRenderedPageBreak/>
        <w:t xml:space="preserve">Lo anterior, deberá realizarse conforme a lo que disponen los artículos 49, fracción VIII, 53, fracción X y 59 fracción V, de la Ley de Transparencia local, que refiere lo siguiente: </w:t>
      </w:r>
    </w:p>
    <w:p w14:paraId="1230B015" w14:textId="77777777" w:rsidR="00B11895" w:rsidRPr="005B5632" w:rsidRDefault="00B11895" w:rsidP="005B5632">
      <w:pPr>
        <w:spacing w:line="276" w:lineRule="auto"/>
        <w:jc w:val="both"/>
        <w:rPr>
          <w:rFonts w:ascii="Palatino Linotype" w:hAnsi="Palatino Linotype"/>
          <w:sz w:val="22"/>
          <w:lang w:val="es-MX"/>
        </w:rPr>
      </w:pPr>
    </w:p>
    <w:p w14:paraId="4E54F824"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b/>
          <w:i/>
          <w:sz w:val="22"/>
        </w:rPr>
        <w:t>Artículo 49.</w:t>
      </w:r>
      <w:r w:rsidRPr="005B5632">
        <w:rPr>
          <w:rFonts w:ascii="Palatino Linotype" w:hAnsi="Palatino Linotype"/>
          <w:i/>
          <w:sz w:val="22"/>
        </w:rPr>
        <w:t xml:space="preserve"> Los Comités de Transparencia tendrán las siguientes atribuciones:</w:t>
      </w:r>
    </w:p>
    <w:p w14:paraId="2CC0648E"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6BDE6F81"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i/>
          <w:sz w:val="22"/>
        </w:rPr>
        <w:t>VIII. Aprobar, modificar o revocar la clasificación de la información</w:t>
      </w:r>
    </w:p>
    <w:p w14:paraId="4F68927C"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79C88B2A" w14:textId="77777777" w:rsidR="00B11895" w:rsidRPr="005B5632" w:rsidRDefault="00B11895" w:rsidP="005B5632">
      <w:pPr>
        <w:spacing w:line="276" w:lineRule="auto"/>
        <w:ind w:left="567" w:right="560"/>
        <w:jc w:val="both"/>
        <w:rPr>
          <w:rFonts w:ascii="Palatino Linotype" w:hAnsi="Palatino Linotype"/>
          <w:i/>
          <w:sz w:val="22"/>
        </w:rPr>
      </w:pPr>
    </w:p>
    <w:p w14:paraId="1D8FCE95"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b/>
          <w:i/>
          <w:sz w:val="22"/>
        </w:rPr>
        <w:t>Artículo 53.</w:t>
      </w:r>
      <w:r w:rsidRPr="005B5632">
        <w:rPr>
          <w:rFonts w:ascii="Palatino Linotype" w:hAnsi="Palatino Linotype"/>
          <w:i/>
          <w:sz w:val="22"/>
        </w:rPr>
        <w:t xml:space="preserve"> Las Unidades de Transparencia tendrán las siguientes funciones:</w:t>
      </w:r>
    </w:p>
    <w:p w14:paraId="30F4FB94"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41642140"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i/>
          <w:sz w:val="22"/>
        </w:rPr>
        <w:t xml:space="preserve">X. Presentar ante el Comité, el proyecto de clasificación de información…” </w:t>
      </w:r>
    </w:p>
    <w:p w14:paraId="395C6ED7"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2A14F8BC" w14:textId="77777777" w:rsidR="00B11895" w:rsidRPr="005B5632" w:rsidRDefault="00B11895" w:rsidP="005B5632">
      <w:pPr>
        <w:spacing w:line="276" w:lineRule="auto"/>
        <w:ind w:left="567" w:right="560"/>
        <w:jc w:val="both"/>
        <w:rPr>
          <w:rFonts w:ascii="Palatino Linotype" w:hAnsi="Palatino Linotype"/>
          <w:i/>
          <w:sz w:val="22"/>
        </w:rPr>
      </w:pPr>
    </w:p>
    <w:p w14:paraId="01971AD8"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b/>
          <w:i/>
          <w:sz w:val="22"/>
        </w:rPr>
        <w:t>Artículo 59.</w:t>
      </w:r>
      <w:r w:rsidRPr="005B5632">
        <w:rPr>
          <w:rFonts w:ascii="Palatino Linotype" w:hAnsi="Palatino Linotype"/>
          <w:i/>
          <w:sz w:val="22"/>
        </w:rPr>
        <w:t xml:space="preserve"> Los servidores públicos habilitados tendrán las funciones siguientes:</w:t>
      </w:r>
    </w:p>
    <w:p w14:paraId="1CED7C14"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5DBDDA2A"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i/>
          <w:sz w:val="22"/>
        </w:rPr>
        <w:t>V. Integrar y presentar al responsable de la Unidad de Transparencia la propuesta de clasificación de información, la cual tendrá los fundamentos y argumentos en que se basa dicha propuesta</w:t>
      </w:r>
    </w:p>
    <w:p w14:paraId="57676CDD" w14:textId="77777777" w:rsidR="00B11895" w:rsidRPr="005B5632" w:rsidRDefault="00B11895"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6DB76F78" w14:textId="77777777" w:rsidR="00912FB6" w:rsidRPr="005B5632" w:rsidRDefault="00912FB6" w:rsidP="005B5632">
      <w:pPr>
        <w:spacing w:line="276" w:lineRule="auto"/>
        <w:ind w:left="567" w:right="560"/>
        <w:jc w:val="both"/>
        <w:rPr>
          <w:rFonts w:ascii="Palatino Linotype" w:hAnsi="Palatino Linotype"/>
          <w:i/>
          <w:sz w:val="22"/>
        </w:rPr>
      </w:pPr>
    </w:p>
    <w:p w14:paraId="576EBD3C" w14:textId="313C31F3" w:rsidR="00B11895" w:rsidRPr="005B5632" w:rsidRDefault="00B11895" w:rsidP="005B5632">
      <w:pPr>
        <w:spacing w:line="360" w:lineRule="auto"/>
        <w:jc w:val="both"/>
        <w:rPr>
          <w:rFonts w:ascii="Palatino Linotype" w:hAnsi="Palatino Linotype"/>
          <w:lang w:val="es-MX"/>
        </w:rPr>
      </w:pPr>
      <w:r w:rsidRPr="005B5632">
        <w:rPr>
          <w:rFonts w:ascii="Palatino Linotype" w:hAnsi="Palatino Linotype"/>
          <w:lang w:val="es-MX"/>
        </w:rPr>
        <w:t xml:space="preserve">Es decir, los razonamientos que tengan como propósito la clasificación de la información, al igual que los fundamentos en los que se basan estos, deberán estar contenidos en el acuerdo que </w:t>
      </w:r>
      <w:r w:rsidR="00912FB6" w:rsidRPr="005B5632">
        <w:rPr>
          <w:rFonts w:ascii="Palatino Linotype" w:hAnsi="Palatino Linotype"/>
          <w:lang w:val="es-MX"/>
        </w:rPr>
        <w:t xml:space="preserve">para tales efectos </w:t>
      </w:r>
      <w:r w:rsidRPr="005B5632">
        <w:rPr>
          <w:rFonts w:ascii="Palatino Linotype" w:hAnsi="Palatino Linotype"/>
          <w:lang w:val="es-MX"/>
        </w:rPr>
        <w:t>emita el Comité de Transpa</w:t>
      </w:r>
      <w:r w:rsidR="005019D2" w:rsidRPr="005B5632">
        <w:rPr>
          <w:rFonts w:ascii="Palatino Linotype" w:hAnsi="Palatino Linotype"/>
          <w:lang w:val="es-MX"/>
        </w:rPr>
        <w:t xml:space="preserve">rencia de los sujetos obligados, </w:t>
      </w:r>
      <w:r w:rsidR="005019D2" w:rsidRPr="005B5632">
        <w:rPr>
          <w:rFonts w:ascii="Palatino Linotype" w:hAnsi="Palatino Linotype"/>
          <w:b/>
          <w:u w:val="single"/>
          <w:lang w:val="es-MX"/>
        </w:rPr>
        <w:t>situación que en el presente caso no aconteció</w:t>
      </w:r>
      <w:r w:rsidR="005019D2" w:rsidRPr="005B5632">
        <w:rPr>
          <w:rFonts w:ascii="Palatino Linotype" w:hAnsi="Palatino Linotype"/>
          <w:lang w:val="es-MX"/>
        </w:rPr>
        <w:t xml:space="preserve">, ya que el Sujeto Obligado no siguió el procedimiento formal previsto por la Ley, es decir; no proporcionó el acuerdo emitido por su Comité de Transparencia, en el cual se aprobara la clasificación de la información solicitada. </w:t>
      </w:r>
    </w:p>
    <w:p w14:paraId="004199BB" w14:textId="77777777" w:rsidR="00B11895" w:rsidRPr="005B5632" w:rsidRDefault="00B11895" w:rsidP="005B5632">
      <w:pPr>
        <w:spacing w:line="360" w:lineRule="auto"/>
        <w:jc w:val="both"/>
        <w:rPr>
          <w:rFonts w:ascii="Palatino Linotype" w:hAnsi="Palatino Linotype"/>
          <w:lang w:val="es-MX"/>
        </w:rPr>
      </w:pPr>
    </w:p>
    <w:p w14:paraId="7C5A1DEF" w14:textId="72424743" w:rsidR="005019D2" w:rsidRPr="005B5632" w:rsidRDefault="005019D2" w:rsidP="005B5632">
      <w:pPr>
        <w:spacing w:line="360" w:lineRule="auto"/>
        <w:jc w:val="both"/>
        <w:rPr>
          <w:rFonts w:ascii="Palatino Linotype" w:hAnsi="Palatino Linotype"/>
          <w:b/>
          <w:u w:val="single"/>
          <w:lang w:val="es-MX"/>
        </w:rPr>
      </w:pPr>
      <w:r w:rsidRPr="005B5632">
        <w:rPr>
          <w:rFonts w:ascii="Palatino Linotype" w:hAnsi="Palatino Linotype"/>
          <w:lang w:val="es-MX"/>
        </w:rPr>
        <w:lastRenderedPageBreak/>
        <w:t xml:space="preserve">De lo anterior, se tiene que, el Sujeto Obligado, por un lado, </w:t>
      </w:r>
      <w:r w:rsidRPr="005B5632">
        <w:rPr>
          <w:rFonts w:ascii="Palatino Linotype" w:hAnsi="Palatino Linotype"/>
          <w:b/>
          <w:u w:val="single"/>
          <w:lang w:val="es-MX"/>
        </w:rPr>
        <w:t>no motivó la clasificación de la información</w:t>
      </w:r>
      <w:r w:rsidRPr="005B5632">
        <w:rPr>
          <w:rFonts w:ascii="Palatino Linotype" w:hAnsi="Palatino Linotype"/>
          <w:lang w:val="es-MX"/>
        </w:rPr>
        <w:t xml:space="preserve">, </w:t>
      </w:r>
      <w:r w:rsidRPr="005B5632">
        <w:rPr>
          <w:rFonts w:ascii="Palatino Linotype" w:hAnsi="Palatino Linotype"/>
          <w:b/>
          <w:u w:val="single"/>
          <w:lang w:val="es-MX"/>
        </w:rPr>
        <w:t>sino que únicamente invocó diversos preceptos normativos para justificar la negativa de su entrega</w:t>
      </w:r>
      <w:r w:rsidRPr="005B5632">
        <w:rPr>
          <w:rFonts w:ascii="Palatino Linotype" w:hAnsi="Palatino Linotype"/>
          <w:lang w:val="es-MX"/>
        </w:rPr>
        <w:t xml:space="preserve"> y, por otro lado, </w:t>
      </w:r>
      <w:r w:rsidRPr="005B5632">
        <w:rPr>
          <w:rFonts w:ascii="Palatino Linotype" w:hAnsi="Palatino Linotype"/>
          <w:b/>
          <w:u w:val="single"/>
          <w:lang w:val="es-MX"/>
        </w:rPr>
        <w:t>no siguió el procedimiento establecido por la Ley que formaliza la clasificación de la información</w:t>
      </w:r>
      <w:r w:rsidRPr="005B5632">
        <w:rPr>
          <w:rFonts w:ascii="Palatino Linotype" w:hAnsi="Palatino Linotype"/>
          <w:lang w:val="es-MX"/>
        </w:rPr>
        <w:t xml:space="preserve">, a saber, </w:t>
      </w:r>
      <w:r w:rsidRPr="005B5632">
        <w:rPr>
          <w:rFonts w:ascii="Palatino Linotype" w:hAnsi="Palatino Linotype"/>
          <w:b/>
          <w:u w:val="single"/>
          <w:lang w:val="es-MX"/>
        </w:rPr>
        <w:t xml:space="preserve">no proporcionó el acuerdo emitido por el Comité de Transparencia. </w:t>
      </w:r>
    </w:p>
    <w:p w14:paraId="6FB356A6" w14:textId="283B4E0A" w:rsidR="00B11895" w:rsidRPr="005B5632" w:rsidRDefault="005019D2" w:rsidP="005B5632">
      <w:pPr>
        <w:spacing w:line="360" w:lineRule="auto"/>
        <w:jc w:val="both"/>
        <w:rPr>
          <w:rFonts w:ascii="Palatino Linotype" w:hAnsi="Palatino Linotype"/>
          <w:lang w:val="es-MX"/>
        </w:rPr>
      </w:pPr>
      <w:r w:rsidRPr="005B5632">
        <w:rPr>
          <w:rFonts w:ascii="Palatino Linotype" w:hAnsi="Palatino Linotype"/>
          <w:lang w:val="es-MX"/>
        </w:rPr>
        <w:t xml:space="preserve"> </w:t>
      </w:r>
    </w:p>
    <w:p w14:paraId="0D19D982" w14:textId="6D55171C" w:rsidR="00CC1E16" w:rsidRPr="005B5632" w:rsidRDefault="005019D2" w:rsidP="005B5632">
      <w:pPr>
        <w:spacing w:line="360" w:lineRule="auto"/>
        <w:jc w:val="both"/>
        <w:rPr>
          <w:rFonts w:ascii="Palatino Linotype" w:hAnsi="Palatino Linotype"/>
          <w:lang w:val="es-MX"/>
        </w:rPr>
      </w:pPr>
      <w:r w:rsidRPr="005B5632">
        <w:rPr>
          <w:rFonts w:ascii="Palatino Linotype" w:hAnsi="Palatino Linotype"/>
          <w:lang w:val="es-MX"/>
        </w:rPr>
        <w:t xml:space="preserve">Ahora bien, </w:t>
      </w:r>
      <w:r w:rsidR="005E00E5" w:rsidRPr="005B5632">
        <w:rPr>
          <w:rFonts w:ascii="Palatino Linotype" w:hAnsi="Palatino Linotype"/>
          <w:lang w:val="es-MX"/>
        </w:rPr>
        <w:t xml:space="preserve">de la lectura </w:t>
      </w:r>
      <w:r w:rsidR="00CC1E16" w:rsidRPr="005B5632">
        <w:rPr>
          <w:rFonts w:ascii="Palatino Linotype" w:hAnsi="Palatino Linotype"/>
          <w:lang w:val="es-MX"/>
        </w:rPr>
        <w:t xml:space="preserve">y análisis del requerimiento de información, se logra vislumbrar que la pretensión del ahora Recurrente es conocer </w:t>
      </w:r>
      <w:r w:rsidR="00CC1E16" w:rsidRPr="005B5632">
        <w:rPr>
          <w:rFonts w:ascii="Palatino Linotype" w:hAnsi="Palatino Linotype"/>
          <w:b/>
          <w:u w:val="single"/>
          <w:lang w:val="es-MX"/>
        </w:rPr>
        <w:t>información estadística respecto a los elementos que aprobaron y que fueron removidos como consecuencia de la aplicación de los exámenes de control y confianza</w:t>
      </w:r>
      <w:r w:rsidR="00CC1E16" w:rsidRPr="005B5632">
        <w:rPr>
          <w:rFonts w:ascii="Palatino Linotype" w:hAnsi="Palatino Linotype"/>
          <w:lang w:val="es-MX"/>
        </w:rPr>
        <w:t xml:space="preserve">, por lo que, el Criterio 11/09 emitido por el Pleno del entonces Instituto Federal de Acceso a la Información y Protección de Datos, traído por analogía, establece lo siguiente: </w:t>
      </w:r>
    </w:p>
    <w:p w14:paraId="1D8DD2C9" w14:textId="77777777" w:rsidR="002B324C" w:rsidRPr="005B5632" w:rsidRDefault="002B324C" w:rsidP="005B5632">
      <w:pPr>
        <w:spacing w:line="360" w:lineRule="auto"/>
        <w:jc w:val="both"/>
        <w:rPr>
          <w:rFonts w:ascii="Palatino Linotype" w:hAnsi="Palatino Linotype"/>
          <w:lang w:val="es-MX"/>
        </w:rPr>
      </w:pPr>
    </w:p>
    <w:p w14:paraId="03B99038" w14:textId="77777777" w:rsidR="00CC1E16" w:rsidRPr="005B5632" w:rsidRDefault="00CC1E16" w:rsidP="005B5632">
      <w:pPr>
        <w:spacing w:line="276" w:lineRule="auto"/>
        <w:ind w:left="567" w:right="567"/>
        <w:jc w:val="both"/>
        <w:rPr>
          <w:rFonts w:ascii="Palatino Linotype" w:eastAsia="Calibri" w:hAnsi="Palatino Linotype" w:cs="Tahoma"/>
          <w:bCs/>
          <w:i/>
          <w:sz w:val="22"/>
          <w:lang w:eastAsia="en-US"/>
        </w:rPr>
      </w:pPr>
      <w:r w:rsidRPr="005B5632">
        <w:rPr>
          <w:rFonts w:ascii="Palatino Linotype" w:eastAsia="Calibri" w:hAnsi="Palatino Linotype" w:cs="Tahoma"/>
          <w:b/>
          <w:bCs/>
          <w:i/>
          <w:sz w:val="22"/>
          <w:lang w:eastAsia="en-US"/>
        </w:rPr>
        <w:t xml:space="preserve">“La información estadística es de naturaleza pública, independientemente de la materia con la que se encuentre vinculada. </w:t>
      </w:r>
      <w:r w:rsidRPr="005B5632">
        <w:rPr>
          <w:rFonts w:ascii="Palatino Linotype" w:eastAsia="Calibri" w:hAnsi="Palatino Linotype" w:cs="Tahoma"/>
          <w:bCs/>
          <w:i/>
          <w:sz w:val="22"/>
          <w:lang w:eastAsia="en-U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33BA0E0B" w14:textId="77777777" w:rsidR="00CC1E16" w:rsidRPr="005B5632" w:rsidRDefault="00CC1E16" w:rsidP="005B5632">
      <w:pPr>
        <w:spacing w:line="360" w:lineRule="auto"/>
        <w:jc w:val="both"/>
        <w:rPr>
          <w:rFonts w:ascii="Palatino Linotype" w:hAnsi="Palatino Linotype"/>
          <w:lang w:val="es-MX"/>
        </w:rPr>
      </w:pPr>
    </w:p>
    <w:p w14:paraId="70332A18" w14:textId="77777777" w:rsidR="00CC1E16" w:rsidRPr="005B5632" w:rsidRDefault="00CC1E16" w:rsidP="005B5632">
      <w:pPr>
        <w:spacing w:line="360" w:lineRule="auto"/>
        <w:jc w:val="both"/>
        <w:rPr>
          <w:rFonts w:ascii="Palatino Linotype" w:hAnsi="Palatino Linotype" w:cs="Tahoma"/>
          <w:szCs w:val="22"/>
        </w:rPr>
      </w:pPr>
      <w:r w:rsidRPr="005B5632">
        <w:rPr>
          <w:rFonts w:ascii="Palatino Linotype" w:hAnsi="Palatino Linotype" w:cs="Tahoma"/>
          <w:szCs w:val="22"/>
        </w:rPr>
        <w:lastRenderedPageBreak/>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7A997544" w14:textId="77777777" w:rsidR="00827CEE" w:rsidRPr="005B5632" w:rsidRDefault="00827CEE" w:rsidP="005B5632">
      <w:pPr>
        <w:spacing w:line="360" w:lineRule="auto"/>
        <w:jc w:val="both"/>
        <w:rPr>
          <w:rFonts w:ascii="Palatino Linotype" w:hAnsi="Palatino Linotype" w:cs="Tahoma"/>
          <w:szCs w:val="22"/>
        </w:rPr>
      </w:pPr>
    </w:p>
    <w:p w14:paraId="3935CA16" w14:textId="77777777" w:rsidR="00827CEE" w:rsidRPr="005B5632" w:rsidRDefault="00827CEE" w:rsidP="005B5632">
      <w:pPr>
        <w:spacing w:line="360" w:lineRule="auto"/>
        <w:jc w:val="both"/>
        <w:rPr>
          <w:rFonts w:ascii="Palatino Linotype" w:hAnsi="Palatino Linotype"/>
          <w:lang w:val="es-MX"/>
        </w:rPr>
      </w:pPr>
      <w:r w:rsidRPr="005B5632">
        <w:rPr>
          <w:rFonts w:ascii="Palatino Linotype" w:hAnsi="Palatino Linotype"/>
          <w:lang w:val="es-MX"/>
        </w:rPr>
        <w:t xml:space="preserve">Además de ello, el Bando Municipal de Melchor Ocampo, establece en su artículo 86 que los elementos de la Dirección de Seguridad Ciudadana deberán contar con el Certificado Único Policial, tal como se prevé a continuación: </w:t>
      </w:r>
    </w:p>
    <w:p w14:paraId="5F9678FE" w14:textId="77777777" w:rsidR="00827CEE" w:rsidRPr="005B5632" w:rsidRDefault="00827CEE" w:rsidP="005B5632">
      <w:pPr>
        <w:spacing w:line="360" w:lineRule="auto"/>
        <w:jc w:val="both"/>
        <w:rPr>
          <w:rFonts w:ascii="Palatino Linotype" w:hAnsi="Palatino Linotype"/>
          <w:lang w:val="es-MX"/>
        </w:rPr>
      </w:pPr>
    </w:p>
    <w:p w14:paraId="2AACA1A9" w14:textId="77777777" w:rsidR="00827CEE" w:rsidRPr="005B5632" w:rsidRDefault="00827CEE" w:rsidP="005B5632">
      <w:pPr>
        <w:spacing w:line="276" w:lineRule="auto"/>
        <w:ind w:left="567" w:right="616"/>
        <w:jc w:val="both"/>
        <w:rPr>
          <w:rFonts w:ascii="Palatino Linotype" w:hAnsi="Palatino Linotype"/>
          <w:i/>
          <w:sz w:val="22"/>
          <w:lang w:val="es-MX"/>
        </w:rPr>
      </w:pPr>
      <w:r w:rsidRPr="005B5632">
        <w:rPr>
          <w:rFonts w:ascii="Palatino Linotype" w:hAnsi="Palatino Linotype"/>
          <w:b/>
          <w:i/>
          <w:sz w:val="22"/>
        </w:rPr>
        <w:t>Artículo 86.-</w:t>
      </w:r>
      <w:r w:rsidRPr="005B5632">
        <w:rPr>
          <w:rFonts w:ascii="Palatino Linotype" w:hAnsi="Palatino Linotype"/>
          <w:i/>
          <w:sz w:val="22"/>
        </w:rPr>
        <w:t xml:space="preserve"> La Dirección de Seguridad Ciudadana y Movilidad tiene como fin salvaguardar la integridad y los derechos de las personas, preservar la libertad, el orden y la paz; todos los elementos de la Dirección de Seguridad Ciudadana deberán contar con el </w:t>
      </w:r>
      <w:r w:rsidRPr="005B5632">
        <w:rPr>
          <w:rFonts w:ascii="Palatino Linotype" w:hAnsi="Palatino Linotype"/>
          <w:b/>
          <w:i/>
          <w:sz w:val="22"/>
          <w:u w:val="single"/>
        </w:rPr>
        <w:t>Certificado Único Policial</w:t>
      </w:r>
      <w:r w:rsidRPr="005B5632">
        <w:rPr>
          <w:rFonts w:ascii="Palatino Linotype" w:hAnsi="Palatino Linotype"/>
          <w:i/>
          <w:sz w:val="22"/>
        </w:rPr>
        <w:t>…</w:t>
      </w:r>
    </w:p>
    <w:p w14:paraId="3BC28DC3" w14:textId="77777777" w:rsidR="00827CEE" w:rsidRPr="005B5632" w:rsidRDefault="00827CEE" w:rsidP="005B5632">
      <w:pPr>
        <w:spacing w:line="360" w:lineRule="auto"/>
        <w:jc w:val="both"/>
        <w:rPr>
          <w:rFonts w:ascii="Palatino Linotype" w:hAnsi="Palatino Linotype"/>
          <w:lang w:val="es-MX"/>
        </w:rPr>
      </w:pPr>
    </w:p>
    <w:p w14:paraId="31C5429D" w14:textId="77777777" w:rsidR="00827CEE" w:rsidRPr="005B5632" w:rsidRDefault="00827CEE" w:rsidP="005B5632">
      <w:pPr>
        <w:spacing w:line="360" w:lineRule="auto"/>
        <w:jc w:val="both"/>
        <w:rPr>
          <w:rFonts w:ascii="Palatino Linotype" w:hAnsi="Palatino Linotype"/>
          <w:lang w:val="es-MX"/>
        </w:rPr>
      </w:pPr>
      <w:r w:rsidRPr="005B5632">
        <w:rPr>
          <w:rFonts w:ascii="Palatino Linotype" w:hAnsi="Palatino Linotype"/>
          <w:lang w:val="es-MX"/>
        </w:rPr>
        <w:t xml:space="preserve">De lo anterior, es de destacar que el Certificado Único Policial tiene como objetivo reconocer habilidades, destrezas, actitudes, conocimientos generales y específicos para desempeñar sus funciones; así como identificar los factores de riesgo que interfieran, repercutan o pongan en peligro el desempeño de las funciones policiales. </w:t>
      </w:r>
    </w:p>
    <w:p w14:paraId="77995387" w14:textId="77777777" w:rsidR="00827CEE" w:rsidRPr="005B5632" w:rsidRDefault="00827CEE" w:rsidP="005B5632">
      <w:pPr>
        <w:spacing w:line="360" w:lineRule="auto"/>
        <w:jc w:val="both"/>
        <w:rPr>
          <w:rFonts w:ascii="Palatino Linotype" w:hAnsi="Palatino Linotype"/>
          <w:lang w:val="es-MX"/>
        </w:rPr>
      </w:pPr>
    </w:p>
    <w:p w14:paraId="6C349B46" w14:textId="550F25BC" w:rsidR="00827CEE" w:rsidRPr="005B5632" w:rsidRDefault="00827CEE" w:rsidP="005B5632">
      <w:pPr>
        <w:spacing w:line="360" w:lineRule="auto"/>
        <w:jc w:val="both"/>
        <w:rPr>
          <w:rFonts w:ascii="Palatino Linotype" w:hAnsi="Palatino Linotype"/>
          <w:lang w:val="es-MX"/>
        </w:rPr>
      </w:pPr>
      <w:r w:rsidRPr="005B5632">
        <w:rPr>
          <w:rFonts w:ascii="Palatino Linotype" w:hAnsi="Palatino Linotype"/>
          <w:lang w:val="es-MX"/>
        </w:rPr>
        <w:t xml:space="preserve">Ahora bien, de acuerdo con el Centro Nacional de Certificación y Acreditación </w:t>
      </w:r>
      <w:r w:rsidRPr="005B5632">
        <w:rPr>
          <w:rFonts w:ascii="Palatino Linotype" w:hAnsi="Palatino Linotype"/>
          <w:sz w:val="20"/>
          <w:lang w:val="es-MX"/>
        </w:rPr>
        <w:t xml:space="preserve">(consultado en </w:t>
      </w:r>
      <w:hyperlink r:id="rId9" w:history="1">
        <w:r w:rsidRPr="005B5632">
          <w:rPr>
            <w:rStyle w:val="Hipervnculo"/>
            <w:rFonts w:ascii="Palatino Linotype" w:hAnsi="Palatino Linotype"/>
            <w:sz w:val="20"/>
            <w:lang w:val="es-MX"/>
          </w:rPr>
          <w:t>https://www.gob.mx/cms/uploads/attachment/file/188142/6._Capacitaci_n_FORTASEG_Centro_Nacional_de_Certificaci_n_y_Acreditaci_n.pdf</w:t>
        </w:r>
      </w:hyperlink>
      <w:r w:rsidRPr="005B5632">
        <w:rPr>
          <w:rFonts w:ascii="Palatino Linotype" w:hAnsi="Palatino Linotype"/>
          <w:sz w:val="20"/>
          <w:lang w:val="es-MX"/>
        </w:rPr>
        <w:t xml:space="preserve">) </w:t>
      </w:r>
      <w:r w:rsidRPr="005B5632">
        <w:rPr>
          <w:rFonts w:ascii="Palatino Linotype" w:hAnsi="Palatino Linotype"/>
          <w:lang w:val="es-MX"/>
        </w:rPr>
        <w:t xml:space="preserve">para obtener el certificado es obligatorio que los elementos </w:t>
      </w:r>
      <w:r w:rsidRPr="005B5632">
        <w:rPr>
          <w:rFonts w:ascii="Palatino Linotype" w:hAnsi="Palatino Linotype"/>
          <w:b/>
          <w:u w:val="single"/>
          <w:lang w:val="es-MX"/>
        </w:rPr>
        <w:t>acrediten contar con evaluación de control y confianza</w:t>
      </w:r>
      <w:r w:rsidRPr="005B5632">
        <w:rPr>
          <w:rFonts w:ascii="Palatino Linotype" w:hAnsi="Palatino Linotype"/>
          <w:lang w:val="es-MX"/>
        </w:rPr>
        <w:t xml:space="preserve">, formación </w:t>
      </w:r>
      <w:r w:rsidRPr="005B5632">
        <w:rPr>
          <w:rFonts w:ascii="Palatino Linotype" w:hAnsi="Palatino Linotype"/>
          <w:lang w:val="es-MX"/>
        </w:rPr>
        <w:lastRenderedPageBreak/>
        <w:t>inicial o equivalente, evaluación de competencias básicas o profesionales y la evaluación del</w:t>
      </w:r>
      <w:r w:rsidR="00F93E35" w:rsidRPr="005B5632">
        <w:rPr>
          <w:rFonts w:ascii="Palatino Linotype" w:hAnsi="Palatino Linotype"/>
          <w:lang w:val="es-MX"/>
        </w:rPr>
        <w:t xml:space="preserve"> desempeño. </w:t>
      </w:r>
    </w:p>
    <w:p w14:paraId="7E31BC3B" w14:textId="77777777" w:rsidR="00F93E35" w:rsidRPr="005B5632" w:rsidRDefault="00F93E35" w:rsidP="005B5632">
      <w:pPr>
        <w:spacing w:line="360" w:lineRule="auto"/>
        <w:jc w:val="both"/>
        <w:rPr>
          <w:rFonts w:ascii="Palatino Linotype" w:hAnsi="Palatino Linotype"/>
          <w:lang w:val="es-MX"/>
        </w:rPr>
      </w:pPr>
    </w:p>
    <w:p w14:paraId="69CC3454" w14:textId="77777777" w:rsidR="00AB367E" w:rsidRPr="005B5632" w:rsidRDefault="00F93E35" w:rsidP="005B5632">
      <w:pPr>
        <w:spacing w:line="360" w:lineRule="auto"/>
        <w:jc w:val="both"/>
        <w:rPr>
          <w:rFonts w:ascii="Palatino Linotype" w:hAnsi="Palatino Linotype"/>
          <w:lang w:val="es-MX"/>
        </w:rPr>
      </w:pPr>
      <w:r w:rsidRPr="005B5632">
        <w:rPr>
          <w:rFonts w:ascii="Palatino Linotype" w:hAnsi="Palatino Linotype"/>
          <w:lang w:val="es-MX"/>
        </w:rPr>
        <w:t>En ese sentido, es de destacar que el objetivo del certificado es garantizar que la población cuente con policías confiables que tengan como único objetivo el de velar por la seguridad, por ello, que toda vez que es un requisito el contar con el Certificado Único Policial para estar adscrito a la Dirección de Seguridad Ciudadana del Municipio de Melchor Ocampo y para esto, es necesario contar con la acreditación de la eval</w:t>
      </w:r>
      <w:r w:rsidR="00AB367E" w:rsidRPr="005B5632">
        <w:rPr>
          <w:rFonts w:ascii="Palatino Linotype" w:hAnsi="Palatino Linotype"/>
          <w:lang w:val="es-MX"/>
        </w:rPr>
        <w:t xml:space="preserve">uación de control y confianza. </w:t>
      </w:r>
    </w:p>
    <w:p w14:paraId="5AC4EC50" w14:textId="77777777" w:rsidR="00AB367E" w:rsidRPr="005B5632" w:rsidRDefault="00AB367E" w:rsidP="005B5632">
      <w:pPr>
        <w:spacing w:line="360" w:lineRule="auto"/>
        <w:jc w:val="both"/>
        <w:rPr>
          <w:rFonts w:ascii="Palatino Linotype" w:hAnsi="Palatino Linotype"/>
          <w:lang w:val="es-MX"/>
        </w:rPr>
      </w:pPr>
    </w:p>
    <w:p w14:paraId="43057B5D" w14:textId="17208539" w:rsidR="00AB367E" w:rsidRPr="005B5632" w:rsidRDefault="00AB367E" w:rsidP="005B5632">
      <w:pPr>
        <w:spacing w:line="360" w:lineRule="auto"/>
        <w:jc w:val="both"/>
        <w:rPr>
          <w:rFonts w:ascii="Palatino Linotype" w:hAnsi="Palatino Linotype"/>
          <w:lang w:val="es-MX"/>
        </w:rPr>
      </w:pPr>
      <w:r w:rsidRPr="005B5632">
        <w:rPr>
          <w:rFonts w:ascii="Palatino Linotype" w:hAnsi="Palatino Linotype"/>
          <w:lang w:val="es-MX"/>
        </w:rPr>
        <w:t xml:space="preserve">Respecto a lo anterior, de conformidad con la página oficial de la Secretaría de Seguridad (consultada en </w:t>
      </w:r>
      <w:hyperlink r:id="rId10" w:history="1">
        <w:r w:rsidRPr="005B5632">
          <w:rPr>
            <w:rStyle w:val="Hipervnculo"/>
            <w:rFonts w:ascii="Palatino Linotype" w:hAnsi="Palatino Linotype"/>
            <w:lang w:val="es-MX"/>
          </w:rPr>
          <w:t>https://ccc.edomex.gob.mx/evaluaciones_de_confianza</w:t>
        </w:r>
      </w:hyperlink>
      <w:r w:rsidRPr="005B5632">
        <w:rPr>
          <w:rFonts w:ascii="Palatino Linotype" w:hAnsi="Palatino Linotype"/>
          <w:lang w:val="es-MX"/>
        </w:rPr>
        <w:t xml:space="preserve">), el examen de control de confianza se compone de cinco evaluaciones, las cuales contribuyen a verificar que el personal activo actúe dentro del marco de conducta que dicta la normatividad institucional, así como el personal de nuevo ingreso se apegue a los principios institucionales de acuerdo con el perfil del puesto. </w:t>
      </w:r>
    </w:p>
    <w:p w14:paraId="5DBE44B3" w14:textId="77777777" w:rsidR="00AB367E" w:rsidRPr="005B5632" w:rsidRDefault="00AB367E" w:rsidP="005B5632">
      <w:pPr>
        <w:spacing w:line="360" w:lineRule="auto"/>
        <w:jc w:val="both"/>
        <w:rPr>
          <w:rFonts w:ascii="Palatino Linotype" w:hAnsi="Palatino Linotype"/>
          <w:lang w:val="es-MX"/>
        </w:rPr>
      </w:pPr>
    </w:p>
    <w:p w14:paraId="01435DA7" w14:textId="55664B8D" w:rsidR="00AB367E" w:rsidRPr="005B5632" w:rsidRDefault="00F93E35" w:rsidP="005B5632">
      <w:pPr>
        <w:spacing w:line="360" w:lineRule="auto"/>
        <w:jc w:val="both"/>
        <w:rPr>
          <w:rFonts w:ascii="Palatino Linotype" w:hAnsi="Palatino Linotype"/>
          <w:lang w:val="es-MX"/>
        </w:rPr>
      </w:pPr>
      <w:r w:rsidRPr="005B5632">
        <w:rPr>
          <w:rFonts w:ascii="Palatino Linotype" w:hAnsi="Palatino Linotype"/>
          <w:lang w:val="es-MX"/>
        </w:rPr>
        <w:t xml:space="preserve"> </w:t>
      </w:r>
      <w:r w:rsidR="00AB367E" w:rsidRPr="005B5632">
        <w:rPr>
          <w:rFonts w:ascii="Palatino Linotype" w:hAnsi="Palatino Linotype"/>
          <w:lang w:val="es-MX"/>
        </w:rPr>
        <w:t xml:space="preserve">Asimismo, es de mencionar </w:t>
      </w:r>
      <w:proofErr w:type="gramStart"/>
      <w:r w:rsidR="00AB367E" w:rsidRPr="005B5632">
        <w:rPr>
          <w:rFonts w:ascii="Palatino Linotype" w:hAnsi="Palatino Linotype"/>
          <w:lang w:val="es-MX"/>
        </w:rPr>
        <w:t>que</w:t>
      </w:r>
      <w:proofErr w:type="gramEnd"/>
      <w:r w:rsidR="00AB367E" w:rsidRPr="005B5632">
        <w:rPr>
          <w:rFonts w:ascii="Palatino Linotype" w:hAnsi="Palatino Linotype"/>
          <w:lang w:val="es-MX"/>
        </w:rPr>
        <w:t xml:space="preserve"> para la expedición del certificado, el proceso de evaluación se realiza en tres días, donde en el día uno, se llevará a cabo la evaluación, toxicológica, investigación de antecedentes, evaluación psicológica, evaluación socioeconómica y evaluación médica; en el día dos, se realizará una evaluación poligráfica y por último, en el día tres, se ejecutará una visita domiciliaria, tal como se observa a continuación: </w:t>
      </w:r>
    </w:p>
    <w:p w14:paraId="627248F8" w14:textId="77777777" w:rsidR="00AB367E" w:rsidRPr="005B5632" w:rsidRDefault="00AB367E" w:rsidP="005B5632">
      <w:pPr>
        <w:spacing w:line="360" w:lineRule="auto"/>
        <w:jc w:val="both"/>
        <w:rPr>
          <w:rFonts w:ascii="Palatino Linotype" w:hAnsi="Palatino Linotype"/>
          <w:lang w:val="es-MX"/>
        </w:rPr>
      </w:pPr>
    </w:p>
    <w:p w14:paraId="506D4AEB" w14:textId="34EFC100" w:rsidR="00AB367E" w:rsidRPr="005B5632" w:rsidRDefault="00AB367E" w:rsidP="005B5632">
      <w:pPr>
        <w:spacing w:line="360" w:lineRule="auto"/>
        <w:jc w:val="center"/>
        <w:rPr>
          <w:rFonts w:ascii="Palatino Linotype" w:hAnsi="Palatino Linotype"/>
          <w:lang w:val="es-MX"/>
        </w:rPr>
      </w:pPr>
      <w:r w:rsidRPr="005B5632">
        <w:rPr>
          <w:rFonts w:ascii="Palatino Linotype" w:hAnsi="Palatino Linotype"/>
          <w:noProof/>
          <w:lang w:val="es-MX" w:eastAsia="es-MX"/>
        </w:rPr>
        <w:lastRenderedPageBreak/>
        <w:drawing>
          <wp:inline distT="0" distB="0" distL="0" distR="0" wp14:anchorId="6CCBE574" wp14:editId="308BA482">
            <wp:extent cx="4114800" cy="265369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17098" cy="2655173"/>
                    </a:xfrm>
                    <a:prstGeom prst="rect">
                      <a:avLst/>
                    </a:prstGeom>
                  </pic:spPr>
                </pic:pic>
              </a:graphicData>
            </a:graphic>
          </wp:inline>
        </w:drawing>
      </w:r>
    </w:p>
    <w:p w14:paraId="7832D714" w14:textId="6848D110" w:rsidR="00AB367E" w:rsidRPr="005B5632" w:rsidRDefault="00AB367E" w:rsidP="005B5632">
      <w:pPr>
        <w:spacing w:line="360" w:lineRule="auto"/>
        <w:ind w:left="1134" w:right="1183"/>
        <w:jc w:val="both"/>
        <w:rPr>
          <w:rFonts w:ascii="Palatino Linotype" w:hAnsi="Palatino Linotype"/>
          <w:sz w:val="22"/>
          <w:lang w:val="es-MX"/>
        </w:rPr>
      </w:pPr>
      <w:r w:rsidRPr="005B5632">
        <w:rPr>
          <w:rFonts w:ascii="Palatino Linotype" w:hAnsi="Palatino Linotype"/>
          <w:sz w:val="22"/>
          <w:lang w:val="es-MX"/>
        </w:rPr>
        <w:t>[</w:t>
      </w:r>
      <w:r w:rsidR="004515AF" w:rsidRPr="005B5632">
        <w:rPr>
          <w:rFonts w:ascii="Palatino Linotype" w:hAnsi="Palatino Linotype"/>
          <w:sz w:val="22"/>
          <w:lang w:val="es-MX"/>
        </w:rPr>
        <w:t>Imagen</w:t>
      </w:r>
      <w:r w:rsidRPr="005B5632">
        <w:rPr>
          <w:rFonts w:ascii="Palatino Linotype" w:hAnsi="Palatino Linotype"/>
          <w:sz w:val="22"/>
          <w:lang w:val="es-MX"/>
        </w:rPr>
        <w:t xml:space="preserve"> extraída de la siguiente liga electrónica </w:t>
      </w:r>
      <w:hyperlink r:id="rId12" w:history="1">
        <w:r w:rsidRPr="005B5632">
          <w:rPr>
            <w:rStyle w:val="Hipervnculo"/>
            <w:rFonts w:ascii="Palatino Linotype" w:hAnsi="Palatino Linotype"/>
            <w:sz w:val="22"/>
            <w:lang w:val="es-MX"/>
          </w:rPr>
          <w:t>https://ccc.edomex.gob.mx/proceso_evaluacion</w:t>
        </w:r>
      </w:hyperlink>
      <w:r w:rsidRPr="005B5632">
        <w:rPr>
          <w:rFonts w:ascii="Palatino Linotype" w:hAnsi="Palatino Linotype"/>
          <w:sz w:val="22"/>
          <w:lang w:val="es-MX"/>
        </w:rPr>
        <w:t xml:space="preserve">] </w:t>
      </w:r>
    </w:p>
    <w:p w14:paraId="5FBE827C" w14:textId="77777777" w:rsidR="005738E8" w:rsidRPr="005B5632" w:rsidRDefault="005738E8" w:rsidP="005B5632">
      <w:pPr>
        <w:spacing w:line="360" w:lineRule="auto"/>
        <w:jc w:val="both"/>
        <w:rPr>
          <w:rFonts w:ascii="Palatino Linotype" w:hAnsi="Palatino Linotype"/>
          <w:lang w:val="es-MX"/>
        </w:rPr>
      </w:pPr>
    </w:p>
    <w:p w14:paraId="4C894022" w14:textId="60E6BD00" w:rsidR="004515AF" w:rsidRPr="005B5632" w:rsidRDefault="004515AF" w:rsidP="005B5632">
      <w:pPr>
        <w:spacing w:line="360" w:lineRule="auto"/>
        <w:jc w:val="both"/>
        <w:rPr>
          <w:rFonts w:ascii="Palatino Linotype" w:hAnsi="Palatino Linotype"/>
          <w:lang w:val="es-MX"/>
        </w:rPr>
      </w:pPr>
      <w:r w:rsidRPr="005B5632">
        <w:rPr>
          <w:rFonts w:ascii="Palatino Linotype" w:hAnsi="Palatino Linotype"/>
          <w:lang w:val="es-MX"/>
        </w:rPr>
        <w:t>Ahora bien, es importante no perder de vista que el Particular solicitó la aprobación de los exámenes de antidoping, sin embargo, tal como se demuestra, los exámenes antidoping o toxicológicos, forman parte del proceso de evaluación realizado para obtener la certificación corre</w:t>
      </w:r>
      <w:r w:rsidR="002E6C60" w:rsidRPr="005B5632">
        <w:rPr>
          <w:rFonts w:ascii="Palatino Linotype" w:hAnsi="Palatino Linotype"/>
          <w:lang w:val="es-MX"/>
        </w:rPr>
        <w:t xml:space="preserve">spondiente y cuya aplicación le corresponde al Centro de Control de Confianza del Estado de México, a través de la Dirección Médica y Toxicológica, como se muestra a continuación: </w:t>
      </w:r>
    </w:p>
    <w:p w14:paraId="0EED9E0B" w14:textId="77777777" w:rsidR="002E6C60" w:rsidRPr="005B5632" w:rsidRDefault="002E6C60" w:rsidP="005B5632">
      <w:pPr>
        <w:spacing w:line="360" w:lineRule="auto"/>
        <w:jc w:val="both"/>
        <w:rPr>
          <w:rFonts w:ascii="Palatino Linotype" w:hAnsi="Palatino Linotype"/>
          <w:lang w:val="es-MX"/>
        </w:rPr>
      </w:pPr>
    </w:p>
    <w:p w14:paraId="75F1B019" w14:textId="04FB7661" w:rsidR="002E6C60" w:rsidRPr="005B5632" w:rsidRDefault="002E6C60" w:rsidP="005B5632">
      <w:pPr>
        <w:spacing w:line="276" w:lineRule="auto"/>
        <w:ind w:left="567" w:right="616"/>
        <w:jc w:val="both"/>
        <w:rPr>
          <w:rFonts w:ascii="Palatino Linotype" w:hAnsi="Palatino Linotype"/>
          <w:b/>
          <w:i/>
          <w:sz w:val="22"/>
        </w:rPr>
      </w:pPr>
      <w:r w:rsidRPr="005B5632">
        <w:rPr>
          <w:rFonts w:ascii="Palatino Linotype" w:hAnsi="Palatino Linotype"/>
          <w:b/>
          <w:i/>
          <w:sz w:val="22"/>
        </w:rPr>
        <w:t>MANUAL DE PROCEDIMIENTOS DE LA DIRECCIÓN MÉDICA Y TOXICOLÓGICA DEL CENTRO DE CONTROL DE CONFIANZA DEL ESTADO DE MÉXICO</w:t>
      </w:r>
    </w:p>
    <w:p w14:paraId="3DF92C19" w14:textId="3EE76837" w:rsidR="002E6C60" w:rsidRPr="005B5632" w:rsidRDefault="002E6C60" w:rsidP="005B5632">
      <w:pPr>
        <w:spacing w:line="276" w:lineRule="auto"/>
        <w:ind w:left="567" w:right="616"/>
        <w:jc w:val="both"/>
        <w:rPr>
          <w:rFonts w:ascii="Palatino Linotype" w:hAnsi="Palatino Linotype"/>
          <w:i/>
          <w:sz w:val="22"/>
          <w:lang w:val="es-MX"/>
        </w:rPr>
      </w:pPr>
      <w:r w:rsidRPr="005B5632">
        <w:rPr>
          <w:rFonts w:ascii="Palatino Linotype" w:hAnsi="Palatino Linotype"/>
          <w:i/>
          <w:sz w:val="22"/>
        </w:rPr>
        <w:t>…</w:t>
      </w:r>
    </w:p>
    <w:p w14:paraId="4CD4B4D5" w14:textId="49484E53" w:rsidR="002E6C60" w:rsidRPr="005B5632" w:rsidRDefault="002E6C60" w:rsidP="005B5632">
      <w:pPr>
        <w:spacing w:line="276" w:lineRule="auto"/>
        <w:ind w:left="567" w:right="616"/>
        <w:jc w:val="both"/>
        <w:rPr>
          <w:rFonts w:ascii="Palatino Linotype" w:hAnsi="Palatino Linotype"/>
          <w:i/>
          <w:sz w:val="22"/>
        </w:rPr>
      </w:pPr>
      <w:r w:rsidRPr="005B5632">
        <w:rPr>
          <w:rFonts w:ascii="Palatino Linotype" w:hAnsi="Palatino Linotype"/>
          <w:i/>
          <w:sz w:val="22"/>
        </w:rPr>
        <w:t>La Dirección Médica y Toxicológica es la unidad administrativa responsable de realizar las evaluaciones toxicológicas de control de confianza, así como de la emisión, entrega de resultados y la emisión de los certificados correspondientes.</w:t>
      </w:r>
    </w:p>
    <w:p w14:paraId="4E95ECB5" w14:textId="7F528D93" w:rsidR="002E6C60" w:rsidRPr="005B5632" w:rsidRDefault="002E6C60" w:rsidP="005B5632">
      <w:pPr>
        <w:spacing w:line="276" w:lineRule="auto"/>
        <w:ind w:left="567" w:right="616"/>
        <w:jc w:val="both"/>
        <w:rPr>
          <w:rFonts w:ascii="Palatino Linotype" w:hAnsi="Palatino Linotype"/>
          <w:i/>
          <w:sz w:val="22"/>
          <w:lang w:val="es-MX"/>
        </w:rPr>
      </w:pPr>
      <w:r w:rsidRPr="005B5632">
        <w:rPr>
          <w:rFonts w:ascii="Palatino Linotype" w:hAnsi="Palatino Linotype"/>
          <w:i/>
          <w:sz w:val="22"/>
        </w:rPr>
        <w:t>…</w:t>
      </w:r>
    </w:p>
    <w:p w14:paraId="469C7291" w14:textId="5CF7DF56" w:rsidR="004515AF" w:rsidRPr="005B5632" w:rsidRDefault="002E6C60" w:rsidP="005B5632">
      <w:pPr>
        <w:spacing w:line="360" w:lineRule="auto"/>
        <w:jc w:val="both"/>
        <w:rPr>
          <w:rFonts w:ascii="Palatino Linotype" w:hAnsi="Palatino Linotype"/>
          <w:lang w:val="es-MX"/>
        </w:rPr>
      </w:pPr>
      <w:r w:rsidRPr="005B5632">
        <w:rPr>
          <w:rFonts w:ascii="Palatino Linotype" w:hAnsi="Palatino Linotype"/>
          <w:lang w:val="es-MX"/>
        </w:rPr>
        <w:lastRenderedPageBreak/>
        <w:t xml:space="preserve">En ese sentido, toda vez que los exámenes referidos forman parte conjunta del proceso de evaluación para obtener la certificación de aprobación de los exámenes de control y confianza y, es el Centro de Control de Confianza, la dependencia encargada de aplicar y expedir el certificado de aprobación o no aprobación, se colige que en los archivos del Ayuntamiento de Melchor Ocampo, no obran los documentos que dan cuenta de los resultados de los exámenes toxicológicos, sino únicamente cuentan con los certificados que refieren si los servidores públicos son aptos o no aptos para desempeñar el cargo.  </w:t>
      </w:r>
    </w:p>
    <w:p w14:paraId="579FD2B9" w14:textId="77777777" w:rsidR="002E6C60" w:rsidRPr="005B5632" w:rsidRDefault="002E6C60" w:rsidP="005B5632">
      <w:pPr>
        <w:spacing w:line="360" w:lineRule="auto"/>
        <w:jc w:val="both"/>
        <w:rPr>
          <w:rFonts w:ascii="Palatino Linotype" w:hAnsi="Palatino Linotype"/>
          <w:lang w:val="es-MX"/>
        </w:rPr>
      </w:pPr>
    </w:p>
    <w:p w14:paraId="56244511" w14:textId="77AA06C0" w:rsidR="002E6C60" w:rsidRPr="005B5632" w:rsidRDefault="002E6C60" w:rsidP="005B5632">
      <w:pPr>
        <w:spacing w:line="360" w:lineRule="auto"/>
        <w:jc w:val="both"/>
        <w:rPr>
          <w:rFonts w:ascii="Palatino Linotype" w:hAnsi="Palatino Linotype"/>
          <w:lang w:val="es-MX"/>
        </w:rPr>
      </w:pPr>
      <w:r w:rsidRPr="005B5632">
        <w:rPr>
          <w:rFonts w:ascii="Palatino Linotype" w:hAnsi="Palatino Linotype"/>
          <w:lang w:val="es-MX"/>
        </w:rPr>
        <w:t xml:space="preserve">Por ello, debido a que el Sujeto Obligado únicamente cuenta con la información relativa a los resultados de la aplicación de los exámenes de control y confianza, obtenidos conjuntamente derivados del proceso de la aplicación de otras evaluaciones (médica, toxicológica, psicológica, económica), </w:t>
      </w:r>
      <w:r w:rsidR="00B059A8" w:rsidRPr="005B5632">
        <w:rPr>
          <w:rFonts w:ascii="Palatino Linotype" w:hAnsi="Palatino Linotype"/>
          <w:lang w:val="es-MX"/>
        </w:rPr>
        <w:t xml:space="preserve">resulta dable ordenar el documento que da cuenta de éstos, no así los resultados de manera aislada de cada una de las evaluaciones aplicadas por el Centro de Control y Confianza, toda vez que esta información no obra en sus archivos y, por ende, resulta lógica y materialmente imposible ordenar su entrega. </w:t>
      </w:r>
    </w:p>
    <w:p w14:paraId="406023D9" w14:textId="77777777" w:rsidR="002E6C60" w:rsidRPr="005B5632" w:rsidRDefault="002E6C60" w:rsidP="005B5632">
      <w:pPr>
        <w:spacing w:line="360" w:lineRule="auto"/>
        <w:jc w:val="both"/>
        <w:rPr>
          <w:rFonts w:ascii="Palatino Linotype" w:hAnsi="Palatino Linotype"/>
          <w:lang w:val="es-MX"/>
        </w:rPr>
      </w:pPr>
    </w:p>
    <w:p w14:paraId="5BB35BC0" w14:textId="1FFB779B" w:rsidR="005738E8" w:rsidRPr="005B5632" w:rsidRDefault="00B059A8" w:rsidP="005B5632">
      <w:pPr>
        <w:spacing w:line="360" w:lineRule="auto"/>
        <w:jc w:val="both"/>
        <w:rPr>
          <w:rFonts w:ascii="Palatino Linotype" w:hAnsi="Palatino Linotype"/>
          <w:lang w:val="es-MX"/>
        </w:rPr>
      </w:pPr>
      <w:r w:rsidRPr="005B5632">
        <w:rPr>
          <w:rFonts w:ascii="Palatino Linotype" w:hAnsi="Palatino Linotype"/>
          <w:lang w:val="es-MX"/>
        </w:rPr>
        <w:t>Por último, cabe precisar que la entrega de los</w:t>
      </w:r>
      <w:r w:rsidR="005738E8" w:rsidRPr="005B5632">
        <w:rPr>
          <w:rFonts w:ascii="Palatino Linotype" w:hAnsi="Palatino Linotype"/>
          <w:lang w:val="es-MX"/>
        </w:rPr>
        <w:t xml:space="preserve"> documento</w:t>
      </w:r>
      <w:r w:rsidRPr="005B5632">
        <w:rPr>
          <w:rFonts w:ascii="Palatino Linotype" w:hAnsi="Palatino Linotype"/>
          <w:lang w:val="es-MX"/>
        </w:rPr>
        <w:t>s</w:t>
      </w:r>
      <w:r w:rsidR="005738E8" w:rsidRPr="005B5632">
        <w:rPr>
          <w:rFonts w:ascii="Palatino Linotype" w:hAnsi="Palatino Linotype"/>
          <w:lang w:val="es-MX"/>
        </w:rPr>
        <w:t xml:space="preserve"> donde conste la información relacionada con el número de elementos que han aprobado los exámenes de control y confianza, así como el número de aquellos que han sido removidos del cargo por no haber aprobado los mismos, esto acompañado de su</w:t>
      </w:r>
      <w:r w:rsidR="009861F1" w:rsidRPr="005B5632">
        <w:rPr>
          <w:rFonts w:ascii="Palatino Linotype" w:hAnsi="Palatino Linotype"/>
          <w:lang w:val="es-MX"/>
        </w:rPr>
        <w:t xml:space="preserve"> soporte documental </w:t>
      </w:r>
      <w:proofErr w:type="gramStart"/>
      <w:r w:rsidR="009861F1" w:rsidRPr="005B5632">
        <w:rPr>
          <w:rFonts w:ascii="Palatino Linotype" w:hAnsi="Palatino Linotype"/>
          <w:lang w:val="es-MX"/>
        </w:rPr>
        <w:t xml:space="preserve">respectivo, </w:t>
      </w:r>
      <w:r w:rsidR="00A23DAA" w:rsidRPr="005B5632">
        <w:rPr>
          <w:rFonts w:ascii="Palatino Linotype" w:hAnsi="Palatino Linotype"/>
          <w:lang w:val="es-MX"/>
        </w:rPr>
        <w:t xml:space="preserve"> es</w:t>
      </w:r>
      <w:proofErr w:type="gramEnd"/>
      <w:r w:rsidR="00A23DAA" w:rsidRPr="005B5632">
        <w:rPr>
          <w:rFonts w:ascii="Palatino Linotype" w:hAnsi="Palatino Linotype"/>
          <w:lang w:val="es-MX"/>
        </w:rPr>
        <w:t xml:space="preserve"> información que se ordenará </w:t>
      </w:r>
      <w:r w:rsidR="009861F1" w:rsidRPr="005B5632">
        <w:rPr>
          <w:rFonts w:ascii="Palatino Linotype" w:hAnsi="Palatino Linotype"/>
          <w:lang w:val="es-MX"/>
        </w:rPr>
        <w:t xml:space="preserve">del periodo </w:t>
      </w:r>
      <w:r w:rsidR="009861F1" w:rsidRPr="005B5632">
        <w:rPr>
          <w:rFonts w:ascii="Palatino Linotype" w:hAnsi="Palatino Linotype"/>
          <w:lang w:val="es-MX"/>
        </w:rPr>
        <w:lastRenderedPageBreak/>
        <w:t>comprendido del d</w:t>
      </w:r>
      <w:r w:rsidR="00A23DAA" w:rsidRPr="005B5632">
        <w:rPr>
          <w:rFonts w:ascii="Palatino Linotype" w:hAnsi="Palatino Linotype"/>
          <w:lang w:val="es-MX"/>
        </w:rPr>
        <w:t>oce</w:t>
      </w:r>
      <w:r w:rsidR="009861F1" w:rsidRPr="005B5632">
        <w:rPr>
          <w:rFonts w:ascii="Palatino Linotype" w:hAnsi="Palatino Linotype"/>
          <w:lang w:val="es-MX"/>
        </w:rPr>
        <w:t xml:space="preserve"> de abril d</w:t>
      </w:r>
      <w:r w:rsidR="00A23DAA" w:rsidRPr="005B5632">
        <w:rPr>
          <w:rFonts w:ascii="Palatino Linotype" w:hAnsi="Palatino Linotype"/>
          <w:lang w:val="es-MX"/>
        </w:rPr>
        <w:t>e dos mil veintiuno al doce</w:t>
      </w:r>
      <w:r w:rsidR="009861F1" w:rsidRPr="005B5632">
        <w:rPr>
          <w:rFonts w:ascii="Palatino Linotype" w:hAnsi="Palatino Linotype"/>
          <w:lang w:val="es-MX"/>
        </w:rPr>
        <w:t xml:space="preserve"> de abril de dos mil veintidós. </w:t>
      </w:r>
    </w:p>
    <w:p w14:paraId="2DF53853" w14:textId="77777777" w:rsidR="009861F1" w:rsidRPr="005B5632" w:rsidRDefault="009861F1" w:rsidP="005B5632">
      <w:pPr>
        <w:spacing w:line="360" w:lineRule="auto"/>
        <w:jc w:val="both"/>
        <w:rPr>
          <w:rFonts w:ascii="Palatino Linotype" w:hAnsi="Palatino Linotype"/>
          <w:lang w:val="es-MX"/>
        </w:rPr>
      </w:pPr>
    </w:p>
    <w:p w14:paraId="337E9EC6" w14:textId="276558F7" w:rsidR="009861F1" w:rsidRPr="005B5632" w:rsidRDefault="009861F1" w:rsidP="005B5632">
      <w:pPr>
        <w:spacing w:line="360" w:lineRule="auto"/>
        <w:jc w:val="both"/>
        <w:rPr>
          <w:rFonts w:ascii="Palatino Linotype" w:hAnsi="Palatino Linotype"/>
          <w:lang w:val="es-MX"/>
        </w:rPr>
      </w:pPr>
      <w:r w:rsidRPr="005B5632">
        <w:rPr>
          <w:rFonts w:ascii="Palatino Linotype" w:hAnsi="Palatino Linotype"/>
          <w:lang w:val="es-MX"/>
        </w:rPr>
        <w:t>Lo anterior, en atención al Criterio 03/19 emitido por el Instituto Nacional de Transparencia, Acceso a la Información y Protección de Datos P</w:t>
      </w:r>
      <w:r w:rsidR="00EC4EC7" w:rsidRPr="005B5632">
        <w:rPr>
          <w:rFonts w:ascii="Palatino Linotype" w:hAnsi="Palatino Linotype"/>
          <w:lang w:val="es-MX"/>
        </w:rPr>
        <w:t xml:space="preserve">ersonales que precisa que cuando en las solicitudes de información, no se advierta claramente temporalidad, deberá considerarse de un año anterior inmediato a la fecha en que esta se presentó, tal como se observa a continuación: </w:t>
      </w:r>
    </w:p>
    <w:p w14:paraId="50D1E50A" w14:textId="77777777" w:rsidR="00B059A8" w:rsidRPr="005B5632" w:rsidRDefault="00B059A8" w:rsidP="005B5632">
      <w:pPr>
        <w:spacing w:line="360" w:lineRule="auto"/>
        <w:jc w:val="both"/>
        <w:rPr>
          <w:rFonts w:ascii="Palatino Linotype" w:hAnsi="Palatino Linotype"/>
          <w:lang w:val="es-MX"/>
        </w:rPr>
      </w:pPr>
    </w:p>
    <w:p w14:paraId="68540FC0" w14:textId="5A87620D" w:rsidR="005738E8" w:rsidRPr="005B5632" w:rsidRDefault="00EC4EC7" w:rsidP="005B5632">
      <w:pPr>
        <w:spacing w:line="360" w:lineRule="auto"/>
        <w:ind w:left="567" w:right="616"/>
        <w:jc w:val="both"/>
        <w:rPr>
          <w:rFonts w:ascii="Palatino Linotype" w:eastAsia="Arial" w:hAnsi="Palatino Linotype" w:cs="Arial"/>
          <w:i/>
          <w:sz w:val="22"/>
        </w:rPr>
      </w:pPr>
      <w:r w:rsidRPr="005B5632">
        <w:rPr>
          <w:rFonts w:ascii="Palatino Linotype" w:eastAsia="Arial" w:hAnsi="Palatino Linotype" w:cs="Arial"/>
          <w:b/>
          <w:i/>
          <w:sz w:val="22"/>
        </w:rPr>
        <w:t xml:space="preserve">Periodo de búsqueda de la información. </w:t>
      </w:r>
      <w:r w:rsidRPr="005B5632">
        <w:rPr>
          <w:rFonts w:ascii="Palatino Linotype" w:eastAsia="Arial" w:hAnsi="Palatino Linotype"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E944E1B" w14:textId="77777777" w:rsidR="00827CEE" w:rsidRPr="005B5632" w:rsidRDefault="00827CEE" w:rsidP="005B5632">
      <w:pPr>
        <w:spacing w:line="360" w:lineRule="auto"/>
        <w:jc w:val="both"/>
        <w:rPr>
          <w:rFonts w:ascii="Palatino Linotype" w:hAnsi="Palatino Linotype"/>
          <w:lang w:val="es-MX"/>
        </w:rPr>
      </w:pPr>
    </w:p>
    <w:p w14:paraId="1CA2BE2C" w14:textId="1C7A1675" w:rsidR="00B93639" w:rsidRPr="005B5632" w:rsidRDefault="00A74256" w:rsidP="005B5632">
      <w:pPr>
        <w:spacing w:line="360" w:lineRule="auto"/>
        <w:jc w:val="both"/>
        <w:rPr>
          <w:rFonts w:ascii="Palatino Linotype" w:hAnsi="Palatino Linotype"/>
          <w:lang w:val="es-MX"/>
        </w:rPr>
      </w:pPr>
      <w:r w:rsidRPr="005B5632">
        <w:rPr>
          <w:rFonts w:ascii="Palatino Linotype" w:hAnsi="Palatino Linotype"/>
          <w:lang w:val="es-MX"/>
        </w:rPr>
        <w:t xml:space="preserve">Respecto a la </w:t>
      </w:r>
      <w:r w:rsidRPr="005B5632">
        <w:rPr>
          <w:rFonts w:ascii="Palatino Linotype" w:hAnsi="Palatino Linotype"/>
          <w:b/>
          <w:u w:val="single"/>
          <w:lang w:val="es-MX"/>
        </w:rPr>
        <w:t>capacitación, adiestramiento y los programas respectivos</w:t>
      </w:r>
      <w:r w:rsidRPr="005B5632">
        <w:rPr>
          <w:rFonts w:ascii="Palatino Linotype" w:hAnsi="Palatino Linotype"/>
          <w:lang w:val="es-MX"/>
        </w:rPr>
        <w:t xml:space="preserve">, se tiene </w:t>
      </w:r>
      <w:proofErr w:type="gramStart"/>
      <w:r w:rsidRPr="005B5632">
        <w:rPr>
          <w:rFonts w:ascii="Palatino Linotype" w:hAnsi="Palatino Linotype"/>
          <w:lang w:val="es-MX"/>
        </w:rPr>
        <w:t>que</w:t>
      </w:r>
      <w:proofErr w:type="gramEnd"/>
      <w:r w:rsidRPr="005B5632">
        <w:rPr>
          <w:rFonts w:ascii="Palatino Linotype" w:hAnsi="Palatino Linotype"/>
          <w:lang w:val="es-MX"/>
        </w:rPr>
        <w:t xml:space="preserve"> de conformidad con la Ley de Seguridad del Estado de México, las instancias de los tres órdenes de gobierno, deberán observar lo siguiente: </w:t>
      </w:r>
    </w:p>
    <w:p w14:paraId="3A063DB5" w14:textId="77777777" w:rsidR="00A74256" w:rsidRPr="005B5632" w:rsidRDefault="00A74256" w:rsidP="005B5632">
      <w:pPr>
        <w:spacing w:line="360" w:lineRule="auto"/>
        <w:jc w:val="both"/>
        <w:rPr>
          <w:rFonts w:ascii="Palatino Linotype" w:hAnsi="Palatino Linotype"/>
          <w:lang w:val="es-MX"/>
        </w:rPr>
      </w:pPr>
    </w:p>
    <w:p w14:paraId="12BC47D8" w14:textId="04B67E56" w:rsidR="00A74256" w:rsidRPr="005B5632" w:rsidRDefault="00A74256" w:rsidP="005B5632">
      <w:pPr>
        <w:spacing w:line="276" w:lineRule="auto"/>
        <w:ind w:left="567" w:right="616"/>
        <w:jc w:val="both"/>
        <w:rPr>
          <w:rFonts w:ascii="Palatino Linotype" w:hAnsi="Palatino Linotype"/>
          <w:i/>
          <w:sz w:val="22"/>
        </w:rPr>
      </w:pPr>
      <w:r w:rsidRPr="005B5632">
        <w:rPr>
          <w:rFonts w:ascii="Palatino Linotype" w:hAnsi="Palatino Linotype"/>
          <w:b/>
          <w:i/>
          <w:sz w:val="22"/>
        </w:rPr>
        <w:t>Artículo 8.</w:t>
      </w:r>
      <w:r w:rsidRPr="005B5632">
        <w:rPr>
          <w:rFonts w:ascii="Palatino Linotype" w:hAnsi="Palatino Linotype"/>
          <w:i/>
          <w:sz w:val="22"/>
        </w:rPr>
        <w:t xml:space="preserve"> Conforme a las bases que establece el artículo 21 de la Constitución Federal, las Instituciones de Seguridad Pública, deberán coordinarse con las instituciones de la Federación, las Entidades Federativas, los Municipios y Alcaldías de la Ciudad de México, en el ámbito de su competencia, en los términos de esta Ley, para cumplir con los fines de la seguridad pública.</w:t>
      </w:r>
    </w:p>
    <w:p w14:paraId="68195AC5" w14:textId="6C0A007F" w:rsidR="00A74256" w:rsidRPr="005B5632" w:rsidRDefault="00A74256" w:rsidP="005B5632">
      <w:pPr>
        <w:spacing w:line="276" w:lineRule="auto"/>
        <w:ind w:left="567" w:right="616"/>
        <w:jc w:val="both"/>
        <w:rPr>
          <w:rFonts w:ascii="Palatino Linotype" w:hAnsi="Palatino Linotype"/>
          <w:i/>
          <w:sz w:val="22"/>
        </w:rPr>
      </w:pPr>
      <w:r w:rsidRPr="005B5632">
        <w:rPr>
          <w:rFonts w:ascii="Palatino Linotype" w:hAnsi="Palatino Linotype"/>
          <w:i/>
          <w:sz w:val="22"/>
        </w:rPr>
        <w:t>Las instancias de los tres órdenes de gobierno, en un marco de respeto al ámbito competencial de cada uno, deberán coordinarse, según sea el caso, para:</w:t>
      </w:r>
    </w:p>
    <w:p w14:paraId="0A6F0995" w14:textId="76F3859B" w:rsidR="00A74256" w:rsidRPr="005B5632" w:rsidRDefault="00A74256" w:rsidP="005B5632">
      <w:pPr>
        <w:spacing w:line="276" w:lineRule="auto"/>
        <w:ind w:left="567" w:right="616"/>
        <w:jc w:val="both"/>
        <w:rPr>
          <w:rFonts w:ascii="Palatino Linotype" w:hAnsi="Palatino Linotype"/>
          <w:i/>
          <w:sz w:val="22"/>
        </w:rPr>
      </w:pPr>
      <w:r w:rsidRPr="005B5632">
        <w:rPr>
          <w:rFonts w:ascii="Palatino Linotype" w:hAnsi="Palatino Linotype"/>
          <w:i/>
          <w:sz w:val="22"/>
        </w:rPr>
        <w:t>…</w:t>
      </w:r>
    </w:p>
    <w:p w14:paraId="56C1FD66" w14:textId="1F11D6ED" w:rsidR="00A74256" w:rsidRPr="005B5632" w:rsidRDefault="00A74256" w:rsidP="005B5632">
      <w:pPr>
        <w:spacing w:line="276" w:lineRule="auto"/>
        <w:ind w:left="567" w:right="616"/>
        <w:jc w:val="both"/>
        <w:rPr>
          <w:rFonts w:ascii="Palatino Linotype" w:hAnsi="Palatino Linotype"/>
          <w:b/>
          <w:i/>
          <w:sz w:val="22"/>
          <w:u w:val="single"/>
        </w:rPr>
      </w:pPr>
      <w:r w:rsidRPr="005B5632">
        <w:rPr>
          <w:rFonts w:ascii="Palatino Linotype" w:hAnsi="Palatino Linotype"/>
          <w:b/>
          <w:i/>
          <w:sz w:val="22"/>
          <w:u w:val="single"/>
        </w:rPr>
        <w:lastRenderedPageBreak/>
        <w:t>V. Regular los procedimientos de selección, ingreso, formación, actualización, capacitación, permanencia, evaluación, reconocimiento, certificación y registro de los servidores públicos de las Instituciones de Seguridad Pública;</w:t>
      </w:r>
    </w:p>
    <w:p w14:paraId="7759903A" w14:textId="6D3BBD95" w:rsidR="00A74256" w:rsidRPr="005B5632" w:rsidRDefault="00A74256" w:rsidP="005B5632">
      <w:pPr>
        <w:spacing w:line="276" w:lineRule="auto"/>
        <w:ind w:left="567" w:right="616"/>
        <w:jc w:val="both"/>
        <w:rPr>
          <w:rFonts w:ascii="Palatino Linotype" w:hAnsi="Palatino Linotype"/>
          <w:i/>
          <w:sz w:val="22"/>
          <w:lang w:val="es-MX"/>
        </w:rPr>
      </w:pPr>
      <w:r w:rsidRPr="005B5632">
        <w:rPr>
          <w:rFonts w:ascii="Palatino Linotype" w:hAnsi="Palatino Linotype"/>
          <w:i/>
          <w:sz w:val="22"/>
        </w:rPr>
        <w:t>…</w:t>
      </w:r>
    </w:p>
    <w:p w14:paraId="64DC3C90" w14:textId="77777777" w:rsidR="002B324C" w:rsidRPr="005B5632" w:rsidRDefault="002B324C" w:rsidP="005B5632">
      <w:pPr>
        <w:spacing w:line="360" w:lineRule="auto"/>
        <w:jc w:val="both"/>
        <w:rPr>
          <w:rFonts w:ascii="Palatino Linotype" w:hAnsi="Palatino Linotype"/>
          <w:lang w:val="es-MX"/>
        </w:rPr>
      </w:pPr>
    </w:p>
    <w:p w14:paraId="157E8726" w14:textId="16B826B3" w:rsidR="00A74256" w:rsidRPr="005B5632" w:rsidRDefault="00A74256" w:rsidP="005B5632">
      <w:pPr>
        <w:spacing w:line="360" w:lineRule="auto"/>
        <w:jc w:val="both"/>
        <w:rPr>
          <w:rFonts w:ascii="Palatino Linotype" w:hAnsi="Palatino Linotype"/>
          <w:lang w:val="es-MX"/>
        </w:rPr>
      </w:pPr>
      <w:r w:rsidRPr="005B5632">
        <w:rPr>
          <w:rFonts w:ascii="Palatino Linotype" w:hAnsi="Palatino Linotype"/>
          <w:lang w:val="es-MX"/>
        </w:rPr>
        <w:t>Asimismo, el artículo 21 y 22 de la Ley de referencia precisa que:</w:t>
      </w:r>
    </w:p>
    <w:p w14:paraId="38148BEE" w14:textId="77777777" w:rsidR="00A74256" w:rsidRPr="005B5632" w:rsidRDefault="00A74256" w:rsidP="005B5632">
      <w:pPr>
        <w:spacing w:line="360" w:lineRule="auto"/>
        <w:jc w:val="both"/>
        <w:rPr>
          <w:rFonts w:ascii="Palatino Linotype" w:hAnsi="Palatino Linotype"/>
          <w:lang w:val="es-MX"/>
        </w:rPr>
      </w:pPr>
    </w:p>
    <w:p w14:paraId="14FF8A72" w14:textId="4A31F653" w:rsidR="00A74256" w:rsidRPr="005B5632" w:rsidRDefault="00A74256" w:rsidP="005B5632">
      <w:pPr>
        <w:spacing w:line="276" w:lineRule="auto"/>
        <w:ind w:left="567" w:right="616"/>
        <w:jc w:val="both"/>
        <w:rPr>
          <w:rFonts w:ascii="Palatino Linotype" w:hAnsi="Palatino Linotype"/>
          <w:i/>
          <w:sz w:val="22"/>
          <w:lang w:val="es-MX"/>
        </w:rPr>
      </w:pPr>
      <w:r w:rsidRPr="005B5632">
        <w:rPr>
          <w:rFonts w:ascii="Palatino Linotype" w:hAnsi="Palatino Linotype"/>
          <w:b/>
          <w:i/>
          <w:sz w:val="22"/>
          <w:lang w:val="es-MX"/>
        </w:rPr>
        <w:t>Artículo 21.-</w:t>
      </w:r>
      <w:r w:rsidRPr="005B5632">
        <w:rPr>
          <w:rFonts w:ascii="Palatino Linotype" w:hAnsi="Palatino Linotype"/>
          <w:i/>
          <w:sz w:val="22"/>
          <w:lang w:val="es-MX"/>
        </w:rPr>
        <w:t xml:space="preserve"> Son atribuciones de los Presidentes Municipales.</w:t>
      </w:r>
    </w:p>
    <w:p w14:paraId="79C3B720" w14:textId="2D2ABF27" w:rsidR="00A74256" w:rsidRPr="005B5632" w:rsidRDefault="00A74256" w:rsidP="005B5632">
      <w:pPr>
        <w:spacing w:line="276" w:lineRule="auto"/>
        <w:ind w:left="567" w:right="616"/>
        <w:jc w:val="both"/>
        <w:rPr>
          <w:rFonts w:ascii="Palatino Linotype" w:hAnsi="Palatino Linotype"/>
          <w:i/>
          <w:sz w:val="22"/>
          <w:lang w:val="es-MX"/>
        </w:rPr>
      </w:pPr>
      <w:r w:rsidRPr="005B5632">
        <w:rPr>
          <w:rFonts w:ascii="Palatino Linotype" w:hAnsi="Palatino Linotype"/>
          <w:i/>
          <w:sz w:val="22"/>
          <w:lang w:val="es-MX"/>
        </w:rPr>
        <w:t>…</w:t>
      </w:r>
    </w:p>
    <w:p w14:paraId="645532D2" w14:textId="7A710E53" w:rsidR="00A74256" w:rsidRPr="005B5632" w:rsidRDefault="00A74256" w:rsidP="005B5632">
      <w:pPr>
        <w:spacing w:line="276" w:lineRule="auto"/>
        <w:ind w:left="567" w:right="616"/>
        <w:jc w:val="both"/>
        <w:rPr>
          <w:rFonts w:ascii="Palatino Linotype" w:hAnsi="Palatino Linotype"/>
          <w:i/>
          <w:sz w:val="22"/>
        </w:rPr>
      </w:pPr>
      <w:r w:rsidRPr="005B5632">
        <w:rPr>
          <w:rFonts w:ascii="Palatino Linotype" w:hAnsi="Palatino Linotype"/>
          <w:b/>
          <w:i/>
          <w:sz w:val="22"/>
          <w:u w:val="single"/>
        </w:rPr>
        <w:t>XVII. Promover la capacitación, actualización y especialización de los integrantes de las instituciones policiales a su cargo, conforme al Programa Rector de Profesionalización a nivel nacional</w:t>
      </w:r>
      <w:r w:rsidRPr="005B5632">
        <w:rPr>
          <w:rFonts w:ascii="Palatino Linotype" w:hAnsi="Palatino Linotype"/>
          <w:i/>
          <w:sz w:val="22"/>
        </w:rPr>
        <w:t>;</w:t>
      </w:r>
    </w:p>
    <w:p w14:paraId="5BF3FC47" w14:textId="7AA1D1B9" w:rsidR="00A74256" w:rsidRPr="005B5632" w:rsidRDefault="00A74256" w:rsidP="005B5632">
      <w:pPr>
        <w:spacing w:line="276" w:lineRule="auto"/>
        <w:ind w:left="567" w:right="616"/>
        <w:jc w:val="both"/>
        <w:rPr>
          <w:rFonts w:ascii="Palatino Linotype" w:hAnsi="Palatino Linotype"/>
          <w:i/>
          <w:sz w:val="22"/>
        </w:rPr>
      </w:pPr>
      <w:r w:rsidRPr="005B5632">
        <w:rPr>
          <w:rFonts w:ascii="Palatino Linotype" w:hAnsi="Palatino Linotype"/>
          <w:i/>
          <w:sz w:val="22"/>
        </w:rPr>
        <w:t>…</w:t>
      </w:r>
    </w:p>
    <w:p w14:paraId="2CF7A390" w14:textId="77777777" w:rsidR="00A74256" w:rsidRPr="005B5632" w:rsidRDefault="00A74256" w:rsidP="005B5632">
      <w:pPr>
        <w:spacing w:line="276" w:lineRule="auto"/>
        <w:ind w:left="567" w:right="616"/>
        <w:jc w:val="both"/>
        <w:rPr>
          <w:rFonts w:ascii="Palatino Linotype" w:hAnsi="Palatino Linotype"/>
          <w:i/>
          <w:sz w:val="22"/>
        </w:rPr>
      </w:pPr>
    </w:p>
    <w:p w14:paraId="334AA0CF" w14:textId="68F99523" w:rsidR="00A74256" w:rsidRPr="005B5632" w:rsidRDefault="00A74256" w:rsidP="005B5632">
      <w:pPr>
        <w:spacing w:line="276" w:lineRule="auto"/>
        <w:ind w:left="567" w:right="616"/>
        <w:jc w:val="both"/>
        <w:rPr>
          <w:rFonts w:ascii="Palatino Linotype" w:hAnsi="Palatino Linotype"/>
          <w:i/>
          <w:sz w:val="22"/>
        </w:rPr>
      </w:pPr>
      <w:r w:rsidRPr="005B5632">
        <w:rPr>
          <w:rFonts w:ascii="Palatino Linotype" w:hAnsi="Palatino Linotype"/>
          <w:b/>
          <w:i/>
          <w:sz w:val="22"/>
        </w:rPr>
        <w:t>Artículo 22.-</w:t>
      </w:r>
      <w:r w:rsidRPr="005B5632">
        <w:rPr>
          <w:rFonts w:ascii="Palatino Linotype" w:hAnsi="Palatino Linotype"/>
          <w:i/>
          <w:sz w:val="22"/>
        </w:rPr>
        <w:t xml:space="preserve"> Son atribuciones del Director de Seguridad Pública Municipal:</w:t>
      </w:r>
    </w:p>
    <w:p w14:paraId="7F073708" w14:textId="5B618924" w:rsidR="00A74256" w:rsidRPr="005B5632" w:rsidRDefault="00A74256" w:rsidP="005B5632">
      <w:pPr>
        <w:spacing w:line="276" w:lineRule="auto"/>
        <w:ind w:left="567" w:right="616"/>
        <w:jc w:val="both"/>
        <w:rPr>
          <w:rFonts w:ascii="Palatino Linotype" w:hAnsi="Palatino Linotype"/>
          <w:i/>
          <w:sz w:val="22"/>
        </w:rPr>
      </w:pPr>
      <w:r w:rsidRPr="005B5632">
        <w:rPr>
          <w:rFonts w:ascii="Palatino Linotype" w:hAnsi="Palatino Linotype"/>
          <w:i/>
          <w:sz w:val="22"/>
        </w:rPr>
        <w:t>…</w:t>
      </w:r>
    </w:p>
    <w:p w14:paraId="47D70617" w14:textId="7C7C8307" w:rsidR="00A74256" w:rsidRPr="005B5632" w:rsidRDefault="00A74256" w:rsidP="005B5632">
      <w:pPr>
        <w:spacing w:line="276" w:lineRule="auto"/>
        <w:ind w:left="567" w:right="616"/>
        <w:jc w:val="both"/>
        <w:rPr>
          <w:rFonts w:ascii="Palatino Linotype" w:hAnsi="Palatino Linotype"/>
          <w:b/>
          <w:i/>
          <w:sz w:val="22"/>
          <w:u w:val="single"/>
        </w:rPr>
      </w:pPr>
      <w:r w:rsidRPr="005B5632">
        <w:rPr>
          <w:rFonts w:ascii="Palatino Linotype" w:hAnsi="Palatino Linotype"/>
          <w:b/>
          <w:i/>
          <w:sz w:val="22"/>
          <w:u w:val="single"/>
        </w:rPr>
        <w:t>VI. Promover la capacitación técnica y práctica de las o los integrantes de las instituciones policiales a su car</w:t>
      </w:r>
      <w:r w:rsidR="00EA76DB" w:rsidRPr="005B5632">
        <w:rPr>
          <w:rFonts w:ascii="Palatino Linotype" w:hAnsi="Palatino Linotype"/>
          <w:b/>
          <w:i/>
          <w:sz w:val="22"/>
          <w:u w:val="single"/>
        </w:rPr>
        <w:t>go</w:t>
      </w:r>
    </w:p>
    <w:p w14:paraId="226C62BA" w14:textId="12294871" w:rsidR="00A74256" w:rsidRPr="005B5632" w:rsidRDefault="00A74256" w:rsidP="005B5632">
      <w:pPr>
        <w:spacing w:line="276" w:lineRule="auto"/>
        <w:ind w:left="567" w:right="616"/>
        <w:jc w:val="both"/>
        <w:rPr>
          <w:rFonts w:ascii="Palatino Linotype" w:hAnsi="Palatino Linotype"/>
          <w:i/>
          <w:sz w:val="22"/>
        </w:rPr>
      </w:pPr>
      <w:r w:rsidRPr="005B5632">
        <w:rPr>
          <w:rFonts w:ascii="Palatino Linotype" w:hAnsi="Palatino Linotype"/>
          <w:i/>
          <w:sz w:val="22"/>
        </w:rPr>
        <w:t>…</w:t>
      </w:r>
    </w:p>
    <w:p w14:paraId="52D732AE" w14:textId="77777777" w:rsidR="00A74256" w:rsidRPr="005B5632" w:rsidRDefault="00A74256" w:rsidP="005B5632">
      <w:pPr>
        <w:spacing w:line="360" w:lineRule="auto"/>
        <w:jc w:val="both"/>
      </w:pPr>
    </w:p>
    <w:p w14:paraId="24C011F5" w14:textId="31C46D65" w:rsidR="00A74256" w:rsidRPr="005B5632" w:rsidRDefault="00EA76DB" w:rsidP="005B5632">
      <w:pPr>
        <w:spacing w:line="360" w:lineRule="auto"/>
        <w:jc w:val="both"/>
        <w:rPr>
          <w:rFonts w:ascii="Palatino Linotype" w:hAnsi="Palatino Linotype"/>
          <w:lang w:val="es-MX"/>
        </w:rPr>
      </w:pPr>
      <w:r w:rsidRPr="005B5632">
        <w:rPr>
          <w:rFonts w:ascii="Palatino Linotype" w:hAnsi="Palatino Linotype"/>
          <w:lang w:val="es-MX"/>
        </w:rPr>
        <w:t>Del mismo modo, la Ley de Seguridad del Estado de México establece que los integrantes de las instituciones de seguridad pública tendrán como derecho, el recibir formación, capacitación, adiestramiento y profesionalización, tal como se advierte a continuación:</w:t>
      </w:r>
    </w:p>
    <w:p w14:paraId="57A587D1" w14:textId="77777777" w:rsidR="00EA76DB" w:rsidRPr="005B5632" w:rsidRDefault="00EA76DB" w:rsidP="005B5632">
      <w:pPr>
        <w:spacing w:line="360" w:lineRule="auto"/>
        <w:jc w:val="both"/>
        <w:rPr>
          <w:rFonts w:ascii="Palatino Linotype" w:hAnsi="Palatino Linotype"/>
          <w:lang w:val="es-MX"/>
        </w:rPr>
      </w:pPr>
    </w:p>
    <w:p w14:paraId="4D3849F4" w14:textId="77777777" w:rsidR="00EA76DB" w:rsidRPr="005B5632" w:rsidRDefault="00EA76DB" w:rsidP="005B5632">
      <w:pPr>
        <w:spacing w:line="276" w:lineRule="auto"/>
        <w:ind w:left="567" w:right="616"/>
        <w:jc w:val="both"/>
        <w:rPr>
          <w:rFonts w:ascii="Palatino Linotype" w:hAnsi="Palatino Linotype"/>
          <w:i/>
          <w:sz w:val="22"/>
        </w:rPr>
      </w:pPr>
      <w:r w:rsidRPr="005B5632">
        <w:rPr>
          <w:rFonts w:ascii="Palatino Linotype" w:hAnsi="Palatino Linotype"/>
          <w:b/>
          <w:i/>
          <w:sz w:val="22"/>
        </w:rPr>
        <w:t>Artículo 100.-</w:t>
      </w:r>
      <w:r w:rsidRPr="005B5632">
        <w:rPr>
          <w:rFonts w:ascii="Palatino Linotype" w:hAnsi="Palatino Linotype"/>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 </w:t>
      </w:r>
    </w:p>
    <w:p w14:paraId="04584BC0" w14:textId="0379ED16" w:rsidR="00EA76DB" w:rsidRPr="005B5632" w:rsidRDefault="00EA76DB" w:rsidP="005B5632">
      <w:pPr>
        <w:spacing w:line="276" w:lineRule="auto"/>
        <w:ind w:left="567" w:right="616"/>
        <w:jc w:val="both"/>
        <w:rPr>
          <w:rFonts w:ascii="Palatino Linotype" w:hAnsi="Palatino Linotype"/>
          <w:b/>
          <w:i/>
          <w:sz w:val="22"/>
        </w:rPr>
      </w:pPr>
      <w:r w:rsidRPr="005B5632">
        <w:rPr>
          <w:rFonts w:ascii="Palatino Linotype" w:hAnsi="Palatino Linotype"/>
          <w:b/>
          <w:i/>
          <w:sz w:val="22"/>
        </w:rPr>
        <w:t>A. Derechos:</w:t>
      </w:r>
    </w:p>
    <w:p w14:paraId="7789177E" w14:textId="6703432D" w:rsidR="00EA76DB" w:rsidRPr="005B5632" w:rsidRDefault="00EA76DB" w:rsidP="005B5632">
      <w:pPr>
        <w:spacing w:line="276" w:lineRule="auto"/>
        <w:ind w:left="567" w:right="616"/>
        <w:jc w:val="both"/>
        <w:rPr>
          <w:rFonts w:ascii="Palatino Linotype" w:hAnsi="Palatino Linotype"/>
          <w:i/>
          <w:sz w:val="22"/>
        </w:rPr>
      </w:pPr>
      <w:r w:rsidRPr="005B5632">
        <w:rPr>
          <w:rFonts w:ascii="Palatino Linotype" w:hAnsi="Palatino Linotype"/>
          <w:i/>
          <w:sz w:val="22"/>
        </w:rPr>
        <w:lastRenderedPageBreak/>
        <w:t>…</w:t>
      </w:r>
    </w:p>
    <w:p w14:paraId="03350AC4" w14:textId="14827654" w:rsidR="00EA76DB" w:rsidRPr="005B5632" w:rsidRDefault="00EA76DB" w:rsidP="005B5632">
      <w:pPr>
        <w:spacing w:line="276" w:lineRule="auto"/>
        <w:ind w:left="567" w:right="616"/>
        <w:jc w:val="both"/>
        <w:rPr>
          <w:rFonts w:ascii="Palatino Linotype" w:hAnsi="Palatino Linotype"/>
          <w:i/>
          <w:sz w:val="22"/>
        </w:rPr>
      </w:pPr>
      <w:r w:rsidRPr="005B5632">
        <w:rPr>
          <w:rFonts w:ascii="Palatino Linotype" w:hAnsi="Palatino Linotype"/>
          <w:i/>
          <w:sz w:val="22"/>
        </w:rPr>
        <w:t>IV. Recibir la formación, capacitación, adiestramiento y profesionalización;</w:t>
      </w:r>
    </w:p>
    <w:p w14:paraId="6C02437D" w14:textId="3A3A4DD9" w:rsidR="00EA76DB" w:rsidRPr="005B5632" w:rsidRDefault="00EA76DB" w:rsidP="005B5632">
      <w:pPr>
        <w:spacing w:line="276" w:lineRule="auto"/>
        <w:ind w:left="567" w:right="616"/>
        <w:jc w:val="both"/>
        <w:rPr>
          <w:rFonts w:ascii="Palatino Linotype" w:hAnsi="Palatino Linotype"/>
          <w:i/>
          <w:sz w:val="22"/>
          <w:lang w:val="es-MX"/>
        </w:rPr>
      </w:pPr>
      <w:r w:rsidRPr="005B5632">
        <w:rPr>
          <w:rFonts w:ascii="Palatino Linotype" w:hAnsi="Palatino Linotype"/>
          <w:i/>
          <w:sz w:val="22"/>
        </w:rPr>
        <w:t>…</w:t>
      </w:r>
    </w:p>
    <w:p w14:paraId="20D6F956" w14:textId="77777777" w:rsidR="00EA76DB" w:rsidRPr="005B5632" w:rsidRDefault="00EA76DB" w:rsidP="005B5632">
      <w:pPr>
        <w:spacing w:line="360" w:lineRule="auto"/>
        <w:jc w:val="both"/>
        <w:rPr>
          <w:rFonts w:ascii="Palatino Linotype" w:hAnsi="Palatino Linotype"/>
          <w:lang w:val="es-MX"/>
        </w:rPr>
      </w:pPr>
    </w:p>
    <w:p w14:paraId="127CE74A" w14:textId="0E3D5B5D" w:rsidR="00EA76DB" w:rsidRPr="005B5632" w:rsidRDefault="00EA76DB" w:rsidP="005B5632">
      <w:pPr>
        <w:spacing w:line="360" w:lineRule="auto"/>
        <w:jc w:val="both"/>
        <w:rPr>
          <w:rFonts w:ascii="Palatino Linotype" w:hAnsi="Palatino Linotype"/>
          <w:lang w:val="es-MX"/>
        </w:rPr>
      </w:pPr>
      <w:r w:rsidRPr="005B5632">
        <w:rPr>
          <w:rFonts w:ascii="Palatino Linotype" w:hAnsi="Palatino Linotype"/>
          <w:lang w:val="es-MX"/>
        </w:rPr>
        <w:t>De lo anterior, se colige que, de conformidad con la Ley de Seguridad de la Entidad, los distintos niveles de gobierno tienen que coordinarse con la finalidad de regular los procedimientos de selección, formación, actualización, capacitación y permanencia de los distintos integrantes de las instituciones de seguridad pública; en ese sentido, resultan ser atribuciones tanto de los presidentes municipales, como de los directores de seguridad pública, el promover la capacitación y práctica adecuada de los policías, lo cual también es un derecho de estos serv</w:t>
      </w:r>
      <w:r w:rsidR="00AC1B1B" w:rsidRPr="005B5632">
        <w:rPr>
          <w:rFonts w:ascii="Palatino Linotype" w:hAnsi="Palatino Linotype"/>
          <w:lang w:val="es-MX"/>
        </w:rPr>
        <w:t xml:space="preserve">idores públicos que permite garantizar el cumplimiento de sus atribuciones. </w:t>
      </w:r>
    </w:p>
    <w:p w14:paraId="7E1922D7" w14:textId="77777777" w:rsidR="00AC1B1B" w:rsidRPr="005B5632" w:rsidRDefault="00AC1B1B" w:rsidP="005B5632">
      <w:pPr>
        <w:spacing w:line="360" w:lineRule="auto"/>
        <w:jc w:val="both"/>
        <w:rPr>
          <w:rFonts w:ascii="Palatino Linotype" w:hAnsi="Palatino Linotype"/>
          <w:lang w:val="es-MX"/>
        </w:rPr>
      </w:pPr>
    </w:p>
    <w:p w14:paraId="3008045B" w14:textId="62E6C8BD" w:rsidR="005738E8" w:rsidRPr="005B5632" w:rsidRDefault="00F93E35" w:rsidP="005B5632">
      <w:pPr>
        <w:spacing w:line="360" w:lineRule="auto"/>
        <w:jc w:val="both"/>
        <w:rPr>
          <w:rFonts w:ascii="Palatino Linotype" w:hAnsi="Palatino Linotype"/>
          <w:lang w:val="es-MX"/>
        </w:rPr>
      </w:pPr>
      <w:r w:rsidRPr="005B5632">
        <w:rPr>
          <w:rFonts w:ascii="Palatino Linotype" w:hAnsi="Palatino Linotype"/>
          <w:lang w:val="es-MX"/>
        </w:rPr>
        <w:t xml:space="preserve">En ese mismo orden de ideas, toda vez que el Sujeto Obligado cuenta con las atribuciones para capacitar y adiestrar a sus elementos de seguridad, además de que la entrega del programa de capacitación solicitado no actualiza alguna causal de clasificación previsto por la Ley en la materia, al ser únicamente un documento en el que se describe detalladamente un conjunto de actividades de instrucción-aprendizaje estructuradas de tal manera que conduzcan a alcanzar una serie de objetivos previamente determinados, se determina que dicho documento es susceptible de </w:t>
      </w:r>
      <w:r w:rsidR="005738E8" w:rsidRPr="005B5632">
        <w:rPr>
          <w:rFonts w:ascii="Palatino Linotype" w:hAnsi="Palatino Linotype"/>
          <w:lang w:val="es-MX"/>
        </w:rPr>
        <w:t xml:space="preserve">ponerse a disposición del Particular. </w:t>
      </w:r>
    </w:p>
    <w:p w14:paraId="700C4E74" w14:textId="77777777" w:rsidR="002B324C" w:rsidRPr="005B5632" w:rsidRDefault="002B324C" w:rsidP="005B5632">
      <w:pPr>
        <w:spacing w:line="360" w:lineRule="auto"/>
        <w:jc w:val="both"/>
        <w:rPr>
          <w:rFonts w:ascii="Palatino Linotype" w:hAnsi="Palatino Linotype"/>
          <w:lang w:val="es-MX"/>
        </w:rPr>
      </w:pPr>
    </w:p>
    <w:p w14:paraId="66CD138B" w14:textId="56D7CAE0" w:rsidR="00C30C64" w:rsidRPr="005B5632" w:rsidRDefault="00DD4ACC" w:rsidP="005B5632">
      <w:pPr>
        <w:spacing w:line="360" w:lineRule="auto"/>
        <w:jc w:val="both"/>
        <w:rPr>
          <w:rFonts w:ascii="Palatino Linotype" w:hAnsi="Palatino Linotype"/>
          <w:lang w:val="es-MX"/>
        </w:rPr>
      </w:pPr>
      <w:r w:rsidRPr="005B5632">
        <w:rPr>
          <w:rFonts w:ascii="Palatino Linotype" w:hAnsi="Palatino Linotype"/>
          <w:lang w:val="es-MX"/>
        </w:rPr>
        <w:t xml:space="preserve">En cuanto hace al </w:t>
      </w:r>
      <w:r w:rsidRPr="005B5632">
        <w:rPr>
          <w:rFonts w:ascii="Palatino Linotype" w:hAnsi="Palatino Linotype"/>
          <w:b/>
          <w:u w:val="single"/>
          <w:lang w:val="es-MX"/>
        </w:rPr>
        <w:t xml:space="preserve">monto del presupuesto anual del ejercicio fiscal destinado a la capacitación y adiestramiento para los elementos de seguridad pública y </w:t>
      </w:r>
      <w:r w:rsidR="00C30C64" w:rsidRPr="005B5632">
        <w:rPr>
          <w:rFonts w:ascii="Palatino Linotype" w:hAnsi="Palatino Linotype"/>
          <w:b/>
          <w:u w:val="single"/>
          <w:lang w:val="es-MX"/>
        </w:rPr>
        <w:t>la documentación comprobatoria</w:t>
      </w:r>
      <w:r w:rsidR="00C30C64" w:rsidRPr="005B5632">
        <w:rPr>
          <w:rFonts w:ascii="Palatino Linotype" w:hAnsi="Palatino Linotype"/>
          <w:lang w:val="es-MX"/>
        </w:rPr>
        <w:t xml:space="preserve">, es de destacar que de conformidad con el artículo </w:t>
      </w:r>
      <w:r w:rsidR="00C30C64" w:rsidRPr="005B5632">
        <w:rPr>
          <w:rFonts w:ascii="Palatino Linotype" w:hAnsi="Palatino Linotype"/>
          <w:lang w:val="es-MX"/>
        </w:rPr>
        <w:lastRenderedPageBreak/>
        <w:t xml:space="preserve">285 del Código Financiero del Estado de México y Municipios, el Presupuesto de Egresos Municipal se conceptualiza como el instrumento jurídico, de política económica y de política de gasto que aprueba el Cabildo conforme a la propuesta </w:t>
      </w:r>
      <w:r w:rsidR="00FA024C" w:rsidRPr="005B5632">
        <w:rPr>
          <w:rFonts w:ascii="Palatino Linotype" w:hAnsi="Palatino Linotype"/>
          <w:lang w:val="es-MX"/>
        </w:rPr>
        <w:t xml:space="preserve">que presenta </w:t>
      </w:r>
      <w:r w:rsidR="00C30C64" w:rsidRPr="005B5632">
        <w:rPr>
          <w:rFonts w:ascii="Palatino Linotype" w:hAnsi="Palatino Linotype"/>
          <w:lang w:val="es-MX"/>
        </w:rPr>
        <w:t>el Pr</w:t>
      </w:r>
      <w:r w:rsidR="00FA024C" w:rsidRPr="005B5632">
        <w:rPr>
          <w:rFonts w:ascii="Palatino Linotype" w:hAnsi="Palatino Linotype"/>
          <w:lang w:val="es-MX"/>
        </w:rPr>
        <w:t xml:space="preserve">esidente Municipal, en el cual se establece el ejercicio, control y evaluación del gasto público de las Dependencias Administrativas y Organismos Municipales Descentralizados, a través de los programas derivados del Plan de Desarrollo Municipal. </w:t>
      </w:r>
    </w:p>
    <w:p w14:paraId="75158D39" w14:textId="77777777" w:rsidR="00FA024C" w:rsidRPr="005B5632" w:rsidRDefault="00FA024C" w:rsidP="005B5632">
      <w:pPr>
        <w:spacing w:line="360" w:lineRule="auto"/>
        <w:jc w:val="both"/>
        <w:rPr>
          <w:rFonts w:ascii="Palatino Linotype" w:hAnsi="Palatino Linotype"/>
          <w:lang w:val="es-MX"/>
        </w:rPr>
      </w:pPr>
    </w:p>
    <w:p w14:paraId="4B6B195F" w14:textId="4B8DEE06" w:rsidR="00FA024C" w:rsidRPr="005B5632" w:rsidRDefault="00FA024C" w:rsidP="005B5632">
      <w:pPr>
        <w:spacing w:line="360" w:lineRule="auto"/>
        <w:jc w:val="both"/>
        <w:rPr>
          <w:rFonts w:ascii="Palatino Linotype" w:hAnsi="Palatino Linotype"/>
          <w:b/>
          <w:lang w:val="es-MX"/>
        </w:rPr>
      </w:pPr>
      <w:r w:rsidRPr="005B5632">
        <w:rPr>
          <w:rFonts w:ascii="Palatino Linotype" w:hAnsi="Palatino Linotype"/>
          <w:lang w:val="es-MX"/>
        </w:rPr>
        <w:t xml:space="preserve">En ese sentido, de conformidad con el Manual para la Planeación, Programación y Presupuesto de Egresos Municipal, el presupuesto puede definirse como la “expresión contable de los gastos de un determinado período, obteniendo los límites de autorización por parte del Cabildo para cumplir con los fines políticos, económicos y sociales para dar cumplimiento al mandato legal”, en otras palabras, el presupuesto es la </w:t>
      </w:r>
      <w:r w:rsidRPr="005B5632">
        <w:rPr>
          <w:rFonts w:ascii="Palatino Linotype" w:hAnsi="Palatino Linotype"/>
          <w:b/>
          <w:lang w:val="es-MX"/>
        </w:rPr>
        <w:t xml:space="preserve">estimación financiera anticipada, generalmente anual de los ingresos y egresos del gobierno, necesarios para cumplir con los objetivos establecidos en los planes, programas y proyectos determinados. </w:t>
      </w:r>
    </w:p>
    <w:p w14:paraId="3D99A5EB" w14:textId="77777777" w:rsidR="006F677A" w:rsidRPr="005B5632" w:rsidRDefault="006F677A" w:rsidP="005B5632">
      <w:pPr>
        <w:spacing w:line="360" w:lineRule="auto"/>
        <w:jc w:val="both"/>
        <w:rPr>
          <w:rFonts w:ascii="Palatino Linotype" w:hAnsi="Palatino Linotype"/>
          <w:b/>
          <w:lang w:val="es-MX"/>
        </w:rPr>
      </w:pPr>
    </w:p>
    <w:p w14:paraId="024E8848" w14:textId="18E2CB52" w:rsidR="006F677A" w:rsidRPr="005B5632" w:rsidRDefault="006F677A" w:rsidP="005B5632">
      <w:pPr>
        <w:spacing w:line="360" w:lineRule="auto"/>
        <w:jc w:val="both"/>
        <w:rPr>
          <w:rFonts w:ascii="Palatino Linotype" w:hAnsi="Palatino Linotype"/>
          <w:lang w:val="es-MX"/>
        </w:rPr>
      </w:pPr>
      <w:r w:rsidRPr="005B5632">
        <w:rPr>
          <w:rFonts w:ascii="Palatino Linotype" w:hAnsi="Palatino Linotype"/>
          <w:lang w:val="es-MX"/>
        </w:rPr>
        <w:t xml:space="preserve">Del mismo modo, de conformidad con los artículos 99 y 100 de la Ley Orgánica Municipal del Estado de México, el presidente municipal presentará anualmente al ayuntamiento a más tardar el veinte de diciembre, el proyecto de presupuesto de egresos, para su consideración y aprobación, el cual deberá contener las previsiones de gasto público que habrán de realizar los municipios, como se advierte a continuación: </w:t>
      </w:r>
    </w:p>
    <w:p w14:paraId="19CEDA8C" w14:textId="77777777" w:rsidR="006F677A" w:rsidRPr="005B5632" w:rsidRDefault="006F677A" w:rsidP="005B5632">
      <w:pPr>
        <w:spacing w:line="360" w:lineRule="auto"/>
        <w:jc w:val="both"/>
        <w:rPr>
          <w:rFonts w:ascii="Palatino Linotype" w:hAnsi="Palatino Linotype"/>
          <w:lang w:val="es-MX"/>
        </w:rPr>
      </w:pPr>
    </w:p>
    <w:p w14:paraId="2FA2DCAB" w14:textId="77777777" w:rsidR="006F677A" w:rsidRPr="005B5632" w:rsidRDefault="006F677A" w:rsidP="005B5632">
      <w:pPr>
        <w:spacing w:line="276" w:lineRule="auto"/>
        <w:ind w:left="567" w:right="616"/>
        <w:jc w:val="both"/>
        <w:rPr>
          <w:rFonts w:ascii="Palatino Linotype" w:hAnsi="Palatino Linotype"/>
          <w:i/>
          <w:sz w:val="22"/>
        </w:rPr>
      </w:pPr>
      <w:r w:rsidRPr="005B5632">
        <w:rPr>
          <w:rFonts w:ascii="Palatino Linotype" w:hAnsi="Palatino Linotype"/>
          <w:b/>
          <w:i/>
          <w:sz w:val="22"/>
        </w:rPr>
        <w:lastRenderedPageBreak/>
        <w:t>Artículo 99.-</w:t>
      </w:r>
      <w:r w:rsidRPr="005B5632">
        <w:rPr>
          <w:rFonts w:ascii="Palatino Linotype" w:hAnsi="Palatino Linotype"/>
          <w:i/>
          <w:sz w:val="22"/>
        </w:rPr>
        <w:t xml:space="preserve"> El presidente municipal presentará anualmente al ayuntamiento a más tardar el 20 de diciembre, el proyecto de presupuesto de egresos, para su consideración y aprobación.</w:t>
      </w:r>
    </w:p>
    <w:p w14:paraId="15F85242" w14:textId="77777777" w:rsidR="006F677A" w:rsidRPr="005B5632" w:rsidRDefault="006F677A" w:rsidP="005B5632">
      <w:pPr>
        <w:spacing w:line="276" w:lineRule="auto"/>
        <w:ind w:left="567" w:right="616"/>
        <w:jc w:val="both"/>
        <w:rPr>
          <w:rFonts w:ascii="Palatino Linotype" w:hAnsi="Palatino Linotype"/>
          <w:i/>
          <w:sz w:val="22"/>
        </w:rPr>
      </w:pPr>
    </w:p>
    <w:p w14:paraId="7278620D" w14:textId="77777777" w:rsidR="006F677A" w:rsidRPr="005B5632" w:rsidRDefault="006F677A" w:rsidP="005B5632">
      <w:pPr>
        <w:spacing w:line="276" w:lineRule="auto"/>
        <w:ind w:left="567" w:right="616"/>
        <w:jc w:val="both"/>
        <w:rPr>
          <w:rFonts w:ascii="Palatino Linotype" w:hAnsi="Palatino Linotype"/>
          <w:i/>
          <w:sz w:val="22"/>
          <w:lang w:val="es-MX"/>
        </w:rPr>
      </w:pPr>
      <w:r w:rsidRPr="005B5632">
        <w:rPr>
          <w:rFonts w:ascii="Palatino Linotype" w:hAnsi="Palatino Linotype"/>
          <w:b/>
          <w:i/>
          <w:sz w:val="22"/>
        </w:rPr>
        <w:t>Artículo 100.-</w:t>
      </w:r>
      <w:r w:rsidRPr="005B5632">
        <w:rPr>
          <w:rFonts w:ascii="Palatino Linotype" w:hAnsi="Palatino Linotype"/>
          <w:i/>
          <w:sz w:val="22"/>
        </w:rPr>
        <w:t xml:space="preserve"> El presupuesto de egresos deberá contener las previsiones de gasto público que habrán de realizar los municipios.</w:t>
      </w:r>
    </w:p>
    <w:p w14:paraId="4542873A" w14:textId="77777777" w:rsidR="00C30C64" w:rsidRPr="005B5632" w:rsidRDefault="00C30C64" w:rsidP="005B5632">
      <w:pPr>
        <w:spacing w:line="360" w:lineRule="auto"/>
        <w:jc w:val="both"/>
        <w:rPr>
          <w:rFonts w:ascii="Palatino Linotype" w:hAnsi="Palatino Linotype"/>
          <w:lang w:val="es-MX"/>
        </w:rPr>
      </w:pPr>
    </w:p>
    <w:p w14:paraId="6A2E0B54" w14:textId="0D282C16" w:rsidR="00FA024C" w:rsidRPr="005B5632" w:rsidRDefault="00FA024C" w:rsidP="005B5632">
      <w:pPr>
        <w:spacing w:line="360" w:lineRule="auto"/>
        <w:jc w:val="both"/>
        <w:rPr>
          <w:rFonts w:ascii="Palatino Linotype" w:hAnsi="Palatino Linotype"/>
          <w:lang w:val="es-MX"/>
        </w:rPr>
      </w:pPr>
      <w:r w:rsidRPr="005B5632">
        <w:rPr>
          <w:rFonts w:ascii="Palatino Linotype" w:hAnsi="Palatino Linotype"/>
          <w:lang w:val="es-MX"/>
        </w:rPr>
        <w:t xml:space="preserve">Ahora bien, </w:t>
      </w:r>
      <w:r w:rsidR="00427B0F" w:rsidRPr="005B5632">
        <w:rPr>
          <w:rFonts w:ascii="Palatino Linotype" w:hAnsi="Palatino Linotype"/>
          <w:lang w:val="es-MX"/>
        </w:rPr>
        <w:t>en el caso que ahora nos ocupa, el Manual en referencia establece diversos formatos auxiliares que se denominarán “</w:t>
      </w:r>
      <w:proofErr w:type="spellStart"/>
      <w:r w:rsidR="00427B0F" w:rsidRPr="005B5632">
        <w:rPr>
          <w:rFonts w:ascii="Palatino Linotype" w:hAnsi="Palatino Linotype"/>
          <w:lang w:val="es-MX"/>
        </w:rPr>
        <w:t>PbRM</w:t>
      </w:r>
      <w:proofErr w:type="spellEnd"/>
      <w:r w:rsidR="00427B0F" w:rsidRPr="005B5632">
        <w:rPr>
          <w:rFonts w:ascii="Palatino Linotype" w:hAnsi="Palatino Linotype"/>
          <w:lang w:val="es-MX"/>
        </w:rPr>
        <w:t xml:space="preserve">”, entre los cuales, se encuentran el PbRM-04a, en el cual deberán registrarse los proyectos por partida de gasto, identificando los montos por Partida Específica, Partida Genérica, Concepto y Capítulo del Gasto de cada proyecto a nivel de </w:t>
      </w:r>
      <w:r w:rsidR="006F677A" w:rsidRPr="005B5632">
        <w:rPr>
          <w:rFonts w:ascii="Palatino Linotype" w:hAnsi="Palatino Linotype"/>
          <w:lang w:val="es-MX"/>
        </w:rPr>
        <w:t xml:space="preserve">Dependencia General y Auxiliar, como se observa a continuación: </w:t>
      </w:r>
    </w:p>
    <w:p w14:paraId="144A3957" w14:textId="77777777" w:rsidR="006F677A" w:rsidRPr="005B5632" w:rsidRDefault="006F677A" w:rsidP="005B5632">
      <w:pPr>
        <w:spacing w:line="360" w:lineRule="auto"/>
        <w:jc w:val="both"/>
        <w:rPr>
          <w:rFonts w:ascii="Palatino Linotype" w:hAnsi="Palatino Linotype"/>
          <w:sz w:val="16"/>
          <w:lang w:val="es-MX"/>
        </w:rPr>
      </w:pPr>
    </w:p>
    <w:p w14:paraId="0751DB9D" w14:textId="5BFA407C" w:rsidR="006F677A" w:rsidRPr="005B5632" w:rsidRDefault="006F677A" w:rsidP="005B5632">
      <w:pPr>
        <w:spacing w:line="360" w:lineRule="auto"/>
        <w:jc w:val="both"/>
        <w:rPr>
          <w:rFonts w:ascii="Palatino Linotype" w:hAnsi="Palatino Linotype"/>
          <w:lang w:val="es-MX"/>
        </w:rPr>
      </w:pPr>
      <w:r w:rsidRPr="005B5632">
        <w:rPr>
          <w:rFonts w:ascii="Palatino Linotype" w:hAnsi="Palatino Linotype"/>
          <w:noProof/>
          <w:lang w:val="es-MX" w:eastAsia="es-MX"/>
        </w:rPr>
        <w:drawing>
          <wp:inline distT="0" distB="0" distL="0" distR="0" wp14:anchorId="490732A7" wp14:editId="2A88AD3D">
            <wp:extent cx="5612130" cy="374332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743325"/>
                    </a:xfrm>
                    <a:prstGeom prst="rect">
                      <a:avLst/>
                    </a:prstGeom>
                  </pic:spPr>
                </pic:pic>
              </a:graphicData>
            </a:graphic>
          </wp:inline>
        </w:drawing>
      </w:r>
    </w:p>
    <w:p w14:paraId="77CA41C5" w14:textId="2E951349" w:rsidR="006F677A" w:rsidRPr="005B5632" w:rsidRDefault="006F677A" w:rsidP="005B5632">
      <w:pPr>
        <w:spacing w:line="360" w:lineRule="auto"/>
        <w:jc w:val="both"/>
        <w:rPr>
          <w:rFonts w:ascii="Palatino Linotype" w:hAnsi="Palatino Linotype"/>
          <w:lang w:val="es-MX"/>
        </w:rPr>
      </w:pPr>
      <w:r w:rsidRPr="005B5632">
        <w:rPr>
          <w:rFonts w:ascii="Palatino Linotype" w:hAnsi="Palatino Linotype"/>
          <w:noProof/>
          <w:lang w:val="es-MX" w:eastAsia="es-MX"/>
        </w:rPr>
        <w:lastRenderedPageBreak/>
        <w:drawing>
          <wp:inline distT="0" distB="0" distL="0" distR="0" wp14:anchorId="2811B389" wp14:editId="2EDA8496">
            <wp:extent cx="5612130" cy="214757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147570"/>
                    </a:xfrm>
                    <a:prstGeom prst="rect">
                      <a:avLst/>
                    </a:prstGeom>
                  </pic:spPr>
                </pic:pic>
              </a:graphicData>
            </a:graphic>
          </wp:inline>
        </w:drawing>
      </w:r>
    </w:p>
    <w:p w14:paraId="244A9DEE" w14:textId="77777777" w:rsidR="00C30C64" w:rsidRPr="005B5632" w:rsidRDefault="00C30C64" w:rsidP="005B5632">
      <w:pPr>
        <w:spacing w:line="360" w:lineRule="auto"/>
        <w:jc w:val="both"/>
        <w:rPr>
          <w:rFonts w:ascii="Palatino Linotype" w:hAnsi="Palatino Linotype"/>
          <w:lang w:val="es-MX"/>
        </w:rPr>
      </w:pPr>
    </w:p>
    <w:p w14:paraId="4F890A1F" w14:textId="57562A51" w:rsidR="00912FB6" w:rsidRPr="005B5632" w:rsidRDefault="006F677A" w:rsidP="005B5632">
      <w:pPr>
        <w:spacing w:line="360" w:lineRule="auto"/>
        <w:jc w:val="both"/>
        <w:rPr>
          <w:rFonts w:ascii="Palatino Linotype" w:hAnsi="Palatino Linotype"/>
          <w:lang w:val="es-MX"/>
        </w:rPr>
      </w:pPr>
      <w:r w:rsidRPr="005B5632">
        <w:rPr>
          <w:rFonts w:ascii="Palatino Linotype" w:hAnsi="Palatino Linotype"/>
          <w:lang w:val="es-MX"/>
        </w:rPr>
        <w:t xml:space="preserve">Por otro lado, de acuerdo con los Lineamientos para la integración y entrega del Informe Trimestral Municipal 2022, en cumplimiento de sus obligaciones fiscales, los entes públicos deberán entregar </w:t>
      </w:r>
      <w:r w:rsidR="00493E7B" w:rsidRPr="005B5632">
        <w:rPr>
          <w:rFonts w:ascii="Palatino Linotype" w:hAnsi="Palatino Linotype"/>
          <w:lang w:val="es-MX"/>
        </w:rPr>
        <w:t>los denominados</w:t>
      </w:r>
      <w:r w:rsidRPr="005B5632">
        <w:rPr>
          <w:rFonts w:ascii="Palatino Linotype" w:hAnsi="Palatino Linotype"/>
          <w:lang w:val="es-MX"/>
        </w:rPr>
        <w:t xml:space="preserve"> “Estado</w:t>
      </w:r>
      <w:r w:rsidR="00493E7B" w:rsidRPr="005B5632">
        <w:rPr>
          <w:rFonts w:ascii="Palatino Linotype" w:hAnsi="Palatino Linotype"/>
          <w:lang w:val="es-MX"/>
        </w:rPr>
        <w:t>s</w:t>
      </w:r>
      <w:r w:rsidRPr="005B5632">
        <w:rPr>
          <w:rFonts w:ascii="Palatino Linotype" w:hAnsi="Palatino Linotype"/>
          <w:lang w:val="es-MX"/>
        </w:rPr>
        <w:t xml:space="preserve"> Analítico</w:t>
      </w:r>
      <w:r w:rsidR="00493E7B" w:rsidRPr="005B5632">
        <w:rPr>
          <w:rFonts w:ascii="Palatino Linotype" w:hAnsi="Palatino Linotype"/>
          <w:lang w:val="es-MX"/>
        </w:rPr>
        <w:t>s</w:t>
      </w:r>
      <w:r w:rsidRPr="005B5632">
        <w:rPr>
          <w:rFonts w:ascii="Palatino Linotype" w:hAnsi="Palatino Linotype"/>
          <w:lang w:val="es-MX"/>
        </w:rPr>
        <w:t xml:space="preserve"> del Ejercicio del Presupuesto de Egresos Detallado”</w:t>
      </w:r>
      <w:r w:rsidR="00493E7B" w:rsidRPr="005B5632">
        <w:rPr>
          <w:rFonts w:ascii="Palatino Linotype" w:hAnsi="Palatino Linotype"/>
          <w:lang w:val="es-MX"/>
        </w:rPr>
        <w:t xml:space="preserve"> de los cuales se puede obtener el monto del presupuesto asignado por clasificación administrativa y por objeto de gasto, como a continuación se muestra: </w:t>
      </w:r>
    </w:p>
    <w:p w14:paraId="3FD4E01B" w14:textId="77777777" w:rsidR="00493E7B" w:rsidRPr="005B5632" w:rsidRDefault="00493E7B" w:rsidP="005B5632">
      <w:pPr>
        <w:spacing w:line="360" w:lineRule="auto"/>
        <w:jc w:val="both"/>
        <w:rPr>
          <w:rFonts w:ascii="Palatino Linotype" w:hAnsi="Palatino Linotype"/>
          <w:sz w:val="16"/>
          <w:lang w:val="es-MX"/>
        </w:rPr>
      </w:pPr>
    </w:p>
    <w:p w14:paraId="64A6524F" w14:textId="6B701565" w:rsidR="00493E7B" w:rsidRPr="005B5632" w:rsidRDefault="00493E7B" w:rsidP="005B5632">
      <w:pPr>
        <w:spacing w:line="360" w:lineRule="auto"/>
        <w:jc w:val="center"/>
        <w:rPr>
          <w:rFonts w:ascii="Palatino Linotype" w:hAnsi="Palatino Linotype"/>
          <w:lang w:val="es-MX"/>
        </w:rPr>
      </w:pPr>
      <w:r w:rsidRPr="005B5632">
        <w:rPr>
          <w:rFonts w:ascii="Palatino Linotype" w:hAnsi="Palatino Linotype"/>
          <w:noProof/>
          <w:lang w:val="es-MX" w:eastAsia="es-MX"/>
        </w:rPr>
        <w:drawing>
          <wp:inline distT="0" distB="0" distL="0" distR="0" wp14:anchorId="45F1B6DB" wp14:editId="50B90ED8">
            <wp:extent cx="4171322" cy="2889005"/>
            <wp:effectExtent l="0" t="0" r="635"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83920" cy="2897730"/>
                    </a:xfrm>
                    <a:prstGeom prst="rect">
                      <a:avLst/>
                    </a:prstGeom>
                  </pic:spPr>
                </pic:pic>
              </a:graphicData>
            </a:graphic>
          </wp:inline>
        </w:drawing>
      </w:r>
    </w:p>
    <w:p w14:paraId="2B3AFA4F" w14:textId="0FBDCA0B" w:rsidR="00493E7B" w:rsidRPr="005B5632" w:rsidRDefault="00493E7B" w:rsidP="005B5632">
      <w:pPr>
        <w:spacing w:line="360" w:lineRule="auto"/>
        <w:jc w:val="center"/>
        <w:rPr>
          <w:rFonts w:ascii="Palatino Linotype" w:hAnsi="Palatino Linotype"/>
          <w:lang w:val="es-MX"/>
        </w:rPr>
      </w:pPr>
      <w:r w:rsidRPr="005B5632">
        <w:rPr>
          <w:rFonts w:ascii="Palatino Linotype" w:hAnsi="Palatino Linotype"/>
          <w:noProof/>
          <w:lang w:val="es-MX" w:eastAsia="es-MX"/>
        </w:rPr>
        <w:lastRenderedPageBreak/>
        <w:drawing>
          <wp:inline distT="0" distB="0" distL="0" distR="0" wp14:anchorId="7EFCB7B9" wp14:editId="0281741A">
            <wp:extent cx="4185923" cy="2752725"/>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9034" cy="2754771"/>
                    </a:xfrm>
                    <a:prstGeom prst="rect">
                      <a:avLst/>
                    </a:prstGeom>
                  </pic:spPr>
                </pic:pic>
              </a:graphicData>
            </a:graphic>
          </wp:inline>
        </w:drawing>
      </w:r>
    </w:p>
    <w:p w14:paraId="3B4FB50E" w14:textId="77777777" w:rsidR="00493E7B" w:rsidRPr="005B5632" w:rsidRDefault="00493E7B" w:rsidP="005B5632">
      <w:pPr>
        <w:spacing w:line="360" w:lineRule="auto"/>
        <w:jc w:val="center"/>
        <w:rPr>
          <w:rFonts w:ascii="Palatino Linotype" w:hAnsi="Palatino Linotype"/>
          <w:lang w:val="es-MX"/>
        </w:rPr>
      </w:pPr>
    </w:p>
    <w:p w14:paraId="16B65DF7" w14:textId="249CA77D" w:rsidR="00EA76DB" w:rsidRPr="005B5632" w:rsidRDefault="00493E7B" w:rsidP="005B5632">
      <w:pPr>
        <w:spacing w:line="360" w:lineRule="auto"/>
        <w:jc w:val="both"/>
        <w:rPr>
          <w:rFonts w:ascii="Palatino Linotype" w:hAnsi="Palatino Linotype"/>
          <w:lang w:val="es-MX"/>
        </w:rPr>
      </w:pPr>
      <w:r w:rsidRPr="005B5632">
        <w:rPr>
          <w:rFonts w:ascii="Palatino Linotype" w:hAnsi="Palatino Linotype"/>
          <w:lang w:val="es-MX"/>
        </w:rPr>
        <w:t xml:space="preserve">Por lo tanto, toda vez que se demuestra que el Sujeto Obligado en cumplimiento con sus obligaciones fiscales debe proporcionar información relativa a los montos asignados a dependencias generales y auxiliares para la realización de sus objetivos, se colige que es información de interés y naturaleza pública, por lo que, deberá proporcionar al Particular el documento donde conste el presupuesto anual asignado a la capacitación y adiestramiento para los elementos de seguridad pública, acompañado del documento comprobatorio. </w:t>
      </w:r>
    </w:p>
    <w:p w14:paraId="7164018E" w14:textId="77777777" w:rsidR="00493E7B" w:rsidRPr="005B5632" w:rsidRDefault="00493E7B" w:rsidP="005B5632">
      <w:pPr>
        <w:spacing w:line="360" w:lineRule="auto"/>
        <w:jc w:val="both"/>
        <w:rPr>
          <w:rFonts w:ascii="Palatino Linotype" w:hAnsi="Palatino Linotype"/>
          <w:lang w:val="es-MX"/>
        </w:rPr>
      </w:pPr>
    </w:p>
    <w:p w14:paraId="718D1590" w14:textId="77777777" w:rsidR="005C636D" w:rsidRPr="005B5632" w:rsidRDefault="00493E7B" w:rsidP="005B5632">
      <w:pPr>
        <w:spacing w:line="360" w:lineRule="auto"/>
        <w:jc w:val="both"/>
        <w:rPr>
          <w:rFonts w:ascii="Palatino Linotype" w:hAnsi="Palatino Linotype"/>
          <w:lang w:val="es-MX"/>
        </w:rPr>
      </w:pPr>
      <w:r w:rsidRPr="005B5632">
        <w:rPr>
          <w:rFonts w:ascii="Palatino Linotype" w:hAnsi="Palatino Linotype"/>
          <w:lang w:val="es-MX"/>
        </w:rPr>
        <w:t xml:space="preserve">Respecto al </w:t>
      </w:r>
      <w:r w:rsidRPr="005B5632">
        <w:rPr>
          <w:rFonts w:ascii="Palatino Linotype" w:hAnsi="Palatino Linotype"/>
          <w:b/>
          <w:lang w:val="es-MX"/>
        </w:rPr>
        <w:t xml:space="preserve">organigrama de mandos altos y medios </w:t>
      </w:r>
      <w:r w:rsidRPr="005B5632">
        <w:rPr>
          <w:rFonts w:ascii="Palatino Linotype" w:hAnsi="Palatino Linotype"/>
          <w:lang w:val="es-MX"/>
        </w:rPr>
        <w:t xml:space="preserve">del Ayuntamiento de Melchor Ocampo, se trata </w:t>
      </w:r>
      <w:r w:rsidR="005C636D" w:rsidRPr="005B5632">
        <w:rPr>
          <w:rFonts w:ascii="Palatino Linotype" w:hAnsi="Palatino Linotype"/>
          <w:lang w:val="es-MX"/>
        </w:rPr>
        <w:t>de información que corresponde a una de las obligaciones de transparencia de los sujetos obligados y que debe poner a disposición de manera permanente y actualizada, esto de conformidad con el artículo 92, fracción II de la Ley de Transparencia y Acceso a la Información Pública del Estado de México y Municipios, que a la letra dice:</w:t>
      </w:r>
    </w:p>
    <w:p w14:paraId="1FA24436" w14:textId="77777777" w:rsidR="00912FB6" w:rsidRPr="005B5632" w:rsidRDefault="00912FB6" w:rsidP="005B5632">
      <w:pPr>
        <w:spacing w:line="360" w:lineRule="auto"/>
        <w:jc w:val="both"/>
        <w:rPr>
          <w:rFonts w:ascii="Palatino Linotype" w:hAnsi="Palatino Linotype"/>
          <w:lang w:val="es-MX"/>
        </w:rPr>
      </w:pPr>
    </w:p>
    <w:p w14:paraId="03C9ACE2" w14:textId="77777777" w:rsidR="005C636D" w:rsidRPr="005B5632" w:rsidRDefault="005C636D" w:rsidP="005B5632">
      <w:pPr>
        <w:spacing w:line="276" w:lineRule="auto"/>
        <w:ind w:left="567" w:right="616"/>
        <w:jc w:val="both"/>
        <w:rPr>
          <w:rFonts w:ascii="Palatino Linotype" w:hAnsi="Palatino Linotype"/>
          <w:i/>
          <w:sz w:val="22"/>
        </w:rPr>
      </w:pPr>
      <w:r w:rsidRPr="005B5632">
        <w:rPr>
          <w:rFonts w:ascii="Palatino Linotype" w:hAnsi="Palatino Linotype"/>
          <w:b/>
          <w:i/>
          <w:sz w:val="22"/>
        </w:rPr>
        <w:t>Artículo 92.</w:t>
      </w:r>
      <w:r w:rsidRPr="005B5632">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0C526A9" w14:textId="049452A5" w:rsidR="005C636D" w:rsidRPr="005B5632" w:rsidRDefault="005C636D" w:rsidP="005B5632">
      <w:pPr>
        <w:spacing w:line="276" w:lineRule="auto"/>
        <w:ind w:left="567" w:right="616"/>
        <w:jc w:val="both"/>
        <w:rPr>
          <w:rFonts w:ascii="Palatino Linotype" w:hAnsi="Palatino Linotype"/>
          <w:i/>
          <w:sz w:val="22"/>
          <w:lang w:val="es-MX"/>
        </w:rPr>
      </w:pPr>
      <w:r w:rsidRPr="005B5632">
        <w:rPr>
          <w:rFonts w:ascii="Palatino Linotype" w:hAnsi="Palatino Linotype"/>
          <w:i/>
          <w:sz w:val="22"/>
        </w:rPr>
        <w:t>…</w:t>
      </w:r>
      <w:r w:rsidRPr="005B5632">
        <w:rPr>
          <w:rFonts w:ascii="Palatino Linotype" w:hAnsi="Palatino Linotype"/>
          <w:i/>
          <w:sz w:val="22"/>
          <w:lang w:val="es-MX"/>
        </w:rPr>
        <w:t xml:space="preserve"> </w:t>
      </w:r>
    </w:p>
    <w:p w14:paraId="62393876" w14:textId="01F35E97" w:rsidR="005C636D" w:rsidRPr="005B5632" w:rsidRDefault="005C636D" w:rsidP="005B5632">
      <w:pPr>
        <w:spacing w:line="276" w:lineRule="auto"/>
        <w:ind w:left="567" w:right="616"/>
        <w:jc w:val="both"/>
        <w:rPr>
          <w:rFonts w:ascii="Palatino Linotype" w:hAnsi="Palatino Linotype"/>
          <w:i/>
          <w:sz w:val="22"/>
        </w:rPr>
      </w:pPr>
      <w:r w:rsidRPr="005B5632">
        <w:rPr>
          <w:rFonts w:ascii="Palatino Linotype" w:hAnsi="Palatino Linotype"/>
          <w:b/>
          <w:i/>
          <w:sz w:val="22"/>
          <w:u w:val="single"/>
        </w:rPr>
        <w:t>II. Su estructura orgánica completa</w:t>
      </w:r>
      <w:r w:rsidRPr="005B5632">
        <w:rPr>
          <w:rFonts w:ascii="Palatino Linotype" w:hAnsi="Palatino Linotype"/>
          <w:i/>
          <w:sz w:val="22"/>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93328CE" w14:textId="7588D126" w:rsidR="005C636D" w:rsidRPr="005B5632" w:rsidRDefault="005C636D" w:rsidP="005B5632">
      <w:pPr>
        <w:spacing w:line="276" w:lineRule="auto"/>
        <w:ind w:left="567" w:right="616"/>
        <w:jc w:val="both"/>
        <w:rPr>
          <w:rFonts w:ascii="Palatino Linotype" w:hAnsi="Palatino Linotype"/>
          <w:i/>
          <w:sz w:val="22"/>
          <w:lang w:val="es-MX"/>
        </w:rPr>
      </w:pPr>
      <w:r w:rsidRPr="005B5632">
        <w:rPr>
          <w:rFonts w:ascii="Palatino Linotype" w:hAnsi="Palatino Linotype"/>
          <w:i/>
          <w:sz w:val="22"/>
        </w:rPr>
        <w:t>…</w:t>
      </w:r>
    </w:p>
    <w:p w14:paraId="37A7C89E" w14:textId="77777777" w:rsidR="00EA76DB" w:rsidRPr="005B5632" w:rsidRDefault="00EA76DB" w:rsidP="005B5632">
      <w:pPr>
        <w:spacing w:line="360" w:lineRule="auto"/>
        <w:jc w:val="both"/>
        <w:rPr>
          <w:rFonts w:ascii="Palatino Linotype" w:hAnsi="Palatino Linotype"/>
          <w:lang w:val="es-MX"/>
        </w:rPr>
      </w:pPr>
    </w:p>
    <w:p w14:paraId="1CCC8D1A" w14:textId="177B0C09" w:rsidR="005C636D" w:rsidRPr="005B5632" w:rsidRDefault="005C636D" w:rsidP="005B5632">
      <w:pPr>
        <w:spacing w:line="360" w:lineRule="auto"/>
        <w:jc w:val="both"/>
        <w:rPr>
          <w:rFonts w:ascii="Palatino Linotype" w:hAnsi="Palatino Linotype"/>
          <w:lang w:val="es-MX"/>
        </w:rPr>
      </w:pPr>
      <w:r w:rsidRPr="005B5632">
        <w:rPr>
          <w:rFonts w:ascii="Palatino Linotype" w:hAnsi="Palatino Linotype"/>
          <w:lang w:val="es-MX"/>
        </w:rPr>
        <w:t xml:space="preserve">Por ello, se denota la obligación del Ayuntamiento de Melchor Ocampo para contar y hacer del conocimiento del público en general la información relativa al modo en que se encuentra estructurado orgánicamente y de las facultades, atribuciones u responsabilidades de cada una de sus áreas. </w:t>
      </w:r>
    </w:p>
    <w:p w14:paraId="169F5883" w14:textId="77777777" w:rsidR="005C636D" w:rsidRPr="005B5632" w:rsidRDefault="005C636D" w:rsidP="005B5632">
      <w:pPr>
        <w:spacing w:line="360" w:lineRule="auto"/>
        <w:jc w:val="both"/>
        <w:rPr>
          <w:rFonts w:ascii="Palatino Linotype" w:hAnsi="Palatino Linotype"/>
          <w:lang w:val="es-MX"/>
        </w:rPr>
      </w:pPr>
    </w:p>
    <w:p w14:paraId="39E0A3E2" w14:textId="6C17BD4D" w:rsidR="002B324C" w:rsidRPr="005B5632" w:rsidRDefault="005C636D" w:rsidP="005B5632">
      <w:pPr>
        <w:spacing w:line="360" w:lineRule="auto"/>
        <w:jc w:val="both"/>
        <w:rPr>
          <w:rFonts w:ascii="Palatino Linotype" w:hAnsi="Palatino Linotype"/>
          <w:lang w:val="es-MX"/>
        </w:rPr>
      </w:pPr>
      <w:r w:rsidRPr="005B5632">
        <w:rPr>
          <w:rFonts w:ascii="Palatino Linotype" w:hAnsi="Palatino Linotype"/>
          <w:lang w:val="es-MX"/>
        </w:rPr>
        <w:t>Ahora bien, así 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 siguiente:</w:t>
      </w:r>
    </w:p>
    <w:p w14:paraId="65C61880" w14:textId="77777777" w:rsidR="00EC4EC7" w:rsidRPr="005B5632" w:rsidRDefault="00EC4EC7" w:rsidP="005B5632">
      <w:pPr>
        <w:spacing w:line="360" w:lineRule="auto"/>
        <w:jc w:val="both"/>
        <w:rPr>
          <w:rFonts w:ascii="Palatino Linotype" w:hAnsi="Palatino Linotype"/>
          <w:lang w:val="es-MX"/>
        </w:rPr>
      </w:pPr>
    </w:p>
    <w:p w14:paraId="0DDBC9CC" w14:textId="647E454F" w:rsidR="005C636D" w:rsidRPr="005B5632" w:rsidRDefault="00912FB6" w:rsidP="005B5632">
      <w:pPr>
        <w:spacing w:line="360" w:lineRule="auto"/>
        <w:ind w:left="567" w:right="616"/>
        <w:jc w:val="center"/>
        <w:rPr>
          <w:rFonts w:ascii="Palatino Linotype" w:hAnsi="Palatino Linotype"/>
          <w:b/>
          <w:sz w:val="22"/>
          <w:lang w:val="es-MX"/>
        </w:rPr>
      </w:pPr>
      <w:r w:rsidRPr="005B5632">
        <w:rPr>
          <w:rFonts w:ascii="Palatino Linotype" w:hAnsi="Palatino Linotype"/>
          <w:b/>
          <w:sz w:val="22"/>
          <w:lang w:val="es-MX"/>
        </w:rPr>
        <w:t xml:space="preserve">Lineamientos Técnicos Generales para la Publicación, Homologación y Estandarización de la información de las obligaciones establecidas en el </w:t>
      </w:r>
      <w:r w:rsidRPr="005B5632">
        <w:rPr>
          <w:rFonts w:ascii="Palatino Linotype" w:hAnsi="Palatino Linotype"/>
          <w:b/>
          <w:sz w:val="22"/>
          <w:lang w:val="es-MX"/>
        </w:rPr>
        <w:lastRenderedPageBreak/>
        <w:t>título quinto y en la fracción IV del artículo 31 de la Ley General de Transparencia y Acceso a la Información Pública</w:t>
      </w:r>
    </w:p>
    <w:p w14:paraId="2E1FBC1D" w14:textId="77777777" w:rsidR="00912FB6" w:rsidRPr="005B5632" w:rsidRDefault="00912FB6" w:rsidP="005B5632">
      <w:pPr>
        <w:spacing w:line="360" w:lineRule="auto"/>
        <w:ind w:left="567" w:right="616"/>
        <w:jc w:val="center"/>
        <w:rPr>
          <w:rFonts w:ascii="Palatino Linotype" w:hAnsi="Palatino Linotype"/>
          <w:sz w:val="22"/>
          <w:lang w:val="es-MX"/>
        </w:rPr>
      </w:pPr>
    </w:p>
    <w:p w14:paraId="51D9E9B9" w14:textId="0CF7AEF1" w:rsidR="005C636D" w:rsidRPr="005B5632" w:rsidRDefault="005C636D" w:rsidP="005B5632">
      <w:pPr>
        <w:spacing w:line="276" w:lineRule="auto"/>
        <w:ind w:left="567" w:right="616"/>
        <w:jc w:val="both"/>
        <w:rPr>
          <w:rFonts w:ascii="Palatino Linotype" w:hAnsi="Palatino Linotype"/>
          <w:i/>
          <w:sz w:val="22"/>
        </w:rPr>
      </w:pPr>
      <w:r w:rsidRPr="005B5632">
        <w:rPr>
          <w:rFonts w:ascii="Palatino Linotype" w:hAnsi="Palatino Linotype"/>
          <w:b/>
          <w:i/>
          <w:sz w:val="22"/>
          <w:u w:val="single"/>
        </w:rPr>
        <w:t>I. Su estructura orgánica completa,</w:t>
      </w:r>
      <w:r w:rsidRPr="005B5632">
        <w:rPr>
          <w:rFonts w:ascii="Palatino Linotype" w:hAnsi="Palatino Linotype"/>
          <w:i/>
          <w:sz w:val="22"/>
        </w:rPr>
        <w:t xml:space="preserve">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14FF0DEC" w14:textId="77777777" w:rsidR="005C636D" w:rsidRPr="005B5632" w:rsidRDefault="005C636D" w:rsidP="005B5632">
      <w:pPr>
        <w:spacing w:line="276" w:lineRule="auto"/>
        <w:ind w:left="567" w:right="616"/>
        <w:jc w:val="both"/>
        <w:rPr>
          <w:rFonts w:ascii="Palatino Linotype" w:hAnsi="Palatino Linotype"/>
          <w:i/>
          <w:sz w:val="22"/>
        </w:rPr>
      </w:pPr>
      <w:r w:rsidRPr="005B5632">
        <w:rPr>
          <w:rFonts w:ascii="Palatino Linotype" w:hAnsi="Palatino Linotype"/>
          <w:i/>
          <w:sz w:val="22"/>
        </w:rPr>
        <w:t xml:space="preserve">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 </w:t>
      </w:r>
    </w:p>
    <w:p w14:paraId="3AE3F63C" w14:textId="17C5DD52" w:rsidR="005C636D" w:rsidRPr="005B5632" w:rsidRDefault="005C636D" w:rsidP="005B5632">
      <w:pPr>
        <w:spacing w:line="276" w:lineRule="auto"/>
        <w:ind w:left="567" w:right="616"/>
        <w:jc w:val="both"/>
        <w:rPr>
          <w:rFonts w:ascii="Palatino Linotype" w:hAnsi="Palatino Linotype"/>
          <w:i/>
          <w:sz w:val="22"/>
          <w:lang w:val="es-MX"/>
        </w:rPr>
      </w:pPr>
      <w:r w:rsidRPr="005B5632">
        <w:rPr>
          <w:rFonts w:ascii="Palatino Linotype" w:hAnsi="Palatino Linotype"/>
          <w:i/>
          <w:sz w:val="22"/>
        </w:rPr>
        <w:t xml:space="preserve">De lo anterior se puede advertir </w:t>
      </w:r>
      <w:proofErr w:type="gramStart"/>
      <w:r w:rsidRPr="005B5632">
        <w:rPr>
          <w:rFonts w:ascii="Palatino Linotype" w:hAnsi="Palatino Linotype"/>
          <w:i/>
          <w:sz w:val="22"/>
        </w:rPr>
        <w:t>que</w:t>
      </w:r>
      <w:proofErr w:type="gramEnd"/>
      <w:r w:rsidRPr="005B5632">
        <w:rPr>
          <w:rFonts w:ascii="Palatino Linotype" w:hAnsi="Palatino Linotype"/>
          <w:i/>
          <w:sz w:val="22"/>
        </w:rPr>
        <w:t xml:space="preserve"> en efecto, el Sujeto Obligado debe publicar en su portal la estructura orgánica con la que cuenta de todos y cada uno de los servidores públicos adscritos quedando de manifiesto las funciones que se establecen para el cumplimiento de sus objetivos, por ende, será necesario que ante la Negativa de proporcionar información se pronuncie al respecto, ya que, está constreñido a contar con la información.</w:t>
      </w:r>
    </w:p>
    <w:p w14:paraId="66897B8D" w14:textId="77777777" w:rsidR="005C636D" w:rsidRPr="005B5632" w:rsidRDefault="005C636D" w:rsidP="005B5632">
      <w:pPr>
        <w:spacing w:line="360" w:lineRule="auto"/>
        <w:jc w:val="both"/>
        <w:rPr>
          <w:rFonts w:ascii="Palatino Linotype" w:hAnsi="Palatino Linotype"/>
          <w:lang w:val="es-MX"/>
        </w:rPr>
      </w:pPr>
    </w:p>
    <w:p w14:paraId="1CC84A50" w14:textId="53556FE1" w:rsidR="005C636D" w:rsidRPr="005B5632" w:rsidRDefault="005C636D" w:rsidP="005B5632">
      <w:pPr>
        <w:spacing w:line="360" w:lineRule="auto"/>
        <w:jc w:val="both"/>
        <w:rPr>
          <w:rFonts w:ascii="Palatino Linotype" w:hAnsi="Palatino Linotype"/>
          <w:lang w:val="es-MX"/>
        </w:rPr>
      </w:pPr>
      <w:r w:rsidRPr="005B5632">
        <w:rPr>
          <w:rFonts w:ascii="Palatino Linotype" w:hAnsi="Palatino Linotype"/>
          <w:lang w:val="es-MX"/>
        </w:rPr>
        <w:t xml:space="preserve">De lo anterior, se colige que el Ayuntamiento de Melchor Ocampo debe poner a disposición del Particular el documento donde conste su estructura </w:t>
      </w:r>
      <w:r w:rsidR="00DE3368" w:rsidRPr="005B5632">
        <w:rPr>
          <w:rFonts w:ascii="Palatino Linotype" w:hAnsi="Palatino Linotype"/>
          <w:lang w:val="es-MX"/>
        </w:rPr>
        <w:t xml:space="preserve">orgánica, información que no es susceptible de ser clasificada por ser una obligación de transparencia común establecida en la Ley en la materia. </w:t>
      </w:r>
    </w:p>
    <w:p w14:paraId="3A04559E" w14:textId="77777777" w:rsidR="00DE3368" w:rsidRPr="005B5632" w:rsidRDefault="00DE3368" w:rsidP="005B5632">
      <w:pPr>
        <w:spacing w:line="360" w:lineRule="auto"/>
        <w:jc w:val="both"/>
        <w:rPr>
          <w:rFonts w:ascii="Palatino Linotype" w:hAnsi="Palatino Linotype"/>
          <w:lang w:val="es-MX"/>
        </w:rPr>
      </w:pPr>
    </w:p>
    <w:p w14:paraId="27B2EE4A" w14:textId="626E4A22" w:rsidR="00EC5A7D" w:rsidRPr="005B5632" w:rsidRDefault="00DE3368" w:rsidP="005B5632">
      <w:pPr>
        <w:spacing w:line="360" w:lineRule="auto"/>
        <w:jc w:val="both"/>
        <w:rPr>
          <w:rFonts w:ascii="Palatino Linotype" w:hAnsi="Palatino Linotype"/>
          <w:lang w:val="es-MX"/>
        </w:rPr>
      </w:pPr>
      <w:r w:rsidRPr="005B5632">
        <w:rPr>
          <w:rFonts w:ascii="Palatino Linotype" w:hAnsi="Palatino Linotype"/>
          <w:lang w:val="es-MX"/>
        </w:rPr>
        <w:t xml:space="preserve">Relativo al </w:t>
      </w:r>
      <w:r w:rsidRPr="005B5632">
        <w:rPr>
          <w:rFonts w:ascii="Palatino Linotype" w:hAnsi="Palatino Linotype"/>
          <w:b/>
          <w:lang w:val="es-MX"/>
        </w:rPr>
        <w:t>Currículum Vitae de los elementos de seguridad pública</w:t>
      </w:r>
      <w:r w:rsidRPr="005B5632">
        <w:rPr>
          <w:rFonts w:ascii="Palatino Linotype" w:hAnsi="Palatino Linotype"/>
          <w:lang w:val="es-MX"/>
        </w:rPr>
        <w:t xml:space="preserve">, </w:t>
      </w:r>
      <w:r w:rsidR="00EC5A7D" w:rsidRPr="005B5632">
        <w:rPr>
          <w:rFonts w:ascii="Palatino Linotype" w:hAnsi="Palatino Linotype" w:cs="Tahoma"/>
        </w:rPr>
        <w:t xml:space="preserve">es de señalar que el </w:t>
      </w:r>
      <w:r w:rsidR="00EC5A7D" w:rsidRPr="005B5632">
        <w:rPr>
          <w:rFonts w:ascii="Palatino Linotype" w:hAnsi="Palatino Linotype" w:cs="Tahoma"/>
          <w:i/>
        </w:rPr>
        <w:t>Currículum Vitae</w:t>
      </w:r>
      <w:r w:rsidR="00EC5A7D" w:rsidRPr="005B5632">
        <w:rPr>
          <w:rFonts w:ascii="Palatino Linotype" w:hAnsi="Palatino Linotype" w:cs="Tahoma"/>
        </w:rPr>
        <w:t xml:space="preserve"> es una locución latina que literalmente significa “carrera de vida”, y que la Real Academia Española ha definido como “la relación de los títulos, honores, cargos, trabajo realizado y datos biográficos que califican a una persona. </w:t>
      </w:r>
      <w:r w:rsidR="00EC5A7D" w:rsidRPr="005B5632">
        <w:rPr>
          <w:rFonts w:ascii="Palatino Linotype" w:hAnsi="Palatino Linotype" w:cs="Tahoma"/>
        </w:rPr>
        <w:lastRenderedPageBreak/>
        <w:t>En ese sentido, el currículum además de señalar datos personales refiere los estudios realizados y con ello, el nivel académico que se ostenta,</w:t>
      </w:r>
      <w:r w:rsidR="00EC5A7D" w:rsidRPr="005B5632">
        <w:rPr>
          <w:rFonts w:ascii="Palatino Linotype" w:hAnsi="Palatino Linotype" w:cs="Tahoma"/>
          <w:b/>
        </w:rPr>
        <w:t xml:space="preserve"> así como la experiencia laboral que incluyen los cargos ocupados, periodos y funciones</w:t>
      </w:r>
      <w:r w:rsidR="00EC5A7D" w:rsidRPr="005B5632">
        <w:rPr>
          <w:rFonts w:ascii="Palatino Linotype" w:hAnsi="Palatino Linotype" w:cs="Tahoma"/>
        </w:rPr>
        <w:t>.</w:t>
      </w:r>
    </w:p>
    <w:p w14:paraId="166C5D82" w14:textId="77777777" w:rsidR="00EC5A7D" w:rsidRPr="005B5632" w:rsidRDefault="00EC5A7D" w:rsidP="005B5632">
      <w:pPr>
        <w:tabs>
          <w:tab w:val="left" w:pos="993"/>
        </w:tabs>
        <w:spacing w:line="360" w:lineRule="auto"/>
        <w:ind w:right="-28"/>
        <w:jc w:val="both"/>
        <w:rPr>
          <w:rFonts w:ascii="Palatino Linotype" w:hAnsi="Palatino Linotype" w:cs="Tahoma"/>
        </w:rPr>
      </w:pPr>
    </w:p>
    <w:p w14:paraId="564C08C9" w14:textId="77777777" w:rsidR="00EC5A7D" w:rsidRPr="005B5632" w:rsidRDefault="00EC5A7D" w:rsidP="005B5632">
      <w:pPr>
        <w:tabs>
          <w:tab w:val="left" w:pos="993"/>
        </w:tabs>
        <w:spacing w:line="360" w:lineRule="auto"/>
        <w:ind w:right="-28"/>
        <w:jc w:val="both"/>
        <w:rPr>
          <w:rFonts w:ascii="Palatino Linotype" w:hAnsi="Palatino Linotype" w:cs="Tahoma"/>
        </w:rPr>
      </w:pPr>
      <w:r w:rsidRPr="005B5632">
        <w:rPr>
          <w:rFonts w:ascii="Palatino Linotype" w:hAnsi="Palatino Linotype" w:cs="Tahoma"/>
        </w:rPr>
        <w:t>En resumen, el Currículum Vitae es aquel documento que las personas elaboran con datos de identificación y contacto, preparación académica y experiencia profesional, el cual es presentado ante un posible empleador, quien podrá identificar el nivel de conocimientos de su titular, así como, su perfil profesional o laboral para el desempeño del cargo al que aspira.</w:t>
      </w:r>
    </w:p>
    <w:p w14:paraId="3DF9E894" w14:textId="77777777" w:rsidR="00EC5A7D" w:rsidRPr="005B5632" w:rsidRDefault="00EC5A7D" w:rsidP="005B5632">
      <w:pPr>
        <w:tabs>
          <w:tab w:val="left" w:pos="993"/>
        </w:tabs>
        <w:spacing w:line="360" w:lineRule="auto"/>
        <w:ind w:right="-28"/>
        <w:jc w:val="both"/>
        <w:rPr>
          <w:rFonts w:ascii="Palatino Linotype" w:hAnsi="Palatino Linotype" w:cs="Tahoma"/>
        </w:rPr>
      </w:pPr>
    </w:p>
    <w:p w14:paraId="375C3C46" w14:textId="77777777" w:rsidR="00EC5A7D" w:rsidRPr="005B5632" w:rsidRDefault="00EC5A7D" w:rsidP="005B5632">
      <w:pPr>
        <w:tabs>
          <w:tab w:val="left" w:pos="993"/>
        </w:tabs>
        <w:spacing w:line="360" w:lineRule="auto"/>
        <w:ind w:right="-28"/>
        <w:jc w:val="both"/>
        <w:rPr>
          <w:rFonts w:ascii="Palatino Linotype" w:hAnsi="Palatino Linotype" w:cs="Tahoma"/>
        </w:rPr>
      </w:pPr>
      <w:r w:rsidRPr="005B5632">
        <w:rPr>
          <w:rFonts w:ascii="Palatino Linotype" w:hAnsi="Palatino Linotype" w:cs="Tahoma"/>
        </w:rPr>
        <w:t xml:space="preserve">En ese contexto, la información que contenga la preparación académica y experiencia profesional, sirve como medio de identificación para que a su titular lo relacionen con el nivel de estudios con el que se ostenta; por lo que dicha documentación permite conocer de manera indudable si la persona que se desempeña como funcionario público tiene el perfil idóneo para desarrollar las actividades y atribuciones que deriven de su cargo, aunado a que si estos documentos forman parte de los requisitos de acceso al cargo, esto toma mayor relevancia, toda vez que el acceso a ellos, daría certeza de que su designación fue apegada a la norma. </w:t>
      </w:r>
    </w:p>
    <w:p w14:paraId="68812058" w14:textId="77777777" w:rsidR="00EC5A7D" w:rsidRPr="005B5632" w:rsidRDefault="00EC5A7D" w:rsidP="005B5632">
      <w:pPr>
        <w:tabs>
          <w:tab w:val="left" w:pos="993"/>
        </w:tabs>
        <w:spacing w:line="360" w:lineRule="auto"/>
        <w:ind w:right="-28"/>
        <w:jc w:val="both"/>
        <w:rPr>
          <w:rFonts w:ascii="Palatino Linotype" w:hAnsi="Palatino Linotype" w:cs="Tahoma"/>
        </w:rPr>
      </w:pPr>
    </w:p>
    <w:p w14:paraId="3CC2C4C8" w14:textId="77777777" w:rsidR="00EC5A7D" w:rsidRPr="005B5632" w:rsidRDefault="00EC5A7D" w:rsidP="005B5632">
      <w:pPr>
        <w:tabs>
          <w:tab w:val="left" w:pos="993"/>
        </w:tabs>
        <w:spacing w:line="360" w:lineRule="auto"/>
        <w:ind w:right="-28"/>
        <w:jc w:val="both"/>
        <w:rPr>
          <w:rFonts w:ascii="Palatino Linotype" w:hAnsi="Palatino Linotype" w:cs="Tahoma"/>
        </w:rPr>
      </w:pPr>
      <w:r w:rsidRPr="005B5632">
        <w:rPr>
          <w:rFonts w:ascii="Palatino Linotype" w:hAnsi="Palatino Linotype" w:cs="Tahoma"/>
        </w:rPr>
        <w:t xml:space="preserve">Además, es viable señalar que la información curricular se encuentra establecida como una obligación común de transparencia que los sujetos obligados deben cumplir como mínimo, esto de conformidad con la fracción XXI del artículo 92 de la Ley de la materia que medularmente establece que se debe otorgar el acceso de manera actualizada y permanente sobre la información curricular, desde el nivel de </w:t>
      </w:r>
      <w:r w:rsidRPr="005B5632">
        <w:rPr>
          <w:rFonts w:ascii="Palatino Linotype" w:hAnsi="Palatino Linotype" w:cs="Tahoma"/>
        </w:rPr>
        <w:lastRenderedPageBreak/>
        <w:t>jefe de departamento o equivalente, hasta el titular del sujeto obligado. Asimismo, de acuerdo con el formato 17 LGT_Art_70_Fr_XVII (información curricular y las sanciones administrativas definitivas de los servidores públicos y personas que desempeñan un empleo, cargo o comisión) de los Lineamientos Generales-, que deben de difundir los sujetos obligados en los portales de Internet y en la Plataforma Nacional de Transparencia, establece como datos a publicar, de los servidores públicos, su información curricular, tal como lo es, el nivel máximo de estudios concluido y comprobable, así como la experiencia laboral, tal como se muestra continuación:</w:t>
      </w:r>
    </w:p>
    <w:p w14:paraId="17040D51" w14:textId="77777777" w:rsidR="00EC5A7D" w:rsidRPr="005B5632" w:rsidRDefault="00EC5A7D" w:rsidP="005B5632">
      <w:pPr>
        <w:tabs>
          <w:tab w:val="left" w:pos="993"/>
        </w:tabs>
        <w:spacing w:line="360" w:lineRule="auto"/>
        <w:ind w:right="-28"/>
        <w:jc w:val="both"/>
        <w:rPr>
          <w:rFonts w:ascii="Palatino Linotype" w:hAnsi="Palatino Linotype" w:cs="Tahoma"/>
        </w:rPr>
      </w:pPr>
    </w:p>
    <w:p w14:paraId="117F9C0B" w14:textId="331D257D" w:rsidR="00EC5A7D" w:rsidRPr="005B5632" w:rsidRDefault="00EC5A7D" w:rsidP="005B5632">
      <w:pPr>
        <w:tabs>
          <w:tab w:val="left" w:pos="993"/>
        </w:tabs>
        <w:spacing w:line="360" w:lineRule="auto"/>
        <w:ind w:right="-28"/>
        <w:jc w:val="center"/>
        <w:rPr>
          <w:rFonts w:ascii="Palatino Linotype" w:hAnsi="Palatino Linotype" w:cs="Tahoma"/>
        </w:rPr>
      </w:pPr>
      <w:r w:rsidRPr="005B5632">
        <w:rPr>
          <w:rFonts w:ascii="Palatino Linotype" w:hAnsi="Palatino Linotype" w:cs="Tahoma"/>
          <w:noProof/>
          <w:lang w:val="es-MX" w:eastAsia="es-MX"/>
        </w:rPr>
        <w:drawing>
          <wp:inline distT="0" distB="0" distL="0" distR="0" wp14:anchorId="5060ABFD" wp14:editId="7BC797F2">
            <wp:extent cx="5410200" cy="19240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0200" cy="1924050"/>
                    </a:xfrm>
                    <a:prstGeom prst="rect">
                      <a:avLst/>
                    </a:prstGeom>
                    <a:noFill/>
                    <a:ln>
                      <a:noFill/>
                    </a:ln>
                  </pic:spPr>
                </pic:pic>
              </a:graphicData>
            </a:graphic>
          </wp:inline>
        </w:drawing>
      </w:r>
    </w:p>
    <w:p w14:paraId="67920DA3" w14:textId="77777777" w:rsidR="00EC5A7D" w:rsidRPr="005B5632" w:rsidRDefault="00EC5A7D" w:rsidP="005B5632">
      <w:pPr>
        <w:tabs>
          <w:tab w:val="left" w:pos="993"/>
        </w:tabs>
        <w:spacing w:line="360" w:lineRule="auto"/>
        <w:ind w:right="-28"/>
        <w:jc w:val="both"/>
        <w:rPr>
          <w:rFonts w:ascii="Palatino Linotype" w:hAnsi="Palatino Linotype" w:cs="Tahoma"/>
        </w:rPr>
      </w:pPr>
    </w:p>
    <w:p w14:paraId="69221688" w14:textId="77777777" w:rsidR="00EC5A7D" w:rsidRPr="005B5632" w:rsidRDefault="00EC5A7D" w:rsidP="005B5632">
      <w:pPr>
        <w:tabs>
          <w:tab w:val="left" w:pos="993"/>
        </w:tabs>
        <w:spacing w:line="360" w:lineRule="auto"/>
        <w:ind w:right="-28"/>
        <w:jc w:val="both"/>
        <w:rPr>
          <w:rFonts w:ascii="Palatino Linotype" w:hAnsi="Palatino Linotype" w:cs="Tahoma"/>
        </w:rPr>
      </w:pPr>
      <w:r w:rsidRPr="005B5632">
        <w:rPr>
          <w:rFonts w:ascii="Palatino Linotype" w:hAnsi="Palatino Linotype" w:cs="Tahoma"/>
        </w:rPr>
        <w:t>Bajo este orden de ideas, la entrega de los documentos que acreditan el nivel académico o de preparación en algún área del conocimiento, aportan elementos de convicción sobre su legalidad y legitimidad, además de que permiten verificar que los servidores públicos del Sujeto Obligado acreditaron el nivel académico y la experiencia necesaria para ocupar un cargo público dentro de su estructura orgánica.</w:t>
      </w:r>
    </w:p>
    <w:p w14:paraId="5BC743F5" w14:textId="77777777" w:rsidR="00EC5A7D" w:rsidRPr="005B5632" w:rsidRDefault="00EC5A7D" w:rsidP="005B5632">
      <w:pPr>
        <w:tabs>
          <w:tab w:val="left" w:pos="993"/>
        </w:tabs>
        <w:spacing w:line="360" w:lineRule="auto"/>
        <w:ind w:right="-28"/>
        <w:jc w:val="both"/>
        <w:rPr>
          <w:rFonts w:ascii="Palatino Linotype" w:hAnsi="Palatino Linotype" w:cs="Tahoma"/>
        </w:rPr>
      </w:pPr>
    </w:p>
    <w:p w14:paraId="06870512" w14:textId="586FE07D" w:rsidR="00EC5A7D" w:rsidRPr="005B5632" w:rsidRDefault="00EC5A7D" w:rsidP="005B5632">
      <w:pPr>
        <w:tabs>
          <w:tab w:val="left" w:pos="993"/>
        </w:tabs>
        <w:spacing w:line="360" w:lineRule="auto"/>
        <w:ind w:right="-28"/>
        <w:jc w:val="both"/>
        <w:rPr>
          <w:rFonts w:ascii="Palatino Linotype" w:hAnsi="Palatino Linotype" w:cs="Tahoma"/>
        </w:rPr>
      </w:pPr>
      <w:r w:rsidRPr="005B5632">
        <w:rPr>
          <w:rFonts w:ascii="Palatino Linotype" w:hAnsi="Palatino Linotype" w:cs="Tahoma"/>
        </w:rPr>
        <w:lastRenderedPageBreak/>
        <w:t xml:space="preserve">Dicho esto, se tiene </w:t>
      </w:r>
      <w:proofErr w:type="gramStart"/>
      <w:r w:rsidRPr="005B5632">
        <w:rPr>
          <w:rFonts w:ascii="Palatino Linotype" w:hAnsi="Palatino Linotype" w:cs="Tahoma"/>
        </w:rPr>
        <w:t>que</w:t>
      </w:r>
      <w:proofErr w:type="gramEnd"/>
      <w:r w:rsidRPr="005B5632">
        <w:rPr>
          <w:rFonts w:ascii="Palatino Linotype" w:hAnsi="Palatino Linotype" w:cs="Tahoma"/>
        </w:rPr>
        <w:t xml:space="preserve"> en el caso concreto, el Sujeto Obligado deberá proporcionar la información solicitada, ya que esta no actualiza alguna causal de clasificación prevista por la Ley en la materia, aunado a que es información de naturaleza e interés público que corresponde a una obligación de transparencia común de los sujetos obligados. </w:t>
      </w:r>
    </w:p>
    <w:p w14:paraId="4E8A425C" w14:textId="77777777" w:rsidR="005C636D" w:rsidRPr="005B5632" w:rsidRDefault="005C636D" w:rsidP="005B5632">
      <w:pPr>
        <w:spacing w:line="360" w:lineRule="auto"/>
        <w:jc w:val="both"/>
        <w:rPr>
          <w:rFonts w:ascii="Palatino Linotype" w:hAnsi="Palatino Linotype"/>
          <w:lang w:val="es-MX"/>
        </w:rPr>
      </w:pPr>
    </w:p>
    <w:p w14:paraId="44020AA4" w14:textId="7F612F83" w:rsidR="005019D2" w:rsidRPr="005B5632" w:rsidRDefault="00502D1C" w:rsidP="005B5632">
      <w:pPr>
        <w:spacing w:line="360" w:lineRule="auto"/>
        <w:jc w:val="both"/>
        <w:rPr>
          <w:rFonts w:ascii="Palatino Linotype" w:hAnsi="Palatino Linotype"/>
          <w:lang w:val="es-MX"/>
        </w:rPr>
      </w:pPr>
      <w:r w:rsidRPr="005B5632">
        <w:rPr>
          <w:rFonts w:ascii="Palatino Linotype" w:hAnsi="Palatino Linotype"/>
          <w:lang w:val="es-MX"/>
        </w:rPr>
        <w:t>Asimismo</w:t>
      </w:r>
      <w:r w:rsidR="004E7F0E" w:rsidRPr="005B5632">
        <w:rPr>
          <w:rFonts w:ascii="Palatino Linotype" w:hAnsi="Palatino Linotype"/>
          <w:lang w:val="es-MX"/>
        </w:rPr>
        <w:t xml:space="preserve">, no pasa desapercibido recordar que el Particular </w:t>
      </w:r>
      <w:r w:rsidR="005019D2" w:rsidRPr="005B5632">
        <w:rPr>
          <w:rFonts w:ascii="Palatino Linotype" w:hAnsi="Palatino Linotype"/>
          <w:lang w:val="es-MX"/>
        </w:rPr>
        <w:t xml:space="preserve">se inconformó arguyendo que </w:t>
      </w:r>
      <w:r w:rsidR="005019D2" w:rsidRPr="005B5632">
        <w:rPr>
          <w:rFonts w:ascii="Palatino Linotype" w:hAnsi="Palatino Linotype"/>
          <w:b/>
          <w:lang w:val="es-MX"/>
        </w:rPr>
        <w:t xml:space="preserve">no existe alguna Ley que se llame </w:t>
      </w:r>
      <w:r w:rsidR="005019D2" w:rsidRPr="005B5632">
        <w:rPr>
          <w:rFonts w:ascii="Palatino Linotype" w:hAnsi="Palatino Linotype"/>
          <w:b/>
          <w:i/>
          <w:lang w:val="es-MX"/>
        </w:rPr>
        <w:t>“artículo 110, párrafo II de la Ley del Sistema Nacional de Seguridad Pública</w:t>
      </w:r>
      <w:r w:rsidR="005019D2" w:rsidRPr="005B5632">
        <w:rPr>
          <w:rFonts w:ascii="Palatino Linotype" w:hAnsi="Palatino Linotype"/>
          <w:b/>
          <w:lang w:val="es-MX"/>
        </w:rPr>
        <w:t>”</w:t>
      </w:r>
      <w:r w:rsidR="005019D2" w:rsidRPr="005B5632">
        <w:rPr>
          <w:rFonts w:ascii="Palatino Linotype" w:hAnsi="Palatino Linotype"/>
          <w:lang w:val="es-MX"/>
        </w:rPr>
        <w:t xml:space="preserve">, sin embargo, como se previó con anterioridad, la Ley y el párrafo al que hace referencia el Sujeto Obligado, si existe. </w:t>
      </w:r>
    </w:p>
    <w:p w14:paraId="5696CE9B" w14:textId="77777777" w:rsidR="0091500F" w:rsidRPr="005B5632" w:rsidRDefault="0091500F" w:rsidP="005B5632">
      <w:pPr>
        <w:spacing w:line="360" w:lineRule="auto"/>
        <w:jc w:val="both"/>
        <w:rPr>
          <w:rFonts w:ascii="Palatino Linotype" w:hAnsi="Palatino Linotype"/>
          <w:lang w:val="es-MX"/>
        </w:rPr>
      </w:pPr>
    </w:p>
    <w:p w14:paraId="6255113E" w14:textId="5D81FD2D" w:rsidR="00E477E0" w:rsidRPr="005B5632" w:rsidRDefault="00E477E0" w:rsidP="005B5632">
      <w:pPr>
        <w:spacing w:line="360" w:lineRule="auto"/>
        <w:jc w:val="both"/>
        <w:rPr>
          <w:rFonts w:ascii="Palatino Linotype" w:hAnsi="Palatino Linotype"/>
          <w:lang w:val="es-MX"/>
        </w:rPr>
      </w:pPr>
      <w:r w:rsidRPr="005B5632">
        <w:rPr>
          <w:rFonts w:ascii="Palatino Linotype" w:hAnsi="Palatino Linotype"/>
          <w:lang w:val="es-MX"/>
        </w:rPr>
        <w:t xml:space="preserve">En conclusión, derivado del análisis efectuado a las actuaciones que integran el expediente electrónico, se determina que los agravios hechos valer por el Particular devienen </w:t>
      </w:r>
      <w:r w:rsidRPr="005B5632">
        <w:rPr>
          <w:rFonts w:ascii="Palatino Linotype" w:hAnsi="Palatino Linotype"/>
          <w:b/>
          <w:lang w:val="es-MX"/>
        </w:rPr>
        <w:t>PARCIALMENTE</w:t>
      </w:r>
      <w:r w:rsidRPr="005B5632">
        <w:rPr>
          <w:rFonts w:ascii="Palatino Linotype" w:hAnsi="Palatino Linotype"/>
          <w:lang w:val="es-MX"/>
        </w:rPr>
        <w:t xml:space="preserve"> </w:t>
      </w:r>
      <w:r w:rsidRPr="005B5632">
        <w:rPr>
          <w:rFonts w:ascii="Palatino Linotype" w:hAnsi="Palatino Linotype"/>
          <w:b/>
          <w:lang w:val="es-MX"/>
        </w:rPr>
        <w:t>FUNDADOS</w:t>
      </w:r>
      <w:r w:rsidRPr="005B5632">
        <w:rPr>
          <w:rFonts w:ascii="Palatino Linotype" w:hAnsi="Palatino Linotype"/>
          <w:lang w:val="es-MX"/>
        </w:rPr>
        <w:t xml:space="preserve"> </w:t>
      </w:r>
      <w:proofErr w:type="gramStart"/>
      <w:r w:rsidRPr="005B5632">
        <w:rPr>
          <w:rFonts w:ascii="Palatino Linotype" w:hAnsi="Palatino Linotype"/>
          <w:lang w:val="es-MX"/>
        </w:rPr>
        <w:t>y</w:t>
      </w:r>
      <w:proofErr w:type="gramEnd"/>
      <w:r w:rsidRPr="005B5632">
        <w:rPr>
          <w:rFonts w:ascii="Palatino Linotype" w:hAnsi="Palatino Linotype"/>
          <w:lang w:val="es-MX"/>
        </w:rPr>
        <w:t xml:space="preserve"> en consecuencia; se </w:t>
      </w:r>
      <w:r w:rsidRPr="005B5632">
        <w:rPr>
          <w:rFonts w:ascii="Palatino Linotype" w:hAnsi="Palatino Linotype"/>
          <w:b/>
          <w:lang w:val="es-MX"/>
        </w:rPr>
        <w:t xml:space="preserve">REVOCA </w:t>
      </w:r>
      <w:r w:rsidRPr="005B5632">
        <w:rPr>
          <w:rFonts w:ascii="Palatino Linotype" w:hAnsi="Palatino Linotype"/>
          <w:lang w:val="es-MX"/>
        </w:rPr>
        <w:t xml:space="preserve">la respuesta proporcionada por el Ayuntamiento de Melchor Ocampo y se </w:t>
      </w:r>
      <w:r w:rsidRPr="005B5632">
        <w:rPr>
          <w:rFonts w:ascii="Palatino Linotype" w:hAnsi="Palatino Linotype"/>
          <w:b/>
          <w:lang w:val="es-MX"/>
        </w:rPr>
        <w:t xml:space="preserve">ORDENA </w:t>
      </w:r>
      <w:r w:rsidRPr="005B5632">
        <w:rPr>
          <w:rFonts w:ascii="Palatino Linotype" w:hAnsi="Palatino Linotype"/>
          <w:lang w:val="es-MX"/>
        </w:rPr>
        <w:t xml:space="preserve">entregar, vía Sistema de Acceso a la Información Mexiquense, de ser el caso en versión pública, los documentos donde conste la siguiente información: </w:t>
      </w:r>
    </w:p>
    <w:p w14:paraId="57DE7525" w14:textId="77777777" w:rsidR="00E477E0" w:rsidRPr="005B5632" w:rsidRDefault="00E477E0" w:rsidP="005B5632">
      <w:pPr>
        <w:spacing w:line="360" w:lineRule="auto"/>
        <w:jc w:val="both"/>
        <w:rPr>
          <w:rFonts w:ascii="Palatino Linotype" w:hAnsi="Palatino Linotype"/>
          <w:lang w:val="es-MX"/>
        </w:rPr>
      </w:pPr>
    </w:p>
    <w:p w14:paraId="6046E952" w14:textId="77777777" w:rsidR="00407A37" w:rsidRPr="005B5632" w:rsidRDefault="00407A37" w:rsidP="005B5632">
      <w:pPr>
        <w:pStyle w:val="Prrafodelista"/>
        <w:numPr>
          <w:ilvl w:val="0"/>
          <w:numId w:val="27"/>
        </w:numPr>
        <w:spacing w:line="360" w:lineRule="auto"/>
        <w:jc w:val="both"/>
        <w:rPr>
          <w:rFonts w:ascii="Palatino Linotype" w:hAnsi="Palatino Linotype"/>
        </w:rPr>
      </w:pPr>
      <w:r w:rsidRPr="005B5632">
        <w:rPr>
          <w:rFonts w:ascii="Palatino Linotype" w:hAnsi="Palatino Linotype"/>
        </w:rPr>
        <w:t xml:space="preserve">Número de policías que aprobaron los exámenes de control y confianza, del doce de abril de dos mil veintiuno al doce de abril de dos mil veintidós. </w:t>
      </w:r>
    </w:p>
    <w:p w14:paraId="1B71EB06" w14:textId="77777777" w:rsidR="00407A37" w:rsidRPr="005B5632" w:rsidRDefault="00407A37" w:rsidP="005B5632">
      <w:pPr>
        <w:pStyle w:val="Prrafodelista"/>
        <w:numPr>
          <w:ilvl w:val="0"/>
          <w:numId w:val="27"/>
        </w:numPr>
        <w:spacing w:line="360" w:lineRule="auto"/>
        <w:jc w:val="both"/>
        <w:rPr>
          <w:rFonts w:ascii="Palatino Linotype" w:hAnsi="Palatino Linotype"/>
        </w:rPr>
      </w:pPr>
      <w:r w:rsidRPr="005B5632">
        <w:rPr>
          <w:rFonts w:ascii="Palatino Linotype" w:hAnsi="Palatino Linotype"/>
        </w:rPr>
        <w:t xml:space="preserve">Número de policías que han sido removidos por no aprobar los exámenes de </w:t>
      </w:r>
      <w:proofErr w:type="gramStart"/>
      <w:r w:rsidRPr="005B5632">
        <w:rPr>
          <w:rFonts w:ascii="Palatino Linotype" w:hAnsi="Palatino Linotype"/>
        </w:rPr>
        <w:t>control  y</w:t>
      </w:r>
      <w:proofErr w:type="gramEnd"/>
      <w:r w:rsidRPr="005B5632">
        <w:rPr>
          <w:rFonts w:ascii="Palatino Linotype" w:hAnsi="Palatino Linotype"/>
        </w:rPr>
        <w:t xml:space="preserve"> confianza, del doce de abril de dos mil veintiuno al doce de abril de dos mil veintidós.</w:t>
      </w:r>
    </w:p>
    <w:p w14:paraId="7C51FECC" w14:textId="77777777" w:rsidR="00407A37" w:rsidRPr="005B5632" w:rsidRDefault="00407A37" w:rsidP="005B5632">
      <w:pPr>
        <w:pStyle w:val="Prrafodelista"/>
        <w:numPr>
          <w:ilvl w:val="0"/>
          <w:numId w:val="27"/>
        </w:numPr>
        <w:spacing w:line="360" w:lineRule="auto"/>
        <w:jc w:val="both"/>
        <w:rPr>
          <w:rFonts w:ascii="Palatino Linotype" w:hAnsi="Palatino Linotype"/>
        </w:rPr>
      </w:pPr>
      <w:r w:rsidRPr="005B5632">
        <w:rPr>
          <w:rFonts w:ascii="Palatino Linotype" w:hAnsi="Palatino Linotype"/>
        </w:rPr>
        <w:t xml:space="preserve">Programa de capacitación de elementos de seguridad pública, actualizado al doce de abril de dos mil veintidós. </w:t>
      </w:r>
    </w:p>
    <w:p w14:paraId="70A8CC19" w14:textId="77777777" w:rsidR="00407A37" w:rsidRPr="005B5632" w:rsidRDefault="00407A37" w:rsidP="005B5632">
      <w:pPr>
        <w:pStyle w:val="Prrafodelista"/>
        <w:numPr>
          <w:ilvl w:val="0"/>
          <w:numId w:val="27"/>
        </w:numPr>
        <w:spacing w:line="360" w:lineRule="auto"/>
        <w:jc w:val="both"/>
        <w:rPr>
          <w:rFonts w:ascii="Palatino Linotype" w:hAnsi="Palatino Linotype"/>
        </w:rPr>
      </w:pPr>
      <w:r w:rsidRPr="005B5632">
        <w:rPr>
          <w:rFonts w:ascii="Palatino Linotype" w:hAnsi="Palatino Linotype"/>
        </w:rPr>
        <w:lastRenderedPageBreak/>
        <w:t xml:space="preserve">Monto del presupuesto anual destinado a la capacitación y adiestramiento de elementos de seguridad pública, y documentación comprobatoria, del presente ejercicio fiscal dos mil veintidós. </w:t>
      </w:r>
    </w:p>
    <w:p w14:paraId="16AABBD1" w14:textId="77777777" w:rsidR="00407A37" w:rsidRPr="005B5632" w:rsidRDefault="00407A37" w:rsidP="005B5632">
      <w:pPr>
        <w:pStyle w:val="Prrafodelista"/>
        <w:numPr>
          <w:ilvl w:val="0"/>
          <w:numId w:val="27"/>
        </w:numPr>
        <w:spacing w:line="360" w:lineRule="auto"/>
        <w:jc w:val="both"/>
        <w:rPr>
          <w:rFonts w:ascii="Palatino Linotype" w:hAnsi="Palatino Linotype"/>
        </w:rPr>
      </w:pPr>
      <w:r w:rsidRPr="005B5632">
        <w:rPr>
          <w:rFonts w:ascii="Palatino Linotype" w:hAnsi="Palatino Linotype"/>
        </w:rPr>
        <w:t xml:space="preserve">Estructura orgánica del Ayuntamiento de Melchor Ocampo, actualizado al doce de abril de dos mil veintidós. </w:t>
      </w:r>
    </w:p>
    <w:p w14:paraId="2EF40796" w14:textId="77777777" w:rsidR="00407A37" w:rsidRPr="005B5632" w:rsidRDefault="00407A37" w:rsidP="005B5632">
      <w:pPr>
        <w:pStyle w:val="Prrafodelista"/>
        <w:numPr>
          <w:ilvl w:val="0"/>
          <w:numId w:val="27"/>
        </w:numPr>
        <w:spacing w:line="360" w:lineRule="auto"/>
        <w:jc w:val="both"/>
        <w:rPr>
          <w:rFonts w:ascii="Palatino Linotype" w:hAnsi="Palatino Linotype"/>
        </w:rPr>
      </w:pPr>
      <w:r w:rsidRPr="005B5632">
        <w:rPr>
          <w:rFonts w:ascii="Palatino Linotype" w:hAnsi="Palatino Linotype"/>
        </w:rPr>
        <w:t xml:space="preserve">Formación Curricular de los policías adscritos al doce de abril de dos mil veintidós el Sujeto Obligado. </w:t>
      </w:r>
    </w:p>
    <w:p w14:paraId="62D3C3FB" w14:textId="77777777" w:rsidR="00407A37" w:rsidRPr="005B5632" w:rsidRDefault="00407A37" w:rsidP="005B5632">
      <w:pPr>
        <w:pStyle w:val="Prrafodelista"/>
        <w:numPr>
          <w:ilvl w:val="0"/>
          <w:numId w:val="27"/>
        </w:numPr>
        <w:spacing w:line="360" w:lineRule="auto"/>
        <w:jc w:val="both"/>
        <w:rPr>
          <w:rFonts w:ascii="Palatino Linotype" w:hAnsi="Palatino Linotype"/>
        </w:rPr>
      </w:pPr>
      <w:r w:rsidRPr="005B5632">
        <w:rPr>
          <w:rFonts w:ascii="Palatino Linotype" w:hAnsi="Palatino Linotype"/>
        </w:rPr>
        <w:t>Resultados de los exámenes de control y confianza aplicados del doce de abril de dos mil veintiuno al doce de abril de dos mil veintidós.</w:t>
      </w:r>
    </w:p>
    <w:p w14:paraId="79FBF708" w14:textId="77777777" w:rsidR="002B324C" w:rsidRPr="005B5632" w:rsidRDefault="002B324C" w:rsidP="005B5632">
      <w:pPr>
        <w:spacing w:line="360" w:lineRule="auto"/>
        <w:ind w:right="49"/>
        <w:jc w:val="both"/>
        <w:rPr>
          <w:rFonts w:ascii="Palatino Linotype" w:hAnsi="Palatino Linotype"/>
          <w:color w:val="FF0000"/>
          <w:lang w:val="es-MX"/>
        </w:rPr>
      </w:pPr>
    </w:p>
    <w:p w14:paraId="40638403" w14:textId="77777777" w:rsidR="006B0094" w:rsidRPr="005B5632" w:rsidRDefault="006B0094" w:rsidP="005B5632">
      <w:pPr>
        <w:spacing w:line="360" w:lineRule="auto"/>
        <w:ind w:right="49"/>
        <w:jc w:val="both"/>
        <w:rPr>
          <w:rFonts w:ascii="Palatino Linotype" w:hAnsi="Palatino Linotype"/>
          <w:lang w:val="es-MX" w:eastAsia="en-US"/>
        </w:rPr>
      </w:pPr>
      <w:r w:rsidRPr="005B5632">
        <w:rPr>
          <w:rFonts w:ascii="Palatino Linotype" w:hAnsi="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EE55E67" w14:textId="77777777" w:rsidR="006B0094" w:rsidRPr="005B5632" w:rsidRDefault="006B0094" w:rsidP="005B5632">
      <w:pPr>
        <w:spacing w:line="360" w:lineRule="auto"/>
        <w:jc w:val="both"/>
        <w:rPr>
          <w:rFonts w:ascii="Palatino Linotype" w:hAnsi="Palatino Linotype"/>
          <w:lang w:val="es-MX"/>
        </w:rPr>
      </w:pPr>
    </w:p>
    <w:p w14:paraId="4E68AA3A" w14:textId="65F81C6B" w:rsidR="00502D1C" w:rsidRPr="005B5632" w:rsidRDefault="00502D1C" w:rsidP="005B5632">
      <w:pPr>
        <w:spacing w:line="360" w:lineRule="auto"/>
        <w:jc w:val="both"/>
        <w:rPr>
          <w:rFonts w:ascii="Palatino Linotype" w:hAnsi="Palatino Linotype"/>
          <w:lang w:val="es-MX"/>
        </w:rPr>
      </w:pPr>
      <w:r w:rsidRPr="005B5632">
        <w:rPr>
          <w:rFonts w:ascii="Palatino Linotype" w:hAnsi="Palatino Linotype"/>
          <w:lang w:val="es-MX"/>
        </w:rPr>
        <w:t xml:space="preserve">Por último, cabe hacer énfasis que de acuerdo con el Criterio de Interpretación 029/2010 emitido por el Instituto Nacional de Transparencia, Acceso a la Información y Protección de Datos Personales, la clasificación y la inexistencia de la información no coexisten entre sí, ya que la clasificación de la información </w:t>
      </w:r>
      <w:r w:rsidRPr="005B5632">
        <w:rPr>
          <w:rFonts w:ascii="Palatino Linotype" w:hAnsi="Palatino Linotype"/>
          <w:b/>
          <w:lang w:val="es-MX"/>
        </w:rPr>
        <w:t>implica invariablemente la existencia de un documento o documento determinados</w:t>
      </w:r>
      <w:r w:rsidRPr="005B5632">
        <w:rPr>
          <w:rFonts w:ascii="Palatino Linotype" w:hAnsi="Palatino Linotype"/>
          <w:lang w:val="es-MX"/>
        </w:rPr>
        <w:t xml:space="preserve">, tal como se prevé a continuación: </w:t>
      </w:r>
    </w:p>
    <w:p w14:paraId="2405C332" w14:textId="5217F67C" w:rsidR="00502D1C" w:rsidRPr="005B5632" w:rsidRDefault="00502D1C" w:rsidP="005B5632">
      <w:pPr>
        <w:spacing w:line="360" w:lineRule="auto"/>
        <w:jc w:val="both"/>
        <w:rPr>
          <w:rFonts w:ascii="Palatino Linotype" w:hAnsi="Palatino Linotype"/>
          <w:lang w:val="es-MX"/>
        </w:rPr>
      </w:pPr>
    </w:p>
    <w:p w14:paraId="41167456" w14:textId="77777777" w:rsidR="00502D1C" w:rsidRPr="005B5632" w:rsidRDefault="00502D1C" w:rsidP="005B5632">
      <w:pPr>
        <w:spacing w:line="276" w:lineRule="auto"/>
        <w:ind w:left="567" w:right="616"/>
        <w:jc w:val="both"/>
        <w:rPr>
          <w:rFonts w:ascii="Palatino Linotype" w:hAnsi="Palatino Linotype" w:cs="Arial"/>
          <w:i/>
          <w:color w:val="000000"/>
          <w:sz w:val="22"/>
        </w:rPr>
      </w:pPr>
      <w:r w:rsidRPr="005B5632">
        <w:rPr>
          <w:rFonts w:ascii="Palatino Linotype" w:hAnsi="Palatino Linotype" w:cs="Arial"/>
          <w:b/>
          <w:i/>
          <w:sz w:val="22"/>
        </w:rPr>
        <w:t>La clasificación y la inexistencia de información son conceptos que no pueden coexistir.</w:t>
      </w:r>
      <w:r w:rsidRPr="005B5632">
        <w:rPr>
          <w:rFonts w:ascii="Palatino Linotype" w:hAnsi="Palatino Linotype" w:cs="Arial"/>
          <w:i/>
          <w:sz w:val="22"/>
        </w:rPr>
        <w:t xml:space="preserve"> La inexistencia implica necesariamente que la información no se encuentra </w:t>
      </w:r>
      <w:r w:rsidRPr="005B5632">
        <w:rPr>
          <w:rFonts w:ascii="Palatino Linotype" w:hAnsi="Palatino Linotype" w:cs="Arial"/>
          <w:i/>
          <w:sz w:val="22"/>
        </w:rPr>
        <w:lastRenderedPageBreak/>
        <w:t>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1CCB5F5F" w14:textId="77777777" w:rsidR="00502D1C" w:rsidRPr="005B5632" w:rsidRDefault="00502D1C" w:rsidP="005B5632">
      <w:pPr>
        <w:spacing w:line="360" w:lineRule="auto"/>
        <w:jc w:val="both"/>
        <w:rPr>
          <w:rFonts w:ascii="Palatino Linotype" w:hAnsi="Palatino Linotype"/>
          <w:lang w:val="es-MX"/>
        </w:rPr>
      </w:pPr>
    </w:p>
    <w:p w14:paraId="141622A9" w14:textId="303C5808" w:rsidR="00912FB6" w:rsidRPr="005B5632" w:rsidRDefault="00502D1C" w:rsidP="005B5632">
      <w:pPr>
        <w:spacing w:line="360" w:lineRule="auto"/>
        <w:jc w:val="both"/>
        <w:rPr>
          <w:rFonts w:ascii="Palatino Linotype" w:hAnsi="Palatino Linotype"/>
          <w:b/>
          <w:lang w:val="es-MX"/>
        </w:rPr>
      </w:pPr>
      <w:r w:rsidRPr="005B5632">
        <w:rPr>
          <w:rFonts w:ascii="Palatino Linotype" w:hAnsi="Palatino Linotype"/>
          <w:lang w:val="es-MX"/>
        </w:rPr>
        <w:t xml:space="preserve">Por lo que, toda vez que el Sujeto Obligado clasificó en respuesta la información solicitada, se colige que en sus archivos obran los documentos que dan cuenta de </w:t>
      </w:r>
      <w:r w:rsidR="00912FB6" w:rsidRPr="005B5632">
        <w:rPr>
          <w:rFonts w:ascii="Palatino Linotype" w:hAnsi="Palatino Linotype"/>
          <w:lang w:val="es-MX"/>
        </w:rPr>
        <w:t>dichos requerimientos</w:t>
      </w:r>
      <w:r w:rsidRPr="005B5632">
        <w:rPr>
          <w:rFonts w:ascii="Palatino Linotype" w:hAnsi="Palatino Linotype"/>
          <w:lang w:val="es-MX"/>
        </w:rPr>
        <w:t xml:space="preserve">, ya que, tal como lo precisa el Criterio </w:t>
      </w:r>
      <w:r w:rsidR="00912FB6" w:rsidRPr="005B5632">
        <w:rPr>
          <w:rFonts w:ascii="Palatino Linotype" w:hAnsi="Palatino Linotype"/>
          <w:lang w:val="es-MX"/>
        </w:rPr>
        <w:t>029/</w:t>
      </w:r>
      <w:proofErr w:type="gramStart"/>
      <w:r w:rsidR="00912FB6" w:rsidRPr="005B5632">
        <w:rPr>
          <w:rFonts w:ascii="Palatino Linotype" w:hAnsi="Palatino Linotype"/>
          <w:lang w:val="es-MX"/>
        </w:rPr>
        <w:t>2010  previamente</w:t>
      </w:r>
      <w:proofErr w:type="gramEnd"/>
      <w:r w:rsidR="00912FB6" w:rsidRPr="005B5632">
        <w:rPr>
          <w:rFonts w:ascii="Palatino Linotype" w:hAnsi="Palatino Linotype"/>
          <w:lang w:val="es-MX"/>
        </w:rPr>
        <w:t xml:space="preserve"> </w:t>
      </w:r>
      <w:r w:rsidRPr="005B5632">
        <w:rPr>
          <w:rFonts w:ascii="Palatino Linotype" w:hAnsi="Palatino Linotype"/>
          <w:lang w:val="es-MX"/>
        </w:rPr>
        <w:t xml:space="preserve">señalado, </w:t>
      </w:r>
      <w:r w:rsidRPr="005B5632">
        <w:rPr>
          <w:rFonts w:ascii="Palatino Linotype" w:hAnsi="Palatino Linotype"/>
          <w:b/>
          <w:lang w:val="es-MX"/>
        </w:rPr>
        <w:t xml:space="preserve">la clasificación de la información implica la existencia de un documento o documentos determinados. </w:t>
      </w:r>
    </w:p>
    <w:p w14:paraId="1609EBF2" w14:textId="77777777" w:rsidR="00912FB6" w:rsidRPr="005B5632" w:rsidRDefault="00912FB6" w:rsidP="005B5632">
      <w:pPr>
        <w:spacing w:line="360" w:lineRule="auto"/>
        <w:jc w:val="both"/>
        <w:rPr>
          <w:rFonts w:ascii="Palatino Linotype" w:hAnsi="Palatino Linotype"/>
          <w:b/>
          <w:lang w:val="es-MX"/>
        </w:rPr>
      </w:pPr>
    </w:p>
    <w:p w14:paraId="724E46CB" w14:textId="70AF5E79" w:rsidR="00EC5A7D" w:rsidRPr="005B5632" w:rsidRDefault="00EC5A7D" w:rsidP="005B5632">
      <w:pPr>
        <w:pStyle w:val="Prrafodelista"/>
        <w:numPr>
          <w:ilvl w:val="0"/>
          <w:numId w:val="24"/>
        </w:numPr>
        <w:spacing w:line="360" w:lineRule="auto"/>
        <w:jc w:val="both"/>
        <w:rPr>
          <w:rFonts w:ascii="Palatino Linotype" w:hAnsi="Palatino Linotype"/>
          <w:sz w:val="24"/>
        </w:rPr>
      </w:pPr>
      <w:r w:rsidRPr="005B5632">
        <w:rPr>
          <w:rFonts w:ascii="Palatino Linotype" w:hAnsi="Palatino Linotype"/>
          <w:b/>
          <w:sz w:val="24"/>
        </w:rPr>
        <w:t xml:space="preserve">De las restricciones del acceso a la información solicitada. </w:t>
      </w:r>
    </w:p>
    <w:p w14:paraId="12C83EB9" w14:textId="77777777" w:rsidR="00EC5A7D" w:rsidRPr="005B5632" w:rsidRDefault="00EC5A7D" w:rsidP="005B5632">
      <w:pPr>
        <w:spacing w:line="360" w:lineRule="auto"/>
        <w:jc w:val="both"/>
        <w:rPr>
          <w:rFonts w:ascii="Palatino Linotype" w:hAnsi="Palatino Linotype"/>
        </w:rPr>
      </w:pPr>
    </w:p>
    <w:p w14:paraId="198013B2" w14:textId="15AD6FDE" w:rsidR="00EC5A7D" w:rsidRPr="005B5632" w:rsidRDefault="00EC5A7D" w:rsidP="005B5632">
      <w:pPr>
        <w:spacing w:line="360" w:lineRule="auto"/>
        <w:jc w:val="both"/>
        <w:rPr>
          <w:rFonts w:ascii="Palatino Linotype" w:hAnsi="Palatino Linotype"/>
        </w:rPr>
      </w:pPr>
      <w:r w:rsidRPr="005B5632">
        <w:rPr>
          <w:rFonts w:ascii="Palatino Linotype" w:hAnsi="Palatino Linotype"/>
        </w:rPr>
        <w:t xml:space="preserve">Por otro lado, derivado de </w:t>
      </w:r>
      <w:r w:rsidR="006C4EA6" w:rsidRPr="005B5632">
        <w:rPr>
          <w:rFonts w:ascii="Palatino Linotype" w:hAnsi="Palatino Linotype"/>
        </w:rPr>
        <w:t xml:space="preserve">que </w:t>
      </w:r>
      <w:r w:rsidRPr="005B5632">
        <w:rPr>
          <w:rFonts w:ascii="Palatino Linotype" w:hAnsi="Palatino Linotype"/>
        </w:rPr>
        <w:t>la información que se ordena</w:t>
      </w:r>
      <w:r w:rsidR="00912FB6" w:rsidRPr="005B5632">
        <w:rPr>
          <w:rFonts w:ascii="Palatino Linotype" w:hAnsi="Palatino Linotype"/>
        </w:rPr>
        <w:t>,</w:t>
      </w:r>
      <w:r w:rsidR="006C4EA6" w:rsidRPr="005B5632">
        <w:rPr>
          <w:rFonts w:ascii="Palatino Linotype" w:hAnsi="Palatino Linotype"/>
        </w:rPr>
        <w:t xml:space="preserve"> contempla a elementos de seguridad pública, existe la posibilidad de que su entrega</w:t>
      </w:r>
      <w:r w:rsidRPr="005B5632">
        <w:rPr>
          <w:rFonts w:ascii="Palatino Linotype" w:hAnsi="Palatino Linotype"/>
        </w:rPr>
        <w:t xml:space="preserve">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5B5632">
        <w:rPr>
          <w:rFonts w:ascii="Palatino Linotype" w:hAnsi="Palatino Linotype"/>
        </w:rPr>
        <w:lastRenderedPageBreak/>
        <w:t>sólo por</w:t>
      </w:r>
      <w:r w:rsidR="006C4EA6" w:rsidRPr="005B5632">
        <w:rPr>
          <w:rFonts w:ascii="Palatino Linotype" w:hAnsi="Palatino Linotype"/>
        </w:rPr>
        <w:t xml:space="preserve"> cuanto hace al </w:t>
      </w:r>
      <w:r w:rsidR="006C4EA6" w:rsidRPr="005B5632">
        <w:rPr>
          <w:rFonts w:ascii="Palatino Linotype" w:hAnsi="Palatino Linotype"/>
          <w:b/>
          <w:u w:val="single"/>
        </w:rPr>
        <w:t>nombre</w:t>
      </w:r>
      <w:r w:rsidR="006C4EA6" w:rsidRPr="005B5632">
        <w:rPr>
          <w:rFonts w:ascii="Palatino Linotype" w:hAnsi="Palatino Linotype"/>
        </w:rPr>
        <w:t>;</w:t>
      </w:r>
      <w:r w:rsidR="006C4EA6" w:rsidRPr="005B5632">
        <w:t xml:space="preserve"> </w:t>
      </w:r>
      <w:r w:rsidR="006C4EA6" w:rsidRPr="005B5632">
        <w:rPr>
          <w:rFonts w:ascii="Palatino Linotype" w:hAnsi="Palatino Linotype"/>
        </w:rPr>
        <w:t xml:space="preserve">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sólo el nombre de los servidores públicos de la Policía Municipal en los documentos solicitados por el Recurrente. </w:t>
      </w:r>
    </w:p>
    <w:p w14:paraId="43A87574" w14:textId="77777777" w:rsidR="00EC5A7D" w:rsidRPr="005B5632" w:rsidRDefault="00EC5A7D" w:rsidP="005B5632">
      <w:pPr>
        <w:spacing w:line="360" w:lineRule="auto"/>
        <w:jc w:val="both"/>
      </w:pPr>
    </w:p>
    <w:p w14:paraId="426D1DFE" w14:textId="24551121" w:rsidR="006C4EA6" w:rsidRPr="005B5632" w:rsidRDefault="006C4EA6" w:rsidP="005B5632">
      <w:pPr>
        <w:spacing w:line="360" w:lineRule="auto"/>
        <w:jc w:val="both"/>
        <w:rPr>
          <w:rFonts w:ascii="Palatino Linotype" w:hAnsi="Palatino Linotype"/>
        </w:rPr>
      </w:pPr>
      <w:r w:rsidRPr="005B5632">
        <w:rPr>
          <w:rFonts w:ascii="Palatino Linotype" w:hAnsi="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E7EDE00" w14:textId="77777777" w:rsidR="006C4EA6" w:rsidRPr="005B5632" w:rsidRDefault="006C4EA6" w:rsidP="005B5632">
      <w:pPr>
        <w:spacing w:line="360" w:lineRule="auto"/>
        <w:jc w:val="both"/>
      </w:pPr>
    </w:p>
    <w:p w14:paraId="2CFCFD77" w14:textId="77777777" w:rsidR="006C4EA6" w:rsidRPr="005B5632" w:rsidRDefault="006C4EA6" w:rsidP="005B5632">
      <w:pPr>
        <w:spacing w:line="360" w:lineRule="auto"/>
        <w:jc w:val="both"/>
        <w:rPr>
          <w:rFonts w:ascii="Palatino Linotype" w:hAnsi="Palatino Linotype"/>
        </w:rPr>
      </w:pPr>
      <w:r w:rsidRPr="005B5632">
        <w:rPr>
          <w:rFonts w:ascii="Palatino Linotype" w:hAnsi="Palatino Linotype"/>
        </w:rPr>
        <w:t xml:space="preserve">Al respecto, este Instituto advierte lo siguiente: </w:t>
      </w:r>
    </w:p>
    <w:p w14:paraId="50388518" w14:textId="77777777" w:rsidR="008B6D7B" w:rsidRPr="005B5632" w:rsidRDefault="008B6D7B" w:rsidP="005B5632">
      <w:pPr>
        <w:spacing w:line="360" w:lineRule="auto"/>
        <w:jc w:val="both"/>
        <w:rPr>
          <w:rFonts w:ascii="Palatino Linotype" w:hAnsi="Palatino Linotype"/>
        </w:rPr>
      </w:pPr>
    </w:p>
    <w:p w14:paraId="5AD7F30B" w14:textId="32D0B926" w:rsidR="006C4EA6" w:rsidRPr="005B5632" w:rsidRDefault="006C4EA6" w:rsidP="005B5632">
      <w:pPr>
        <w:pStyle w:val="Prrafodelista"/>
        <w:numPr>
          <w:ilvl w:val="0"/>
          <w:numId w:val="25"/>
        </w:numPr>
        <w:spacing w:line="360" w:lineRule="auto"/>
        <w:jc w:val="both"/>
        <w:rPr>
          <w:rFonts w:ascii="Palatino Linotype" w:hAnsi="Palatino Linotype"/>
        </w:rPr>
      </w:pPr>
      <w:r w:rsidRPr="005B5632">
        <w:rPr>
          <w:rFonts w:ascii="Palatino Linotype" w:hAnsi="Palatino Linotype"/>
        </w:rPr>
        <w:t xml:space="preserve">Que toda vez que se trata de dar a conocer los nombres de los integrantes de los cuerpos de seguridad pública, es procedente la clasificación de la información como reservada, en el entendido de que se pone en riesgo su vida, salud y seguridad, dado que los hace identificables. </w:t>
      </w:r>
    </w:p>
    <w:p w14:paraId="6F946F4F" w14:textId="77777777" w:rsidR="008B6D7B" w:rsidRPr="005B5632" w:rsidRDefault="006C4EA6" w:rsidP="005B5632">
      <w:pPr>
        <w:pStyle w:val="Prrafodelista"/>
        <w:numPr>
          <w:ilvl w:val="0"/>
          <w:numId w:val="25"/>
        </w:numPr>
        <w:spacing w:line="360" w:lineRule="auto"/>
        <w:jc w:val="both"/>
        <w:rPr>
          <w:rFonts w:ascii="Palatino Linotype" w:hAnsi="Palatino Linotype"/>
        </w:rPr>
      </w:pPr>
      <w:r w:rsidRPr="005B5632">
        <w:rPr>
          <w:rFonts w:ascii="Palatino Linotype" w:hAnsi="Palatino Linotype"/>
        </w:rPr>
        <w:t>Que el riesgo de perjuicio que supone la divulgación de la información supera el interés público general; pues con dicha</w:t>
      </w:r>
      <w:r w:rsidR="008B6D7B" w:rsidRPr="005B5632">
        <w:rPr>
          <w:rFonts w:ascii="Palatino Linotype" w:hAnsi="Palatino Linotype"/>
        </w:rPr>
        <w:t xml:space="preserve"> información, se comprometería el </w:t>
      </w:r>
      <w:r w:rsidR="008B6D7B" w:rsidRPr="005B5632">
        <w:rPr>
          <w:rFonts w:ascii="Palatino Linotype" w:hAnsi="Palatino Linotype"/>
        </w:rPr>
        <w:lastRenderedPageBreak/>
        <w:t xml:space="preserve">cumplimiento de los objetivos en materia de seguridad pública, o bien, la consecución de la investigación de probables hechos delictivos y/o faltas administrativas. </w:t>
      </w:r>
    </w:p>
    <w:p w14:paraId="2ADA5B12" w14:textId="2C7F1D2A" w:rsidR="008B6D7B" w:rsidRPr="005B5632" w:rsidRDefault="008B6D7B" w:rsidP="005B5632">
      <w:pPr>
        <w:pStyle w:val="Prrafodelista"/>
        <w:numPr>
          <w:ilvl w:val="0"/>
          <w:numId w:val="25"/>
        </w:numPr>
        <w:spacing w:line="360" w:lineRule="auto"/>
        <w:jc w:val="both"/>
        <w:rPr>
          <w:rFonts w:ascii="Palatino Linotype" w:hAnsi="Palatino Linotype"/>
        </w:rPr>
      </w:pPr>
      <w:r w:rsidRPr="005B5632">
        <w:rPr>
          <w:rFonts w:ascii="Palatino Linotype" w:hAnsi="Palatino Linotype"/>
        </w:rPr>
        <w:t>• 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68EE5A78" w14:textId="77777777" w:rsidR="006C4EA6" w:rsidRPr="005B5632" w:rsidRDefault="006C4EA6" w:rsidP="005B5632">
      <w:pPr>
        <w:spacing w:line="360" w:lineRule="auto"/>
        <w:jc w:val="both"/>
      </w:pPr>
    </w:p>
    <w:p w14:paraId="5AAB0F72" w14:textId="432093B2" w:rsidR="008B6D7B" w:rsidRPr="005B5632" w:rsidRDefault="008B6D7B" w:rsidP="005B5632">
      <w:pPr>
        <w:spacing w:line="360" w:lineRule="auto"/>
        <w:jc w:val="both"/>
        <w:rPr>
          <w:rFonts w:ascii="Palatino Linotype" w:hAnsi="Palatino Linotype"/>
        </w:rPr>
      </w:pPr>
      <w:r w:rsidRPr="005B5632">
        <w:rPr>
          <w:rFonts w:ascii="Palatino Linotype" w:hAnsi="Palatino Linotype"/>
        </w:rPr>
        <w:t xml:space="preserve">En ese entendido, la leyenda de clasificación que se genere deberá establecer ambos supuestos de clasificación: </w:t>
      </w:r>
      <w:r w:rsidRPr="005B5632">
        <w:rPr>
          <w:rFonts w:ascii="Palatino Linotype" w:hAnsi="Palatino Linotype"/>
          <w:b/>
          <w:u w:val="single"/>
        </w:rPr>
        <w:t>reserva y confidencialidad</w:t>
      </w:r>
      <w:r w:rsidRPr="005B5632">
        <w:rPr>
          <w:rFonts w:ascii="Palatino Linotype" w:hAnsi="Palatino Linotype"/>
        </w:rPr>
        <w:t>, en congruencia con los requisitos establecidos en los lineamientos citados.</w:t>
      </w:r>
    </w:p>
    <w:p w14:paraId="6916AD85" w14:textId="77777777" w:rsidR="00407A37" w:rsidRPr="005B5632" w:rsidRDefault="00407A37" w:rsidP="005B5632">
      <w:pPr>
        <w:spacing w:line="360" w:lineRule="auto"/>
        <w:jc w:val="both"/>
        <w:rPr>
          <w:rFonts w:ascii="Palatino Linotype" w:hAnsi="Palatino Linotype"/>
        </w:rPr>
      </w:pPr>
    </w:p>
    <w:p w14:paraId="6F7C7103" w14:textId="766CA091" w:rsidR="008B6D7B" w:rsidRPr="005B5632" w:rsidRDefault="008B6D7B" w:rsidP="005B5632">
      <w:pPr>
        <w:spacing w:line="360" w:lineRule="auto"/>
        <w:jc w:val="both"/>
        <w:rPr>
          <w:rFonts w:ascii="Palatino Linotype" w:hAnsi="Palatino Linotype"/>
        </w:rPr>
      </w:pPr>
      <w:r w:rsidRPr="005B5632">
        <w:rPr>
          <w:rFonts w:ascii="Palatino Linotype" w:hAnsi="Palatino Linotype"/>
        </w:rPr>
        <w:t>A este respecto, de conformidad con los artículos 91 y 140, fracción IV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4058DD80" w14:textId="77777777" w:rsidR="008B6D7B" w:rsidRPr="005B5632" w:rsidRDefault="008B6D7B" w:rsidP="005B5632">
      <w:pPr>
        <w:spacing w:line="360" w:lineRule="auto"/>
        <w:jc w:val="both"/>
        <w:rPr>
          <w:rFonts w:ascii="Palatino Linotype" w:hAnsi="Palatino Linotype"/>
        </w:rPr>
      </w:pPr>
    </w:p>
    <w:p w14:paraId="56C1B79B" w14:textId="77777777" w:rsidR="008B6D7B" w:rsidRPr="005B5632" w:rsidRDefault="008B6D7B" w:rsidP="005B5632">
      <w:pPr>
        <w:spacing w:line="276" w:lineRule="auto"/>
        <w:ind w:left="567" w:right="616"/>
        <w:jc w:val="both"/>
        <w:rPr>
          <w:rFonts w:ascii="Palatino Linotype" w:hAnsi="Palatino Linotype"/>
          <w:i/>
          <w:sz w:val="22"/>
        </w:rPr>
      </w:pPr>
      <w:r w:rsidRPr="005B5632">
        <w:rPr>
          <w:rFonts w:ascii="Palatino Linotype" w:hAnsi="Palatino Linotype"/>
          <w:i/>
          <w:sz w:val="22"/>
        </w:rPr>
        <w:t>“</w:t>
      </w:r>
      <w:r w:rsidRPr="005B5632">
        <w:rPr>
          <w:rFonts w:ascii="Palatino Linotype" w:hAnsi="Palatino Linotype"/>
          <w:b/>
          <w:i/>
          <w:sz w:val="22"/>
        </w:rPr>
        <w:t xml:space="preserve">Artículo 91. </w:t>
      </w:r>
      <w:r w:rsidRPr="005B5632">
        <w:rPr>
          <w:rFonts w:ascii="Palatino Linotype" w:hAnsi="Palatino Linotype"/>
          <w:i/>
          <w:sz w:val="22"/>
        </w:rPr>
        <w:t xml:space="preserve">El acceso a la información pública será restringido excepcionalmente, cuando ésta sea clasificada como reservada o confidencial. </w:t>
      </w:r>
    </w:p>
    <w:p w14:paraId="39A96008" w14:textId="77777777" w:rsidR="00912FB6" w:rsidRPr="005B5632" w:rsidRDefault="00912FB6" w:rsidP="005B5632">
      <w:pPr>
        <w:spacing w:line="276" w:lineRule="auto"/>
        <w:ind w:left="567" w:right="616"/>
        <w:jc w:val="both"/>
        <w:rPr>
          <w:rFonts w:ascii="Palatino Linotype" w:hAnsi="Palatino Linotype"/>
          <w:i/>
          <w:sz w:val="22"/>
        </w:rPr>
      </w:pPr>
    </w:p>
    <w:p w14:paraId="7C3CE347" w14:textId="77777777" w:rsidR="008B6D7B" w:rsidRPr="005B5632" w:rsidRDefault="008B6D7B" w:rsidP="005B5632">
      <w:pPr>
        <w:spacing w:line="276" w:lineRule="auto"/>
        <w:ind w:left="567" w:right="616"/>
        <w:jc w:val="both"/>
        <w:rPr>
          <w:rFonts w:ascii="Palatino Linotype" w:hAnsi="Palatino Linotype"/>
          <w:i/>
          <w:sz w:val="22"/>
        </w:rPr>
      </w:pPr>
      <w:r w:rsidRPr="005B5632">
        <w:rPr>
          <w:rFonts w:ascii="Palatino Linotype" w:hAnsi="Palatino Linotype"/>
          <w:b/>
          <w:i/>
          <w:sz w:val="22"/>
        </w:rPr>
        <w:lastRenderedPageBreak/>
        <w:t>Artículo 140.</w:t>
      </w:r>
      <w:r w:rsidRPr="005B5632">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 IV. Ponga en riesgo la vida, la seguridad o la salud de una persona </w:t>
      </w:r>
      <w:proofErr w:type="gramStart"/>
      <w:r w:rsidRPr="005B5632">
        <w:rPr>
          <w:rFonts w:ascii="Palatino Linotype" w:hAnsi="Palatino Linotype"/>
          <w:i/>
          <w:sz w:val="22"/>
        </w:rPr>
        <w:t>física;…</w:t>
      </w:r>
      <w:proofErr w:type="gramEnd"/>
      <w:r w:rsidRPr="005B5632">
        <w:rPr>
          <w:rFonts w:ascii="Palatino Linotype" w:hAnsi="Palatino Linotype"/>
          <w:i/>
          <w:sz w:val="22"/>
        </w:rPr>
        <w:t xml:space="preserve">” (Sic) </w:t>
      </w:r>
    </w:p>
    <w:p w14:paraId="4F35B36B" w14:textId="77777777" w:rsidR="008B6D7B" w:rsidRPr="005B5632" w:rsidRDefault="008B6D7B" w:rsidP="005B5632">
      <w:pPr>
        <w:spacing w:line="360" w:lineRule="auto"/>
        <w:jc w:val="both"/>
        <w:rPr>
          <w:rFonts w:ascii="Palatino Linotype" w:hAnsi="Palatino Linotype"/>
        </w:rPr>
      </w:pPr>
    </w:p>
    <w:p w14:paraId="70DA7BCA" w14:textId="77777777" w:rsidR="008B6D7B" w:rsidRPr="005B5632" w:rsidRDefault="008B6D7B" w:rsidP="005B5632">
      <w:pPr>
        <w:spacing w:line="360" w:lineRule="auto"/>
        <w:jc w:val="both"/>
        <w:rPr>
          <w:rFonts w:ascii="Palatino Linotype" w:hAnsi="Palatino Linotype"/>
        </w:rPr>
      </w:pPr>
      <w:r w:rsidRPr="005B5632">
        <w:rPr>
          <w:rFonts w:ascii="Palatino Linotype" w:hAnsi="Palatino Linotype"/>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Sirven de sustento a lo anterior las tesis jurisprudenciales emitidas por la Suprema corte de Justicia de la Nación, que son del literal siguiente: </w:t>
      </w:r>
    </w:p>
    <w:p w14:paraId="11340A1B" w14:textId="77777777" w:rsidR="008B6D7B" w:rsidRPr="005B5632" w:rsidRDefault="008B6D7B" w:rsidP="005B5632">
      <w:pPr>
        <w:spacing w:line="360" w:lineRule="auto"/>
        <w:jc w:val="both"/>
        <w:rPr>
          <w:rFonts w:ascii="Palatino Linotype" w:hAnsi="Palatino Linotype"/>
        </w:rPr>
      </w:pPr>
    </w:p>
    <w:p w14:paraId="14747A63" w14:textId="77777777" w:rsidR="008B6D7B" w:rsidRPr="005B5632" w:rsidRDefault="008B6D7B" w:rsidP="005B5632">
      <w:pPr>
        <w:spacing w:line="276" w:lineRule="auto"/>
        <w:ind w:left="567" w:right="616"/>
        <w:jc w:val="both"/>
        <w:rPr>
          <w:rFonts w:ascii="Palatino Linotype" w:hAnsi="Palatino Linotype"/>
          <w:i/>
          <w:sz w:val="22"/>
        </w:rPr>
      </w:pPr>
      <w:r w:rsidRPr="005B5632">
        <w:rPr>
          <w:rFonts w:ascii="Palatino Linotype" w:hAnsi="Palatino Linotype"/>
          <w:i/>
          <w:sz w:val="22"/>
        </w:rPr>
        <w:t>“</w:t>
      </w:r>
      <w:r w:rsidRPr="005B5632">
        <w:rPr>
          <w:rFonts w:ascii="Palatino Linotype" w:hAnsi="Palatino Linotype"/>
          <w:b/>
          <w:i/>
          <w:sz w:val="22"/>
        </w:rPr>
        <w:t>DERECHO A LA INFORMACIÓN. SU EJERCICIO SE ENCUENTRA LIMITADO TANTO POR LOS INTERESES NACIONALES Y DE LA SOCIEDAD, COMO POR LOS DERECHOS DE TERCEROS</w:t>
      </w:r>
      <w:r w:rsidRPr="005B5632">
        <w:rPr>
          <w:rFonts w:ascii="Palatino Linotype" w:hAnsi="Palatino Linotype"/>
          <w:i/>
          <w:sz w:val="22"/>
        </w:rPr>
        <w:t xml:space="preserve">. 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w:t>
      </w:r>
      <w:r w:rsidRPr="005B5632">
        <w:rPr>
          <w:rFonts w:ascii="Palatino Linotype" w:hAnsi="Palatino Linotype"/>
          <w:i/>
          <w:sz w:val="22"/>
        </w:rPr>
        <w:lastRenderedPageBreak/>
        <w:t xml:space="preserve">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 </w:t>
      </w:r>
    </w:p>
    <w:p w14:paraId="21A36591" w14:textId="77777777" w:rsidR="008B6D7B" w:rsidRPr="005B5632" w:rsidRDefault="008B6D7B" w:rsidP="005B5632">
      <w:pPr>
        <w:spacing w:line="360" w:lineRule="auto"/>
        <w:jc w:val="both"/>
        <w:rPr>
          <w:rFonts w:ascii="Palatino Linotype" w:hAnsi="Palatino Linotype"/>
        </w:rPr>
      </w:pPr>
    </w:p>
    <w:p w14:paraId="4A25F5B9" w14:textId="77777777" w:rsidR="008B6D7B" w:rsidRPr="005B5632" w:rsidRDefault="008B6D7B" w:rsidP="005B5632">
      <w:pPr>
        <w:spacing w:line="276" w:lineRule="auto"/>
        <w:ind w:left="567" w:right="616"/>
        <w:jc w:val="both"/>
        <w:rPr>
          <w:rFonts w:ascii="Palatino Linotype" w:hAnsi="Palatino Linotype"/>
          <w:i/>
          <w:sz w:val="22"/>
        </w:rPr>
      </w:pPr>
      <w:r w:rsidRPr="005B5632">
        <w:rPr>
          <w:rFonts w:ascii="Palatino Linotype" w:hAnsi="Palatino Linotype"/>
          <w:i/>
          <w:sz w:val="22"/>
        </w:rPr>
        <w:t>“</w:t>
      </w:r>
      <w:r w:rsidRPr="005B5632">
        <w:rPr>
          <w:rFonts w:ascii="Palatino Linotype" w:hAnsi="Palatino Linotype"/>
          <w:b/>
          <w:i/>
          <w:sz w:val="22"/>
        </w:rPr>
        <w:t xml:space="preserve">TRANSPARENCIA Y ACCESO A LA INFORMACIÓN PÚBLICA GUBERNAMENTAL. EL ARTÍCULO 14, FRACCIÓN I, DE LA LEY FEDERAL RELATIVA, NO VIOLA LA GARANTÍA DE ACCESO A LA INFORMACIÓN. </w:t>
      </w:r>
      <w:r w:rsidRPr="005B5632">
        <w:rPr>
          <w:rFonts w:ascii="Palatino Linotype" w:hAnsi="Palatino Linotype"/>
          <w:i/>
          <w:sz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 </w:t>
      </w:r>
    </w:p>
    <w:p w14:paraId="05CB335D" w14:textId="77777777" w:rsidR="008B6D7B" w:rsidRPr="005B5632" w:rsidRDefault="008B6D7B" w:rsidP="005B5632">
      <w:pPr>
        <w:spacing w:line="360" w:lineRule="auto"/>
        <w:jc w:val="both"/>
        <w:rPr>
          <w:rFonts w:ascii="Palatino Linotype" w:hAnsi="Palatino Linotype"/>
        </w:rPr>
      </w:pPr>
    </w:p>
    <w:p w14:paraId="2D9687D5" w14:textId="77777777" w:rsidR="008B6D7B" w:rsidRPr="005B5632" w:rsidRDefault="008B6D7B" w:rsidP="005B5632">
      <w:pPr>
        <w:spacing w:line="360" w:lineRule="auto"/>
        <w:jc w:val="both"/>
        <w:rPr>
          <w:rFonts w:ascii="Palatino Linotype" w:hAnsi="Palatino Linotype"/>
        </w:rPr>
      </w:pPr>
      <w:r w:rsidRPr="005B5632">
        <w:rPr>
          <w:rFonts w:ascii="Palatino Linotype" w:hAnsi="Palatino Linotype"/>
        </w:rPr>
        <w:t xml:space="preserve">Asimismo, resulta necesario traer a colación por analogía, el Criterio 06/09, emitido por el entonces Instituto Federal de Acceso a la Información y Protección de Datos </w:t>
      </w:r>
      <w:r w:rsidRPr="005B5632">
        <w:rPr>
          <w:rFonts w:ascii="Palatino Linotype" w:hAnsi="Palatino Linotype"/>
        </w:rPr>
        <w:lastRenderedPageBreak/>
        <w:t xml:space="preserve">ahora Instituto Nacional de Transparencia, Acceso a la Información y Protección de Datos Personales, que establece lo siguiente: </w:t>
      </w:r>
    </w:p>
    <w:p w14:paraId="4166F493" w14:textId="77777777" w:rsidR="008B6D7B" w:rsidRPr="005B5632" w:rsidRDefault="008B6D7B" w:rsidP="005B5632">
      <w:pPr>
        <w:spacing w:line="360" w:lineRule="auto"/>
        <w:jc w:val="both"/>
        <w:rPr>
          <w:rFonts w:ascii="Palatino Linotype" w:hAnsi="Palatino Linotype"/>
        </w:rPr>
      </w:pPr>
    </w:p>
    <w:p w14:paraId="25C17835" w14:textId="77777777" w:rsidR="008B6D7B" w:rsidRPr="005B5632" w:rsidRDefault="008B6D7B" w:rsidP="005B5632">
      <w:pPr>
        <w:spacing w:line="276" w:lineRule="auto"/>
        <w:ind w:left="567" w:right="616"/>
        <w:jc w:val="both"/>
        <w:rPr>
          <w:rFonts w:ascii="Palatino Linotype" w:hAnsi="Palatino Linotype"/>
          <w:i/>
          <w:sz w:val="22"/>
        </w:rPr>
      </w:pPr>
      <w:r w:rsidRPr="005B5632">
        <w:rPr>
          <w:rFonts w:ascii="Palatino Linotype" w:hAnsi="Palatino Linotype"/>
          <w:i/>
          <w:sz w:val="22"/>
        </w:rPr>
        <w:t>“</w:t>
      </w:r>
      <w:r w:rsidRPr="005B5632">
        <w:rPr>
          <w:rFonts w:ascii="Palatino Linotype" w:hAnsi="Palatino Linotype"/>
          <w:b/>
          <w:i/>
          <w:sz w:val="22"/>
        </w:rPr>
        <w:t>Nombres de servidores públicos dedicados a actividades en materia de seguridad, por excepción pueden considerarse información reservada.</w:t>
      </w:r>
      <w:r w:rsidRPr="005B5632">
        <w:rPr>
          <w:rFonts w:ascii="Palatino Linotype" w:hAnsi="Palatino Linotype"/>
          <w:i/>
          <w:sz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5B5632">
        <w:rPr>
          <w:rFonts w:ascii="Palatino Linotype" w:hAnsi="Palatino Linotype"/>
          <w:i/>
          <w:sz w:val="22"/>
        </w:rPr>
        <w:t>obstante</w:t>
      </w:r>
      <w:proofErr w:type="gramEnd"/>
      <w:r w:rsidRPr="005B5632">
        <w:rPr>
          <w:rFonts w:ascii="Palatino Linotype" w:hAnsi="Palatino Linotype"/>
          <w:i/>
          <w:sz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w:t>
      </w:r>
    </w:p>
    <w:p w14:paraId="08FD6FE1" w14:textId="77777777" w:rsidR="008B6D7B" w:rsidRPr="005B5632" w:rsidRDefault="008B6D7B" w:rsidP="005B5632">
      <w:pPr>
        <w:spacing w:line="360" w:lineRule="auto"/>
        <w:jc w:val="both"/>
        <w:rPr>
          <w:rFonts w:ascii="Palatino Linotype" w:hAnsi="Palatino Linotype"/>
        </w:rPr>
      </w:pPr>
    </w:p>
    <w:p w14:paraId="0DA8C1E1" w14:textId="0A2D5AB4" w:rsidR="008B6D7B" w:rsidRPr="005B5632" w:rsidRDefault="008B6D7B" w:rsidP="005B5632">
      <w:pPr>
        <w:spacing w:line="360" w:lineRule="auto"/>
        <w:jc w:val="both"/>
        <w:rPr>
          <w:rFonts w:ascii="Palatino Linotype" w:hAnsi="Palatino Linotype"/>
        </w:rPr>
      </w:pPr>
      <w:r w:rsidRPr="005B5632">
        <w:rPr>
          <w:rFonts w:ascii="Palatino Linotype" w:hAnsi="Palatino Linotype"/>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w:t>
      </w:r>
      <w:r w:rsidRPr="005B5632">
        <w:rPr>
          <w:rFonts w:ascii="Palatino Linotype" w:hAnsi="Palatino Linotype"/>
        </w:rPr>
        <w:lastRenderedPageBreak/>
        <w:t>impidiendo u obstaculizando la actuación de los servidores públicos que realizan funciones de carácter operativo.</w:t>
      </w:r>
    </w:p>
    <w:p w14:paraId="393250FA" w14:textId="77777777" w:rsidR="008B6D7B" w:rsidRPr="005B5632" w:rsidRDefault="008B6D7B" w:rsidP="005B5632">
      <w:pPr>
        <w:spacing w:line="360" w:lineRule="auto"/>
        <w:jc w:val="both"/>
        <w:rPr>
          <w:rFonts w:ascii="Palatino Linotype" w:hAnsi="Palatino Linotype"/>
        </w:rPr>
      </w:pPr>
    </w:p>
    <w:p w14:paraId="5A594C94" w14:textId="29303AF4" w:rsidR="008B6D7B" w:rsidRPr="005B5632" w:rsidRDefault="008B6D7B" w:rsidP="005B5632">
      <w:pPr>
        <w:spacing w:line="360" w:lineRule="auto"/>
        <w:jc w:val="both"/>
        <w:rPr>
          <w:rFonts w:ascii="Palatino Linotype" w:hAnsi="Palatino Linotype"/>
        </w:rPr>
      </w:pPr>
      <w:r w:rsidRPr="005B5632">
        <w:rPr>
          <w:rFonts w:ascii="Palatino Linotype" w:hAnsi="Palatino Linotype"/>
        </w:rPr>
        <w:t>En ese orden de ideas, 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3A5274C3" w14:textId="77777777" w:rsidR="008B6D7B" w:rsidRPr="005B5632" w:rsidRDefault="008B6D7B" w:rsidP="005B5632">
      <w:pPr>
        <w:spacing w:line="360" w:lineRule="auto"/>
        <w:jc w:val="both"/>
        <w:rPr>
          <w:rFonts w:ascii="Palatino Linotype" w:hAnsi="Palatino Linotype"/>
        </w:rPr>
      </w:pPr>
    </w:p>
    <w:p w14:paraId="085639AE" w14:textId="1D428841" w:rsidR="008B6D7B" w:rsidRPr="005B5632" w:rsidRDefault="008B6D7B" w:rsidP="005B5632">
      <w:pPr>
        <w:spacing w:line="360" w:lineRule="auto"/>
        <w:jc w:val="both"/>
        <w:rPr>
          <w:rFonts w:ascii="Palatino Linotype" w:hAnsi="Palatino Linotype"/>
        </w:rPr>
      </w:pPr>
      <w:r w:rsidRPr="005B5632">
        <w:rPr>
          <w:rFonts w:ascii="Palatino Linotype" w:hAnsi="Palatino Linotype"/>
        </w:rPr>
        <w:t xml:space="preserve">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w:t>
      </w:r>
      <w:r w:rsidRPr="005B5632">
        <w:rPr>
          <w:rFonts w:ascii="Palatino Linotype" w:hAnsi="Palatino Linotype"/>
          <w:b/>
          <w:u w:val="single"/>
        </w:rPr>
        <w:t>las razones, motivos o circunstancias especiales que lo llevaron a concluir que el caso concreto, se ajustó a los supuestos previstos en la normatividad legal invocada como fundamento, para dichos efectos, debe proceder a su vez a realizar una prueba de daño</w:t>
      </w:r>
      <w:r w:rsidRPr="005B5632">
        <w:rPr>
          <w:rFonts w:ascii="Palatino Linotype" w:hAnsi="Palatino Linotype"/>
        </w:rPr>
        <w:t xml:space="preserve">,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w:t>
      </w:r>
      <w:r w:rsidRPr="005B5632">
        <w:rPr>
          <w:rFonts w:ascii="Palatino Linotype" w:hAnsi="Palatino Linotype"/>
        </w:rPr>
        <w:lastRenderedPageBreak/>
        <w:t>sea adecuada al principio de proporcionalidad y representa el medio menos restrictivo disponible para evitar el perjuicio.</w:t>
      </w:r>
    </w:p>
    <w:p w14:paraId="1C71D9EA" w14:textId="77777777" w:rsidR="008B6D7B" w:rsidRPr="005B5632" w:rsidRDefault="008B6D7B" w:rsidP="005B5632">
      <w:pPr>
        <w:spacing w:line="360" w:lineRule="auto"/>
        <w:jc w:val="both"/>
      </w:pPr>
    </w:p>
    <w:p w14:paraId="549FD206" w14:textId="77777777" w:rsidR="008B6D7B" w:rsidRPr="005B5632" w:rsidRDefault="008B6D7B" w:rsidP="005B5632">
      <w:pPr>
        <w:spacing w:line="360" w:lineRule="auto"/>
        <w:ind w:right="49"/>
        <w:jc w:val="both"/>
        <w:rPr>
          <w:rFonts w:ascii="Palatino Linotype" w:hAnsi="Palatino Linotype"/>
          <w:lang w:val="es-MX" w:eastAsia="en-US"/>
        </w:rPr>
      </w:pPr>
      <w:r w:rsidRPr="005B5632">
        <w:rPr>
          <w:rFonts w:ascii="Palatino Linotype" w:hAnsi="Palatino Linotype"/>
          <w:b/>
        </w:rPr>
        <w:t>Quinto.</w:t>
      </w:r>
      <w:r w:rsidRPr="005B5632">
        <w:rPr>
          <w:rFonts w:ascii="Palatino Linotype" w:hAnsi="Palatino Linotype"/>
        </w:rPr>
        <w:t xml:space="preserve"> </w:t>
      </w:r>
      <w:r w:rsidRPr="005B5632">
        <w:rPr>
          <w:rFonts w:ascii="Palatino Linotype" w:hAnsi="Palatino Linotype"/>
          <w:b/>
        </w:rPr>
        <w:t>De la versión pública.</w:t>
      </w:r>
      <w:r w:rsidRPr="005B5632">
        <w:rPr>
          <w:rFonts w:ascii="Palatino Linotype" w:hAnsi="Palatino Linotype"/>
        </w:rPr>
        <w:t xml:space="preserve"> </w:t>
      </w:r>
    </w:p>
    <w:p w14:paraId="12491722" w14:textId="77777777" w:rsidR="008B6D7B" w:rsidRPr="005B5632" w:rsidRDefault="008B6D7B" w:rsidP="005B5632">
      <w:pPr>
        <w:pStyle w:val="Prrafodelista"/>
        <w:spacing w:line="360" w:lineRule="auto"/>
        <w:ind w:right="49"/>
        <w:jc w:val="both"/>
        <w:rPr>
          <w:rFonts w:ascii="Palatino Linotype" w:hAnsi="Palatino Linotype"/>
          <w:sz w:val="24"/>
          <w:szCs w:val="24"/>
        </w:rPr>
      </w:pPr>
    </w:p>
    <w:p w14:paraId="19093CDC" w14:textId="77777777" w:rsidR="008B6D7B" w:rsidRPr="005B5632" w:rsidRDefault="008B6D7B" w:rsidP="005B5632">
      <w:pPr>
        <w:pStyle w:val="Prrafodelista"/>
        <w:spacing w:line="360" w:lineRule="auto"/>
        <w:ind w:left="0" w:right="49"/>
        <w:jc w:val="both"/>
        <w:rPr>
          <w:rFonts w:ascii="Palatino Linotype" w:hAnsi="Palatino Linotype"/>
          <w:sz w:val="24"/>
          <w:szCs w:val="24"/>
        </w:rPr>
      </w:pPr>
      <w:r w:rsidRPr="005B5632">
        <w:rPr>
          <w:rFonts w:ascii="Palatino Linotype" w:hAnsi="Palatino Linotype"/>
          <w:sz w:val="24"/>
          <w:szCs w:val="24"/>
        </w:rPr>
        <w:t>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2707EAB" w14:textId="77777777" w:rsidR="008B6D7B" w:rsidRPr="005B5632" w:rsidRDefault="008B6D7B" w:rsidP="005B5632">
      <w:pPr>
        <w:spacing w:line="360" w:lineRule="auto"/>
        <w:ind w:right="49"/>
        <w:jc w:val="both"/>
        <w:rPr>
          <w:rFonts w:ascii="Palatino Linotype" w:hAnsi="Palatino Linotype"/>
        </w:rPr>
      </w:pPr>
    </w:p>
    <w:p w14:paraId="00B82930" w14:textId="77777777" w:rsidR="008B6D7B" w:rsidRPr="005B5632" w:rsidRDefault="008B6D7B" w:rsidP="005B5632">
      <w:pPr>
        <w:spacing w:line="360" w:lineRule="auto"/>
        <w:ind w:right="49"/>
        <w:jc w:val="both"/>
        <w:rPr>
          <w:rFonts w:ascii="Palatino Linotype" w:hAnsi="Palatino Linotype"/>
        </w:rPr>
      </w:pPr>
      <w:r w:rsidRPr="005B5632">
        <w:rPr>
          <w:rFonts w:ascii="Palatino Linotype" w:hAnsi="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3410B95B" w14:textId="77777777" w:rsidR="008B6D7B" w:rsidRPr="005B5632" w:rsidRDefault="008B6D7B" w:rsidP="005B5632">
      <w:pPr>
        <w:spacing w:line="360" w:lineRule="auto"/>
        <w:ind w:right="49"/>
        <w:jc w:val="both"/>
        <w:rPr>
          <w:rFonts w:ascii="Palatino Linotype" w:hAnsi="Palatino Linotype"/>
        </w:rPr>
      </w:pPr>
    </w:p>
    <w:p w14:paraId="00A3A444"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b/>
        </w:rPr>
        <w:t xml:space="preserve"> </w:t>
      </w:r>
      <w:r w:rsidRPr="005B5632">
        <w:rPr>
          <w:rFonts w:ascii="Palatino Linotype" w:hAnsi="Palatino Linotype"/>
          <w:b/>
          <w:i/>
        </w:rPr>
        <w:t>Artículo 143.</w:t>
      </w:r>
      <w:r w:rsidRPr="005B5632">
        <w:rPr>
          <w:rFonts w:ascii="Palatino Linotype" w:hAnsi="Palatino Linotype"/>
          <w:i/>
        </w:rPr>
        <w:t xml:space="preserve"> Para los efectos de esta Ley se considera información confidencial, la clasificada como tal, de manera permanente, por su naturaleza, cuando:</w:t>
      </w:r>
    </w:p>
    <w:p w14:paraId="20E17944" w14:textId="77777777" w:rsidR="008B6D7B" w:rsidRPr="005B5632" w:rsidRDefault="008B6D7B" w:rsidP="005B5632">
      <w:pPr>
        <w:spacing w:line="276" w:lineRule="auto"/>
        <w:ind w:left="567" w:right="560"/>
        <w:jc w:val="both"/>
        <w:rPr>
          <w:rFonts w:ascii="Palatino Linotype" w:hAnsi="Palatino Linotype"/>
          <w:i/>
        </w:rPr>
      </w:pPr>
      <w:r w:rsidRPr="005B5632">
        <w:rPr>
          <w:rFonts w:ascii="Palatino Linotype" w:hAnsi="Palatino Linotype"/>
          <w:i/>
        </w:rPr>
        <w:t>I.</w:t>
      </w:r>
      <w:r w:rsidRPr="005B5632">
        <w:rPr>
          <w:rFonts w:ascii="Palatino Linotype" w:hAnsi="Palatino Linotype"/>
          <w:i/>
        </w:rPr>
        <w:tab/>
        <w:t>Se refiera a la información privada y los datos personales concernientes a una persona física o jurídico colectiva identificada o identificable…</w:t>
      </w:r>
    </w:p>
    <w:p w14:paraId="04F5FC83" w14:textId="77777777" w:rsidR="008B6D7B" w:rsidRPr="005B5632" w:rsidRDefault="008B6D7B" w:rsidP="005B5632">
      <w:pPr>
        <w:spacing w:line="360" w:lineRule="auto"/>
        <w:ind w:right="49"/>
        <w:jc w:val="both"/>
        <w:rPr>
          <w:rFonts w:ascii="Palatino Linotype" w:hAnsi="Palatino Linotype"/>
        </w:rPr>
      </w:pPr>
    </w:p>
    <w:p w14:paraId="6BE4E9E8" w14:textId="77777777" w:rsidR="008B6D7B" w:rsidRPr="005B5632" w:rsidRDefault="008B6D7B" w:rsidP="005B5632">
      <w:pPr>
        <w:spacing w:line="360" w:lineRule="auto"/>
        <w:ind w:right="49"/>
        <w:jc w:val="both"/>
        <w:rPr>
          <w:rFonts w:ascii="Palatino Linotype" w:hAnsi="Palatino Linotype"/>
        </w:rPr>
      </w:pPr>
      <w:r w:rsidRPr="005B5632">
        <w:rPr>
          <w:rFonts w:ascii="Palatino Linotype" w:hAnsi="Palatino Linotype"/>
        </w:rPr>
        <w:lastRenderedPageBreak/>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7EE4B96" w14:textId="77777777" w:rsidR="008B6D7B" w:rsidRPr="005B5632" w:rsidRDefault="008B6D7B" w:rsidP="005B5632">
      <w:pPr>
        <w:spacing w:line="360" w:lineRule="auto"/>
        <w:ind w:right="49"/>
        <w:jc w:val="both"/>
        <w:rPr>
          <w:rFonts w:ascii="Palatino Linotype" w:hAnsi="Palatino Linotype"/>
        </w:rPr>
      </w:pPr>
    </w:p>
    <w:p w14:paraId="1BD69F53" w14:textId="77777777" w:rsidR="008B6D7B" w:rsidRPr="005B5632" w:rsidRDefault="008B6D7B" w:rsidP="005B5632">
      <w:pPr>
        <w:spacing w:line="360" w:lineRule="auto"/>
        <w:ind w:right="49"/>
        <w:jc w:val="both"/>
        <w:rPr>
          <w:rFonts w:ascii="Palatino Linotype" w:hAnsi="Palatino Linotype"/>
        </w:rPr>
      </w:pPr>
      <w:r w:rsidRPr="005B5632">
        <w:rPr>
          <w:rFonts w:ascii="Palatino Linotype" w:hAnsi="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13AAE0DD" w14:textId="77777777" w:rsidR="008B6D7B" w:rsidRPr="005B5632" w:rsidRDefault="008B6D7B" w:rsidP="005B5632">
      <w:pPr>
        <w:spacing w:line="360" w:lineRule="auto"/>
        <w:ind w:right="49"/>
        <w:jc w:val="both"/>
        <w:rPr>
          <w:rFonts w:ascii="Palatino Linotype" w:hAnsi="Palatino Linotype"/>
        </w:rPr>
      </w:pPr>
    </w:p>
    <w:p w14:paraId="1D812A1F" w14:textId="77777777" w:rsidR="008B6D7B" w:rsidRPr="005B5632" w:rsidRDefault="008B6D7B" w:rsidP="005B5632">
      <w:pPr>
        <w:spacing w:line="276" w:lineRule="auto"/>
        <w:ind w:left="567" w:right="560"/>
        <w:jc w:val="both"/>
        <w:rPr>
          <w:rFonts w:ascii="Palatino Linotype" w:hAnsi="Palatino Linotype"/>
          <w:i/>
          <w:sz w:val="20"/>
        </w:rPr>
      </w:pPr>
      <w:r w:rsidRPr="005B5632">
        <w:rPr>
          <w:rFonts w:ascii="Palatino Linotype" w:hAnsi="Palatino Linotype"/>
          <w:b/>
          <w:i/>
          <w:sz w:val="22"/>
        </w:rPr>
        <w:t>Artículo 49.</w:t>
      </w:r>
      <w:r w:rsidRPr="005B5632">
        <w:rPr>
          <w:rFonts w:ascii="Palatino Linotype" w:hAnsi="Palatino Linotype"/>
          <w:i/>
          <w:sz w:val="22"/>
        </w:rPr>
        <w:t xml:space="preserve"> Los Comités de Transparencia tendrán las siguientes atribuciones:</w:t>
      </w:r>
    </w:p>
    <w:p w14:paraId="7F39A4B3"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61706521"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i/>
          <w:sz w:val="22"/>
        </w:rPr>
        <w:t>VIII. Aprobar, modificar o revocar la clasificación de la información</w:t>
      </w:r>
    </w:p>
    <w:p w14:paraId="2FE497CE"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6FA07421" w14:textId="77777777" w:rsidR="008B6D7B" w:rsidRPr="005B5632" w:rsidRDefault="008B6D7B" w:rsidP="005B5632">
      <w:pPr>
        <w:spacing w:line="276" w:lineRule="auto"/>
        <w:ind w:left="567" w:right="560"/>
        <w:jc w:val="both"/>
        <w:rPr>
          <w:rFonts w:ascii="Palatino Linotype" w:hAnsi="Palatino Linotype"/>
          <w:i/>
          <w:sz w:val="22"/>
        </w:rPr>
      </w:pPr>
    </w:p>
    <w:p w14:paraId="7993FBF6"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b/>
          <w:i/>
          <w:sz w:val="22"/>
        </w:rPr>
        <w:t>Artículo 53.</w:t>
      </w:r>
      <w:r w:rsidRPr="005B5632">
        <w:rPr>
          <w:rFonts w:ascii="Palatino Linotype" w:hAnsi="Palatino Linotype"/>
          <w:i/>
          <w:sz w:val="22"/>
        </w:rPr>
        <w:t xml:space="preserve"> Las Unidades de Transparencia tendrán las siguientes funciones:</w:t>
      </w:r>
    </w:p>
    <w:p w14:paraId="3D3614D0"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5EC9408F"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i/>
          <w:sz w:val="22"/>
        </w:rPr>
        <w:t xml:space="preserve">X. Presentar ante el Comité, el proyecto de clasificación de información…” </w:t>
      </w:r>
    </w:p>
    <w:p w14:paraId="69BE9559"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4F746AA5" w14:textId="77777777" w:rsidR="008B6D7B" w:rsidRPr="005B5632" w:rsidRDefault="008B6D7B" w:rsidP="005B5632">
      <w:pPr>
        <w:spacing w:line="276" w:lineRule="auto"/>
        <w:ind w:left="567" w:right="560"/>
        <w:jc w:val="both"/>
        <w:rPr>
          <w:rFonts w:ascii="Palatino Linotype" w:hAnsi="Palatino Linotype"/>
          <w:i/>
          <w:sz w:val="22"/>
        </w:rPr>
      </w:pPr>
    </w:p>
    <w:p w14:paraId="402C2AB0"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b/>
          <w:i/>
          <w:sz w:val="22"/>
        </w:rPr>
        <w:t>Artículo 59.</w:t>
      </w:r>
      <w:r w:rsidRPr="005B5632">
        <w:rPr>
          <w:rFonts w:ascii="Palatino Linotype" w:hAnsi="Palatino Linotype"/>
          <w:i/>
          <w:sz w:val="22"/>
        </w:rPr>
        <w:t xml:space="preserve"> Los servidores públicos habilitados tendrán las funciones siguientes:</w:t>
      </w:r>
    </w:p>
    <w:p w14:paraId="796E673E"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1B7BB667"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i/>
          <w:sz w:val="22"/>
        </w:rPr>
        <w:t>V. Integrar y presentar al responsable de la Unidad de Transparencia la propuesta de clasificación de información, la cual tendrá los fundamentos y argumentos en que se basa dicha propuesta</w:t>
      </w:r>
    </w:p>
    <w:p w14:paraId="74115113" w14:textId="77777777" w:rsidR="008B6D7B" w:rsidRPr="005B5632" w:rsidRDefault="008B6D7B" w:rsidP="005B5632">
      <w:pPr>
        <w:spacing w:line="276" w:lineRule="auto"/>
        <w:ind w:left="567" w:right="560"/>
        <w:jc w:val="both"/>
        <w:rPr>
          <w:rFonts w:ascii="Palatino Linotype" w:hAnsi="Palatino Linotype"/>
          <w:i/>
          <w:sz w:val="22"/>
        </w:rPr>
      </w:pPr>
      <w:r w:rsidRPr="005B5632">
        <w:rPr>
          <w:rFonts w:ascii="Palatino Linotype" w:hAnsi="Palatino Linotype"/>
          <w:i/>
          <w:sz w:val="22"/>
        </w:rPr>
        <w:t>…</w:t>
      </w:r>
    </w:p>
    <w:p w14:paraId="576046EE" w14:textId="77777777" w:rsidR="008B6D7B" w:rsidRPr="005B5632" w:rsidRDefault="008B6D7B" w:rsidP="005B5632">
      <w:pPr>
        <w:spacing w:line="276" w:lineRule="auto"/>
        <w:ind w:left="567" w:right="560"/>
        <w:jc w:val="both"/>
        <w:rPr>
          <w:rFonts w:ascii="Palatino Linotype" w:hAnsi="Palatino Linotype"/>
          <w:i/>
        </w:rPr>
      </w:pPr>
      <w:r w:rsidRPr="005B5632">
        <w:rPr>
          <w:rFonts w:ascii="Palatino Linotype" w:hAnsi="Palatino Linotype"/>
          <w:i/>
        </w:rPr>
        <w:t xml:space="preserve"> </w:t>
      </w:r>
    </w:p>
    <w:p w14:paraId="238DEA36" w14:textId="77777777" w:rsidR="008B6D7B" w:rsidRPr="005B5632" w:rsidRDefault="008B6D7B" w:rsidP="005B5632">
      <w:pPr>
        <w:spacing w:line="360" w:lineRule="auto"/>
        <w:ind w:right="49"/>
        <w:jc w:val="both"/>
        <w:rPr>
          <w:rFonts w:ascii="Palatino Linotype" w:hAnsi="Palatino Linotype"/>
        </w:rPr>
      </w:pPr>
      <w:r w:rsidRPr="005B5632">
        <w:rPr>
          <w:rFonts w:ascii="Palatino Linotype" w:hAnsi="Palatino Linotype"/>
        </w:rPr>
        <w:t xml:space="preserve">Por último, cabe resaltar que respecto a la versión pública de los documentos que contenga la información solicitada, el Comité de Transparencia del sujeto obligado, </w:t>
      </w:r>
      <w:r w:rsidRPr="005B5632">
        <w:rPr>
          <w:rFonts w:ascii="Palatino Linotype" w:hAnsi="Palatino Linotype"/>
        </w:rPr>
        <w:lastRenderedPageBreak/>
        <w:t xml:space="preserve">deberá emitir el acuerdo de clasificación de información debidamente fundado y motivado, en términos del artículo 149 de la Ley en la materia, que establece: </w:t>
      </w:r>
    </w:p>
    <w:p w14:paraId="165ED39D" w14:textId="77777777" w:rsidR="008B6D7B" w:rsidRPr="005B5632" w:rsidRDefault="008B6D7B" w:rsidP="005B5632">
      <w:pPr>
        <w:spacing w:line="360" w:lineRule="auto"/>
        <w:ind w:right="49"/>
        <w:jc w:val="both"/>
        <w:rPr>
          <w:rFonts w:ascii="Palatino Linotype" w:hAnsi="Palatino Linotype"/>
        </w:rPr>
      </w:pPr>
    </w:p>
    <w:p w14:paraId="4EE8F823" w14:textId="77777777" w:rsidR="008B6D7B" w:rsidRPr="005B5632" w:rsidRDefault="008B6D7B" w:rsidP="005B5632">
      <w:pPr>
        <w:spacing w:line="360" w:lineRule="auto"/>
        <w:ind w:left="567" w:right="560"/>
        <w:jc w:val="both"/>
        <w:rPr>
          <w:rFonts w:ascii="Palatino Linotype" w:hAnsi="Palatino Linotype"/>
          <w:i/>
          <w:sz w:val="20"/>
        </w:rPr>
      </w:pPr>
      <w:r w:rsidRPr="005B5632">
        <w:rPr>
          <w:rFonts w:ascii="Palatino Linotype" w:hAnsi="Palatino Linotype"/>
          <w:b/>
          <w:i/>
          <w:sz w:val="22"/>
        </w:rPr>
        <w:t>Artículo 149.</w:t>
      </w:r>
      <w:r w:rsidRPr="005B5632">
        <w:rPr>
          <w:rFonts w:ascii="Palatino Linotype" w:hAnsi="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5A844934" w14:textId="77777777" w:rsidR="008B6D7B" w:rsidRPr="005B5632" w:rsidRDefault="008B6D7B" w:rsidP="005B5632">
      <w:pPr>
        <w:spacing w:line="360" w:lineRule="auto"/>
        <w:ind w:right="49"/>
        <w:jc w:val="both"/>
        <w:rPr>
          <w:rFonts w:ascii="Palatino Linotype" w:hAnsi="Palatino Linotype"/>
        </w:rPr>
      </w:pPr>
      <w:r w:rsidRPr="005B5632">
        <w:rPr>
          <w:rFonts w:ascii="Palatino Linotype" w:hAnsi="Palatino Linotype"/>
        </w:rPr>
        <w:t xml:space="preserve"> </w:t>
      </w:r>
    </w:p>
    <w:p w14:paraId="1FF93EB6" w14:textId="77777777" w:rsidR="008B6D7B" w:rsidRPr="005B5632" w:rsidRDefault="008B6D7B" w:rsidP="005B5632">
      <w:pPr>
        <w:spacing w:line="360" w:lineRule="auto"/>
        <w:ind w:right="49"/>
        <w:jc w:val="both"/>
        <w:rPr>
          <w:rFonts w:ascii="Palatino Linotype" w:hAnsi="Palatino Linotype"/>
        </w:rPr>
      </w:pPr>
      <w:r w:rsidRPr="005B5632">
        <w:rPr>
          <w:rFonts w:ascii="Palatino Linotype" w:hAnsi="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37E79865" w14:textId="77777777" w:rsidR="008B6D7B" w:rsidRPr="005B5632" w:rsidRDefault="008B6D7B" w:rsidP="005B5632">
      <w:pPr>
        <w:spacing w:line="360" w:lineRule="auto"/>
        <w:ind w:right="49"/>
        <w:jc w:val="both"/>
        <w:rPr>
          <w:rFonts w:ascii="Palatino Linotype" w:hAnsi="Palatino Linotype"/>
        </w:rPr>
      </w:pPr>
    </w:p>
    <w:tbl>
      <w:tblPr>
        <w:tblW w:w="0" w:type="auto"/>
        <w:tblBorders>
          <w:top w:val="single" w:sz="6" w:space="0" w:color="BFBFBF"/>
          <w:left w:val="single" w:sz="6" w:space="0" w:color="BFBFBF"/>
          <w:bottom w:val="single" w:sz="6" w:space="0" w:color="BFBFBF"/>
          <w:right w:val="single" w:sz="6" w:space="0" w:color="BFBFBF"/>
        </w:tblBorders>
        <w:tblLook w:val="04A0" w:firstRow="1" w:lastRow="0" w:firstColumn="1" w:lastColumn="0" w:noHBand="0" w:noVBand="1"/>
      </w:tblPr>
      <w:tblGrid>
        <w:gridCol w:w="1377"/>
        <w:gridCol w:w="2726"/>
        <w:gridCol w:w="1486"/>
        <w:gridCol w:w="3233"/>
      </w:tblGrid>
      <w:tr w:rsidR="008B6D7B" w:rsidRPr="005B5632" w14:paraId="57552CAF" w14:textId="77777777" w:rsidTr="008B6D7B">
        <w:tc>
          <w:tcPr>
            <w:tcW w:w="0" w:type="auto"/>
            <w:gridSpan w:val="2"/>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4ACE3115"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633DDD06"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Total</w:t>
            </w:r>
          </w:p>
        </w:tc>
      </w:tr>
      <w:tr w:rsidR="008B6D7B" w:rsidRPr="005B5632" w14:paraId="1C85CBFE"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79A018ED"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Concepto</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0DE936C2"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Dónde</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46E6714A"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Concepto</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1195024C"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Dónde</w:t>
            </w:r>
          </w:p>
        </w:tc>
      </w:tr>
      <w:tr w:rsidR="008B6D7B" w:rsidRPr="005B5632" w14:paraId="28F8D495" w14:textId="77777777" w:rsidTr="008B6D7B">
        <w:tc>
          <w:tcPr>
            <w:tcW w:w="0" w:type="auto"/>
            <w:gridSpan w:val="4"/>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53EF9375"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Sello oficial o logotipo del sujeto obligado</w:t>
            </w:r>
          </w:p>
        </w:tc>
      </w:tr>
      <w:tr w:rsidR="008B6D7B" w:rsidRPr="005B5632" w14:paraId="0B8C9956"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6D00333D"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3BBAA691"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0294E8D0"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25B428C3"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anotará la fecha en la que el Comité de Transparencia confirmó la clasificación del documento, en su caso.</w:t>
            </w:r>
          </w:p>
        </w:tc>
      </w:tr>
      <w:tr w:rsidR="008B6D7B" w:rsidRPr="005B5632" w14:paraId="7C14820E"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2BE33037"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Área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45BD7BC2"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114189C9"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Área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1A4FA25D"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señalará el nombre del área de la cual es el titular quien clasifica.</w:t>
            </w:r>
          </w:p>
        </w:tc>
      </w:tr>
      <w:tr w:rsidR="008B6D7B" w:rsidRPr="005B5632" w14:paraId="0F047A87"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39CE3CBC"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37FCD6A2"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 xml:space="preserve">Se indicarán, en su caso, las partes o páginas del documento que se clasifican como reservadas. Si el documento fuera reservado en su totalidad, se anotarán todas las páginas que lo conforman. Si el documento no contiene </w:t>
            </w:r>
            <w:r w:rsidRPr="005B5632">
              <w:rPr>
                <w:rFonts w:ascii="Palatino Linotype" w:hAnsi="Palatino Linotype"/>
                <w:sz w:val="18"/>
                <w:szCs w:val="18"/>
                <w:lang w:eastAsia="es-MX"/>
              </w:rPr>
              <w:lastRenderedPageBreak/>
              <w:t>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79C2D2A0"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lastRenderedPageBreak/>
              <w:t>Reservado</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421732CB"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Leyenda de información RESERVADA.</w:t>
            </w:r>
          </w:p>
        </w:tc>
      </w:tr>
      <w:tr w:rsidR="008B6D7B" w:rsidRPr="005B5632" w14:paraId="3EB55307"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39DD4C48"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79C44BAE"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7A985721"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Periodo de reserva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4153962F"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anotará el número de años o meses por los que se mantendrá el documento o las partes del mismo como reservado. Si el expediente no es reservado, sino confidencial, deberá tacharse este apartado.</w:t>
            </w:r>
          </w:p>
        </w:tc>
      </w:tr>
      <w:tr w:rsidR="008B6D7B" w:rsidRPr="005B5632" w14:paraId="5048F779"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4D3F1819"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088C47C9"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08AA8F30"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1243DB83"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señalará el nombre del o de los ordenamientos jurídicos, el o los artículos, fracción(es), párrafo(s) con base en los cuales se sustenta la reserva.</w:t>
            </w:r>
          </w:p>
        </w:tc>
      </w:tr>
      <w:tr w:rsidR="008B6D7B" w:rsidRPr="005B5632" w14:paraId="4C5745A9"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1A4AB05B"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Confidencial</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3E5C4CE7"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75FF1C72"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56F33C25"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En caso de haber solicitado la ampliación del periodo de reserva originalmente establecido, se deberá anotar el número de años o meses por los que se amplía la reserva.</w:t>
            </w:r>
          </w:p>
        </w:tc>
      </w:tr>
      <w:tr w:rsidR="008B6D7B" w:rsidRPr="005B5632" w14:paraId="45DC8B4A"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4B1845A7"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7D34E8A9"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71CEA928"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Confidencial</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203C56D9"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Leyenda de información CONFIDENCIAL.</w:t>
            </w:r>
          </w:p>
        </w:tc>
      </w:tr>
      <w:tr w:rsidR="008B6D7B" w:rsidRPr="005B5632" w14:paraId="19E2ADF3"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38D86229"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603A9549"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427DFBEB"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76363D82"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 xml:space="preserve">Se señalará el nombre del o de los ordenamientos jurídicos, el o los artículos, fracción(es), párrafo(s) con </w:t>
            </w:r>
            <w:r w:rsidRPr="005B5632">
              <w:rPr>
                <w:rFonts w:ascii="Palatino Linotype" w:hAnsi="Palatino Linotype"/>
                <w:sz w:val="18"/>
                <w:szCs w:val="18"/>
                <w:lang w:eastAsia="es-MX"/>
              </w:rPr>
              <w:lastRenderedPageBreak/>
              <w:t>base en los cuales se sustente la confidencialidad.</w:t>
            </w:r>
          </w:p>
        </w:tc>
      </w:tr>
      <w:tr w:rsidR="008B6D7B" w:rsidRPr="005B5632" w14:paraId="6DAFD6B2"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2837F15C"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lastRenderedPageBreak/>
              <w:t>Fecha de desclasificación</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0533251A"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1622FF49"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57A846C5"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Rúbrica autógrafa de quien clasifica.</w:t>
            </w:r>
          </w:p>
        </w:tc>
      </w:tr>
      <w:tr w:rsidR="008B6D7B" w:rsidRPr="005B5632" w14:paraId="20CC46D5"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0DCC506C"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7235E61F"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18CA1785"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1BF4FE4B"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Se anotará la fecha en que se desclasifica.</w:t>
            </w:r>
          </w:p>
        </w:tc>
      </w:tr>
      <w:tr w:rsidR="008B6D7B" w:rsidRPr="005B5632" w14:paraId="2B3AAB29"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57C62D13"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68BC079E"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107D30D0"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2DC64B12"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En caso que una vez desclasificado el expediente, </w:t>
            </w:r>
            <w:proofErr w:type="spellStart"/>
            <w:r w:rsidRPr="005B5632">
              <w:rPr>
                <w:rFonts w:ascii="Palatino Linotype" w:hAnsi="Palatino Linotype"/>
                <w:sz w:val="18"/>
                <w:szCs w:val="18"/>
                <w:lang w:eastAsia="es-MX"/>
              </w:rPr>
              <w:t>subsistanpartes</w:t>
            </w:r>
            <w:proofErr w:type="spellEnd"/>
            <w:r w:rsidRPr="005B5632">
              <w:rPr>
                <w:rFonts w:ascii="Palatino Linotype" w:hAnsi="Palatino Linotype"/>
                <w:sz w:val="18"/>
                <w:szCs w:val="18"/>
                <w:lang w:eastAsia="es-MX"/>
              </w:rPr>
              <w:t> o secciones del mismo reservadas o confidenciales, se señalará este hecho.</w:t>
            </w:r>
          </w:p>
        </w:tc>
      </w:tr>
      <w:tr w:rsidR="008B6D7B" w:rsidRPr="005B5632" w14:paraId="514F1809" w14:textId="77777777" w:rsidTr="008B6D7B">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04C51186"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173DFC0D"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3FFB454E"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b/>
                <w:bCs/>
                <w:sz w:val="18"/>
                <w:szCs w:val="18"/>
                <w:lang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hideMark/>
          </w:tcPr>
          <w:p w14:paraId="259E9F39" w14:textId="77777777" w:rsidR="008B6D7B" w:rsidRPr="005B5632" w:rsidRDefault="008B6D7B" w:rsidP="005B5632">
            <w:pPr>
              <w:spacing w:line="360" w:lineRule="auto"/>
              <w:jc w:val="both"/>
              <w:rPr>
                <w:rFonts w:ascii="Palatino Linotype" w:hAnsi="Palatino Linotype"/>
                <w:sz w:val="18"/>
                <w:szCs w:val="18"/>
                <w:lang w:eastAsia="es-MX"/>
              </w:rPr>
            </w:pPr>
            <w:r w:rsidRPr="005B5632">
              <w:rPr>
                <w:rFonts w:ascii="Palatino Linotype" w:hAnsi="Palatino Linotype"/>
                <w:sz w:val="18"/>
                <w:szCs w:val="18"/>
                <w:lang w:eastAsia="es-MX"/>
              </w:rPr>
              <w:t>Rúbrica autógrafa de quien desclasifica.</w:t>
            </w:r>
          </w:p>
        </w:tc>
      </w:tr>
    </w:tbl>
    <w:p w14:paraId="6259F24D" w14:textId="77777777" w:rsidR="008B6D7B" w:rsidRPr="005B5632" w:rsidRDefault="008B6D7B" w:rsidP="005B5632">
      <w:pPr>
        <w:spacing w:line="360" w:lineRule="auto"/>
        <w:ind w:right="49"/>
        <w:jc w:val="both"/>
        <w:rPr>
          <w:rFonts w:ascii="Palatino Linotype" w:hAnsi="Palatino Linotype" w:cstheme="minorBidi"/>
          <w:lang w:eastAsia="en-US"/>
        </w:rPr>
      </w:pPr>
    </w:p>
    <w:p w14:paraId="2FB1566E" w14:textId="2E52DB80" w:rsidR="008B6D7B" w:rsidRPr="005B5632" w:rsidRDefault="008B6D7B" w:rsidP="005B5632">
      <w:pPr>
        <w:spacing w:line="360" w:lineRule="auto"/>
        <w:ind w:right="49"/>
        <w:jc w:val="both"/>
        <w:rPr>
          <w:rFonts w:ascii="Palatino Linotype" w:hAnsi="Palatino Linotype"/>
        </w:rPr>
      </w:pPr>
      <w:r w:rsidRPr="005B5632">
        <w:rPr>
          <w:rFonts w:ascii="Palatino Linotype" w:hAnsi="Palatino Linotype"/>
        </w:rPr>
        <w:t xml:space="preserve">Es así como, en mérito de lo expuesto en líneas anteriores, resultan parcialmente fundadas las razones o motivos de inconformidad hechos valer por el </w:t>
      </w:r>
      <w:r w:rsidRPr="005B5632">
        <w:rPr>
          <w:rFonts w:ascii="Palatino Linotype" w:hAnsi="Palatino Linotype"/>
          <w:b/>
        </w:rPr>
        <w:t xml:space="preserve">RECURRENTE </w:t>
      </w:r>
      <w:r w:rsidRPr="005B5632">
        <w:rPr>
          <w:rFonts w:ascii="Palatino Linotype" w:hAnsi="Palatino Linotype"/>
        </w:rPr>
        <w:t xml:space="preserve">dentro del recurso de revisión </w:t>
      </w:r>
      <w:r w:rsidRPr="005B5632">
        <w:rPr>
          <w:rFonts w:ascii="Palatino Linotype" w:hAnsi="Palatino Linotype"/>
          <w:b/>
        </w:rPr>
        <w:t>07889/INFOEM/IP/RR/2022</w:t>
      </w:r>
      <w:r w:rsidRPr="005B5632">
        <w:rPr>
          <w:rFonts w:ascii="Palatino Linotype" w:hAnsi="Palatino Linotype"/>
        </w:rPr>
        <w:t xml:space="preserve">; por ello, y con fundamento en la fracción III del numeral 186 de la Ley de Transparencia y Acceso a la Información Pública del Estado de México y Municipios, se </w:t>
      </w:r>
      <w:r w:rsidRPr="005B5632">
        <w:rPr>
          <w:rFonts w:ascii="Palatino Linotype" w:hAnsi="Palatino Linotype"/>
          <w:b/>
        </w:rPr>
        <w:t xml:space="preserve">REVOCA </w:t>
      </w:r>
      <w:r w:rsidRPr="005B5632">
        <w:rPr>
          <w:rFonts w:ascii="Palatino Linotype" w:hAnsi="Palatino Linotype"/>
        </w:rPr>
        <w:t xml:space="preserve">la respuesta a la solicitud de información número </w:t>
      </w:r>
      <w:r w:rsidRPr="005B5632">
        <w:rPr>
          <w:rFonts w:ascii="Palatino Linotype" w:hAnsi="Palatino Linotype"/>
          <w:b/>
        </w:rPr>
        <w:t>00051/MELOCAM/IP/2022.</w:t>
      </w:r>
    </w:p>
    <w:p w14:paraId="30AECE24" w14:textId="77777777" w:rsidR="00EC5A7D" w:rsidRPr="005B5632" w:rsidRDefault="00EC5A7D" w:rsidP="005B5632">
      <w:pPr>
        <w:spacing w:line="360" w:lineRule="auto"/>
        <w:jc w:val="both"/>
        <w:rPr>
          <w:rFonts w:ascii="Palatino Linotype" w:hAnsi="Palatino Linotype"/>
        </w:rPr>
      </w:pPr>
    </w:p>
    <w:p w14:paraId="1F02C6B5" w14:textId="7014DCCF" w:rsidR="00B11895" w:rsidRPr="005B5632" w:rsidRDefault="0091500F" w:rsidP="005B5632">
      <w:pPr>
        <w:spacing w:line="360" w:lineRule="auto"/>
        <w:jc w:val="both"/>
        <w:rPr>
          <w:rFonts w:ascii="Palatino Linotype" w:hAnsi="Palatino Linotype"/>
        </w:rPr>
      </w:pPr>
      <w:r w:rsidRPr="005B5632">
        <w:rPr>
          <w:rFonts w:ascii="Palatino Linotype" w:hAnsi="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w:t>
      </w:r>
    </w:p>
    <w:p w14:paraId="570DE0B1" w14:textId="77777777" w:rsidR="0091500F" w:rsidRPr="005B5632" w:rsidRDefault="0091500F" w:rsidP="005B5632">
      <w:pPr>
        <w:spacing w:line="360" w:lineRule="auto"/>
        <w:jc w:val="center"/>
        <w:rPr>
          <w:rFonts w:ascii="Palatino Linotype" w:hAnsi="Palatino Linotype"/>
          <w:b/>
        </w:rPr>
      </w:pPr>
      <w:r w:rsidRPr="005B5632">
        <w:rPr>
          <w:rFonts w:ascii="Palatino Linotype" w:hAnsi="Palatino Linotype"/>
          <w:b/>
        </w:rPr>
        <w:lastRenderedPageBreak/>
        <w:t>I.</w:t>
      </w:r>
      <w:r w:rsidRPr="005B5632">
        <w:rPr>
          <w:rFonts w:ascii="Palatino Linotype" w:hAnsi="Palatino Linotype"/>
          <w:b/>
        </w:rPr>
        <w:tab/>
        <w:t>R E S U E L V E:</w:t>
      </w:r>
    </w:p>
    <w:p w14:paraId="4A71C0BD" w14:textId="77777777" w:rsidR="0091500F" w:rsidRPr="005B5632" w:rsidRDefault="0091500F" w:rsidP="005B5632">
      <w:pPr>
        <w:spacing w:line="360" w:lineRule="auto"/>
        <w:jc w:val="both"/>
        <w:rPr>
          <w:rFonts w:ascii="Palatino Linotype" w:hAnsi="Palatino Linotype"/>
        </w:rPr>
      </w:pPr>
    </w:p>
    <w:p w14:paraId="450E4C44" w14:textId="260BA641" w:rsidR="0091500F" w:rsidRPr="005B5632" w:rsidRDefault="0091500F" w:rsidP="005B5632">
      <w:pPr>
        <w:spacing w:line="360" w:lineRule="auto"/>
        <w:jc w:val="both"/>
        <w:rPr>
          <w:rFonts w:ascii="Palatino Linotype" w:hAnsi="Palatino Linotype"/>
        </w:rPr>
      </w:pPr>
      <w:r w:rsidRPr="005B5632">
        <w:rPr>
          <w:rFonts w:ascii="Palatino Linotype" w:hAnsi="Palatino Linotype"/>
          <w:b/>
        </w:rPr>
        <w:t>Primero.</w:t>
      </w:r>
      <w:r w:rsidRPr="005B5632">
        <w:rPr>
          <w:rFonts w:ascii="Palatino Linotype" w:hAnsi="Palatino Linotype"/>
        </w:rPr>
        <w:t xml:space="preserve"> Resultan </w:t>
      </w:r>
      <w:r w:rsidRPr="005B5632">
        <w:rPr>
          <w:rFonts w:ascii="Palatino Linotype" w:hAnsi="Palatino Linotype"/>
          <w:b/>
        </w:rPr>
        <w:t>FUNDADOS</w:t>
      </w:r>
      <w:r w:rsidRPr="005B5632">
        <w:rPr>
          <w:rFonts w:ascii="Palatino Linotype" w:hAnsi="Palatino Linotype"/>
        </w:rPr>
        <w:t xml:space="preserve"> los motivos de inconformidad hechos valer por el </w:t>
      </w:r>
      <w:r w:rsidRPr="005B5632">
        <w:rPr>
          <w:rFonts w:ascii="Palatino Linotype" w:hAnsi="Palatino Linotype"/>
          <w:b/>
        </w:rPr>
        <w:t>RECURRENTE</w:t>
      </w:r>
      <w:r w:rsidRPr="005B5632">
        <w:rPr>
          <w:rFonts w:ascii="Palatino Linotype" w:hAnsi="Palatino Linotype"/>
        </w:rPr>
        <w:t xml:space="preserve"> en el Recurso de Revisión </w:t>
      </w:r>
      <w:r w:rsidR="008B6D7B" w:rsidRPr="005B5632">
        <w:rPr>
          <w:rFonts w:ascii="Palatino Linotype" w:hAnsi="Palatino Linotype"/>
          <w:b/>
        </w:rPr>
        <w:t>07889</w:t>
      </w:r>
      <w:r w:rsidRPr="005B5632">
        <w:rPr>
          <w:rFonts w:ascii="Palatino Linotype" w:hAnsi="Palatino Linotype"/>
          <w:b/>
        </w:rPr>
        <w:t>/INFOEM/IP/RR/2022</w:t>
      </w:r>
      <w:r w:rsidRPr="005B5632">
        <w:rPr>
          <w:rFonts w:ascii="Palatino Linotype" w:hAnsi="Palatino Linotype"/>
        </w:rPr>
        <w:t xml:space="preserve">, por lo que, en términos del Considerando Cuarto de esta resolución, se </w:t>
      </w:r>
      <w:r w:rsidR="008B6D7B" w:rsidRPr="005B5632">
        <w:rPr>
          <w:rFonts w:ascii="Palatino Linotype" w:hAnsi="Palatino Linotype"/>
          <w:b/>
        </w:rPr>
        <w:t>REVOCA</w:t>
      </w:r>
      <w:r w:rsidRPr="005B5632">
        <w:rPr>
          <w:rFonts w:ascii="Palatino Linotype" w:hAnsi="Palatino Linotype"/>
        </w:rPr>
        <w:t xml:space="preserve"> la respuesta emitida por el </w:t>
      </w:r>
      <w:r w:rsidRPr="005B5632">
        <w:rPr>
          <w:rFonts w:ascii="Palatino Linotype" w:hAnsi="Palatino Linotype"/>
          <w:b/>
        </w:rPr>
        <w:t>SUJETO OBLIGADO</w:t>
      </w:r>
      <w:r w:rsidRPr="005B5632">
        <w:rPr>
          <w:rFonts w:ascii="Palatino Linotype" w:hAnsi="Palatino Linotype"/>
        </w:rPr>
        <w:t>.</w:t>
      </w:r>
    </w:p>
    <w:p w14:paraId="1528EF28" w14:textId="77777777" w:rsidR="003F5765" w:rsidRPr="005B5632" w:rsidRDefault="003F5765" w:rsidP="005B5632">
      <w:pPr>
        <w:spacing w:line="360" w:lineRule="auto"/>
        <w:jc w:val="both"/>
        <w:rPr>
          <w:rFonts w:ascii="Palatino Linotype" w:hAnsi="Palatino Linotype"/>
        </w:rPr>
      </w:pPr>
    </w:p>
    <w:p w14:paraId="0D2ABB2B" w14:textId="36A3B210" w:rsidR="008B6D7B" w:rsidRPr="005B5632" w:rsidRDefault="0091500F" w:rsidP="005B5632">
      <w:pPr>
        <w:spacing w:line="360" w:lineRule="auto"/>
        <w:jc w:val="both"/>
        <w:rPr>
          <w:rFonts w:ascii="Palatino Linotype" w:hAnsi="Palatino Linotype"/>
        </w:rPr>
      </w:pPr>
      <w:r w:rsidRPr="005B5632">
        <w:rPr>
          <w:rFonts w:ascii="Palatino Linotype" w:hAnsi="Palatino Linotype"/>
          <w:b/>
        </w:rPr>
        <w:t>Segundo.</w:t>
      </w:r>
      <w:r w:rsidRPr="005B5632">
        <w:rPr>
          <w:rFonts w:ascii="Palatino Linotype" w:hAnsi="Palatino Linotype"/>
        </w:rPr>
        <w:t xml:space="preserve"> Se </w:t>
      </w:r>
      <w:r w:rsidRPr="005B5632">
        <w:rPr>
          <w:rFonts w:ascii="Palatino Linotype" w:hAnsi="Palatino Linotype"/>
          <w:b/>
        </w:rPr>
        <w:t>ORDENA</w:t>
      </w:r>
      <w:r w:rsidRPr="005B5632">
        <w:rPr>
          <w:rFonts w:ascii="Palatino Linotype" w:hAnsi="Palatino Linotype"/>
        </w:rPr>
        <w:t xml:space="preserve"> al </w:t>
      </w:r>
      <w:r w:rsidRPr="005B5632">
        <w:rPr>
          <w:rFonts w:ascii="Palatino Linotype" w:hAnsi="Palatino Linotype"/>
          <w:b/>
        </w:rPr>
        <w:t>SUJETO OBLIGADO</w:t>
      </w:r>
      <w:r w:rsidRPr="005B5632">
        <w:rPr>
          <w:rFonts w:ascii="Palatino Linotype" w:hAnsi="Palatino Linotype"/>
        </w:rPr>
        <w:t xml:space="preserve"> a que, en términos del Considerando Cuarto y Quinto haga entrega vía Sistema de Acceso a la Información Mexiquense, </w:t>
      </w:r>
      <w:r w:rsidR="00E477E0" w:rsidRPr="005B5632">
        <w:rPr>
          <w:rFonts w:ascii="Palatino Linotype" w:hAnsi="Palatino Linotype"/>
        </w:rPr>
        <w:t xml:space="preserve">de ser el caso, en versión pública, de los documentos donde conste </w:t>
      </w:r>
      <w:r w:rsidRPr="005B5632">
        <w:rPr>
          <w:rFonts w:ascii="Palatino Linotype" w:hAnsi="Palatino Linotype"/>
        </w:rPr>
        <w:t>la siguiente información:</w:t>
      </w:r>
    </w:p>
    <w:p w14:paraId="05FDADBF" w14:textId="77777777" w:rsidR="00EC4EC7" w:rsidRPr="005B5632" w:rsidRDefault="00EC4EC7" w:rsidP="005B5632">
      <w:pPr>
        <w:spacing w:line="360" w:lineRule="auto"/>
        <w:jc w:val="both"/>
        <w:rPr>
          <w:rFonts w:ascii="Palatino Linotype" w:hAnsi="Palatino Linotype"/>
        </w:rPr>
      </w:pPr>
    </w:p>
    <w:p w14:paraId="53CEFAD7" w14:textId="77777777" w:rsidR="00EC4EC7" w:rsidRPr="005B5632" w:rsidRDefault="00EC4EC7" w:rsidP="005B5632">
      <w:pPr>
        <w:pStyle w:val="Prrafodelista"/>
        <w:numPr>
          <w:ilvl w:val="0"/>
          <w:numId w:val="27"/>
        </w:numPr>
        <w:spacing w:line="360" w:lineRule="auto"/>
        <w:jc w:val="both"/>
        <w:rPr>
          <w:rFonts w:ascii="Palatino Linotype" w:hAnsi="Palatino Linotype"/>
          <w:sz w:val="24"/>
        </w:rPr>
      </w:pPr>
      <w:r w:rsidRPr="005B5632">
        <w:rPr>
          <w:rFonts w:ascii="Palatino Linotype" w:hAnsi="Palatino Linotype"/>
          <w:sz w:val="24"/>
        </w:rPr>
        <w:t xml:space="preserve">Número de policías que aprobaron los exámenes de control y confianza, del doce de abril de dos mil veintiuno al doce de abril de dos mil veintidós. </w:t>
      </w:r>
    </w:p>
    <w:p w14:paraId="4679E884" w14:textId="77777777" w:rsidR="00EC4EC7" w:rsidRPr="005B5632" w:rsidRDefault="00EC4EC7" w:rsidP="005B5632">
      <w:pPr>
        <w:pStyle w:val="Prrafodelista"/>
        <w:numPr>
          <w:ilvl w:val="0"/>
          <w:numId w:val="27"/>
        </w:numPr>
        <w:spacing w:line="360" w:lineRule="auto"/>
        <w:jc w:val="both"/>
        <w:rPr>
          <w:rFonts w:ascii="Palatino Linotype" w:hAnsi="Palatino Linotype"/>
          <w:sz w:val="24"/>
        </w:rPr>
      </w:pPr>
      <w:r w:rsidRPr="005B5632">
        <w:rPr>
          <w:rFonts w:ascii="Palatino Linotype" w:hAnsi="Palatino Linotype"/>
          <w:sz w:val="24"/>
        </w:rPr>
        <w:t xml:space="preserve">Número de policías que han sido removidos por no aprobar los exámenes de </w:t>
      </w:r>
      <w:proofErr w:type="gramStart"/>
      <w:r w:rsidRPr="005B5632">
        <w:rPr>
          <w:rFonts w:ascii="Palatino Linotype" w:hAnsi="Palatino Linotype"/>
          <w:sz w:val="24"/>
        </w:rPr>
        <w:t>control  y</w:t>
      </w:r>
      <w:proofErr w:type="gramEnd"/>
      <w:r w:rsidRPr="005B5632">
        <w:rPr>
          <w:rFonts w:ascii="Palatino Linotype" w:hAnsi="Palatino Linotype"/>
          <w:sz w:val="24"/>
        </w:rPr>
        <w:t xml:space="preserve"> confianza, del doce de abril de dos mil veintiuno al doce de abril de dos mil veintidós.</w:t>
      </w:r>
    </w:p>
    <w:p w14:paraId="4DD9E4B2" w14:textId="77777777" w:rsidR="00EC4EC7" w:rsidRPr="005B5632" w:rsidRDefault="00EC4EC7" w:rsidP="005B5632">
      <w:pPr>
        <w:pStyle w:val="Prrafodelista"/>
        <w:numPr>
          <w:ilvl w:val="0"/>
          <w:numId w:val="27"/>
        </w:numPr>
        <w:spacing w:line="360" w:lineRule="auto"/>
        <w:jc w:val="both"/>
        <w:rPr>
          <w:rFonts w:ascii="Palatino Linotype" w:hAnsi="Palatino Linotype"/>
          <w:sz w:val="24"/>
        </w:rPr>
      </w:pPr>
      <w:r w:rsidRPr="005B5632">
        <w:rPr>
          <w:rFonts w:ascii="Palatino Linotype" w:hAnsi="Palatino Linotype"/>
          <w:sz w:val="24"/>
        </w:rPr>
        <w:t xml:space="preserve">Programa de capacitación de elementos de seguridad pública, actualizado al doce de abril de dos mil veintidós. </w:t>
      </w:r>
    </w:p>
    <w:p w14:paraId="3B276B36" w14:textId="77777777" w:rsidR="00EC4EC7" w:rsidRPr="005B5632" w:rsidRDefault="00EC4EC7" w:rsidP="005B5632">
      <w:pPr>
        <w:pStyle w:val="Prrafodelista"/>
        <w:numPr>
          <w:ilvl w:val="0"/>
          <w:numId w:val="27"/>
        </w:numPr>
        <w:spacing w:line="360" w:lineRule="auto"/>
        <w:jc w:val="both"/>
        <w:rPr>
          <w:rFonts w:ascii="Palatino Linotype" w:hAnsi="Palatino Linotype"/>
          <w:sz w:val="24"/>
        </w:rPr>
      </w:pPr>
      <w:r w:rsidRPr="005B5632">
        <w:rPr>
          <w:rFonts w:ascii="Palatino Linotype" w:hAnsi="Palatino Linotype"/>
          <w:sz w:val="24"/>
        </w:rPr>
        <w:t xml:space="preserve">Monto del presupuesto anual destinado a la capacitación y adiestramiento de elementos de seguridad pública, y documentación comprobatoria, del presente ejercicio fiscal dos mil veintidós. </w:t>
      </w:r>
    </w:p>
    <w:p w14:paraId="7248DBB1" w14:textId="77777777" w:rsidR="00EC4EC7" w:rsidRPr="005B5632" w:rsidRDefault="00EC4EC7" w:rsidP="005B5632">
      <w:pPr>
        <w:pStyle w:val="Prrafodelista"/>
        <w:numPr>
          <w:ilvl w:val="0"/>
          <w:numId w:val="27"/>
        </w:numPr>
        <w:spacing w:line="360" w:lineRule="auto"/>
        <w:jc w:val="both"/>
        <w:rPr>
          <w:rFonts w:ascii="Palatino Linotype" w:hAnsi="Palatino Linotype"/>
          <w:sz w:val="24"/>
        </w:rPr>
      </w:pPr>
      <w:r w:rsidRPr="005B5632">
        <w:rPr>
          <w:rFonts w:ascii="Palatino Linotype" w:hAnsi="Palatino Linotype"/>
          <w:sz w:val="24"/>
        </w:rPr>
        <w:t xml:space="preserve">Estructura orgánica del Ayuntamiento de Melchor Ocampo, actualizado al doce de abril de dos mil veintidós. </w:t>
      </w:r>
    </w:p>
    <w:p w14:paraId="702116C6" w14:textId="77777777" w:rsidR="00EC4EC7" w:rsidRPr="005B5632" w:rsidRDefault="00EC4EC7" w:rsidP="005B5632">
      <w:pPr>
        <w:pStyle w:val="Prrafodelista"/>
        <w:numPr>
          <w:ilvl w:val="0"/>
          <w:numId w:val="27"/>
        </w:numPr>
        <w:spacing w:line="360" w:lineRule="auto"/>
        <w:jc w:val="both"/>
        <w:rPr>
          <w:rFonts w:ascii="Palatino Linotype" w:hAnsi="Palatino Linotype"/>
          <w:sz w:val="24"/>
        </w:rPr>
      </w:pPr>
      <w:r w:rsidRPr="005B5632">
        <w:rPr>
          <w:rFonts w:ascii="Palatino Linotype" w:hAnsi="Palatino Linotype"/>
          <w:sz w:val="24"/>
        </w:rPr>
        <w:lastRenderedPageBreak/>
        <w:t xml:space="preserve">Formación Curricular de los policías adscritos al doce de abril de dos mil veintidós el Sujeto Obligado. </w:t>
      </w:r>
    </w:p>
    <w:p w14:paraId="46FC57E1" w14:textId="1E8085C7" w:rsidR="00597A08" w:rsidRPr="005B5632" w:rsidRDefault="00EC4EC7" w:rsidP="005B5632">
      <w:pPr>
        <w:pStyle w:val="Prrafodelista"/>
        <w:numPr>
          <w:ilvl w:val="0"/>
          <w:numId w:val="27"/>
        </w:numPr>
        <w:spacing w:line="360" w:lineRule="auto"/>
        <w:jc w:val="both"/>
        <w:rPr>
          <w:rFonts w:ascii="Palatino Linotype" w:hAnsi="Palatino Linotype"/>
          <w:sz w:val="24"/>
        </w:rPr>
      </w:pPr>
      <w:r w:rsidRPr="005B5632">
        <w:rPr>
          <w:rFonts w:ascii="Palatino Linotype" w:hAnsi="Palatino Linotype"/>
          <w:sz w:val="24"/>
        </w:rPr>
        <w:t>Resultados de los exámenes de control y confianza aplicados del doce de abril de dos mil veintiuno al doce de abril de dos mil veintidós.</w:t>
      </w:r>
    </w:p>
    <w:p w14:paraId="4398E707" w14:textId="77777777" w:rsidR="00A23DAA" w:rsidRPr="005B5632" w:rsidRDefault="00A23DAA" w:rsidP="005B5632">
      <w:pPr>
        <w:pStyle w:val="Prrafodelista"/>
        <w:spacing w:line="360" w:lineRule="auto"/>
        <w:ind w:left="720"/>
        <w:jc w:val="both"/>
        <w:rPr>
          <w:rFonts w:ascii="Palatino Linotype" w:hAnsi="Palatino Linotype"/>
          <w:sz w:val="24"/>
        </w:rPr>
      </w:pPr>
    </w:p>
    <w:p w14:paraId="02F4920C" w14:textId="44A57778" w:rsidR="00E477E0" w:rsidRPr="005B5632" w:rsidRDefault="00E477E0" w:rsidP="005B5632">
      <w:pPr>
        <w:spacing w:line="360" w:lineRule="auto"/>
        <w:ind w:right="49"/>
        <w:jc w:val="both"/>
        <w:rPr>
          <w:rFonts w:ascii="Palatino Linotype" w:hAnsi="Palatino Linotype"/>
          <w:lang w:val="es-MX" w:eastAsia="en-US"/>
        </w:rPr>
      </w:pPr>
      <w:r w:rsidRPr="005B5632">
        <w:rPr>
          <w:rFonts w:ascii="Palatino Linotype" w:hAnsi="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AE51B4D" w14:textId="77777777" w:rsidR="00E477E0" w:rsidRPr="005B5632" w:rsidRDefault="00E477E0" w:rsidP="005B5632">
      <w:pPr>
        <w:spacing w:line="360" w:lineRule="auto"/>
        <w:ind w:right="49"/>
        <w:jc w:val="both"/>
        <w:rPr>
          <w:rFonts w:ascii="Palatino Linotype" w:hAnsi="Palatino Linotype"/>
          <w:lang w:val="es-MX" w:eastAsia="en-US"/>
        </w:rPr>
      </w:pPr>
    </w:p>
    <w:p w14:paraId="0CAC1FD1" w14:textId="1B460FB6" w:rsidR="00611E7B" w:rsidRPr="005B5632" w:rsidRDefault="0091500F" w:rsidP="005B5632">
      <w:pPr>
        <w:spacing w:line="360" w:lineRule="auto"/>
        <w:jc w:val="both"/>
        <w:rPr>
          <w:rFonts w:ascii="Palatino Linotype" w:hAnsi="Palatino Linotype"/>
        </w:rPr>
      </w:pPr>
      <w:r w:rsidRPr="005B5632">
        <w:rPr>
          <w:rFonts w:ascii="Palatino Linotype" w:hAnsi="Palatino Linotype"/>
          <w:b/>
        </w:rPr>
        <w:t>Tercero.</w:t>
      </w:r>
      <w:r w:rsidRPr="005B5632">
        <w:rPr>
          <w:rFonts w:ascii="Palatino Linotype" w:hAnsi="Palatino Linotype"/>
        </w:rPr>
        <w:t xml:space="preserve"> Notifíquese vía SAIMEX, 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1F14559F" w14:textId="77777777" w:rsidR="00D43799" w:rsidRPr="005B5632" w:rsidRDefault="00D43799" w:rsidP="005B5632">
      <w:pPr>
        <w:spacing w:line="360" w:lineRule="auto"/>
        <w:jc w:val="both"/>
        <w:rPr>
          <w:rFonts w:ascii="Palatino Linotype" w:hAnsi="Palatino Linotype"/>
        </w:rPr>
      </w:pPr>
    </w:p>
    <w:p w14:paraId="424D5F68" w14:textId="39406D2E" w:rsidR="00611E7B" w:rsidRPr="005B5632" w:rsidRDefault="00611E7B" w:rsidP="005B5632">
      <w:pPr>
        <w:spacing w:line="360" w:lineRule="auto"/>
        <w:jc w:val="both"/>
        <w:rPr>
          <w:rFonts w:ascii="Palatino Linotype" w:eastAsia="Calibri" w:hAnsi="Palatino Linotype" w:cs="Tahoma"/>
          <w:iCs/>
          <w:color w:val="0D0D0D" w:themeColor="text1" w:themeTint="F2"/>
          <w:lang w:eastAsia="en-US"/>
        </w:rPr>
      </w:pPr>
      <w:r w:rsidRPr="005B5632">
        <w:rPr>
          <w:rFonts w:ascii="Palatino Linotype" w:eastAsia="Calibri" w:hAnsi="Palatino Linotype" w:cs="Tahoma"/>
          <w:iCs/>
          <w:color w:val="0D0D0D" w:themeColor="text1" w:themeTint="F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1E2973" w14:textId="77777777" w:rsidR="0091500F" w:rsidRPr="005B5632" w:rsidRDefault="0091500F" w:rsidP="005B5632">
      <w:pPr>
        <w:spacing w:line="360" w:lineRule="auto"/>
        <w:jc w:val="both"/>
        <w:rPr>
          <w:rFonts w:ascii="Palatino Linotype" w:hAnsi="Palatino Linotype"/>
        </w:rPr>
      </w:pPr>
    </w:p>
    <w:p w14:paraId="4F1E53E0" w14:textId="129BD873" w:rsidR="0091500F" w:rsidRPr="005B5632" w:rsidRDefault="0091500F" w:rsidP="005B5632">
      <w:pPr>
        <w:spacing w:line="360" w:lineRule="auto"/>
        <w:jc w:val="both"/>
        <w:rPr>
          <w:rFonts w:ascii="Palatino Linotype" w:hAnsi="Palatino Linotype" w:cs="Tahoma"/>
        </w:rPr>
      </w:pPr>
      <w:r w:rsidRPr="005B5632">
        <w:rPr>
          <w:rFonts w:ascii="Palatino Linotype" w:hAnsi="Palatino Linotype"/>
          <w:b/>
        </w:rPr>
        <w:lastRenderedPageBreak/>
        <w:t>Cuarto.</w:t>
      </w:r>
      <w:r w:rsidRPr="005B5632">
        <w:rPr>
          <w:rFonts w:ascii="Palatino Linotype" w:hAnsi="Palatino Linotype"/>
        </w:rPr>
        <w:t xml:space="preserve"> Notifíquese vía </w:t>
      </w:r>
      <w:r w:rsidRPr="005B5632">
        <w:rPr>
          <w:rFonts w:ascii="Palatino Linotype" w:hAnsi="Palatino Linotype"/>
          <w:b/>
        </w:rPr>
        <w:t>SAIMEX,</w:t>
      </w:r>
      <w:r w:rsidRPr="005B5632">
        <w:rPr>
          <w:rFonts w:ascii="Palatino Linotype" w:hAnsi="Palatino Linotype"/>
        </w:rPr>
        <w:t xml:space="preserve"> a la parte </w:t>
      </w:r>
      <w:r w:rsidRPr="005B5632">
        <w:rPr>
          <w:rFonts w:ascii="Palatino Linotype" w:hAnsi="Palatino Linotype"/>
          <w:b/>
        </w:rPr>
        <w:t xml:space="preserve">RECURRENTE </w:t>
      </w:r>
      <w:r w:rsidRPr="005B5632">
        <w:rPr>
          <w:rFonts w:ascii="Palatino Linotype" w:hAnsi="Palatino Linotype"/>
        </w:rPr>
        <w:t>la presente resolución, así como, que de conformidad con lo establecido en el artículo 196 de la Ley de Transparencia y Acceso a la Información Pública del Estado de México y Municipios, podrá impugnar la presente resolución vía Juicio de Amparo en los t</w:t>
      </w:r>
      <w:r w:rsidR="00232375" w:rsidRPr="005B5632">
        <w:rPr>
          <w:rFonts w:ascii="Palatino Linotype" w:hAnsi="Palatino Linotype"/>
        </w:rPr>
        <w:t>é</w:t>
      </w:r>
      <w:r w:rsidR="00A23DAA" w:rsidRPr="005B5632">
        <w:rPr>
          <w:rFonts w:ascii="Palatino Linotype" w:hAnsi="Palatino Linotype"/>
        </w:rPr>
        <w:t xml:space="preserve">rminos de las leyes aplicables. </w:t>
      </w:r>
    </w:p>
    <w:p w14:paraId="5D8EF880" w14:textId="77777777" w:rsidR="00232375" w:rsidRPr="005B5632" w:rsidRDefault="00232375" w:rsidP="005B5632">
      <w:pPr>
        <w:spacing w:line="360" w:lineRule="auto"/>
        <w:jc w:val="both"/>
        <w:rPr>
          <w:rFonts w:ascii="Palatino Linotype" w:hAnsi="Palatino Linotype"/>
        </w:rPr>
      </w:pPr>
    </w:p>
    <w:p w14:paraId="53CF1600" w14:textId="409BFF83" w:rsidR="00025B60" w:rsidRPr="0091500F" w:rsidRDefault="0091500F" w:rsidP="005B5632">
      <w:pPr>
        <w:spacing w:line="360" w:lineRule="auto"/>
        <w:jc w:val="both"/>
        <w:rPr>
          <w:rFonts w:ascii="Palatino Linotype" w:hAnsi="Palatino Linotype"/>
        </w:rPr>
      </w:pPr>
      <w:r w:rsidRPr="005B5632">
        <w:rPr>
          <w:rFonts w:ascii="Palatino Linotype" w:hAnsi="Palatino Linotype"/>
        </w:rPr>
        <w:t xml:space="preserve">ASÍ LO RESUELVE, POR </w:t>
      </w:r>
      <w:r w:rsidR="005B5632" w:rsidRPr="005B5632">
        <w:rPr>
          <w:rFonts w:ascii="Palatino Linotype" w:hAnsi="Palatino Linotype"/>
        </w:rPr>
        <w:t>MAYORIA</w:t>
      </w:r>
      <w:r w:rsidRPr="005B5632">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5B5632" w:rsidRPr="005B5632">
        <w:rPr>
          <w:rFonts w:ascii="Palatino Linotype" w:hAnsi="Palatino Linotype"/>
        </w:rPr>
        <w:t xml:space="preserve"> EMITIENDO VOTO PARTICULAR</w:t>
      </w:r>
      <w:r w:rsidRPr="005B5632">
        <w:rPr>
          <w:rFonts w:ascii="Palatino Linotype" w:hAnsi="Palatino Linotype"/>
        </w:rPr>
        <w:t>, MARÍA DEL ROSARIO MEJÍA AYALA, SHARON CRISTINA MORALES MARTÍNEZ</w:t>
      </w:r>
      <w:r w:rsidR="005B5632" w:rsidRPr="005B5632">
        <w:rPr>
          <w:rFonts w:ascii="Palatino Linotype" w:hAnsi="Palatino Linotype"/>
        </w:rPr>
        <w:t xml:space="preserve"> EMITIENDO VOTO DISIDENTE</w:t>
      </w:r>
      <w:r w:rsidRPr="005B5632">
        <w:rPr>
          <w:rFonts w:ascii="Palatino Linotype" w:hAnsi="Palatino Linotype"/>
        </w:rPr>
        <w:t>, LUIS GUSTAVO PARRA NORIEGA</w:t>
      </w:r>
      <w:r w:rsidR="005B5632" w:rsidRPr="005B5632">
        <w:rPr>
          <w:rFonts w:ascii="Palatino Linotype" w:hAnsi="Palatino Linotype"/>
        </w:rPr>
        <w:t xml:space="preserve"> EMITIENDO VOTO PARTICULAR</w:t>
      </w:r>
      <w:r w:rsidRPr="005B5632">
        <w:rPr>
          <w:rFonts w:ascii="Palatino Linotype" w:hAnsi="Palatino Linotype"/>
        </w:rPr>
        <w:t xml:space="preserve"> Y GUADALUPE RAMÍREZ PEÑA; EN LA </w:t>
      </w:r>
      <w:r w:rsidR="00502D1C" w:rsidRPr="005B5632">
        <w:rPr>
          <w:rFonts w:ascii="Palatino Linotype" w:hAnsi="Palatino Linotype"/>
        </w:rPr>
        <w:t xml:space="preserve">CUADRAGÉSIMA </w:t>
      </w:r>
      <w:r w:rsidRPr="005B5632">
        <w:rPr>
          <w:rFonts w:ascii="Palatino Linotype" w:hAnsi="Palatino Linotype"/>
        </w:rPr>
        <w:t xml:space="preserve">SESIÓN ORDINARIA CELEBRADA EL </w:t>
      </w:r>
      <w:r w:rsidR="005B5632">
        <w:rPr>
          <w:rFonts w:ascii="Palatino Linotype" w:hAnsi="Palatino Linotype"/>
        </w:rPr>
        <w:t>NUEVE</w:t>
      </w:r>
      <w:r w:rsidR="00502D1C" w:rsidRPr="005B5632">
        <w:rPr>
          <w:rFonts w:ascii="Palatino Linotype" w:hAnsi="Palatino Linotype"/>
        </w:rPr>
        <w:t xml:space="preserve"> DE NOVIEMBRE DE </w:t>
      </w:r>
      <w:r w:rsidRPr="005B5632">
        <w:rPr>
          <w:rFonts w:ascii="Palatino Linotype" w:hAnsi="Palatino Linotype"/>
        </w:rPr>
        <w:t>DOS MIL VEINTIDÓS, ANTE EL SECRETARIO TÉCNICO DEL PLENO ALEXIS TAPIA RAMÍREZ</w:t>
      </w:r>
    </w:p>
    <w:sectPr w:rsidR="00025B60" w:rsidRPr="0091500F" w:rsidSect="00E05DAC">
      <w:headerReference w:type="default" r:id="rId18"/>
      <w:footerReference w:type="default" r:id="rId19"/>
      <w:headerReference w:type="first" r:id="rId20"/>
      <w:footerReference w:type="first" r:id="rId21"/>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FF33" w14:textId="77777777" w:rsidR="00C72B4E" w:rsidRDefault="00C72B4E" w:rsidP="00AC3C64">
      <w:r>
        <w:separator/>
      </w:r>
    </w:p>
  </w:endnote>
  <w:endnote w:type="continuationSeparator" w:id="0">
    <w:p w14:paraId="64FDCEFB" w14:textId="77777777" w:rsidR="00C72B4E" w:rsidRDefault="00C72B4E"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rPr>
      <w:id w:val="1707592844"/>
      <w:docPartObj>
        <w:docPartGallery w:val="Page Numbers (Bottom of Page)"/>
        <w:docPartUnique/>
      </w:docPartObj>
    </w:sdtPr>
    <w:sdtEndPr/>
    <w:sdtContent>
      <w:sdt>
        <w:sdtPr>
          <w:rPr>
            <w:rFonts w:ascii="Palatino Linotype" w:hAnsi="Palatino Linotype"/>
            <w:sz w:val="22"/>
          </w:rPr>
          <w:id w:val="-1769616900"/>
          <w:docPartObj>
            <w:docPartGallery w:val="Page Numbers (Top of Page)"/>
            <w:docPartUnique/>
          </w:docPartObj>
        </w:sdtPr>
        <w:sdtEndPr/>
        <w:sdtContent>
          <w:p w14:paraId="358604AA" w14:textId="1C2D3A25" w:rsidR="00AB367E" w:rsidRPr="00502D1C" w:rsidRDefault="00AB367E">
            <w:pPr>
              <w:pStyle w:val="Piedepgina"/>
              <w:jc w:val="right"/>
              <w:rPr>
                <w:rFonts w:ascii="Palatino Linotype" w:hAnsi="Palatino Linotype"/>
                <w:sz w:val="22"/>
              </w:rPr>
            </w:pPr>
            <w:r w:rsidRPr="00502D1C">
              <w:rPr>
                <w:rFonts w:ascii="Palatino Linotype" w:hAnsi="Palatino Linotype"/>
                <w:sz w:val="22"/>
                <w:lang w:val="es-ES"/>
              </w:rPr>
              <w:t xml:space="preserve">Página </w:t>
            </w:r>
            <w:r w:rsidRPr="00502D1C">
              <w:rPr>
                <w:rFonts w:ascii="Palatino Linotype" w:hAnsi="Palatino Linotype"/>
                <w:b/>
                <w:bCs/>
                <w:sz w:val="22"/>
              </w:rPr>
              <w:fldChar w:fldCharType="begin"/>
            </w:r>
            <w:r w:rsidRPr="00502D1C">
              <w:rPr>
                <w:rFonts w:ascii="Palatino Linotype" w:hAnsi="Palatino Linotype"/>
                <w:b/>
                <w:bCs/>
                <w:sz w:val="22"/>
              </w:rPr>
              <w:instrText>PAGE</w:instrText>
            </w:r>
            <w:r w:rsidRPr="00502D1C">
              <w:rPr>
                <w:rFonts w:ascii="Palatino Linotype" w:hAnsi="Palatino Linotype"/>
                <w:b/>
                <w:bCs/>
                <w:sz w:val="22"/>
              </w:rPr>
              <w:fldChar w:fldCharType="separate"/>
            </w:r>
            <w:r w:rsidR="00D34071">
              <w:rPr>
                <w:rFonts w:ascii="Palatino Linotype" w:hAnsi="Palatino Linotype"/>
                <w:b/>
                <w:bCs/>
                <w:noProof/>
                <w:sz w:val="22"/>
              </w:rPr>
              <w:t>55</w:t>
            </w:r>
            <w:r w:rsidRPr="00502D1C">
              <w:rPr>
                <w:rFonts w:ascii="Palatino Linotype" w:hAnsi="Palatino Linotype"/>
                <w:b/>
                <w:bCs/>
                <w:sz w:val="22"/>
              </w:rPr>
              <w:fldChar w:fldCharType="end"/>
            </w:r>
            <w:r w:rsidRPr="00502D1C">
              <w:rPr>
                <w:rFonts w:ascii="Palatino Linotype" w:hAnsi="Palatino Linotype"/>
                <w:sz w:val="22"/>
                <w:lang w:val="es-ES"/>
              </w:rPr>
              <w:t xml:space="preserve"> de </w:t>
            </w:r>
            <w:r w:rsidRPr="00502D1C">
              <w:rPr>
                <w:rFonts w:ascii="Palatino Linotype" w:hAnsi="Palatino Linotype"/>
                <w:b/>
                <w:bCs/>
                <w:sz w:val="22"/>
              </w:rPr>
              <w:fldChar w:fldCharType="begin"/>
            </w:r>
            <w:r w:rsidRPr="00502D1C">
              <w:rPr>
                <w:rFonts w:ascii="Palatino Linotype" w:hAnsi="Palatino Linotype"/>
                <w:b/>
                <w:bCs/>
                <w:sz w:val="22"/>
              </w:rPr>
              <w:instrText>NUMPAGES</w:instrText>
            </w:r>
            <w:r w:rsidRPr="00502D1C">
              <w:rPr>
                <w:rFonts w:ascii="Palatino Linotype" w:hAnsi="Palatino Linotype"/>
                <w:b/>
                <w:bCs/>
                <w:sz w:val="22"/>
              </w:rPr>
              <w:fldChar w:fldCharType="separate"/>
            </w:r>
            <w:r w:rsidR="00D34071">
              <w:rPr>
                <w:rFonts w:ascii="Palatino Linotype" w:hAnsi="Palatino Linotype"/>
                <w:b/>
                <w:bCs/>
                <w:noProof/>
                <w:sz w:val="22"/>
              </w:rPr>
              <w:t>56</w:t>
            </w:r>
            <w:r w:rsidRPr="00502D1C">
              <w:rPr>
                <w:rFonts w:ascii="Palatino Linotype" w:hAnsi="Palatino Linotype"/>
                <w:b/>
                <w:bCs/>
                <w:sz w:val="22"/>
              </w:rPr>
              <w:fldChar w:fldCharType="end"/>
            </w:r>
          </w:p>
        </w:sdtContent>
      </w:sdt>
    </w:sdtContent>
  </w:sdt>
  <w:p w14:paraId="2A2278B8" w14:textId="77777777" w:rsidR="00AB367E" w:rsidRDefault="00AB36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rPr>
      <w:id w:val="1243450358"/>
      <w:docPartObj>
        <w:docPartGallery w:val="Page Numbers (Bottom of Page)"/>
        <w:docPartUnique/>
      </w:docPartObj>
    </w:sdtPr>
    <w:sdtEndPr/>
    <w:sdtContent>
      <w:sdt>
        <w:sdtPr>
          <w:rPr>
            <w:rFonts w:ascii="Palatino Linotype" w:hAnsi="Palatino Linotype"/>
            <w:sz w:val="22"/>
          </w:rPr>
          <w:id w:val="-1460947985"/>
          <w:docPartObj>
            <w:docPartGallery w:val="Page Numbers (Top of Page)"/>
            <w:docPartUnique/>
          </w:docPartObj>
        </w:sdtPr>
        <w:sdtEndPr/>
        <w:sdtContent>
          <w:p w14:paraId="1C73F042" w14:textId="77777777" w:rsidR="00AB367E" w:rsidRPr="00502D1C" w:rsidRDefault="00AB367E" w:rsidP="00EC5A7D">
            <w:pPr>
              <w:pStyle w:val="Piedepgina"/>
              <w:jc w:val="right"/>
              <w:rPr>
                <w:rFonts w:ascii="Palatino Linotype" w:hAnsi="Palatino Linotype"/>
                <w:sz w:val="22"/>
              </w:rPr>
            </w:pPr>
            <w:r w:rsidRPr="00502D1C">
              <w:rPr>
                <w:rFonts w:ascii="Palatino Linotype" w:hAnsi="Palatino Linotype"/>
                <w:sz w:val="22"/>
                <w:lang w:val="es-ES"/>
              </w:rPr>
              <w:t xml:space="preserve">Página </w:t>
            </w:r>
            <w:r w:rsidRPr="00502D1C">
              <w:rPr>
                <w:rFonts w:ascii="Palatino Linotype" w:hAnsi="Palatino Linotype"/>
                <w:b/>
                <w:bCs/>
                <w:sz w:val="22"/>
              </w:rPr>
              <w:fldChar w:fldCharType="begin"/>
            </w:r>
            <w:r w:rsidRPr="00502D1C">
              <w:rPr>
                <w:rFonts w:ascii="Palatino Linotype" w:hAnsi="Palatino Linotype"/>
                <w:b/>
                <w:bCs/>
                <w:sz w:val="22"/>
              </w:rPr>
              <w:instrText>PAGE</w:instrText>
            </w:r>
            <w:r w:rsidRPr="00502D1C">
              <w:rPr>
                <w:rFonts w:ascii="Palatino Linotype" w:hAnsi="Palatino Linotype"/>
                <w:b/>
                <w:bCs/>
                <w:sz w:val="22"/>
              </w:rPr>
              <w:fldChar w:fldCharType="separate"/>
            </w:r>
            <w:r w:rsidR="00D34071">
              <w:rPr>
                <w:rFonts w:ascii="Palatino Linotype" w:hAnsi="Palatino Linotype"/>
                <w:b/>
                <w:bCs/>
                <w:noProof/>
                <w:sz w:val="22"/>
              </w:rPr>
              <w:t>1</w:t>
            </w:r>
            <w:r w:rsidRPr="00502D1C">
              <w:rPr>
                <w:rFonts w:ascii="Palatino Linotype" w:hAnsi="Palatino Linotype"/>
                <w:sz w:val="22"/>
              </w:rPr>
              <w:fldChar w:fldCharType="end"/>
            </w:r>
            <w:r w:rsidRPr="00502D1C">
              <w:rPr>
                <w:rFonts w:ascii="Palatino Linotype" w:hAnsi="Palatino Linotype"/>
                <w:sz w:val="22"/>
                <w:lang w:val="es-ES"/>
              </w:rPr>
              <w:t xml:space="preserve"> de </w:t>
            </w:r>
            <w:r w:rsidRPr="00502D1C">
              <w:rPr>
                <w:rFonts w:ascii="Palatino Linotype" w:hAnsi="Palatino Linotype"/>
                <w:b/>
                <w:bCs/>
                <w:sz w:val="22"/>
              </w:rPr>
              <w:fldChar w:fldCharType="begin"/>
            </w:r>
            <w:r w:rsidRPr="00502D1C">
              <w:rPr>
                <w:rFonts w:ascii="Palatino Linotype" w:hAnsi="Palatino Linotype"/>
                <w:b/>
                <w:bCs/>
                <w:sz w:val="22"/>
              </w:rPr>
              <w:instrText>NUMPAGES</w:instrText>
            </w:r>
            <w:r w:rsidRPr="00502D1C">
              <w:rPr>
                <w:rFonts w:ascii="Palatino Linotype" w:hAnsi="Palatino Linotype"/>
                <w:b/>
                <w:bCs/>
                <w:sz w:val="22"/>
              </w:rPr>
              <w:fldChar w:fldCharType="separate"/>
            </w:r>
            <w:r w:rsidR="00D34071">
              <w:rPr>
                <w:rFonts w:ascii="Palatino Linotype" w:hAnsi="Palatino Linotype"/>
                <w:b/>
                <w:bCs/>
                <w:noProof/>
                <w:sz w:val="22"/>
              </w:rPr>
              <w:t>21</w:t>
            </w:r>
            <w:r w:rsidRPr="00502D1C">
              <w:rPr>
                <w:rFonts w:ascii="Palatino Linotype" w:hAnsi="Palatino Linotype"/>
                <w:sz w:val="22"/>
              </w:rPr>
              <w:fldChar w:fldCharType="end"/>
            </w:r>
          </w:p>
        </w:sdtContent>
      </w:sdt>
    </w:sdtContent>
  </w:sdt>
  <w:p w14:paraId="033F7C09" w14:textId="77777777" w:rsidR="00AB367E" w:rsidRDefault="00AB367E" w:rsidP="00EC5A7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512E" w14:textId="77777777" w:rsidR="00C72B4E" w:rsidRDefault="00C72B4E" w:rsidP="00AC3C64">
      <w:r>
        <w:separator/>
      </w:r>
    </w:p>
  </w:footnote>
  <w:footnote w:type="continuationSeparator" w:id="0">
    <w:p w14:paraId="29C00F41" w14:textId="77777777" w:rsidR="00C72B4E" w:rsidRDefault="00C72B4E" w:rsidP="00AC3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0" w:type="dxa"/>
      <w:tblInd w:w="3611" w:type="dxa"/>
      <w:tblLayout w:type="fixed"/>
      <w:tblLook w:val="04A0" w:firstRow="1" w:lastRow="0" w:firstColumn="1" w:lastColumn="0" w:noHBand="0" w:noVBand="1"/>
    </w:tblPr>
    <w:tblGrid>
      <w:gridCol w:w="2551"/>
      <w:gridCol w:w="3119"/>
    </w:tblGrid>
    <w:tr w:rsidR="00AB367E" w:rsidRPr="00E05DAC" w14:paraId="66F18602" w14:textId="77777777" w:rsidTr="008B6D7B">
      <w:tc>
        <w:tcPr>
          <w:tcW w:w="2551" w:type="dxa"/>
          <w:vAlign w:val="center"/>
          <w:hideMark/>
        </w:tcPr>
        <w:p w14:paraId="4E2CED8E" w14:textId="77777777" w:rsidR="00AB367E" w:rsidRPr="00E05DAC" w:rsidRDefault="00AB367E" w:rsidP="00E05DAC">
          <w:pPr>
            <w:ind w:right="-183"/>
            <w:rPr>
              <w:rFonts w:ascii="Palatino Linotype" w:hAnsi="Palatino Linotype"/>
              <w:b/>
              <w:sz w:val="22"/>
              <w:szCs w:val="22"/>
              <w:lang w:val="es-ES_tradnl"/>
            </w:rPr>
          </w:pPr>
          <w:r w:rsidRPr="00E05DAC">
            <w:rPr>
              <w:rFonts w:ascii="Palatino Linotype" w:hAnsi="Palatino Linotype"/>
              <w:b/>
              <w:sz w:val="22"/>
              <w:szCs w:val="22"/>
              <w:lang w:val="es-ES_tradnl"/>
            </w:rPr>
            <w:t>Recurso de Revisión:</w:t>
          </w:r>
        </w:p>
      </w:tc>
      <w:tc>
        <w:tcPr>
          <w:tcW w:w="3119" w:type="dxa"/>
          <w:vAlign w:val="center"/>
          <w:hideMark/>
        </w:tcPr>
        <w:p w14:paraId="2CA23C56" w14:textId="77777777" w:rsidR="00AB367E" w:rsidRPr="00E05DAC" w:rsidRDefault="00AB367E" w:rsidP="00E05DAC">
          <w:pPr>
            <w:jc w:val="both"/>
            <w:rPr>
              <w:rFonts w:ascii="Palatino Linotype" w:hAnsi="Palatino Linotype"/>
              <w:b/>
              <w:sz w:val="22"/>
              <w:szCs w:val="22"/>
              <w:lang w:val="es-ES_tradnl"/>
            </w:rPr>
          </w:pPr>
          <w:r w:rsidRPr="00E05DAC">
            <w:rPr>
              <w:rFonts w:ascii="Palatino Linotype" w:hAnsi="Palatino Linotype"/>
              <w:b/>
              <w:sz w:val="22"/>
              <w:szCs w:val="22"/>
              <w:lang w:val="es-ES_tradnl"/>
            </w:rPr>
            <w:t>07889/INFOEM/IP/RR/2022</w:t>
          </w:r>
        </w:p>
      </w:tc>
    </w:tr>
    <w:tr w:rsidR="00AB367E" w:rsidRPr="00E05DAC" w14:paraId="63C57B8D" w14:textId="77777777" w:rsidTr="008B6D7B">
      <w:trPr>
        <w:trHeight w:val="228"/>
      </w:trPr>
      <w:tc>
        <w:tcPr>
          <w:tcW w:w="2551" w:type="dxa"/>
          <w:vAlign w:val="center"/>
          <w:hideMark/>
        </w:tcPr>
        <w:p w14:paraId="6F0A2DB7" w14:textId="77777777" w:rsidR="00AB367E" w:rsidRPr="00E05DAC" w:rsidRDefault="00AB367E" w:rsidP="00E05DAC">
          <w:pPr>
            <w:ind w:right="-183"/>
            <w:rPr>
              <w:rFonts w:ascii="Palatino Linotype" w:hAnsi="Palatino Linotype"/>
              <w:b/>
              <w:sz w:val="22"/>
              <w:szCs w:val="22"/>
              <w:lang w:val="es-ES_tradnl"/>
            </w:rPr>
          </w:pPr>
          <w:r w:rsidRPr="00E05DAC">
            <w:rPr>
              <w:rFonts w:ascii="Palatino Linotype" w:hAnsi="Palatino Linotype"/>
              <w:b/>
              <w:sz w:val="22"/>
              <w:szCs w:val="22"/>
              <w:lang w:val="es-ES_tradnl"/>
            </w:rPr>
            <w:t>Sujeto obligado:</w:t>
          </w:r>
        </w:p>
        <w:p w14:paraId="7488A95B" w14:textId="77777777" w:rsidR="00AB367E" w:rsidRPr="00E05DAC" w:rsidRDefault="00AB367E" w:rsidP="00E05DAC">
          <w:pPr>
            <w:ind w:right="-183"/>
            <w:rPr>
              <w:rFonts w:ascii="Palatino Linotype" w:hAnsi="Palatino Linotype"/>
              <w:b/>
              <w:sz w:val="22"/>
              <w:szCs w:val="22"/>
              <w:lang w:val="es-ES_tradnl"/>
            </w:rPr>
          </w:pPr>
        </w:p>
      </w:tc>
      <w:tc>
        <w:tcPr>
          <w:tcW w:w="3119" w:type="dxa"/>
          <w:vAlign w:val="center"/>
          <w:hideMark/>
        </w:tcPr>
        <w:p w14:paraId="39D60D35" w14:textId="77777777" w:rsidR="00AB367E" w:rsidRPr="00E05DAC" w:rsidRDefault="00AB367E" w:rsidP="00E05DAC">
          <w:pPr>
            <w:jc w:val="both"/>
            <w:rPr>
              <w:rFonts w:ascii="Palatino Linotype" w:hAnsi="Palatino Linotype"/>
              <w:b/>
              <w:sz w:val="22"/>
              <w:szCs w:val="22"/>
              <w:lang w:val="es-ES_tradnl"/>
            </w:rPr>
          </w:pPr>
          <w:r w:rsidRPr="00E05DAC">
            <w:rPr>
              <w:rFonts w:ascii="Palatino Linotype" w:hAnsi="Palatino Linotype"/>
              <w:b/>
              <w:sz w:val="22"/>
              <w:szCs w:val="22"/>
              <w:lang w:val="es-ES_tradnl"/>
            </w:rPr>
            <w:t>Ayuntamiento de Melchor Ocampo</w:t>
          </w:r>
        </w:p>
      </w:tc>
    </w:tr>
    <w:tr w:rsidR="00AB367E" w:rsidRPr="00E05DAC" w14:paraId="2007D8F5" w14:textId="77777777" w:rsidTr="008B6D7B">
      <w:tc>
        <w:tcPr>
          <w:tcW w:w="2551" w:type="dxa"/>
          <w:vAlign w:val="center"/>
          <w:hideMark/>
        </w:tcPr>
        <w:p w14:paraId="2A21AD23" w14:textId="77777777" w:rsidR="00AB367E" w:rsidRPr="00E05DAC" w:rsidRDefault="00AB367E" w:rsidP="00E05DAC">
          <w:pPr>
            <w:ind w:right="-183"/>
            <w:rPr>
              <w:rFonts w:ascii="Palatino Linotype" w:hAnsi="Palatino Linotype"/>
              <w:b/>
              <w:sz w:val="22"/>
              <w:szCs w:val="22"/>
              <w:lang w:val="es-ES_tradnl"/>
            </w:rPr>
          </w:pPr>
          <w:r w:rsidRPr="00E05DAC">
            <w:rPr>
              <w:rFonts w:ascii="Palatino Linotype" w:hAnsi="Palatino Linotype"/>
              <w:b/>
              <w:sz w:val="22"/>
              <w:szCs w:val="22"/>
              <w:lang w:val="es-ES_tradnl"/>
            </w:rPr>
            <w:t>Comisionada ponente:</w:t>
          </w:r>
        </w:p>
      </w:tc>
      <w:tc>
        <w:tcPr>
          <w:tcW w:w="3119" w:type="dxa"/>
          <w:vAlign w:val="center"/>
          <w:hideMark/>
        </w:tcPr>
        <w:p w14:paraId="68FBD42E" w14:textId="77777777" w:rsidR="00AB367E" w:rsidRPr="00E05DAC" w:rsidRDefault="00AB367E" w:rsidP="00E05DAC">
          <w:pPr>
            <w:ind w:right="-533"/>
            <w:jc w:val="both"/>
            <w:rPr>
              <w:rFonts w:ascii="Palatino Linotype" w:hAnsi="Palatino Linotype"/>
              <w:b/>
              <w:sz w:val="22"/>
              <w:szCs w:val="22"/>
              <w:lang w:val="es-ES_tradnl"/>
            </w:rPr>
          </w:pPr>
          <w:r w:rsidRPr="00E05DAC">
            <w:rPr>
              <w:rFonts w:ascii="Palatino Linotype" w:hAnsi="Palatino Linotype"/>
              <w:b/>
              <w:sz w:val="22"/>
              <w:szCs w:val="22"/>
              <w:lang w:val="es-ES_tradnl"/>
            </w:rPr>
            <w:t>Guadalupe Ramírez Peña</w:t>
          </w:r>
        </w:p>
      </w:tc>
    </w:tr>
  </w:tbl>
  <w:p w14:paraId="7F6D2F0C" w14:textId="5C278A14" w:rsidR="00AB367E" w:rsidRPr="00E05DAC" w:rsidRDefault="00AB367E" w:rsidP="00E05DAC">
    <w:pPr>
      <w:pStyle w:val="Encabezado"/>
    </w:pPr>
    <w:r w:rsidRPr="00B80779">
      <w:rPr>
        <w:rFonts w:ascii="Palatino Linotype" w:hAnsi="Palatino Linotype"/>
        <w:noProof/>
        <w:lang w:val="es-MX" w:eastAsia="es-MX"/>
      </w:rPr>
      <w:drawing>
        <wp:anchor distT="0" distB="0" distL="114300" distR="114300" simplePos="0" relativeHeight="251661312" behindDoc="1" locked="0" layoutInCell="1" allowOverlap="1" wp14:anchorId="56830850" wp14:editId="70557726">
          <wp:simplePos x="0" y="0"/>
          <wp:positionH relativeFrom="page">
            <wp:posOffset>277495</wp:posOffset>
          </wp:positionH>
          <wp:positionV relativeFrom="paragraph">
            <wp:posOffset>-1283970</wp:posOffset>
          </wp:positionV>
          <wp:extent cx="7809876" cy="10165823"/>
          <wp:effectExtent l="0" t="0" r="63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0" w:type="dxa"/>
      <w:tblInd w:w="3611" w:type="dxa"/>
      <w:tblLayout w:type="fixed"/>
      <w:tblLook w:val="04A0" w:firstRow="1" w:lastRow="0" w:firstColumn="1" w:lastColumn="0" w:noHBand="0" w:noVBand="1"/>
    </w:tblPr>
    <w:tblGrid>
      <w:gridCol w:w="2551"/>
      <w:gridCol w:w="3119"/>
    </w:tblGrid>
    <w:tr w:rsidR="00AB367E" w:rsidRPr="00E05DAC" w14:paraId="6A2021A5" w14:textId="77777777" w:rsidTr="008B6D7B">
      <w:tc>
        <w:tcPr>
          <w:tcW w:w="2551" w:type="dxa"/>
          <w:vAlign w:val="center"/>
          <w:hideMark/>
        </w:tcPr>
        <w:p w14:paraId="25FC02A6" w14:textId="77777777" w:rsidR="00AB367E" w:rsidRPr="00E05DAC" w:rsidRDefault="00AB367E" w:rsidP="00E05DAC">
          <w:pPr>
            <w:ind w:right="-183"/>
            <w:rPr>
              <w:rFonts w:ascii="Palatino Linotype" w:hAnsi="Palatino Linotype"/>
              <w:b/>
              <w:sz w:val="22"/>
              <w:szCs w:val="22"/>
              <w:lang w:val="es-ES_tradnl"/>
            </w:rPr>
          </w:pPr>
          <w:r w:rsidRPr="00E05DAC">
            <w:rPr>
              <w:rFonts w:ascii="Palatino Linotype" w:hAnsi="Palatino Linotype"/>
              <w:b/>
              <w:sz w:val="22"/>
              <w:szCs w:val="22"/>
              <w:lang w:val="es-ES_tradnl"/>
            </w:rPr>
            <w:t>Recurso de Revisión:</w:t>
          </w:r>
        </w:p>
      </w:tc>
      <w:tc>
        <w:tcPr>
          <w:tcW w:w="3119" w:type="dxa"/>
          <w:vAlign w:val="center"/>
          <w:hideMark/>
        </w:tcPr>
        <w:p w14:paraId="4FFE4EC1" w14:textId="77777777" w:rsidR="00AB367E" w:rsidRPr="00E05DAC" w:rsidRDefault="00AB367E" w:rsidP="00E05DAC">
          <w:pPr>
            <w:jc w:val="both"/>
            <w:rPr>
              <w:rFonts w:ascii="Palatino Linotype" w:hAnsi="Palatino Linotype"/>
              <w:b/>
              <w:sz w:val="22"/>
              <w:szCs w:val="22"/>
              <w:lang w:val="es-ES_tradnl"/>
            </w:rPr>
          </w:pPr>
          <w:r w:rsidRPr="00E05DAC">
            <w:rPr>
              <w:rFonts w:ascii="Palatino Linotype" w:hAnsi="Palatino Linotype"/>
              <w:b/>
              <w:sz w:val="22"/>
              <w:szCs w:val="22"/>
              <w:lang w:val="es-ES_tradnl"/>
            </w:rPr>
            <w:t>07889/INFOEM/IP/RR/2022</w:t>
          </w:r>
        </w:p>
      </w:tc>
    </w:tr>
    <w:tr w:rsidR="00AB367E" w:rsidRPr="00E05DAC" w14:paraId="736836D9" w14:textId="77777777" w:rsidTr="008B6D7B">
      <w:trPr>
        <w:trHeight w:val="120"/>
      </w:trPr>
      <w:tc>
        <w:tcPr>
          <w:tcW w:w="2551" w:type="dxa"/>
          <w:vAlign w:val="center"/>
          <w:hideMark/>
        </w:tcPr>
        <w:p w14:paraId="6DB7A77B" w14:textId="77777777" w:rsidR="00AB367E" w:rsidRPr="00E05DAC" w:rsidRDefault="00AB367E" w:rsidP="00E05DAC">
          <w:pPr>
            <w:ind w:right="-183" w:hanging="35"/>
            <w:rPr>
              <w:rFonts w:ascii="Palatino Linotype" w:hAnsi="Palatino Linotype"/>
              <w:b/>
              <w:sz w:val="22"/>
              <w:szCs w:val="22"/>
              <w:lang w:val="es-ES_tradnl"/>
            </w:rPr>
          </w:pPr>
          <w:r w:rsidRPr="00E05DAC">
            <w:rPr>
              <w:rFonts w:ascii="Palatino Linotype" w:hAnsi="Palatino Linotype"/>
              <w:b/>
              <w:sz w:val="22"/>
              <w:szCs w:val="22"/>
              <w:lang w:val="es-ES_tradnl"/>
            </w:rPr>
            <w:t>Recurrente:</w:t>
          </w:r>
        </w:p>
      </w:tc>
      <w:tc>
        <w:tcPr>
          <w:tcW w:w="3119" w:type="dxa"/>
          <w:vAlign w:val="center"/>
          <w:hideMark/>
        </w:tcPr>
        <w:p w14:paraId="39A11325" w14:textId="3B7BE9C2" w:rsidR="00AB367E" w:rsidRPr="00E05DAC" w:rsidRDefault="00C12BA1" w:rsidP="00E05DA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AB367E" w:rsidRPr="00E05DAC" w14:paraId="547AFF9A" w14:textId="77777777" w:rsidTr="008B6D7B">
      <w:trPr>
        <w:trHeight w:val="228"/>
      </w:trPr>
      <w:tc>
        <w:tcPr>
          <w:tcW w:w="2551" w:type="dxa"/>
          <w:vAlign w:val="center"/>
          <w:hideMark/>
        </w:tcPr>
        <w:p w14:paraId="000D1CD2" w14:textId="77777777" w:rsidR="00AB367E" w:rsidRPr="00E05DAC" w:rsidRDefault="00AB367E" w:rsidP="00E05DAC">
          <w:pPr>
            <w:ind w:right="-183"/>
            <w:rPr>
              <w:rFonts w:ascii="Palatino Linotype" w:hAnsi="Palatino Linotype"/>
              <w:b/>
              <w:sz w:val="22"/>
              <w:szCs w:val="22"/>
              <w:lang w:val="es-ES_tradnl"/>
            </w:rPr>
          </w:pPr>
          <w:r w:rsidRPr="00E05DAC">
            <w:rPr>
              <w:rFonts w:ascii="Palatino Linotype" w:hAnsi="Palatino Linotype"/>
              <w:b/>
              <w:sz w:val="22"/>
              <w:szCs w:val="22"/>
              <w:lang w:val="es-ES_tradnl"/>
            </w:rPr>
            <w:t>Sujeto obligado:</w:t>
          </w:r>
        </w:p>
        <w:p w14:paraId="12174CAE" w14:textId="77777777" w:rsidR="00AB367E" w:rsidRPr="00E05DAC" w:rsidRDefault="00AB367E" w:rsidP="00E05DAC">
          <w:pPr>
            <w:ind w:right="-183"/>
            <w:rPr>
              <w:rFonts w:ascii="Palatino Linotype" w:hAnsi="Palatino Linotype"/>
              <w:b/>
              <w:sz w:val="22"/>
              <w:szCs w:val="22"/>
              <w:lang w:val="es-ES_tradnl"/>
            </w:rPr>
          </w:pPr>
        </w:p>
      </w:tc>
      <w:tc>
        <w:tcPr>
          <w:tcW w:w="3119" w:type="dxa"/>
          <w:vAlign w:val="center"/>
          <w:hideMark/>
        </w:tcPr>
        <w:p w14:paraId="22E55F05" w14:textId="77777777" w:rsidR="00AB367E" w:rsidRPr="00E05DAC" w:rsidRDefault="00AB367E" w:rsidP="00E05DAC">
          <w:pPr>
            <w:jc w:val="both"/>
            <w:rPr>
              <w:rFonts w:ascii="Palatino Linotype" w:hAnsi="Palatino Linotype"/>
              <w:b/>
              <w:sz w:val="22"/>
              <w:szCs w:val="22"/>
              <w:lang w:val="es-ES_tradnl"/>
            </w:rPr>
          </w:pPr>
          <w:r w:rsidRPr="00E05DAC">
            <w:rPr>
              <w:rFonts w:ascii="Palatino Linotype" w:hAnsi="Palatino Linotype"/>
              <w:b/>
              <w:sz w:val="22"/>
              <w:szCs w:val="22"/>
              <w:lang w:val="es-ES_tradnl"/>
            </w:rPr>
            <w:t>Ayuntamiento de Melchor Ocampo</w:t>
          </w:r>
        </w:p>
      </w:tc>
    </w:tr>
    <w:tr w:rsidR="00AB367E" w:rsidRPr="00E05DAC" w14:paraId="2F07F5CA" w14:textId="77777777" w:rsidTr="008B6D7B">
      <w:tc>
        <w:tcPr>
          <w:tcW w:w="2551" w:type="dxa"/>
          <w:vAlign w:val="center"/>
          <w:hideMark/>
        </w:tcPr>
        <w:p w14:paraId="0DAC94D5" w14:textId="77777777" w:rsidR="00AB367E" w:rsidRPr="00E05DAC" w:rsidRDefault="00AB367E" w:rsidP="00E05DAC">
          <w:pPr>
            <w:ind w:right="-183"/>
            <w:rPr>
              <w:rFonts w:ascii="Palatino Linotype" w:hAnsi="Palatino Linotype"/>
              <w:b/>
              <w:sz w:val="22"/>
              <w:szCs w:val="22"/>
              <w:lang w:val="es-ES_tradnl"/>
            </w:rPr>
          </w:pPr>
          <w:r w:rsidRPr="00E05DAC">
            <w:rPr>
              <w:rFonts w:ascii="Palatino Linotype" w:hAnsi="Palatino Linotype"/>
              <w:b/>
              <w:sz w:val="22"/>
              <w:szCs w:val="22"/>
              <w:lang w:val="es-ES_tradnl"/>
            </w:rPr>
            <w:t>Comisionada ponente:</w:t>
          </w:r>
        </w:p>
      </w:tc>
      <w:tc>
        <w:tcPr>
          <w:tcW w:w="3119" w:type="dxa"/>
          <w:vAlign w:val="center"/>
          <w:hideMark/>
        </w:tcPr>
        <w:p w14:paraId="30D679B6" w14:textId="77777777" w:rsidR="00AB367E" w:rsidRPr="00E05DAC" w:rsidRDefault="00AB367E" w:rsidP="00E05DAC">
          <w:pPr>
            <w:ind w:right="-533"/>
            <w:jc w:val="both"/>
            <w:rPr>
              <w:rFonts w:ascii="Palatino Linotype" w:hAnsi="Palatino Linotype"/>
              <w:b/>
              <w:sz w:val="22"/>
              <w:szCs w:val="22"/>
              <w:lang w:val="es-ES_tradnl"/>
            </w:rPr>
          </w:pPr>
          <w:r w:rsidRPr="00E05DAC">
            <w:rPr>
              <w:rFonts w:ascii="Palatino Linotype" w:hAnsi="Palatino Linotype"/>
              <w:b/>
              <w:sz w:val="22"/>
              <w:szCs w:val="22"/>
              <w:lang w:val="es-ES_tradnl"/>
            </w:rPr>
            <w:t>Guadalupe Ramírez Peña</w:t>
          </w:r>
        </w:p>
      </w:tc>
    </w:tr>
  </w:tbl>
  <w:p w14:paraId="47984B13" w14:textId="48F1C0FC" w:rsidR="00AB367E" w:rsidRDefault="00AB367E" w:rsidP="00E05DAC">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0A150289" wp14:editId="3911FD38">
          <wp:simplePos x="0" y="0"/>
          <wp:positionH relativeFrom="page">
            <wp:posOffset>400050</wp:posOffset>
          </wp:positionH>
          <wp:positionV relativeFrom="paragraph">
            <wp:posOffset>-1343660</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C57"/>
    <w:multiLevelType w:val="hybridMultilevel"/>
    <w:tmpl w:val="ECBA4AC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07168"/>
    <w:multiLevelType w:val="hybridMultilevel"/>
    <w:tmpl w:val="1B8AC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431D76"/>
    <w:multiLevelType w:val="hybridMultilevel"/>
    <w:tmpl w:val="AAD08834"/>
    <w:lvl w:ilvl="0" w:tplc="D81E95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B1E86"/>
    <w:multiLevelType w:val="hybridMultilevel"/>
    <w:tmpl w:val="CB32CEEA"/>
    <w:lvl w:ilvl="0" w:tplc="8708BD30">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8E03917"/>
    <w:multiLevelType w:val="hybridMultilevel"/>
    <w:tmpl w:val="BAACF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5B33CC"/>
    <w:multiLevelType w:val="hybridMultilevel"/>
    <w:tmpl w:val="704CB10E"/>
    <w:lvl w:ilvl="0" w:tplc="5A20F7B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F923EA"/>
    <w:multiLevelType w:val="hybridMultilevel"/>
    <w:tmpl w:val="E5B2A0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3B081E"/>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242D1108"/>
    <w:multiLevelType w:val="hybridMultilevel"/>
    <w:tmpl w:val="0E8E9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BD25F4"/>
    <w:multiLevelType w:val="hybridMultilevel"/>
    <w:tmpl w:val="8A5EC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E17488"/>
    <w:multiLevelType w:val="hybridMultilevel"/>
    <w:tmpl w:val="870ECA3C"/>
    <w:lvl w:ilvl="0" w:tplc="5A20F7B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F87FB3"/>
    <w:multiLevelType w:val="hybridMultilevel"/>
    <w:tmpl w:val="B442DF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A9123B"/>
    <w:multiLevelType w:val="hybridMultilevel"/>
    <w:tmpl w:val="4E462F84"/>
    <w:lvl w:ilvl="0" w:tplc="3A24D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A00486"/>
    <w:multiLevelType w:val="hybridMultilevel"/>
    <w:tmpl w:val="92206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3146A7"/>
    <w:multiLevelType w:val="hybridMultilevel"/>
    <w:tmpl w:val="46ACA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56D0B0C"/>
    <w:multiLevelType w:val="hybridMultilevel"/>
    <w:tmpl w:val="1A908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BA055C"/>
    <w:multiLevelType w:val="hybridMultilevel"/>
    <w:tmpl w:val="EA92978C"/>
    <w:lvl w:ilvl="0" w:tplc="7F7ACA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67BB4BAF"/>
    <w:multiLevelType w:val="hybridMultilevel"/>
    <w:tmpl w:val="984AB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707096"/>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6C252F9"/>
    <w:multiLevelType w:val="hybridMultilevel"/>
    <w:tmpl w:val="FD3EF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573E88"/>
    <w:multiLevelType w:val="hybridMultilevel"/>
    <w:tmpl w:val="4A2CFF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C1B70F5"/>
    <w:multiLevelType w:val="hybridMultilevel"/>
    <w:tmpl w:val="8E3C0BC0"/>
    <w:lvl w:ilvl="0" w:tplc="5A20F7B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657765"/>
    <w:multiLevelType w:val="hybridMultilevel"/>
    <w:tmpl w:val="0AA4A13A"/>
    <w:lvl w:ilvl="0" w:tplc="DE5C19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E107A4"/>
    <w:multiLevelType w:val="hybridMultilevel"/>
    <w:tmpl w:val="96CE0872"/>
    <w:lvl w:ilvl="0" w:tplc="450C3B92">
      <w:start w:val="2"/>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3"/>
  </w:num>
  <w:num w:numId="4">
    <w:abstractNumId w:val="32"/>
  </w:num>
  <w:num w:numId="5">
    <w:abstractNumId w:val="16"/>
  </w:num>
  <w:num w:numId="6">
    <w:abstractNumId w:val="13"/>
  </w:num>
  <w:num w:numId="7">
    <w:abstractNumId w:val="28"/>
  </w:num>
  <w:num w:numId="8">
    <w:abstractNumId w:val="20"/>
  </w:num>
  <w:num w:numId="9">
    <w:abstractNumId w:val="31"/>
  </w:num>
  <w:num w:numId="10">
    <w:abstractNumId w:val="3"/>
  </w:num>
  <w:num w:numId="11">
    <w:abstractNumId w:val="27"/>
  </w:num>
  <w:num w:numId="12">
    <w:abstractNumId w:val="7"/>
  </w:num>
  <w:num w:numId="13">
    <w:abstractNumId w:val="22"/>
  </w:num>
  <w:num w:numId="14">
    <w:abstractNumId w:val="24"/>
  </w:num>
  <w:num w:numId="15">
    <w:abstractNumId w:val="0"/>
  </w:num>
  <w:num w:numId="16">
    <w:abstractNumId w:val="21"/>
  </w:num>
  <w:num w:numId="17">
    <w:abstractNumId w:val="4"/>
  </w:num>
  <w:num w:numId="18">
    <w:abstractNumId w:val="29"/>
  </w:num>
  <w:num w:numId="19">
    <w:abstractNumId w:val="6"/>
  </w:num>
  <w:num w:numId="20">
    <w:abstractNumId w:val="2"/>
  </w:num>
  <w:num w:numId="21">
    <w:abstractNumId w:val="11"/>
  </w:num>
  <w:num w:numId="22">
    <w:abstractNumId w:val="10"/>
  </w:num>
  <w:num w:numId="23">
    <w:abstractNumId w:val="17"/>
  </w:num>
  <w:num w:numId="24">
    <w:abstractNumId w:val="19"/>
  </w:num>
  <w:num w:numId="25">
    <w:abstractNumId w:val="5"/>
  </w:num>
  <w:num w:numId="26">
    <w:abstractNumId w:val="30"/>
  </w:num>
  <w:num w:numId="27">
    <w:abstractNumId w:val="12"/>
  </w:num>
  <w:num w:numId="28">
    <w:abstractNumId w:val="1"/>
  </w:num>
  <w:num w:numId="29">
    <w:abstractNumId w:val="18"/>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26"/>
  </w:num>
  <w:num w:numId="32">
    <w:abstractNumId w:val="15"/>
  </w:num>
  <w:num w:numId="3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64"/>
    <w:rsid w:val="0000024B"/>
    <w:rsid w:val="00003995"/>
    <w:rsid w:val="00005159"/>
    <w:rsid w:val="000152DC"/>
    <w:rsid w:val="0002188E"/>
    <w:rsid w:val="00023058"/>
    <w:rsid w:val="00025B60"/>
    <w:rsid w:val="00026DC7"/>
    <w:rsid w:val="00030EC9"/>
    <w:rsid w:val="00033AB9"/>
    <w:rsid w:val="00034F43"/>
    <w:rsid w:val="00035D2D"/>
    <w:rsid w:val="00036CBE"/>
    <w:rsid w:val="0004072D"/>
    <w:rsid w:val="0004085C"/>
    <w:rsid w:val="00042B33"/>
    <w:rsid w:val="00045A1D"/>
    <w:rsid w:val="000469AE"/>
    <w:rsid w:val="00051B98"/>
    <w:rsid w:val="00053CFF"/>
    <w:rsid w:val="0006097A"/>
    <w:rsid w:val="00061572"/>
    <w:rsid w:val="00063245"/>
    <w:rsid w:val="000634D5"/>
    <w:rsid w:val="00063AE7"/>
    <w:rsid w:val="00071940"/>
    <w:rsid w:val="00073407"/>
    <w:rsid w:val="000756A1"/>
    <w:rsid w:val="00075746"/>
    <w:rsid w:val="0007580D"/>
    <w:rsid w:val="00080E60"/>
    <w:rsid w:val="00084589"/>
    <w:rsid w:val="00085D8A"/>
    <w:rsid w:val="00085E37"/>
    <w:rsid w:val="00092DFF"/>
    <w:rsid w:val="00094D04"/>
    <w:rsid w:val="00095AB1"/>
    <w:rsid w:val="0009648E"/>
    <w:rsid w:val="000A36E7"/>
    <w:rsid w:val="000A57F5"/>
    <w:rsid w:val="000A673D"/>
    <w:rsid w:val="000B14A5"/>
    <w:rsid w:val="000B51C2"/>
    <w:rsid w:val="000B653E"/>
    <w:rsid w:val="000C56A4"/>
    <w:rsid w:val="000E0F62"/>
    <w:rsid w:val="000E1326"/>
    <w:rsid w:val="00100641"/>
    <w:rsid w:val="001013A9"/>
    <w:rsid w:val="00103E3E"/>
    <w:rsid w:val="001118AA"/>
    <w:rsid w:val="00111D82"/>
    <w:rsid w:val="00113F54"/>
    <w:rsid w:val="001147E0"/>
    <w:rsid w:val="001153BD"/>
    <w:rsid w:val="0011778C"/>
    <w:rsid w:val="001178D8"/>
    <w:rsid w:val="0012035C"/>
    <w:rsid w:val="00121D76"/>
    <w:rsid w:val="001262CB"/>
    <w:rsid w:val="00127446"/>
    <w:rsid w:val="001276DA"/>
    <w:rsid w:val="0013125C"/>
    <w:rsid w:val="0013661B"/>
    <w:rsid w:val="0014027C"/>
    <w:rsid w:val="0014073F"/>
    <w:rsid w:val="00146FFB"/>
    <w:rsid w:val="00151830"/>
    <w:rsid w:val="00153F55"/>
    <w:rsid w:val="00156F39"/>
    <w:rsid w:val="00164445"/>
    <w:rsid w:val="0016511D"/>
    <w:rsid w:val="00166590"/>
    <w:rsid w:val="00166BF0"/>
    <w:rsid w:val="00170894"/>
    <w:rsid w:val="00170CE8"/>
    <w:rsid w:val="001723F2"/>
    <w:rsid w:val="00173FBC"/>
    <w:rsid w:val="00174388"/>
    <w:rsid w:val="001754E4"/>
    <w:rsid w:val="00180662"/>
    <w:rsid w:val="001822E5"/>
    <w:rsid w:val="001824C4"/>
    <w:rsid w:val="00183CD0"/>
    <w:rsid w:val="001847C1"/>
    <w:rsid w:val="0019060C"/>
    <w:rsid w:val="001933A6"/>
    <w:rsid w:val="00193629"/>
    <w:rsid w:val="00193ADF"/>
    <w:rsid w:val="00195DED"/>
    <w:rsid w:val="001A2D4B"/>
    <w:rsid w:val="001A2E9F"/>
    <w:rsid w:val="001A407B"/>
    <w:rsid w:val="001A4B0E"/>
    <w:rsid w:val="001B0021"/>
    <w:rsid w:val="001B128E"/>
    <w:rsid w:val="001B45A9"/>
    <w:rsid w:val="001B6476"/>
    <w:rsid w:val="001C18DF"/>
    <w:rsid w:val="001C444A"/>
    <w:rsid w:val="001C4714"/>
    <w:rsid w:val="001C4993"/>
    <w:rsid w:val="001D0CC5"/>
    <w:rsid w:val="001D1499"/>
    <w:rsid w:val="001D5C09"/>
    <w:rsid w:val="001D6D81"/>
    <w:rsid w:val="001E0E8C"/>
    <w:rsid w:val="001E258F"/>
    <w:rsid w:val="001E261F"/>
    <w:rsid w:val="001E71F8"/>
    <w:rsid w:val="001E791F"/>
    <w:rsid w:val="001F08B5"/>
    <w:rsid w:val="001F0EF9"/>
    <w:rsid w:val="001F1BA9"/>
    <w:rsid w:val="001F219C"/>
    <w:rsid w:val="001F2FAD"/>
    <w:rsid w:val="002112F6"/>
    <w:rsid w:val="00212FA3"/>
    <w:rsid w:val="0021306F"/>
    <w:rsid w:val="00213DB9"/>
    <w:rsid w:val="002145FD"/>
    <w:rsid w:val="00215C6B"/>
    <w:rsid w:val="00223483"/>
    <w:rsid w:val="00232375"/>
    <w:rsid w:val="0023267A"/>
    <w:rsid w:val="002341AB"/>
    <w:rsid w:val="00235389"/>
    <w:rsid w:val="00236749"/>
    <w:rsid w:val="00240EB0"/>
    <w:rsid w:val="00244728"/>
    <w:rsid w:val="00244E2E"/>
    <w:rsid w:val="002512AC"/>
    <w:rsid w:val="00254176"/>
    <w:rsid w:val="0025674A"/>
    <w:rsid w:val="00256B18"/>
    <w:rsid w:val="00260365"/>
    <w:rsid w:val="00260464"/>
    <w:rsid w:val="00261606"/>
    <w:rsid w:val="00261BA4"/>
    <w:rsid w:val="002701F7"/>
    <w:rsid w:val="00273649"/>
    <w:rsid w:val="00273D23"/>
    <w:rsid w:val="00274C2A"/>
    <w:rsid w:val="00276AF3"/>
    <w:rsid w:val="00277ED6"/>
    <w:rsid w:val="00280921"/>
    <w:rsid w:val="002837C4"/>
    <w:rsid w:val="00285F75"/>
    <w:rsid w:val="0028646D"/>
    <w:rsid w:val="00286504"/>
    <w:rsid w:val="002911C5"/>
    <w:rsid w:val="002939DD"/>
    <w:rsid w:val="0029495D"/>
    <w:rsid w:val="002959F2"/>
    <w:rsid w:val="002A2B86"/>
    <w:rsid w:val="002A48A3"/>
    <w:rsid w:val="002A4A35"/>
    <w:rsid w:val="002B324C"/>
    <w:rsid w:val="002B3327"/>
    <w:rsid w:val="002B4F29"/>
    <w:rsid w:val="002B7147"/>
    <w:rsid w:val="002C1699"/>
    <w:rsid w:val="002C2CE8"/>
    <w:rsid w:val="002C6C73"/>
    <w:rsid w:val="002D1584"/>
    <w:rsid w:val="002D26BB"/>
    <w:rsid w:val="002D2EAC"/>
    <w:rsid w:val="002D5B56"/>
    <w:rsid w:val="002D5E88"/>
    <w:rsid w:val="002D63E5"/>
    <w:rsid w:val="002D6E34"/>
    <w:rsid w:val="002D7CD6"/>
    <w:rsid w:val="002E10FD"/>
    <w:rsid w:val="002E2099"/>
    <w:rsid w:val="002E6C60"/>
    <w:rsid w:val="002F76BA"/>
    <w:rsid w:val="00310210"/>
    <w:rsid w:val="00310A6C"/>
    <w:rsid w:val="00310C7E"/>
    <w:rsid w:val="00312411"/>
    <w:rsid w:val="00314CAB"/>
    <w:rsid w:val="00316A67"/>
    <w:rsid w:val="00326996"/>
    <w:rsid w:val="00331835"/>
    <w:rsid w:val="003340F3"/>
    <w:rsid w:val="0033486D"/>
    <w:rsid w:val="00335C38"/>
    <w:rsid w:val="00341449"/>
    <w:rsid w:val="00345467"/>
    <w:rsid w:val="003512FB"/>
    <w:rsid w:val="003514A6"/>
    <w:rsid w:val="00351F59"/>
    <w:rsid w:val="003535D6"/>
    <w:rsid w:val="003621BD"/>
    <w:rsid w:val="00370B5B"/>
    <w:rsid w:val="00370D1D"/>
    <w:rsid w:val="00376932"/>
    <w:rsid w:val="003823C8"/>
    <w:rsid w:val="00384598"/>
    <w:rsid w:val="003876B9"/>
    <w:rsid w:val="0039087C"/>
    <w:rsid w:val="00392DF9"/>
    <w:rsid w:val="0039393F"/>
    <w:rsid w:val="0039548A"/>
    <w:rsid w:val="003963F9"/>
    <w:rsid w:val="00396933"/>
    <w:rsid w:val="003A0E9D"/>
    <w:rsid w:val="003A36D6"/>
    <w:rsid w:val="003A3B8C"/>
    <w:rsid w:val="003A55ED"/>
    <w:rsid w:val="003A62EE"/>
    <w:rsid w:val="003A7EF4"/>
    <w:rsid w:val="003B2721"/>
    <w:rsid w:val="003C00BC"/>
    <w:rsid w:val="003C212D"/>
    <w:rsid w:val="003C77E0"/>
    <w:rsid w:val="003D0D89"/>
    <w:rsid w:val="003D2170"/>
    <w:rsid w:val="003D3385"/>
    <w:rsid w:val="003D4EB7"/>
    <w:rsid w:val="003D5144"/>
    <w:rsid w:val="003D5FA6"/>
    <w:rsid w:val="003E100E"/>
    <w:rsid w:val="003E32A1"/>
    <w:rsid w:val="003F0237"/>
    <w:rsid w:val="003F5765"/>
    <w:rsid w:val="003F5CB7"/>
    <w:rsid w:val="00401D37"/>
    <w:rsid w:val="00402848"/>
    <w:rsid w:val="00403DF1"/>
    <w:rsid w:val="00403F22"/>
    <w:rsid w:val="004053EE"/>
    <w:rsid w:val="00405C58"/>
    <w:rsid w:val="004061DD"/>
    <w:rsid w:val="00406F15"/>
    <w:rsid w:val="004073AA"/>
    <w:rsid w:val="00407A37"/>
    <w:rsid w:val="00410392"/>
    <w:rsid w:val="0041470D"/>
    <w:rsid w:val="00415BF7"/>
    <w:rsid w:val="004171D9"/>
    <w:rsid w:val="00427B0F"/>
    <w:rsid w:val="00430382"/>
    <w:rsid w:val="00431F7D"/>
    <w:rsid w:val="00437DD5"/>
    <w:rsid w:val="00443926"/>
    <w:rsid w:val="00447BCB"/>
    <w:rsid w:val="00450820"/>
    <w:rsid w:val="004515AF"/>
    <w:rsid w:val="0045272B"/>
    <w:rsid w:val="00452B9A"/>
    <w:rsid w:val="004532C1"/>
    <w:rsid w:val="00453F78"/>
    <w:rsid w:val="004560BD"/>
    <w:rsid w:val="004570AC"/>
    <w:rsid w:val="004571AE"/>
    <w:rsid w:val="0046214B"/>
    <w:rsid w:val="0046215E"/>
    <w:rsid w:val="00463FE3"/>
    <w:rsid w:val="004714B0"/>
    <w:rsid w:val="0047610F"/>
    <w:rsid w:val="004852C6"/>
    <w:rsid w:val="00487869"/>
    <w:rsid w:val="00487EF9"/>
    <w:rsid w:val="004909DB"/>
    <w:rsid w:val="00491059"/>
    <w:rsid w:val="00492459"/>
    <w:rsid w:val="004937E6"/>
    <w:rsid w:val="00493E7B"/>
    <w:rsid w:val="004B1342"/>
    <w:rsid w:val="004B588D"/>
    <w:rsid w:val="004B7EB0"/>
    <w:rsid w:val="004C11AB"/>
    <w:rsid w:val="004C2052"/>
    <w:rsid w:val="004C784F"/>
    <w:rsid w:val="004D086C"/>
    <w:rsid w:val="004D0E53"/>
    <w:rsid w:val="004D1A77"/>
    <w:rsid w:val="004D2496"/>
    <w:rsid w:val="004D4903"/>
    <w:rsid w:val="004D5AC3"/>
    <w:rsid w:val="004E278C"/>
    <w:rsid w:val="004E7F0E"/>
    <w:rsid w:val="004F09BC"/>
    <w:rsid w:val="004F1523"/>
    <w:rsid w:val="004F4663"/>
    <w:rsid w:val="004F4F59"/>
    <w:rsid w:val="004F680B"/>
    <w:rsid w:val="00501141"/>
    <w:rsid w:val="005019D2"/>
    <w:rsid w:val="00502218"/>
    <w:rsid w:val="00502D1C"/>
    <w:rsid w:val="00504FB1"/>
    <w:rsid w:val="00506A7D"/>
    <w:rsid w:val="00510E32"/>
    <w:rsid w:val="00512D5C"/>
    <w:rsid w:val="00515FAA"/>
    <w:rsid w:val="00516141"/>
    <w:rsid w:val="00516180"/>
    <w:rsid w:val="005176F7"/>
    <w:rsid w:val="00520264"/>
    <w:rsid w:val="00520364"/>
    <w:rsid w:val="00520A87"/>
    <w:rsid w:val="00522861"/>
    <w:rsid w:val="005247CF"/>
    <w:rsid w:val="005268AF"/>
    <w:rsid w:val="00531C27"/>
    <w:rsid w:val="00533A2C"/>
    <w:rsid w:val="00534DBC"/>
    <w:rsid w:val="00537386"/>
    <w:rsid w:val="00540445"/>
    <w:rsid w:val="00546029"/>
    <w:rsid w:val="00546742"/>
    <w:rsid w:val="0054680C"/>
    <w:rsid w:val="00546810"/>
    <w:rsid w:val="0055042A"/>
    <w:rsid w:val="005519C0"/>
    <w:rsid w:val="0055242D"/>
    <w:rsid w:val="00554075"/>
    <w:rsid w:val="00554C72"/>
    <w:rsid w:val="00555BE0"/>
    <w:rsid w:val="00556760"/>
    <w:rsid w:val="00563F9D"/>
    <w:rsid w:val="00566B81"/>
    <w:rsid w:val="0057019A"/>
    <w:rsid w:val="00570E5C"/>
    <w:rsid w:val="005738E8"/>
    <w:rsid w:val="0057733C"/>
    <w:rsid w:val="00580829"/>
    <w:rsid w:val="00583C01"/>
    <w:rsid w:val="005873F1"/>
    <w:rsid w:val="00597A08"/>
    <w:rsid w:val="005A3389"/>
    <w:rsid w:val="005A3788"/>
    <w:rsid w:val="005A7ED2"/>
    <w:rsid w:val="005B1093"/>
    <w:rsid w:val="005B134D"/>
    <w:rsid w:val="005B5279"/>
    <w:rsid w:val="005B5632"/>
    <w:rsid w:val="005C42F6"/>
    <w:rsid w:val="005C47D3"/>
    <w:rsid w:val="005C58FB"/>
    <w:rsid w:val="005C636D"/>
    <w:rsid w:val="005D082A"/>
    <w:rsid w:val="005D6D05"/>
    <w:rsid w:val="005D6EA1"/>
    <w:rsid w:val="005E00E5"/>
    <w:rsid w:val="005E3A77"/>
    <w:rsid w:val="005E79E7"/>
    <w:rsid w:val="005F4F02"/>
    <w:rsid w:val="005F6230"/>
    <w:rsid w:val="005F6606"/>
    <w:rsid w:val="00600AC2"/>
    <w:rsid w:val="00605EA1"/>
    <w:rsid w:val="006060F7"/>
    <w:rsid w:val="00611E7B"/>
    <w:rsid w:val="006154F4"/>
    <w:rsid w:val="006307E7"/>
    <w:rsid w:val="0063610A"/>
    <w:rsid w:val="00636CF6"/>
    <w:rsid w:val="00641803"/>
    <w:rsid w:val="006433CA"/>
    <w:rsid w:val="006447F7"/>
    <w:rsid w:val="00647E02"/>
    <w:rsid w:val="00652515"/>
    <w:rsid w:val="00654351"/>
    <w:rsid w:val="00657F37"/>
    <w:rsid w:val="00662E06"/>
    <w:rsid w:val="00663EE9"/>
    <w:rsid w:val="0067062E"/>
    <w:rsid w:val="00673441"/>
    <w:rsid w:val="00675163"/>
    <w:rsid w:val="00675F13"/>
    <w:rsid w:val="006764FF"/>
    <w:rsid w:val="006779E1"/>
    <w:rsid w:val="00681DDD"/>
    <w:rsid w:val="0068224F"/>
    <w:rsid w:val="00684DE3"/>
    <w:rsid w:val="006912F8"/>
    <w:rsid w:val="00693811"/>
    <w:rsid w:val="00694BE8"/>
    <w:rsid w:val="00695835"/>
    <w:rsid w:val="00695954"/>
    <w:rsid w:val="00695B3D"/>
    <w:rsid w:val="00696421"/>
    <w:rsid w:val="00696461"/>
    <w:rsid w:val="006A28D8"/>
    <w:rsid w:val="006A3CB6"/>
    <w:rsid w:val="006B0094"/>
    <w:rsid w:val="006B5E44"/>
    <w:rsid w:val="006C39BD"/>
    <w:rsid w:val="006C4CFC"/>
    <w:rsid w:val="006C4EA6"/>
    <w:rsid w:val="006C63BE"/>
    <w:rsid w:val="006C6CDF"/>
    <w:rsid w:val="006D189B"/>
    <w:rsid w:val="006D41CD"/>
    <w:rsid w:val="006D4B6F"/>
    <w:rsid w:val="006D5474"/>
    <w:rsid w:val="006D7980"/>
    <w:rsid w:val="006F04B5"/>
    <w:rsid w:val="006F1988"/>
    <w:rsid w:val="006F1E06"/>
    <w:rsid w:val="006F3C93"/>
    <w:rsid w:val="006F677A"/>
    <w:rsid w:val="00707B28"/>
    <w:rsid w:val="00710DDA"/>
    <w:rsid w:val="007134E5"/>
    <w:rsid w:val="00716D67"/>
    <w:rsid w:val="0071784D"/>
    <w:rsid w:val="007226CF"/>
    <w:rsid w:val="0073071C"/>
    <w:rsid w:val="00731606"/>
    <w:rsid w:val="0073316E"/>
    <w:rsid w:val="007372C2"/>
    <w:rsid w:val="00743623"/>
    <w:rsid w:val="00744577"/>
    <w:rsid w:val="00746F24"/>
    <w:rsid w:val="0074718F"/>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54A"/>
    <w:rsid w:val="0079485D"/>
    <w:rsid w:val="00794DC2"/>
    <w:rsid w:val="007A13B6"/>
    <w:rsid w:val="007A4A74"/>
    <w:rsid w:val="007A5B6E"/>
    <w:rsid w:val="007A718C"/>
    <w:rsid w:val="007A75B8"/>
    <w:rsid w:val="007B1D54"/>
    <w:rsid w:val="007B33F2"/>
    <w:rsid w:val="007B5EEB"/>
    <w:rsid w:val="007B7A34"/>
    <w:rsid w:val="007C02FE"/>
    <w:rsid w:val="007C2007"/>
    <w:rsid w:val="007C2FCA"/>
    <w:rsid w:val="007C6C5D"/>
    <w:rsid w:val="007C6E7E"/>
    <w:rsid w:val="007D012C"/>
    <w:rsid w:val="007D1EF3"/>
    <w:rsid w:val="007D3091"/>
    <w:rsid w:val="007E08C9"/>
    <w:rsid w:val="007E2348"/>
    <w:rsid w:val="007E73EA"/>
    <w:rsid w:val="007F22EB"/>
    <w:rsid w:val="007F43BB"/>
    <w:rsid w:val="007F58F8"/>
    <w:rsid w:val="007F6734"/>
    <w:rsid w:val="007F7346"/>
    <w:rsid w:val="008123F9"/>
    <w:rsid w:val="008134E0"/>
    <w:rsid w:val="00813EA7"/>
    <w:rsid w:val="00814B3D"/>
    <w:rsid w:val="00817D85"/>
    <w:rsid w:val="00821072"/>
    <w:rsid w:val="00822150"/>
    <w:rsid w:val="008223C5"/>
    <w:rsid w:val="00823669"/>
    <w:rsid w:val="00824589"/>
    <w:rsid w:val="00827CEE"/>
    <w:rsid w:val="008319B7"/>
    <w:rsid w:val="00833B9C"/>
    <w:rsid w:val="00833F90"/>
    <w:rsid w:val="00835A40"/>
    <w:rsid w:val="0084372C"/>
    <w:rsid w:val="00844B66"/>
    <w:rsid w:val="00847472"/>
    <w:rsid w:val="00851545"/>
    <w:rsid w:val="008604A0"/>
    <w:rsid w:val="00860CD5"/>
    <w:rsid w:val="0086448F"/>
    <w:rsid w:val="00867824"/>
    <w:rsid w:val="00874CD2"/>
    <w:rsid w:val="00875D73"/>
    <w:rsid w:val="00880C20"/>
    <w:rsid w:val="00882041"/>
    <w:rsid w:val="0089065A"/>
    <w:rsid w:val="00892FF9"/>
    <w:rsid w:val="008954D7"/>
    <w:rsid w:val="008A3EF4"/>
    <w:rsid w:val="008A6570"/>
    <w:rsid w:val="008B3B6F"/>
    <w:rsid w:val="008B6D7B"/>
    <w:rsid w:val="008C0A4F"/>
    <w:rsid w:val="008D09A2"/>
    <w:rsid w:val="008D13D2"/>
    <w:rsid w:val="008D1D2B"/>
    <w:rsid w:val="008D1EE5"/>
    <w:rsid w:val="008D2B3C"/>
    <w:rsid w:val="008D4BF3"/>
    <w:rsid w:val="008D5AFD"/>
    <w:rsid w:val="008D6A84"/>
    <w:rsid w:val="008E206F"/>
    <w:rsid w:val="008E6239"/>
    <w:rsid w:val="008E70D5"/>
    <w:rsid w:val="008F32C1"/>
    <w:rsid w:val="008F4614"/>
    <w:rsid w:val="008F5238"/>
    <w:rsid w:val="008F742E"/>
    <w:rsid w:val="008F7CEC"/>
    <w:rsid w:val="00903C1E"/>
    <w:rsid w:val="00904683"/>
    <w:rsid w:val="009046F3"/>
    <w:rsid w:val="009075CE"/>
    <w:rsid w:val="00907C0B"/>
    <w:rsid w:val="00910E63"/>
    <w:rsid w:val="00911E37"/>
    <w:rsid w:val="00912FB6"/>
    <w:rsid w:val="00913545"/>
    <w:rsid w:val="0091500F"/>
    <w:rsid w:val="00917276"/>
    <w:rsid w:val="0092206D"/>
    <w:rsid w:val="00926E80"/>
    <w:rsid w:val="0093120B"/>
    <w:rsid w:val="009319EF"/>
    <w:rsid w:val="00935820"/>
    <w:rsid w:val="009374A1"/>
    <w:rsid w:val="00940EAF"/>
    <w:rsid w:val="009412A1"/>
    <w:rsid w:val="00941C12"/>
    <w:rsid w:val="00943101"/>
    <w:rsid w:val="00945CA2"/>
    <w:rsid w:val="00945D53"/>
    <w:rsid w:val="00951FE9"/>
    <w:rsid w:val="009528C4"/>
    <w:rsid w:val="0095406D"/>
    <w:rsid w:val="00957D08"/>
    <w:rsid w:val="0096072D"/>
    <w:rsid w:val="0096473B"/>
    <w:rsid w:val="009735E7"/>
    <w:rsid w:val="009756EA"/>
    <w:rsid w:val="00975F3C"/>
    <w:rsid w:val="009763EB"/>
    <w:rsid w:val="00980CD3"/>
    <w:rsid w:val="00982C7F"/>
    <w:rsid w:val="00983E59"/>
    <w:rsid w:val="00984378"/>
    <w:rsid w:val="009855FB"/>
    <w:rsid w:val="009861F1"/>
    <w:rsid w:val="00987A4F"/>
    <w:rsid w:val="00995060"/>
    <w:rsid w:val="00997EB4"/>
    <w:rsid w:val="009A1142"/>
    <w:rsid w:val="009A31A8"/>
    <w:rsid w:val="009A33A6"/>
    <w:rsid w:val="009A3844"/>
    <w:rsid w:val="009B16C6"/>
    <w:rsid w:val="009B49EF"/>
    <w:rsid w:val="009C2C0B"/>
    <w:rsid w:val="009C62AE"/>
    <w:rsid w:val="009C66E4"/>
    <w:rsid w:val="009C7267"/>
    <w:rsid w:val="009D106B"/>
    <w:rsid w:val="009D348F"/>
    <w:rsid w:val="009D5385"/>
    <w:rsid w:val="009D56ED"/>
    <w:rsid w:val="009D6488"/>
    <w:rsid w:val="009E633E"/>
    <w:rsid w:val="009E7F55"/>
    <w:rsid w:val="009F5FD7"/>
    <w:rsid w:val="00A028BB"/>
    <w:rsid w:val="00A037B6"/>
    <w:rsid w:val="00A03C74"/>
    <w:rsid w:val="00A10326"/>
    <w:rsid w:val="00A13D7B"/>
    <w:rsid w:val="00A16A36"/>
    <w:rsid w:val="00A222E5"/>
    <w:rsid w:val="00A23DAA"/>
    <w:rsid w:val="00A24144"/>
    <w:rsid w:val="00A24E74"/>
    <w:rsid w:val="00A2556A"/>
    <w:rsid w:val="00A3149E"/>
    <w:rsid w:val="00A32A9A"/>
    <w:rsid w:val="00A34D22"/>
    <w:rsid w:val="00A36B5D"/>
    <w:rsid w:val="00A41315"/>
    <w:rsid w:val="00A467F8"/>
    <w:rsid w:val="00A47580"/>
    <w:rsid w:val="00A4781F"/>
    <w:rsid w:val="00A55194"/>
    <w:rsid w:val="00A61F8F"/>
    <w:rsid w:val="00A649DA"/>
    <w:rsid w:val="00A655A8"/>
    <w:rsid w:val="00A66F94"/>
    <w:rsid w:val="00A71E6B"/>
    <w:rsid w:val="00A72C70"/>
    <w:rsid w:val="00A74256"/>
    <w:rsid w:val="00A75AAD"/>
    <w:rsid w:val="00A823F6"/>
    <w:rsid w:val="00A82D88"/>
    <w:rsid w:val="00A858BD"/>
    <w:rsid w:val="00A85929"/>
    <w:rsid w:val="00A92AA5"/>
    <w:rsid w:val="00A93D89"/>
    <w:rsid w:val="00A956FB"/>
    <w:rsid w:val="00A95DC6"/>
    <w:rsid w:val="00A964DB"/>
    <w:rsid w:val="00AA048A"/>
    <w:rsid w:val="00AA316B"/>
    <w:rsid w:val="00AA3F57"/>
    <w:rsid w:val="00AA6DFE"/>
    <w:rsid w:val="00AB323C"/>
    <w:rsid w:val="00AB367E"/>
    <w:rsid w:val="00AB6096"/>
    <w:rsid w:val="00AB6964"/>
    <w:rsid w:val="00AC003C"/>
    <w:rsid w:val="00AC0E7E"/>
    <w:rsid w:val="00AC1195"/>
    <w:rsid w:val="00AC1B1B"/>
    <w:rsid w:val="00AC3706"/>
    <w:rsid w:val="00AC3C64"/>
    <w:rsid w:val="00AC6F2B"/>
    <w:rsid w:val="00AC7729"/>
    <w:rsid w:val="00AD0AB9"/>
    <w:rsid w:val="00AD15C7"/>
    <w:rsid w:val="00AD31CC"/>
    <w:rsid w:val="00AE4388"/>
    <w:rsid w:val="00AE56AF"/>
    <w:rsid w:val="00AE72A3"/>
    <w:rsid w:val="00AF0B91"/>
    <w:rsid w:val="00AF3122"/>
    <w:rsid w:val="00AF48CC"/>
    <w:rsid w:val="00AF5151"/>
    <w:rsid w:val="00AF5654"/>
    <w:rsid w:val="00B00356"/>
    <w:rsid w:val="00B005EF"/>
    <w:rsid w:val="00B006A1"/>
    <w:rsid w:val="00B00EEC"/>
    <w:rsid w:val="00B018AC"/>
    <w:rsid w:val="00B02990"/>
    <w:rsid w:val="00B03A8A"/>
    <w:rsid w:val="00B045FC"/>
    <w:rsid w:val="00B05932"/>
    <w:rsid w:val="00B059A8"/>
    <w:rsid w:val="00B101E9"/>
    <w:rsid w:val="00B10DE9"/>
    <w:rsid w:val="00B11895"/>
    <w:rsid w:val="00B1241C"/>
    <w:rsid w:val="00B146C6"/>
    <w:rsid w:val="00B14E94"/>
    <w:rsid w:val="00B15253"/>
    <w:rsid w:val="00B236D6"/>
    <w:rsid w:val="00B2499A"/>
    <w:rsid w:val="00B274BE"/>
    <w:rsid w:val="00B3592D"/>
    <w:rsid w:val="00B37652"/>
    <w:rsid w:val="00B40B12"/>
    <w:rsid w:val="00B425AA"/>
    <w:rsid w:val="00B43AA8"/>
    <w:rsid w:val="00B46C29"/>
    <w:rsid w:val="00B57E18"/>
    <w:rsid w:val="00B61EBD"/>
    <w:rsid w:val="00B63E1C"/>
    <w:rsid w:val="00B646C0"/>
    <w:rsid w:val="00B724C0"/>
    <w:rsid w:val="00B761F4"/>
    <w:rsid w:val="00B76739"/>
    <w:rsid w:val="00B842EA"/>
    <w:rsid w:val="00B86997"/>
    <w:rsid w:val="00B87773"/>
    <w:rsid w:val="00B904B0"/>
    <w:rsid w:val="00B93639"/>
    <w:rsid w:val="00B94319"/>
    <w:rsid w:val="00BA0047"/>
    <w:rsid w:val="00BA02FA"/>
    <w:rsid w:val="00BA1505"/>
    <w:rsid w:val="00BA44E3"/>
    <w:rsid w:val="00BB2163"/>
    <w:rsid w:val="00BB4179"/>
    <w:rsid w:val="00BB435B"/>
    <w:rsid w:val="00BB4B71"/>
    <w:rsid w:val="00BB542C"/>
    <w:rsid w:val="00BB7EA6"/>
    <w:rsid w:val="00BC2193"/>
    <w:rsid w:val="00BC3C1A"/>
    <w:rsid w:val="00BC43E8"/>
    <w:rsid w:val="00BC5B1D"/>
    <w:rsid w:val="00BD172D"/>
    <w:rsid w:val="00BD54A0"/>
    <w:rsid w:val="00BE0058"/>
    <w:rsid w:val="00BE25E2"/>
    <w:rsid w:val="00BE2993"/>
    <w:rsid w:val="00BE2CCF"/>
    <w:rsid w:val="00BE4333"/>
    <w:rsid w:val="00BE46F1"/>
    <w:rsid w:val="00BE5560"/>
    <w:rsid w:val="00BE7ED6"/>
    <w:rsid w:val="00BF00EA"/>
    <w:rsid w:val="00BF160C"/>
    <w:rsid w:val="00BF50A5"/>
    <w:rsid w:val="00C05B23"/>
    <w:rsid w:val="00C05F39"/>
    <w:rsid w:val="00C06DA8"/>
    <w:rsid w:val="00C105BB"/>
    <w:rsid w:val="00C11AC9"/>
    <w:rsid w:val="00C12092"/>
    <w:rsid w:val="00C12BA1"/>
    <w:rsid w:val="00C14DD8"/>
    <w:rsid w:val="00C16F76"/>
    <w:rsid w:val="00C23F33"/>
    <w:rsid w:val="00C27107"/>
    <w:rsid w:val="00C30C64"/>
    <w:rsid w:val="00C321F6"/>
    <w:rsid w:val="00C32BDB"/>
    <w:rsid w:val="00C34075"/>
    <w:rsid w:val="00C353AD"/>
    <w:rsid w:val="00C37628"/>
    <w:rsid w:val="00C37672"/>
    <w:rsid w:val="00C40E74"/>
    <w:rsid w:val="00C414CB"/>
    <w:rsid w:val="00C41CE0"/>
    <w:rsid w:val="00C52D2A"/>
    <w:rsid w:val="00C53279"/>
    <w:rsid w:val="00C532BB"/>
    <w:rsid w:val="00C53485"/>
    <w:rsid w:val="00C5453D"/>
    <w:rsid w:val="00C55128"/>
    <w:rsid w:val="00C5707E"/>
    <w:rsid w:val="00C61087"/>
    <w:rsid w:val="00C63B97"/>
    <w:rsid w:val="00C63CCF"/>
    <w:rsid w:val="00C678ED"/>
    <w:rsid w:val="00C67B1F"/>
    <w:rsid w:val="00C715A8"/>
    <w:rsid w:val="00C71749"/>
    <w:rsid w:val="00C72B4E"/>
    <w:rsid w:val="00C7588F"/>
    <w:rsid w:val="00C76DCC"/>
    <w:rsid w:val="00C77F9C"/>
    <w:rsid w:val="00C82674"/>
    <w:rsid w:val="00C8330F"/>
    <w:rsid w:val="00C83486"/>
    <w:rsid w:val="00C90D9C"/>
    <w:rsid w:val="00C931C4"/>
    <w:rsid w:val="00C956D1"/>
    <w:rsid w:val="00C966AF"/>
    <w:rsid w:val="00C9696D"/>
    <w:rsid w:val="00C97B1B"/>
    <w:rsid w:val="00CA4938"/>
    <w:rsid w:val="00CA6FB7"/>
    <w:rsid w:val="00CA7900"/>
    <w:rsid w:val="00CA7C33"/>
    <w:rsid w:val="00CB0148"/>
    <w:rsid w:val="00CB1531"/>
    <w:rsid w:val="00CB2A8F"/>
    <w:rsid w:val="00CB2AC0"/>
    <w:rsid w:val="00CB5390"/>
    <w:rsid w:val="00CB726D"/>
    <w:rsid w:val="00CB72E5"/>
    <w:rsid w:val="00CC0741"/>
    <w:rsid w:val="00CC0778"/>
    <w:rsid w:val="00CC1E16"/>
    <w:rsid w:val="00CC3046"/>
    <w:rsid w:val="00CD2038"/>
    <w:rsid w:val="00CD22E6"/>
    <w:rsid w:val="00CD238C"/>
    <w:rsid w:val="00CD48A8"/>
    <w:rsid w:val="00CD4B8C"/>
    <w:rsid w:val="00CD4C24"/>
    <w:rsid w:val="00CE2A59"/>
    <w:rsid w:val="00CE2CFE"/>
    <w:rsid w:val="00CE4FF5"/>
    <w:rsid w:val="00CF0E9E"/>
    <w:rsid w:val="00CF6396"/>
    <w:rsid w:val="00CF6D8B"/>
    <w:rsid w:val="00CF741B"/>
    <w:rsid w:val="00D00EE9"/>
    <w:rsid w:val="00D05647"/>
    <w:rsid w:val="00D06B0A"/>
    <w:rsid w:val="00D1253F"/>
    <w:rsid w:val="00D13848"/>
    <w:rsid w:val="00D13A82"/>
    <w:rsid w:val="00D16391"/>
    <w:rsid w:val="00D16661"/>
    <w:rsid w:val="00D16BCF"/>
    <w:rsid w:val="00D16D42"/>
    <w:rsid w:val="00D16FF8"/>
    <w:rsid w:val="00D20D45"/>
    <w:rsid w:val="00D23ECE"/>
    <w:rsid w:val="00D24241"/>
    <w:rsid w:val="00D2494B"/>
    <w:rsid w:val="00D25673"/>
    <w:rsid w:val="00D2620F"/>
    <w:rsid w:val="00D30935"/>
    <w:rsid w:val="00D30A46"/>
    <w:rsid w:val="00D34071"/>
    <w:rsid w:val="00D343E3"/>
    <w:rsid w:val="00D35BDC"/>
    <w:rsid w:val="00D4105A"/>
    <w:rsid w:val="00D42E99"/>
    <w:rsid w:val="00D43799"/>
    <w:rsid w:val="00D503D3"/>
    <w:rsid w:val="00D50C10"/>
    <w:rsid w:val="00D57421"/>
    <w:rsid w:val="00D7036D"/>
    <w:rsid w:val="00D7072F"/>
    <w:rsid w:val="00D73585"/>
    <w:rsid w:val="00D75F18"/>
    <w:rsid w:val="00D8379C"/>
    <w:rsid w:val="00D838F1"/>
    <w:rsid w:val="00D87AAD"/>
    <w:rsid w:val="00D9024A"/>
    <w:rsid w:val="00D90A74"/>
    <w:rsid w:val="00D9328D"/>
    <w:rsid w:val="00D939AD"/>
    <w:rsid w:val="00D97BAD"/>
    <w:rsid w:val="00DA1037"/>
    <w:rsid w:val="00DA29F9"/>
    <w:rsid w:val="00DA3AFD"/>
    <w:rsid w:val="00DB0611"/>
    <w:rsid w:val="00DB183C"/>
    <w:rsid w:val="00DC0D43"/>
    <w:rsid w:val="00DC4417"/>
    <w:rsid w:val="00DC62EF"/>
    <w:rsid w:val="00DD208E"/>
    <w:rsid w:val="00DD40D5"/>
    <w:rsid w:val="00DD4ACC"/>
    <w:rsid w:val="00DE0D67"/>
    <w:rsid w:val="00DE1D5A"/>
    <w:rsid w:val="00DE3368"/>
    <w:rsid w:val="00DE420A"/>
    <w:rsid w:val="00DF1512"/>
    <w:rsid w:val="00DF1877"/>
    <w:rsid w:val="00DF25B4"/>
    <w:rsid w:val="00DF3A3E"/>
    <w:rsid w:val="00DF4B7A"/>
    <w:rsid w:val="00E00436"/>
    <w:rsid w:val="00E01DD3"/>
    <w:rsid w:val="00E0250F"/>
    <w:rsid w:val="00E04C71"/>
    <w:rsid w:val="00E05DAC"/>
    <w:rsid w:val="00E07F1A"/>
    <w:rsid w:val="00E112F9"/>
    <w:rsid w:val="00E12D09"/>
    <w:rsid w:val="00E1738F"/>
    <w:rsid w:val="00E17DDB"/>
    <w:rsid w:val="00E2070E"/>
    <w:rsid w:val="00E217CB"/>
    <w:rsid w:val="00E2199D"/>
    <w:rsid w:val="00E22B1F"/>
    <w:rsid w:val="00E23C90"/>
    <w:rsid w:val="00E23E54"/>
    <w:rsid w:val="00E25EE7"/>
    <w:rsid w:val="00E32775"/>
    <w:rsid w:val="00E359F1"/>
    <w:rsid w:val="00E37B58"/>
    <w:rsid w:val="00E43D2E"/>
    <w:rsid w:val="00E477E0"/>
    <w:rsid w:val="00E47C9C"/>
    <w:rsid w:val="00E50E9F"/>
    <w:rsid w:val="00E57D9E"/>
    <w:rsid w:val="00E620E8"/>
    <w:rsid w:val="00E622EB"/>
    <w:rsid w:val="00E64D0B"/>
    <w:rsid w:val="00E65325"/>
    <w:rsid w:val="00E668A1"/>
    <w:rsid w:val="00E66DCA"/>
    <w:rsid w:val="00E66F95"/>
    <w:rsid w:val="00E67C89"/>
    <w:rsid w:val="00E717C8"/>
    <w:rsid w:val="00E723B7"/>
    <w:rsid w:val="00E73E4F"/>
    <w:rsid w:val="00E758F0"/>
    <w:rsid w:val="00E771F5"/>
    <w:rsid w:val="00E77C2D"/>
    <w:rsid w:val="00E837A6"/>
    <w:rsid w:val="00E845EA"/>
    <w:rsid w:val="00E9188C"/>
    <w:rsid w:val="00E95C5C"/>
    <w:rsid w:val="00EA132D"/>
    <w:rsid w:val="00EA25E8"/>
    <w:rsid w:val="00EA757B"/>
    <w:rsid w:val="00EA76DB"/>
    <w:rsid w:val="00EB1F6E"/>
    <w:rsid w:val="00EB2C58"/>
    <w:rsid w:val="00EB645E"/>
    <w:rsid w:val="00EB6846"/>
    <w:rsid w:val="00EB78D1"/>
    <w:rsid w:val="00EC2746"/>
    <w:rsid w:val="00EC47A9"/>
    <w:rsid w:val="00EC4EC7"/>
    <w:rsid w:val="00EC4F23"/>
    <w:rsid w:val="00EC5047"/>
    <w:rsid w:val="00EC5A7D"/>
    <w:rsid w:val="00ED0ADC"/>
    <w:rsid w:val="00ED5128"/>
    <w:rsid w:val="00ED54A2"/>
    <w:rsid w:val="00ED6ADD"/>
    <w:rsid w:val="00ED6E6B"/>
    <w:rsid w:val="00ED7CD8"/>
    <w:rsid w:val="00EE1690"/>
    <w:rsid w:val="00EE288F"/>
    <w:rsid w:val="00EE3663"/>
    <w:rsid w:val="00EE36D6"/>
    <w:rsid w:val="00EE4240"/>
    <w:rsid w:val="00F07B2F"/>
    <w:rsid w:val="00F10EDC"/>
    <w:rsid w:val="00F11A60"/>
    <w:rsid w:val="00F1289E"/>
    <w:rsid w:val="00F137E3"/>
    <w:rsid w:val="00F14FF7"/>
    <w:rsid w:val="00F1615C"/>
    <w:rsid w:val="00F210AB"/>
    <w:rsid w:val="00F21602"/>
    <w:rsid w:val="00F22875"/>
    <w:rsid w:val="00F24804"/>
    <w:rsid w:val="00F276BD"/>
    <w:rsid w:val="00F33D43"/>
    <w:rsid w:val="00F35077"/>
    <w:rsid w:val="00F37A45"/>
    <w:rsid w:val="00F51343"/>
    <w:rsid w:val="00F52CA3"/>
    <w:rsid w:val="00F52F8E"/>
    <w:rsid w:val="00F535D9"/>
    <w:rsid w:val="00F62A94"/>
    <w:rsid w:val="00F6752E"/>
    <w:rsid w:val="00F71B07"/>
    <w:rsid w:val="00F71DD9"/>
    <w:rsid w:val="00F752F5"/>
    <w:rsid w:val="00F75B93"/>
    <w:rsid w:val="00F76954"/>
    <w:rsid w:val="00F76AC4"/>
    <w:rsid w:val="00F80096"/>
    <w:rsid w:val="00F803FF"/>
    <w:rsid w:val="00F82CD7"/>
    <w:rsid w:val="00F83AD6"/>
    <w:rsid w:val="00F8583F"/>
    <w:rsid w:val="00F85C02"/>
    <w:rsid w:val="00F86B69"/>
    <w:rsid w:val="00F90A91"/>
    <w:rsid w:val="00F93E35"/>
    <w:rsid w:val="00F9570E"/>
    <w:rsid w:val="00F96362"/>
    <w:rsid w:val="00FA024C"/>
    <w:rsid w:val="00FA07A0"/>
    <w:rsid w:val="00FA3863"/>
    <w:rsid w:val="00FA4E5B"/>
    <w:rsid w:val="00FA63D1"/>
    <w:rsid w:val="00FA6E88"/>
    <w:rsid w:val="00FB0994"/>
    <w:rsid w:val="00FB60E7"/>
    <w:rsid w:val="00FB6205"/>
    <w:rsid w:val="00FB7C9F"/>
    <w:rsid w:val="00FC169D"/>
    <w:rsid w:val="00FC35ED"/>
    <w:rsid w:val="00FC3831"/>
    <w:rsid w:val="00FC3875"/>
    <w:rsid w:val="00FC702A"/>
    <w:rsid w:val="00FD47D2"/>
    <w:rsid w:val="00FD4877"/>
    <w:rsid w:val="00FE11CA"/>
    <w:rsid w:val="00FE275B"/>
    <w:rsid w:val="00FE52D5"/>
    <w:rsid w:val="00FF1B0F"/>
    <w:rsid w:val="00FF3E92"/>
    <w:rsid w:val="00FF5F31"/>
    <w:rsid w:val="00FF624F"/>
    <w:rsid w:val="00FF7E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pPr>
      <w:spacing w:after="0" w:line="240" w:lineRule="auto"/>
    </w:pPr>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3735">
      <w:bodyDiv w:val="1"/>
      <w:marLeft w:val="0"/>
      <w:marRight w:val="0"/>
      <w:marTop w:val="0"/>
      <w:marBottom w:val="0"/>
      <w:divBdr>
        <w:top w:val="none" w:sz="0" w:space="0" w:color="auto"/>
        <w:left w:val="none" w:sz="0" w:space="0" w:color="auto"/>
        <w:bottom w:val="none" w:sz="0" w:space="0" w:color="auto"/>
        <w:right w:val="none" w:sz="0" w:space="0" w:color="auto"/>
      </w:divBdr>
    </w:div>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175271401">
      <w:bodyDiv w:val="1"/>
      <w:marLeft w:val="0"/>
      <w:marRight w:val="0"/>
      <w:marTop w:val="0"/>
      <w:marBottom w:val="0"/>
      <w:divBdr>
        <w:top w:val="none" w:sz="0" w:space="0" w:color="auto"/>
        <w:left w:val="none" w:sz="0" w:space="0" w:color="auto"/>
        <w:bottom w:val="none" w:sz="0" w:space="0" w:color="auto"/>
        <w:right w:val="none" w:sz="0" w:space="0" w:color="auto"/>
      </w:divBdr>
    </w:div>
    <w:div w:id="212810487">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72981970">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05626121">
      <w:bodyDiv w:val="1"/>
      <w:marLeft w:val="0"/>
      <w:marRight w:val="0"/>
      <w:marTop w:val="0"/>
      <w:marBottom w:val="0"/>
      <w:divBdr>
        <w:top w:val="none" w:sz="0" w:space="0" w:color="auto"/>
        <w:left w:val="none" w:sz="0" w:space="0" w:color="auto"/>
        <w:bottom w:val="none" w:sz="0" w:space="0" w:color="auto"/>
        <w:right w:val="none" w:sz="0" w:space="0" w:color="auto"/>
      </w:divBdr>
    </w:div>
    <w:div w:id="373315303">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38537631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449054423">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45626438">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74519720">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887494326">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46761021">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694844204">
      <w:bodyDiv w:val="1"/>
      <w:marLeft w:val="0"/>
      <w:marRight w:val="0"/>
      <w:marTop w:val="0"/>
      <w:marBottom w:val="0"/>
      <w:divBdr>
        <w:top w:val="none" w:sz="0" w:space="0" w:color="auto"/>
        <w:left w:val="none" w:sz="0" w:space="0" w:color="auto"/>
        <w:bottom w:val="none" w:sz="0" w:space="0" w:color="auto"/>
        <w:right w:val="none" w:sz="0" w:space="0" w:color="auto"/>
      </w:divBdr>
    </w:div>
    <w:div w:id="1764758573">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65634486">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879776878">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 w:id="21255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cc.edomex.gob.mx/proceso_evaluacion"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ccc.edomex.gob.mx/evaluaciones_de_confian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b.mx/cms/uploads/attachment/file/188142/6._Capacitaci_n_FORTASEG_Centro_Nacional_de_Certificaci_n_y_Acreditaci_n.pdf"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A025F-109E-40D5-958F-D87EA791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13556</Words>
  <Characters>74559</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 VILLAGOMEZ</cp:lastModifiedBy>
  <cp:revision>2</cp:revision>
  <cp:lastPrinted>2022-09-29T15:43:00Z</cp:lastPrinted>
  <dcterms:created xsi:type="dcterms:W3CDTF">2022-11-28T05:19:00Z</dcterms:created>
  <dcterms:modified xsi:type="dcterms:W3CDTF">2022-11-28T05:19:00Z</dcterms:modified>
</cp:coreProperties>
</file>