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93" w:rsidRPr="00205352" w:rsidRDefault="00F12093" w:rsidP="00F12093">
      <w:pPr>
        <w:spacing w:line="360" w:lineRule="auto"/>
        <w:jc w:val="both"/>
        <w:rPr>
          <w:rFonts w:ascii="Palatino Linotype" w:eastAsia="Times New Roman" w:hAnsi="Palatino Linotype" w:cs="Arial"/>
          <w:lang w:val="es-MX"/>
        </w:rPr>
      </w:pPr>
      <w:r w:rsidRPr="0020535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B4DB2">
        <w:rPr>
          <w:rFonts w:ascii="Palatino Linotype" w:hAnsi="Palatino Linotype"/>
        </w:rPr>
        <w:t>uno (01) de junio</w:t>
      </w:r>
      <w:r w:rsidRPr="00205352">
        <w:rPr>
          <w:rFonts w:ascii="Palatino Linotype" w:eastAsia="Times New Roman" w:hAnsi="Palatino Linotype" w:cs="Arial"/>
          <w:lang w:val="es-MX"/>
        </w:rPr>
        <w:t xml:space="preserve"> de dos mil veintidós.</w:t>
      </w:r>
    </w:p>
    <w:p w:rsidR="00F12093" w:rsidRPr="00205352" w:rsidRDefault="00F12093" w:rsidP="00F12093">
      <w:pPr>
        <w:spacing w:line="360" w:lineRule="auto"/>
        <w:jc w:val="both"/>
        <w:rPr>
          <w:rFonts w:ascii="Palatino Linotype" w:hAnsi="Palatino Linotype"/>
        </w:rPr>
      </w:pPr>
    </w:p>
    <w:p w:rsidR="00F12093" w:rsidRPr="00205352" w:rsidRDefault="00F12093" w:rsidP="00F12093">
      <w:pPr>
        <w:pStyle w:val="Encabezado"/>
        <w:spacing w:line="360" w:lineRule="auto"/>
        <w:jc w:val="both"/>
        <w:rPr>
          <w:rFonts w:ascii="Palatino Linotype" w:hAnsi="Palatino Linotype"/>
        </w:rPr>
      </w:pPr>
      <w:r w:rsidRPr="00205352">
        <w:rPr>
          <w:rFonts w:ascii="Palatino Linotype" w:hAnsi="Palatino Linotype"/>
          <w:b/>
        </w:rPr>
        <w:t>VISTO el</w:t>
      </w:r>
      <w:r w:rsidRPr="00205352">
        <w:rPr>
          <w:rFonts w:ascii="Palatino Linotype" w:hAnsi="Palatino Linotype"/>
        </w:rPr>
        <w:t xml:space="preserve"> expediente electrónico formado con motivo del recurso de revisión</w:t>
      </w:r>
      <w:r w:rsidRPr="00205352">
        <w:rPr>
          <w:rFonts w:ascii="Palatino Linotype" w:hAnsi="Palatino Linotype"/>
          <w:sz w:val="28"/>
        </w:rPr>
        <w:t xml:space="preserve"> </w:t>
      </w:r>
      <w:r w:rsidR="008B4DB2">
        <w:rPr>
          <w:rFonts w:ascii="Palatino Linotype" w:hAnsi="Palatino Linotype" w:cs="Arial"/>
          <w:b/>
          <w:bCs/>
          <w:lang w:eastAsia="es-MX"/>
        </w:rPr>
        <w:t>04043</w:t>
      </w:r>
      <w:r w:rsidR="005B7B01">
        <w:rPr>
          <w:rFonts w:ascii="Palatino Linotype" w:hAnsi="Palatino Linotype" w:cs="Arial"/>
          <w:b/>
          <w:bCs/>
          <w:lang w:eastAsia="es-MX"/>
        </w:rPr>
        <w:t>/INFOEM/IP/RR/2022</w:t>
      </w:r>
      <w:r w:rsidRPr="00205352">
        <w:rPr>
          <w:rFonts w:ascii="Palatino Linotype" w:hAnsi="Palatino Linotype" w:cs="Arial"/>
          <w:b/>
          <w:bCs/>
          <w:lang w:eastAsia="es-MX"/>
        </w:rPr>
        <w:t xml:space="preserve">, </w:t>
      </w:r>
      <w:r w:rsidRPr="00205352">
        <w:rPr>
          <w:rFonts w:ascii="Palatino Linotype" w:hAnsi="Palatino Linotype"/>
        </w:rPr>
        <w:t>promovido por</w:t>
      </w:r>
      <w:r w:rsidRPr="00205352">
        <w:rPr>
          <w:rFonts w:ascii="Palatino Linotype" w:hAnsi="Palatino Linotype"/>
          <w:b/>
        </w:rPr>
        <w:t xml:space="preserve"> </w:t>
      </w:r>
      <w:r w:rsidR="0062098C">
        <w:rPr>
          <w:rFonts w:ascii="Palatino Linotype" w:eastAsia="Calibri" w:hAnsi="Palatino Linotype" w:cs="Tahoma"/>
          <w:b/>
          <w:sz w:val="22"/>
          <w:szCs w:val="22"/>
          <w:lang w:val="es-MX" w:eastAsia="en-US"/>
        </w:rPr>
        <w:t>XXXXXXXX XXXXXX XXXXXXX</w:t>
      </w:r>
      <w:r w:rsidR="008B4DB2">
        <w:rPr>
          <w:rFonts w:ascii="Palatino Linotype" w:hAnsi="Palatino Linotype"/>
          <w:sz w:val="22"/>
          <w:szCs w:val="22"/>
        </w:rPr>
        <w:t>,</w:t>
      </w:r>
      <w:r w:rsidRPr="008B4DB2">
        <w:rPr>
          <w:rFonts w:ascii="Palatino Linotype" w:hAnsi="Palatino Linotype"/>
          <w:sz w:val="22"/>
          <w:szCs w:val="22"/>
        </w:rPr>
        <w:t xml:space="preserve"> </w:t>
      </w:r>
      <w:r w:rsidRPr="00205352">
        <w:rPr>
          <w:rFonts w:ascii="Palatino Linotype" w:hAnsi="Palatino Linotype"/>
          <w:sz w:val="22"/>
          <w:szCs w:val="22"/>
        </w:rPr>
        <w:t>quien</w:t>
      </w:r>
      <w:r w:rsidRPr="00205352">
        <w:rPr>
          <w:rFonts w:ascii="Palatino Linotype" w:hAnsi="Palatino Linotype"/>
        </w:rPr>
        <w:t xml:space="preserve"> en lo sucesivo será identificado como </w:t>
      </w:r>
      <w:r w:rsidRPr="00205352">
        <w:rPr>
          <w:rFonts w:ascii="Palatino Linotype" w:hAnsi="Palatino Linotype"/>
          <w:b/>
        </w:rPr>
        <w:t>RECURRENTE</w:t>
      </w:r>
      <w:r w:rsidRPr="00205352">
        <w:rPr>
          <w:rFonts w:ascii="Palatino Linotype" w:hAnsi="Palatino Linotype" w:cs="Arial"/>
        </w:rPr>
        <w:t xml:space="preserve">, en contra de la respuesta del </w:t>
      </w:r>
      <w:r w:rsidR="008B4DB2">
        <w:rPr>
          <w:rFonts w:ascii="Palatino Linotype" w:hAnsi="Palatino Linotype"/>
          <w:b/>
          <w:bCs/>
          <w:szCs w:val="22"/>
        </w:rPr>
        <w:t>Comisión del Agua del Estado de México</w:t>
      </w:r>
      <w:r w:rsidRPr="00205352">
        <w:rPr>
          <w:rFonts w:ascii="Palatino Linotype" w:hAnsi="Palatino Linotype" w:cs="Arial"/>
        </w:rPr>
        <w:t>,</w:t>
      </w:r>
      <w:r w:rsidRPr="00205352">
        <w:rPr>
          <w:rFonts w:ascii="Palatino Linotype" w:hAnsi="Palatino Linotype"/>
          <w:b/>
        </w:rPr>
        <w:t xml:space="preserve"> </w:t>
      </w:r>
      <w:r w:rsidRPr="00205352">
        <w:rPr>
          <w:rFonts w:ascii="Palatino Linotype" w:hAnsi="Palatino Linotype"/>
        </w:rPr>
        <w:t>en lo sucesivo el</w:t>
      </w:r>
      <w:r w:rsidRPr="00205352">
        <w:rPr>
          <w:rFonts w:ascii="Palatino Linotype" w:hAnsi="Palatino Linotype"/>
          <w:b/>
        </w:rPr>
        <w:t xml:space="preserve"> SUJETO OBLIGADO, </w:t>
      </w:r>
      <w:r w:rsidRPr="00205352">
        <w:rPr>
          <w:rFonts w:ascii="Palatino Linotype" w:hAnsi="Palatino Linotype"/>
        </w:rPr>
        <w:t>se procede a dictar la presente resolución, con base en los siguientes:</w:t>
      </w:r>
    </w:p>
    <w:p w:rsidR="00F12093" w:rsidRPr="00205352" w:rsidRDefault="00F12093" w:rsidP="00F12093">
      <w:pPr>
        <w:pStyle w:val="Encabezado"/>
        <w:spacing w:line="360" w:lineRule="auto"/>
        <w:jc w:val="both"/>
        <w:rPr>
          <w:rFonts w:ascii="Palatino Linotype" w:hAnsi="Palatino Linotype"/>
        </w:rPr>
      </w:pPr>
    </w:p>
    <w:p w:rsidR="00F12093" w:rsidRPr="00205352" w:rsidRDefault="00F12093" w:rsidP="00F12093">
      <w:pPr>
        <w:pStyle w:val="Ttulo1"/>
        <w:spacing w:before="0" w:line="360" w:lineRule="auto"/>
        <w:jc w:val="center"/>
      </w:pPr>
      <w:bookmarkStart w:id="0" w:name="_Toc59195555"/>
      <w:bookmarkStart w:id="1" w:name="_Toc89360009"/>
      <w:r w:rsidRPr="00205352">
        <w:t>ANTECEDENTES</w:t>
      </w:r>
      <w:bookmarkEnd w:id="0"/>
      <w:bookmarkEnd w:id="1"/>
    </w:p>
    <w:p w:rsidR="00F12093" w:rsidRPr="00205352" w:rsidRDefault="00F12093" w:rsidP="00F12093">
      <w:pPr>
        <w:rPr>
          <w:lang w:val="es-MX" w:eastAsia="en-US"/>
        </w:rPr>
      </w:pPr>
    </w:p>
    <w:p w:rsidR="00F12093" w:rsidRPr="00205352" w:rsidRDefault="00F12093" w:rsidP="00F12093">
      <w:pPr>
        <w:pStyle w:val="Prrafodelista"/>
        <w:numPr>
          <w:ilvl w:val="0"/>
          <w:numId w:val="1"/>
        </w:numPr>
        <w:spacing w:line="360" w:lineRule="auto"/>
        <w:ind w:left="0" w:firstLine="0"/>
        <w:jc w:val="both"/>
        <w:rPr>
          <w:rFonts w:ascii="Palatino Linotype" w:eastAsia="Times New Roman" w:hAnsi="Palatino Linotype" w:cs="Arial"/>
          <w:lang w:val="es-ES"/>
        </w:rPr>
      </w:pPr>
      <w:r w:rsidRPr="00205352">
        <w:rPr>
          <w:rFonts w:ascii="Palatino Linotype" w:eastAsia="Calibri" w:hAnsi="Palatino Linotype" w:cs="Arial"/>
          <w:lang w:val="es-ES"/>
        </w:rPr>
        <w:t xml:space="preserve">El día </w:t>
      </w:r>
      <w:r w:rsidR="008B4DB2">
        <w:rPr>
          <w:rFonts w:ascii="Palatino Linotype" w:eastAsia="Calibri" w:hAnsi="Palatino Linotype" w:cs="Arial"/>
          <w:lang w:val="es-ES"/>
        </w:rPr>
        <w:t xml:space="preserve">nueve (09) de marzo </w:t>
      </w:r>
      <w:r w:rsidR="005B7B01">
        <w:rPr>
          <w:rFonts w:ascii="Palatino Linotype" w:eastAsia="Calibri" w:hAnsi="Palatino Linotype" w:cs="Arial"/>
          <w:lang w:val="es-ES"/>
        </w:rPr>
        <w:t xml:space="preserve"> de dos mil veintidós</w:t>
      </w:r>
      <w:r w:rsidRPr="00205352">
        <w:rPr>
          <w:rFonts w:ascii="Palatino Linotype" w:eastAsia="Calibri" w:hAnsi="Palatino Linotype" w:cs="Arial"/>
          <w:lang w:val="es-ES"/>
        </w:rPr>
        <w:t>,</w:t>
      </w:r>
      <w:r w:rsidRPr="00205352">
        <w:rPr>
          <w:rFonts w:ascii="Palatino Linotype" w:eastAsia="Calibri" w:hAnsi="Palatino Linotype" w:cs="Times New Roman"/>
          <w:lang w:val="es-ES"/>
        </w:rPr>
        <w:t xml:space="preserve"> </w:t>
      </w:r>
      <w:r w:rsidRPr="00205352">
        <w:rPr>
          <w:rFonts w:ascii="Palatino Linotype" w:eastAsia="Calibri" w:hAnsi="Palatino Linotype" w:cs="Times New Roman"/>
          <w:b/>
          <w:lang w:val="es-ES"/>
        </w:rPr>
        <w:t>EL RECURRENTE</w:t>
      </w:r>
      <w:r w:rsidRPr="00205352">
        <w:rPr>
          <w:rFonts w:ascii="Palatino Linotype" w:hAnsi="Palatino Linotype"/>
          <w:b/>
        </w:rPr>
        <w:t>,</w:t>
      </w:r>
      <w:r w:rsidRPr="00205352">
        <w:rPr>
          <w:rFonts w:ascii="Palatino Linotype" w:eastAsia="Calibri" w:hAnsi="Palatino Linotype" w:cs="Arial"/>
          <w:lang w:val="es-ES"/>
        </w:rPr>
        <w:t xml:space="preserve"> ante el </w:t>
      </w:r>
      <w:r w:rsidRPr="00205352">
        <w:rPr>
          <w:rFonts w:ascii="Palatino Linotype" w:eastAsia="Calibri" w:hAnsi="Palatino Linotype" w:cs="Arial"/>
          <w:b/>
          <w:lang w:val="es-ES"/>
        </w:rPr>
        <w:t>SUJETO OBLIGADO</w:t>
      </w:r>
      <w:r w:rsidRPr="00205352">
        <w:rPr>
          <w:rFonts w:ascii="Palatino Linotype" w:eastAsia="Calibri" w:hAnsi="Palatino Linotype" w:cs="Arial"/>
        </w:rPr>
        <w:t xml:space="preserve"> a través de la Plataforma </w:t>
      </w:r>
      <w:r w:rsidRPr="00205352">
        <w:rPr>
          <w:rFonts w:ascii="Palatino Linotype" w:eastAsia="Calibri" w:hAnsi="Palatino Linotype" w:cs="Arial"/>
          <w:lang w:val="es-ES"/>
        </w:rPr>
        <w:t>Sistema de Acceso a la Información Mexiquense (</w:t>
      </w:r>
      <w:r w:rsidRPr="00205352">
        <w:rPr>
          <w:rFonts w:ascii="Palatino Linotype" w:eastAsia="Calibri" w:hAnsi="Palatino Linotype" w:cs="Arial"/>
          <w:b/>
          <w:lang w:val="es-ES"/>
        </w:rPr>
        <w:t>SAIMEX)</w:t>
      </w:r>
      <w:r w:rsidRPr="00205352">
        <w:rPr>
          <w:rFonts w:ascii="Palatino Linotype" w:eastAsia="Calibri" w:hAnsi="Palatino Linotype" w:cs="Arial"/>
          <w:lang w:val="es-ES"/>
        </w:rPr>
        <w:t xml:space="preserve">, presentó la solicitud de información pública registrada con el número </w:t>
      </w:r>
      <w:r w:rsidRPr="00205352">
        <w:rPr>
          <w:rFonts w:ascii="Palatino Linotype" w:eastAsia="Times New Roman" w:hAnsi="Palatino Linotype" w:cs="Arial"/>
          <w:b/>
          <w:bCs/>
        </w:rPr>
        <w:t> </w:t>
      </w:r>
      <w:r w:rsidR="008B4DB2" w:rsidRPr="008B4DB2">
        <w:rPr>
          <w:rFonts w:ascii="Palatino Linotype" w:eastAsia="Times New Roman" w:hAnsi="Palatino Linotype" w:cs="Arial"/>
          <w:b/>
          <w:bCs/>
        </w:rPr>
        <w:t>00035/CAEM/IP/2022</w:t>
      </w:r>
      <w:r w:rsidRPr="00205352">
        <w:rPr>
          <w:rFonts w:ascii="Palatino Linotype" w:eastAsia="Times New Roman" w:hAnsi="Palatino Linotype" w:cs="Arial"/>
          <w:b/>
          <w:lang w:val="es-ES"/>
        </w:rPr>
        <w:t xml:space="preserve">, </w:t>
      </w:r>
      <w:r w:rsidRPr="00205352">
        <w:rPr>
          <w:rFonts w:ascii="Palatino Linotype" w:eastAsia="Calibri" w:hAnsi="Palatino Linotype" w:cs="Arial"/>
          <w:lang w:val="es-ES"/>
        </w:rPr>
        <w:t>mediante la cual solicitó lo siguiente:</w:t>
      </w:r>
    </w:p>
    <w:p w:rsidR="00F12093" w:rsidRPr="00205352" w:rsidRDefault="00F12093" w:rsidP="00F12093">
      <w:pPr>
        <w:pStyle w:val="Prrafodelista"/>
        <w:spacing w:line="360" w:lineRule="auto"/>
        <w:ind w:left="0"/>
        <w:jc w:val="both"/>
        <w:rPr>
          <w:rFonts w:ascii="Palatino Linotype" w:eastAsia="Times New Roman" w:hAnsi="Palatino Linotype" w:cs="Arial"/>
          <w:lang w:val="es-ES"/>
        </w:rPr>
      </w:pPr>
    </w:p>
    <w:p w:rsidR="00F12093" w:rsidRPr="00205352" w:rsidRDefault="00F12093" w:rsidP="00F12093">
      <w:pPr>
        <w:spacing w:line="360" w:lineRule="auto"/>
        <w:ind w:left="851" w:right="567"/>
        <w:jc w:val="both"/>
        <w:rPr>
          <w:rFonts w:ascii="Palatino Linotype" w:eastAsia="Calibri" w:hAnsi="Palatino Linotype" w:cs="Arial"/>
          <w:i/>
          <w:sz w:val="22"/>
          <w:lang w:val="es-ES"/>
        </w:rPr>
      </w:pPr>
      <w:r w:rsidRPr="00205352">
        <w:rPr>
          <w:rFonts w:ascii="Palatino Linotype" w:eastAsia="Calibri" w:hAnsi="Palatino Linotype" w:cs="Arial"/>
          <w:i/>
          <w:sz w:val="22"/>
          <w:szCs w:val="22"/>
          <w:lang w:val="es-ES"/>
        </w:rPr>
        <w:t xml:space="preserve"> “</w:t>
      </w:r>
      <w:r w:rsidR="008B4DB2" w:rsidRPr="008B4DB2">
        <w:rPr>
          <w:rFonts w:ascii="Palatino Linotype" w:eastAsia="Times New Roman" w:hAnsi="Palatino Linotype" w:cs="Times New Roman"/>
          <w:i/>
          <w:sz w:val="22"/>
          <w:szCs w:val="22"/>
          <w:lang w:eastAsia="es-MX"/>
        </w:rPr>
        <w:t xml:space="preserve">Es de todos conocido que la red de corrupcion que ha tejido el virrey del soborno, </w:t>
      </w:r>
      <w:r w:rsidR="0062098C">
        <w:rPr>
          <w:rFonts w:ascii="Palatino Linotype" w:eastAsia="Times New Roman" w:hAnsi="Palatino Linotype" w:cs="Times New Roman"/>
          <w:i/>
          <w:sz w:val="22"/>
          <w:szCs w:val="22"/>
          <w:lang w:eastAsia="es-MX"/>
        </w:rPr>
        <w:t>XXXXXXXXXXXXXX</w:t>
      </w:r>
      <w:r w:rsidR="008B4DB2" w:rsidRPr="008B4DB2">
        <w:rPr>
          <w:rFonts w:ascii="Palatino Linotype" w:eastAsia="Times New Roman" w:hAnsi="Palatino Linotype" w:cs="Times New Roman"/>
          <w:i/>
          <w:sz w:val="22"/>
          <w:szCs w:val="22"/>
          <w:lang w:eastAsia="es-MX"/>
        </w:rPr>
        <w:t xml:space="preserve">, amenaza la estabilidad hidrica de nuestro municipio ya que este personaje no es servidor publico porque transgrede lo indicado en la Ley de Responsabilidades Administrativas del Estado de Mexico y siempre antepone sus intereses personales y la de su grupo de poderosos dentro del municipio, sobre los intereses de la poblacion del resto del municipio. Es un clamor general de los vecinos conocer el motivo por el cual la dotacion de agua potable que le entregan al </w:t>
      </w:r>
      <w:r w:rsidR="008B4DB2" w:rsidRPr="008B4DB2">
        <w:rPr>
          <w:rFonts w:ascii="Palatino Linotype" w:eastAsia="Times New Roman" w:hAnsi="Palatino Linotype" w:cs="Times New Roman"/>
          <w:i/>
          <w:sz w:val="22"/>
          <w:szCs w:val="22"/>
          <w:lang w:eastAsia="es-MX"/>
        </w:rPr>
        <w:lastRenderedPageBreak/>
        <w:t>fraccionamiento REAL DE SAN FERNANDO ha disminuido considerablemente desde hace dos semanas, hemos revisado de manera interna las conexiones que tenemos de la cisterna al tanque elevado y a cada una de las vivienda, pero observamos que los tiempos de llenado de la cisterna, y a su vez del tanque elevado, tardan mas de dos horas a lo que anteriormente tardaban, lo que nos hace concluir que algo se altero en el mecanismo de suministro del agua. Como antecedente se les informa que hace dos años, como fraccionamento, adquirimos refacciones para arreglar el mecanismo de dotacion, mismo personal de la direccion de agua potable vino a realizar los trabajos, todo se regularizo y no habiamos tenido problema con el suministro pero, por lo indicado en las oficinas administrativas de dicha dependencia, nos informan a un gru</w:t>
      </w:r>
      <w:r w:rsidR="0062098C">
        <w:rPr>
          <w:rFonts w:ascii="Palatino Linotype" w:eastAsia="Times New Roman" w:hAnsi="Palatino Linotype" w:cs="Times New Roman"/>
          <w:i/>
          <w:sz w:val="22"/>
          <w:szCs w:val="22"/>
          <w:lang w:eastAsia="es-MX"/>
        </w:rPr>
        <w:t>po de vecinos que el Sr. XXXXX XXXXX XXXXX</w:t>
      </w:r>
      <w:bookmarkStart w:id="2" w:name="_GoBack"/>
      <w:bookmarkEnd w:id="2"/>
      <w:r w:rsidR="008B4DB2" w:rsidRPr="008B4DB2">
        <w:rPr>
          <w:rFonts w:ascii="Palatino Linotype" w:eastAsia="Times New Roman" w:hAnsi="Palatino Linotype" w:cs="Times New Roman"/>
          <w:i/>
          <w:sz w:val="22"/>
          <w:szCs w:val="22"/>
          <w:lang w:eastAsia="es-MX"/>
        </w:rPr>
        <w:t xml:space="preserve">, el servidor publico que mas corrupcion genera en los diversos ramales de dotacion y drenaje de agua en todo el territorio municipal, nuevamente esta involucrado en estos problemas de suministro. ¿Cuando sera que a este señor se le quite todo el poder que sus amigos poderosos respaldan con practicas que desvirtuan el ejercicio del servicio publico y quienes se creen originarios como dice el famosisimo bando municipal de Cuautitlan para mantener el pequeño coto de poder que es gobernar este municipio sin pies ni cabeza? ¿Quien protege a este grupo de criminales, encabezados por este señor Carrera y que extorsionan y amenazan, con quitar la dotacion de agua potable a todo ciudadano que protesta por el incumplimiento en el suministro hidrico, obligado por ley indicado tanto en la Ley del Agua para el Estado de México y Municipios y su Reglamento?, ¿Quien puede ponerle un freno a las tacticas dilatorias de los poderosos protectores que tiene este delincuente? ¿Porque si ya se demostro que es el autor de tantas fechorias le siguen dando empleo como servidor publico? Se les suplica que en la respuesta tomen en consideracion los lineamentos que marca la Ley de Transparencia y Acceso a la </w:t>
      </w:r>
      <w:r w:rsidR="008B4DB2" w:rsidRPr="008B4DB2">
        <w:rPr>
          <w:rFonts w:ascii="Palatino Linotype" w:eastAsia="Times New Roman" w:hAnsi="Palatino Linotype" w:cs="Times New Roman"/>
          <w:i/>
          <w:sz w:val="22"/>
          <w:szCs w:val="22"/>
          <w:lang w:eastAsia="es-MX"/>
        </w:rPr>
        <w:lastRenderedPageBreak/>
        <w:t>Información Pública del Estado de México y Municipios en sus artículos 3 fracciones XI y XXI y 4.</w:t>
      </w:r>
      <w:r w:rsidRPr="00205352">
        <w:rPr>
          <w:rFonts w:ascii="Palatino Linotype" w:eastAsia="Times New Roman" w:hAnsi="Palatino Linotype" w:cs="Times New Roman"/>
          <w:i/>
          <w:sz w:val="22"/>
          <w:szCs w:val="22"/>
          <w:lang w:eastAsia="es-MX"/>
        </w:rPr>
        <w:t>"</w:t>
      </w:r>
      <w:r w:rsidR="00B707E1" w:rsidRPr="00205352">
        <w:rPr>
          <w:rFonts w:ascii="Palatino Linotype" w:eastAsia="Times New Roman" w:hAnsi="Palatino Linotype" w:cs="Times New Roman"/>
          <w:i/>
          <w:sz w:val="22"/>
          <w:szCs w:val="22"/>
          <w:lang w:eastAsia="es-MX"/>
        </w:rPr>
        <w:t xml:space="preserve"> </w:t>
      </w:r>
      <w:r w:rsidRPr="00205352">
        <w:rPr>
          <w:rFonts w:ascii="Palatino Linotype" w:eastAsia="Calibri" w:hAnsi="Palatino Linotype" w:cs="Arial"/>
          <w:i/>
          <w:sz w:val="22"/>
          <w:lang w:val="es-ES"/>
        </w:rPr>
        <w:t xml:space="preserve"> (Sic)</w:t>
      </w:r>
    </w:p>
    <w:p w:rsidR="00F12093" w:rsidRPr="00205352" w:rsidRDefault="00F12093" w:rsidP="00F12093">
      <w:pPr>
        <w:spacing w:line="360" w:lineRule="auto"/>
        <w:ind w:right="567"/>
        <w:jc w:val="both"/>
        <w:rPr>
          <w:rFonts w:ascii="Palatino Linotype" w:eastAsia="Times New Roman" w:hAnsi="Palatino Linotype" w:cs="Times New Roman"/>
          <w:lang w:val="es-MX" w:eastAsia="es-MX"/>
        </w:rPr>
      </w:pPr>
    </w:p>
    <w:p w:rsidR="00F12093" w:rsidRPr="00205352" w:rsidRDefault="00F12093"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205352">
        <w:rPr>
          <w:rFonts w:ascii="Palatino Linotype" w:eastAsia="Calibri" w:hAnsi="Palatino Linotype" w:cs="Times New Roman"/>
          <w:lang w:val="es-ES"/>
        </w:rPr>
        <w:t>Se señaló como modalidad de entrega a través del Sistema de Acceso a la Información Mexiquense (SAIMEX).</w:t>
      </w:r>
    </w:p>
    <w:p w:rsidR="00C803BA" w:rsidRPr="00205352" w:rsidRDefault="00C803BA" w:rsidP="00C803BA">
      <w:pPr>
        <w:pStyle w:val="Prrafodelista"/>
        <w:spacing w:line="360" w:lineRule="auto"/>
        <w:ind w:left="0"/>
        <w:jc w:val="both"/>
        <w:rPr>
          <w:rFonts w:ascii="Palatino Linotype" w:eastAsia="Calibri" w:hAnsi="Palatino Linotype" w:cs="Times New Roman"/>
          <w:lang w:val="es-ES"/>
        </w:rPr>
      </w:pPr>
    </w:p>
    <w:p w:rsidR="00C803BA" w:rsidRPr="00205352" w:rsidRDefault="00C803BA"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205352">
        <w:rPr>
          <w:rFonts w:ascii="Palatino Linotype" w:eastAsia="Calibri" w:hAnsi="Palatino Linotype" w:cs="Times New Roman"/>
          <w:lang w:val="es-ES"/>
        </w:rPr>
        <w:t xml:space="preserve">El </w:t>
      </w:r>
      <w:r w:rsidR="008B4DB2">
        <w:rPr>
          <w:rFonts w:ascii="Palatino Linotype" w:eastAsia="Calibri" w:hAnsi="Palatino Linotype" w:cs="Times New Roman"/>
          <w:lang w:val="es-ES"/>
        </w:rPr>
        <w:t xml:space="preserve">diez (10) de marzo </w:t>
      </w:r>
      <w:r w:rsidR="005B7B01">
        <w:rPr>
          <w:rFonts w:ascii="Palatino Linotype" w:eastAsia="Calibri" w:hAnsi="Palatino Linotype" w:cs="Times New Roman"/>
          <w:lang w:val="es-ES"/>
        </w:rPr>
        <w:t>de dos mil veintidós</w:t>
      </w:r>
      <w:r w:rsidRPr="00205352">
        <w:rPr>
          <w:rFonts w:ascii="Palatino Linotype" w:eastAsia="Calibri" w:hAnsi="Palatino Linotype" w:cs="Times New Roman"/>
          <w:lang w:val="es-ES"/>
        </w:rPr>
        <w:t>, se realizó un requerimiento al servidor público habilitado.</w:t>
      </w:r>
    </w:p>
    <w:p w:rsidR="00F12093" w:rsidRPr="00205352" w:rsidRDefault="00F12093" w:rsidP="00F12093">
      <w:pPr>
        <w:pStyle w:val="Prrafodelista"/>
        <w:spacing w:line="360" w:lineRule="auto"/>
        <w:ind w:left="0"/>
        <w:jc w:val="both"/>
        <w:rPr>
          <w:rFonts w:ascii="Palatino Linotype" w:eastAsia="Calibri" w:hAnsi="Palatino Linotype" w:cs="Times New Roman"/>
          <w:b/>
          <w:i/>
          <w:lang w:val="es-ES"/>
        </w:rPr>
      </w:pPr>
    </w:p>
    <w:p w:rsidR="00F12093" w:rsidRPr="00205352" w:rsidRDefault="00F12093" w:rsidP="00F1209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205352">
        <w:rPr>
          <w:rFonts w:ascii="Palatino Linotype" w:eastAsia="Calibri" w:hAnsi="Palatino Linotype" w:cs="Times New Roman"/>
          <w:lang w:val="es-ES"/>
        </w:rPr>
        <w:t xml:space="preserve">El </w:t>
      </w:r>
      <w:r w:rsidR="008B4DB2">
        <w:rPr>
          <w:rFonts w:ascii="Palatino Linotype" w:eastAsia="Calibri" w:hAnsi="Palatino Linotype" w:cs="Times New Roman"/>
          <w:lang w:val="es-ES"/>
        </w:rPr>
        <w:t xml:space="preserve">diecisiete (17) de marzo </w:t>
      </w:r>
      <w:r w:rsidR="005B7B01">
        <w:rPr>
          <w:rFonts w:ascii="Palatino Linotype" w:eastAsia="Calibri" w:hAnsi="Palatino Linotype" w:cs="Times New Roman"/>
          <w:lang w:val="es-ES"/>
        </w:rPr>
        <w:t xml:space="preserve"> de dos mil veintidós</w:t>
      </w:r>
      <w:r w:rsidRPr="00205352">
        <w:rPr>
          <w:rFonts w:ascii="Palatino Linotype" w:eastAsia="Calibri" w:hAnsi="Palatino Linotype" w:cs="Times New Roman"/>
          <w:lang w:val="es-ES"/>
        </w:rPr>
        <w:t xml:space="preserve">, el </w:t>
      </w:r>
      <w:r w:rsidRPr="00205352">
        <w:rPr>
          <w:rFonts w:ascii="Palatino Linotype" w:eastAsia="Calibri" w:hAnsi="Palatino Linotype" w:cs="Arial"/>
          <w:b/>
          <w:lang w:val="es-AR"/>
        </w:rPr>
        <w:t>SUJETO OBLIGADO</w:t>
      </w:r>
      <w:r w:rsidRPr="00205352">
        <w:rPr>
          <w:rFonts w:ascii="Palatino Linotype" w:eastAsia="Calibri" w:hAnsi="Palatino Linotype" w:cs="Arial"/>
          <w:b/>
          <w:i/>
          <w:lang w:val="es-AR"/>
        </w:rPr>
        <w:t xml:space="preserve"> </w:t>
      </w:r>
      <w:r w:rsidRPr="00205352">
        <w:rPr>
          <w:rFonts w:ascii="Palatino Linotype" w:eastAsia="Times New Roman" w:hAnsi="Palatino Linotype" w:cs="Arial"/>
          <w:lang w:val="es-ES"/>
        </w:rPr>
        <w:t>dio respuesta a la solicitud de información, en los siguientes términos</w:t>
      </w:r>
      <w:r w:rsidRPr="00205352">
        <w:rPr>
          <w:rFonts w:ascii="Palatino Linotype" w:eastAsia="Calibri" w:hAnsi="Palatino Linotype" w:cs="Times New Roman"/>
          <w:bCs/>
          <w:iCs/>
          <w:lang w:val="es-ES"/>
        </w:rPr>
        <w:t>:</w:t>
      </w:r>
    </w:p>
    <w:p w:rsidR="00F544A6" w:rsidRDefault="00F544A6" w:rsidP="00F544A6">
      <w:pPr>
        <w:pStyle w:val="Prrafodelista"/>
        <w:spacing w:line="360" w:lineRule="auto"/>
        <w:ind w:left="0"/>
        <w:jc w:val="both"/>
        <w:rPr>
          <w:rFonts w:ascii="Palatino Linotype" w:eastAsia="Calibri" w:hAnsi="Palatino Linotype" w:cs="Times New Roman"/>
          <w:b/>
          <w:i/>
          <w:lang w:val="es-ES"/>
        </w:rPr>
      </w:pPr>
    </w:p>
    <w:tbl>
      <w:tblPr>
        <w:tblW w:w="8306" w:type="dxa"/>
        <w:tblCellSpacing w:w="0" w:type="dxa"/>
        <w:tblCellMar>
          <w:left w:w="0" w:type="dxa"/>
          <w:right w:w="0" w:type="dxa"/>
        </w:tblCellMar>
        <w:tblLook w:val="04A0" w:firstRow="1" w:lastRow="0" w:firstColumn="1" w:lastColumn="0" w:noHBand="0" w:noVBand="1"/>
      </w:tblPr>
      <w:tblGrid>
        <w:gridCol w:w="8306"/>
      </w:tblGrid>
      <w:tr w:rsidR="008B4DB2" w:rsidRPr="008B4DB2" w:rsidTr="00D77281">
        <w:trPr>
          <w:trHeight w:val="131"/>
          <w:tblCellSpacing w:w="0" w:type="dxa"/>
        </w:trPr>
        <w:tc>
          <w:tcPr>
            <w:tcW w:w="0" w:type="auto"/>
            <w:vAlign w:val="center"/>
            <w:hideMark/>
          </w:tcPr>
          <w:p w:rsidR="008B4DB2" w:rsidRPr="008B4DB2" w:rsidRDefault="008B4DB2" w:rsidP="00D77281">
            <w:pPr>
              <w:spacing w:line="276" w:lineRule="auto"/>
              <w:ind w:left="851"/>
              <w:jc w:val="both"/>
              <w:rPr>
                <w:rFonts w:ascii="Palatino Linotype" w:eastAsia="Times New Roman" w:hAnsi="Palatino Linotype" w:cs="Times New Roman"/>
                <w:i/>
                <w:sz w:val="22"/>
                <w:szCs w:val="22"/>
                <w:lang w:val="es-MX" w:eastAsia="es-MX"/>
              </w:rPr>
            </w:pPr>
            <w:r w:rsidRPr="008B4DB2">
              <w:rPr>
                <w:rFonts w:ascii="Palatino Linotype" w:eastAsia="Times New Roman" w:hAnsi="Palatino Linotype" w:cs="Times New Roman"/>
                <w:i/>
                <w:sz w:val="22"/>
                <w:szCs w:val="22"/>
                <w:lang w:val="es-MX" w:eastAsia="es-MX"/>
              </w:rPr>
              <w:t>Oficio No. 219C0110000301S/ 089/2022 Naucalpan de Juárez, Estado de México 17 de Marzo de 2022 Estimado Peticionario FOLIO DE LA SOLICITUD: 00035/CAEM/IP/2022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su artículo 53, su petición formulada en la Unidad de Transparencia de la Comisión del Agua del Estado de México vía electrónica se ha registrado con el número de folio 00035/CAEM/IP/2022, misma que a la letra dice: “Es de todos conocido que la red de corrupcion que ha teji</w:t>
            </w:r>
            <w:r w:rsidR="0062098C">
              <w:rPr>
                <w:rFonts w:ascii="Palatino Linotype" w:eastAsia="Times New Roman" w:hAnsi="Palatino Linotype" w:cs="Times New Roman"/>
                <w:i/>
                <w:sz w:val="22"/>
                <w:szCs w:val="22"/>
                <w:lang w:val="es-MX" w:eastAsia="es-MX"/>
              </w:rPr>
              <w:t>do el virrey del soborno, XXXXXXXXXXXXX</w:t>
            </w:r>
            <w:r w:rsidRPr="008B4DB2">
              <w:rPr>
                <w:rFonts w:ascii="Palatino Linotype" w:eastAsia="Times New Roman" w:hAnsi="Palatino Linotype" w:cs="Times New Roman"/>
                <w:i/>
                <w:sz w:val="22"/>
                <w:szCs w:val="22"/>
                <w:lang w:val="es-MX" w:eastAsia="es-MX"/>
              </w:rPr>
              <w:t xml:space="preserve">, amenaza la estabilidad hidrica de nuestro municipio ya que este personaje no es servidor publico porque transgrede lo indicado en la Ley de Responsabilidades Administrativas del Estado de Mexico y siempre antepone sus intereses personales y la de su grupo de poderosos dentro del municipio, sobre los intereses de la poblacion del resto del municipio. Es un clamor general de los vecinos conocer el motivo por el cual la dotacion de agua potable que le entregan al fraccionamiento REAL DE SAN FERNANDO ha disminuido considerablemente desde hace dos semanas, hemos revisado de manera interna las conexiones que tenemos de la cisterna al tanque </w:t>
            </w:r>
            <w:r w:rsidRPr="008B4DB2">
              <w:rPr>
                <w:rFonts w:ascii="Palatino Linotype" w:eastAsia="Times New Roman" w:hAnsi="Palatino Linotype" w:cs="Times New Roman"/>
                <w:i/>
                <w:sz w:val="22"/>
                <w:szCs w:val="22"/>
                <w:lang w:val="es-MX" w:eastAsia="es-MX"/>
              </w:rPr>
              <w:lastRenderedPageBreak/>
              <w:t>elevado y a cada una de las vivienda, pero observamos que los tiempos de llenado de la cisterna, y a su vez del tanque elevado, tardan mas de dos horas a lo que anteriormente tardaban, lo que nos hace concluir que algo se altero en el mecanismo de suministro del agua. Como antecedente se les informa que hace dos años, como fraccionamento, adquirimos refacciones para arreglar el mecanismo de dotacion, mismo personal de la direccion de agua potable vino a realizar los trabajos, todo se regularizo y no habiamos tenido problema con el sumnistro pero, por lo indicado en las oficinas administrativas de dicha dependencia, nos informan a un grupo de vecinos qu</w:t>
            </w:r>
            <w:r w:rsidR="0062098C">
              <w:rPr>
                <w:rFonts w:ascii="Palatino Linotype" w:eastAsia="Times New Roman" w:hAnsi="Palatino Linotype" w:cs="Times New Roman"/>
                <w:i/>
                <w:sz w:val="22"/>
                <w:szCs w:val="22"/>
                <w:lang w:val="es-MX" w:eastAsia="es-MX"/>
              </w:rPr>
              <w:t>e el Sr. XXXXXXXXXXXXXXX</w:t>
            </w:r>
            <w:r w:rsidRPr="008B4DB2">
              <w:rPr>
                <w:rFonts w:ascii="Palatino Linotype" w:eastAsia="Times New Roman" w:hAnsi="Palatino Linotype" w:cs="Times New Roman"/>
                <w:i/>
                <w:sz w:val="22"/>
                <w:szCs w:val="22"/>
                <w:lang w:val="es-MX" w:eastAsia="es-MX"/>
              </w:rPr>
              <w:t xml:space="preserve">, el servidor publico que mas corrupcion genera en los diversos ramales de dotacion y drenaje de agua en todo el territorio municipal, nuevamente esta involucrado en estos problemas de suministro. ¿Cuando sera que a este señor se le quite todo el poder que sus amigos poderosos respaldan con practicas que desvirtuan el ejercicio del servicio publico y quienes se creen originarios como dice el famosisimo bando municipal de Cuautitlan para mantener el pequeño coto de poder que es gobernar este municipio sin pies ni cabeza? ¿Quien protege a este grupo de criminales, encabezados por este señor Carrera y que extorsionan y amenazan, con quitar la dotacion de agua potable a todo ciudadano que protesta por el incumplimiento en el suministro hidrico, obligado por ley indicado tanto en la Ley del Agua para el Estado de México y Municipios y su Reglamento?, ¿Quien puede ponerle un freno a las tacticas dilatorias de los poderosos protectores que tiene este delincuente? ¿Porque si ya se demostro que es el autor de tantas fechorias le siguen dando empleo como servidor publico? Se les suplica que en la respuesta tomen en consideracion los lineamentos que marca la Ley de Transparencia y Acceso a la Información Pública del Estado de México y Municipios en sus artículos 3 fracciones XI y XXI y 4.” (SIC) Atendiendo lo indicado en los artículos 12, 53, Fracción II, V, VI,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En ese sentido, le comento que, una vez realizado el análisis de la solicitud por las áreas que conforman la CAEM, le informo lo siguiente: Continua página … 2 Oficio No. 219C0110000301S/ 089/2022 -2- Conforme al artículo 115, fracción III, inciso a), de la Constitución Política de los Estados Unidos </w:t>
            </w:r>
            <w:r w:rsidRPr="008B4DB2">
              <w:rPr>
                <w:rFonts w:ascii="Palatino Linotype" w:eastAsia="Times New Roman" w:hAnsi="Palatino Linotype" w:cs="Times New Roman"/>
                <w:i/>
                <w:sz w:val="22"/>
                <w:szCs w:val="22"/>
                <w:lang w:val="es-MX" w:eastAsia="es-MX"/>
              </w:rPr>
              <w:lastRenderedPageBreak/>
              <w:t>Mexicanos, en concordancia con los preceptos 34 fracción I y 35 de la Ley del Agua para el Estado de México y Municipios, la presentación del servicio público de suministro de agua potable corresponde a los Municipios o a su Organismo Operador. “Artículo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 … ” III. Los Municipios tendrán a su cargo las funciones y servicios públicos siguientes: a) Agua potable, drenaje, alcantarillado, tratamiento y disposición de sus aguas residuales; … ” Artículo 34.- Los municipios podrán prestar directamente los servicios a que se refiere la presente Ley, o bien por conducto de cualquiera de los siguientes prestadores de los servicios: I. Organismos descentralizados municipales o intermunicipales, que serán los organismos operadores; … ” Artículo 35.- Los municipios, individualmente o de manera coordinada y al amparo de la legislación aplicable, podrán constituir organismos descentralizados municipales o intermunicipales, bajo la figura de organismos operadores, para la prestación de los servicios a que se refiere esta Ley, con apego a las disposiciones constitucionales y legales aplicables. Cuando se asocien con municipios de otros estados, deberán contar con la aprobación de la H. Legislatura. … ” En tal virtud y en observancia de esa autonomía constitucional, el suministro de agua potable domiciliaria corresponde al Municipio de Nezahualcóyotl o bien a su Organismo Operador, al cual le corresponde brindar respuesta de las medidas que está tomando en el problema planteado. Sin otro particular, reciba un cordial saludo. ATENTAMENTE ALEJANDRO PINEDA OCAMPO JEFE DE LA UNIDAD DE INFORMACIÓN, PLANEACIÓN, PROGRAMACIÓN Y EVALUACIÓN Y TITULAR DE LA UNIDAD DE TRANSPARENCIA</w:t>
            </w:r>
          </w:p>
        </w:tc>
      </w:tr>
      <w:tr w:rsidR="008B4DB2" w:rsidRPr="008B4DB2" w:rsidTr="00D77281">
        <w:trPr>
          <w:trHeight w:val="12"/>
          <w:tblCellSpacing w:w="0" w:type="dxa"/>
        </w:trPr>
        <w:tc>
          <w:tcPr>
            <w:tcW w:w="0" w:type="auto"/>
            <w:vAlign w:val="center"/>
            <w:hideMark/>
          </w:tcPr>
          <w:p w:rsidR="008B4DB2" w:rsidRPr="008B4DB2" w:rsidRDefault="008B4DB2" w:rsidP="008B4DB2">
            <w:pPr>
              <w:spacing w:line="276" w:lineRule="auto"/>
              <w:rPr>
                <w:rFonts w:ascii="Palatino Linotype" w:eastAsia="Times New Roman" w:hAnsi="Palatino Linotype" w:cs="Times New Roman"/>
                <w:i/>
                <w:sz w:val="22"/>
                <w:szCs w:val="22"/>
                <w:lang w:val="es-MX" w:eastAsia="es-MX"/>
              </w:rPr>
            </w:pPr>
          </w:p>
        </w:tc>
      </w:tr>
    </w:tbl>
    <w:p w:rsidR="005B7B01" w:rsidRPr="00205352" w:rsidRDefault="005B7B01" w:rsidP="00F544A6">
      <w:pPr>
        <w:pStyle w:val="Prrafodelista"/>
        <w:spacing w:line="360" w:lineRule="auto"/>
        <w:ind w:left="0"/>
        <w:jc w:val="both"/>
        <w:rPr>
          <w:rFonts w:ascii="Palatino Linotype" w:eastAsia="Calibri" w:hAnsi="Palatino Linotype" w:cs="Times New Roman"/>
          <w:b/>
          <w:i/>
          <w:lang w:val="es-ES"/>
        </w:rPr>
      </w:pPr>
    </w:p>
    <w:p w:rsidR="00C803BA" w:rsidRPr="00D77281" w:rsidRDefault="00F12093" w:rsidP="00C803BA">
      <w:pPr>
        <w:pStyle w:val="Prrafodelista"/>
        <w:numPr>
          <w:ilvl w:val="0"/>
          <w:numId w:val="5"/>
        </w:numPr>
        <w:spacing w:line="360" w:lineRule="auto"/>
        <w:ind w:right="567"/>
        <w:jc w:val="both"/>
        <w:rPr>
          <w:rFonts w:ascii="Palatino Linotype" w:eastAsia="Times New Roman" w:hAnsi="Palatino Linotype" w:cs="Arial"/>
          <w:b/>
          <w:bCs/>
          <w:i/>
          <w:lang w:val="es-ES"/>
        </w:rPr>
      </w:pPr>
      <w:r w:rsidRPr="00205352">
        <w:rPr>
          <w:rFonts w:ascii="Palatino Linotype" w:eastAsia="Times New Roman" w:hAnsi="Palatino Linotype" w:cs="Arial"/>
          <w:bCs/>
          <w:lang w:val="es-ES"/>
        </w:rPr>
        <w:t xml:space="preserve">A la respuesta se </w:t>
      </w:r>
      <w:r w:rsidR="00D77281">
        <w:rPr>
          <w:rFonts w:ascii="Palatino Linotype" w:eastAsia="Times New Roman" w:hAnsi="Palatino Linotype" w:cs="Arial"/>
          <w:bCs/>
          <w:lang w:val="es-ES"/>
        </w:rPr>
        <w:t xml:space="preserve">adjuntó el documento </w:t>
      </w:r>
      <w:hyperlink r:id="rId7" w:tgtFrame="_blank" w:history="1">
        <w:r w:rsidR="00D77281" w:rsidRPr="00D77281">
          <w:rPr>
            <w:rStyle w:val="Hipervnculo"/>
            <w:rFonts w:ascii="Palatino Linotype" w:hAnsi="Palatino Linotype" w:cs="Arial"/>
            <w:b/>
            <w:bCs/>
            <w:color w:val="auto"/>
            <w:sz w:val="22"/>
            <w:szCs w:val="22"/>
          </w:rPr>
          <w:t>RES 35.docx</w:t>
        </w:r>
      </w:hyperlink>
      <w:r w:rsidR="00C803BA" w:rsidRPr="00D77281">
        <w:rPr>
          <w:rFonts w:ascii="Palatino Linotype" w:eastAsia="Times New Roman" w:hAnsi="Palatino Linotype" w:cs="Arial"/>
          <w:b/>
          <w:bCs/>
          <w:sz w:val="22"/>
          <w:szCs w:val="22"/>
          <w:lang w:val="es-ES"/>
        </w:rPr>
        <w:t>:</w:t>
      </w:r>
      <w:r w:rsidR="00D77281">
        <w:rPr>
          <w:rFonts w:ascii="Palatino Linotype" w:eastAsia="Times New Roman" w:hAnsi="Palatino Linotype" w:cs="Arial"/>
          <w:b/>
          <w:bCs/>
          <w:sz w:val="22"/>
          <w:szCs w:val="22"/>
          <w:lang w:val="es-ES"/>
        </w:rPr>
        <w:t xml:space="preserve"> </w:t>
      </w:r>
      <w:r w:rsidR="00D77281" w:rsidRPr="00D77281">
        <w:rPr>
          <w:rFonts w:ascii="Palatino Linotype" w:eastAsia="Times New Roman" w:hAnsi="Palatino Linotype" w:cs="Arial"/>
          <w:bCs/>
          <w:sz w:val="22"/>
          <w:szCs w:val="22"/>
          <w:lang w:val="es-ES"/>
        </w:rPr>
        <w:t xml:space="preserve">oficio 219C0110000301S/089/2022 en el que manifestó </w:t>
      </w:r>
      <w:r w:rsidR="00D77281" w:rsidRPr="00D77281">
        <w:rPr>
          <w:rFonts w:ascii="Palatino Linotype" w:eastAsia="Times New Roman" w:hAnsi="Palatino Linotype" w:cs="Arial"/>
          <w:bCs/>
          <w:i/>
          <w:sz w:val="22"/>
          <w:szCs w:val="22"/>
          <w:lang w:val="es-ES"/>
        </w:rPr>
        <w:t>“En tal virtud y en observancia de esa autonomía constitucional, el suministro de agua potable domiciliaria corresponde al Municipio de Nezahualcóyotl o bien a su Organismo Operador, al cual le corresponde brindar respuesta de las medidas que está tomando en el problema planteado”.</w:t>
      </w:r>
    </w:p>
    <w:p w:rsidR="005B7B01" w:rsidRPr="005B7B01" w:rsidRDefault="005B7B01" w:rsidP="005B7B01">
      <w:pPr>
        <w:spacing w:line="360" w:lineRule="auto"/>
        <w:ind w:right="567"/>
        <w:jc w:val="both"/>
        <w:rPr>
          <w:rFonts w:ascii="Palatino Linotype" w:eastAsia="Times New Roman" w:hAnsi="Palatino Linotype" w:cs="Arial"/>
          <w:b/>
          <w:bCs/>
          <w:lang w:val="es-ES"/>
        </w:rPr>
      </w:pPr>
    </w:p>
    <w:p w:rsidR="00F12093" w:rsidRPr="00205352"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205352">
        <w:rPr>
          <w:rFonts w:ascii="Palatino Linotype" w:eastAsia="Calibri" w:hAnsi="Palatino Linotype" w:cs="Arial"/>
          <w:lang w:val="es-AR"/>
        </w:rPr>
        <w:t xml:space="preserve">El </w:t>
      </w:r>
      <w:r w:rsidR="00D77281">
        <w:rPr>
          <w:rFonts w:ascii="Palatino Linotype" w:eastAsia="Calibri" w:hAnsi="Palatino Linotype" w:cs="Arial"/>
          <w:lang w:val="es-AR"/>
        </w:rPr>
        <w:t>diecisiete (17) de marzo</w:t>
      </w:r>
      <w:r w:rsidR="00B32D03">
        <w:rPr>
          <w:rFonts w:ascii="Palatino Linotype" w:eastAsia="Calibri" w:hAnsi="Palatino Linotype" w:cs="Arial"/>
          <w:lang w:val="es-AR"/>
        </w:rPr>
        <w:t xml:space="preserve"> de dos mil veintidós</w:t>
      </w:r>
      <w:r w:rsidRPr="00205352">
        <w:rPr>
          <w:rFonts w:ascii="Palatino Linotype" w:eastAsia="Times New Roman" w:hAnsi="Palatino Linotype" w:cs="Arial"/>
          <w:lang w:val="es-ES"/>
        </w:rPr>
        <w:t xml:space="preserve">, </w:t>
      </w:r>
      <w:r w:rsidRPr="00205352">
        <w:rPr>
          <w:rFonts w:ascii="Palatino Linotype" w:hAnsi="Palatino Linotype"/>
          <w:b/>
        </w:rPr>
        <w:t>EL RECURRENTE</w:t>
      </w:r>
      <w:r w:rsidRPr="00205352">
        <w:rPr>
          <w:rFonts w:ascii="Palatino Linotype" w:eastAsia="Times New Roman" w:hAnsi="Palatino Linotype" w:cs="Arial"/>
          <w:lang w:val="es-ES"/>
        </w:rPr>
        <w:t xml:space="preserve"> interpuso los recursos de revisión, en contra de las respuestas y, señaló como:</w:t>
      </w:r>
      <w:bookmarkStart w:id="3" w:name="_Toc472500652"/>
      <w:bookmarkStart w:id="4" w:name="_Toc472427085"/>
      <w:bookmarkStart w:id="5" w:name="_Toc462307683"/>
    </w:p>
    <w:p w:rsidR="00F12093" w:rsidRPr="00205352" w:rsidRDefault="00F12093" w:rsidP="00F12093">
      <w:pPr>
        <w:pStyle w:val="Prrafodelista"/>
        <w:spacing w:line="360" w:lineRule="auto"/>
        <w:ind w:left="567"/>
        <w:jc w:val="both"/>
        <w:rPr>
          <w:rFonts w:ascii="Palatino Linotype" w:hAnsi="Palatino Linotype" w:cs="Arial"/>
          <w:sz w:val="22"/>
          <w:szCs w:val="22"/>
        </w:rPr>
      </w:pPr>
    </w:p>
    <w:p w:rsidR="00F12093" w:rsidRPr="00205352" w:rsidRDefault="00F12093" w:rsidP="00F12093">
      <w:pPr>
        <w:pStyle w:val="Prrafodelista"/>
        <w:spacing w:line="360" w:lineRule="auto"/>
        <w:ind w:left="567"/>
        <w:jc w:val="both"/>
        <w:rPr>
          <w:rFonts w:ascii="Palatino Linotype" w:eastAsia="Calibri" w:hAnsi="Palatino Linotype" w:cs="Arial"/>
          <w:szCs w:val="22"/>
          <w:lang w:val="es-ES"/>
        </w:rPr>
      </w:pPr>
      <w:r w:rsidRPr="00205352">
        <w:rPr>
          <w:rFonts w:ascii="Palatino Linotype" w:hAnsi="Palatino Linotype"/>
          <w:b/>
        </w:rPr>
        <w:t>Acto impugnado:</w:t>
      </w:r>
      <w:r w:rsidRPr="00205352">
        <w:rPr>
          <w:rStyle w:val="Ttulo2Car"/>
          <w:rFonts w:ascii="Palatino Linotype" w:hAnsi="Palatino Linotype"/>
          <w:b/>
          <w:i/>
          <w:lang w:val="es-ES"/>
        </w:rPr>
        <w:t xml:space="preserve"> </w:t>
      </w:r>
      <w:r w:rsidRPr="00205352">
        <w:rPr>
          <w:rFonts w:ascii="Palatino Linotype" w:hAnsi="Palatino Linotype"/>
        </w:rPr>
        <w:t>“</w:t>
      </w:r>
      <w:r w:rsidR="00D77281" w:rsidRPr="00D77281">
        <w:rPr>
          <w:rFonts w:ascii="Palatino Linotype" w:hAnsi="Palatino Linotype"/>
          <w:i/>
          <w:sz w:val="22"/>
        </w:rPr>
        <w:t>no entrego la respuesta solicitada</w:t>
      </w:r>
      <w:r w:rsidRPr="00205352">
        <w:rPr>
          <w:rFonts w:ascii="Palatino Linotype" w:hAnsi="Palatino Linotype"/>
        </w:rPr>
        <w:t>"</w:t>
      </w:r>
      <w:r w:rsidRPr="00205352">
        <w:rPr>
          <w:rFonts w:ascii="Palatino Linotype" w:eastAsia="Calibri" w:hAnsi="Palatino Linotype" w:cs="Arial"/>
          <w:sz w:val="20"/>
          <w:szCs w:val="22"/>
          <w:lang w:val="es-ES"/>
        </w:rPr>
        <w:t xml:space="preserve"> </w:t>
      </w:r>
      <w:r w:rsidRPr="00205352">
        <w:rPr>
          <w:rFonts w:ascii="Palatino Linotype" w:eastAsia="Calibri" w:hAnsi="Palatino Linotype" w:cs="Arial"/>
          <w:i/>
          <w:sz w:val="22"/>
          <w:szCs w:val="22"/>
          <w:lang w:val="es-ES"/>
        </w:rPr>
        <w:t>(Sic)</w:t>
      </w:r>
    </w:p>
    <w:p w:rsidR="00F12093" w:rsidRPr="00205352" w:rsidRDefault="00F12093" w:rsidP="00F12093">
      <w:pPr>
        <w:pStyle w:val="Prrafodelista"/>
        <w:spacing w:line="360" w:lineRule="auto"/>
        <w:ind w:left="567"/>
        <w:jc w:val="both"/>
        <w:rPr>
          <w:rFonts w:ascii="Palatino Linotype" w:eastAsia="Calibri" w:hAnsi="Palatino Linotype" w:cs="Arial"/>
          <w:szCs w:val="22"/>
          <w:lang w:val="es-ES"/>
        </w:rPr>
      </w:pPr>
    </w:p>
    <w:p w:rsidR="00F12093" w:rsidRPr="00205352" w:rsidRDefault="00F12093" w:rsidP="00F12093">
      <w:pPr>
        <w:pStyle w:val="Prrafodelista"/>
        <w:spacing w:line="360" w:lineRule="auto"/>
        <w:ind w:left="567"/>
        <w:jc w:val="both"/>
        <w:rPr>
          <w:rFonts w:ascii="Palatino Linotype" w:hAnsi="Palatino Linotype" w:cs="Arial"/>
          <w:sz w:val="22"/>
          <w:szCs w:val="22"/>
        </w:rPr>
      </w:pPr>
      <w:r w:rsidRPr="00205352">
        <w:rPr>
          <w:rFonts w:ascii="Palatino Linotype" w:hAnsi="Palatino Linotype"/>
          <w:b/>
        </w:rPr>
        <w:t>Razones o Motivos de inconformidad:</w:t>
      </w:r>
      <w:r w:rsidRPr="00205352">
        <w:rPr>
          <w:rStyle w:val="Ttulo2Car"/>
          <w:rFonts w:ascii="Palatino Linotype" w:hAnsi="Palatino Linotype"/>
          <w:b/>
          <w:lang w:val="es-ES"/>
        </w:rPr>
        <w:t xml:space="preserve"> </w:t>
      </w:r>
      <w:r w:rsidRPr="00205352">
        <w:rPr>
          <w:rFonts w:ascii="Palatino Linotype" w:hAnsi="Palatino Linotype"/>
          <w:i/>
          <w:sz w:val="22"/>
          <w:szCs w:val="22"/>
        </w:rPr>
        <w:t>“</w:t>
      </w:r>
      <w:r w:rsidR="00D77281" w:rsidRPr="00D77281">
        <w:rPr>
          <w:rFonts w:ascii="Palatino Linotype" w:hAnsi="Palatino Linotype"/>
          <w:i/>
          <w:color w:val="000000"/>
          <w:sz w:val="22"/>
          <w:szCs w:val="22"/>
        </w:rPr>
        <w:t>no entrego la respuesta solicitada</w:t>
      </w:r>
      <w:r w:rsidRPr="00205352">
        <w:rPr>
          <w:rFonts w:ascii="Palatino Linotype" w:hAnsi="Palatino Linotype"/>
          <w:i/>
          <w:sz w:val="22"/>
          <w:szCs w:val="22"/>
        </w:rPr>
        <w:t xml:space="preserve">” </w:t>
      </w:r>
      <w:r w:rsidRPr="00205352">
        <w:rPr>
          <w:rFonts w:ascii="Palatino Linotype" w:hAnsi="Palatino Linotype" w:cs="Arial"/>
          <w:i/>
          <w:sz w:val="22"/>
          <w:szCs w:val="22"/>
        </w:rPr>
        <w:t xml:space="preserve">(Sic) </w:t>
      </w:r>
    </w:p>
    <w:p w:rsidR="00F12093" w:rsidRPr="00205352" w:rsidRDefault="00F12093" w:rsidP="00F12093">
      <w:pPr>
        <w:spacing w:line="360" w:lineRule="auto"/>
        <w:ind w:left="720"/>
        <w:jc w:val="both"/>
        <w:rPr>
          <w:rFonts w:ascii="Palatino Linotype" w:eastAsia="Times New Roman" w:hAnsi="Palatino Linotype" w:cs="Arial"/>
          <w:i/>
          <w:color w:val="333333"/>
          <w:sz w:val="22"/>
          <w:szCs w:val="22"/>
          <w:lang w:val="es-ES"/>
        </w:rPr>
      </w:pPr>
    </w:p>
    <w:bookmarkEnd w:id="3"/>
    <w:bookmarkEnd w:id="4"/>
    <w:bookmarkEnd w:id="5"/>
    <w:p w:rsidR="00F12093" w:rsidRPr="00205352"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205352">
        <w:rPr>
          <w:rFonts w:ascii="Palatino Linotype" w:eastAsia="Times New Roman" w:hAnsi="Palatino Linotype" w:cs="Arial"/>
          <w:lang w:val="es-ES"/>
        </w:rPr>
        <w:t xml:space="preserve">Se registró el recurso de revisión bajo el número de expediente </w:t>
      </w:r>
      <w:r w:rsidRPr="00205352">
        <w:rPr>
          <w:rFonts w:ascii="Palatino Linotype" w:hAnsi="Palatino Linotype" w:cs="Arial"/>
          <w:bCs/>
        </w:rPr>
        <w:t xml:space="preserve">al rubro indicado, asimismo con fundamento en lo dispuesto por el </w:t>
      </w:r>
      <w:r w:rsidRPr="00205352">
        <w:rPr>
          <w:rFonts w:ascii="Palatino Linotype" w:eastAsia="Calibri" w:hAnsi="Palatino Linotype" w:cs="Arial"/>
          <w:lang w:val="es-ES"/>
        </w:rPr>
        <w:t xml:space="preserve">artículo 185 fracción I de la </w:t>
      </w:r>
      <w:r w:rsidRPr="00205352">
        <w:rPr>
          <w:rFonts w:ascii="Palatino Linotype" w:eastAsia="Calibri" w:hAnsi="Palatino Linotype" w:cs="Arial"/>
          <w:b/>
          <w:lang w:val="es-ES"/>
        </w:rPr>
        <w:t xml:space="preserve">Ley de Transparencia y Acceso a la Información Pública del Estado de México y Municipios </w:t>
      </w:r>
      <w:r w:rsidRPr="00205352">
        <w:rPr>
          <w:rFonts w:ascii="Palatino Linotype" w:eastAsia="Times New Roman" w:hAnsi="Palatino Linotype" w:cs="Arial"/>
          <w:lang w:val="es-ES"/>
        </w:rPr>
        <w:t xml:space="preserve">se turnó a la </w:t>
      </w:r>
      <w:r w:rsidRPr="00205352">
        <w:rPr>
          <w:rFonts w:ascii="Palatino Linotype" w:eastAsia="Times New Roman" w:hAnsi="Palatino Linotype" w:cs="Arial"/>
          <w:b/>
          <w:lang w:val="es-ES"/>
        </w:rPr>
        <w:t xml:space="preserve">Comisionada </w:t>
      </w:r>
      <w:r w:rsidRPr="00205352">
        <w:rPr>
          <w:rFonts w:ascii="Palatino Linotype" w:hAnsi="Palatino Linotype"/>
          <w:b/>
        </w:rPr>
        <w:t>María del Rosario Mejía Ayala</w:t>
      </w:r>
      <w:r w:rsidRPr="00205352">
        <w:rPr>
          <w:rFonts w:ascii="Palatino Linotype" w:eastAsia="Times New Roman" w:hAnsi="Palatino Linotype" w:cs="Arial"/>
          <w:b/>
          <w:lang w:val="es-ES"/>
        </w:rPr>
        <w:t xml:space="preserve">, </w:t>
      </w:r>
      <w:r w:rsidRPr="00205352">
        <w:rPr>
          <w:rFonts w:ascii="Palatino Linotype" w:eastAsia="Times New Roman" w:hAnsi="Palatino Linotype" w:cs="Arial"/>
          <w:lang w:val="es-ES"/>
        </w:rPr>
        <w:t xml:space="preserve">con el objeto de </w:t>
      </w:r>
      <w:r w:rsidRPr="00205352">
        <w:rPr>
          <w:rFonts w:ascii="Palatino Linotype" w:eastAsia="Times New Roman" w:hAnsi="Palatino Linotype" w:cs="Arial"/>
          <w:lang w:val="es-MX"/>
        </w:rPr>
        <w:t>su análisis.</w:t>
      </w:r>
    </w:p>
    <w:p w:rsidR="00F12093" w:rsidRPr="00205352" w:rsidRDefault="00F12093" w:rsidP="00F12093">
      <w:pPr>
        <w:pStyle w:val="Prrafodelista"/>
        <w:spacing w:line="360" w:lineRule="auto"/>
        <w:ind w:left="0"/>
        <w:jc w:val="both"/>
        <w:rPr>
          <w:rFonts w:ascii="Palatino Linotype" w:eastAsia="Calibri" w:hAnsi="Palatino Linotype" w:cs="Arial"/>
          <w:lang w:val="es-AR"/>
        </w:rPr>
      </w:pPr>
    </w:p>
    <w:p w:rsidR="007B0EC9" w:rsidRPr="00205352"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20535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378B2">
        <w:rPr>
          <w:rFonts w:ascii="Palatino Linotype" w:eastAsia="Calibri" w:hAnsi="Palatino Linotype" w:cs="Arial"/>
          <w:lang w:val="es-ES"/>
        </w:rPr>
        <w:t xml:space="preserve">veintitrés (23) de marzo </w:t>
      </w:r>
      <w:r w:rsidR="001C10E6">
        <w:rPr>
          <w:rFonts w:ascii="Palatino Linotype" w:eastAsia="Calibri" w:hAnsi="Palatino Linotype" w:cs="Arial"/>
          <w:lang w:val="es-ES"/>
        </w:rPr>
        <w:t xml:space="preserve"> de dos mil veintidós</w:t>
      </w:r>
      <w:r w:rsidRPr="00205352">
        <w:rPr>
          <w:rFonts w:ascii="Palatino Linotype" w:eastAsia="Calibri" w:hAnsi="Palatino Linotype" w:cs="Arial"/>
          <w:lang w:val="es-ES"/>
        </w:rPr>
        <w:t xml:space="preserve">, puso a disposición de las partes el expediente electrónico </w:t>
      </w:r>
      <w:r w:rsidRPr="00205352">
        <w:rPr>
          <w:rFonts w:ascii="Palatino Linotype" w:eastAsia="Calibri" w:hAnsi="Palatino Linotype" w:cs="Arial"/>
        </w:rPr>
        <w:t xml:space="preserve">vía </w:t>
      </w:r>
      <w:r w:rsidRPr="00205352">
        <w:rPr>
          <w:rFonts w:ascii="Palatino Linotype" w:eastAsia="Calibri" w:hAnsi="Palatino Linotype" w:cs="Arial"/>
          <w:b/>
          <w:lang w:val="es-ES"/>
        </w:rPr>
        <w:t xml:space="preserve">SAIMEX </w:t>
      </w:r>
      <w:r w:rsidRPr="0020535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05352">
        <w:rPr>
          <w:rFonts w:ascii="Palatino Linotype" w:eastAsia="Calibri" w:hAnsi="Palatino Linotype" w:cs="Arial"/>
          <w:b/>
          <w:lang w:val="es-ES"/>
        </w:rPr>
        <w:t>SUJETO OBLIGADO</w:t>
      </w:r>
      <w:r w:rsidRPr="00205352">
        <w:rPr>
          <w:rFonts w:ascii="Palatino Linotype" w:eastAsia="Calibri" w:hAnsi="Palatino Linotype" w:cs="Arial"/>
          <w:lang w:val="es-ES"/>
        </w:rPr>
        <w:t xml:space="preserve"> presentara el informe justificado procedente.</w:t>
      </w:r>
      <w:r w:rsidR="00EE68F3" w:rsidRPr="00205352">
        <w:rPr>
          <w:rFonts w:ascii="Palatino Linotype" w:eastAsia="Calibri" w:hAnsi="Palatino Linotype" w:cs="Arial"/>
          <w:lang w:val="es-ES"/>
        </w:rPr>
        <w:t xml:space="preserve"> </w:t>
      </w:r>
    </w:p>
    <w:p w:rsidR="007B0EC9" w:rsidRPr="00205352" w:rsidRDefault="007B0EC9" w:rsidP="007B0EC9">
      <w:pPr>
        <w:pStyle w:val="Prrafodelista"/>
        <w:rPr>
          <w:rFonts w:ascii="Palatino Linotype" w:eastAsia="Calibri" w:hAnsi="Palatino Linotype" w:cs="Arial"/>
          <w:lang w:val="es-ES"/>
        </w:rPr>
      </w:pPr>
    </w:p>
    <w:p w:rsidR="00F12093" w:rsidRPr="001C10E6" w:rsidRDefault="007B0EC9"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205352">
        <w:rPr>
          <w:rFonts w:ascii="Palatino Linotype" w:eastAsia="Calibri" w:hAnsi="Palatino Linotype" w:cs="Arial"/>
          <w:lang w:val="es-ES"/>
        </w:rPr>
        <w:t xml:space="preserve">Del expediente electrónico se advierte que el RECURRENTE no realizó manifestaciones, no ofreció pruebas ni alegatos que su derecho convinieran; por su parte el SUJETO OBLIGADO </w:t>
      </w:r>
      <w:r w:rsidR="001C10E6">
        <w:rPr>
          <w:rFonts w:ascii="Palatino Linotype" w:eastAsia="Calibri" w:hAnsi="Palatino Linotype" w:cs="Arial"/>
          <w:lang w:val="es-ES"/>
        </w:rPr>
        <w:t>remitió su</w:t>
      </w:r>
      <w:r w:rsidR="001378B2">
        <w:rPr>
          <w:rFonts w:ascii="Palatino Linotype" w:eastAsia="Calibri" w:hAnsi="Palatino Linotype" w:cs="Arial"/>
          <w:lang w:val="es-ES"/>
        </w:rPr>
        <w:t xml:space="preserve"> informe justificado el veinticuatro (24</w:t>
      </w:r>
      <w:r w:rsidR="001C10E6">
        <w:rPr>
          <w:rFonts w:ascii="Palatino Linotype" w:eastAsia="Calibri" w:hAnsi="Palatino Linotype" w:cs="Arial"/>
          <w:lang w:val="es-ES"/>
        </w:rPr>
        <w:t xml:space="preserve">) de </w:t>
      </w:r>
      <w:r w:rsidR="001C10E6">
        <w:rPr>
          <w:rFonts w:ascii="Palatino Linotype" w:eastAsia="Calibri" w:hAnsi="Palatino Linotype" w:cs="Arial"/>
          <w:lang w:val="es-ES"/>
        </w:rPr>
        <w:lastRenderedPageBreak/>
        <w:t xml:space="preserve">marzo de dos mil veintidós, mismo que se puso a la vista del particular el </w:t>
      </w:r>
      <w:r w:rsidR="001378B2">
        <w:rPr>
          <w:rFonts w:ascii="Palatino Linotype" w:eastAsia="Calibri" w:hAnsi="Palatino Linotype" w:cs="Arial"/>
          <w:lang w:val="es-ES"/>
        </w:rPr>
        <w:t xml:space="preserve">dieciséis (16) de mayo </w:t>
      </w:r>
      <w:r w:rsidR="001C10E6">
        <w:rPr>
          <w:rFonts w:ascii="Palatino Linotype" w:eastAsia="Calibri" w:hAnsi="Palatino Linotype" w:cs="Arial"/>
          <w:lang w:val="es-ES"/>
        </w:rPr>
        <w:t xml:space="preserve">de dos mil veintidós, y que consta del documento que se describe a continuación: </w:t>
      </w:r>
    </w:p>
    <w:p w:rsidR="001C10E6" w:rsidRDefault="001C10E6" w:rsidP="001C10E6">
      <w:pPr>
        <w:pStyle w:val="Prrafodelista"/>
        <w:spacing w:line="360" w:lineRule="auto"/>
        <w:ind w:left="0"/>
        <w:jc w:val="both"/>
        <w:rPr>
          <w:rFonts w:ascii="Palatino Linotype" w:eastAsia="Calibri" w:hAnsi="Palatino Linotype" w:cs="Arial"/>
          <w:lang w:val="es-ES"/>
        </w:rPr>
      </w:pPr>
    </w:p>
    <w:p w:rsidR="001C10E6" w:rsidRPr="001C10E6" w:rsidRDefault="00593DA5" w:rsidP="001C10E6">
      <w:pPr>
        <w:pStyle w:val="Prrafodelista"/>
        <w:numPr>
          <w:ilvl w:val="0"/>
          <w:numId w:val="5"/>
        </w:numPr>
        <w:spacing w:line="360" w:lineRule="auto"/>
        <w:jc w:val="both"/>
        <w:rPr>
          <w:rFonts w:ascii="Palatino Linotype" w:hAnsi="Palatino Linotype"/>
          <w:i/>
          <w:sz w:val="22"/>
          <w:szCs w:val="22"/>
        </w:rPr>
      </w:pPr>
      <w:hyperlink r:id="rId8" w:history="1">
        <w:r w:rsidR="001378B2" w:rsidRPr="001378B2">
          <w:rPr>
            <w:rStyle w:val="Hipervnculo"/>
            <w:rFonts w:ascii="Palatino Linotype" w:hAnsi="Palatino Linotype" w:cs="Arial"/>
            <w:b/>
            <w:bCs/>
            <w:color w:val="auto"/>
            <w:sz w:val="22"/>
            <w:szCs w:val="22"/>
          </w:rPr>
          <w:t>informe justificado 4043.pdf</w:t>
        </w:r>
      </w:hyperlink>
      <w:r w:rsidR="001C10E6">
        <w:rPr>
          <w:rFonts w:ascii="Palatino Linotype" w:hAnsi="Palatino Linotype"/>
          <w:sz w:val="22"/>
          <w:szCs w:val="22"/>
        </w:rPr>
        <w:t xml:space="preserve">: </w:t>
      </w:r>
      <w:r w:rsidR="001378B2">
        <w:rPr>
          <w:rFonts w:ascii="Palatino Linotype" w:hAnsi="Palatino Linotype"/>
          <w:sz w:val="22"/>
          <w:szCs w:val="22"/>
        </w:rPr>
        <w:t>informe justificado mediante el cual se confirma la respuesta.</w:t>
      </w:r>
    </w:p>
    <w:p w:rsidR="00F12093" w:rsidRPr="00205352" w:rsidRDefault="00F12093" w:rsidP="00F12093">
      <w:pPr>
        <w:pStyle w:val="Prrafodelista"/>
        <w:spacing w:line="360" w:lineRule="auto"/>
        <w:ind w:left="0"/>
        <w:jc w:val="both"/>
        <w:rPr>
          <w:rFonts w:ascii="Palatino Linotype" w:hAnsi="Palatino Linotype"/>
          <w:color w:val="000000"/>
          <w:szCs w:val="22"/>
        </w:rPr>
      </w:pPr>
    </w:p>
    <w:p w:rsidR="00F12093" w:rsidRPr="001378B2" w:rsidRDefault="00765091" w:rsidP="00F12093">
      <w:pPr>
        <w:pStyle w:val="Prrafodelista"/>
        <w:numPr>
          <w:ilvl w:val="0"/>
          <w:numId w:val="1"/>
        </w:numPr>
        <w:spacing w:line="360" w:lineRule="auto"/>
        <w:ind w:left="0" w:firstLine="0"/>
        <w:jc w:val="both"/>
        <w:rPr>
          <w:rFonts w:ascii="Palatino Linotype" w:hAnsi="Palatino Linotype" w:cs="Tahoma"/>
        </w:rPr>
      </w:pPr>
      <w:r w:rsidRPr="00205352">
        <w:rPr>
          <w:rFonts w:ascii="Palatino Linotype" w:eastAsia="Calibri" w:hAnsi="Palatino Linotype" w:cs="Arial"/>
          <w:lang w:val="es-ES"/>
        </w:rPr>
        <w:t xml:space="preserve">El </w:t>
      </w:r>
      <w:r w:rsidR="001378B2">
        <w:rPr>
          <w:rFonts w:ascii="Palatino Linotype" w:eastAsia="Calibri" w:hAnsi="Palatino Linotype" w:cs="Arial"/>
          <w:lang w:val="es-ES"/>
        </w:rPr>
        <w:t xml:space="preserve">veinticinco (25) de mayo </w:t>
      </w:r>
      <w:r w:rsidRPr="00205352">
        <w:rPr>
          <w:rFonts w:ascii="Palatino Linotype" w:eastAsia="Calibri" w:hAnsi="Palatino Linotype" w:cs="Arial"/>
          <w:lang w:val="es-ES"/>
        </w:rPr>
        <w:t xml:space="preserve"> de dos mil veintidós, se notificó el acuerdo mediante el cual se aprobó la ampliación de plazo para resolver el recurso de revisión por un</w:t>
      </w:r>
      <w:r w:rsidR="001378B2">
        <w:rPr>
          <w:rFonts w:ascii="Palatino Linotype" w:eastAsia="Calibri" w:hAnsi="Palatino Linotype" w:cs="Arial"/>
          <w:lang w:val="es-ES"/>
        </w:rPr>
        <w:t xml:space="preserve"> periodo de quince días hábiles.</w:t>
      </w:r>
    </w:p>
    <w:p w:rsidR="001378B2" w:rsidRPr="001378B2" w:rsidRDefault="001378B2" w:rsidP="001378B2">
      <w:pPr>
        <w:pStyle w:val="Prrafodelista"/>
        <w:spacing w:line="360" w:lineRule="auto"/>
        <w:ind w:left="0"/>
        <w:jc w:val="both"/>
        <w:rPr>
          <w:rFonts w:ascii="Palatino Linotype" w:hAnsi="Palatino Linotype" w:cs="Tahoma"/>
        </w:rPr>
      </w:pPr>
    </w:p>
    <w:p w:rsidR="001378B2" w:rsidRPr="00205352" w:rsidRDefault="001378B2" w:rsidP="001378B2">
      <w:pPr>
        <w:pStyle w:val="Prrafodelista"/>
        <w:numPr>
          <w:ilvl w:val="0"/>
          <w:numId w:val="1"/>
        </w:numPr>
        <w:spacing w:line="360" w:lineRule="auto"/>
        <w:ind w:left="0" w:firstLine="0"/>
        <w:jc w:val="both"/>
        <w:rPr>
          <w:rFonts w:ascii="Palatino Linotype" w:hAnsi="Palatino Linotype"/>
          <w:color w:val="000000"/>
          <w:szCs w:val="22"/>
        </w:rPr>
      </w:pPr>
      <w:r>
        <w:rPr>
          <w:rFonts w:ascii="Palatino Linotype" w:hAnsi="Palatino Linotype"/>
          <w:color w:val="000000"/>
          <w:szCs w:val="22"/>
        </w:rPr>
        <w:t>El veinticinco (25) de mayo</w:t>
      </w:r>
      <w:r w:rsidRPr="00205352">
        <w:rPr>
          <w:rFonts w:ascii="Palatino Linotype" w:hAnsi="Palatino Linotype"/>
          <w:color w:val="000000"/>
          <w:szCs w:val="22"/>
        </w:rPr>
        <w:t xml:space="preserve"> de dos mil veintidós, se notificó el acuerdo mediante el cual se dio por concluido el periodo de instrucción. </w:t>
      </w:r>
    </w:p>
    <w:p w:rsidR="001378B2" w:rsidRPr="001C10E6" w:rsidRDefault="001378B2" w:rsidP="001378B2">
      <w:pPr>
        <w:pStyle w:val="Prrafodelista"/>
        <w:spacing w:line="360" w:lineRule="auto"/>
        <w:ind w:left="0"/>
        <w:jc w:val="both"/>
        <w:rPr>
          <w:rFonts w:ascii="Palatino Linotype" w:hAnsi="Palatino Linotype" w:cs="Tahoma"/>
        </w:rPr>
      </w:pPr>
    </w:p>
    <w:p w:rsidR="00F12093" w:rsidRPr="00205352" w:rsidRDefault="00F12093" w:rsidP="00F12093">
      <w:pPr>
        <w:pStyle w:val="Ttulo1"/>
        <w:spacing w:before="0" w:line="360" w:lineRule="auto"/>
        <w:jc w:val="center"/>
        <w:rPr>
          <w:szCs w:val="24"/>
        </w:rPr>
      </w:pPr>
      <w:bookmarkStart w:id="6" w:name="_Toc59195556"/>
      <w:bookmarkStart w:id="7" w:name="_Toc89360010"/>
      <w:r w:rsidRPr="00205352">
        <w:rPr>
          <w:szCs w:val="24"/>
        </w:rPr>
        <w:t>CONSIDERANDO</w:t>
      </w:r>
      <w:bookmarkEnd w:id="6"/>
      <w:bookmarkEnd w:id="7"/>
    </w:p>
    <w:p w:rsidR="00F12093" w:rsidRPr="00205352" w:rsidRDefault="00F12093" w:rsidP="00F12093">
      <w:pPr>
        <w:pStyle w:val="Ttulo1"/>
        <w:spacing w:before="0" w:line="360" w:lineRule="auto"/>
        <w:jc w:val="center"/>
        <w:rPr>
          <w:szCs w:val="24"/>
        </w:rPr>
      </w:pPr>
      <w:r w:rsidRPr="00205352">
        <w:rPr>
          <w:szCs w:val="24"/>
        </w:rPr>
        <w:t xml:space="preserve"> </w:t>
      </w:r>
    </w:p>
    <w:p w:rsidR="00F12093" w:rsidRPr="00205352" w:rsidRDefault="00F12093" w:rsidP="00F12093">
      <w:pPr>
        <w:pStyle w:val="Ttulo2"/>
        <w:spacing w:before="0" w:line="360" w:lineRule="auto"/>
        <w:rPr>
          <w:rFonts w:ascii="Palatino Linotype" w:hAnsi="Palatino Linotype"/>
          <w:b/>
          <w:color w:val="auto"/>
          <w:sz w:val="24"/>
        </w:rPr>
      </w:pPr>
      <w:bookmarkStart w:id="8" w:name="_Toc59195557"/>
      <w:bookmarkStart w:id="9" w:name="_Toc89360011"/>
      <w:r w:rsidRPr="00205352">
        <w:rPr>
          <w:rFonts w:ascii="Palatino Linotype" w:hAnsi="Palatino Linotype"/>
          <w:b/>
          <w:color w:val="auto"/>
          <w:sz w:val="24"/>
        </w:rPr>
        <w:t>PRIMERO. De la competencia</w:t>
      </w:r>
      <w:bookmarkEnd w:id="8"/>
      <w:bookmarkEnd w:id="9"/>
    </w:p>
    <w:p w:rsidR="00F12093" w:rsidRPr="00205352" w:rsidRDefault="00F12093" w:rsidP="00F12093">
      <w:pPr>
        <w:spacing w:line="360" w:lineRule="auto"/>
        <w:rPr>
          <w:rFonts w:ascii="Palatino Linotype" w:hAnsi="Palatino Linotype"/>
          <w:lang w:val="es-MX" w:eastAsia="en-US"/>
        </w:rPr>
      </w:pPr>
    </w:p>
    <w:p w:rsidR="00F12093" w:rsidRPr="00205352" w:rsidRDefault="00F12093" w:rsidP="00F120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10" w:name="_Toc80796107"/>
      <w:bookmarkStart w:id="11" w:name="_Toc89360012"/>
      <w:r w:rsidRPr="00205352">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205352">
        <w:rPr>
          <w:rFonts w:ascii="Palatino Linotype" w:eastAsia="Calibri" w:hAnsi="Palatino Linotype" w:cs="Times New Roman"/>
          <w:b/>
          <w:lang w:val="es-ES" w:eastAsia="es-MX"/>
        </w:rPr>
        <w:t>Constitución Política de los Estados Unidos Mexicanos</w:t>
      </w:r>
      <w:r w:rsidRPr="00205352">
        <w:rPr>
          <w:rFonts w:ascii="Palatino Linotype" w:eastAsia="Calibri" w:hAnsi="Palatino Linotype" w:cs="Times New Roman"/>
          <w:lang w:val="es-ES" w:eastAsia="es-MX"/>
        </w:rPr>
        <w:t xml:space="preserve">; 5, </w:t>
      </w:r>
      <w:r w:rsidRPr="00205352">
        <w:rPr>
          <w:rFonts w:ascii="Palatino Linotype" w:eastAsia="Calibri" w:hAnsi="Palatino Linotype" w:cs="Times New Roman"/>
          <w:lang w:val="es-MX" w:eastAsia="es-MX"/>
        </w:rPr>
        <w:t xml:space="preserve">párrafos trigésimo, trigésimo primero y trigésimo segundo, fracciones I, II, III, IV y V de la </w:t>
      </w:r>
      <w:r w:rsidRPr="00205352">
        <w:rPr>
          <w:rFonts w:ascii="Palatino Linotype" w:eastAsia="Calibri" w:hAnsi="Palatino Linotype" w:cs="Times New Roman"/>
          <w:b/>
          <w:lang w:val="es-MX" w:eastAsia="es-MX"/>
        </w:rPr>
        <w:t>Constitución Política del Estado Libre y Soberano de México</w:t>
      </w:r>
      <w:r w:rsidRPr="00205352">
        <w:rPr>
          <w:rFonts w:ascii="Palatino Linotype" w:eastAsia="Calibri" w:hAnsi="Palatino Linotype" w:cs="Times New Roman"/>
          <w:b/>
          <w:lang w:val="es-ES" w:eastAsia="es-MX"/>
        </w:rPr>
        <w:t>;</w:t>
      </w:r>
      <w:r w:rsidRPr="00205352">
        <w:rPr>
          <w:rFonts w:ascii="Palatino Linotype" w:eastAsia="Calibri" w:hAnsi="Palatino Linotype" w:cs="Times New Roman"/>
          <w:lang w:val="es-ES" w:eastAsia="es-MX"/>
        </w:rPr>
        <w:t xml:space="preserve"> 1, 3 fracción I, 82, 97, 98, 119, 123, 124, 127, 128 y 133</w:t>
      </w:r>
      <w:r w:rsidRPr="00205352">
        <w:rPr>
          <w:rFonts w:ascii="Palatino Linotype" w:eastAsia="Times New Roman" w:hAnsi="Palatino Linotype" w:cs="Arial"/>
          <w:lang w:val="es-ES" w:eastAsia="es-MX"/>
        </w:rPr>
        <w:t xml:space="preserve"> </w:t>
      </w:r>
      <w:r w:rsidRPr="00205352">
        <w:rPr>
          <w:rFonts w:ascii="Palatino Linotype" w:eastAsia="Calibri" w:hAnsi="Palatino Linotype" w:cs="Times New Roman"/>
          <w:b/>
          <w:lang w:val="es-MX" w:eastAsia="es-MX"/>
        </w:rPr>
        <w:t xml:space="preserve">Ley de Protección de Datos Personales en </w:t>
      </w:r>
      <w:r w:rsidRPr="00205352">
        <w:rPr>
          <w:rFonts w:ascii="Palatino Linotype" w:eastAsia="Calibri" w:hAnsi="Palatino Linotype" w:cs="Times New Roman"/>
          <w:b/>
          <w:lang w:val="es-MX" w:eastAsia="es-MX"/>
        </w:rPr>
        <w:lastRenderedPageBreak/>
        <w:t>Posesión de Sujetos Obligados del Estado de México y Municipios</w:t>
      </w:r>
      <w:r w:rsidRPr="00205352">
        <w:rPr>
          <w:rFonts w:ascii="Palatino Linotype" w:eastAsia="Calibri" w:hAnsi="Palatino Linotype" w:cs="Arial"/>
          <w:lang w:val="es-ES" w:eastAsia="es-MX"/>
        </w:rPr>
        <w:t xml:space="preserve">; y 10, 7, 9 fracciones I y XXIV, y 11 del </w:t>
      </w:r>
      <w:r w:rsidRPr="00205352">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rsidR="00F12093" w:rsidRPr="00205352" w:rsidRDefault="00F12093" w:rsidP="00F12093">
      <w:pPr>
        <w:spacing w:line="360" w:lineRule="auto"/>
        <w:contextualSpacing/>
        <w:jc w:val="both"/>
        <w:rPr>
          <w:rFonts w:ascii="Palatino Linotype" w:eastAsia="Times New Roman" w:hAnsi="Palatino Linotype" w:cs="Times New Roman"/>
          <w:lang w:val="es-MX" w:eastAsia="es-MX"/>
        </w:rPr>
      </w:pPr>
    </w:p>
    <w:p w:rsidR="00F12093" w:rsidRPr="00205352" w:rsidRDefault="00F12093" w:rsidP="00F12093">
      <w:pPr>
        <w:pStyle w:val="Ttulo2"/>
        <w:spacing w:before="0" w:line="360" w:lineRule="auto"/>
        <w:rPr>
          <w:rFonts w:ascii="Palatino Linotype" w:hAnsi="Palatino Linotype"/>
          <w:b/>
          <w:color w:val="auto"/>
          <w:sz w:val="24"/>
          <w:szCs w:val="24"/>
        </w:rPr>
      </w:pPr>
      <w:r w:rsidRPr="00205352">
        <w:rPr>
          <w:rFonts w:ascii="Palatino Linotype" w:hAnsi="Palatino Linotype"/>
          <w:b/>
          <w:color w:val="auto"/>
          <w:sz w:val="24"/>
          <w:szCs w:val="24"/>
        </w:rPr>
        <w:t>SEGUNDO. De la oportunidad y procedencia.</w:t>
      </w:r>
      <w:bookmarkEnd w:id="10"/>
      <w:bookmarkEnd w:id="11"/>
    </w:p>
    <w:p w:rsidR="00F12093" w:rsidRPr="00205352" w:rsidRDefault="00F12093" w:rsidP="00F12093">
      <w:pPr>
        <w:rPr>
          <w:lang w:val="es-MX" w:eastAsia="en-US"/>
        </w:rPr>
      </w:pPr>
    </w:p>
    <w:p w:rsidR="00F12093" w:rsidRPr="0083334B" w:rsidRDefault="00F12093" w:rsidP="00F12093">
      <w:pPr>
        <w:pStyle w:val="Prrafodelista"/>
        <w:numPr>
          <w:ilvl w:val="0"/>
          <w:numId w:val="1"/>
        </w:numPr>
        <w:spacing w:line="360" w:lineRule="auto"/>
        <w:ind w:left="0" w:right="49" w:firstLine="0"/>
        <w:jc w:val="both"/>
        <w:rPr>
          <w:rFonts w:ascii="Palatino Linotype" w:hAnsi="Palatino Linotype"/>
        </w:rPr>
      </w:pPr>
      <w:r w:rsidRPr="00205352">
        <w:rPr>
          <w:rFonts w:ascii="Palatino Linotype" w:eastAsia="Calibri" w:hAnsi="Palatino Linotype" w:cs="Arial"/>
        </w:rPr>
        <w:t xml:space="preserve">Los medios de impugnación fueron presentados a través del </w:t>
      </w:r>
      <w:r w:rsidRPr="00205352">
        <w:rPr>
          <w:rFonts w:ascii="Palatino Linotype" w:eastAsia="Calibri" w:hAnsi="Palatino Linotype" w:cs="Arial"/>
          <w:b/>
        </w:rPr>
        <w:t>SAIMEX,</w:t>
      </w:r>
      <w:r w:rsidRPr="00205352">
        <w:rPr>
          <w:rFonts w:ascii="Palatino Linotype" w:eastAsia="Calibri" w:hAnsi="Palatino Linotype" w:cs="Arial"/>
        </w:rPr>
        <w:t xml:space="preserve"> en el formato previamente aprobado para tal efecto y dentro del plazo legal de quince días hábiles otorgados; siendo así que el </w:t>
      </w:r>
      <w:r w:rsidRPr="00205352">
        <w:rPr>
          <w:rFonts w:ascii="Palatino Linotype" w:eastAsia="Calibri" w:hAnsi="Palatino Linotype" w:cs="Arial"/>
          <w:b/>
        </w:rPr>
        <w:t>SUJETO OBLIGADO</w:t>
      </w:r>
      <w:r w:rsidRPr="00205352">
        <w:rPr>
          <w:rFonts w:ascii="Palatino Linotype" w:eastAsia="Calibri" w:hAnsi="Palatino Linotype" w:cs="Arial"/>
        </w:rPr>
        <w:t xml:space="preserve"> entregó respuesta </w:t>
      </w:r>
      <w:r w:rsidR="00160482" w:rsidRPr="00205352">
        <w:rPr>
          <w:rFonts w:ascii="Palatino Linotype" w:eastAsia="Calibri" w:hAnsi="Palatino Linotype" w:cs="Arial"/>
        </w:rPr>
        <w:t xml:space="preserve">el </w:t>
      </w:r>
      <w:r w:rsidR="001378B2">
        <w:rPr>
          <w:rFonts w:ascii="Palatino Linotype" w:eastAsia="Calibri" w:hAnsi="Palatino Linotype" w:cs="Arial"/>
        </w:rPr>
        <w:t xml:space="preserve">diecisiete (17) de marzo </w:t>
      </w:r>
      <w:r w:rsidR="001C10E6">
        <w:rPr>
          <w:rFonts w:ascii="Palatino Linotype" w:eastAsia="Calibri" w:hAnsi="Palatino Linotype" w:cs="Arial"/>
        </w:rPr>
        <w:t xml:space="preserve"> de dos mil veintidós</w:t>
      </w:r>
      <w:r w:rsidRPr="00205352">
        <w:rPr>
          <w:rFonts w:ascii="Palatino Linotype" w:eastAsia="Calibri" w:hAnsi="Palatino Linotype" w:cs="Arial"/>
        </w:rPr>
        <w:t xml:space="preserve">, </w:t>
      </w:r>
      <w:r w:rsidRPr="00205352">
        <w:rPr>
          <w:rFonts w:ascii="Palatino Linotype" w:hAnsi="Palatino Linotype" w:cs="Arial"/>
        </w:rPr>
        <w:t xml:space="preserve">de tal forma que el plazo para interponer el recurso de revisión transcurrió del </w:t>
      </w:r>
      <w:r w:rsidR="001378B2">
        <w:rPr>
          <w:rFonts w:ascii="Palatino Linotype" w:hAnsi="Palatino Linotype" w:cs="Arial"/>
        </w:rPr>
        <w:t>dieciocho (18) de marzo</w:t>
      </w:r>
      <w:r w:rsidR="00765091" w:rsidRPr="00205352">
        <w:rPr>
          <w:rFonts w:ascii="Palatino Linotype" w:hAnsi="Palatino Linotype" w:cs="Arial"/>
        </w:rPr>
        <w:t xml:space="preserve"> </w:t>
      </w:r>
      <w:r w:rsidRPr="00205352">
        <w:rPr>
          <w:rFonts w:ascii="Palatino Linotype" w:hAnsi="Palatino Linotype" w:cs="Arial"/>
        </w:rPr>
        <w:t xml:space="preserve"> al </w:t>
      </w:r>
      <w:r w:rsidR="0083334B">
        <w:rPr>
          <w:rFonts w:ascii="Palatino Linotype" w:hAnsi="Palatino Linotype" w:cs="Arial"/>
        </w:rPr>
        <w:t xml:space="preserve">ocho (08) de abril </w:t>
      </w:r>
      <w:r w:rsidR="00160482" w:rsidRPr="00205352">
        <w:rPr>
          <w:rFonts w:ascii="Palatino Linotype" w:hAnsi="Palatino Linotype" w:cs="Arial"/>
        </w:rPr>
        <w:t>de dos mil veintidós</w:t>
      </w:r>
      <w:r w:rsidRPr="00205352">
        <w:rPr>
          <w:rFonts w:ascii="Palatino Linotype" w:hAnsi="Palatino Linotype" w:cs="Arial"/>
        </w:rPr>
        <w:t xml:space="preserve">; en consecuencia, presentó su inconformidad el día </w:t>
      </w:r>
      <w:r w:rsidR="0083334B">
        <w:rPr>
          <w:rFonts w:ascii="Palatino Linotype" w:hAnsi="Palatino Linotype" w:cs="Arial"/>
        </w:rPr>
        <w:t xml:space="preserve">diecisiete (17) de marzo </w:t>
      </w:r>
      <w:r w:rsidR="001C10E6">
        <w:rPr>
          <w:rFonts w:ascii="Palatino Linotype" w:hAnsi="Palatino Linotype" w:cs="Arial"/>
        </w:rPr>
        <w:t xml:space="preserve"> de dos mil veintidós</w:t>
      </w:r>
      <w:r w:rsidRPr="00205352">
        <w:rPr>
          <w:rFonts w:ascii="Palatino Linotype" w:hAnsi="Palatino Linotype" w:cs="Arial"/>
        </w:rPr>
        <w:t xml:space="preserve">, por lo que se encuentra dentro de los márgenes temporales previstos en el artículo 178 de la </w:t>
      </w:r>
      <w:r w:rsidRPr="00205352">
        <w:rPr>
          <w:rFonts w:ascii="Palatino Linotype" w:hAnsi="Palatino Linotype" w:cs="Arial"/>
          <w:b/>
        </w:rPr>
        <w:t>Ley de Transparencia y Acceso a la Información Pública del Estado de México y Municipios vigente.</w:t>
      </w:r>
    </w:p>
    <w:p w:rsidR="0083334B" w:rsidRPr="0083334B" w:rsidRDefault="0083334B" w:rsidP="0083334B">
      <w:pPr>
        <w:pStyle w:val="Prrafodelista"/>
        <w:spacing w:line="360" w:lineRule="auto"/>
        <w:ind w:left="0" w:right="49"/>
        <w:jc w:val="both"/>
        <w:rPr>
          <w:rFonts w:ascii="Palatino Linotype" w:hAnsi="Palatino Linotype"/>
        </w:rPr>
      </w:pPr>
    </w:p>
    <w:p w:rsidR="0083334B" w:rsidRPr="00851766" w:rsidRDefault="0083334B" w:rsidP="0083334B">
      <w:pPr>
        <w:pStyle w:val="Prrafodelista"/>
        <w:numPr>
          <w:ilvl w:val="0"/>
          <w:numId w:val="1"/>
        </w:numPr>
        <w:spacing w:before="240" w:after="240" w:line="360" w:lineRule="auto"/>
        <w:ind w:left="0" w:right="49" w:firstLine="0"/>
        <w:jc w:val="both"/>
        <w:rPr>
          <w:rFonts w:ascii="Palatino Linotype" w:hAnsi="Palatino Linotype" w:cs="Arial"/>
          <w:color w:val="000000"/>
        </w:rPr>
      </w:pPr>
      <w:r w:rsidRPr="00851766">
        <w:rPr>
          <w:rFonts w:ascii="Palatino Linotype" w:hAnsi="Palatino Linotype" w:cs="Arial"/>
        </w:rPr>
        <w:t xml:space="preserve">Con base en lo anterior, es </w:t>
      </w:r>
      <w:r w:rsidRPr="00851766">
        <w:rPr>
          <w:rFonts w:ascii="Palatino Linotype" w:hAnsi="Palatino Linotype" w:cs="Arial"/>
          <w:color w:val="000000"/>
        </w:rPr>
        <w:t xml:space="preserve">importante hacer mención que, el recurso de revisión se interpuso el mismo día en que se dio respuesta, siendo que la Ley en Materia señala lo siguiente: </w:t>
      </w:r>
    </w:p>
    <w:p w:rsidR="0083334B" w:rsidRPr="00851766" w:rsidRDefault="0083334B" w:rsidP="0083334B">
      <w:pPr>
        <w:autoSpaceDE w:val="0"/>
        <w:autoSpaceDN w:val="0"/>
        <w:adjustRightInd w:val="0"/>
        <w:spacing w:line="360" w:lineRule="auto"/>
        <w:ind w:left="851" w:right="567"/>
        <w:jc w:val="both"/>
        <w:rPr>
          <w:rFonts w:ascii="Palatino Linotype" w:eastAsiaTheme="minorHAnsi" w:hAnsi="Palatino Linotype" w:cs="Arial"/>
          <w:b/>
          <w:bCs/>
          <w:i/>
          <w:sz w:val="22"/>
          <w:szCs w:val="18"/>
          <w:lang w:eastAsia="en-US"/>
        </w:rPr>
      </w:pPr>
      <w:r w:rsidRPr="00851766">
        <w:rPr>
          <w:rFonts w:ascii="Palatino Linotype" w:eastAsiaTheme="minorHAnsi" w:hAnsi="Palatino Linotype" w:cs="Arial"/>
          <w:b/>
          <w:bCs/>
          <w:i/>
          <w:sz w:val="22"/>
          <w:szCs w:val="18"/>
          <w:lang w:eastAsia="en-US"/>
        </w:rPr>
        <w:t>Plazo para interponer recurso de revisión</w:t>
      </w:r>
    </w:p>
    <w:p w:rsidR="0083334B" w:rsidRPr="00851766" w:rsidRDefault="0083334B" w:rsidP="0083334B">
      <w:pPr>
        <w:autoSpaceDE w:val="0"/>
        <w:autoSpaceDN w:val="0"/>
        <w:adjustRightInd w:val="0"/>
        <w:spacing w:line="360" w:lineRule="auto"/>
        <w:ind w:left="851" w:right="567"/>
        <w:jc w:val="both"/>
        <w:rPr>
          <w:rFonts w:ascii="Palatino Linotype" w:hAnsi="Palatino Linotype" w:cs="Bookman Old Style,Bold"/>
          <w:b/>
          <w:bCs/>
          <w:i/>
          <w:sz w:val="28"/>
          <w:lang w:val="es-ES"/>
        </w:rPr>
      </w:pPr>
      <w:r w:rsidRPr="00851766">
        <w:rPr>
          <w:rFonts w:ascii="Palatino Linotype" w:eastAsiaTheme="minorHAnsi" w:hAnsi="Palatino Linotype" w:cs="Arial"/>
          <w:b/>
          <w:bCs/>
          <w:i/>
          <w:sz w:val="22"/>
          <w:szCs w:val="18"/>
          <w:lang w:eastAsia="en-US"/>
        </w:rPr>
        <w:t xml:space="preserve">Artículo 128. </w:t>
      </w:r>
      <w:r w:rsidRPr="00851766">
        <w:rPr>
          <w:rFonts w:ascii="Palatino Linotype" w:eastAsiaTheme="minorHAnsi" w:hAnsi="Palatino Linotype" w:cs="Arial"/>
          <w:i/>
          <w:sz w:val="22"/>
          <w:szCs w:val="18"/>
          <w:lang w:eastAsia="en-US"/>
        </w:rPr>
        <w:t xml:space="preserve">El titular, por sí mismo o a través de su representante, podrán interponer un recurso de revisión ante el Instituto o la Unidad de Transparencia del responsable que haya conocido de la solicitud para el ejercicio de los derechos ARCO, </w:t>
      </w:r>
      <w:r w:rsidRPr="00851766">
        <w:rPr>
          <w:rFonts w:ascii="Palatino Linotype" w:eastAsiaTheme="minorHAnsi" w:hAnsi="Palatino Linotype" w:cs="Arial"/>
          <w:i/>
          <w:sz w:val="22"/>
          <w:szCs w:val="18"/>
          <w:lang w:eastAsia="en-US"/>
        </w:rPr>
        <w:lastRenderedPageBreak/>
        <w:t>dentro de un plazo que no podrá exceder de quince días contados a partir del siguiente a la fecha de la notificación de la respuesta.</w:t>
      </w:r>
    </w:p>
    <w:p w:rsidR="0083334B" w:rsidRPr="00851766" w:rsidRDefault="0083334B" w:rsidP="0083334B">
      <w:pPr>
        <w:autoSpaceDE w:val="0"/>
        <w:autoSpaceDN w:val="0"/>
        <w:adjustRightInd w:val="0"/>
        <w:spacing w:line="360" w:lineRule="auto"/>
        <w:ind w:left="567" w:right="567"/>
        <w:jc w:val="both"/>
        <w:rPr>
          <w:rFonts w:ascii="Palatino Linotype" w:hAnsi="Palatino Linotype" w:cs="Bookman Old Style,Bold"/>
          <w:b/>
          <w:bCs/>
          <w:i/>
          <w:sz w:val="22"/>
          <w:lang w:val="es-ES"/>
        </w:rPr>
      </w:pPr>
    </w:p>
    <w:p w:rsidR="0083334B" w:rsidRPr="00851766" w:rsidRDefault="0083334B" w:rsidP="0083334B">
      <w:pPr>
        <w:pStyle w:val="Prrafodelista"/>
        <w:numPr>
          <w:ilvl w:val="0"/>
          <w:numId w:val="1"/>
        </w:numPr>
        <w:spacing w:line="360" w:lineRule="auto"/>
        <w:ind w:left="0" w:right="49" w:firstLine="0"/>
        <w:jc w:val="both"/>
        <w:rPr>
          <w:rFonts w:ascii="Palatino Linotype" w:hAnsi="Palatino Linotype" w:cs="Arial"/>
          <w:color w:val="000000"/>
        </w:rPr>
      </w:pPr>
      <w:r w:rsidRPr="00851766">
        <w:rPr>
          <w:rFonts w:ascii="Palatino Linotype"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851766">
        <w:rPr>
          <w:rFonts w:ascii="Palatino Linotype"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83334B" w:rsidRPr="00851766" w:rsidRDefault="0083334B" w:rsidP="0083334B">
      <w:pPr>
        <w:spacing w:before="240" w:after="240" w:line="360" w:lineRule="auto"/>
        <w:ind w:left="851" w:right="567"/>
        <w:jc w:val="both"/>
        <w:rPr>
          <w:rFonts w:ascii="Palatino Linotype" w:hAnsi="Palatino Linotype" w:cs="Arial"/>
          <w:sz w:val="22"/>
        </w:rPr>
      </w:pPr>
      <w:r w:rsidRPr="00851766">
        <w:rPr>
          <w:rFonts w:ascii="Palatino Linotype" w:hAnsi="Palatino Linotype" w:cs="Arial"/>
          <w:b/>
          <w:i/>
          <w:iCs/>
          <w:sz w:val="22"/>
        </w:rPr>
        <w:t>RECURSO DE RECLAMACIÓN. SU INTERPOSICIÓN NO ES EXTEMPORÁNEA SI SE REALIZA ANTES DE QUE INICIE EL PLAZO PARA HACERLO</w:t>
      </w:r>
      <w:r w:rsidRPr="00851766">
        <w:rPr>
          <w:rFonts w:ascii="Palatino Linotype" w:hAnsi="Palatino Linotype" w:cs="Arial"/>
          <w:i/>
          <w:iCs/>
          <w:sz w:val="22"/>
        </w:rPr>
        <w:t>.</w:t>
      </w:r>
    </w:p>
    <w:p w:rsidR="0083334B" w:rsidRPr="00851766" w:rsidRDefault="0083334B" w:rsidP="0083334B">
      <w:pPr>
        <w:spacing w:before="240" w:after="240" w:line="360" w:lineRule="auto"/>
        <w:ind w:left="851" w:right="567"/>
        <w:jc w:val="both"/>
        <w:rPr>
          <w:rFonts w:ascii="Palatino Linotype" w:hAnsi="Palatino Linotype" w:cs="Arial"/>
          <w:sz w:val="22"/>
        </w:rPr>
      </w:pPr>
      <w:r w:rsidRPr="00851766">
        <w:rPr>
          <w:rFonts w:ascii="Palatino Linotype"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851766">
        <w:rPr>
          <w:rFonts w:ascii="Palatino Linotype"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851766">
        <w:rPr>
          <w:rFonts w:ascii="Palatino Linotype" w:hAnsi="Palatino Linotype" w:cs="Arial"/>
          <w:i/>
          <w:iCs/>
          <w:sz w:val="22"/>
        </w:rPr>
        <w:t>.</w:t>
      </w:r>
    </w:p>
    <w:p w:rsidR="0083334B" w:rsidRPr="00851766" w:rsidRDefault="0083334B" w:rsidP="0083334B">
      <w:pPr>
        <w:spacing w:before="240" w:after="240" w:line="360" w:lineRule="auto"/>
        <w:ind w:left="851" w:right="567"/>
        <w:jc w:val="both"/>
        <w:rPr>
          <w:rFonts w:ascii="Palatino Linotype" w:hAnsi="Palatino Linotype" w:cs="Arial"/>
          <w:i/>
          <w:iCs/>
          <w:sz w:val="22"/>
        </w:rPr>
      </w:pPr>
      <w:r w:rsidRPr="00851766">
        <w:rPr>
          <w:rFonts w:ascii="Palatino Linotype" w:hAnsi="Palatino Linotype" w:cs="Arial"/>
          <w:i/>
          <w:iCs/>
          <w:sz w:val="22"/>
        </w:rPr>
        <w:t>De ahí que si dicho recurso se interpone antes de que inicie el plazo para hacerlo, su presentación no es extemporánea.</w:t>
      </w:r>
    </w:p>
    <w:p w:rsidR="00F12093" w:rsidRPr="0083334B" w:rsidRDefault="0083334B" w:rsidP="001C10E6">
      <w:pPr>
        <w:pStyle w:val="Prrafodelista"/>
        <w:numPr>
          <w:ilvl w:val="0"/>
          <w:numId w:val="1"/>
        </w:numPr>
        <w:spacing w:line="360" w:lineRule="auto"/>
        <w:ind w:left="0" w:right="49" w:firstLine="0"/>
        <w:jc w:val="both"/>
        <w:rPr>
          <w:rFonts w:ascii="Palatino Linotype" w:hAnsi="Palatino Linotype"/>
        </w:rPr>
      </w:pPr>
      <w:r w:rsidRPr="00851766">
        <w:rPr>
          <w:rFonts w:ascii="Palatino Linotype" w:hAnsi="Palatino Linotype"/>
        </w:rPr>
        <w:t>En ese sentido, no existiendo causas de desechamiento por extemporáneo o anticipado, el recurso de revisión q</w:t>
      </w:r>
      <w:r>
        <w:rPr>
          <w:rFonts w:ascii="Palatino Linotype" w:hAnsi="Palatino Linotype"/>
        </w:rPr>
        <w:t>ue hoy nos ocupa, es procedente.</w:t>
      </w:r>
    </w:p>
    <w:p w:rsidR="001C10E6" w:rsidRDefault="00F12093" w:rsidP="00F12093">
      <w:pPr>
        <w:pStyle w:val="Prrafodelista"/>
        <w:numPr>
          <w:ilvl w:val="0"/>
          <w:numId w:val="1"/>
        </w:numPr>
        <w:spacing w:line="360" w:lineRule="auto"/>
        <w:ind w:left="0" w:right="49" w:firstLine="0"/>
        <w:jc w:val="both"/>
        <w:rPr>
          <w:rFonts w:ascii="Palatino Linotype" w:hAnsi="Palatino Linotype"/>
        </w:rPr>
      </w:pPr>
      <w:r w:rsidRPr="00205352">
        <w:rPr>
          <w:rFonts w:ascii="Palatino Linotype" w:eastAsia="Calibri" w:hAnsi="Palatino Linotype" w:cs="Arial"/>
        </w:rPr>
        <w:lastRenderedPageBreak/>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3334B" w:rsidRPr="0083334B" w:rsidRDefault="0083334B" w:rsidP="0083334B">
      <w:pPr>
        <w:pStyle w:val="Prrafodelista"/>
        <w:spacing w:line="360" w:lineRule="auto"/>
        <w:ind w:left="0" w:right="49"/>
        <w:jc w:val="both"/>
        <w:rPr>
          <w:rFonts w:ascii="Palatino Linotype" w:hAnsi="Palatino Linotype"/>
        </w:rPr>
      </w:pPr>
    </w:p>
    <w:p w:rsidR="0083334B" w:rsidRPr="00466C65" w:rsidRDefault="0083334B" w:rsidP="0083334B">
      <w:pPr>
        <w:pStyle w:val="Ttulo1"/>
        <w:spacing w:line="360" w:lineRule="auto"/>
        <w:rPr>
          <w:b w:val="0"/>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466C65">
        <w:t>TERCERO. De las causales del sobreseimiento.</w:t>
      </w:r>
      <w:bookmarkEnd w:id="12"/>
    </w:p>
    <w:p w:rsidR="0083334B" w:rsidRPr="00466C65" w:rsidRDefault="0083334B" w:rsidP="0083334B">
      <w:pPr>
        <w:spacing w:line="360" w:lineRule="auto"/>
        <w:rPr>
          <w:rFonts w:ascii="Palatino Linotype" w:hAnsi="Palatino Linotype"/>
        </w:rPr>
      </w:pPr>
    </w:p>
    <w:p w:rsidR="0083334B" w:rsidRPr="00466C65" w:rsidRDefault="0083334B" w:rsidP="0083334B">
      <w:pPr>
        <w:pStyle w:val="Ttulo2"/>
        <w:numPr>
          <w:ilvl w:val="0"/>
          <w:numId w:val="41"/>
        </w:numPr>
        <w:spacing w:line="360" w:lineRule="auto"/>
        <w:rPr>
          <w:rFonts w:ascii="Palatino Linotype" w:hAnsi="Palatino Linotype"/>
          <w:b/>
          <w:color w:val="auto"/>
          <w:sz w:val="24"/>
          <w:szCs w:val="24"/>
        </w:rPr>
      </w:pPr>
      <w:bookmarkStart w:id="19" w:name="_Toc26960595"/>
      <w:bookmarkStart w:id="20" w:name="_Toc82017150"/>
      <w:r w:rsidRPr="00466C65">
        <w:rPr>
          <w:rFonts w:ascii="Palatino Linotype" w:hAnsi="Palatino Linotype"/>
          <w:b/>
          <w:color w:val="auto"/>
          <w:sz w:val="24"/>
          <w:szCs w:val="24"/>
        </w:rPr>
        <w:t>De las actuaciones de las partes.</w:t>
      </w:r>
      <w:bookmarkEnd w:id="19"/>
      <w:bookmarkEnd w:id="20"/>
    </w:p>
    <w:p w:rsidR="0083334B" w:rsidRPr="00466C65" w:rsidRDefault="0083334B" w:rsidP="00333CE6">
      <w:pPr>
        <w:pStyle w:val="Prrafodelista"/>
        <w:numPr>
          <w:ilvl w:val="0"/>
          <w:numId w:val="1"/>
        </w:numPr>
        <w:spacing w:before="240" w:after="240" w:line="360" w:lineRule="auto"/>
        <w:ind w:left="0" w:right="49" w:firstLine="0"/>
        <w:jc w:val="both"/>
        <w:rPr>
          <w:rFonts w:ascii="Palatino Linotype" w:hAnsi="Palatino Linotype"/>
          <w:bCs/>
        </w:rPr>
      </w:pPr>
      <w:r w:rsidRPr="00466C65">
        <w:rPr>
          <w:rFonts w:ascii="Palatino Linotype" w:hAnsi="Palatino Linotype"/>
          <w:bCs/>
        </w:rPr>
        <w:t>El recurrente solicitó la siguiente información:</w:t>
      </w:r>
    </w:p>
    <w:p w:rsidR="0083334B" w:rsidRPr="00466C65" w:rsidRDefault="0083334B" w:rsidP="0083334B">
      <w:pPr>
        <w:pStyle w:val="Prrafodelista"/>
        <w:spacing w:before="240" w:after="240" w:line="360" w:lineRule="auto"/>
        <w:ind w:left="0" w:right="49"/>
        <w:jc w:val="both"/>
        <w:rPr>
          <w:rFonts w:ascii="Palatino Linotype" w:hAnsi="Palatino Linotype"/>
          <w:bCs/>
        </w:rPr>
      </w:pPr>
    </w:p>
    <w:p w:rsidR="00333CE6" w:rsidRPr="00333CE6" w:rsidRDefault="00333CE6" w:rsidP="00333CE6">
      <w:pPr>
        <w:pStyle w:val="Prrafodelista"/>
        <w:spacing w:before="240" w:after="240"/>
        <w:ind w:left="851" w:right="567"/>
        <w:jc w:val="both"/>
        <w:rPr>
          <w:rFonts w:ascii="Palatino Linotype" w:hAnsi="Palatino Linotype"/>
          <w:bCs/>
          <w:i/>
          <w:sz w:val="22"/>
          <w:lang w:val="es-ES"/>
        </w:rPr>
      </w:pPr>
      <w:r w:rsidRPr="00333CE6">
        <w:rPr>
          <w:rFonts w:ascii="Palatino Linotype" w:hAnsi="Palatino Linotype"/>
          <w:bCs/>
          <w:i/>
          <w:sz w:val="22"/>
          <w:lang w:val="es-ES"/>
        </w:rPr>
        <w:t>“</w:t>
      </w:r>
      <w:r w:rsidRPr="00333CE6">
        <w:rPr>
          <w:rFonts w:ascii="Palatino Linotype" w:hAnsi="Palatino Linotype"/>
          <w:bCs/>
          <w:i/>
          <w:sz w:val="22"/>
        </w:rPr>
        <w:t xml:space="preserve">Es de todos conocido que la red de corrupcion que ha tejido el virrey del </w:t>
      </w:r>
      <w:r w:rsidR="0062098C">
        <w:rPr>
          <w:rFonts w:ascii="Palatino Linotype" w:hAnsi="Palatino Linotype"/>
          <w:bCs/>
          <w:i/>
          <w:sz w:val="22"/>
        </w:rPr>
        <w:t>soborno, XXXXXXXXXXXXXX</w:t>
      </w:r>
      <w:r w:rsidRPr="00333CE6">
        <w:rPr>
          <w:rFonts w:ascii="Palatino Linotype" w:hAnsi="Palatino Linotype"/>
          <w:bCs/>
          <w:i/>
          <w:sz w:val="22"/>
        </w:rPr>
        <w:t>, amenaza la estabilidad hidrica de nuestro municipio ya que este personaje no es servidor publico porque transgrede lo indicado en la Ley de Responsabilidades Administrativas del Estado de Mexico y siempre antepone sus intereses personales y la de su grupo de poderosos dentro del municipio, sobre los intereses de la poblacion del resto del municipio. Es un clamor general de los vecinos conocer el motivo por el cual la dotacion de agua potable que le entregan al fraccionamiento REAL DE SAN FERNANDO ha disminuido considerablemente desde hace dos semanas, hemos revisado de manera interna las conexiones que tenemos de la cisterna al tanque elevado y a cada una de las vivienda, pero observamos que los tiempos de llenado de la cisterna, y a su vez del tanque elevado, tardan mas de dos horas a lo que anteriormente tardaban, lo que nos hace concluir que algo se altero en el mecanismo de suministro del agua. Como antecedente se les informa que hace dos años, como fraccionamento, adquirimos refacciones para arreglar el mecanismo de dotacion, mismo personal de la direccion de agua potable vino a realizar los trabajos, todo se regularizo y no habiamos tenido problema con el suministro pero, por lo indicado en las oficinas administrativas de dicha dependencia, nos informan a un gru</w:t>
      </w:r>
      <w:r w:rsidR="0062098C">
        <w:rPr>
          <w:rFonts w:ascii="Palatino Linotype" w:hAnsi="Palatino Linotype"/>
          <w:bCs/>
          <w:i/>
          <w:sz w:val="22"/>
        </w:rPr>
        <w:t>po de vecinos que el Sr. XXXXXXX XXXXXX XXXXX</w:t>
      </w:r>
      <w:r w:rsidRPr="00333CE6">
        <w:rPr>
          <w:rFonts w:ascii="Palatino Linotype" w:hAnsi="Palatino Linotype"/>
          <w:bCs/>
          <w:i/>
          <w:sz w:val="22"/>
        </w:rPr>
        <w:t xml:space="preserve">, el servidor publico que mas corrupcion genera en los diversos ramales de dotacion y drenaje de agua en todo el territorio municipal, nuevamente esta </w:t>
      </w:r>
      <w:r w:rsidRPr="00333CE6">
        <w:rPr>
          <w:rFonts w:ascii="Palatino Linotype" w:hAnsi="Palatino Linotype"/>
          <w:bCs/>
          <w:i/>
          <w:sz w:val="22"/>
        </w:rPr>
        <w:lastRenderedPageBreak/>
        <w:t xml:space="preserve">involucrado en estos problemas de suministro. ¿Cuando sera que a este señor se le quite todo el poder que sus amigos poderosos respaldan con practicas que desvirtuan el ejercicio del servicio publico y quienes se creen originarios como dice el famosisimo bando municipal de Cuautitlan para mantener el pequeño coto de poder que es gobernar este municipio sin pies ni cabeza? ¿Quien protege a este grupo de criminales, encabezados por este señor Carrera y que extorsionan y amenazan, con quitar la dotacion de agua potable a todo ciudadano que protesta por el incumplimiento en el suministro hidrico, obligado por ley indicado tanto en la Ley del Agua para el Estado de México y Municipios y su Reglamento?, ¿Quien puede ponerle un freno a las tacticas dilatorias de los poderosos protectores que tiene este delincuente? ¿Porque si ya se demostro que es el autor de tantas fechorias le siguen dando empleo como servidor publico? Se les suplica que en la respuesta tomen en consideracion los lineamentos que marca la Ley de Transparencia y Acceso a la Información Pública del Estado de México y Municipios en sus artículos 3 fracciones XI y XXI y 4." </w:t>
      </w:r>
      <w:r w:rsidRPr="00333CE6">
        <w:rPr>
          <w:rFonts w:ascii="Palatino Linotype" w:hAnsi="Palatino Linotype"/>
          <w:bCs/>
          <w:i/>
          <w:sz w:val="22"/>
          <w:lang w:val="es-ES"/>
        </w:rPr>
        <w:t xml:space="preserve"> (Sic)</w:t>
      </w:r>
    </w:p>
    <w:p w:rsidR="0083334B" w:rsidRPr="00466C65" w:rsidRDefault="0083334B" w:rsidP="0083334B">
      <w:pPr>
        <w:pStyle w:val="Prrafodelista"/>
        <w:spacing w:before="240" w:after="240" w:line="360" w:lineRule="auto"/>
        <w:ind w:left="0" w:right="49"/>
        <w:jc w:val="both"/>
        <w:rPr>
          <w:rFonts w:ascii="Palatino Linotype" w:hAnsi="Palatino Linotype"/>
        </w:rPr>
      </w:pPr>
    </w:p>
    <w:p w:rsidR="0083334B" w:rsidRDefault="0083334B" w:rsidP="00333CE6">
      <w:pPr>
        <w:pStyle w:val="Prrafodelista"/>
        <w:numPr>
          <w:ilvl w:val="0"/>
          <w:numId w:val="1"/>
        </w:numPr>
        <w:spacing w:before="240" w:after="240" w:line="360" w:lineRule="auto"/>
        <w:ind w:left="0" w:right="49" w:firstLine="0"/>
        <w:jc w:val="both"/>
        <w:rPr>
          <w:rFonts w:ascii="Palatino Linotype" w:hAnsi="Palatino Linotype"/>
        </w:rPr>
      </w:pPr>
      <w:r w:rsidRPr="00466C65">
        <w:rPr>
          <w:rFonts w:ascii="Palatino Linotype" w:hAnsi="Palatino Linotype"/>
        </w:rPr>
        <w:t xml:space="preserve">El Sujeto Obligado </w:t>
      </w:r>
      <w:r w:rsidR="00333CE6">
        <w:rPr>
          <w:rFonts w:ascii="Palatino Linotype" w:hAnsi="Palatino Linotype"/>
        </w:rPr>
        <w:t xml:space="preserve">manifestó su incompetencia para atender la solicitud de información. El recurrente se inconformó porque no se le entregó la información solicitada. </w:t>
      </w:r>
    </w:p>
    <w:p w:rsidR="00333CE6" w:rsidRPr="00333CE6" w:rsidRDefault="00333CE6" w:rsidP="00333CE6">
      <w:pPr>
        <w:pStyle w:val="Prrafodelista"/>
        <w:spacing w:before="240" w:after="240" w:line="360" w:lineRule="auto"/>
        <w:ind w:left="0" w:right="49"/>
        <w:jc w:val="both"/>
        <w:rPr>
          <w:rFonts w:ascii="Palatino Linotype" w:hAnsi="Palatino Linotype"/>
        </w:rPr>
      </w:pPr>
    </w:p>
    <w:p w:rsidR="0083334B" w:rsidRPr="00466C65" w:rsidRDefault="0083334B" w:rsidP="00333CE6">
      <w:pPr>
        <w:pStyle w:val="Prrafodelista"/>
        <w:numPr>
          <w:ilvl w:val="0"/>
          <w:numId w:val="1"/>
        </w:numPr>
        <w:spacing w:before="240" w:after="240" w:line="360" w:lineRule="auto"/>
        <w:ind w:left="0" w:right="49" w:firstLine="0"/>
        <w:jc w:val="both"/>
        <w:rPr>
          <w:rFonts w:ascii="Palatino Linotype" w:hAnsi="Palatino Linotype"/>
        </w:rPr>
      </w:pPr>
      <w:r w:rsidRPr="00466C65">
        <w:rPr>
          <w:rFonts w:ascii="Palatino Linotype" w:hAnsi="Palatino Linotype"/>
        </w:rPr>
        <w:t xml:space="preserve">Lo anterior actualiza la causal de procedencia contenida en la fracción I relativa a la </w:t>
      </w:r>
      <w:r w:rsidR="00333CE6">
        <w:rPr>
          <w:rFonts w:ascii="Palatino Linotype" w:hAnsi="Palatino Linotype"/>
        </w:rPr>
        <w:t>negativa de la información</w:t>
      </w:r>
      <w:r w:rsidRPr="00466C65">
        <w:rPr>
          <w:rFonts w:ascii="Palatino Linotype" w:hAnsi="Palatino Linotype"/>
        </w:rPr>
        <w:t>, del artículo 179 de la Ley de Transparencia, Acceso a la Información Pública del Estado de México y Municipios</w:t>
      </w:r>
    </w:p>
    <w:p w:rsidR="0083334B" w:rsidRPr="00466C65" w:rsidRDefault="0083334B" w:rsidP="0083334B">
      <w:pPr>
        <w:pStyle w:val="Prrafodelista"/>
        <w:spacing w:line="360" w:lineRule="auto"/>
        <w:rPr>
          <w:rFonts w:ascii="Palatino Linotype" w:hAnsi="Palatino Linotype"/>
        </w:rPr>
      </w:pPr>
    </w:p>
    <w:p w:rsidR="0083334B" w:rsidRPr="00466C65" w:rsidRDefault="0083334B" w:rsidP="0083334B">
      <w:pPr>
        <w:pStyle w:val="Ttulo2"/>
        <w:numPr>
          <w:ilvl w:val="0"/>
          <w:numId w:val="41"/>
        </w:numPr>
        <w:spacing w:line="360" w:lineRule="auto"/>
        <w:rPr>
          <w:rFonts w:ascii="Palatino Linotype" w:eastAsia="MS Mincho" w:hAnsi="Palatino Linotype"/>
          <w:b/>
          <w:bCs/>
          <w:color w:val="auto"/>
          <w:sz w:val="24"/>
          <w:szCs w:val="24"/>
        </w:rPr>
      </w:pPr>
      <w:r w:rsidRPr="00466C65">
        <w:rPr>
          <w:rFonts w:ascii="Palatino Linotype" w:eastAsia="MS Mincho" w:hAnsi="Palatino Linotype"/>
          <w:b/>
          <w:bCs/>
          <w:color w:val="auto"/>
          <w:sz w:val="24"/>
          <w:szCs w:val="24"/>
        </w:rPr>
        <w:t>Del Derecho de Acceso a la Información Pública.</w:t>
      </w:r>
    </w:p>
    <w:p w:rsidR="0083334B" w:rsidRPr="00466C65" w:rsidRDefault="0083334B" w:rsidP="0083334B">
      <w:pPr>
        <w:pStyle w:val="Prrafodelista"/>
        <w:spacing w:line="360" w:lineRule="auto"/>
        <w:rPr>
          <w:rFonts w:ascii="Palatino Linotype" w:hAnsi="Palatino Linotype"/>
          <w:lang w:eastAsia="en-US"/>
        </w:rPr>
      </w:pPr>
    </w:p>
    <w:p w:rsidR="0083334B" w:rsidRPr="00466C65" w:rsidRDefault="0083334B" w:rsidP="0083334B">
      <w:pPr>
        <w:pStyle w:val="Prrafodelista"/>
        <w:numPr>
          <w:ilvl w:val="0"/>
          <w:numId w:val="1"/>
        </w:numPr>
        <w:spacing w:line="360" w:lineRule="auto"/>
        <w:ind w:left="0" w:firstLine="0"/>
        <w:jc w:val="both"/>
        <w:rPr>
          <w:rFonts w:ascii="Palatino Linotype" w:eastAsia="MS Mincho" w:hAnsi="Palatino Linotype"/>
        </w:rPr>
      </w:pPr>
      <w:r w:rsidRPr="00466C65">
        <w:rPr>
          <w:rFonts w:ascii="Palatino Linotype" w:hAnsi="Palatino Linotype"/>
          <w:bCs/>
        </w:rPr>
        <w:t xml:space="preserve">Precisado lo anterior, </w:t>
      </w:r>
      <w:r w:rsidRPr="00466C65">
        <w:rPr>
          <w:rFonts w:ascii="Palatino Linotype" w:hAnsi="Palatino Linotype" w:cs="Arial"/>
        </w:rPr>
        <w:t xml:space="preserve">este Órgano Garante observó que la </w:t>
      </w:r>
      <w:r w:rsidR="00333CE6">
        <w:rPr>
          <w:rFonts w:ascii="Palatino Linotype" w:hAnsi="Palatino Linotype" w:cs="Arial"/>
        </w:rPr>
        <w:t xml:space="preserve">información solicitada </w:t>
      </w:r>
      <w:r w:rsidRPr="00466C65">
        <w:rPr>
          <w:rFonts w:ascii="Palatino Linotype" w:hAnsi="Palatino Linotype" w:cs="Arial"/>
        </w:rPr>
        <w:t>no constituye un derecho de a</w:t>
      </w:r>
      <w:r w:rsidR="00333CE6">
        <w:rPr>
          <w:rFonts w:ascii="Palatino Linotype" w:hAnsi="Palatino Linotype" w:cs="Arial"/>
        </w:rPr>
        <w:t>cceso a la información pública</w:t>
      </w:r>
      <w:r w:rsidRPr="00466C65">
        <w:rPr>
          <w:rFonts w:ascii="Palatino Linotype" w:hAnsi="Palatino Linotype" w:cs="Arial"/>
          <w:szCs w:val="20"/>
        </w:rPr>
        <w:t xml:space="preserve">, es decir, dicha información no consta en documento alguno derivado del ejercicio de facultades, atribuciones o competencias del </w:t>
      </w:r>
      <w:r w:rsidRPr="00466C65">
        <w:rPr>
          <w:rFonts w:ascii="Palatino Linotype" w:hAnsi="Palatino Linotype" w:cs="Arial"/>
          <w:b/>
          <w:szCs w:val="20"/>
        </w:rPr>
        <w:t>SUJETO OBLIGADO</w:t>
      </w:r>
      <w:r w:rsidRPr="00466C65">
        <w:rPr>
          <w:rFonts w:ascii="Palatino Linotype" w:hAnsi="Palatino Linotype" w:cs="Arial"/>
          <w:szCs w:val="20"/>
        </w:rPr>
        <w:t xml:space="preserve">, o bien, dentro </w:t>
      </w:r>
      <w:r w:rsidRPr="00466C65">
        <w:rPr>
          <w:rFonts w:ascii="Palatino Linotype" w:hAnsi="Palatino Linotype" w:cs="Arial"/>
          <w:szCs w:val="20"/>
        </w:rPr>
        <w:lastRenderedPageBreak/>
        <w:t>de una base de datos o medio electrónico, que éste tenga obligación de generar, poseer y administrar.</w:t>
      </w:r>
    </w:p>
    <w:p w:rsidR="0083334B" w:rsidRPr="00466C65" w:rsidRDefault="0083334B" w:rsidP="0083334B">
      <w:pPr>
        <w:pStyle w:val="Prrafodelista"/>
        <w:spacing w:line="360" w:lineRule="auto"/>
        <w:ind w:left="0"/>
        <w:jc w:val="both"/>
        <w:rPr>
          <w:rFonts w:ascii="Palatino Linotype" w:eastAsia="MS Mincho" w:hAnsi="Palatino Linotype"/>
        </w:rPr>
      </w:pPr>
    </w:p>
    <w:p w:rsidR="0083334B" w:rsidRPr="00466C65" w:rsidRDefault="0083334B" w:rsidP="0083334B">
      <w:pPr>
        <w:pStyle w:val="Prrafodelista"/>
        <w:numPr>
          <w:ilvl w:val="0"/>
          <w:numId w:val="1"/>
        </w:numPr>
        <w:spacing w:line="360" w:lineRule="auto"/>
        <w:ind w:left="0" w:firstLine="0"/>
        <w:jc w:val="both"/>
        <w:rPr>
          <w:rFonts w:ascii="Palatino Linotype" w:eastAsia="MS Mincho" w:hAnsi="Palatino Linotype"/>
        </w:rPr>
      </w:pPr>
      <w:r w:rsidRPr="00466C65">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rsidR="0083334B" w:rsidRPr="00466C65" w:rsidRDefault="0083334B" w:rsidP="0083334B">
      <w:pPr>
        <w:pStyle w:val="Prrafodelista"/>
        <w:spacing w:line="360" w:lineRule="auto"/>
        <w:rPr>
          <w:rFonts w:ascii="Palatino Linotype" w:eastAsia="MS Mincho" w:hAnsi="Palatino Linotype"/>
        </w:rPr>
      </w:pPr>
    </w:p>
    <w:p w:rsidR="0083334B" w:rsidRPr="00333CE6" w:rsidRDefault="0083334B" w:rsidP="0083334B">
      <w:pPr>
        <w:pStyle w:val="Prrafodelista"/>
        <w:numPr>
          <w:ilvl w:val="0"/>
          <w:numId w:val="1"/>
        </w:numPr>
        <w:spacing w:line="360" w:lineRule="auto"/>
        <w:ind w:left="0" w:firstLine="0"/>
        <w:jc w:val="both"/>
        <w:rPr>
          <w:rFonts w:ascii="Palatino Linotype" w:eastAsia="MS Mincho" w:hAnsi="Palatino Linotype"/>
        </w:rPr>
      </w:pPr>
      <w:r w:rsidRPr="00466C65">
        <w:rPr>
          <w:rFonts w:ascii="Palatino Linotype" w:hAnsi="Palatino Linotype" w:cs="Arial"/>
        </w:rPr>
        <w:t>Por lo que respecta a la definición de Derecho de Petición, el Maestro I</w:t>
      </w:r>
      <w:r w:rsidR="00333CE6">
        <w:rPr>
          <w:rFonts w:ascii="Palatino Linotype" w:hAnsi="Palatino Linotype" w:cs="Arial"/>
        </w:rPr>
        <w:t>gnacio Burgoa Orihuela refiere:</w:t>
      </w:r>
    </w:p>
    <w:p w:rsidR="00333CE6" w:rsidRPr="00466C65" w:rsidRDefault="00333CE6" w:rsidP="00333CE6">
      <w:pPr>
        <w:pStyle w:val="Prrafodelista"/>
        <w:spacing w:line="360" w:lineRule="auto"/>
        <w:ind w:left="0"/>
        <w:jc w:val="both"/>
        <w:rPr>
          <w:rFonts w:ascii="Palatino Linotype" w:eastAsia="MS Mincho" w:hAnsi="Palatino Linotype"/>
        </w:rPr>
      </w:pPr>
    </w:p>
    <w:p w:rsidR="0083334B" w:rsidRPr="00466C65" w:rsidRDefault="0083334B" w:rsidP="0083334B">
      <w:pPr>
        <w:tabs>
          <w:tab w:val="left" w:pos="9214"/>
        </w:tabs>
        <w:spacing w:line="360" w:lineRule="auto"/>
        <w:ind w:left="709" w:right="709"/>
        <w:jc w:val="both"/>
        <w:rPr>
          <w:rFonts w:ascii="Palatino Linotype" w:hAnsi="Palatino Linotype"/>
          <w:sz w:val="22"/>
          <w:szCs w:val="22"/>
          <w:lang w:eastAsia="es-MX"/>
        </w:rPr>
      </w:pPr>
      <w:r w:rsidRPr="00466C65">
        <w:rPr>
          <w:rFonts w:ascii="Palatino Linotype" w:hAnsi="Palatino Linotype"/>
          <w:i/>
          <w:sz w:val="22"/>
          <w:szCs w:val="22"/>
          <w:lang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466C65">
        <w:rPr>
          <w:rFonts w:ascii="Palatino Linotype" w:hAnsi="Palatino Linotype"/>
          <w:sz w:val="22"/>
          <w:szCs w:val="22"/>
          <w:lang w:eastAsia="es-MX"/>
        </w:rPr>
        <w:t>(Sic)</w:t>
      </w:r>
    </w:p>
    <w:p w:rsidR="0083334B" w:rsidRPr="00466C65" w:rsidRDefault="0083334B" w:rsidP="0083334B">
      <w:pPr>
        <w:tabs>
          <w:tab w:val="left" w:pos="9214"/>
        </w:tabs>
        <w:spacing w:line="360" w:lineRule="auto"/>
        <w:ind w:right="709"/>
        <w:jc w:val="both"/>
        <w:rPr>
          <w:rFonts w:ascii="Palatino Linotype" w:hAnsi="Palatino Linotype"/>
          <w:i/>
          <w:sz w:val="22"/>
          <w:szCs w:val="22"/>
          <w:lang w:eastAsia="es-MX"/>
        </w:rPr>
      </w:pPr>
    </w:p>
    <w:p w:rsidR="0083334B" w:rsidRPr="00466C65" w:rsidRDefault="0083334B" w:rsidP="0083334B">
      <w:pPr>
        <w:pStyle w:val="Prrafodelista"/>
        <w:numPr>
          <w:ilvl w:val="0"/>
          <w:numId w:val="1"/>
        </w:numPr>
        <w:autoSpaceDE w:val="0"/>
        <w:autoSpaceDN w:val="0"/>
        <w:adjustRightInd w:val="0"/>
        <w:spacing w:before="120" w:line="360" w:lineRule="auto"/>
        <w:ind w:left="0" w:firstLine="0"/>
        <w:jc w:val="both"/>
        <w:rPr>
          <w:rFonts w:ascii="Palatino Linotype" w:hAnsi="Palatino Linotype" w:cs="Arial"/>
        </w:rPr>
      </w:pPr>
      <w:r w:rsidRPr="00466C65">
        <w:rPr>
          <w:rFonts w:ascii="Palatino Linotype" w:hAnsi="Palatino Linotype" w:cs="Arial"/>
        </w:rPr>
        <w:t xml:space="preserve">Por su parte, David Cienfuegos Salgado, concibe al derecho de petición como: </w:t>
      </w:r>
    </w:p>
    <w:p w:rsidR="0083334B" w:rsidRPr="00466C65" w:rsidRDefault="0083334B" w:rsidP="0083334B">
      <w:pPr>
        <w:tabs>
          <w:tab w:val="left" w:pos="9214"/>
        </w:tabs>
        <w:spacing w:line="360" w:lineRule="auto"/>
        <w:ind w:left="709" w:right="709"/>
        <w:jc w:val="both"/>
        <w:rPr>
          <w:rFonts w:ascii="Palatino Linotype" w:hAnsi="Palatino Linotype"/>
          <w:sz w:val="22"/>
          <w:szCs w:val="22"/>
          <w:lang w:eastAsia="es-MX"/>
        </w:rPr>
      </w:pPr>
      <w:r w:rsidRPr="00466C65">
        <w:rPr>
          <w:rFonts w:ascii="Palatino Linotype" w:hAnsi="Palatino Linotype"/>
          <w:i/>
          <w:sz w:val="22"/>
          <w:szCs w:val="22"/>
          <w:lang w:eastAsia="es-MX"/>
        </w:rPr>
        <w:t xml:space="preserve">“… el derecho de toda persona a ser escuchado por quienes ejercen el poder público...” </w:t>
      </w:r>
      <w:r w:rsidRPr="00466C65">
        <w:rPr>
          <w:rFonts w:ascii="Palatino Linotype" w:hAnsi="Palatino Linotype"/>
          <w:sz w:val="22"/>
          <w:szCs w:val="22"/>
          <w:lang w:eastAsia="es-MX"/>
        </w:rPr>
        <w:t xml:space="preserve">(Sic) </w:t>
      </w:r>
    </w:p>
    <w:p w:rsidR="0083334B" w:rsidRPr="00466C65" w:rsidRDefault="0083334B" w:rsidP="0083334B">
      <w:pPr>
        <w:tabs>
          <w:tab w:val="left" w:pos="9214"/>
        </w:tabs>
        <w:spacing w:line="360" w:lineRule="auto"/>
        <w:ind w:left="709" w:right="709"/>
        <w:jc w:val="both"/>
        <w:rPr>
          <w:rFonts w:ascii="Palatino Linotype" w:hAnsi="Palatino Linotype"/>
          <w:i/>
          <w:sz w:val="22"/>
          <w:szCs w:val="22"/>
          <w:lang w:eastAsia="es-MX"/>
        </w:rPr>
      </w:pPr>
    </w:p>
    <w:p w:rsidR="0083334B" w:rsidRPr="00466C65" w:rsidRDefault="0083334B" w:rsidP="0083334B">
      <w:pPr>
        <w:pStyle w:val="Prrafodelista"/>
        <w:numPr>
          <w:ilvl w:val="0"/>
          <w:numId w:val="1"/>
        </w:numPr>
        <w:autoSpaceDE w:val="0"/>
        <w:autoSpaceDN w:val="0"/>
        <w:adjustRightInd w:val="0"/>
        <w:spacing w:before="120" w:line="360" w:lineRule="auto"/>
        <w:ind w:left="0" w:firstLine="0"/>
        <w:jc w:val="both"/>
        <w:rPr>
          <w:rFonts w:ascii="Palatino Linotype" w:hAnsi="Palatino Linotype" w:cs="Arial"/>
        </w:rPr>
      </w:pPr>
      <w:r w:rsidRPr="00466C65">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rsidR="0083334B" w:rsidRPr="00466C65" w:rsidRDefault="0083334B" w:rsidP="0083334B">
      <w:pPr>
        <w:pStyle w:val="Prrafodelista"/>
        <w:autoSpaceDE w:val="0"/>
        <w:autoSpaceDN w:val="0"/>
        <w:adjustRightInd w:val="0"/>
        <w:spacing w:before="120" w:line="360" w:lineRule="auto"/>
        <w:ind w:left="0"/>
        <w:jc w:val="both"/>
        <w:rPr>
          <w:rFonts w:ascii="Palatino Linotype" w:hAnsi="Palatino Linotype" w:cs="Arial"/>
        </w:rPr>
      </w:pPr>
    </w:p>
    <w:p w:rsidR="0083334B" w:rsidRDefault="0083334B" w:rsidP="0083334B">
      <w:pPr>
        <w:tabs>
          <w:tab w:val="left" w:pos="9214"/>
        </w:tabs>
        <w:spacing w:line="360" w:lineRule="auto"/>
        <w:ind w:left="709" w:right="709"/>
        <w:jc w:val="both"/>
        <w:rPr>
          <w:rFonts w:ascii="Palatino Linotype" w:hAnsi="Palatino Linotype"/>
          <w:i/>
          <w:sz w:val="22"/>
          <w:szCs w:val="22"/>
          <w:lang w:eastAsia="es-MX"/>
        </w:rPr>
      </w:pPr>
      <w:r w:rsidRPr="00466C65">
        <w:rPr>
          <w:rFonts w:ascii="Palatino Linotype" w:hAnsi="Palatino Linotype"/>
          <w:i/>
          <w:sz w:val="22"/>
          <w:szCs w:val="22"/>
          <w:lang w:eastAsia="es-MX"/>
        </w:rPr>
        <w:lastRenderedPageBreak/>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466C65">
        <w:rPr>
          <w:rFonts w:ascii="Palatino Linotype" w:hAnsi="Palatino Linotype"/>
          <w:sz w:val="22"/>
          <w:szCs w:val="22"/>
          <w:lang w:eastAsia="es-MX"/>
        </w:rPr>
        <w:t>(Sic)</w:t>
      </w:r>
      <w:r w:rsidRPr="00466C65">
        <w:rPr>
          <w:rFonts w:ascii="Palatino Linotype" w:hAnsi="Palatino Linotype"/>
          <w:i/>
          <w:sz w:val="22"/>
          <w:szCs w:val="22"/>
          <w:lang w:eastAsia="es-MX"/>
        </w:rPr>
        <w:t xml:space="preserve"> </w:t>
      </w:r>
    </w:p>
    <w:p w:rsidR="003B3148" w:rsidRPr="00466C65" w:rsidRDefault="003B3148" w:rsidP="0083334B">
      <w:pPr>
        <w:tabs>
          <w:tab w:val="left" w:pos="9214"/>
        </w:tabs>
        <w:spacing w:line="360" w:lineRule="auto"/>
        <w:ind w:left="709" w:right="709"/>
        <w:jc w:val="both"/>
        <w:rPr>
          <w:rFonts w:ascii="Palatino Linotype" w:hAnsi="Palatino Linotype"/>
          <w:i/>
          <w:sz w:val="22"/>
          <w:szCs w:val="22"/>
          <w:lang w:eastAsia="es-MX"/>
        </w:rPr>
      </w:pPr>
    </w:p>
    <w:p w:rsidR="0083334B"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rPr>
      </w:pPr>
      <w:r w:rsidRPr="00466C65">
        <w:rPr>
          <w:rFonts w:ascii="Palatino Linotype" w:hAnsi="Palatino Linotype" w:cs="Arial"/>
        </w:rPr>
        <w:t xml:space="preserve">Ahora bien, el derecho </w:t>
      </w:r>
      <w:r w:rsidRPr="00466C65">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3B3148" w:rsidRPr="00466C65" w:rsidRDefault="003B3148" w:rsidP="003B3148">
      <w:pPr>
        <w:pStyle w:val="Prrafodelista"/>
        <w:autoSpaceDE w:val="0"/>
        <w:autoSpaceDN w:val="0"/>
        <w:adjustRightInd w:val="0"/>
        <w:spacing w:before="120" w:after="120" w:line="360" w:lineRule="auto"/>
        <w:ind w:left="0"/>
        <w:jc w:val="both"/>
        <w:rPr>
          <w:rFonts w:ascii="Palatino Linotype" w:hAnsi="Palatino Linotype"/>
        </w:rPr>
      </w:pPr>
    </w:p>
    <w:p w:rsidR="0083334B" w:rsidRPr="00466C65" w:rsidRDefault="0083334B" w:rsidP="0083334B">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3334B" w:rsidRPr="00466C65" w:rsidRDefault="0083334B" w:rsidP="0083334B">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466C65">
        <w:rPr>
          <w:rFonts w:ascii="Palatino Linotype" w:hAnsi="Palatino Linotype" w:cs="Arial"/>
          <w:i/>
          <w:color w:val="000000"/>
          <w:sz w:val="22"/>
          <w:szCs w:val="22"/>
        </w:rPr>
        <w:t>mexicano</w:t>
      </w:r>
      <w:r w:rsidRPr="00466C65">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3334B" w:rsidRPr="00466C65" w:rsidRDefault="0083334B" w:rsidP="0083334B">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rsidR="0083334B" w:rsidRPr="00466C65"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466C65">
        <w:rPr>
          <w:rFonts w:ascii="Palatino Linotype" w:hAnsi="Palatino Linotype" w:cs="Arial"/>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83334B" w:rsidRPr="00466C65" w:rsidRDefault="0083334B" w:rsidP="0083334B">
      <w:pPr>
        <w:pStyle w:val="Prrafodelista"/>
        <w:autoSpaceDE w:val="0"/>
        <w:autoSpaceDN w:val="0"/>
        <w:adjustRightInd w:val="0"/>
        <w:spacing w:before="120" w:after="120" w:line="360" w:lineRule="auto"/>
        <w:ind w:left="0"/>
        <w:jc w:val="both"/>
        <w:rPr>
          <w:rFonts w:ascii="Palatino Linotype" w:hAnsi="Palatino Linotype" w:cs="Arial"/>
        </w:rPr>
      </w:pPr>
    </w:p>
    <w:p w:rsidR="0083334B" w:rsidRPr="00466C65"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466C65">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83334B" w:rsidRPr="00466C65" w:rsidRDefault="0083334B" w:rsidP="0083334B">
      <w:pPr>
        <w:pStyle w:val="Prrafodelista"/>
        <w:spacing w:line="360" w:lineRule="auto"/>
        <w:rPr>
          <w:rFonts w:ascii="Palatino Linotype" w:hAnsi="Palatino Linotype" w:cs="Arial"/>
        </w:rPr>
      </w:pPr>
    </w:p>
    <w:p w:rsidR="0083334B"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466C65">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83334B" w:rsidRPr="00466C65" w:rsidRDefault="0083334B" w:rsidP="0083334B">
      <w:pPr>
        <w:pStyle w:val="Prrafodelista"/>
        <w:rPr>
          <w:rFonts w:ascii="Palatino Linotype" w:hAnsi="Palatino Linotype" w:cs="Arial"/>
        </w:rPr>
      </w:pPr>
    </w:p>
    <w:p w:rsidR="0083334B" w:rsidRPr="00466C65"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466C65">
        <w:rPr>
          <w:rFonts w:ascii="Palatino Linotype" w:hAnsi="Palatino Linotype" w:cs="Arial"/>
        </w:rPr>
        <w:t>Lo anterior tiene sustento en los artículos 3 fracciones XI y XXII; 4; 11 y 41 de la Ley de Transparencia y Acceso a la Información Pública del Estado de México y Municipios:</w:t>
      </w:r>
    </w:p>
    <w:p w:rsidR="0083334B" w:rsidRPr="00466C65" w:rsidRDefault="0083334B" w:rsidP="0083334B">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 xml:space="preserve">“Artículo 3. </w:t>
      </w:r>
      <w:r w:rsidRPr="00466C65">
        <w:rPr>
          <w:rFonts w:ascii="Palatino Linotype" w:hAnsi="Palatino Linotype" w:cs="Arial"/>
          <w:b/>
          <w:bCs/>
          <w:i/>
          <w:noProof/>
          <w:sz w:val="22"/>
          <w:u w:val="single"/>
        </w:rPr>
        <w:t xml:space="preserve">Para los efectos </w:t>
      </w:r>
      <w:r w:rsidRPr="00466C65">
        <w:rPr>
          <w:rFonts w:ascii="Palatino Linotype" w:hAnsi="Palatino Linotype" w:cs="Arial"/>
          <w:b/>
          <w:i/>
          <w:sz w:val="22"/>
          <w:szCs w:val="22"/>
          <w:u w:val="single"/>
        </w:rPr>
        <w:t>de</w:t>
      </w:r>
      <w:r w:rsidRPr="00466C65">
        <w:rPr>
          <w:rFonts w:ascii="Palatino Linotype" w:hAnsi="Palatino Linotype" w:cs="Arial"/>
          <w:b/>
          <w:bCs/>
          <w:i/>
          <w:noProof/>
          <w:sz w:val="22"/>
          <w:u w:val="single"/>
        </w:rPr>
        <w:t xml:space="preserve"> la presente Ley se entenderá por</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w:t>
      </w:r>
    </w:p>
    <w:p w:rsidR="0083334B" w:rsidRPr="00466C65" w:rsidRDefault="0083334B" w:rsidP="0083334B">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Cs/>
          <w:i/>
          <w:noProof/>
          <w:sz w:val="22"/>
        </w:rPr>
        <w:lastRenderedPageBreak/>
        <w:t>…</w:t>
      </w:r>
    </w:p>
    <w:p w:rsidR="0083334B" w:rsidRPr="00466C65" w:rsidRDefault="0083334B" w:rsidP="0083334B">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XI. Documento:</w:t>
      </w:r>
      <w:r w:rsidRPr="00466C65">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466C65">
        <w:rPr>
          <w:rFonts w:ascii="Palatino Linotype" w:hAnsi="Palatino Linotype" w:cs="Arial"/>
          <w:i/>
          <w:color w:val="000000"/>
          <w:sz w:val="22"/>
          <w:szCs w:val="22"/>
        </w:rPr>
        <w:t>servidores</w:t>
      </w:r>
      <w:r w:rsidRPr="00466C65">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rsidR="0083334B" w:rsidRPr="00466C65" w:rsidRDefault="0083334B" w:rsidP="0083334B">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4.</w:t>
      </w:r>
      <w:r w:rsidRPr="00466C65">
        <w:rPr>
          <w:rFonts w:ascii="Palatino Linotype" w:hAnsi="Palatino Linotype" w:cs="Arial"/>
          <w:bCs/>
          <w:i/>
          <w:noProof/>
          <w:sz w:val="22"/>
        </w:rPr>
        <w:t xml:space="preserve"> </w:t>
      </w:r>
      <w:r w:rsidRPr="00466C65">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466C65">
        <w:rPr>
          <w:rFonts w:ascii="Palatino Linotype" w:hAnsi="Palatino Linotype" w:cs="Arial"/>
          <w:bCs/>
          <w:i/>
          <w:noProof/>
          <w:sz w:val="22"/>
        </w:rPr>
        <w:t xml:space="preserve">, sin necesidad de acreditar personalidad ni interés jurídico. </w:t>
      </w:r>
    </w:p>
    <w:p w:rsidR="0083334B" w:rsidRPr="00466C65" w:rsidRDefault="0083334B" w:rsidP="0083334B">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466C65">
        <w:rPr>
          <w:rFonts w:ascii="Palatino Linotype" w:hAnsi="Palatino Linotype" w:cs="Arial"/>
          <w:i/>
          <w:color w:val="000000"/>
          <w:sz w:val="22"/>
          <w:szCs w:val="22"/>
        </w:rPr>
        <w:t>información</w:t>
      </w:r>
      <w:r w:rsidRPr="00466C65">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rsidR="0083334B" w:rsidRPr="00466C65" w:rsidRDefault="0083334B" w:rsidP="0083334B">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rsidR="0083334B" w:rsidRPr="00466C65" w:rsidRDefault="0083334B" w:rsidP="0083334B">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11.-</w:t>
      </w:r>
      <w:r w:rsidRPr="00466C65">
        <w:rPr>
          <w:rFonts w:ascii="Palatino Linotype" w:hAnsi="Palatino Linotype" w:cs="Arial"/>
          <w:bCs/>
          <w:i/>
          <w:noProof/>
          <w:sz w:val="22"/>
        </w:rPr>
        <w:t xml:space="preserve"> </w:t>
      </w:r>
      <w:r w:rsidRPr="00466C65">
        <w:rPr>
          <w:rFonts w:ascii="Palatino Linotype" w:hAnsi="Palatino Linotype" w:cs="Arial"/>
          <w:b/>
          <w:bCs/>
          <w:i/>
          <w:noProof/>
          <w:sz w:val="22"/>
          <w:u w:val="single"/>
        </w:rPr>
        <w:t>Los Sujetos Obligados sólo proporcionarán la información que generen en el ejercicio de sus atribuciones</w:t>
      </w:r>
      <w:r w:rsidRPr="00466C65">
        <w:rPr>
          <w:rFonts w:ascii="Palatino Linotype" w:hAnsi="Palatino Linotype" w:cs="Arial"/>
          <w:bCs/>
          <w:i/>
          <w:noProof/>
          <w:sz w:val="22"/>
        </w:rPr>
        <w:t>.</w:t>
      </w:r>
    </w:p>
    <w:p w:rsidR="0083334B" w:rsidRPr="00466C65" w:rsidRDefault="0083334B" w:rsidP="0083334B">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lastRenderedPageBreak/>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rsidR="0083334B" w:rsidRPr="00466C65" w:rsidRDefault="0083334B" w:rsidP="0083334B">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3334B" w:rsidRDefault="0083334B" w:rsidP="0083334B">
      <w:pPr>
        <w:spacing w:before="120" w:after="120" w:line="360" w:lineRule="auto"/>
        <w:ind w:left="709" w:right="709"/>
        <w:jc w:val="both"/>
        <w:rPr>
          <w:rFonts w:ascii="Palatino Linotype" w:hAnsi="Palatino Linotype" w:cs="Arial"/>
          <w:color w:val="000000"/>
          <w:sz w:val="22"/>
          <w:szCs w:val="22"/>
        </w:rPr>
      </w:pPr>
      <w:r w:rsidRPr="00466C65">
        <w:rPr>
          <w:rFonts w:ascii="Palatino Linotype" w:hAnsi="Palatino Linotype" w:cs="Arial"/>
          <w:color w:val="000000"/>
          <w:sz w:val="22"/>
          <w:szCs w:val="22"/>
        </w:rPr>
        <w:t>(Énfasis añadido)</w:t>
      </w:r>
    </w:p>
    <w:p w:rsidR="003B3148" w:rsidRPr="00466C65" w:rsidRDefault="003B3148" w:rsidP="0083334B">
      <w:pPr>
        <w:spacing w:before="120" w:after="120" w:line="360" w:lineRule="auto"/>
        <w:ind w:left="709" w:right="709"/>
        <w:jc w:val="both"/>
        <w:rPr>
          <w:rFonts w:ascii="Palatino Linotype" w:hAnsi="Palatino Linotype" w:cs="Arial"/>
          <w:color w:val="000000"/>
          <w:sz w:val="22"/>
          <w:szCs w:val="22"/>
        </w:rPr>
      </w:pPr>
    </w:p>
    <w:p w:rsidR="0083334B"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466C65">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83334B" w:rsidRDefault="0083334B" w:rsidP="0083334B">
      <w:pPr>
        <w:pStyle w:val="Prrafodelista"/>
        <w:autoSpaceDE w:val="0"/>
        <w:autoSpaceDN w:val="0"/>
        <w:adjustRightInd w:val="0"/>
        <w:spacing w:before="120" w:after="120" w:line="360" w:lineRule="auto"/>
        <w:ind w:left="0"/>
        <w:jc w:val="both"/>
        <w:rPr>
          <w:rFonts w:ascii="Palatino Linotype" w:hAnsi="Palatino Linotype" w:cs="Arial"/>
        </w:rPr>
      </w:pPr>
    </w:p>
    <w:p w:rsidR="0083334B"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466C65">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3334B" w:rsidRPr="00466C65" w:rsidRDefault="0083334B" w:rsidP="0083334B">
      <w:pPr>
        <w:pStyle w:val="Prrafodelista"/>
        <w:rPr>
          <w:rFonts w:ascii="Palatino Linotype" w:hAnsi="Palatino Linotype" w:cs="Arial"/>
        </w:rPr>
      </w:pPr>
    </w:p>
    <w:p w:rsidR="0083334B"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466C65">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83334B" w:rsidRPr="00466C65" w:rsidRDefault="0083334B" w:rsidP="0083334B">
      <w:pPr>
        <w:pStyle w:val="Prrafodelista"/>
        <w:rPr>
          <w:rFonts w:ascii="Palatino Linotype" w:hAnsi="Palatino Linotype" w:cs="Arial"/>
        </w:rPr>
      </w:pPr>
    </w:p>
    <w:p w:rsidR="0083334B"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466C6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466C65">
        <w:rPr>
          <w:rFonts w:ascii="Palatino Linotype" w:hAnsi="Palatino Linotype" w:cs="Arial"/>
          <w:b/>
        </w:rPr>
        <w:t xml:space="preserve"> </w:t>
      </w:r>
      <w:r w:rsidRPr="00466C65">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466C65">
        <w:rPr>
          <w:rFonts w:ascii="Palatino Linotype" w:hAnsi="Palatino Linotype" w:cs="Arial"/>
          <w:b/>
          <w:i/>
        </w:rPr>
        <w:t>ad hoc</w:t>
      </w:r>
      <w:r w:rsidRPr="00466C65">
        <w:rPr>
          <w:rFonts w:ascii="Palatino Linotype" w:hAnsi="Palatino Linotype" w:cs="Arial"/>
        </w:rPr>
        <w:t>, para satisfacer el derecho de acceso a la información pública.</w:t>
      </w:r>
    </w:p>
    <w:p w:rsidR="0083334B" w:rsidRPr="00466C65" w:rsidRDefault="0083334B" w:rsidP="0083334B">
      <w:pPr>
        <w:pStyle w:val="Prrafodelista"/>
        <w:rPr>
          <w:rFonts w:ascii="Palatino Linotype" w:hAnsi="Palatino Linotype" w:cs="Arial"/>
        </w:rPr>
      </w:pPr>
    </w:p>
    <w:p w:rsidR="0083334B"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466C65">
        <w:rPr>
          <w:rFonts w:ascii="Palatino Linotype" w:hAnsi="Palatino Linotype" w:cs="Arial"/>
        </w:rPr>
        <w:t xml:space="preserve">Lo anterior se traduce en que el documento o documentos a que se hizo referencia, podrán ser entregados al </w:t>
      </w:r>
      <w:r w:rsidRPr="00466C65">
        <w:rPr>
          <w:rFonts w:ascii="Palatino Linotype" w:hAnsi="Palatino Linotype" w:cs="Arial"/>
          <w:b/>
        </w:rPr>
        <w:t>RECURRENTE</w:t>
      </w:r>
      <w:r w:rsidRPr="00466C65">
        <w:rPr>
          <w:rFonts w:ascii="Palatino Linotype" w:hAnsi="Palatino Linotype" w:cs="Arial"/>
        </w:rPr>
        <w:t xml:space="preserve">, tal y como hayan sido generados por </w:t>
      </w:r>
      <w:r w:rsidRPr="00466C65">
        <w:rPr>
          <w:rFonts w:ascii="Palatino Linotype" w:hAnsi="Palatino Linotype" w:cs="Arial"/>
          <w:b/>
        </w:rPr>
        <w:t>EL SUJETO OBLIGADO</w:t>
      </w:r>
      <w:r w:rsidRPr="00466C65">
        <w:rPr>
          <w:rFonts w:ascii="Palatino Linotype" w:hAnsi="Palatino Linotype" w:cs="Arial"/>
        </w:rPr>
        <w:t xml:space="preserve">, sin que subsista la obligación para éste último de generar un documento </w:t>
      </w:r>
      <w:r w:rsidRPr="00466C65">
        <w:rPr>
          <w:rFonts w:ascii="Palatino Linotype" w:hAnsi="Palatino Linotype" w:cs="Arial"/>
          <w:b/>
          <w:i/>
        </w:rPr>
        <w:t>ad hoc</w:t>
      </w:r>
      <w:r w:rsidRPr="00466C65">
        <w:rPr>
          <w:rFonts w:ascii="Palatino Linotype" w:hAnsi="Palatino Linotype" w:cs="Arial"/>
        </w:rPr>
        <w:t xml:space="preserve">, para satisfacer el derecho de acceso a la información pública del </w:t>
      </w:r>
      <w:r w:rsidRPr="00466C65">
        <w:rPr>
          <w:rFonts w:ascii="Palatino Linotype" w:hAnsi="Palatino Linotype" w:cs="Arial"/>
          <w:b/>
        </w:rPr>
        <w:t>RECURRENTE</w:t>
      </w:r>
      <w:r w:rsidRPr="00466C65">
        <w:rPr>
          <w:rFonts w:ascii="Palatino Linotype" w:hAnsi="Palatino Linotype" w:cs="Arial"/>
        </w:rPr>
        <w:t>.</w:t>
      </w:r>
    </w:p>
    <w:p w:rsidR="0083334B" w:rsidRPr="00466C65" w:rsidRDefault="0083334B" w:rsidP="0083334B">
      <w:pPr>
        <w:pStyle w:val="Prrafodelista"/>
        <w:rPr>
          <w:rFonts w:ascii="Palatino Linotype" w:hAnsi="Palatino Linotype" w:cs="Arial"/>
        </w:rPr>
      </w:pPr>
    </w:p>
    <w:p w:rsidR="0083334B" w:rsidRPr="00466C65"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466C65">
        <w:rPr>
          <w:rFonts w:ascii="Palatino Linotype" w:hAnsi="Palatino Linotype" w:cs="Arial"/>
        </w:rPr>
        <w:t xml:space="preserve">Como apoyo a lo anterior, es aplicable el Criterio 09-10, emitido por </w:t>
      </w:r>
      <w:r w:rsidRPr="00466C65">
        <w:rPr>
          <w:rFonts w:ascii="Palatino Linotype" w:eastAsia="Arial Unicode MS" w:hAnsi="Palatino Linotype" w:cs="Arial"/>
        </w:rPr>
        <w:t xml:space="preserve">el Pleno del entonces </w:t>
      </w:r>
      <w:r w:rsidRPr="00466C65">
        <w:rPr>
          <w:rFonts w:ascii="Palatino Linotype" w:eastAsia="Arial Unicode MS" w:hAnsi="Palatino Linotype" w:cs="Arial"/>
          <w:bCs/>
        </w:rPr>
        <w:t xml:space="preserve">Instituto Federal </w:t>
      </w:r>
      <w:r w:rsidRPr="00466C65">
        <w:rPr>
          <w:rFonts w:ascii="Palatino Linotype" w:hAnsi="Palatino Linotype" w:cs="Arial"/>
        </w:rPr>
        <w:t>de</w:t>
      </w:r>
      <w:r w:rsidRPr="00466C65">
        <w:rPr>
          <w:rFonts w:ascii="Palatino Linotype" w:eastAsia="Arial Unicode MS" w:hAnsi="Palatino Linotype" w:cs="Arial"/>
          <w:bCs/>
        </w:rPr>
        <w:t xml:space="preserve"> Acceso a la Información y Protección de Datos (IFAI), </w:t>
      </w:r>
      <w:r w:rsidRPr="00466C65">
        <w:rPr>
          <w:rFonts w:ascii="Palatino Linotype" w:eastAsia="Arial Unicode MS" w:hAnsi="Palatino Linotype" w:cs="Arial"/>
        </w:rPr>
        <w:t>ahora Instituto Nacional de Transparencia, Acceso a la Información y Protección de Datos Personales (INAI),</w:t>
      </w:r>
      <w:r w:rsidRPr="00466C65">
        <w:rPr>
          <w:rFonts w:ascii="Palatino Linotype" w:hAnsi="Palatino Linotype"/>
          <w:bCs/>
        </w:rPr>
        <w:t xml:space="preserve"> que dice:</w:t>
      </w:r>
      <w:r w:rsidRPr="00466C65">
        <w:rPr>
          <w:rFonts w:ascii="Palatino Linotype" w:hAnsi="Palatino Linotype"/>
          <w:b/>
          <w:bCs/>
        </w:rPr>
        <w:t xml:space="preserve"> </w:t>
      </w:r>
    </w:p>
    <w:p w:rsidR="0083334B" w:rsidRPr="00466C65" w:rsidRDefault="0083334B" w:rsidP="0083334B">
      <w:pPr>
        <w:pStyle w:val="Prrafodelista"/>
        <w:autoSpaceDE w:val="0"/>
        <w:autoSpaceDN w:val="0"/>
        <w:adjustRightInd w:val="0"/>
        <w:spacing w:before="120" w:after="120" w:line="360" w:lineRule="auto"/>
        <w:ind w:left="0"/>
        <w:jc w:val="both"/>
        <w:rPr>
          <w:rFonts w:ascii="Palatino Linotype" w:hAnsi="Palatino Linotype" w:cs="Arial"/>
        </w:rPr>
      </w:pPr>
    </w:p>
    <w:p w:rsidR="0083334B" w:rsidRPr="00466C65" w:rsidRDefault="0083334B" w:rsidP="0083334B">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83334B" w:rsidRPr="00466C65" w:rsidRDefault="0083334B" w:rsidP="0083334B">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Expedientes:</w:t>
      </w:r>
    </w:p>
    <w:p w:rsidR="0083334B" w:rsidRPr="00466C65" w:rsidRDefault="0083334B" w:rsidP="0083334B">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rsidR="0083334B" w:rsidRPr="00466C65" w:rsidRDefault="0083334B" w:rsidP="0083334B">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1751/09 Laboratorios de Biológicos y Reactivos de México S.A. de C.V. – María Marván Laborde</w:t>
      </w:r>
    </w:p>
    <w:p w:rsidR="0083334B" w:rsidRPr="00466C65" w:rsidRDefault="0083334B" w:rsidP="0083334B">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2868/09 Consejo Nacional de Ciencia y Tecnología – Jacqueline Peschard Mariscal</w:t>
      </w:r>
    </w:p>
    <w:p w:rsidR="0083334B" w:rsidRPr="00466C65" w:rsidRDefault="0083334B" w:rsidP="0083334B">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rsidR="0083334B" w:rsidRPr="00466C65" w:rsidRDefault="0083334B" w:rsidP="0083334B">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0304/10 Instituto Nacional de Cancerología – Jacqueline Peschard Mariscal”</w:t>
      </w:r>
    </w:p>
    <w:p w:rsidR="0083334B" w:rsidRPr="00466C65" w:rsidRDefault="0083334B" w:rsidP="0083334B">
      <w:pPr>
        <w:spacing w:line="360" w:lineRule="auto"/>
        <w:ind w:left="709" w:right="709"/>
        <w:jc w:val="both"/>
        <w:rPr>
          <w:rFonts w:ascii="Palatino Linotype" w:hAnsi="Palatino Linotype" w:cs="Arial"/>
          <w:sz w:val="22"/>
          <w:szCs w:val="22"/>
        </w:rPr>
      </w:pPr>
      <w:r w:rsidRPr="00466C65">
        <w:rPr>
          <w:rFonts w:ascii="Palatino Linotype" w:hAnsi="Palatino Linotype" w:cs="Arial"/>
          <w:sz w:val="22"/>
          <w:szCs w:val="22"/>
        </w:rPr>
        <w:t>(Énfasis añadido)</w:t>
      </w:r>
    </w:p>
    <w:p w:rsidR="0083334B" w:rsidRDefault="0083334B" w:rsidP="0083334B">
      <w:pPr>
        <w:pStyle w:val="Prrafodelista"/>
        <w:numPr>
          <w:ilvl w:val="0"/>
          <w:numId w:val="1"/>
        </w:numPr>
        <w:spacing w:before="120" w:after="120" w:line="360" w:lineRule="auto"/>
        <w:ind w:left="0" w:firstLine="0"/>
        <w:jc w:val="both"/>
        <w:rPr>
          <w:rFonts w:ascii="Palatino Linotype" w:hAnsi="Palatino Linotype"/>
        </w:rPr>
      </w:pPr>
      <w:r w:rsidRPr="00466C65">
        <w:rPr>
          <w:rFonts w:ascii="Palatino Linotype" w:hAnsi="Palatino Linotype"/>
        </w:rPr>
        <w:t xml:space="preserve">Al respecto, es conveniente señalar que los Sujetos Obligados, no están constreñidos a generar documentos </w:t>
      </w:r>
      <w:r w:rsidRPr="00466C65">
        <w:rPr>
          <w:rFonts w:ascii="Palatino Linotype" w:hAnsi="Palatino Linotype"/>
          <w:b/>
          <w:i/>
        </w:rPr>
        <w:t>ad hoc</w:t>
      </w:r>
      <w:r w:rsidRPr="00466C65">
        <w:rPr>
          <w:rFonts w:ascii="Palatino Linotype" w:hAnsi="Palatino Linotype"/>
        </w:rPr>
        <w:t>, para responder a las solicitud de información que les sean formuladas.</w:t>
      </w:r>
    </w:p>
    <w:p w:rsidR="0083334B" w:rsidRPr="00466C65" w:rsidRDefault="0083334B" w:rsidP="0083334B">
      <w:pPr>
        <w:pStyle w:val="Prrafodelista"/>
        <w:spacing w:before="120" w:after="120" w:line="360" w:lineRule="auto"/>
        <w:ind w:left="0"/>
        <w:jc w:val="both"/>
        <w:rPr>
          <w:rFonts w:ascii="Palatino Linotype" w:hAnsi="Palatino Linotype"/>
        </w:rPr>
      </w:pPr>
    </w:p>
    <w:p w:rsidR="0083334B" w:rsidRPr="00466C65" w:rsidRDefault="0083334B" w:rsidP="0083334B">
      <w:pPr>
        <w:pStyle w:val="Prrafodelista"/>
        <w:numPr>
          <w:ilvl w:val="0"/>
          <w:numId w:val="1"/>
        </w:numPr>
        <w:spacing w:before="120" w:after="120" w:line="360" w:lineRule="auto"/>
        <w:ind w:left="0" w:firstLine="0"/>
        <w:jc w:val="both"/>
        <w:rPr>
          <w:rFonts w:ascii="Palatino Linotype" w:hAnsi="Palatino Linotype"/>
        </w:rPr>
      </w:pPr>
      <w:r w:rsidRPr="00466C65">
        <w:rPr>
          <w:rFonts w:ascii="Palatino Linotype" w:hAnsi="Palatino Linotype" w:cs="Arial"/>
          <w:lang w:eastAsia="es-MX"/>
        </w:rPr>
        <w:t xml:space="preserve">Corolario a lo anterior, el doctrinario Ernesto Villanueva Villanueva define al derecho de acceso a la información como: </w:t>
      </w:r>
    </w:p>
    <w:p w:rsidR="0083334B" w:rsidRDefault="0083334B" w:rsidP="0083334B">
      <w:pPr>
        <w:spacing w:before="120" w:after="120" w:line="360" w:lineRule="auto"/>
        <w:ind w:left="709" w:right="709"/>
        <w:jc w:val="both"/>
        <w:rPr>
          <w:rFonts w:ascii="Palatino Linotype" w:hAnsi="Palatino Linotype" w:cs="Arial"/>
          <w:bCs/>
          <w:noProof/>
          <w:sz w:val="22"/>
        </w:rPr>
      </w:pPr>
      <w:r w:rsidRPr="00466C65">
        <w:rPr>
          <w:rFonts w:ascii="Palatino Linotype" w:hAnsi="Palatino Linotype" w:cs="Arial"/>
          <w:bCs/>
          <w:i/>
          <w:noProof/>
          <w:sz w:val="22"/>
        </w:rPr>
        <w:lastRenderedPageBreak/>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466C65">
        <w:rPr>
          <w:rFonts w:ascii="Palatino Linotype" w:hAnsi="Palatino Linotype" w:cs="Arial"/>
          <w:bCs/>
          <w:noProof/>
          <w:sz w:val="22"/>
        </w:rPr>
        <w:t xml:space="preserve">(Sic) </w:t>
      </w:r>
    </w:p>
    <w:p w:rsidR="0083334B" w:rsidRPr="00466C65" w:rsidRDefault="0083334B" w:rsidP="0083334B">
      <w:pPr>
        <w:spacing w:before="120" w:after="120" w:line="360" w:lineRule="auto"/>
        <w:ind w:left="709" w:right="709"/>
        <w:jc w:val="both"/>
        <w:rPr>
          <w:rFonts w:ascii="Palatino Linotype" w:hAnsi="Palatino Linotype" w:cs="Arial"/>
          <w:bCs/>
          <w:noProof/>
          <w:sz w:val="22"/>
        </w:rPr>
      </w:pPr>
    </w:p>
    <w:p w:rsidR="0083334B"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b/>
          <w:u w:val="single"/>
        </w:rPr>
      </w:pPr>
      <w:r w:rsidRPr="00466C65">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466C65">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466C65">
        <w:rPr>
          <w:rFonts w:ascii="Palatino Linotype" w:hAnsi="Palatino Linotype" w:cs="Arial"/>
          <w:bCs/>
          <w:lang w:eastAsia="es-CO"/>
        </w:rPr>
        <w:t xml:space="preserve">segundo supuesto </w:t>
      </w:r>
      <w:r w:rsidRPr="00466C65">
        <w:rPr>
          <w:rFonts w:ascii="Palatino Linotype" w:hAnsi="Palatino Linotype" w:cs="Arial"/>
          <w:b/>
          <w:bCs/>
          <w:u w:val="single"/>
          <w:lang w:eastAsia="es-CO"/>
        </w:rPr>
        <w:t>la solicitud de acceso a la información pública se encamina primordialmente a</w:t>
      </w:r>
      <w:r w:rsidRPr="00466C65">
        <w:rPr>
          <w:rFonts w:ascii="Palatino Linotype" w:hAnsi="Palatino Linotype" w:cs="Arial"/>
          <w:b/>
          <w:u w:val="single"/>
        </w:rPr>
        <w:t xml:space="preserve"> permitir el </w:t>
      </w:r>
      <w:r w:rsidRPr="00466C65">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466C65">
        <w:rPr>
          <w:rFonts w:ascii="Palatino Linotype" w:hAnsi="Palatino Linotype" w:cs="Arial"/>
          <w:b/>
          <w:u w:val="single"/>
        </w:rPr>
        <w:t xml:space="preserve">la autoridad. </w:t>
      </w:r>
    </w:p>
    <w:p w:rsidR="0083334B" w:rsidRPr="00466C65" w:rsidRDefault="0083334B" w:rsidP="0083334B">
      <w:pPr>
        <w:pStyle w:val="Prrafodelista"/>
        <w:autoSpaceDE w:val="0"/>
        <w:autoSpaceDN w:val="0"/>
        <w:adjustRightInd w:val="0"/>
        <w:spacing w:before="120" w:after="120" w:line="360" w:lineRule="auto"/>
        <w:ind w:left="0"/>
        <w:jc w:val="both"/>
        <w:rPr>
          <w:rFonts w:ascii="Palatino Linotype" w:hAnsi="Palatino Linotype" w:cs="Arial"/>
          <w:b/>
          <w:u w:val="single"/>
        </w:rPr>
      </w:pPr>
    </w:p>
    <w:p w:rsidR="0083334B" w:rsidRPr="00466C65"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eastAsia="Arial Unicode MS" w:hAnsi="Palatino Linotype" w:cs="Arial"/>
          <w:sz w:val="22"/>
          <w:szCs w:val="22"/>
          <w:lang w:eastAsia="es-MX"/>
        </w:rPr>
      </w:pPr>
      <w:r w:rsidRPr="00466C65">
        <w:rPr>
          <w:rFonts w:ascii="Palatino Linotype" w:hAnsi="Palatino Linotype" w:cs="Arial"/>
        </w:rPr>
        <w:t xml:space="preserve">Así las cosas, debe señalarse que en la solicitud de información presentada en </w:t>
      </w:r>
      <w:r w:rsidRPr="00466C65">
        <w:rPr>
          <w:rFonts w:ascii="Palatino Linotype" w:hAnsi="Palatino Linotype" w:cs="Arial"/>
          <w:b/>
        </w:rPr>
        <w:t>EL SAIMEX,</w:t>
      </w:r>
      <w:r w:rsidRPr="00466C65">
        <w:rPr>
          <w:rFonts w:ascii="Palatino Linotype" w:hAnsi="Palatino Linotype" w:cs="Arial"/>
        </w:rPr>
        <w:t xml:space="preserve"> </w:t>
      </w:r>
      <w:r w:rsidRPr="00466C65">
        <w:rPr>
          <w:rFonts w:ascii="Palatino Linotype" w:hAnsi="Palatino Linotype" w:cs="Arial"/>
          <w:b/>
          <w:lang w:eastAsia="es-MX"/>
        </w:rPr>
        <w:t>EL RECURRENTE</w:t>
      </w:r>
      <w:r w:rsidRPr="00466C65">
        <w:rPr>
          <w:rFonts w:ascii="Palatino Linotype" w:hAnsi="Palatino Linotype" w:cs="Arial"/>
        </w:rPr>
        <w:t xml:space="preserve"> requiere una razón, o bien, un razonamiento por parte de </w:t>
      </w:r>
      <w:r w:rsidRPr="00466C65">
        <w:rPr>
          <w:rFonts w:ascii="Palatino Linotype" w:hAnsi="Palatino Linotype" w:cs="Arial"/>
          <w:b/>
        </w:rPr>
        <w:t>EL SUJETO OBLIGADO</w:t>
      </w:r>
      <w:r w:rsidRPr="00466C65">
        <w:rPr>
          <w:rFonts w:ascii="Palatino Linotype" w:hAnsi="Palatino Linotype" w:cs="Arial"/>
        </w:rPr>
        <w:t xml:space="preserve"> mediante la realización de un </w:t>
      </w:r>
      <w:r w:rsidRPr="00466C65">
        <w:rPr>
          <w:rFonts w:ascii="Palatino Linotype" w:hAnsi="Palatino Linotype" w:cs="Arial"/>
          <w:b/>
          <w:u w:val="single"/>
        </w:rPr>
        <w:t>cuestionamiento</w:t>
      </w:r>
      <w:r w:rsidR="003B3148">
        <w:rPr>
          <w:rFonts w:ascii="Palatino Linotype" w:hAnsi="Palatino Linotype" w:cs="Arial"/>
        </w:rPr>
        <w:t>s.</w:t>
      </w:r>
    </w:p>
    <w:p w:rsidR="0083334B" w:rsidRPr="00466C65" w:rsidRDefault="0083334B" w:rsidP="0083334B">
      <w:pPr>
        <w:pStyle w:val="Prrafodelista"/>
        <w:rPr>
          <w:rFonts w:ascii="Palatino Linotype" w:eastAsia="Arial Unicode MS" w:hAnsi="Palatino Linotype" w:cs="Arial"/>
          <w:sz w:val="22"/>
          <w:szCs w:val="22"/>
          <w:lang w:eastAsia="es-MX"/>
        </w:rPr>
      </w:pPr>
    </w:p>
    <w:p w:rsidR="0083334B"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466C65">
        <w:rPr>
          <w:rFonts w:ascii="Palatino Linotype" w:hAnsi="Palatino Linotype" w:cs="Arial"/>
        </w:rPr>
        <w:t>Por lo que, la entrega de una razón o un razonamiento por parte del</w:t>
      </w:r>
      <w:r w:rsidRPr="00466C65">
        <w:rPr>
          <w:rFonts w:ascii="Palatino Linotype" w:hAnsi="Palatino Linotype" w:cs="Arial"/>
          <w:b/>
          <w:lang w:eastAsia="es-MX"/>
        </w:rPr>
        <w:t xml:space="preserve"> SUJETO OBLIGADO</w:t>
      </w:r>
      <w:r w:rsidRPr="00466C65">
        <w:rPr>
          <w:rFonts w:ascii="Palatino Linotype" w:hAnsi="Palatino Linotype" w:cs="Arial"/>
        </w:rPr>
        <w:t xml:space="preserve"> no es algo que la ley establezca como atribución, derecho, o facultad; pues ello implicaría </w:t>
      </w:r>
      <w:r w:rsidRPr="00466C65">
        <w:rPr>
          <w:rFonts w:ascii="Palatino Linotype" w:hAnsi="Palatino Linotype" w:cs="Arial"/>
          <w:b/>
          <w:u w:val="single"/>
        </w:rPr>
        <w:t>un juicio de valor</w:t>
      </w:r>
      <w:r w:rsidRPr="00466C65">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rsidR="0083334B" w:rsidRPr="000F7AAD" w:rsidRDefault="0083334B" w:rsidP="0083334B">
      <w:pPr>
        <w:pStyle w:val="Prrafodelista"/>
        <w:rPr>
          <w:rFonts w:ascii="Palatino Linotype" w:hAnsi="Palatino Linotype" w:cs="Arial"/>
        </w:rPr>
      </w:pPr>
    </w:p>
    <w:p w:rsidR="008C692D" w:rsidRPr="008C692D" w:rsidRDefault="008C692D" w:rsidP="008C692D">
      <w:pPr>
        <w:numPr>
          <w:ilvl w:val="0"/>
          <w:numId w:val="1"/>
        </w:numPr>
        <w:spacing w:line="360" w:lineRule="auto"/>
        <w:ind w:left="0" w:right="49" w:firstLine="0"/>
        <w:contextualSpacing/>
        <w:jc w:val="both"/>
        <w:rPr>
          <w:rFonts w:ascii="Palatino Linotype" w:eastAsia="MS Mincho" w:hAnsi="Palatino Linotype" w:cs="Arial"/>
          <w:color w:val="000000"/>
          <w:lang w:val="es-MX"/>
        </w:rPr>
      </w:pPr>
      <w:r w:rsidRPr="008C692D">
        <w:rPr>
          <w:rFonts w:ascii="Palatino Linotype" w:eastAsia="MS Mincho" w:hAnsi="Palatino Linotype" w:cs="Arial"/>
          <w:color w:val="000000"/>
          <w:lang w:val="es-MX"/>
        </w:rPr>
        <w:t xml:space="preserve">Entonces, al tratarse de un derecho de petición estamos en presencia de una consulta que se aleja del derecho de acceso a la información pública, actualizando lo dispuesto en el artículo 191 fracción VI </w:t>
      </w:r>
      <w:r w:rsidRPr="008C692D">
        <w:rPr>
          <w:rFonts w:ascii="Palatino Linotype" w:eastAsia="Calibri" w:hAnsi="Palatino Linotype" w:cs="Arial"/>
          <w:lang w:val="es-MX"/>
        </w:rPr>
        <w:t>de la Ley de Transparencia y Acceso a la Información Pública del Estado de México y Municipios, el cual dispone lo siguiente:</w:t>
      </w:r>
    </w:p>
    <w:p w:rsidR="008C692D" w:rsidRPr="008C692D" w:rsidRDefault="008C692D" w:rsidP="008C692D">
      <w:pPr>
        <w:tabs>
          <w:tab w:val="left" w:pos="567"/>
        </w:tabs>
        <w:spacing w:line="360" w:lineRule="auto"/>
        <w:contextualSpacing/>
        <w:jc w:val="both"/>
        <w:rPr>
          <w:rFonts w:ascii="Palatino Linotype" w:eastAsia="Calibri" w:hAnsi="Palatino Linotype" w:cs="Arial"/>
          <w:lang w:val="es-MX"/>
        </w:rPr>
      </w:pP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8C692D">
        <w:rPr>
          <w:rFonts w:ascii="Palatino Linotype" w:eastAsia="MS Mincho" w:hAnsi="Palatino Linotype" w:cs="Times New Roman"/>
          <w:i/>
          <w:lang w:val="es-MX"/>
        </w:rPr>
        <w:t>Artículo 191. El recurso será desechado por improcedente cuando:</w:t>
      </w: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8C692D">
        <w:rPr>
          <w:rFonts w:ascii="Palatino Linotype" w:eastAsia="MS Mincho" w:hAnsi="Palatino Linotype" w:cs="Times New Roman"/>
          <w:i/>
          <w:lang w:val="es-MX"/>
        </w:rPr>
        <w:t xml:space="preserve">I. Sea extemporáneo por haber transcurrido el plazo establecido en la presente Ley, a partir de la respuesta; </w:t>
      </w: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8C692D">
        <w:rPr>
          <w:rFonts w:ascii="Palatino Linotype" w:eastAsia="MS Mincho" w:hAnsi="Palatino Linotype" w:cs="Times New Roman"/>
          <w:i/>
          <w:lang w:val="es-MX"/>
        </w:rPr>
        <w:t xml:space="preserve">II. Se esté tramitando ante el Poder Judicial de la Federación algún recurso o medio de defensa interpuesto por el recurrente; </w:t>
      </w: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8C692D">
        <w:rPr>
          <w:rFonts w:ascii="Palatino Linotype" w:eastAsia="MS Mincho" w:hAnsi="Palatino Linotype" w:cs="Times New Roman"/>
          <w:i/>
          <w:lang w:val="es-MX"/>
        </w:rPr>
        <w:t xml:space="preserve">III. No actualice alguno de los supuestos previstos en la presente Ley; </w:t>
      </w: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8C692D">
        <w:rPr>
          <w:rFonts w:ascii="Palatino Linotype" w:eastAsia="MS Mincho" w:hAnsi="Palatino Linotype" w:cs="Times New Roman"/>
          <w:i/>
          <w:lang w:val="es-MX"/>
        </w:rPr>
        <w:t xml:space="preserve">IV. No se haya desahogado la prevención en los términos establecidos en la presente Ley; </w:t>
      </w: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8C692D">
        <w:rPr>
          <w:rFonts w:ascii="Palatino Linotype" w:eastAsia="MS Mincho" w:hAnsi="Palatino Linotype" w:cs="Times New Roman"/>
          <w:i/>
          <w:lang w:val="es-MX"/>
        </w:rPr>
        <w:t xml:space="preserve">V. Se impugne la veracidad de la información proporcionada; </w:t>
      </w: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b/>
          <w:i/>
          <w:lang w:val="es-MX"/>
        </w:rPr>
      </w:pPr>
      <w:r w:rsidRPr="008C692D">
        <w:rPr>
          <w:rFonts w:ascii="Palatino Linotype" w:eastAsia="MS Mincho" w:hAnsi="Palatino Linotype" w:cs="Times New Roman"/>
          <w:b/>
          <w:i/>
          <w:lang w:val="es-MX"/>
        </w:rPr>
        <w:t xml:space="preserve">VI. Se trate de una consulta, o trámite en específico; y </w:t>
      </w: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8C692D">
        <w:rPr>
          <w:rFonts w:ascii="Palatino Linotype" w:eastAsia="MS Mincho" w:hAnsi="Palatino Linotype" w:cs="Times New Roman"/>
          <w:i/>
          <w:lang w:val="es-MX"/>
        </w:rPr>
        <w:t>VII. El recurrente amplíe su solicitud en el recurso de revisión, únicamente respecto de los nuevos contenidos.</w:t>
      </w:r>
    </w:p>
    <w:p w:rsidR="008C692D" w:rsidRPr="008C692D" w:rsidRDefault="008C692D" w:rsidP="008C692D">
      <w:pPr>
        <w:tabs>
          <w:tab w:val="left" w:pos="567"/>
        </w:tabs>
        <w:spacing w:line="360" w:lineRule="auto"/>
        <w:contextualSpacing/>
        <w:jc w:val="both"/>
        <w:rPr>
          <w:rFonts w:ascii="Cambria" w:eastAsia="MS Mincho" w:hAnsi="Cambria" w:cs="Times New Roman"/>
          <w:lang w:val="es-MX"/>
        </w:rPr>
      </w:pPr>
    </w:p>
    <w:p w:rsidR="008C692D" w:rsidRPr="008C692D" w:rsidRDefault="008C692D" w:rsidP="008C692D">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8C692D">
        <w:rPr>
          <w:rFonts w:ascii="Palatino Linotype" w:eastAsia="Calibri" w:hAnsi="Palatino Linotype" w:cs="Arial"/>
          <w:lang w:val="es-MX"/>
        </w:rPr>
        <w:t>La fracción VI del citado precepto legal, contempla la improcedencia del recurso de revisión cuando se trate de una consulta, lo cual se relaciona con la solicitud de acceso a la información pública.</w:t>
      </w:r>
    </w:p>
    <w:p w:rsidR="008C692D" w:rsidRPr="008C692D" w:rsidRDefault="008C692D" w:rsidP="008C692D">
      <w:pPr>
        <w:tabs>
          <w:tab w:val="left" w:pos="567"/>
        </w:tabs>
        <w:spacing w:line="360" w:lineRule="auto"/>
        <w:contextualSpacing/>
        <w:jc w:val="both"/>
        <w:rPr>
          <w:rFonts w:ascii="Palatino Linotype" w:eastAsia="Calibri" w:hAnsi="Palatino Linotype" w:cs="Arial"/>
          <w:lang w:val="es-MX"/>
        </w:rPr>
      </w:pPr>
    </w:p>
    <w:p w:rsidR="008C692D" w:rsidRPr="008C692D" w:rsidRDefault="008C692D" w:rsidP="008C692D">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8C692D">
        <w:rPr>
          <w:rFonts w:ascii="Palatino Linotype" w:eastAsia="Calibri" w:hAnsi="Palatino Linotype" w:cs="Arial"/>
          <w:lang w:val="es-MX"/>
        </w:rPr>
        <w:lastRenderedPageBreak/>
        <w:t>Sin embargo, al haber sido admitido el recurso de revisión, aún y cuando actualiza una causal de improcedencia, es necesario traer a contexto el artículo 192 fracción IV, de la multicitada Ley de Transparencia:</w:t>
      </w:r>
    </w:p>
    <w:p w:rsidR="008C692D" w:rsidRPr="008C692D" w:rsidRDefault="008C692D" w:rsidP="008C692D">
      <w:pPr>
        <w:tabs>
          <w:tab w:val="left" w:pos="567"/>
        </w:tabs>
        <w:spacing w:line="360" w:lineRule="auto"/>
        <w:contextualSpacing/>
        <w:jc w:val="both"/>
        <w:rPr>
          <w:rFonts w:ascii="Palatino Linotype" w:eastAsia="Calibri" w:hAnsi="Palatino Linotype" w:cs="Arial"/>
          <w:lang w:val="es-MX"/>
        </w:rPr>
      </w:pPr>
    </w:p>
    <w:p w:rsidR="008C692D" w:rsidRPr="008C692D" w:rsidRDefault="008C692D" w:rsidP="008C692D">
      <w:pPr>
        <w:tabs>
          <w:tab w:val="left" w:pos="567"/>
        </w:tabs>
        <w:spacing w:line="360" w:lineRule="auto"/>
        <w:ind w:left="567" w:right="822"/>
        <w:contextualSpacing/>
        <w:jc w:val="both"/>
        <w:rPr>
          <w:rFonts w:ascii="Palatino Linotype" w:eastAsia="Calibri" w:hAnsi="Palatino Linotype" w:cs="Arial"/>
          <w:i/>
          <w:lang w:val="es-MX"/>
        </w:rPr>
      </w:pPr>
      <w:r w:rsidRPr="008C692D">
        <w:rPr>
          <w:rFonts w:ascii="Palatino Linotype" w:eastAsia="MS Mincho" w:hAnsi="Palatino Linotype" w:cs="Times New Roman"/>
          <w:i/>
          <w:lang w:val="es-MX"/>
        </w:rPr>
        <w:t>Artículo 192. El recurso será sobreseído, en todo o en parte, cuando una vez admitido, se actualicen alguno de los siguientes supuestos:</w:t>
      </w: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8C692D">
        <w:rPr>
          <w:rFonts w:ascii="Palatino Linotype" w:eastAsia="MS Mincho" w:hAnsi="Palatino Linotype" w:cs="Times New Roman"/>
          <w:i/>
          <w:lang w:val="es-MX"/>
        </w:rPr>
        <w:t xml:space="preserve">I. El recurrente se desista expresamente del recurso; </w:t>
      </w: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8C692D">
        <w:rPr>
          <w:rFonts w:ascii="Palatino Linotype" w:eastAsia="MS Mincho" w:hAnsi="Palatino Linotype" w:cs="Times New Roman"/>
          <w:i/>
          <w:lang w:val="es-MX"/>
        </w:rPr>
        <w:t xml:space="preserve">II. El recurrente fallezca o, tratándose de personas jurídicas colectivas, se disuelva; </w:t>
      </w: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8C692D">
        <w:rPr>
          <w:rFonts w:ascii="Palatino Linotype" w:eastAsia="MS Mincho" w:hAnsi="Palatino Linotype" w:cs="Times New Roman"/>
          <w:i/>
          <w:lang w:val="es-MX"/>
        </w:rPr>
        <w:t xml:space="preserve">III. El sujeto obligado responsable del acto lo modifique o revoque de tal manera que el recurso de revisión quede sin materia; </w:t>
      </w:r>
    </w:p>
    <w:p w:rsidR="008C692D" w:rsidRPr="008C692D" w:rsidRDefault="008C692D" w:rsidP="008C692D">
      <w:pPr>
        <w:tabs>
          <w:tab w:val="left" w:pos="567"/>
        </w:tabs>
        <w:spacing w:line="360" w:lineRule="auto"/>
        <w:ind w:left="567" w:right="822"/>
        <w:contextualSpacing/>
        <w:jc w:val="both"/>
        <w:rPr>
          <w:rFonts w:ascii="Palatino Linotype" w:eastAsia="MS Mincho" w:hAnsi="Palatino Linotype" w:cs="Times New Roman"/>
          <w:b/>
          <w:i/>
          <w:lang w:val="es-MX"/>
        </w:rPr>
      </w:pPr>
      <w:r w:rsidRPr="008C692D">
        <w:rPr>
          <w:rFonts w:ascii="Palatino Linotype" w:eastAsia="MS Mincho" w:hAnsi="Palatino Linotype" w:cs="Times New Roman"/>
          <w:b/>
          <w:i/>
          <w:lang w:val="es-MX"/>
        </w:rPr>
        <w:t xml:space="preserve">IV. Admitido el recurso de revisión, aparezca alguna causal de improcedencia en los términos de la presente Ley; y </w:t>
      </w:r>
    </w:p>
    <w:p w:rsidR="008C692D" w:rsidRPr="008C692D" w:rsidRDefault="008C692D" w:rsidP="008C692D">
      <w:pPr>
        <w:tabs>
          <w:tab w:val="left" w:pos="567"/>
        </w:tabs>
        <w:spacing w:line="360" w:lineRule="auto"/>
        <w:ind w:left="567" w:right="822"/>
        <w:contextualSpacing/>
        <w:jc w:val="both"/>
        <w:rPr>
          <w:rFonts w:ascii="Palatino Linotype" w:eastAsia="Calibri" w:hAnsi="Palatino Linotype" w:cs="Arial"/>
          <w:i/>
          <w:lang w:val="es-MX"/>
        </w:rPr>
      </w:pPr>
      <w:r w:rsidRPr="008C692D">
        <w:rPr>
          <w:rFonts w:ascii="Palatino Linotype" w:eastAsia="MS Mincho" w:hAnsi="Palatino Linotype" w:cs="Times New Roman"/>
          <w:i/>
          <w:lang w:val="es-MX"/>
        </w:rPr>
        <w:t>V. Cuando por cualquier motivo quede sin materia el recurso.</w:t>
      </w:r>
    </w:p>
    <w:p w:rsidR="008C692D" w:rsidRPr="008C692D" w:rsidRDefault="008C692D" w:rsidP="008C692D">
      <w:pPr>
        <w:tabs>
          <w:tab w:val="left" w:pos="567"/>
        </w:tabs>
        <w:spacing w:line="360" w:lineRule="auto"/>
        <w:contextualSpacing/>
        <w:jc w:val="both"/>
        <w:rPr>
          <w:rFonts w:ascii="Palatino Linotype" w:eastAsia="Calibri" w:hAnsi="Palatino Linotype" w:cs="Arial"/>
          <w:lang w:val="es-MX"/>
        </w:rPr>
      </w:pPr>
    </w:p>
    <w:p w:rsidR="008C692D" w:rsidRPr="008C692D" w:rsidRDefault="008C692D" w:rsidP="008C692D">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8C692D">
        <w:rPr>
          <w:rFonts w:ascii="Palatino Linotype" w:eastAsia="Calibri" w:hAnsi="Palatino Linotype" w:cs="Arial"/>
          <w:lang w:val="es-MX"/>
        </w:rPr>
        <w:t xml:space="preserve">Es así que, el recurso de revisión actualiza la causal de sobreseimiento establecida en la fracción IV del artículo 192, en relación a la fracción </w:t>
      </w:r>
      <w:r w:rsidR="004C5605">
        <w:rPr>
          <w:rFonts w:ascii="Palatino Linotype" w:eastAsia="Calibri" w:hAnsi="Palatino Linotype" w:cs="Arial"/>
          <w:lang w:val="es-MX"/>
        </w:rPr>
        <w:t>V</w:t>
      </w:r>
      <w:r w:rsidRPr="008C692D">
        <w:rPr>
          <w:rFonts w:ascii="Palatino Linotype" w:eastAsia="Calibri" w:hAnsi="Palatino Linotype" w:cs="Arial"/>
          <w:lang w:val="es-MX"/>
        </w:rPr>
        <w:t>I del artículo 191, ambos de la Ley de Transparencia y Acceso a la Información Pública del Estado de México y Municipios.</w:t>
      </w:r>
    </w:p>
    <w:p w:rsidR="008C692D" w:rsidRPr="008C692D" w:rsidRDefault="008C692D" w:rsidP="008C692D">
      <w:pPr>
        <w:spacing w:before="240" w:after="240" w:line="360" w:lineRule="auto"/>
        <w:contextualSpacing/>
        <w:jc w:val="both"/>
        <w:rPr>
          <w:rFonts w:ascii="Palatino Linotype" w:eastAsia="MS Mincho" w:hAnsi="Palatino Linotype" w:cs="Times New Roman"/>
          <w:lang w:val="es-MX"/>
        </w:rPr>
      </w:pPr>
    </w:p>
    <w:p w:rsidR="008C692D" w:rsidRPr="008C692D" w:rsidRDefault="008C692D" w:rsidP="008C692D">
      <w:pPr>
        <w:numPr>
          <w:ilvl w:val="0"/>
          <w:numId w:val="1"/>
        </w:numPr>
        <w:spacing w:before="240" w:after="240" w:line="360" w:lineRule="auto"/>
        <w:ind w:left="0" w:firstLine="0"/>
        <w:contextualSpacing/>
        <w:jc w:val="both"/>
        <w:rPr>
          <w:rFonts w:ascii="Palatino Linotype" w:eastAsia="MS Mincho" w:hAnsi="Palatino Linotype" w:cs="Times New Roman"/>
          <w:lang w:val="es-MX"/>
        </w:rPr>
      </w:pPr>
      <w:r w:rsidRPr="008C692D">
        <w:rPr>
          <w:rFonts w:ascii="Palatino Linotype" w:eastAsia="MS Mincho" w:hAnsi="Palatino Linotype" w:cs="Arial"/>
          <w:lang w:val="es-MX"/>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8C692D" w:rsidRPr="008C692D" w:rsidRDefault="008C692D" w:rsidP="008C692D">
      <w:pPr>
        <w:spacing w:line="360" w:lineRule="auto"/>
        <w:ind w:left="567" w:right="567"/>
        <w:jc w:val="both"/>
        <w:rPr>
          <w:rFonts w:ascii="Palatino Linotype" w:eastAsia="MS Mincho" w:hAnsi="Palatino Linotype" w:cs="Arial"/>
          <w:i/>
          <w:sz w:val="22"/>
          <w:szCs w:val="22"/>
          <w:lang w:val="es-MX"/>
        </w:rPr>
      </w:pPr>
      <w:r w:rsidRPr="008C692D">
        <w:rPr>
          <w:rFonts w:ascii="Palatino Linotype" w:eastAsia="MS Mincho" w:hAnsi="Palatino Linotype" w:cs="Arial"/>
          <w:i/>
          <w:sz w:val="22"/>
          <w:szCs w:val="22"/>
          <w:lang w:val="es-MX"/>
        </w:rPr>
        <w:lastRenderedPageBreak/>
        <w:t>“</w:t>
      </w:r>
      <w:r w:rsidRPr="008C692D">
        <w:rPr>
          <w:rFonts w:ascii="Palatino Linotype" w:eastAsia="MS Mincho" w:hAnsi="Palatino Linotype" w:cs="Arial"/>
          <w:b/>
          <w:i/>
          <w:sz w:val="22"/>
          <w:szCs w:val="22"/>
          <w:lang w:val="es-MX"/>
        </w:rPr>
        <w:t>SOBRESEIMIENTO EN EL JUICIO DE AMPARO DIRECTO. IMPIDE EL ESTUDIO DE LAS VIOLACIONES PROCESALES PLANTEADAS EN LOS CONCEPTOS DE VIOLACIÓN.</w:t>
      </w:r>
      <w:r w:rsidRPr="008C692D">
        <w:rPr>
          <w:rFonts w:ascii="Palatino Linotype" w:eastAsia="MS Mincho" w:hAnsi="Palatino Linotype" w:cs="Arial"/>
          <w:i/>
          <w:sz w:val="22"/>
          <w:szCs w:val="22"/>
          <w:lang w:val="es-MX"/>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8C692D" w:rsidRPr="008C692D" w:rsidRDefault="008C692D" w:rsidP="008C692D">
      <w:pPr>
        <w:spacing w:line="360" w:lineRule="auto"/>
        <w:ind w:left="567" w:right="567"/>
        <w:jc w:val="both"/>
        <w:rPr>
          <w:rFonts w:ascii="Palatino Linotype" w:eastAsia="MS Mincho" w:hAnsi="Palatino Linotype" w:cs="Arial"/>
          <w:i/>
          <w:sz w:val="22"/>
          <w:szCs w:val="22"/>
          <w:lang w:val="es-MX"/>
        </w:rPr>
      </w:pPr>
      <w:r w:rsidRPr="008C692D">
        <w:rPr>
          <w:rFonts w:ascii="Palatino Linotype" w:eastAsia="MS Mincho" w:hAnsi="Palatino Linotype" w:cs="Arial"/>
          <w:i/>
          <w:sz w:val="22"/>
          <w:szCs w:val="22"/>
          <w:lang w:val="es-MX"/>
        </w:rPr>
        <w:t>SEPTIMO TRIBUNAL COLEGIADO EN MATERIA CIVIL DEL PRIMER CIRCUITO</w:t>
      </w:r>
    </w:p>
    <w:p w:rsidR="008C692D" w:rsidRPr="008C692D" w:rsidRDefault="008C692D" w:rsidP="008C692D">
      <w:pPr>
        <w:spacing w:line="360" w:lineRule="auto"/>
        <w:ind w:left="567" w:right="567"/>
        <w:jc w:val="both"/>
        <w:rPr>
          <w:rFonts w:ascii="Palatino Linotype" w:eastAsia="MS Mincho" w:hAnsi="Palatino Linotype" w:cs="Arial"/>
          <w:i/>
          <w:sz w:val="22"/>
          <w:szCs w:val="22"/>
          <w:lang w:val="es-MX"/>
        </w:rPr>
      </w:pPr>
      <w:r w:rsidRPr="008C692D">
        <w:rPr>
          <w:rFonts w:ascii="Palatino Linotype" w:eastAsia="MS Mincho" w:hAnsi="Palatino Linotype" w:cs="Arial"/>
          <w:i/>
          <w:sz w:val="22"/>
          <w:szCs w:val="22"/>
          <w:lang w:val="es-MX"/>
        </w:rPr>
        <w:t>Amparo directo 699/2008. Mariana Leticia González Steele. 13 de noviembre de 2008. Unanimidad de votos. Ponente: Sara Judith Montalvo Trejo. Secretario: Arnulfo Mateos García.”</w:t>
      </w:r>
    </w:p>
    <w:p w:rsidR="008C692D" w:rsidRPr="008C692D" w:rsidRDefault="008C692D" w:rsidP="008C692D">
      <w:pPr>
        <w:tabs>
          <w:tab w:val="left" w:pos="567"/>
        </w:tabs>
        <w:spacing w:line="360" w:lineRule="auto"/>
        <w:contextualSpacing/>
        <w:jc w:val="both"/>
        <w:rPr>
          <w:rFonts w:ascii="Palatino Linotype" w:eastAsia="Calibri" w:hAnsi="Palatino Linotype" w:cs="Arial"/>
          <w:lang w:val="es-MX"/>
        </w:rPr>
      </w:pPr>
    </w:p>
    <w:p w:rsidR="008C692D" w:rsidRPr="008C692D" w:rsidRDefault="008C692D" w:rsidP="008C692D">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8C692D">
        <w:rPr>
          <w:rFonts w:ascii="Palatino Linotype" w:eastAsia="Calibri" w:hAnsi="Palatino Linotype" w:cs="Arial"/>
          <w:lang w:val="es-MX"/>
        </w:rPr>
        <w:t>No obstante, a efecto de no vulnerar los derechos del particular, este Órgano Garante deja a salvo sus derechos para que, si así lo desea, presente una nueva solicitud de acceso a la información requiriendo información que sea de su interés.</w:t>
      </w:r>
    </w:p>
    <w:p w:rsidR="008C692D" w:rsidRPr="008C692D" w:rsidRDefault="008C692D" w:rsidP="008C692D">
      <w:pPr>
        <w:autoSpaceDE w:val="0"/>
        <w:autoSpaceDN w:val="0"/>
        <w:adjustRightInd w:val="0"/>
        <w:spacing w:before="120" w:after="120" w:line="360" w:lineRule="auto"/>
        <w:contextualSpacing/>
        <w:jc w:val="both"/>
        <w:rPr>
          <w:rFonts w:ascii="Palatino Linotype" w:eastAsia="MS Mincho" w:hAnsi="Palatino Linotype" w:cs="Arial"/>
          <w:lang w:val="es-MX"/>
        </w:rPr>
      </w:pPr>
    </w:p>
    <w:p w:rsidR="008C692D" w:rsidRPr="008C692D" w:rsidRDefault="008C692D" w:rsidP="008C692D">
      <w:pPr>
        <w:numPr>
          <w:ilvl w:val="0"/>
          <w:numId w:val="1"/>
        </w:numPr>
        <w:spacing w:line="360" w:lineRule="auto"/>
        <w:ind w:left="0" w:firstLine="0"/>
        <w:contextualSpacing/>
        <w:jc w:val="both"/>
        <w:rPr>
          <w:rFonts w:ascii="Palatino Linotype" w:eastAsia="MS Mincho" w:hAnsi="Palatino Linotype" w:cs="Palatino Linotype"/>
          <w:lang w:val="es-MX"/>
        </w:rPr>
      </w:pPr>
      <w:r w:rsidRPr="008C692D">
        <w:rPr>
          <w:rFonts w:ascii="Palatino Linotype" w:eastAsia="MS Mincho" w:hAnsi="Palatino Linotype" w:cs="Arial"/>
          <w:lang w:val="es-MX"/>
        </w:rPr>
        <w:t xml:space="preserve">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 </w:t>
      </w:r>
    </w:p>
    <w:p w:rsidR="0083334B" w:rsidRPr="00466C65" w:rsidRDefault="0083334B" w:rsidP="0083334B">
      <w:pPr>
        <w:pStyle w:val="Prrafodelista"/>
        <w:spacing w:line="360" w:lineRule="auto"/>
        <w:rPr>
          <w:rFonts w:ascii="Palatino Linotype" w:hAnsi="Palatino Linotype" w:cs="Arial"/>
        </w:rPr>
      </w:pPr>
    </w:p>
    <w:p w:rsidR="0083334B" w:rsidRPr="00466C65" w:rsidRDefault="0083334B" w:rsidP="0083334B">
      <w:pPr>
        <w:pStyle w:val="Prrafodelista"/>
        <w:numPr>
          <w:ilvl w:val="0"/>
          <w:numId w:val="1"/>
        </w:numPr>
        <w:spacing w:before="240" w:after="240" w:line="360" w:lineRule="auto"/>
        <w:ind w:left="0" w:right="49" w:firstLine="0"/>
        <w:jc w:val="both"/>
        <w:rPr>
          <w:rFonts w:ascii="Palatino Linotype" w:hAnsi="Palatino Linotype" w:cs="Palatino Linotype"/>
        </w:rPr>
      </w:pPr>
      <w:r w:rsidRPr="00466C65">
        <w:rPr>
          <w:rFonts w:ascii="Palatino Linotype" w:hAnsi="Palatino Linotype"/>
          <w:color w:val="000000"/>
          <w:lang w:val="es-ES" w:eastAsia="es-MX"/>
        </w:rPr>
        <w:t xml:space="preserve">Por lo anteriormente expuesto y fundado, este </w:t>
      </w:r>
      <w:r w:rsidRPr="00466C65">
        <w:rPr>
          <w:rFonts w:ascii="Palatino Linotype" w:hAnsi="Palatino Linotype"/>
          <w:b/>
          <w:bCs/>
          <w:color w:val="000000"/>
          <w:lang w:val="es-ES" w:eastAsia="es-MX"/>
        </w:rPr>
        <w:t>ÓRGANO GARANTE</w:t>
      </w:r>
      <w:r w:rsidRPr="00466C65">
        <w:rPr>
          <w:rFonts w:ascii="Palatino Linotype" w:hAnsi="Palatino Linotype"/>
          <w:color w:val="000000"/>
          <w:lang w:val="es-ES" w:eastAsia="es-MX"/>
        </w:rPr>
        <w:t xml:space="preserve"> emite los siguientes:   </w:t>
      </w:r>
    </w:p>
    <w:p w:rsidR="0083334B" w:rsidRPr="00466C65" w:rsidRDefault="0083334B" w:rsidP="0083334B">
      <w:pPr>
        <w:pStyle w:val="Prrafodelista"/>
        <w:spacing w:line="360" w:lineRule="auto"/>
        <w:rPr>
          <w:rFonts w:ascii="Palatino Linotype" w:hAnsi="Palatino Linotype" w:cs="Palatino Linotype"/>
        </w:rPr>
      </w:pPr>
    </w:p>
    <w:p w:rsidR="0083334B" w:rsidRPr="00466C65" w:rsidRDefault="0083334B" w:rsidP="0083334B">
      <w:pPr>
        <w:keepNext/>
        <w:keepLines/>
        <w:spacing w:line="360" w:lineRule="auto"/>
        <w:jc w:val="center"/>
        <w:outlineLvl w:val="0"/>
        <w:rPr>
          <w:rFonts w:ascii="Palatino Linotype" w:hAnsi="Palatino Linotype" w:cstheme="majorBidi"/>
          <w:b/>
          <w:bCs/>
        </w:rPr>
      </w:pPr>
      <w:bookmarkStart w:id="21" w:name="_Toc26960598"/>
      <w:bookmarkStart w:id="22" w:name="_Toc82017154"/>
      <w:r w:rsidRPr="00466C65">
        <w:rPr>
          <w:rFonts w:ascii="Palatino Linotype" w:hAnsi="Palatino Linotype" w:cstheme="majorBidi"/>
          <w:b/>
          <w:bCs/>
        </w:rPr>
        <w:t>R E S O L U T I V O S</w:t>
      </w:r>
      <w:bookmarkEnd w:id="21"/>
      <w:bookmarkEnd w:id="22"/>
    </w:p>
    <w:p w:rsidR="0083334B" w:rsidRPr="00466C65" w:rsidRDefault="0083334B" w:rsidP="0083334B">
      <w:pPr>
        <w:pStyle w:val="Prrafodelista"/>
        <w:spacing w:line="360" w:lineRule="auto"/>
        <w:rPr>
          <w:rFonts w:ascii="Palatino Linotype" w:hAnsi="Palatino Linotype" w:cs="Palatino Linotype"/>
        </w:rPr>
      </w:pPr>
    </w:p>
    <w:p w:rsidR="008C692D"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s="Times New Roman"/>
          <w:lang w:val="es-MX"/>
        </w:rPr>
      </w:pPr>
      <w:bookmarkStart w:id="23" w:name="_Toc450120669"/>
      <w:bookmarkStart w:id="24" w:name="_Toc460947011"/>
      <w:r w:rsidRPr="00466C65">
        <w:rPr>
          <w:rFonts w:ascii="Palatino Linotype" w:hAnsi="Palatino Linotype" w:cs="Arial"/>
          <w:b/>
        </w:rPr>
        <w:t xml:space="preserve">PRIMERO. </w:t>
      </w:r>
      <w:r w:rsidRPr="00466C65">
        <w:rPr>
          <w:rFonts w:ascii="Palatino Linotype" w:hAnsi="Palatino Linotype"/>
        </w:rPr>
        <w:t xml:space="preserve">Se </w:t>
      </w:r>
      <w:r w:rsidRPr="00466C65">
        <w:rPr>
          <w:rFonts w:ascii="Palatino Linotype" w:hAnsi="Palatino Linotype"/>
          <w:b/>
        </w:rPr>
        <w:t>SOBRESEE</w:t>
      </w:r>
      <w:r w:rsidRPr="00466C65">
        <w:rPr>
          <w:rFonts w:ascii="Palatino Linotype" w:hAnsi="Palatino Linotype"/>
        </w:rPr>
        <w:t xml:space="preserve"> el recurso de revisión número </w:t>
      </w:r>
      <w:r w:rsidRPr="00466C65">
        <w:rPr>
          <w:rFonts w:ascii="Palatino Linotype" w:eastAsia="Calibri" w:hAnsi="Palatino Linotype" w:cs="Tahoma"/>
          <w:b/>
          <w:bCs/>
          <w:lang w:eastAsia="en-US"/>
        </w:rPr>
        <w:t>0</w:t>
      </w:r>
      <w:r w:rsidR="003B3148">
        <w:rPr>
          <w:rFonts w:ascii="Palatino Linotype" w:eastAsia="Calibri" w:hAnsi="Palatino Linotype" w:cs="Tahoma"/>
          <w:b/>
          <w:bCs/>
          <w:lang w:eastAsia="en-US"/>
        </w:rPr>
        <w:t>4043</w:t>
      </w:r>
      <w:r w:rsidRPr="00466C65">
        <w:rPr>
          <w:rFonts w:ascii="Palatino Linotype" w:eastAsia="Calibri" w:hAnsi="Palatino Linotype" w:cs="Tahoma"/>
          <w:b/>
          <w:bCs/>
          <w:lang w:eastAsia="en-US"/>
        </w:rPr>
        <w:t>/INFOEM/IP/RR/2022</w:t>
      </w:r>
      <w:r w:rsidRPr="00466C65">
        <w:rPr>
          <w:rFonts w:ascii="Palatino Linotype" w:hAnsi="Palatino Linotype"/>
          <w:b/>
        </w:rPr>
        <w:t xml:space="preserve"> </w:t>
      </w: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008C692D" w:rsidRPr="008C692D">
        <w:rPr>
          <w:rFonts w:ascii="Palatino Linotype" w:eastAsia="MS Mincho" w:hAnsi="Palatino Linotype" w:cs="Times New Roman"/>
          <w:lang w:val="es-MX"/>
        </w:rPr>
        <w:t xml:space="preserve">conforme al artículo 192 fracción IV, en relación con el artículo 191 fracción </w:t>
      </w:r>
      <w:r w:rsidR="00464CC5">
        <w:rPr>
          <w:rFonts w:ascii="Palatino Linotype" w:eastAsia="MS Mincho" w:hAnsi="Palatino Linotype" w:cs="Times New Roman"/>
          <w:lang w:val="es-MX"/>
        </w:rPr>
        <w:t>V</w:t>
      </w:r>
      <w:r w:rsidR="008C692D" w:rsidRPr="008C692D">
        <w:rPr>
          <w:rFonts w:ascii="Palatino Linotype" w:eastAsia="MS Mincho" w:hAnsi="Palatino Linotype" w:cs="Times New Roman"/>
          <w:lang w:val="es-MX"/>
        </w:rPr>
        <w:t xml:space="preserve">I de la Ley de Transparencia y Acceso a la Información Pública del Estado de México y Municipios, en términos del Considerando </w:t>
      </w:r>
      <w:r w:rsidR="008C692D" w:rsidRPr="008C692D">
        <w:rPr>
          <w:rFonts w:ascii="Palatino Linotype" w:eastAsia="MS Mincho" w:hAnsi="Palatino Linotype" w:cs="Times New Roman"/>
          <w:b/>
          <w:lang w:val="es-MX"/>
        </w:rPr>
        <w:t>TERCERO</w:t>
      </w:r>
      <w:r w:rsidR="008C692D" w:rsidRPr="008C692D">
        <w:rPr>
          <w:rFonts w:ascii="Palatino Linotype" w:eastAsia="MS Mincho" w:hAnsi="Palatino Linotype" w:cs="Times New Roman"/>
          <w:lang w:val="es-MX"/>
        </w:rPr>
        <w:t xml:space="preserve"> de la presente resolución.</w:t>
      </w:r>
    </w:p>
    <w:p w:rsidR="008C692D" w:rsidRPr="008C692D" w:rsidRDefault="008C692D"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s="Times New Roman"/>
          <w:lang w:val="es-MX"/>
        </w:rPr>
      </w:pPr>
    </w:p>
    <w:p w:rsidR="0083334B"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olor w:val="000000" w:themeColor="text1"/>
          <w:shd w:val="clear" w:color="auto" w:fill="FFFFFF"/>
        </w:rPr>
      </w:pPr>
      <w:r w:rsidRPr="00466C65">
        <w:rPr>
          <w:rFonts w:ascii="Palatino Linotype" w:hAnsi="Palatino Linotype" w:cs="Arial"/>
          <w:b/>
        </w:rPr>
        <w:t>SEGUNDO.</w:t>
      </w:r>
      <w:bookmarkEnd w:id="25"/>
      <w:bookmarkEnd w:id="26"/>
      <w:bookmarkEnd w:id="27"/>
      <w:bookmarkEnd w:id="28"/>
      <w:bookmarkEnd w:id="29"/>
      <w:bookmarkEnd w:id="30"/>
      <w:bookmarkEnd w:id="31"/>
      <w:bookmarkEnd w:id="32"/>
      <w:bookmarkEnd w:id="33"/>
      <w:r w:rsidRPr="00466C65">
        <w:rPr>
          <w:rStyle w:val="Ttulo2Car"/>
          <w:rFonts w:ascii="Palatino Linotype" w:hAnsi="Palatino Linotype"/>
          <w:b/>
          <w:color w:val="000000" w:themeColor="text1"/>
        </w:rPr>
        <w:t xml:space="preserve"> </w:t>
      </w:r>
      <w:r w:rsidRPr="00466C65">
        <w:rPr>
          <w:rFonts w:ascii="Palatino Linotype" w:eastAsia="MS Mincho" w:hAnsi="Palatino Linotype" w:cs="Arial"/>
          <w:b/>
          <w:bCs/>
          <w:color w:val="000000" w:themeColor="text1"/>
          <w:shd w:val="clear" w:color="auto" w:fill="FFFFFF"/>
        </w:rPr>
        <w:t xml:space="preserve">Remítase </w:t>
      </w:r>
      <w:r w:rsidRPr="00466C65">
        <w:rPr>
          <w:rFonts w:ascii="Palatino Linotype" w:eastAsia="MS Mincho" w:hAnsi="Palatino Linotype"/>
          <w:color w:val="000000" w:themeColor="text1"/>
          <w:shd w:val="clear" w:color="auto" w:fill="FFFFFF"/>
        </w:rPr>
        <w:t>al Titular de la Unidad de Transparencia del</w:t>
      </w:r>
      <w:r w:rsidRPr="00466C65">
        <w:rPr>
          <w:rFonts w:ascii="Palatino Linotype" w:eastAsia="MS Mincho" w:hAnsi="Palatino Linotype"/>
          <w:b/>
          <w:bCs/>
          <w:color w:val="000000" w:themeColor="text1"/>
          <w:shd w:val="clear" w:color="auto" w:fill="FFFFFF"/>
        </w:rPr>
        <w:t xml:space="preserve"> SUJETO OBLIGADO</w:t>
      </w:r>
      <w:r w:rsidRPr="00466C65">
        <w:rPr>
          <w:rFonts w:ascii="Palatino Linotype" w:eastAsia="MS Mincho" w:hAnsi="Palatino Linotype"/>
          <w:color w:val="000000" w:themeColor="text1"/>
          <w:shd w:val="clear" w:color="auto" w:fill="FFFFFF"/>
        </w:rPr>
        <w:t xml:space="preserve"> vía Sistema de Acceso a Información Mexiquense, SAIMEX, la presente resolución. </w:t>
      </w:r>
    </w:p>
    <w:p w:rsidR="003C5174" w:rsidRPr="00466C65" w:rsidRDefault="003C5174" w:rsidP="008C692D">
      <w:pPr>
        <w:pStyle w:val="Prrafodelista"/>
        <w:widowControl w:val="0"/>
        <w:tabs>
          <w:tab w:val="left" w:pos="1701"/>
        </w:tabs>
        <w:autoSpaceDE w:val="0"/>
        <w:autoSpaceDN w:val="0"/>
        <w:adjustRightInd w:val="0"/>
        <w:spacing w:before="120" w:line="360" w:lineRule="auto"/>
        <w:ind w:left="0"/>
        <w:jc w:val="both"/>
        <w:rPr>
          <w:rStyle w:val="Ttulo2Car"/>
          <w:rFonts w:ascii="Palatino Linotype" w:hAnsi="Palatino Linotype"/>
          <w:b/>
          <w:color w:val="000000" w:themeColor="text1"/>
        </w:rPr>
      </w:pPr>
    </w:p>
    <w:p w:rsidR="0083334B" w:rsidRPr="00466C65" w:rsidRDefault="0083334B" w:rsidP="0083334B">
      <w:pPr>
        <w:spacing w:line="360" w:lineRule="auto"/>
        <w:jc w:val="both"/>
        <w:rPr>
          <w:rFonts w:ascii="Palatino Linotype" w:hAnsi="Palatino Linotype"/>
        </w:rPr>
      </w:pPr>
      <w:bookmarkStart w:id="34" w:name="_Toc460947013"/>
      <w:bookmarkEnd w:id="23"/>
      <w:bookmarkEnd w:id="24"/>
      <w:r w:rsidRPr="00466C65">
        <w:rPr>
          <w:rFonts w:ascii="Palatino Linotype" w:hAnsi="Palatino Linotype" w:cs="Arial"/>
          <w:b/>
        </w:rPr>
        <w:t xml:space="preserve">TERCERO. </w:t>
      </w:r>
      <w:r w:rsidRPr="003B3148">
        <w:rPr>
          <w:rFonts w:ascii="Palatino Linotype" w:hAnsi="Palatino Linotype"/>
          <w:b/>
          <w:bCs/>
          <w:lang w:val="es-ES"/>
        </w:rPr>
        <w:t>Notifíquese a</w:t>
      </w:r>
      <w:r w:rsidRPr="003B3148">
        <w:rPr>
          <w:rFonts w:ascii="Palatino Linotype" w:hAnsi="Palatino Linotype"/>
          <w:b/>
        </w:rPr>
        <w:t xml:space="preserve">l </w:t>
      </w:r>
      <w:r w:rsidRPr="00466C65">
        <w:rPr>
          <w:rFonts w:ascii="Palatino Linotype" w:hAnsi="Palatino Linotype"/>
          <w:b/>
        </w:rPr>
        <w:t xml:space="preserve">RECURRENTE </w:t>
      </w:r>
      <w:r w:rsidRPr="00466C65">
        <w:rPr>
          <w:rFonts w:ascii="Palatino Linotype" w:hAnsi="Palatino Linotype"/>
        </w:rPr>
        <w:t>la presente resolución.</w:t>
      </w:r>
    </w:p>
    <w:p w:rsidR="0083334B" w:rsidRPr="00466C65" w:rsidRDefault="0083334B" w:rsidP="0083334B">
      <w:pPr>
        <w:spacing w:line="360" w:lineRule="auto"/>
        <w:jc w:val="both"/>
        <w:rPr>
          <w:rFonts w:ascii="Palatino Linotype" w:hAnsi="Palatino Linotype"/>
        </w:rPr>
      </w:pPr>
    </w:p>
    <w:bookmarkEnd w:id="34"/>
    <w:p w:rsidR="0083334B" w:rsidRPr="00466C65" w:rsidRDefault="0083334B" w:rsidP="0083334B">
      <w:pPr>
        <w:spacing w:line="360" w:lineRule="auto"/>
        <w:jc w:val="both"/>
        <w:rPr>
          <w:rFonts w:ascii="Palatino Linotype" w:eastAsia="MS Mincho" w:hAnsi="Palatino Linotype"/>
          <w:lang w:val="es-ES"/>
        </w:rPr>
      </w:pPr>
      <w:r w:rsidRPr="00466C65">
        <w:rPr>
          <w:rFonts w:ascii="Palatino Linotype" w:eastAsia="MS Mincho" w:hAnsi="Palatino Linotype"/>
          <w:b/>
        </w:rPr>
        <w:t>CUARTO.</w:t>
      </w:r>
      <w:r w:rsidRPr="00466C65">
        <w:rPr>
          <w:rFonts w:ascii="Palatino Linotype" w:eastAsia="MS Mincho" w:hAnsi="Palatino Linotype"/>
        </w:rPr>
        <w:t xml:space="preserve"> </w:t>
      </w:r>
      <w:r w:rsidRPr="00466C65">
        <w:rPr>
          <w:rFonts w:ascii="Palatino Linotype" w:eastAsia="MS Mincho" w:hAnsi="Palatino Linotype"/>
          <w:lang w:val="es-ES"/>
        </w:rPr>
        <w:t xml:space="preserve">Se hace del conocimiento de </w:t>
      </w:r>
      <w:r w:rsidRPr="00466C65">
        <w:rPr>
          <w:rFonts w:ascii="Palatino Linotype" w:eastAsia="Calibri" w:hAnsi="Palatino Linotype" w:cs="Tahoma"/>
          <w:b/>
          <w:lang w:eastAsia="en-US"/>
        </w:rPr>
        <w:t>RECURRENTE</w:t>
      </w:r>
      <w:r w:rsidRPr="00466C65">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66C65">
        <w:rPr>
          <w:rFonts w:ascii="Palatino Linotype" w:eastAsia="MS Mincho" w:hAnsi="Palatino Linotype"/>
          <w:bCs/>
          <w:lang w:val="es-ES"/>
        </w:rPr>
        <w:t>vía juicio de amparo</w:t>
      </w:r>
      <w:r w:rsidRPr="00466C65">
        <w:rPr>
          <w:rFonts w:ascii="Palatino Linotype" w:eastAsia="MS Mincho" w:hAnsi="Palatino Linotype"/>
          <w:lang w:val="es-ES"/>
        </w:rPr>
        <w:t> en los términos de las leyes aplicables.</w:t>
      </w:r>
      <w:bookmarkStart w:id="35" w:name="_Toc466371865"/>
      <w:bookmarkStart w:id="36" w:name="_Toc466377653"/>
      <w:bookmarkEnd w:id="13"/>
      <w:bookmarkEnd w:id="14"/>
      <w:bookmarkEnd w:id="15"/>
      <w:bookmarkEnd w:id="16"/>
      <w:bookmarkEnd w:id="17"/>
      <w:bookmarkEnd w:id="18"/>
    </w:p>
    <w:bookmarkEnd w:id="35"/>
    <w:bookmarkEnd w:id="36"/>
    <w:p w:rsidR="00ED61B9" w:rsidRDefault="00ED61B9" w:rsidP="00ED61B9">
      <w:pPr>
        <w:spacing w:before="240" w:after="240" w:line="360" w:lineRule="auto"/>
        <w:ind w:firstLine="1"/>
        <w:jc w:val="both"/>
        <w:rPr>
          <w:rFonts w:ascii="Palatino Linotype" w:hAnsi="Palatino Linotype"/>
        </w:rPr>
      </w:pPr>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w:t>
      </w:r>
      <w:r w:rsidRPr="00A0054B">
        <w:rPr>
          <w:rFonts w:ascii="Palatino Linotype" w:hAnsi="Palatino Linotype"/>
        </w:rPr>
        <w:t xml:space="preserve">SESIÓN ORDINARIA CELEBRADA EL </w:t>
      </w:r>
      <w:r>
        <w:rPr>
          <w:rFonts w:ascii="Palatino Linotype" w:hAnsi="Palatino Linotype"/>
        </w:rPr>
        <w:t>UNO (01)</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rsidR="00F12093" w:rsidRPr="00B32FC8" w:rsidRDefault="00F12093" w:rsidP="00F12093">
      <w:pPr>
        <w:spacing w:line="360" w:lineRule="auto"/>
        <w:jc w:val="both"/>
        <w:rPr>
          <w:rFonts w:ascii="Palatino Linotype" w:eastAsia="MS Mincho" w:hAnsi="Palatino Linotype" w:cs="Times New Roman"/>
          <w:lang w:val="es-ES"/>
        </w:rPr>
      </w:pPr>
    </w:p>
    <w:p w:rsidR="00F12093" w:rsidRPr="00B32FC8" w:rsidRDefault="00F12093" w:rsidP="00F12093">
      <w:pPr>
        <w:spacing w:line="360" w:lineRule="auto"/>
        <w:jc w:val="both"/>
        <w:rPr>
          <w:rFonts w:ascii="Palatino Linotype" w:hAnsi="Palatino Linotype"/>
          <w:color w:val="000000"/>
          <w:shd w:val="clear" w:color="auto" w:fill="FFFFFF"/>
        </w:rPr>
      </w:pPr>
    </w:p>
    <w:p w:rsidR="00F12093" w:rsidRPr="00B32FC8" w:rsidRDefault="00F12093" w:rsidP="00F12093">
      <w:pPr>
        <w:spacing w:line="360" w:lineRule="auto"/>
        <w:rPr>
          <w:rFonts w:ascii="Palatino Linotype" w:hAnsi="Palatino Linotype"/>
        </w:rPr>
      </w:pPr>
    </w:p>
    <w:p w:rsidR="00775D76" w:rsidRDefault="00775D76"/>
    <w:sectPr w:rsidR="00775D76" w:rsidSect="002D61E8">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DA5" w:rsidRDefault="00593DA5" w:rsidP="00F12093">
      <w:r>
        <w:separator/>
      </w:r>
    </w:p>
  </w:endnote>
  <w:endnote w:type="continuationSeparator" w:id="0">
    <w:p w:rsidR="00593DA5" w:rsidRDefault="00593DA5"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2098C">
              <w:rPr>
                <w:rFonts w:ascii="Palatino Linotype" w:hAnsi="Palatino Linotype"/>
                <w:b/>
                <w:bCs/>
                <w:noProof/>
              </w:rPr>
              <w:t>23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2098C">
              <w:rPr>
                <w:rFonts w:ascii="Palatino Linotype" w:hAnsi="Palatino Linotype"/>
                <w:b/>
                <w:bCs/>
                <w:noProof/>
              </w:rPr>
              <w:t>24</w:t>
            </w:r>
            <w:r w:rsidRPr="000A2541">
              <w:rPr>
                <w:rFonts w:ascii="Palatino Linotype" w:hAnsi="Palatino Linotype"/>
                <w:b/>
                <w:bCs/>
              </w:rPr>
              <w:fldChar w:fldCharType="end"/>
            </w:r>
          </w:p>
        </w:sdtContent>
      </w:sdt>
    </w:sdtContent>
  </w:sdt>
  <w:p w:rsidR="00344320" w:rsidRDefault="00344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2098C" w:rsidRPr="0062098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2098C" w:rsidRPr="0062098C">
      <w:rPr>
        <w:rFonts w:ascii="Palatino Linotype" w:hAnsi="Palatino Linotype"/>
        <w:noProof/>
        <w:sz w:val="22"/>
        <w:szCs w:val="22"/>
        <w:lang w:val="es-ES"/>
      </w:rPr>
      <w:t>24</w:t>
    </w:r>
    <w:r w:rsidRPr="00883450">
      <w:rPr>
        <w:rFonts w:ascii="Palatino Linotype" w:hAnsi="Palatino Linotype"/>
        <w:sz w:val="22"/>
        <w:szCs w:val="22"/>
      </w:rPr>
      <w:fldChar w:fldCharType="end"/>
    </w:r>
  </w:p>
  <w:p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DA5" w:rsidRDefault="00593DA5" w:rsidP="00F12093">
      <w:r>
        <w:separator/>
      </w:r>
    </w:p>
  </w:footnote>
  <w:footnote w:type="continuationSeparator" w:id="0">
    <w:p w:rsidR="00593DA5" w:rsidRDefault="00593DA5" w:rsidP="00F1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Default="00593DA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rsidTr="002D61E8">
      <w:trPr>
        <w:trHeight w:val="138"/>
        <w:jc w:val="right"/>
      </w:trPr>
      <w:tc>
        <w:tcPr>
          <w:tcW w:w="255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8B4DB2">
            <w:rPr>
              <w:rFonts w:ascii="Palatino Linotype" w:hAnsi="Palatino Linotype" w:cs="Arial"/>
              <w:b/>
              <w:bCs/>
              <w:sz w:val="22"/>
              <w:szCs w:val="22"/>
              <w:lang w:eastAsia="es-MX"/>
            </w:rPr>
            <w:t>4043</w:t>
          </w:r>
          <w:r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r>
    <w:tr w:rsidR="00344320" w:rsidRPr="00EF13C1" w:rsidTr="00F12093">
      <w:trPr>
        <w:trHeight w:val="127"/>
        <w:jc w:val="right"/>
      </w:trPr>
      <w:tc>
        <w:tcPr>
          <w:tcW w:w="2552" w:type="dxa"/>
          <w:vAlign w:val="center"/>
        </w:tcPr>
        <w:p w:rsidR="00344320" w:rsidRPr="00EF13C1" w:rsidRDefault="00344320" w:rsidP="002D61E8">
          <w:pPr>
            <w:rPr>
              <w:rFonts w:ascii="Palatino Linotype" w:hAnsi="Palatino Linotype"/>
              <w:b/>
              <w:sz w:val="22"/>
              <w:szCs w:val="22"/>
            </w:rPr>
          </w:pPr>
        </w:p>
      </w:tc>
      <w:tc>
        <w:tcPr>
          <w:tcW w:w="3826" w:type="dxa"/>
          <w:vAlign w:val="center"/>
        </w:tcPr>
        <w:p w:rsidR="00344320" w:rsidRPr="00EF13C1" w:rsidRDefault="00344320" w:rsidP="00F12093">
          <w:pPr>
            <w:pStyle w:val="Encabezado"/>
            <w:rPr>
              <w:rFonts w:ascii="Palatino Linotype" w:hAnsi="Palatino Linotype"/>
              <w:b/>
              <w:sz w:val="22"/>
              <w:szCs w:val="22"/>
            </w:rPr>
          </w:pPr>
        </w:p>
      </w:tc>
    </w:tr>
    <w:tr w:rsidR="00344320" w:rsidRPr="00FB0541" w:rsidTr="002D61E8">
      <w:trPr>
        <w:trHeight w:val="321"/>
        <w:jc w:val="right"/>
      </w:trPr>
      <w:tc>
        <w:tcPr>
          <w:tcW w:w="2552" w:type="dxa"/>
          <w:vAlign w:val="center"/>
        </w:tcPr>
        <w:p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rsidR="00344320" w:rsidRPr="00FB0541" w:rsidRDefault="008B4DB2" w:rsidP="00F12093">
          <w:pPr>
            <w:pStyle w:val="Encabezado"/>
            <w:jc w:val="right"/>
            <w:rPr>
              <w:rFonts w:ascii="Palatino Linotype" w:hAnsi="Palatino Linotype"/>
              <w:b/>
              <w:sz w:val="22"/>
              <w:szCs w:val="22"/>
            </w:rPr>
          </w:pPr>
          <w:r>
            <w:rPr>
              <w:rFonts w:ascii="Palatino Linotype" w:hAnsi="Palatino Linotype"/>
              <w:b/>
              <w:bCs/>
              <w:sz w:val="22"/>
              <w:szCs w:val="20"/>
            </w:rPr>
            <w:t>Comisión del Agua del Estado de México</w:t>
          </w:r>
        </w:p>
      </w:tc>
    </w:tr>
    <w:tr w:rsidR="00344320" w:rsidRPr="00EF13C1" w:rsidTr="002D61E8">
      <w:trPr>
        <w:trHeight w:val="321"/>
        <w:jc w:val="right"/>
      </w:trPr>
      <w:tc>
        <w:tcPr>
          <w:tcW w:w="2552" w:type="dxa"/>
          <w:vAlign w:val="center"/>
        </w:tcPr>
        <w:p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344320" w:rsidRDefault="00593DA5" w:rsidP="002D61E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875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rsidTr="002D61E8">
      <w:trPr>
        <w:trHeight w:val="138"/>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8B4DB2">
            <w:rPr>
              <w:rFonts w:ascii="Palatino Linotype" w:hAnsi="Palatino Linotype" w:cs="Arial"/>
              <w:b/>
              <w:bCs/>
              <w:sz w:val="22"/>
              <w:szCs w:val="22"/>
              <w:lang w:eastAsia="es-MX"/>
            </w:rPr>
            <w:t>4043</w:t>
          </w:r>
          <w:r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227"/>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44320" w:rsidRPr="00C23F87" w:rsidRDefault="0062098C" w:rsidP="002D61E8">
          <w:pPr>
            <w:pStyle w:val="Encabezado"/>
            <w:jc w:val="right"/>
            <w:rPr>
              <w:rFonts w:ascii="Palatino Linotype" w:hAnsi="Palatino Linotype"/>
              <w:b/>
              <w:sz w:val="22"/>
              <w:szCs w:val="22"/>
            </w:rPr>
          </w:pPr>
          <w:r>
            <w:rPr>
              <w:rFonts w:ascii="Palatino Linotype" w:hAnsi="Palatino Linotype"/>
              <w:b/>
              <w:sz w:val="22"/>
              <w:szCs w:val="22"/>
            </w:rPr>
            <w:t>XXXXXXXXXXXXXXXXXXXXXXXX</w:t>
          </w:r>
          <w:r w:rsidR="008B4DB2">
            <w:rPr>
              <w:rFonts w:ascii="Palatino Linotype" w:hAnsi="Palatino Linotype"/>
              <w:b/>
              <w:sz w:val="22"/>
              <w:szCs w:val="22"/>
            </w:rPr>
            <w:t xml:space="preserve"> </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232"/>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44320" w:rsidRPr="00C23F87" w:rsidRDefault="008B4DB2" w:rsidP="005B7B01">
          <w:pPr>
            <w:pStyle w:val="Encabezado"/>
            <w:jc w:val="right"/>
            <w:rPr>
              <w:rFonts w:ascii="Palatino Linotype" w:hAnsi="Palatino Linotype"/>
              <w:b/>
              <w:sz w:val="22"/>
              <w:szCs w:val="22"/>
            </w:rPr>
          </w:pPr>
          <w:r>
            <w:rPr>
              <w:rFonts w:ascii="Palatino Linotype" w:hAnsi="Palatino Linotype"/>
              <w:b/>
              <w:bCs/>
              <w:sz w:val="22"/>
              <w:szCs w:val="20"/>
            </w:rPr>
            <w:t>Comisión del Agua del Estado de México</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320"/>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bl>
  <w:p w:rsidR="00344320" w:rsidRDefault="00593DA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772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2"/>
  </w:num>
  <w:num w:numId="2">
    <w:abstractNumId w:val="5"/>
  </w:num>
  <w:num w:numId="3">
    <w:abstractNumId w:val="34"/>
  </w:num>
  <w:num w:numId="4">
    <w:abstractNumId w:val="29"/>
  </w:num>
  <w:num w:numId="5">
    <w:abstractNumId w:val="16"/>
  </w:num>
  <w:num w:numId="6">
    <w:abstractNumId w:val="37"/>
  </w:num>
  <w:num w:numId="7">
    <w:abstractNumId w:val="2"/>
  </w:num>
  <w:num w:numId="8">
    <w:abstractNumId w:val="31"/>
  </w:num>
  <w:num w:numId="9">
    <w:abstractNumId w:val="39"/>
  </w:num>
  <w:num w:numId="10">
    <w:abstractNumId w:val="11"/>
  </w:num>
  <w:num w:numId="11">
    <w:abstractNumId w:val="7"/>
  </w:num>
  <w:num w:numId="12">
    <w:abstractNumId w:val="15"/>
  </w:num>
  <w:num w:numId="13">
    <w:abstractNumId w:val="35"/>
  </w:num>
  <w:num w:numId="14">
    <w:abstractNumId w:val="38"/>
  </w:num>
  <w:num w:numId="15">
    <w:abstractNumId w:val="27"/>
  </w:num>
  <w:num w:numId="16">
    <w:abstractNumId w:val="32"/>
  </w:num>
  <w:num w:numId="17">
    <w:abstractNumId w:val="10"/>
  </w:num>
  <w:num w:numId="18">
    <w:abstractNumId w:val="25"/>
  </w:num>
  <w:num w:numId="19">
    <w:abstractNumId w:val="36"/>
  </w:num>
  <w:num w:numId="20">
    <w:abstractNumId w:val="21"/>
  </w:num>
  <w:num w:numId="21">
    <w:abstractNumId w:val="2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2"/>
  </w:num>
  <w:num w:numId="25">
    <w:abstractNumId w:val="40"/>
  </w:num>
  <w:num w:numId="26">
    <w:abstractNumId w:val="9"/>
  </w:num>
  <w:num w:numId="27">
    <w:abstractNumId w:val="6"/>
  </w:num>
  <w:num w:numId="28">
    <w:abstractNumId w:val="14"/>
  </w:num>
  <w:num w:numId="29">
    <w:abstractNumId w:val="20"/>
  </w:num>
  <w:num w:numId="30">
    <w:abstractNumId w:val="0"/>
  </w:num>
  <w:num w:numId="31">
    <w:abstractNumId w:val="24"/>
  </w:num>
  <w:num w:numId="32">
    <w:abstractNumId w:val="13"/>
  </w:num>
  <w:num w:numId="33">
    <w:abstractNumId w:val="18"/>
  </w:num>
  <w:num w:numId="34">
    <w:abstractNumId w:val="19"/>
  </w:num>
  <w:num w:numId="35">
    <w:abstractNumId w:val="1"/>
  </w:num>
  <w:num w:numId="36">
    <w:abstractNumId w:val="8"/>
  </w:num>
  <w:num w:numId="37">
    <w:abstractNumId w:val="33"/>
  </w:num>
  <w:num w:numId="38">
    <w:abstractNumId w:val="23"/>
  </w:num>
  <w:num w:numId="39">
    <w:abstractNumId w:val="28"/>
  </w:num>
  <w:num w:numId="40">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0630E"/>
    <w:rsid w:val="000224E5"/>
    <w:rsid w:val="00097B6C"/>
    <w:rsid w:val="000B4F16"/>
    <w:rsid w:val="000C37CB"/>
    <w:rsid w:val="001378B2"/>
    <w:rsid w:val="00152BE4"/>
    <w:rsid w:val="00160482"/>
    <w:rsid w:val="001C10E6"/>
    <w:rsid w:val="001D5839"/>
    <w:rsid w:val="00201C9F"/>
    <w:rsid w:val="00205352"/>
    <w:rsid w:val="002975CE"/>
    <w:rsid w:val="002D61E8"/>
    <w:rsid w:val="002E5B97"/>
    <w:rsid w:val="00333CE6"/>
    <w:rsid w:val="00336C46"/>
    <w:rsid w:val="0034149E"/>
    <w:rsid w:val="00344320"/>
    <w:rsid w:val="0038075A"/>
    <w:rsid w:val="003A104A"/>
    <w:rsid w:val="003B3148"/>
    <w:rsid w:val="003C5174"/>
    <w:rsid w:val="003D2E41"/>
    <w:rsid w:val="003D390B"/>
    <w:rsid w:val="0041400C"/>
    <w:rsid w:val="00450297"/>
    <w:rsid w:val="00464CC5"/>
    <w:rsid w:val="00497BD3"/>
    <w:rsid w:val="004B711F"/>
    <w:rsid w:val="004C5605"/>
    <w:rsid w:val="004C5BA3"/>
    <w:rsid w:val="0050511E"/>
    <w:rsid w:val="00507F69"/>
    <w:rsid w:val="005213A9"/>
    <w:rsid w:val="00567E63"/>
    <w:rsid w:val="00581D88"/>
    <w:rsid w:val="00593DA5"/>
    <w:rsid w:val="005B7B01"/>
    <w:rsid w:val="0062098C"/>
    <w:rsid w:val="0062782B"/>
    <w:rsid w:val="00667F8A"/>
    <w:rsid w:val="00673348"/>
    <w:rsid w:val="006D6F96"/>
    <w:rsid w:val="006E6410"/>
    <w:rsid w:val="006E711D"/>
    <w:rsid w:val="006E74CC"/>
    <w:rsid w:val="00734896"/>
    <w:rsid w:val="00765091"/>
    <w:rsid w:val="00775D76"/>
    <w:rsid w:val="007B0EC9"/>
    <w:rsid w:val="0083334B"/>
    <w:rsid w:val="008B4DB2"/>
    <w:rsid w:val="008C692D"/>
    <w:rsid w:val="008D4505"/>
    <w:rsid w:val="00927DB1"/>
    <w:rsid w:val="00940F56"/>
    <w:rsid w:val="009832C2"/>
    <w:rsid w:val="00986A7D"/>
    <w:rsid w:val="00997A89"/>
    <w:rsid w:val="009E16D0"/>
    <w:rsid w:val="00A43831"/>
    <w:rsid w:val="00A43DF2"/>
    <w:rsid w:val="00A915BE"/>
    <w:rsid w:val="00AD0ABE"/>
    <w:rsid w:val="00AD3249"/>
    <w:rsid w:val="00B32D03"/>
    <w:rsid w:val="00B36945"/>
    <w:rsid w:val="00B402BE"/>
    <w:rsid w:val="00B5622A"/>
    <w:rsid w:val="00B707E1"/>
    <w:rsid w:val="00BB4790"/>
    <w:rsid w:val="00BD2434"/>
    <w:rsid w:val="00BD4ACB"/>
    <w:rsid w:val="00BF02FA"/>
    <w:rsid w:val="00BF0830"/>
    <w:rsid w:val="00C007B1"/>
    <w:rsid w:val="00C15F3C"/>
    <w:rsid w:val="00C220B7"/>
    <w:rsid w:val="00C406D8"/>
    <w:rsid w:val="00C56F04"/>
    <w:rsid w:val="00C803BA"/>
    <w:rsid w:val="00C84828"/>
    <w:rsid w:val="00C8656E"/>
    <w:rsid w:val="00CB466B"/>
    <w:rsid w:val="00CC5941"/>
    <w:rsid w:val="00CC702C"/>
    <w:rsid w:val="00CD2D8A"/>
    <w:rsid w:val="00D76BD4"/>
    <w:rsid w:val="00D77281"/>
    <w:rsid w:val="00D858DE"/>
    <w:rsid w:val="00DA6DE5"/>
    <w:rsid w:val="00E21081"/>
    <w:rsid w:val="00E6722C"/>
    <w:rsid w:val="00E918F3"/>
    <w:rsid w:val="00E9733E"/>
    <w:rsid w:val="00EA095E"/>
    <w:rsid w:val="00EB11E6"/>
    <w:rsid w:val="00ED61B9"/>
    <w:rsid w:val="00EE3F84"/>
    <w:rsid w:val="00EE68F3"/>
    <w:rsid w:val="00F12093"/>
    <w:rsid w:val="00F14C90"/>
    <w:rsid w:val="00F544A6"/>
    <w:rsid w:val="00F95373"/>
    <w:rsid w:val="00FB5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FF1F600-697A-40DB-AA06-CF53106A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59"/>
    <w:rsid w:val="00F1209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rPr>
      <w:rFonts w:ascii="Times New Roman" w:eastAsia="Times New Roman" w:hAnsi="Times New Roman" w:cs="Times New Roman"/>
      <w:lang w:val="es-MX"/>
    </w:r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rPr>
      <w:rFonts w:ascii="Times New Roman" w:eastAsia="Times New Roman" w:hAnsi="Times New Roman" w:cs="Times New Roman"/>
      <w:lang w:val="es-MX"/>
    </w:r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eastAsia="Times New Roman" w:hAnsi="Arial" w:cs="Arial"/>
      <w:sz w:val="18"/>
      <w:szCs w:val="18"/>
      <w:lang w:val="es-MX"/>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eastAsia="Times New Roman" w:hAnsi="Courier New" w:cs="Times New Roman"/>
      <w:sz w:val="20"/>
      <w:szCs w:val="20"/>
      <w:lang w:val="es-MX"/>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eastAsia="Times New Roman" w:hAnsi="palatino"/>
      <w:sz w:val="22"/>
      <w:szCs w:val="22"/>
      <w:lang w:val="es-MX"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E21081"/>
    <w:rPr>
      <w:rFonts w:ascii="Times New Roman" w:eastAsia="Times New Roman" w:hAnsi="Times New Roman" w:cs="Times New Roman"/>
      <w:sz w:val="20"/>
      <w:szCs w:val="20"/>
      <w:lang w:val="es-MX"/>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rFonts w:ascii="Times New Roman" w:eastAsia="Times New Roman" w:hAnsi="Times New Roman" w:cs="Times New Roman"/>
      <w:lang w:val="es-ES"/>
    </w:rPr>
  </w:style>
  <w:style w:type="paragraph" w:styleId="Lista2">
    <w:name w:val="List 2"/>
    <w:basedOn w:val="Normal"/>
    <w:uiPriority w:val="99"/>
    <w:unhideWhenUsed/>
    <w:rsid w:val="00E21081"/>
    <w:pPr>
      <w:ind w:left="566" w:hanging="283"/>
      <w:contextualSpacing/>
    </w:pPr>
    <w:rPr>
      <w:rFonts w:ascii="Times New Roman" w:eastAsia="Times New Roman" w:hAnsi="Times New Roman" w:cs="Times New Roman"/>
      <w:lang w:val="es-ES"/>
    </w:rPr>
  </w:style>
  <w:style w:type="paragraph" w:styleId="Lista3">
    <w:name w:val="List 3"/>
    <w:basedOn w:val="Normal"/>
    <w:uiPriority w:val="99"/>
    <w:unhideWhenUsed/>
    <w:rsid w:val="00E21081"/>
    <w:pPr>
      <w:ind w:left="849" w:hanging="283"/>
      <w:contextualSpacing/>
    </w:pPr>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E21081"/>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rFonts w:ascii="Times New Roman" w:eastAsia="Times New Roman" w:hAnsi="Times New Roman" w:cs="Times New Roman"/>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E21081"/>
    <w:rPr>
      <w:rFonts w:eastAsia="Cambria"/>
      <w:sz w:val="20"/>
      <w:szCs w:val="20"/>
      <w:lang w:val="es-MX" w:eastAsia="en-US"/>
    </w:rPr>
  </w:style>
  <w:style w:type="paragraph" w:customStyle="1" w:styleId="paragraph">
    <w:name w:val="paragraph"/>
    <w:basedOn w:val="Normal"/>
    <w:rsid w:val="00E21081"/>
    <w:pPr>
      <w:spacing w:before="100" w:beforeAutospacing="1" w:after="100" w:afterAutospacing="1" w:line="264" w:lineRule="auto"/>
    </w:pPr>
    <w:rPr>
      <w:sz w:val="20"/>
      <w:szCs w:val="20"/>
      <w:lang w:val="es-MX" w:eastAsia="es-MX"/>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rPr>
      <w:rFonts w:ascii="Times New Roman" w:eastAsia="Times New Roman" w:hAnsi="Times New Roman" w:cs="Times New Roman"/>
      <w:lang w:val="es-MX"/>
    </w:rPr>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E21081"/>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left w:w="115" w:type="dxa"/>
        <w:right w:w="115" w:type="dxa"/>
      </w:tblCellMar>
    </w:tblPr>
  </w:style>
  <w:style w:type="table" w:customStyle="1" w:styleId="7">
    <w:name w:val="7"/>
    <w:basedOn w:val="TableNormal"/>
    <w:rsid w:val="00E21081"/>
    <w:tblPr>
      <w:tblStyleRowBandSize w:val="1"/>
      <w:tblStyleColBandSize w:val="1"/>
      <w:tblCellMar>
        <w:left w:w="115" w:type="dxa"/>
        <w:right w:w="115" w:type="dxa"/>
      </w:tblCellMar>
    </w:tblPr>
  </w:style>
  <w:style w:type="table" w:customStyle="1" w:styleId="6">
    <w:name w:val="6"/>
    <w:basedOn w:val="TableNormal"/>
    <w:rsid w:val="00E21081"/>
    <w:tblPr>
      <w:tblStyleRowBandSize w:val="1"/>
      <w:tblStyleColBandSize w:val="1"/>
      <w:tblCellMar>
        <w:left w:w="115" w:type="dxa"/>
        <w:right w:w="115" w:type="dxa"/>
      </w:tblCellMar>
    </w:tblPr>
  </w:style>
  <w:style w:type="table" w:customStyle="1" w:styleId="5">
    <w:name w:val="5"/>
    <w:basedOn w:val="TableNormal"/>
    <w:rsid w:val="00E21081"/>
    <w:tblPr>
      <w:tblStyleRowBandSize w:val="1"/>
      <w:tblStyleColBandSize w:val="1"/>
      <w:tblCellMar>
        <w:left w:w="115" w:type="dxa"/>
        <w:right w:w="115" w:type="dxa"/>
      </w:tblCellMar>
    </w:tblPr>
  </w:style>
  <w:style w:type="table" w:customStyle="1" w:styleId="4">
    <w:name w:val="4"/>
    <w:basedOn w:val="TableNormal"/>
    <w:rsid w:val="00E21081"/>
    <w:tblPr>
      <w:tblStyleRowBandSize w:val="1"/>
      <w:tblStyleColBandSize w:val="1"/>
      <w:tblCellMar>
        <w:left w:w="115" w:type="dxa"/>
        <w:right w:w="115" w:type="dxa"/>
      </w:tblCellMar>
    </w:tblPr>
  </w:style>
  <w:style w:type="table" w:customStyle="1" w:styleId="3">
    <w:name w:val="3"/>
    <w:basedOn w:val="TableNormal"/>
    <w:rsid w:val="00E21081"/>
    <w:tblPr>
      <w:tblStyleRowBandSize w:val="1"/>
      <w:tblStyleColBandSize w:val="1"/>
      <w:tblCellMar>
        <w:left w:w="115" w:type="dxa"/>
        <w:right w:w="115" w:type="dxa"/>
      </w:tblCellMar>
    </w:tblPr>
  </w:style>
  <w:style w:type="table" w:customStyle="1" w:styleId="2">
    <w:name w:val="2"/>
    <w:basedOn w:val="TableNormal"/>
    <w:rsid w:val="00E21081"/>
    <w:tblPr>
      <w:tblStyleRowBandSize w:val="1"/>
      <w:tblStyleColBandSize w:val="1"/>
      <w:tblCellMar>
        <w:left w:w="115" w:type="dxa"/>
        <w:right w:w="115" w:type="dxa"/>
      </w:tblCellMar>
    </w:tblPr>
  </w:style>
  <w:style w:type="table" w:customStyle="1" w:styleId="1">
    <w:name w:val="1"/>
    <w:basedOn w:val="TableNormal"/>
    <w:rsid w:val="00E21081"/>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ams">
    <w:name w:val="ams"/>
    <w:basedOn w:val="Fuentedeprrafopredeter"/>
    <w:rsid w:val="00E21081"/>
  </w:style>
  <w:style w:type="numbering" w:customStyle="1" w:styleId="Sinlista2">
    <w:name w:val="Sin lista2"/>
    <w:next w:val="Sinlista"/>
    <w:uiPriority w:val="99"/>
    <w:semiHidden/>
    <w:unhideWhenUsed/>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left w:w="115" w:type="dxa"/>
        <w:right w:w="115" w:type="dxa"/>
      </w:tblCellMar>
    </w:tblPr>
  </w:style>
  <w:style w:type="table" w:customStyle="1" w:styleId="71">
    <w:name w:val="71"/>
    <w:basedOn w:val="TableNormal"/>
    <w:rsid w:val="00E21081"/>
    <w:tblPr>
      <w:tblStyleRowBandSize w:val="1"/>
      <w:tblStyleColBandSize w:val="1"/>
      <w:tblCellMar>
        <w:left w:w="115" w:type="dxa"/>
        <w:right w:w="115" w:type="dxa"/>
      </w:tblCellMar>
    </w:tblPr>
  </w:style>
  <w:style w:type="table" w:customStyle="1" w:styleId="61">
    <w:name w:val="61"/>
    <w:basedOn w:val="TableNormal"/>
    <w:rsid w:val="00E21081"/>
    <w:tblPr>
      <w:tblStyleRowBandSize w:val="1"/>
      <w:tblStyleColBandSize w:val="1"/>
      <w:tblCellMar>
        <w:left w:w="115" w:type="dxa"/>
        <w:right w:w="115" w:type="dxa"/>
      </w:tblCellMar>
    </w:tblPr>
  </w:style>
  <w:style w:type="table" w:customStyle="1" w:styleId="51">
    <w:name w:val="51"/>
    <w:basedOn w:val="TableNormal"/>
    <w:rsid w:val="00E21081"/>
    <w:tblPr>
      <w:tblStyleRowBandSize w:val="1"/>
      <w:tblStyleColBandSize w:val="1"/>
      <w:tblCellMar>
        <w:left w:w="115" w:type="dxa"/>
        <w:right w:w="115" w:type="dxa"/>
      </w:tblCellMar>
    </w:tblPr>
  </w:style>
  <w:style w:type="table" w:customStyle="1" w:styleId="41">
    <w:name w:val="41"/>
    <w:basedOn w:val="TableNormal"/>
    <w:rsid w:val="00E21081"/>
    <w:tblPr>
      <w:tblStyleRowBandSize w:val="1"/>
      <w:tblStyleColBandSize w:val="1"/>
      <w:tblCellMar>
        <w:left w:w="115" w:type="dxa"/>
        <w:right w:w="115" w:type="dxa"/>
      </w:tblCellMar>
    </w:tblPr>
  </w:style>
  <w:style w:type="table" w:customStyle="1" w:styleId="31">
    <w:name w:val="31"/>
    <w:basedOn w:val="TableNormal"/>
    <w:rsid w:val="00E21081"/>
    <w:tblPr>
      <w:tblStyleRowBandSize w:val="1"/>
      <w:tblStyleColBandSize w:val="1"/>
      <w:tblCellMar>
        <w:left w:w="115" w:type="dxa"/>
        <w:right w:w="115" w:type="dxa"/>
      </w:tblCellMar>
    </w:tblPr>
  </w:style>
  <w:style w:type="table" w:customStyle="1" w:styleId="21">
    <w:name w:val="21"/>
    <w:basedOn w:val="TableNormal"/>
    <w:rsid w:val="00E21081"/>
    <w:tblPr>
      <w:tblStyleRowBandSize w:val="1"/>
      <w:tblStyleColBandSize w:val="1"/>
      <w:tblCellMar>
        <w:left w:w="115" w:type="dxa"/>
        <w:right w:w="115" w:type="dxa"/>
      </w:tblCellMar>
    </w:tblPr>
  </w:style>
  <w:style w:type="table" w:customStyle="1" w:styleId="11">
    <w:name w:val="11"/>
    <w:basedOn w:val="TableNormal"/>
    <w:rsid w:val="00E2108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723722844">
      <w:bodyDiv w:val="1"/>
      <w:marLeft w:val="0"/>
      <w:marRight w:val="0"/>
      <w:marTop w:val="0"/>
      <w:marBottom w:val="0"/>
      <w:divBdr>
        <w:top w:val="none" w:sz="0" w:space="0" w:color="auto"/>
        <w:left w:val="none" w:sz="0" w:space="0" w:color="auto"/>
        <w:bottom w:val="none" w:sz="0" w:space="0" w:color="auto"/>
        <w:right w:val="none" w:sz="0" w:space="0" w:color="auto"/>
      </w:divBdr>
    </w:div>
    <w:div w:id="1070689965">
      <w:bodyDiv w:val="1"/>
      <w:marLeft w:val="0"/>
      <w:marRight w:val="0"/>
      <w:marTop w:val="0"/>
      <w:marBottom w:val="0"/>
      <w:divBdr>
        <w:top w:val="none" w:sz="0" w:space="0" w:color="auto"/>
        <w:left w:val="none" w:sz="0" w:space="0" w:color="auto"/>
        <w:bottom w:val="none" w:sz="0" w:space="0" w:color="auto"/>
        <w:right w:val="none" w:sz="0" w:space="0" w:color="auto"/>
      </w:divBdr>
    </w:div>
    <w:div w:id="1111389998">
      <w:bodyDiv w:val="1"/>
      <w:marLeft w:val="0"/>
      <w:marRight w:val="0"/>
      <w:marTop w:val="0"/>
      <w:marBottom w:val="0"/>
      <w:divBdr>
        <w:top w:val="none" w:sz="0" w:space="0" w:color="auto"/>
        <w:left w:val="none" w:sz="0" w:space="0" w:color="auto"/>
        <w:bottom w:val="none" w:sz="0" w:space="0" w:color="auto"/>
        <w:right w:val="none" w:sz="0" w:space="0" w:color="auto"/>
      </w:divBdr>
    </w:div>
    <w:div w:id="13723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77330.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369187.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5946</Words>
  <Characters>32707</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2022-07-12T00:47:00Z</dcterms:created>
  <dcterms:modified xsi:type="dcterms:W3CDTF">2022-07-12T00:47:00Z</dcterms:modified>
</cp:coreProperties>
</file>