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5C5F89" w:rsidR="00CA1727" w:rsidP="003A7290" w:rsidRDefault="00CA1727" w14:paraId="3FC9CC11" w14:textId="1369BCC1">
      <w:pPr>
        <w:tabs>
          <w:tab w:val="left" w:pos="8931"/>
        </w:tabs>
        <w:spacing w:after="0" w:line="360" w:lineRule="auto"/>
        <w:rPr>
          <w:rFonts w:eastAsia="Calibri" w:cs="Tahoma"/>
          <w:lang w:val="es-ES"/>
        </w:rPr>
      </w:pPr>
      <w:r w:rsidRPr="005C5F89">
        <w:rPr>
          <w:rFonts w:cs="Tahoma"/>
          <w:bCs/>
        </w:rPr>
        <w:t xml:space="preserve">Resolución del Pleno del Instituto de Transparencia, Acceso a la Información Pública y Protección de Datos Personales del Estado de México y Municipios, con domicilio en Metepec, </w:t>
      </w:r>
      <w:r w:rsidRPr="005C5F89">
        <w:rPr>
          <w:rFonts w:eastAsia="Calibri" w:cs="Tahoma"/>
          <w:lang w:val="es-ES"/>
        </w:rPr>
        <w:t xml:space="preserve">Estado de México, de fecha </w:t>
      </w:r>
      <w:r w:rsidRPr="005C5F89" w:rsidR="006C3B04">
        <w:rPr>
          <w:rFonts w:eastAsia="Calibri" w:cs="Tahoma"/>
          <w:lang w:val="es-ES"/>
        </w:rPr>
        <w:t>veinticuatro</w:t>
      </w:r>
      <w:r w:rsidRPr="005C5F89" w:rsidR="007A3B0C">
        <w:rPr>
          <w:rFonts w:eastAsia="Calibri" w:cs="Tahoma"/>
          <w:lang w:val="es-ES"/>
        </w:rPr>
        <w:t xml:space="preserve"> de agosto</w:t>
      </w:r>
      <w:r w:rsidRPr="005C5F89">
        <w:rPr>
          <w:rFonts w:eastAsia="Calibri" w:cs="Tahoma"/>
          <w:lang w:val="es-ES"/>
        </w:rPr>
        <w:t xml:space="preserve"> de dos mil veintidós. </w:t>
      </w:r>
    </w:p>
    <w:p w:rsidRPr="005C5F89" w:rsidR="00CA1727" w:rsidP="003A7290" w:rsidRDefault="00CA1727" w14:paraId="3BA679EC" w14:textId="77777777">
      <w:pPr>
        <w:spacing w:after="0" w:line="360" w:lineRule="auto"/>
        <w:rPr>
          <w:rFonts w:eastAsia="Calibri" w:cs="Tahoma"/>
          <w:b/>
          <w:bCs/>
          <w:lang w:val="es-ES"/>
        </w:rPr>
      </w:pPr>
    </w:p>
    <w:p w:rsidRPr="005C5F89" w:rsidR="00CA1727" w:rsidP="003A7290" w:rsidRDefault="00CA1727" w14:paraId="7CA03317" w14:textId="386810A6">
      <w:pPr>
        <w:spacing w:after="0" w:line="360" w:lineRule="auto"/>
        <w:rPr>
          <w:rFonts w:cs="Tahoma"/>
          <w:color w:val="0D0D0D" w:themeColor="text1" w:themeTint="F2"/>
        </w:rPr>
      </w:pPr>
      <w:r w:rsidRPr="0E4546A3" w:rsidR="0E4546A3">
        <w:rPr>
          <w:rFonts w:eastAsia="Calibri" w:cs="Tahoma"/>
          <w:b w:val="1"/>
          <w:bCs w:val="1"/>
          <w:lang w:val="es-ES"/>
        </w:rPr>
        <w:t xml:space="preserve">VISTO </w:t>
      </w:r>
      <w:r w:rsidRPr="0E4546A3" w:rsidR="0E4546A3">
        <w:rPr>
          <w:rFonts w:eastAsia="Calibri" w:cs="Tahoma"/>
          <w:lang w:val="es-ES"/>
        </w:rPr>
        <w:t xml:space="preserve">los expedientes conformados con motivo de los Recursos de Revisión </w:t>
      </w:r>
      <w:r w:rsidRPr="0E4546A3" w:rsidR="0E4546A3">
        <w:rPr>
          <w:rFonts w:eastAsia="Calibri" w:cs="Tahoma"/>
        </w:rPr>
        <w:t xml:space="preserve">05571/INFOEM/IP/RR/2022 y 05572/INFOEM/IP/RR/2022, interpuesto por </w:t>
      </w:r>
      <w:r w:rsidRPr="0E4546A3" w:rsidR="0E4546A3">
        <w:rPr>
          <w:rFonts w:eastAsia="Calibri" w:cs="Tahoma"/>
          <w:highlight w:val="black"/>
        </w:rPr>
        <w:t>XXXXXXXXXXX XXXX</w:t>
      </w:r>
      <w:r w:rsidRPr="0E4546A3" w:rsidR="0E4546A3">
        <w:rPr>
          <w:rFonts w:eastAsia="Calibri" w:cs="Tahoma"/>
        </w:rPr>
        <w:t xml:space="preserve">, en lo sucesivo </w:t>
      </w:r>
      <w:r w:rsidRPr="0E4546A3" w:rsidR="0E4546A3">
        <w:rPr>
          <w:rFonts w:cs="Tahoma"/>
          <w:color w:val="0D0D0D" w:themeColor="text1" w:themeTint="F2" w:themeShade="FF"/>
        </w:rPr>
        <w:t xml:space="preserve">Recurrente o Particular, en contra de la respuesta del Sujeto Obligado, Ayuntamiento de Toluca, a las solicitudes de acceso a la información pública </w:t>
      </w:r>
      <w:r w:rsidR="0E4546A3">
        <w:rPr/>
        <w:t>00671/TOLUCA/IP/2022 y 00674/TOLUCA/IP/2022</w:t>
      </w:r>
      <w:r w:rsidRPr="0E4546A3" w:rsidR="0E4546A3">
        <w:rPr>
          <w:rFonts w:cs="Tahoma"/>
          <w:color w:val="0D0D0D" w:themeColor="text1" w:themeTint="F2" w:themeShade="FF"/>
        </w:rPr>
        <w:t>, se emite la presente Resolución, con base en los Antecedentes y Considerandos que se exponen a continuación:</w:t>
      </w:r>
    </w:p>
    <w:p w:rsidRPr="005C5F89" w:rsidR="00CA1727" w:rsidP="003A7290" w:rsidRDefault="00CA1727" w14:paraId="28D4E9D3" w14:textId="77777777">
      <w:pPr>
        <w:spacing w:after="0" w:line="360" w:lineRule="auto"/>
        <w:rPr>
          <w:rFonts w:eastAsia="Calibri" w:cs="Tahoma"/>
          <w:b/>
          <w:bCs/>
          <w:lang w:val="es-ES"/>
        </w:rPr>
      </w:pPr>
    </w:p>
    <w:p w:rsidRPr="005C5F89" w:rsidR="00CA1727" w:rsidP="003A7290" w:rsidRDefault="00CA1727" w14:paraId="0B1B0FDC" w14:textId="77777777">
      <w:pPr>
        <w:spacing w:after="0" w:line="360" w:lineRule="auto"/>
        <w:jc w:val="center"/>
        <w:rPr>
          <w:rFonts w:eastAsia="Calibri" w:cs="Tahoma"/>
          <w:b/>
          <w:bCs/>
          <w:lang w:val="es-ES"/>
        </w:rPr>
      </w:pPr>
      <w:r w:rsidRPr="005C5F89">
        <w:rPr>
          <w:rFonts w:eastAsia="Calibri" w:cs="Tahoma"/>
          <w:b/>
          <w:bCs/>
          <w:lang w:val="es-ES"/>
        </w:rPr>
        <w:t>A N T E C E D E N T E S:</w:t>
      </w:r>
    </w:p>
    <w:p w:rsidRPr="005C5F89" w:rsidR="00CA1727" w:rsidP="003A7290" w:rsidRDefault="00CA1727" w14:paraId="283C13FC" w14:textId="77777777">
      <w:pPr>
        <w:spacing w:after="0" w:line="360" w:lineRule="auto"/>
        <w:rPr>
          <w:lang w:val="es-ES"/>
        </w:rPr>
      </w:pPr>
    </w:p>
    <w:p w:rsidRPr="005C5F89" w:rsidR="00CA1727" w:rsidP="003A7290" w:rsidRDefault="00CA1727" w14:paraId="23D772B4" w14:textId="77777777">
      <w:pPr>
        <w:spacing w:after="0" w:line="360" w:lineRule="auto"/>
        <w:rPr>
          <w:rFonts w:eastAsia="Calibri" w:cs="Tahoma"/>
          <w:b/>
          <w:bCs/>
          <w:lang w:val="es-ES"/>
        </w:rPr>
      </w:pPr>
      <w:r w:rsidRPr="005C5F89">
        <w:rPr>
          <w:rFonts w:eastAsia="Calibri" w:cs="Tahoma"/>
          <w:b/>
          <w:bCs/>
          <w:lang w:val="es-ES"/>
        </w:rPr>
        <w:t>I. Presentación de la solicitud de información.</w:t>
      </w:r>
    </w:p>
    <w:p w:rsidRPr="005C5F89" w:rsidR="00CA1727" w:rsidP="003A7290" w:rsidRDefault="00CA1727" w14:paraId="1B583A29" w14:textId="77777777">
      <w:pPr>
        <w:spacing w:after="0" w:line="360" w:lineRule="auto"/>
        <w:rPr>
          <w:rFonts w:eastAsia="Calibri" w:cs="Tahoma"/>
          <w:b/>
          <w:bCs/>
          <w:lang w:val="es-ES"/>
        </w:rPr>
      </w:pPr>
    </w:p>
    <w:p w:rsidRPr="005C5F89" w:rsidR="00CA1727" w:rsidP="003A7290" w:rsidRDefault="00CA1727" w14:paraId="22BBF769" w14:textId="43A181EB">
      <w:pPr>
        <w:spacing w:after="0" w:line="360" w:lineRule="auto"/>
        <w:rPr>
          <w:rFonts w:cs="Tahoma"/>
        </w:rPr>
      </w:pPr>
      <w:r w:rsidRPr="005C5F89">
        <w:rPr>
          <w:rFonts w:eastAsia="Calibri" w:cs="Tahoma"/>
          <w:lang w:val="es-ES"/>
        </w:rPr>
        <w:t xml:space="preserve">Con fecha catorce de marzo de dos mil veintidós, </w:t>
      </w:r>
      <w:r w:rsidRPr="005C5F89" w:rsidR="006C3B04">
        <w:rPr>
          <w:rFonts w:eastAsia="Calibri" w:cs="Tahoma"/>
          <w:lang w:val="es-ES"/>
        </w:rPr>
        <w:t>la Particular presentó dos</w:t>
      </w:r>
      <w:r w:rsidRPr="005C5F89">
        <w:rPr>
          <w:rFonts w:eastAsia="Calibri" w:cs="Tahoma"/>
          <w:lang w:val="es-ES"/>
        </w:rPr>
        <w:t xml:space="preserve"> solicitudes de información, a través del Sistema de Acceso a la Información Mexiquense (SAIMEX), ante el </w:t>
      </w:r>
      <w:r w:rsidRPr="005C5F89">
        <w:rPr>
          <w:rFonts w:eastAsia="Calibri" w:cs="Tahoma"/>
        </w:rPr>
        <w:t>Ayuntamiento de Toluca</w:t>
      </w:r>
      <w:r w:rsidRPr="005C5F89">
        <w:rPr>
          <w:b/>
          <w:bCs/>
          <w:lang w:val="es-ES"/>
        </w:rPr>
        <w:t>,</w:t>
      </w:r>
      <w:r w:rsidRPr="005C5F89">
        <w:rPr>
          <w:rFonts w:cs="Tahoma"/>
        </w:rPr>
        <w:t xml:space="preserve"> en los siguientes términos:</w:t>
      </w:r>
    </w:p>
    <w:p w:rsidRPr="005C5F89" w:rsidR="00CA1727" w:rsidP="003A7290" w:rsidRDefault="00CA1727" w14:paraId="200F39AF" w14:textId="77777777">
      <w:pPr>
        <w:spacing w:after="0" w:line="360" w:lineRule="auto"/>
        <w:rPr>
          <w:rFonts w:cs="Tahoma"/>
          <w:i/>
          <w:iCs/>
        </w:rPr>
      </w:pPr>
    </w:p>
    <w:p w:rsidRPr="005C5F89" w:rsidR="00CA1727" w:rsidP="003A7290" w:rsidRDefault="006C3B04" w14:paraId="0324AD71" w14:textId="6FDCCDF9">
      <w:pPr>
        <w:tabs>
          <w:tab w:val="left" w:pos="4667"/>
        </w:tabs>
        <w:spacing w:after="0" w:line="360" w:lineRule="auto"/>
        <w:ind w:left="567" w:right="567"/>
        <w:rPr>
          <w:b/>
          <w:bCs/>
          <w:i/>
          <w:iCs/>
          <w:sz w:val="20"/>
          <w:szCs w:val="20"/>
        </w:rPr>
      </w:pPr>
      <w:r w:rsidRPr="005C5F89">
        <w:rPr>
          <w:b/>
          <w:bCs/>
          <w:i/>
          <w:iCs/>
          <w:sz w:val="20"/>
          <w:szCs w:val="20"/>
        </w:rPr>
        <w:t>S</w:t>
      </w:r>
      <w:r w:rsidRPr="005C5F89" w:rsidR="00CA1727">
        <w:rPr>
          <w:b/>
          <w:bCs/>
          <w:i/>
          <w:iCs/>
          <w:sz w:val="20"/>
          <w:szCs w:val="20"/>
        </w:rPr>
        <w:t>olicitud 00671/TOLUCA/IP/2022</w:t>
      </w:r>
    </w:p>
    <w:p w:rsidRPr="005C5F89" w:rsidR="00CA1727" w:rsidP="003A7290" w:rsidRDefault="00CA1727" w14:paraId="311E8ABD" w14:textId="77777777">
      <w:pPr>
        <w:tabs>
          <w:tab w:val="left" w:pos="4667"/>
        </w:tabs>
        <w:spacing w:after="0" w:line="360" w:lineRule="auto"/>
        <w:ind w:left="567" w:right="567"/>
        <w:rPr>
          <w:rFonts w:cs="Tahoma"/>
          <w:b/>
          <w:bCs/>
          <w:i/>
          <w:iCs/>
          <w:sz w:val="20"/>
          <w:szCs w:val="20"/>
        </w:rPr>
      </w:pPr>
      <w:r w:rsidRPr="005C5F89">
        <w:rPr>
          <w:rFonts w:cs="Tahoma"/>
          <w:b/>
          <w:bCs/>
          <w:i/>
          <w:iCs/>
          <w:sz w:val="20"/>
          <w:szCs w:val="20"/>
        </w:rPr>
        <w:t>“DESCRIPCIÓN CLARA Y PRECISA DE LA INFORMACIÓN SOLICITADA</w:t>
      </w:r>
    </w:p>
    <w:p w:rsidRPr="005C5F89" w:rsidR="00CA1727" w:rsidP="003A7290" w:rsidRDefault="00CA1727" w14:paraId="268543AE" w14:textId="77777777">
      <w:pPr>
        <w:tabs>
          <w:tab w:val="left" w:pos="4667"/>
        </w:tabs>
        <w:spacing w:after="0" w:line="360" w:lineRule="auto"/>
        <w:ind w:left="567" w:right="567"/>
        <w:rPr>
          <w:rFonts w:cs="Tahoma"/>
          <w:bCs/>
          <w:i/>
          <w:iCs/>
          <w:sz w:val="20"/>
          <w:szCs w:val="20"/>
        </w:rPr>
      </w:pPr>
      <w:r w:rsidRPr="005C5F89">
        <w:rPr>
          <w:i/>
          <w:iCs/>
          <w:color w:val="000000"/>
          <w:sz w:val="20"/>
          <w:szCs w:val="20"/>
        </w:rPr>
        <w:t xml:space="preserve">Solicito el listado de servidores </w:t>
      </w:r>
      <w:proofErr w:type="spellStart"/>
      <w:r w:rsidRPr="005C5F89">
        <w:rPr>
          <w:i/>
          <w:iCs/>
          <w:color w:val="000000"/>
          <w:sz w:val="20"/>
          <w:szCs w:val="20"/>
        </w:rPr>
        <w:t>publicos</w:t>
      </w:r>
      <w:proofErr w:type="spellEnd"/>
      <w:r w:rsidRPr="005C5F89">
        <w:rPr>
          <w:i/>
          <w:iCs/>
          <w:color w:val="000000"/>
          <w:sz w:val="20"/>
          <w:szCs w:val="20"/>
        </w:rPr>
        <w:t xml:space="preserve">, de base, de confianza, sindicalizados, categorías, salarios, adscritos a la Presidencia Municipal, </w:t>
      </w:r>
      <w:proofErr w:type="spellStart"/>
      <w:r w:rsidRPr="005C5F89">
        <w:rPr>
          <w:i/>
          <w:iCs/>
          <w:color w:val="000000"/>
          <w:sz w:val="20"/>
          <w:szCs w:val="20"/>
        </w:rPr>
        <w:t>regidurias</w:t>
      </w:r>
      <w:proofErr w:type="spellEnd"/>
      <w:r w:rsidRPr="005C5F89">
        <w:rPr>
          <w:i/>
          <w:iCs/>
          <w:color w:val="000000"/>
          <w:sz w:val="20"/>
          <w:szCs w:val="20"/>
        </w:rPr>
        <w:t xml:space="preserve">, sindicaturas, </w:t>
      </w:r>
      <w:proofErr w:type="gramStart"/>
      <w:r w:rsidRPr="005C5F89">
        <w:rPr>
          <w:i/>
          <w:iCs/>
          <w:color w:val="000000"/>
          <w:sz w:val="20"/>
          <w:szCs w:val="20"/>
        </w:rPr>
        <w:t>Secretaria</w:t>
      </w:r>
      <w:proofErr w:type="gramEnd"/>
      <w:r w:rsidRPr="005C5F89">
        <w:rPr>
          <w:i/>
          <w:iCs/>
          <w:color w:val="000000"/>
          <w:sz w:val="20"/>
          <w:szCs w:val="20"/>
        </w:rPr>
        <w:t xml:space="preserve"> del ayuntamiento. Dirección de Seguridad Pública.</w:t>
      </w:r>
      <w:r w:rsidRPr="005C5F89">
        <w:rPr>
          <w:rFonts w:cs="Tahoma"/>
          <w:bCs/>
          <w:i/>
          <w:iCs/>
          <w:sz w:val="20"/>
          <w:szCs w:val="20"/>
        </w:rPr>
        <w:t xml:space="preserve">” </w:t>
      </w:r>
      <w:r w:rsidRPr="005C5F89">
        <w:rPr>
          <w:rFonts w:eastAsia="Times New Roman" w:cs="Arial"/>
          <w:bCs/>
          <w:i/>
          <w:iCs/>
          <w:color w:val="auto"/>
          <w:sz w:val="20"/>
          <w:szCs w:val="20"/>
          <w:lang w:eastAsia="es-ES"/>
        </w:rPr>
        <w:t>(Sic)</w:t>
      </w:r>
    </w:p>
    <w:p w:rsidRPr="005C5F89" w:rsidR="00CA1727" w:rsidP="003A7290" w:rsidRDefault="00CA1727" w14:paraId="61822EC5" w14:textId="138EE548">
      <w:pPr>
        <w:spacing w:after="0" w:line="360" w:lineRule="auto"/>
        <w:ind w:right="567"/>
        <w:rPr>
          <w:rFonts w:eastAsia="Times New Roman" w:cs="Arial"/>
          <w:bCs/>
          <w:i/>
          <w:iCs/>
          <w:color w:val="auto"/>
          <w:sz w:val="20"/>
          <w:lang w:eastAsia="es-ES"/>
        </w:rPr>
      </w:pPr>
    </w:p>
    <w:p w:rsidRPr="005C5F89" w:rsidR="006C3B04" w:rsidP="003A7290" w:rsidRDefault="006C3B04" w14:paraId="3BF048C8" w14:textId="77777777">
      <w:pPr>
        <w:tabs>
          <w:tab w:val="left" w:pos="4667"/>
        </w:tabs>
        <w:spacing w:after="0" w:line="360" w:lineRule="auto"/>
        <w:ind w:left="567" w:right="567"/>
        <w:rPr>
          <w:rFonts w:eastAsia="Times New Roman" w:cs="Tahoma"/>
          <w:b/>
          <w:bCs/>
          <w:i/>
          <w:iCs/>
          <w:color w:val="auto"/>
          <w:sz w:val="20"/>
          <w:szCs w:val="20"/>
          <w:lang w:eastAsia="es-ES"/>
        </w:rPr>
      </w:pPr>
      <w:r w:rsidRPr="005C5F89">
        <w:rPr>
          <w:rFonts w:eastAsia="Times New Roman" w:cs="Tahoma"/>
          <w:b/>
          <w:bCs/>
          <w:i/>
          <w:iCs/>
          <w:color w:val="auto"/>
          <w:sz w:val="20"/>
          <w:szCs w:val="20"/>
          <w:lang w:eastAsia="es-ES"/>
        </w:rPr>
        <w:t>“MODALIDAD DE ENTREGA</w:t>
      </w:r>
    </w:p>
    <w:p w:rsidRPr="005C5F89" w:rsidR="006C3B04" w:rsidP="003A7290" w:rsidRDefault="006C3B04" w14:paraId="0C2503A4" w14:textId="77777777">
      <w:pPr>
        <w:spacing w:after="0" w:line="360" w:lineRule="auto"/>
        <w:ind w:left="567" w:right="567"/>
        <w:rPr>
          <w:rFonts w:eastAsia="Times New Roman" w:cs="Arial"/>
          <w:bCs/>
          <w:i/>
          <w:iCs/>
          <w:color w:val="auto"/>
          <w:sz w:val="20"/>
          <w:szCs w:val="20"/>
          <w:lang w:eastAsia="es-ES"/>
        </w:rPr>
      </w:pPr>
      <w:r w:rsidRPr="005C5F89">
        <w:rPr>
          <w:rFonts w:eastAsia="Times New Roman" w:cs="Arial"/>
          <w:bCs/>
          <w:i/>
          <w:iCs/>
          <w:color w:val="auto"/>
          <w:sz w:val="20"/>
          <w:szCs w:val="20"/>
          <w:lang w:eastAsia="es-ES"/>
        </w:rPr>
        <w:t>A través del SAIMEX” (Sic)</w:t>
      </w:r>
    </w:p>
    <w:p w:rsidRPr="005C5F89" w:rsidR="006C3B04" w:rsidP="003A7290" w:rsidRDefault="006C3B04" w14:paraId="4EDF1AD6" w14:textId="59EF523C">
      <w:pPr>
        <w:tabs>
          <w:tab w:val="left" w:pos="4667"/>
        </w:tabs>
        <w:spacing w:after="0" w:line="360" w:lineRule="auto"/>
        <w:ind w:left="567" w:right="567"/>
        <w:rPr>
          <w:b/>
          <w:bCs/>
          <w:i/>
          <w:iCs/>
          <w:sz w:val="20"/>
          <w:szCs w:val="20"/>
        </w:rPr>
      </w:pPr>
      <w:r w:rsidRPr="005C5F89">
        <w:rPr>
          <w:b/>
          <w:bCs/>
          <w:i/>
          <w:iCs/>
          <w:sz w:val="20"/>
          <w:szCs w:val="20"/>
        </w:rPr>
        <w:lastRenderedPageBreak/>
        <w:t>Solicitud 00674/TOLUCA/IP/2022</w:t>
      </w:r>
    </w:p>
    <w:p w:rsidRPr="005C5F89" w:rsidR="00CA1727" w:rsidP="003A7290" w:rsidRDefault="00CA1727" w14:paraId="0CF0BE46" w14:textId="77777777">
      <w:pPr>
        <w:tabs>
          <w:tab w:val="left" w:pos="4667"/>
        </w:tabs>
        <w:spacing w:after="0" w:line="360" w:lineRule="auto"/>
        <w:ind w:left="567" w:right="567"/>
        <w:rPr>
          <w:rFonts w:cs="Tahoma"/>
          <w:b/>
          <w:bCs/>
          <w:i/>
          <w:sz w:val="20"/>
          <w:szCs w:val="20"/>
        </w:rPr>
      </w:pPr>
      <w:r w:rsidRPr="005C5F89">
        <w:rPr>
          <w:rFonts w:cs="Tahoma"/>
          <w:b/>
          <w:bCs/>
          <w:i/>
          <w:sz w:val="20"/>
          <w:szCs w:val="20"/>
        </w:rPr>
        <w:t>“DESCRIPCIÓN CLARA Y PRECISA DE LA INFORMACIÓN SOLICITADA</w:t>
      </w:r>
    </w:p>
    <w:p w:rsidRPr="005C5F89" w:rsidR="00CA1727" w:rsidP="003A7290" w:rsidRDefault="00CA1727" w14:paraId="0952479D" w14:textId="77777777">
      <w:pPr>
        <w:tabs>
          <w:tab w:val="left" w:pos="4667"/>
        </w:tabs>
        <w:spacing w:after="0" w:line="360" w:lineRule="auto"/>
        <w:ind w:left="567" w:right="567"/>
        <w:rPr>
          <w:rFonts w:cs="Tahoma"/>
          <w:bCs/>
          <w:i/>
          <w:sz w:val="20"/>
          <w:szCs w:val="20"/>
        </w:rPr>
      </w:pPr>
      <w:r w:rsidRPr="005C5F89">
        <w:rPr>
          <w:i/>
          <w:iCs/>
          <w:color w:val="000000"/>
          <w:sz w:val="20"/>
          <w:szCs w:val="20"/>
        </w:rPr>
        <w:t xml:space="preserve">Solicito el listado de servidores </w:t>
      </w:r>
      <w:proofErr w:type="spellStart"/>
      <w:r w:rsidRPr="005C5F89">
        <w:rPr>
          <w:i/>
          <w:iCs/>
          <w:color w:val="000000"/>
          <w:sz w:val="20"/>
          <w:szCs w:val="20"/>
        </w:rPr>
        <w:t>publicos</w:t>
      </w:r>
      <w:proofErr w:type="spellEnd"/>
      <w:r w:rsidRPr="005C5F89">
        <w:rPr>
          <w:i/>
          <w:iCs/>
          <w:color w:val="000000"/>
          <w:sz w:val="20"/>
          <w:szCs w:val="20"/>
        </w:rPr>
        <w:t>, de base, de confianza, sindicalizados, categorías, salarios, adscritos a Planeación, Coordinación de Asesores, Mejora Regulatoria, Gabinete, Servicios Públicos, Administración, Mujer, Bienestar Social, Medio Ambiente</w:t>
      </w:r>
      <w:r w:rsidRPr="005C5F89">
        <w:rPr>
          <w:rFonts w:ascii="Verdana" w:hAnsi="Verdana"/>
          <w:color w:val="000000"/>
          <w:sz w:val="20"/>
          <w:szCs w:val="20"/>
        </w:rPr>
        <w:t>.</w:t>
      </w:r>
      <w:r w:rsidRPr="005C5F89">
        <w:rPr>
          <w:rFonts w:cs="Tahoma"/>
          <w:bCs/>
          <w:i/>
          <w:sz w:val="20"/>
          <w:szCs w:val="20"/>
        </w:rPr>
        <w:t xml:space="preserve">” </w:t>
      </w:r>
      <w:r w:rsidRPr="005C5F89">
        <w:rPr>
          <w:rFonts w:eastAsia="Times New Roman" w:cs="Arial"/>
          <w:bCs/>
          <w:i/>
          <w:iCs/>
          <w:color w:val="auto"/>
          <w:sz w:val="20"/>
          <w:szCs w:val="20"/>
          <w:lang w:eastAsia="es-ES"/>
        </w:rPr>
        <w:t>(Sic)</w:t>
      </w:r>
    </w:p>
    <w:p w:rsidRPr="005C5F89" w:rsidR="00CA1727" w:rsidP="003A7290" w:rsidRDefault="00CA1727" w14:paraId="349211A6" w14:textId="77777777">
      <w:pPr>
        <w:spacing w:after="0" w:line="360" w:lineRule="auto"/>
        <w:ind w:left="567" w:right="567"/>
        <w:rPr>
          <w:rFonts w:eastAsia="Times New Roman" w:cs="Arial"/>
          <w:bCs/>
          <w:i/>
          <w:iCs/>
          <w:color w:val="auto"/>
          <w:sz w:val="20"/>
          <w:lang w:eastAsia="es-ES"/>
        </w:rPr>
      </w:pPr>
    </w:p>
    <w:p w:rsidRPr="005C5F89" w:rsidR="00CA1727" w:rsidP="003A7290" w:rsidRDefault="00CA1727" w14:paraId="5ED89A04" w14:textId="77777777">
      <w:pPr>
        <w:tabs>
          <w:tab w:val="left" w:pos="4667"/>
        </w:tabs>
        <w:spacing w:after="0" w:line="360" w:lineRule="auto"/>
        <w:ind w:left="567" w:right="567"/>
        <w:rPr>
          <w:rFonts w:eastAsia="Times New Roman" w:cs="Tahoma"/>
          <w:b/>
          <w:bCs/>
          <w:i/>
          <w:iCs/>
          <w:color w:val="auto"/>
          <w:sz w:val="20"/>
          <w:szCs w:val="20"/>
          <w:lang w:eastAsia="es-ES"/>
        </w:rPr>
      </w:pPr>
      <w:r w:rsidRPr="005C5F89">
        <w:rPr>
          <w:rFonts w:eastAsia="Times New Roman" w:cs="Tahoma"/>
          <w:b/>
          <w:bCs/>
          <w:i/>
          <w:iCs/>
          <w:color w:val="auto"/>
          <w:sz w:val="20"/>
          <w:szCs w:val="20"/>
          <w:lang w:eastAsia="es-ES"/>
        </w:rPr>
        <w:t>“MODALIDAD DE ENTREGA</w:t>
      </w:r>
    </w:p>
    <w:p w:rsidRPr="005C5F89" w:rsidR="00CA1727" w:rsidP="003A7290" w:rsidRDefault="00CA1727" w14:paraId="36997002" w14:textId="77777777">
      <w:pPr>
        <w:spacing w:after="0" w:line="360" w:lineRule="auto"/>
        <w:ind w:left="567" w:right="567"/>
        <w:rPr>
          <w:rFonts w:eastAsia="Times New Roman" w:cs="Arial"/>
          <w:bCs/>
          <w:i/>
          <w:iCs/>
          <w:color w:val="auto"/>
          <w:sz w:val="20"/>
          <w:szCs w:val="20"/>
          <w:lang w:eastAsia="es-ES"/>
        </w:rPr>
      </w:pPr>
      <w:r w:rsidRPr="005C5F89">
        <w:rPr>
          <w:rFonts w:eastAsia="Times New Roman" w:cs="Arial"/>
          <w:bCs/>
          <w:i/>
          <w:iCs/>
          <w:color w:val="auto"/>
          <w:sz w:val="20"/>
          <w:szCs w:val="20"/>
          <w:lang w:eastAsia="es-ES"/>
        </w:rPr>
        <w:t>A través del SAIMEX” (Sic)</w:t>
      </w:r>
    </w:p>
    <w:p w:rsidRPr="005C5F89" w:rsidR="00CA1727" w:rsidP="003A7290" w:rsidRDefault="00CA1727" w14:paraId="376ACD6D" w14:textId="77777777">
      <w:pPr>
        <w:spacing w:after="0" w:line="360" w:lineRule="auto"/>
        <w:ind w:left="567" w:right="567"/>
        <w:rPr>
          <w:rFonts w:eastAsia="Times New Roman" w:cs="Arial"/>
          <w:bCs/>
          <w:i/>
          <w:iCs/>
          <w:color w:val="auto"/>
          <w:sz w:val="20"/>
          <w:lang w:eastAsia="es-ES"/>
        </w:rPr>
      </w:pPr>
    </w:p>
    <w:p w:rsidRPr="005C5F89" w:rsidR="00CA1727" w:rsidP="003A7290" w:rsidRDefault="00CA1727" w14:paraId="17579A21" w14:textId="77777777">
      <w:pPr>
        <w:spacing w:after="0" w:line="360" w:lineRule="auto"/>
        <w:rPr>
          <w:rFonts w:eastAsia="Calibri" w:cs="Tahoma"/>
          <w:b/>
          <w:bCs/>
        </w:rPr>
      </w:pPr>
      <w:r w:rsidRPr="005C5F89">
        <w:rPr>
          <w:rFonts w:eastAsia="Calibri" w:cs="Tahoma"/>
          <w:b/>
          <w:bCs/>
        </w:rPr>
        <w:t xml:space="preserve">II. </w:t>
      </w:r>
      <w:r w:rsidRPr="005C5F89">
        <w:rPr>
          <w:rFonts w:eastAsia="Calibri" w:cs="Tahoma"/>
          <w:b/>
        </w:rPr>
        <w:t>Respuesta</w:t>
      </w:r>
      <w:r w:rsidRPr="005C5F89">
        <w:rPr>
          <w:rFonts w:eastAsia="Calibri" w:cs="Tahoma"/>
          <w:b/>
          <w:bCs/>
        </w:rPr>
        <w:t xml:space="preserve"> del Sujeto Obligado.</w:t>
      </w:r>
    </w:p>
    <w:p w:rsidRPr="005C5F89" w:rsidR="00CA1727" w:rsidP="003A7290" w:rsidRDefault="00CA1727" w14:paraId="16C09B10" w14:textId="77777777">
      <w:pPr>
        <w:spacing w:after="0" w:line="360" w:lineRule="auto"/>
        <w:rPr>
          <w:rFonts w:eastAsia="Calibri" w:cs="Tahoma"/>
          <w:b/>
          <w:bCs/>
        </w:rPr>
      </w:pPr>
    </w:p>
    <w:p w:rsidRPr="005C5F89" w:rsidR="00CA1727" w:rsidP="003A7290" w:rsidRDefault="00CA1727" w14:paraId="76097BB1" w14:textId="36D2AD60">
      <w:pPr>
        <w:autoSpaceDE w:val="0"/>
        <w:autoSpaceDN w:val="0"/>
        <w:adjustRightInd w:val="0"/>
        <w:spacing w:after="0" w:line="360" w:lineRule="auto"/>
        <w:rPr>
          <w:rFonts w:eastAsia="Times New Roman" w:cs="Tahoma"/>
          <w:color w:val="auto"/>
          <w:lang w:eastAsia="es-ES"/>
        </w:rPr>
      </w:pPr>
      <w:r w:rsidRPr="005C5F89">
        <w:rPr>
          <w:rFonts w:eastAsia="Calibri" w:cs="Tahoma"/>
          <w:color w:val="000000"/>
        </w:rPr>
        <w:t xml:space="preserve">Con fecha </w:t>
      </w:r>
      <w:r w:rsidRPr="005C5F89" w:rsidR="00E274A5">
        <w:rPr>
          <w:rFonts w:eastAsia="Calibri" w:cs="Tahoma"/>
          <w:color w:val="000000"/>
        </w:rPr>
        <w:t>cinco</w:t>
      </w:r>
      <w:r w:rsidRPr="005C5F89">
        <w:rPr>
          <w:rFonts w:eastAsia="Calibri" w:cs="Tahoma"/>
          <w:color w:val="000000"/>
        </w:rPr>
        <w:t xml:space="preserve"> de abril de dos mil veintidós, el Sujeto Obligado notificó al Particular, mediante el </w:t>
      </w:r>
      <w:r w:rsidRPr="005C5F89">
        <w:rPr>
          <w:rFonts w:eastAsia="Times New Roman" w:cs="Tahoma"/>
          <w:color w:val="auto"/>
          <w:lang w:eastAsia="es-ES"/>
        </w:rPr>
        <w:t xml:space="preserve">Sistema de Acceso a la Información Mexiquense (SAIMEX), las respuestas a las solicitudes de acceso a la información, mediante </w:t>
      </w:r>
      <w:r w:rsidRPr="005C5F89" w:rsidR="006C3B04">
        <w:rPr>
          <w:rFonts w:eastAsia="Times New Roman" w:cs="Tahoma"/>
          <w:color w:val="auto"/>
          <w:lang w:eastAsia="es-ES"/>
        </w:rPr>
        <w:t>la digitalización de los siguientes documentos:</w:t>
      </w:r>
    </w:p>
    <w:p w:rsidRPr="005C5F89" w:rsidR="00CA1727" w:rsidP="003A7290" w:rsidRDefault="00CA1727" w14:paraId="64DB2F0F" w14:textId="77777777">
      <w:pPr>
        <w:autoSpaceDE w:val="0"/>
        <w:autoSpaceDN w:val="0"/>
        <w:adjustRightInd w:val="0"/>
        <w:spacing w:after="0" w:line="360" w:lineRule="auto"/>
        <w:rPr>
          <w:rFonts w:eastAsia="Times New Roman" w:cs="Tahoma"/>
          <w:color w:val="auto"/>
          <w:lang w:eastAsia="es-ES"/>
        </w:rPr>
      </w:pPr>
    </w:p>
    <w:p w:rsidRPr="005C5F89" w:rsidR="00CA1727" w:rsidP="003A7290" w:rsidRDefault="006C3B04" w14:paraId="08388793" w14:textId="0FF28A87">
      <w:pPr>
        <w:autoSpaceDE w:val="0"/>
        <w:autoSpaceDN w:val="0"/>
        <w:adjustRightInd w:val="0"/>
        <w:spacing w:after="0" w:line="360" w:lineRule="auto"/>
        <w:rPr>
          <w:rFonts w:eastAsia="Calibri" w:cs="Tahoma"/>
          <w:b/>
          <w:bCs/>
          <w:color w:val="000000"/>
          <w:lang w:val="es-ES"/>
        </w:rPr>
      </w:pPr>
      <w:r w:rsidRPr="005C5F89">
        <w:rPr>
          <w:rFonts w:eastAsia="Calibri" w:cs="Tahoma"/>
          <w:b/>
          <w:bCs/>
          <w:color w:val="000000"/>
          <w:lang w:val="es-ES"/>
        </w:rPr>
        <w:t>Solicitud 00671/TOLUCA/IP/2022</w:t>
      </w:r>
    </w:p>
    <w:p w:rsidRPr="005C5F89" w:rsidR="006C3B04" w:rsidP="003A7290" w:rsidRDefault="006C3B04" w14:paraId="66B915E9" w14:textId="77777777">
      <w:pPr>
        <w:autoSpaceDE w:val="0"/>
        <w:autoSpaceDN w:val="0"/>
        <w:adjustRightInd w:val="0"/>
        <w:spacing w:after="0" w:line="360" w:lineRule="auto"/>
      </w:pPr>
    </w:p>
    <w:p w:rsidRPr="005C5F89" w:rsidR="00CA1727" w:rsidP="003A7290" w:rsidRDefault="00DB5B45" w14:paraId="0A8B96D9" w14:textId="77ACCDB7">
      <w:pPr>
        <w:autoSpaceDE w:val="0"/>
        <w:autoSpaceDN w:val="0"/>
        <w:adjustRightInd w:val="0"/>
        <w:spacing w:after="0" w:line="360" w:lineRule="auto"/>
        <w:rPr>
          <w:rFonts w:eastAsia="Calibri" w:cs="Tahoma"/>
          <w:color w:val="000000"/>
          <w:lang w:val="es-ES"/>
        </w:rPr>
      </w:pPr>
      <w:r w:rsidRPr="005C5F89">
        <w:rPr>
          <w:rFonts w:eastAsia="Calibri" w:cs="Tahoma"/>
          <w:color w:val="000000"/>
          <w:lang w:val="es-ES"/>
        </w:rPr>
        <w:t xml:space="preserve">i) </w:t>
      </w:r>
      <w:r w:rsidRPr="005C5F89" w:rsidR="00CA1727">
        <w:rPr>
          <w:rFonts w:eastAsia="Calibri" w:cs="Tahoma"/>
          <w:color w:val="000000"/>
          <w:lang w:val="es-ES"/>
        </w:rPr>
        <w:t>Oficio</w:t>
      </w:r>
      <w:r w:rsidRPr="005C5F89">
        <w:rPr>
          <w:rFonts w:eastAsia="Calibri" w:cs="Tahoma"/>
          <w:color w:val="000000"/>
          <w:lang w:val="es-ES"/>
        </w:rPr>
        <w:t xml:space="preserve"> sin número, del cinco de abril de dos mil veintidós,</w:t>
      </w:r>
      <w:r w:rsidRPr="005C5F89" w:rsidR="00CA1727">
        <w:rPr>
          <w:rFonts w:eastAsia="Calibri" w:cs="Tahoma"/>
          <w:color w:val="000000"/>
          <w:lang w:val="es-ES"/>
        </w:rPr>
        <w:t xml:space="preserve"> </w:t>
      </w:r>
      <w:r w:rsidRPr="005C5F89" w:rsidR="00CA1727">
        <w:t>suscrito por la Titular de la Unidad de Transparencia,</w:t>
      </w:r>
      <w:r w:rsidRPr="005C5F89" w:rsidR="00CA1727">
        <w:rPr>
          <w:rFonts w:eastAsia="Calibri" w:cs="Tahoma"/>
          <w:color w:val="000000"/>
          <w:lang w:val="es-ES"/>
        </w:rPr>
        <w:t xml:space="preserve"> dirigido a la </w:t>
      </w:r>
      <w:r w:rsidRPr="005C5F89">
        <w:rPr>
          <w:rFonts w:eastAsia="Calibri" w:cs="Tahoma"/>
          <w:color w:val="000000"/>
          <w:lang w:val="es-ES"/>
        </w:rPr>
        <w:t>S</w:t>
      </w:r>
      <w:r w:rsidRPr="005C5F89" w:rsidR="00CA1727">
        <w:rPr>
          <w:rFonts w:eastAsia="Calibri" w:cs="Tahoma"/>
          <w:color w:val="000000"/>
          <w:lang w:val="es-ES"/>
        </w:rPr>
        <w:t xml:space="preserve">olicitante </w:t>
      </w:r>
      <w:r w:rsidRPr="005C5F89">
        <w:rPr>
          <w:rFonts w:eastAsia="Calibri" w:cs="Tahoma"/>
          <w:color w:val="000000"/>
          <w:lang w:val="es-ES"/>
        </w:rPr>
        <w:t xml:space="preserve">mediante el cual precisa que la Dirección de Recursos Humanos adscrita a la Dirección General de Administración proporciona la información solicitada, con excepción de la referente a la Dirección General de Seguridad Pública, al ser clasificada como reservada. </w:t>
      </w:r>
    </w:p>
    <w:p w:rsidRPr="005C5F89" w:rsidR="00DB5B45" w:rsidP="003A7290" w:rsidRDefault="00DB5B45" w14:paraId="7FB694C3" w14:textId="1A760177">
      <w:pPr>
        <w:autoSpaceDE w:val="0"/>
        <w:autoSpaceDN w:val="0"/>
        <w:adjustRightInd w:val="0"/>
        <w:spacing w:after="0" w:line="360" w:lineRule="auto"/>
        <w:rPr>
          <w:rFonts w:eastAsia="Calibri" w:cs="Tahoma"/>
          <w:color w:val="000000"/>
          <w:lang w:val="es-ES"/>
        </w:rPr>
      </w:pPr>
    </w:p>
    <w:p w:rsidRPr="005C5F89" w:rsidR="00DB5B45" w:rsidP="003A7290" w:rsidRDefault="00DB5B45" w14:paraId="24BE80CE" w14:textId="2E52DE46">
      <w:pPr>
        <w:autoSpaceDE w:val="0"/>
        <w:autoSpaceDN w:val="0"/>
        <w:adjustRightInd w:val="0"/>
        <w:spacing w:after="0" w:line="360" w:lineRule="auto"/>
        <w:rPr>
          <w:rFonts w:eastAsia="Calibri" w:cs="Tahoma"/>
          <w:color w:val="000000"/>
          <w:lang w:val="es-ES"/>
        </w:rPr>
      </w:pPr>
      <w:r w:rsidRPr="005C5F89">
        <w:rPr>
          <w:rFonts w:eastAsia="Calibri" w:cs="Tahoma"/>
          <w:color w:val="000000"/>
          <w:lang w:val="es-ES"/>
        </w:rPr>
        <w:t>ii) Listado de servidores públicos adscritos a las Regidurías, la Sindicatura, la Presidencia Municipal y la Secretaría del Ayuntamiento, desglosado por categoría, dirección y salario;</w:t>
      </w:r>
    </w:p>
    <w:p w:rsidRPr="005C5F89" w:rsidR="00DB5B45" w:rsidP="003A7290" w:rsidRDefault="00DB5B45" w14:paraId="3C22F930" w14:textId="77777777">
      <w:pPr>
        <w:autoSpaceDE w:val="0"/>
        <w:autoSpaceDN w:val="0"/>
        <w:adjustRightInd w:val="0"/>
        <w:spacing w:after="0" w:line="360" w:lineRule="auto"/>
        <w:rPr>
          <w:rFonts w:eastAsia="Calibri" w:cs="Tahoma"/>
          <w:color w:val="000000"/>
          <w:lang w:val="es-ES"/>
        </w:rPr>
      </w:pPr>
    </w:p>
    <w:p w:rsidRPr="005C5F89" w:rsidR="00DB5B45" w:rsidP="003A7290" w:rsidRDefault="00DB5B45" w14:paraId="06726039" w14:textId="77777777">
      <w:pPr>
        <w:autoSpaceDE w:val="0"/>
        <w:autoSpaceDN w:val="0"/>
        <w:adjustRightInd w:val="0"/>
        <w:spacing w:after="0" w:line="360" w:lineRule="auto"/>
        <w:rPr>
          <w:rFonts w:eastAsia="Calibri" w:cs="Tahoma"/>
          <w:color w:val="000000"/>
          <w:lang w:val="es-ES"/>
        </w:rPr>
      </w:pPr>
    </w:p>
    <w:p w:rsidRPr="005C5F89" w:rsidR="0085581A" w:rsidP="003A7290" w:rsidRDefault="00DB5B45" w14:paraId="3ABE8595" w14:textId="797DACC9">
      <w:pPr>
        <w:autoSpaceDE w:val="0"/>
        <w:autoSpaceDN w:val="0"/>
        <w:adjustRightInd w:val="0"/>
        <w:spacing w:after="0" w:line="360" w:lineRule="auto"/>
        <w:rPr>
          <w:rFonts w:eastAsia="Calibri" w:cs="Tahoma"/>
          <w:color w:val="000000"/>
          <w:lang w:val="es-ES"/>
        </w:rPr>
      </w:pPr>
      <w:r w:rsidRPr="005C5F89">
        <w:rPr>
          <w:rFonts w:eastAsia="Calibri" w:cs="Tahoma"/>
          <w:color w:val="000000"/>
          <w:lang w:val="es-ES"/>
        </w:rPr>
        <w:t xml:space="preserve">iii) </w:t>
      </w:r>
      <w:r w:rsidRPr="005C5F89" w:rsidR="00CA1727">
        <w:rPr>
          <w:rFonts w:eastAsia="Calibri" w:cs="Tahoma"/>
          <w:color w:val="000000"/>
          <w:lang w:val="es-ES"/>
        </w:rPr>
        <w:t>Acta de la Centésima Septuagésima Sexta Sesión Extraordinaria</w:t>
      </w:r>
      <w:r w:rsidRPr="005C5F89" w:rsidR="0085581A">
        <w:rPr>
          <w:rFonts w:eastAsia="Calibri" w:cs="Tahoma"/>
          <w:color w:val="000000"/>
          <w:lang w:val="es-ES"/>
        </w:rPr>
        <w:t xml:space="preserve">, suscrita por </w:t>
      </w:r>
      <w:r w:rsidRPr="005C5F89" w:rsidR="00CA1727">
        <w:rPr>
          <w:rFonts w:eastAsia="Calibri" w:cs="Tahoma"/>
          <w:color w:val="000000"/>
          <w:lang w:val="es-ES"/>
        </w:rPr>
        <w:t>el Comité de Transparencia</w:t>
      </w:r>
      <w:r w:rsidRPr="005C5F89" w:rsidR="0085581A">
        <w:rPr>
          <w:rFonts w:eastAsia="Calibri" w:cs="Tahoma"/>
          <w:color w:val="000000"/>
          <w:lang w:val="es-ES"/>
        </w:rPr>
        <w:t>, por medio del cual clasifica la información requerida, en términos del artículo 140, fracción IV, de la Ley de Transparencia y Acceso a la Información Pública del Estado de México y Municipios.</w:t>
      </w:r>
    </w:p>
    <w:p w:rsidRPr="005C5F89" w:rsidR="0085581A" w:rsidP="003A7290" w:rsidRDefault="0085581A" w14:paraId="30387B3E" w14:textId="77777777">
      <w:pPr>
        <w:autoSpaceDE w:val="0"/>
        <w:autoSpaceDN w:val="0"/>
        <w:adjustRightInd w:val="0"/>
        <w:spacing w:after="0" w:line="360" w:lineRule="auto"/>
        <w:rPr>
          <w:rFonts w:eastAsia="Calibri" w:cs="Tahoma"/>
          <w:color w:val="000000"/>
          <w:lang w:val="es-ES"/>
        </w:rPr>
      </w:pPr>
    </w:p>
    <w:p w:rsidRPr="005C5F89" w:rsidR="0085581A" w:rsidP="003A7290" w:rsidRDefault="0085581A" w14:paraId="60D0A224" w14:textId="0A92F30B">
      <w:pPr>
        <w:autoSpaceDE w:val="0"/>
        <w:autoSpaceDN w:val="0"/>
        <w:adjustRightInd w:val="0"/>
        <w:spacing w:after="0" w:line="360" w:lineRule="auto"/>
        <w:rPr>
          <w:rFonts w:eastAsia="Calibri" w:cs="Tahoma"/>
          <w:b/>
          <w:bCs/>
          <w:color w:val="000000"/>
          <w:lang w:val="es-ES"/>
        </w:rPr>
      </w:pPr>
      <w:r w:rsidRPr="005C5F89">
        <w:rPr>
          <w:rFonts w:eastAsia="Calibri" w:cs="Tahoma"/>
          <w:b/>
          <w:bCs/>
          <w:color w:val="000000"/>
          <w:lang w:val="es-ES"/>
        </w:rPr>
        <w:t>Solicitud 00674/TOLUCA/IP/2022</w:t>
      </w:r>
    </w:p>
    <w:p w:rsidRPr="005C5F89" w:rsidR="00CA1727" w:rsidP="003A7290" w:rsidRDefault="00CA1727" w14:paraId="4B0991DB" w14:textId="472EA280">
      <w:pPr>
        <w:autoSpaceDE w:val="0"/>
        <w:autoSpaceDN w:val="0"/>
        <w:adjustRightInd w:val="0"/>
        <w:spacing w:after="0" w:line="360" w:lineRule="auto"/>
      </w:pPr>
    </w:p>
    <w:p w:rsidRPr="005C5F89" w:rsidR="00564862" w:rsidP="003A7290" w:rsidRDefault="00564862" w14:paraId="130E9A89" w14:textId="51ED1D69">
      <w:pPr>
        <w:autoSpaceDE w:val="0"/>
        <w:autoSpaceDN w:val="0"/>
        <w:adjustRightInd w:val="0"/>
        <w:spacing w:after="0" w:line="360" w:lineRule="auto"/>
        <w:rPr>
          <w:rFonts w:eastAsia="Calibri" w:cs="Tahoma"/>
          <w:color w:val="000000"/>
          <w:lang w:val="es-ES"/>
        </w:rPr>
      </w:pPr>
      <w:r w:rsidRPr="005C5F89">
        <w:t xml:space="preserve">i) Oficio sin número, del cinco de abril de dos mil veintidós, suscrito por la Titular de la Unidad de Transparencia, dirigido a la Solicitante mediante </w:t>
      </w:r>
      <w:r w:rsidRPr="005C5F89">
        <w:rPr>
          <w:rFonts w:eastAsia="Calibri" w:cs="Tahoma"/>
          <w:color w:val="000000"/>
          <w:lang w:val="es-ES"/>
        </w:rPr>
        <w:t xml:space="preserve">mediante el cual precisa que la Dirección de Recursos Humanos adscrita a la Dirección General de Administración y el Instituto Municipal de la Mujer proporcionaban la información solicitada. </w:t>
      </w:r>
    </w:p>
    <w:p w:rsidRPr="005C5F89" w:rsidR="00564862" w:rsidP="003A7290" w:rsidRDefault="00564862" w14:paraId="35AD5698" w14:textId="77777777">
      <w:pPr>
        <w:autoSpaceDE w:val="0"/>
        <w:autoSpaceDN w:val="0"/>
        <w:adjustRightInd w:val="0"/>
        <w:spacing w:after="0" w:line="360" w:lineRule="auto"/>
      </w:pPr>
    </w:p>
    <w:p w:rsidRPr="005C5F89" w:rsidR="00564862" w:rsidP="003A7290" w:rsidRDefault="00564862" w14:paraId="5BFF9E61" w14:textId="03E70C97">
      <w:pPr>
        <w:autoSpaceDE w:val="0"/>
        <w:autoSpaceDN w:val="0"/>
        <w:adjustRightInd w:val="0"/>
        <w:spacing w:after="0" w:line="360" w:lineRule="auto"/>
        <w:rPr>
          <w:rFonts w:eastAsia="Calibri" w:cs="Tahoma"/>
          <w:color w:val="000000"/>
          <w:lang w:val="es-ES"/>
        </w:rPr>
      </w:pPr>
      <w:r w:rsidRPr="005C5F89">
        <w:rPr>
          <w:rFonts w:eastAsia="Calibri" w:cs="Tahoma"/>
          <w:color w:val="000000"/>
          <w:lang w:val="es-ES"/>
        </w:rPr>
        <w:t xml:space="preserve">ii) </w:t>
      </w:r>
      <w:r w:rsidRPr="005C5F89" w:rsidR="00CA1727">
        <w:rPr>
          <w:rFonts w:eastAsia="Calibri" w:cs="Tahoma"/>
          <w:color w:val="000000"/>
          <w:lang w:val="es-ES"/>
        </w:rPr>
        <w:t>Listado de servidores públicos</w:t>
      </w:r>
      <w:r w:rsidRPr="005C5F89">
        <w:rPr>
          <w:rFonts w:eastAsia="Calibri" w:cs="Tahoma"/>
          <w:color w:val="000000"/>
          <w:lang w:val="es-ES"/>
        </w:rPr>
        <w:t xml:space="preserve"> adscritos al Instituto Municipal de la Mujer,</w:t>
      </w:r>
      <w:r w:rsidRPr="005C5F89" w:rsidR="00CA1727">
        <w:rPr>
          <w:rFonts w:eastAsia="Calibri" w:cs="Tahoma"/>
          <w:color w:val="000000"/>
          <w:lang w:val="es-ES"/>
        </w:rPr>
        <w:t xml:space="preserve"> con nombre, categoría y sueldo;</w:t>
      </w:r>
    </w:p>
    <w:p w:rsidRPr="005C5F89" w:rsidR="00564862" w:rsidP="003A7290" w:rsidRDefault="00564862" w14:paraId="0C8C980E" w14:textId="77777777">
      <w:pPr>
        <w:autoSpaceDE w:val="0"/>
        <w:autoSpaceDN w:val="0"/>
        <w:adjustRightInd w:val="0"/>
        <w:spacing w:after="0" w:line="360" w:lineRule="auto"/>
        <w:rPr>
          <w:rFonts w:eastAsia="Calibri" w:cs="Tahoma"/>
          <w:color w:val="000000"/>
          <w:lang w:val="es-ES"/>
        </w:rPr>
      </w:pPr>
    </w:p>
    <w:p w:rsidRPr="005C5F89" w:rsidR="00CA1727" w:rsidP="003A7290" w:rsidRDefault="00564862" w14:paraId="69ED4683" w14:textId="0F529090">
      <w:pPr>
        <w:autoSpaceDE w:val="0"/>
        <w:autoSpaceDN w:val="0"/>
        <w:adjustRightInd w:val="0"/>
        <w:spacing w:after="0" w:line="360" w:lineRule="auto"/>
      </w:pPr>
      <w:r w:rsidRPr="005C5F89">
        <w:t xml:space="preserve">iii) </w:t>
      </w:r>
      <w:r w:rsidRPr="005C5F89" w:rsidR="00CA1727">
        <w:t xml:space="preserve">Listado </w:t>
      </w:r>
      <w:r w:rsidRPr="005C5F89">
        <w:t>de cargos ocupados</w:t>
      </w:r>
      <w:r w:rsidRPr="005C5F89" w:rsidR="005243CD">
        <w:t xml:space="preserve"> en la Dirección General de Administración, Coordinación de Planeación, </w:t>
      </w:r>
      <w:r w:rsidRPr="005C5F89" w:rsidR="00DC20B0">
        <w:t xml:space="preserve">la Coordinación de Asesores, la Coordinación de Mejora Regulatoria, la Dirección General de Servicios Públicos, Dirección General de Bienestar Social y Dirección General de Medio Ambiente, que contiene </w:t>
      </w:r>
      <w:r w:rsidRPr="005C5F89">
        <w:t>la</w:t>
      </w:r>
      <w:r w:rsidRPr="005C5F89" w:rsidR="00CA1727">
        <w:t xml:space="preserve"> categoría, tipo de empleado, departamento y dirección. </w:t>
      </w:r>
    </w:p>
    <w:p w:rsidRPr="005C5F89" w:rsidR="00CA1727" w:rsidP="003A7290" w:rsidRDefault="00CA1727" w14:paraId="7689CC83" w14:textId="77777777">
      <w:pPr>
        <w:autoSpaceDE w:val="0"/>
        <w:autoSpaceDN w:val="0"/>
        <w:adjustRightInd w:val="0"/>
        <w:spacing w:after="0" w:line="360" w:lineRule="auto"/>
        <w:rPr>
          <w:rFonts w:eastAsia="Calibri" w:cs="Tahoma"/>
          <w:b/>
          <w:color w:val="000000"/>
        </w:rPr>
      </w:pPr>
    </w:p>
    <w:p w:rsidRPr="005C5F89" w:rsidR="00CA1727" w:rsidP="003A7290" w:rsidRDefault="00CA1727" w14:paraId="1F77B6C0" w14:textId="77777777">
      <w:pPr>
        <w:autoSpaceDE w:val="0"/>
        <w:autoSpaceDN w:val="0"/>
        <w:adjustRightInd w:val="0"/>
        <w:spacing w:after="0" w:line="360" w:lineRule="auto"/>
        <w:rPr>
          <w:rFonts w:eastAsia="Calibri" w:cs="Tahoma"/>
          <w:b/>
          <w:color w:val="000000"/>
        </w:rPr>
      </w:pPr>
      <w:r w:rsidRPr="005C5F89">
        <w:rPr>
          <w:rFonts w:eastAsia="Calibri" w:cs="Tahoma"/>
          <w:b/>
          <w:color w:val="000000"/>
        </w:rPr>
        <w:t xml:space="preserve">III. Interposición del Recurso de Revisión. </w:t>
      </w:r>
    </w:p>
    <w:p w:rsidRPr="005C5F89" w:rsidR="00CA1727" w:rsidP="003A7290" w:rsidRDefault="00CA1727" w14:paraId="4EAAB2A6" w14:textId="77777777">
      <w:pPr>
        <w:spacing w:after="0" w:line="360" w:lineRule="auto"/>
        <w:rPr>
          <w:rFonts w:eastAsia="Times New Roman" w:cs="Tahoma"/>
          <w:bCs/>
          <w:color w:val="auto"/>
          <w:lang w:eastAsia="es-ES"/>
        </w:rPr>
      </w:pPr>
    </w:p>
    <w:p w:rsidRPr="005C5F89" w:rsidR="00CA1727" w:rsidP="003A7290" w:rsidRDefault="00CA1727" w14:paraId="05946E6A" w14:textId="77777777">
      <w:pPr>
        <w:spacing w:after="0" w:line="360" w:lineRule="auto"/>
        <w:rPr>
          <w:rFonts w:eastAsia="Times New Roman" w:cs="Tahoma"/>
          <w:bCs/>
          <w:color w:val="auto"/>
          <w:lang w:val="es-ES" w:eastAsia="es-ES"/>
        </w:rPr>
      </w:pPr>
      <w:r w:rsidRPr="005C5F89">
        <w:rPr>
          <w:rFonts w:eastAsia="Times New Roman" w:cs="Tahoma"/>
          <w:bCs/>
          <w:color w:val="auto"/>
          <w:lang w:val="es-ES" w:eastAsia="es-ES"/>
        </w:rPr>
        <w:t xml:space="preserve">Con fecha cinco de abril de dos mil veintidós, </w:t>
      </w:r>
      <w:r w:rsidRPr="005C5F89">
        <w:rPr>
          <w:rFonts w:eastAsia="Times New Roman" w:cs="Tahoma"/>
          <w:bCs/>
          <w:color w:val="auto"/>
          <w:lang w:eastAsia="es-ES"/>
        </w:rPr>
        <w:t xml:space="preserve">se recibieron en este Instituto, a través del </w:t>
      </w:r>
      <w:r w:rsidRPr="005C5F89">
        <w:rPr>
          <w:rFonts w:eastAsia="Times New Roman" w:cs="Tahoma"/>
          <w:bCs/>
          <w:color w:val="auto"/>
          <w:lang w:val="es-ES" w:eastAsia="es-ES"/>
        </w:rPr>
        <w:t>Sistema de Acceso a la Información Mexiquense (SAIMEX)</w:t>
      </w:r>
      <w:r w:rsidRPr="005C5F89">
        <w:rPr>
          <w:rFonts w:eastAsia="Times New Roman" w:cs="Tahoma"/>
          <w:bCs/>
          <w:color w:val="auto"/>
          <w:lang w:eastAsia="es-ES"/>
        </w:rPr>
        <w:t xml:space="preserve">, Recursos de Revisión </w:t>
      </w:r>
      <w:r w:rsidRPr="005C5F89">
        <w:rPr>
          <w:rFonts w:eastAsia="Times New Roman" w:cs="Tahoma"/>
          <w:bCs/>
          <w:color w:val="auto"/>
          <w:lang w:eastAsia="es-ES"/>
        </w:rPr>
        <w:lastRenderedPageBreak/>
        <w:t>interpuestos por la parte Recurrente, en contra de la respuesta del Sujeto Obligado, en los siguientes términos:</w:t>
      </w:r>
    </w:p>
    <w:p w:rsidRPr="005C5F89" w:rsidR="00CA1727" w:rsidP="003A7290" w:rsidRDefault="00CA1727" w14:paraId="2A5C7F66" w14:textId="77777777">
      <w:pPr>
        <w:spacing w:after="0" w:line="360" w:lineRule="auto"/>
        <w:rPr>
          <w:rFonts w:eastAsia="Times New Roman" w:cs="Tahoma"/>
          <w:bCs/>
          <w:color w:val="auto"/>
          <w:lang w:eastAsia="es-ES"/>
        </w:rPr>
      </w:pPr>
    </w:p>
    <w:p w:rsidRPr="005C5F89" w:rsidR="00CA1727" w:rsidP="003A7290" w:rsidRDefault="00CA1727" w14:paraId="399029F2" w14:textId="1F585383">
      <w:pPr>
        <w:tabs>
          <w:tab w:val="left" w:pos="4667"/>
        </w:tabs>
        <w:spacing w:after="0" w:line="360" w:lineRule="auto"/>
        <w:ind w:left="567" w:right="567"/>
        <w:rPr>
          <w:rFonts w:cs="Tahoma"/>
          <w:b/>
          <w:bCs/>
          <w:i/>
          <w:sz w:val="20"/>
          <w:szCs w:val="20"/>
        </w:rPr>
      </w:pPr>
      <w:r w:rsidRPr="005C5F89">
        <w:rPr>
          <w:rFonts w:cs="Tahoma"/>
          <w:b/>
          <w:bCs/>
          <w:i/>
          <w:sz w:val="20"/>
          <w:szCs w:val="20"/>
        </w:rPr>
        <w:t>Recurso de Revisión 05571/INFOEM/IP/RR/2022</w:t>
      </w:r>
    </w:p>
    <w:p w:rsidRPr="005C5F89" w:rsidR="00CA1727" w:rsidP="003A7290" w:rsidRDefault="00CA1727" w14:paraId="7DF83574" w14:textId="77777777">
      <w:pPr>
        <w:spacing w:after="0" w:line="360" w:lineRule="auto"/>
        <w:ind w:left="567" w:right="567"/>
        <w:rPr>
          <w:rFonts w:eastAsia="Times New Roman" w:cs="Tahoma"/>
          <w:b/>
          <w:bCs/>
          <w:i/>
          <w:color w:val="auto"/>
          <w:sz w:val="20"/>
          <w:szCs w:val="20"/>
          <w:lang w:eastAsia="es-ES"/>
        </w:rPr>
      </w:pPr>
      <w:r w:rsidRPr="005C5F89">
        <w:rPr>
          <w:rFonts w:eastAsia="Times New Roman" w:cs="Tahoma"/>
          <w:b/>
          <w:bCs/>
          <w:i/>
          <w:color w:val="auto"/>
          <w:sz w:val="20"/>
          <w:szCs w:val="20"/>
          <w:lang w:eastAsia="es-ES"/>
        </w:rPr>
        <w:t>“ACTO IMPUGNADO</w:t>
      </w:r>
    </w:p>
    <w:p w:rsidRPr="005C5F89" w:rsidR="00CA1727" w:rsidP="003A7290" w:rsidRDefault="00CA1727" w14:paraId="3627A571" w14:textId="77777777">
      <w:pPr>
        <w:spacing w:after="0" w:line="360" w:lineRule="auto"/>
        <w:ind w:firstLine="567"/>
        <w:rPr>
          <w:rFonts w:eastAsia="Times New Roman" w:cs="Times New Roman"/>
          <w:i/>
          <w:iCs/>
          <w:color w:val="auto"/>
          <w:sz w:val="20"/>
          <w:szCs w:val="20"/>
          <w:lang w:eastAsia="es-MX"/>
        </w:rPr>
      </w:pPr>
      <w:r w:rsidRPr="005C5F89">
        <w:rPr>
          <w:i/>
          <w:iCs/>
          <w:color w:val="000000"/>
          <w:sz w:val="20"/>
          <w:szCs w:val="20"/>
        </w:rPr>
        <w:t>LA RESPUESTA PROPORCIONADA.”</w:t>
      </w:r>
      <w:r w:rsidRPr="005C5F89">
        <w:rPr>
          <w:bCs/>
          <w:i/>
          <w:iCs/>
          <w:color w:val="000000"/>
          <w:sz w:val="20"/>
          <w:szCs w:val="20"/>
        </w:rPr>
        <w:t xml:space="preserve"> </w:t>
      </w:r>
      <w:r w:rsidRPr="005C5F89">
        <w:rPr>
          <w:rFonts w:eastAsia="Times New Roman" w:cs="Tahoma"/>
          <w:bCs/>
          <w:i/>
          <w:iCs/>
          <w:color w:val="auto"/>
          <w:sz w:val="20"/>
          <w:szCs w:val="20"/>
          <w:lang w:eastAsia="es-ES"/>
        </w:rPr>
        <w:t>(Sic)</w:t>
      </w:r>
    </w:p>
    <w:p w:rsidRPr="005C5F89" w:rsidR="00CA1727" w:rsidP="003A7290" w:rsidRDefault="00CA1727" w14:paraId="2A02B519" w14:textId="77777777">
      <w:pPr>
        <w:spacing w:after="0" w:line="360" w:lineRule="auto"/>
        <w:ind w:left="567" w:right="567"/>
        <w:rPr>
          <w:rFonts w:eastAsia="Times New Roman" w:cs="Tahoma"/>
          <w:bCs/>
          <w:i/>
          <w:color w:val="auto"/>
          <w:sz w:val="20"/>
          <w:szCs w:val="20"/>
          <w:lang w:eastAsia="es-ES"/>
        </w:rPr>
      </w:pPr>
    </w:p>
    <w:p w:rsidRPr="005C5F89" w:rsidR="00CA1727" w:rsidP="003A7290" w:rsidRDefault="00CA1727" w14:paraId="44EA39C7" w14:textId="77777777">
      <w:pPr>
        <w:spacing w:after="0" w:line="360" w:lineRule="auto"/>
        <w:ind w:left="567" w:right="567"/>
        <w:rPr>
          <w:rFonts w:eastAsia="Times New Roman" w:cs="Tahoma"/>
          <w:b/>
          <w:bCs/>
          <w:i/>
          <w:color w:val="auto"/>
          <w:sz w:val="20"/>
          <w:szCs w:val="20"/>
          <w:lang w:eastAsia="es-ES"/>
        </w:rPr>
      </w:pPr>
      <w:r w:rsidRPr="005C5F89">
        <w:rPr>
          <w:rFonts w:eastAsia="Times New Roman" w:cs="Tahoma"/>
          <w:b/>
          <w:bCs/>
          <w:i/>
          <w:color w:val="auto"/>
          <w:sz w:val="20"/>
          <w:szCs w:val="20"/>
          <w:lang w:eastAsia="es-ES"/>
        </w:rPr>
        <w:t>“RAZONES O MOTIVOS DE LA INCONFORMIDAD</w:t>
      </w:r>
    </w:p>
    <w:p w:rsidRPr="005C5F89" w:rsidR="00CA1727" w:rsidP="003A7290" w:rsidRDefault="00CA1727" w14:paraId="68B75BE3" w14:textId="77777777">
      <w:pPr>
        <w:spacing w:after="0" w:line="360" w:lineRule="auto"/>
        <w:ind w:left="567" w:right="567"/>
        <w:rPr>
          <w:rFonts w:eastAsia="Times New Roman" w:cs="Tahoma"/>
          <w:bCs/>
          <w:i/>
          <w:iCs/>
          <w:color w:val="auto"/>
          <w:sz w:val="20"/>
          <w:szCs w:val="20"/>
          <w:lang w:eastAsia="es-ES"/>
        </w:rPr>
      </w:pPr>
      <w:r w:rsidRPr="005C5F89">
        <w:rPr>
          <w:i/>
          <w:iCs/>
          <w:color w:val="000000"/>
          <w:sz w:val="20"/>
          <w:szCs w:val="20"/>
        </w:rPr>
        <w:t>RESERVARON UNA INFORMACION QUE ES PUBLICA.”</w:t>
      </w:r>
      <w:r w:rsidRPr="005C5F89">
        <w:rPr>
          <w:bCs/>
          <w:i/>
          <w:iCs/>
          <w:color w:val="000000"/>
          <w:sz w:val="20"/>
          <w:szCs w:val="20"/>
        </w:rPr>
        <w:t xml:space="preserve"> </w:t>
      </w:r>
      <w:r w:rsidRPr="005C5F89">
        <w:rPr>
          <w:rFonts w:eastAsia="Times New Roman" w:cs="Tahoma"/>
          <w:bCs/>
          <w:i/>
          <w:iCs/>
          <w:color w:val="auto"/>
          <w:sz w:val="20"/>
          <w:szCs w:val="20"/>
          <w:lang w:eastAsia="es-ES"/>
        </w:rPr>
        <w:t>(Sic)</w:t>
      </w:r>
    </w:p>
    <w:p w:rsidRPr="005C5F89" w:rsidR="00CA1727" w:rsidP="003A7290" w:rsidRDefault="00CA1727" w14:paraId="5D4CF013" w14:textId="77777777">
      <w:pPr>
        <w:spacing w:after="0" w:line="360" w:lineRule="auto"/>
        <w:ind w:left="567" w:right="567"/>
        <w:rPr>
          <w:rFonts w:eastAsia="Times New Roman" w:cs="Tahoma"/>
          <w:bCs/>
          <w:i/>
          <w:iCs/>
          <w:color w:val="auto"/>
          <w:sz w:val="20"/>
          <w:szCs w:val="20"/>
          <w:lang w:eastAsia="es-ES"/>
        </w:rPr>
      </w:pPr>
    </w:p>
    <w:p w:rsidRPr="005C5F89" w:rsidR="00CA1727" w:rsidP="003A7290" w:rsidRDefault="00CA1727" w14:paraId="6BA2F638" w14:textId="3A10BD21">
      <w:pPr>
        <w:tabs>
          <w:tab w:val="left" w:pos="4667"/>
        </w:tabs>
        <w:spacing w:after="0" w:line="360" w:lineRule="auto"/>
        <w:ind w:left="567" w:right="567"/>
        <w:rPr>
          <w:rFonts w:cs="Tahoma"/>
          <w:b/>
          <w:bCs/>
          <w:i/>
          <w:sz w:val="20"/>
          <w:szCs w:val="20"/>
        </w:rPr>
      </w:pPr>
      <w:r w:rsidRPr="005C5F89">
        <w:rPr>
          <w:rFonts w:cs="Tahoma"/>
          <w:b/>
          <w:bCs/>
          <w:i/>
          <w:sz w:val="20"/>
          <w:szCs w:val="20"/>
        </w:rPr>
        <w:t>Recurso de Revisión 05572/INFOEM/IP/RR/2022.</w:t>
      </w:r>
    </w:p>
    <w:p w:rsidRPr="005C5F89" w:rsidR="00CA1727" w:rsidP="003A7290" w:rsidRDefault="00CA1727" w14:paraId="7B6465C6" w14:textId="77777777">
      <w:pPr>
        <w:tabs>
          <w:tab w:val="left" w:pos="4667"/>
        </w:tabs>
        <w:spacing w:after="0" w:line="360" w:lineRule="auto"/>
        <w:ind w:left="567" w:right="567"/>
        <w:rPr>
          <w:rFonts w:cs="Tahoma"/>
          <w:b/>
          <w:bCs/>
          <w:i/>
          <w:sz w:val="20"/>
          <w:szCs w:val="20"/>
        </w:rPr>
      </w:pPr>
      <w:r w:rsidRPr="005C5F89">
        <w:rPr>
          <w:rFonts w:cs="Tahoma"/>
          <w:b/>
          <w:bCs/>
          <w:i/>
          <w:sz w:val="20"/>
          <w:szCs w:val="20"/>
        </w:rPr>
        <w:t>“ACTO IMPUGNADO</w:t>
      </w:r>
    </w:p>
    <w:p w:rsidRPr="005C5F89" w:rsidR="00CA1727" w:rsidP="003A7290" w:rsidRDefault="00CA1727" w14:paraId="55A14DC5" w14:textId="77777777">
      <w:pPr>
        <w:spacing w:after="0" w:line="360" w:lineRule="auto"/>
        <w:ind w:firstLine="567"/>
        <w:rPr>
          <w:rFonts w:eastAsia="Times New Roman" w:cs="Times New Roman"/>
          <w:i/>
          <w:iCs/>
          <w:color w:val="auto"/>
          <w:sz w:val="20"/>
          <w:szCs w:val="20"/>
          <w:lang w:eastAsia="es-MX"/>
        </w:rPr>
      </w:pPr>
      <w:r w:rsidRPr="005C5F89">
        <w:rPr>
          <w:i/>
          <w:iCs/>
          <w:color w:val="000000"/>
          <w:sz w:val="20"/>
          <w:szCs w:val="20"/>
        </w:rPr>
        <w:t>LA RESPUESTA PROPORCIONADA.”</w:t>
      </w:r>
      <w:r w:rsidRPr="005C5F89">
        <w:rPr>
          <w:bCs/>
          <w:i/>
          <w:iCs/>
          <w:color w:val="000000"/>
          <w:sz w:val="20"/>
          <w:szCs w:val="20"/>
        </w:rPr>
        <w:t xml:space="preserve"> </w:t>
      </w:r>
      <w:r w:rsidRPr="005C5F89">
        <w:rPr>
          <w:rFonts w:eastAsia="Times New Roman" w:cs="Tahoma"/>
          <w:bCs/>
          <w:i/>
          <w:iCs/>
          <w:color w:val="auto"/>
          <w:sz w:val="20"/>
          <w:szCs w:val="20"/>
          <w:lang w:eastAsia="es-ES"/>
        </w:rPr>
        <w:t>(Sic)</w:t>
      </w:r>
    </w:p>
    <w:p w:rsidRPr="005C5F89" w:rsidR="00CA1727" w:rsidP="003A7290" w:rsidRDefault="00CA1727" w14:paraId="28316DB0" w14:textId="77777777">
      <w:pPr>
        <w:spacing w:after="0" w:line="360" w:lineRule="auto"/>
        <w:ind w:left="567" w:right="567"/>
        <w:rPr>
          <w:rFonts w:eastAsia="Times New Roman" w:cs="Tahoma"/>
          <w:bCs/>
          <w:i/>
          <w:color w:val="auto"/>
          <w:sz w:val="20"/>
          <w:szCs w:val="20"/>
          <w:lang w:eastAsia="es-ES"/>
        </w:rPr>
      </w:pPr>
    </w:p>
    <w:p w:rsidRPr="005C5F89" w:rsidR="00CA1727" w:rsidP="003A7290" w:rsidRDefault="00CA1727" w14:paraId="0B49BABA" w14:textId="77777777">
      <w:pPr>
        <w:spacing w:after="0" w:line="360" w:lineRule="auto"/>
        <w:ind w:left="567" w:right="567"/>
        <w:rPr>
          <w:rFonts w:eastAsia="Times New Roman" w:cs="Tahoma"/>
          <w:b/>
          <w:bCs/>
          <w:i/>
          <w:color w:val="auto"/>
          <w:sz w:val="20"/>
          <w:szCs w:val="20"/>
          <w:lang w:eastAsia="es-ES"/>
        </w:rPr>
      </w:pPr>
      <w:r w:rsidRPr="005C5F89">
        <w:rPr>
          <w:rFonts w:eastAsia="Times New Roman" w:cs="Tahoma"/>
          <w:b/>
          <w:bCs/>
          <w:i/>
          <w:color w:val="auto"/>
          <w:sz w:val="20"/>
          <w:szCs w:val="20"/>
          <w:lang w:eastAsia="es-ES"/>
        </w:rPr>
        <w:t>“RAZONES O MOTIVOS DE LA INCONFORMIDAD</w:t>
      </w:r>
    </w:p>
    <w:p w:rsidRPr="005C5F89" w:rsidR="00CA1727" w:rsidP="003A7290" w:rsidRDefault="00CA1727" w14:paraId="268D377B" w14:textId="77777777">
      <w:pPr>
        <w:spacing w:after="0" w:line="360" w:lineRule="auto"/>
        <w:ind w:left="567" w:right="567"/>
        <w:rPr>
          <w:rFonts w:eastAsia="Times New Roman" w:cs="Tahoma"/>
          <w:bCs/>
          <w:i/>
          <w:iCs/>
          <w:color w:val="auto"/>
          <w:sz w:val="20"/>
          <w:szCs w:val="20"/>
          <w:lang w:eastAsia="es-ES"/>
        </w:rPr>
      </w:pPr>
      <w:r w:rsidRPr="005C5F89">
        <w:rPr>
          <w:i/>
          <w:iCs/>
          <w:color w:val="000000"/>
          <w:sz w:val="20"/>
          <w:szCs w:val="20"/>
        </w:rPr>
        <w:t>ME ENTREGARON SOLO INFORMACION DEL INSTITUTO DE LA MUJER Y DE LAS OTRAS AREAS NO.”</w:t>
      </w:r>
      <w:r w:rsidRPr="005C5F89">
        <w:rPr>
          <w:bCs/>
          <w:i/>
          <w:iCs/>
          <w:color w:val="000000"/>
          <w:sz w:val="20"/>
          <w:szCs w:val="20"/>
        </w:rPr>
        <w:t xml:space="preserve"> </w:t>
      </w:r>
      <w:r w:rsidRPr="005C5F89">
        <w:rPr>
          <w:rFonts w:eastAsia="Times New Roman" w:cs="Tahoma"/>
          <w:bCs/>
          <w:i/>
          <w:iCs/>
          <w:color w:val="auto"/>
          <w:sz w:val="20"/>
          <w:szCs w:val="20"/>
          <w:lang w:eastAsia="es-ES"/>
        </w:rPr>
        <w:t>(Sic)</w:t>
      </w:r>
    </w:p>
    <w:p w:rsidRPr="005C5F89" w:rsidR="00CA1727" w:rsidP="003A7290" w:rsidRDefault="00CA1727" w14:paraId="269E4067" w14:textId="77777777">
      <w:pPr>
        <w:spacing w:after="0" w:line="360" w:lineRule="auto"/>
        <w:rPr>
          <w:rFonts w:eastAsia="Times New Roman" w:cs="Tahoma"/>
          <w:bCs/>
          <w:color w:val="auto"/>
          <w:lang w:eastAsia="es-ES"/>
        </w:rPr>
      </w:pPr>
    </w:p>
    <w:p w:rsidRPr="005C5F89" w:rsidR="00CA1727" w:rsidP="003A7290" w:rsidRDefault="00CA1727" w14:paraId="201966B8" w14:textId="77777777">
      <w:pPr>
        <w:spacing w:after="0" w:line="360" w:lineRule="auto"/>
        <w:rPr>
          <w:rFonts w:eastAsia="Batang" w:cs="Tahoma"/>
          <w:b/>
          <w:bCs/>
          <w:color w:val="000000"/>
        </w:rPr>
      </w:pPr>
      <w:r w:rsidRPr="005C5F89">
        <w:rPr>
          <w:rFonts w:eastAsia="Calibri" w:cs="Tahoma"/>
          <w:b/>
          <w:color w:val="000000"/>
        </w:rPr>
        <w:t xml:space="preserve">IV. </w:t>
      </w:r>
      <w:r w:rsidRPr="005C5F89">
        <w:rPr>
          <w:rFonts w:eastAsia="Batang" w:cs="Tahoma"/>
          <w:b/>
          <w:bCs/>
          <w:color w:val="000000"/>
        </w:rPr>
        <w:t>Trámite del Recurso de Revisión</w:t>
      </w:r>
      <w:r w:rsidRPr="005C5F89">
        <w:rPr>
          <w:rFonts w:eastAsia="Calibri" w:cs="Tahoma"/>
          <w:b/>
          <w:color w:val="000000"/>
        </w:rPr>
        <w:t xml:space="preserve"> </w:t>
      </w:r>
      <w:r w:rsidRPr="005C5F89">
        <w:rPr>
          <w:rFonts w:eastAsia="Batang" w:cs="Tahoma"/>
          <w:b/>
          <w:bCs/>
          <w:color w:val="000000"/>
        </w:rPr>
        <w:t>ante este Instituto.</w:t>
      </w:r>
    </w:p>
    <w:p w:rsidRPr="005C5F89" w:rsidR="00CA1727" w:rsidP="003A7290" w:rsidRDefault="00CA1727" w14:paraId="09865645" w14:textId="77777777">
      <w:pPr>
        <w:spacing w:after="0" w:line="360" w:lineRule="auto"/>
        <w:rPr>
          <w:rFonts w:eastAsia="Batang" w:cs="Tahoma"/>
          <w:b/>
          <w:bCs/>
          <w:color w:val="000000"/>
        </w:rPr>
      </w:pPr>
    </w:p>
    <w:p w:rsidRPr="005C5F89" w:rsidR="00CA1727" w:rsidP="003A7290" w:rsidRDefault="00CA1727" w14:paraId="01A85C1A" w14:textId="77777777">
      <w:pPr>
        <w:spacing w:after="0" w:line="360" w:lineRule="auto"/>
        <w:rPr>
          <w:rFonts w:eastAsia="Times New Roman" w:cs="Tahoma"/>
          <w:bCs/>
          <w:color w:val="auto"/>
          <w:lang w:eastAsia="es-ES"/>
        </w:rPr>
      </w:pPr>
      <w:r w:rsidRPr="005C5F89">
        <w:rPr>
          <w:rFonts w:eastAsia="Batang" w:cs="Tahoma"/>
          <w:b/>
          <w:bCs/>
          <w:color w:val="000000"/>
        </w:rPr>
        <w:t xml:space="preserve">a) Turno del Medio de Impugnación. </w:t>
      </w:r>
      <w:r w:rsidRPr="005C5F89">
        <w:rPr>
          <w:rFonts w:eastAsia="Batang" w:cs="Tahoma"/>
          <w:bCs/>
          <w:color w:val="000000"/>
        </w:rPr>
        <w:t>El cinco de abril</w:t>
      </w:r>
      <w:r w:rsidRPr="005C5F89">
        <w:rPr>
          <w:rFonts w:eastAsia="Times New Roman" w:cs="Tahoma"/>
          <w:bCs/>
          <w:color w:val="auto"/>
          <w:lang w:eastAsia="es-ES"/>
        </w:rPr>
        <w:t xml:space="preserve"> de dos mil veintidós</w:t>
      </w:r>
      <w:r w:rsidRPr="005C5F89">
        <w:rPr>
          <w:rFonts w:eastAsia="Batang" w:cs="Tahoma"/>
          <w:bCs/>
          <w:color w:val="000000"/>
        </w:rPr>
        <w:t xml:space="preserve">, el </w:t>
      </w:r>
      <w:r w:rsidRPr="005C5F89">
        <w:rPr>
          <w:rFonts w:eastAsia="Calibri" w:cs="Tahoma"/>
          <w:color w:val="000000"/>
          <w:lang w:val="es-ES"/>
        </w:rPr>
        <w:t>Sistema de Acceso a la Información Mexiquense (SAIMEX),</w:t>
      </w:r>
      <w:r w:rsidRPr="005C5F89">
        <w:rPr>
          <w:rFonts w:eastAsia="Batang" w:cs="Tahoma"/>
          <w:bCs/>
          <w:color w:val="000000"/>
        </w:rPr>
        <w:t xml:space="preserve"> asignó los números de expediente </w:t>
      </w:r>
      <w:r w:rsidRPr="005C5F89">
        <w:rPr>
          <w:rFonts w:eastAsia="Batang" w:cs="Tahoma"/>
          <w:b/>
          <w:bCs/>
          <w:color w:val="000000"/>
        </w:rPr>
        <w:t xml:space="preserve"> </w:t>
      </w:r>
      <w:r w:rsidRPr="005C5F89">
        <w:rPr>
          <w:rFonts w:eastAsia="Calibri" w:cs="Tahoma"/>
        </w:rPr>
        <w:t>05571/INFOEM/IP/RR/2022</w:t>
      </w:r>
      <w:r w:rsidRPr="005C5F89">
        <w:rPr>
          <w:rFonts w:eastAsia="Times New Roman" w:cs="Tahoma"/>
          <w:bCs/>
          <w:color w:val="auto"/>
          <w:lang w:eastAsia="es-ES"/>
        </w:rPr>
        <w:t xml:space="preserve"> y </w:t>
      </w:r>
      <w:r w:rsidRPr="005C5F89">
        <w:rPr>
          <w:rFonts w:eastAsia="Calibri" w:cs="Tahoma"/>
        </w:rPr>
        <w:t>05572/INFOEM/IP/RR/2022</w:t>
      </w:r>
      <w:r w:rsidRPr="005C5F89">
        <w:rPr>
          <w:rFonts w:eastAsia="Batang" w:cs="Tahoma"/>
          <w:bCs/>
          <w:color w:val="000000"/>
        </w:rPr>
        <w:t>, a los Medios de Impugnación que nos ocupa, con base en el sistema aprobado por el Pleno de este Órgano Garante y lo turnó a los Comisionados Sharon Cristina Morales Martínez y Luis Gustavo Parra Noriega, para los efectos del artículo 185, fracción I de la Ley de Transparencia y Acceso a la Información Pública del Estado de México y Municipios.</w:t>
      </w:r>
    </w:p>
    <w:p w:rsidRPr="005C5F89" w:rsidR="00CA1727" w:rsidP="003A7290" w:rsidRDefault="00CA1727" w14:paraId="32E20C6A" w14:textId="77777777">
      <w:pPr>
        <w:spacing w:after="0" w:line="360" w:lineRule="auto"/>
        <w:rPr>
          <w:rFonts w:eastAsia="Batang" w:cs="Tahoma"/>
          <w:bCs/>
          <w:color w:val="000000"/>
        </w:rPr>
      </w:pPr>
    </w:p>
    <w:p w:rsidRPr="005C5F89" w:rsidR="00CA1727" w:rsidP="003A7290" w:rsidRDefault="00CA1727" w14:paraId="2503167A" w14:textId="02B79689">
      <w:pPr>
        <w:spacing w:after="0" w:line="360" w:lineRule="auto"/>
        <w:rPr>
          <w:rFonts w:eastAsia="Times New Roman" w:cs="Tahoma"/>
          <w:b/>
          <w:bCs/>
          <w:color w:val="auto"/>
          <w:lang w:eastAsia="es-ES"/>
        </w:rPr>
      </w:pPr>
      <w:r w:rsidRPr="005C5F89">
        <w:rPr>
          <w:rFonts w:eastAsia="Times New Roman" w:cs="Tahoma"/>
          <w:b/>
          <w:bCs/>
          <w:color w:val="auto"/>
          <w:lang w:eastAsia="es-ES"/>
        </w:rPr>
        <w:lastRenderedPageBreak/>
        <w:t>b) Admisión del Recurso de Revisión</w:t>
      </w:r>
      <w:r w:rsidRPr="005C5F89">
        <w:rPr>
          <w:rFonts w:eastAsia="Times New Roman" w:cs="Tahoma"/>
          <w:b/>
          <w:bCs/>
          <w:color w:val="auto"/>
          <w:lang w:val="es-ES_tradnl" w:eastAsia="es-ES"/>
        </w:rPr>
        <w:t xml:space="preserve">. </w:t>
      </w:r>
      <w:r w:rsidRPr="005C5F89" w:rsidR="00E274A5">
        <w:rPr>
          <w:rFonts w:eastAsia="Batang" w:cs="Tahoma"/>
          <w:bCs/>
          <w:color w:val="000000"/>
        </w:rPr>
        <w:t>Con fechas</w:t>
      </w:r>
      <w:r w:rsidRPr="005C5F89">
        <w:rPr>
          <w:rFonts w:eastAsia="Batang" w:cs="Tahoma"/>
          <w:bCs/>
          <w:color w:val="000000"/>
        </w:rPr>
        <w:t xml:space="preserve"> siete y dieciocho de abril de dos mil veintidós</w:t>
      </w:r>
      <w:r w:rsidRPr="005C5F89">
        <w:rPr>
          <w:rFonts w:eastAsia="Times New Roman" w:cs="Tahoma"/>
          <w:bCs/>
          <w:color w:val="auto"/>
          <w:lang w:val="es-ES_tradnl" w:eastAsia="es-ES"/>
        </w:rPr>
        <w:t xml:space="preserve">, se acordó la admisión de los Recursos de Revisión interpuestos por la Recurrente en contra del Sujeto Obligado, en términos del artículo 185, fracciones I y II de la Ley de Transparencia y Acceso a la Información Pública del Estado de México y Municipios, los cuales fueron  debidamente notificados a las partes, a través del Sistema de Acceso a la Información Mexiquense (SAIMEX), en el que se les otorgó un plazo de siete días hábiles posteriores a la misma, para que manifestaran lo que a su derecho conviniera y formularan alegatos. </w:t>
      </w:r>
    </w:p>
    <w:p w:rsidRPr="005C5F89" w:rsidR="00CA1727" w:rsidP="003A7290" w:rsidRDefault="00CA1727" w14:paraId="02820EBE" w14:textId="77777777">
      <w:pPr>
        <w:spacing w:after="0" w:line="360" w:lineRule="auto"/>
        <w:rPr>
          <w:rFonts w:cs="Tahoma"/>
        </w:rPr>
      </w:pPr>
    </w:p>
    <w:p w:rsidRPr="005C5F89" w:rsidR="00CA1727" w:rsidP="003A7290" w:rsidRDefault="00CA1727" w14:paraId="527C44A2" w14:textId="77777777">
      <w:pPr>
        <w:spacing w:after="0" w:line="360" w:lineRule="auto"/>
        <w:rPr>
          <w:rFonts w:cs="Tahoma"/>
          <w:bCs/>
          <w:lang w:val="es-ES_tradnl"/>
        </w:rPr>
      </w:pPr>
      <w:r w:rsidRPr="005C5F89">
        <w:rPr>
          <w:rFonts w:eastAsia="Times New Roman" w:cs="Tahoma"/>
          <w:b/>
          <w:bCs/>
          <w:color w:val="auto"/>
          <w:lang w:eastAsia="es-ES"/>
        </w:rPr>
        <w:t xml:space="preserve">c) </w:t>
      </w:r>
      <w:r w:rsidRPr="005C5F89">
        <w:rPr>
          <w:rFonts w:cs="Tahoma"/>
          <w:b/>
          <w:lang w:val="es-ES_tradnl"/>
        </w:rPr>
        <w:t xml:space="preserve">Informe Justificado. </w:t>
      </w:r>
      <w:r w:rsidRPr="005C5F89">
        <w:rPr>
          <w:rFonts w:cs="Tahoma"/>
          <w:bCs/>
          <w:lang w:val="es-ES_tradnl"/>
        </w:rPr>
        <w:t>El veintisiete de abril de dos mil veintidós, se recibió en este Instituto, a través del Sistema de Acceso a la Información Mexiquense (SAIMEX), el Informe Justificado del Sujeto Obligado, en el que ratifica en todas y cada una de sus partes la respuesta proporcionada a la hoy Recurrente.</w:t>
      </w:r>
    </w:p>
    <w:p w:rsidRPr="005C5F89" w:rsidR="00CA1727" w:rsidP="003A7290" w:rsidRDefault="00CA1727" w14:paraId="0461E67E" w14:textId="77777777">
      <w:pPr>
        <w:spacing w:after="0" w:line="360" w:lineRule="auto"/>
        <w:rPr>
          <w:rFonts w:cs="Tahoma"/>
          <w:bCs/>
          <w:lang w:val="es-ES_tradnl"/>
        </w:rPr>
      </w:pPr>
    </w:p>
    <w:p w:rsidRPr="005C5F89" w:rsidR="00CA1727" w:rsidP="003A7290" w:rsidRDefault="00CA1727" w14:paraId="3AD42439" w14:textId="77777777">
      <w:pPr>
        <w:spacing w:after="0" w:line="360" w:lineRule="auto"/>
        <w:rPr>
          <w:rFonts w:cs="Tahoma"/>
          <w:b/>
          <w:lang w:val="es-ES_tradnl"/>
        </w:rPr>
      </w:pPr>
      <w:r w:rsidRPr="005C5F89">
        <w:rPr>
          <w:rFonts w:cs="Tahoma"/>
          <w:b/>
          <w:lang w:val="es-ES_tradnl"/>
        </w:rPr>
        <w:t xml:space="preserve">d) </w:t>
      </w:r>
      <w:r w:rsidRPr="005C5F89">
        <w:rPr>
          <w:rFonts w:eastAsia="Times New Roman" w:cs="Tahoma"/>
          <w:b/>
          <w:color w:val="auto"/>
          <w:lang w:eastAsia="es-ES"/>
        </w:rPr>
        <w:t xml:space="preserve">Acumulación de los asuntos. </w:t>
      </w:r>
      <w:r w:rsidRPr="005C5F89">
        <w:rPr>
          <w:rFonts w:eastAsia="Times New Roman" w:cs="Tahoma"/>
          <w:color w:val="auto"/>
          <w:lang w:eastAsia="es-ES"/>
        </w:rPr>
        <w:t>El</w:t>
      </w:r>
      <w:r w:rsidRPr="005C5F89">
        <w:rPr>
          <w:rFonts w:eastAsia="Times New Roman" w:cs="Tahoma"/>
          <w:b/>
          <w:color w:val="auto"/>
          <w:lang w:eastAsia="es-ES"/>
        </w:rPr>
        <w:t xml:space="preserve"> </w:t>
      </w:r>
      <w:r w:rsidRPr="005C5F89">
        <w:rPr>
          <w:rFonts w:eastAsia="Times New Roman" w:cs="Tahoma"/>
          <w:bCs/>
          <w:color w:val="auto"/>
          <w:lang w:eastAsia="es-ES"/>
        </w:rPr>
        <w:t xml:space="preserve">nueve de mayo de dos mil veintidós, el Pleno del Instituto de Transparencia, Acceso a la Información Pública y Protección de Datos Personales del Estado de México y Municipios, durante la Décima Quinta 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5C5F89">
        <w:rPr>
          <w:rFonts w:eastAsia="Times New Roman" w:cs="Tahoma"/>
          <w:b/>
          <w:bCs/>
          <w:color w:val="auto"/>
          <w:lang w:eastAsia="es-ES"/>
        </w:rPr>
        <w:t>acordó</w:t>
      </w:r>
      <w:r w:rsidRPr="005C5F89">
        <w:rPr>
          <w:rFonts w:eastAsia="Times New Roman" w:cs="Tahoma"/>
          <w:bCs/>
          <w:color w:val="auto"/>
          <w:lang w:eastAsia="es-ES"/>
        </w:rPr>
        <w:t xml:space="preserve"> la acumulación del Recurso de Revisión </w:t>
      </w:r>
      <w:r w:rsidRPr="005C5F89">
        <w:rPr>
          <w:bCs/>
        </w:rPr>
        <w:t>05572/INFOEM/IP/RR/2022</w:t>
      </w:r>
      <w:r w:rsidRPr="005C5F89">
        <w:rPr>
          <w:rFonts w:eastAsia="Times New Roman" w:cs="Tahoma"/>
          <w:bCs/>
          <w:color w:val="auto"/>
          <w:lang w:eastAsia="es-ES"/>
        </w:rPr>
        <w:t xml:space="preserve"> al diverso </w:t>
      </w:r>
      <w:r w:rsidRPr="005C5F89">
        <w:rPr>
          <w:bCs/>
        </w:rPr>
        <w:t>05571/INFOEM/IP/RR/2022</w:t>
      </w:r>
      <w:r w:rsidRPr="005C5F89">
        <w:rPr>
          <w:b/>
          <w:bCs/>
        </w:rPr>
        <w:t xml:space="preserve"> </w:t>
      </w:r>
      <w:r w:rsidRPr="005C5F89">
        <w:rPr>
          <w:rFonts w:eastAsia="Times New Roman" w:cs="Tahoma"/>
          <w:bCs/>
          <w:color w:val="auto"/>
          <w:lang w:eastAsia="es-ES"/>
        </w:rPr>
        <w:t>por ser este último el más antiguo, sustanciado bajo el índice de esta Ponencia.</w:t>
      </w:r>
    </w:p>
    <w:p w:rsidRPr="005C5F89" w:rsidR="00CA1727" w:rsidP="003A7290" w:rsidRDefault="00CA1727" w14:paraId="777E7E3D" w14:textId="77777777">
      <w:pPr>
        <w:spacing w:after="0" w:line="360" w:lineRule="auto"/>
        <w:rPr>
          <w:rFonts w:cs="Tahoma"/>
          <w:bCs/>
          <w:lang w:val="es-ES_tradnl"/>
        </w:rPr>
      </w:pPr>
    </w:p>
    <w:p w:rsidRPr="005C5F89" w:rsidR="00E931F8" w:rsidP="003A7290" w:rsidRDefault="00CA1727" w14:paraId="1C4EAAC3" w14:textId="707F1087">
      <w:pPr>
        <w:spacing w:after="0" w:line="360" w:lineRule="auto"/>
        <w:rPr>
          <w:rFonts w:cs="Tahoma"/>
          <w:b/>
          <w:bCs/>
        </w:rPr>
      </w:pPr>
      <w:r w:rsidRPr="005C5F89">
        <w:rPr>
          <w:rFonts w:eastAsia="Times New Roman" w:cs="Tahoma"/>
          <w:b/>
          <w:color w:val="auto"/>
          <w:szCs w:val="24"/>
          <w:lang w:eastAsia="es-ES"/>
        </w:rPr>
        <w:t xml:space="preserve">e) </w:t>
      </w:r>
      <w:r w:rsidRPr="005C5F89" w:rsidR="00E931F8">
        <w:rPr>
          <w:b/>
          <w:bCs/>
        </w:rPr>
        <w:t>Vista del informe Justificado:</w:t>
      </w:r>
      <w:r w:rsidRPr="005C5F89" w:rsidR="00E931F8">
        <w:t xml:space="preserve"> El diez de mayo de dos mil veintidós, se dictó acuerdo por medio del cual se puso a la vista del Recurrente el Informe Justificado entregado por el Sujeto Obligado, el cual fue notificado a las partes, a través del Sistema de Acceso a la Información </w:t>
      </w:r>
      <w:r w:rsidRPr="005C5F89" w:rsidR="00E931F8">
        <w:lastRenderedPageBreak/>
        <w:t>Mexiquense (SAIMEX), en el mismo día de dicho mes y año. Cabe señalar que el Particular fue omiso en realizar manifestación alguna.</w:t>
      </w:r>
    </w:p>
    <w:p w:rsidRPr="005C5F89" w:rsidR="00E931F8" w:rsidP="003A7290" w:rsidRDefault="00E931F8" w14:paraId="72C9D7BE" w14:textId="77777777">
      <w:pPr>
        <w:spacing w:after="0" w:line="360" w:lineRule="auto"/>
        <w:rPr>
          <w:rFonts w:eastAsia="Times New Roman" w:cs="Tahoma"/>
          <w:b/>
          <w:color w:val="auto"/>
          <w:szCs w:val="24"/>
          <w:lang w:eastAsia="es-ES"/>
        </w:rPr>
      </w:pPr>
    </w:p>
    <w:p w:rsidRPr="005C5F89" w:rsidR="00CA1727" w:rsidP="003A7290" w:rsidRDefault="00E931F8" w14:paraId="4ABDDAB4" w14:textId="10D31644">
      <w:pPr>
        <w:spacing w:after="0" w:line="360" w:lineRule="auto"/>
        <w:rPr>
          <w:rFonts w:eastAsia="Times New Roman" w:cs="Tahoma"/>
          <w:color w:val="auto"/>
          <w:szCs w:val="24"/>
          <w:lang w:eastAsia="es-ES"/>
        </w:rPr>
      </w:pPr>
      <w:r w:rsidRPr="005C5F89">
        <w:rPr>
          <w:rFonts w:eastAsia="Times New Roman" w:cs="Tahoma"/>
          <w:b/>
          <w:color w:val="auto"/>
          <w:szCs w:val="24"/>
          <w:lang w:eastAsia="es-ES"/>
        </w:rPr>
        <w:t xml:space="preserve">f) </w:t>
      </w:r>
      <w:r w:rsidRPr="005C5F89" w:rsidR="00CA1727">
        <w:rPr>
          <w:rFonts w:eastAsia="Times New Roman" w:cs="Tahoma"/>
          <w:b/>
          <w:color w:val="auto"/>
          <w:szCs w:val="24"/>
          <w:lang w:eastAsia="es-ES"/>
        </w:rPr>
        <w:t>Cierre de instrucción.</w:t>
      </w:r>
      <w:r w:rsidRPr="005C5F89" w:rsidR="00CA1727">
        <w:rPr>
          <w:rFonts w:eastAsia="Times New Roman" w:cs="Tahoma"/>
          <w:color w:val="auto"/>
          <w:szCs w:val="24"/>
          <w:lang w:eastAsia="es-ES"/>
        </w:rPr>
        <w:t xml:space="preserve"> El diecinueve de mayo de dos mil veintidós,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5C5F89" w:rsidR="00CA1727">
        <w:rPr>
          <w:rFonts w:eastAsia="Times New Roman" w:cs="Tahoma"/>
          <w:color w:val="auto"/>
          <w:szCs w:val="20"/>
          <w:lang w:val="es-ES" w:eastAsia="es-ES"/>
        </w:rPr>
        <w:t>Sistema de Acceso a la Información Mexiquense (SAIMEX)</w:t>
      </w:r>
      <w:r w:rsidRPr="005C5F89" w:rsidR="00CA1727">
        <w:rPr>
          <w:rFonts w:eastAsia="Times New Roman" w:cs="Tahoma"/>
          <w:color w:val="auto"/>
          <w:szCs w:val="24"/>
          <w:lang w:eastAsia="es-ES"/>
        </w:rPr>
        <w:t xml:space="preserve">. </w:t>
      </w:r>
    </w:p>
    <w:p w:rsidRPr="005C5F89" w:rsidR="00CA1727" w:rsidP="003A7290" w:rsidRDefault="00CA1727" w14:paraId="707BFEA2" w14:textId="77777777">
      <w:pPr>
        <w:spacing w:after="0" w:line="360" w:lineRule="auto"/>
        <w:rPr>
          <w:rFonts w:eastAsia="Times New Roman" w:cs="Tahoma"/>
          <w:color w:val="auto"/>
          <w:szCs w:val="24"/>
          <w:lang w:eastAsia="es-ES"/>
        </w:rPr>
      </w:pPr>
    </w:p>
    <w:p w:rsidRPr="005C5F89" w:rsidR="00CA1727" w:rsidP="003A7290" w:rsidRDefault="00CA1727" w14:paraId="5FE4857C" w14:textId="77777777">
      <w:pPr>
        <w:spacing w:after="0" w:line="360" w:lineRule="auto"/>
        <w:rPr>
          <w:rFonts w:eastAsia="Calibri" w:cs="Times New Roman"/>
        </w:rPr>
      </w:pPr>
      <w:r w:rsidRPr="005C5F89">
        <w:rPr>
          <w:rFonts w:eastAsia="Palatino Linotype" w:cs="Palatino Linotype"/>
          <w:b/>
          <w:bCs/>
          <w:lang w:val="es-ES"/>
        </w:rPr>
        <w:t xml:space="preserve">f) Ampliación de plazo para resolver. </w:t>
      </w:r>
      <w:r w:rsidRPr="005C5F89">
        <w:rPr>
          <w:rFonts w:eastAsia="Palatino Linotype" w:cs="Palatino Linotype"/>
          <w:lang w:val="es-ES"/>
        </w:rPr>
        <w:t>El seis de junio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rsidRPr="005C5F89" w:rsidR="00CA1727" w:rsidP="003A7290" w:rsidRDefault="00CA1727" w14:paraId="5CE1D0F8" w14:textId="2E276B92">
      <w:pPr>
        <w:spacing w:after="0" w:line="360" w:lineRule="auto"/>
        <w:rPr>
          <w:rFonts w:eastAsia="Calibri" w:cs="Times New Roman"/>
        </w:rPr>
      </w:pPr>
    </w:p>
    <w:p w:rsidRPr="005C5F89" w:rsidR="007A3B0C" w:rsidP="003A7290" w:rsidRDefault="007A3B0C" w14:paraId="49FB42AD" w14:textId="77777777">
      <w:pPr>
        <w:spacing w:after="0" w:line="360" w:lineRule="auto"/>
        <w:rPr>
          <w:rFonts w:eastAsia="Calibri" w:cs="Times New Roman"/>
        </w:rPr>
      </w:pPr>
      <w:r w:rsidRPr="005C5F89">
        <w:rPr>
          <w:rFonts w:eastAsia="Calibri" w:cs="Times New Roman"/>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5C5F89" w:rsidR="007A3B0C" w:rsidP="003A7290" w:rsidRDefault="007A3B0C" w14:paraId="4739D524" w14:textId="77777777">
      <w:pPr>
        <w:spacing w:after="0" w:line="360" w:lineRule="auto"/>
        <w:rPr>
          <w:rFonts w:eastAsia="Calibri" w:cs="Times New Roman"/>
        </w:rPr>
      </w:pPr>
      <w:r w:rsidRPr="005C5F89">
        <w:rPr>
          <w:rFonts w:eastAsia="Calibri" w:cs="Times New Roman"/>
        </w:rPr>
        <w:t xml:space="preserve"> </w:t>
      </w:r>
    </w:p>
    <w:p w:rsidRPr="005C5F89" w:rsidR="007A3B0C" w:rsidP="003A7290" w:rsidRDefault="007A3B0C" w14:paraId="10B2AE4E" w14:textId="77777777">
      <w:pPr>
        <w:spacing w:after="0" w:line="360" w:lineRule="auto"/>
        <w:rPr>
          <w:rFonts w:eastAsia="Calibri" w:cs="Times New Roman"/>
        </w:rPr>
      </w:pPr>
      <w:r w:rsidRPr="005C5F89">
        <w:rPr>
          <w:rFonts w:eastAsia="Calibri" w:cs="Times New Roman"/>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w:t>
      </w:r>
      <w:r w:rsidRPr="005C5F89">
        <w:rPr>
          <w:rFonts w:eastAsia="Calibri" w:cs="Times New Roman"/>
        </w:rPr>
        <w:lastRenderedPageBreak/>
        <w:t>conforme a los parámetros establecidos por diversos órganos jurisdiccionales federales, aplicables también en procedimientos análogos, como el que nos ocupa.</w:t>
      </w:r>
    </w:p>
    <w:p w:rsidRPr="005C5F89" w:rsidR="007A3B0C" w:rsidP="003A7290" w:rsidRDefault="007A3B0C" w14:paraId="31D5B337" w14:textId="77777777">
      <w:pPr>
        <w:spacing w:after="0" w:line="360" w:lineRule="auto"/>
        <w:rPr>
          <w:rFonts w:eastAsia="Calibri" w:cs="Times New Roman"/>
        </w:rPr>
      </w:pPr>
      <w:r w:rsidRPr="005C5F89">
        <w:rPr>
          <w:rFonts w:eastAsia="Calibri" w:cs="Times New Roman"/>
        </w:rPr>
        <w:t xml:space="preserve"> </w:t>
      </w:r>
    </w:p>
    <w:p w:rsidRPr="005C5F89" w:rsidR="007A3B0C" w:rsidP="003A7290" w:rsidRDefault="007A3B0C" w14:paraId="6E490664" w14:textId="77777777">
      <w:pPr>
        <w:spacing w:after="0" w:line="360" w:lineRule="auto"/>
        <w:rPr>
          <w:rFonts w:eastAsia="Calibri" w:cs="Times New Roman"/>
        </w:rPr>
      </w:pPr>
      <w:r w:rsidRPr="005C5F89">
        <w:rPr>
          <w:rFonts w:eastAsia="Calibri" w:cs="Times New Roman"/>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5C5F89" w:rsidR="007A3B0C" w:rsidP="003A7290" w:rsidRDefault="007A3B0C" w14:paraId="02871A20" w14:textId="77777777">
      <w:pPr>
        <w:spacing w:after="0" w:line="360" w:lineRule="auto"/>
        <w:rPr>
          <w:rFonts w:eastAsia="Calibri" w:cs="Times New Roman"/>
        </w:rPr>
      </w:pPr>
      <w:r w:rsidRPr="005C5F89">
        <w:rPr>
          <w:rFonts w:eastAsia="Calibri" w:cs="Times New Roman"/>
        </w:rPr>
        <w:t xml:space="preserve"> </w:t>
      </w:r>
    </w:p>
    <w:p w:rsidRPr="005C5F89" w:rsidR="007A3B0C" w:rsidP="003A7290" w:rsidRDefault="007A3B0C" w14:paraId="1401F167" w14:textId="77777777">
      <w:pPr>
        <w:spacing w:after="0" w:line="360" w:lineRule="auto"/>
        <w:rPr>
          <w:rFonts w:eastAsia="Calibri" w:cs="Times New Roman"/>
        </w:rPr>
      </w:pPr>
      <w:r w:rsidRPr="005C5F89">
        <w:rPr>
          <w:rFonts w:eastAsia="Calibri" w:cs="Times New Roman"/>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5C5F89" w:rsidR="007A3B0C" w:rsidP="003A7290" w:rsidRDefault="007A3B0C" w14:paraId="2996C39B" w14:textId="77777777">
      <w:pPr>
        <w:spacing w:after="0" w:line="360" w:lineRule="auto"/>
        <w:rPr>
          <w:rFonts w:eastAsia="Calibri" w:cs="Times New Roman"/>
        </w:rPr>
      </w:pPr>
      <w:r w:rsidRPr="005C5F89">
        <w:rPr>
          <w:rFonts w:eastAsia="Calibri" w:cs="Times New Roman"/>
        </w:rPr>
        <w:t xml:space="preserve"> </w:t>
      </w:r>
    </w:p>
    <w:p w:rsidRPr="005C5F89" w:rsidR="007A3B0C" w:rsidP="003A7290" w:rsidRDefault="007A3B0C" w14:paraId="17DACADB" w14:textId="77777777">
      <w:pPr>
        <w:spacing w:after="0" w:line="360" w:lineRule="auto"/>
        <w:rPr>
          <w:rFonts w:eastAsia="Calibri" w:cs="Times New Roman"/>
        </w:rPr>
      </w:pPr>
      <w:r w:rsidRPr="005C5F89">
        <w:rPr>
          <w:rFonts w:eastAsia="Calibri" w:cs="Times New Roman"/>
        </w:rPr>
        <w:t xml:space="preserve">Por ello, excepcionalmente, si un asunto es resuelto con posterioridad a los plazos señalados por la norma debe analizarse la razonabilidad del tiempo necesario para su resolución, atentos a los siguientes criterios:  </w:t>
      </w:r>
    </w:p>
    <w:p w:rsidRPr="005C5F89" w:rsidR="007A3B0C" w:rsidP="003A7290" w:rsidRDefault="007A3B0C" w14:paraId="3FA4FA37" w14:textId="77777777">
      <w:pPr>
        <w:spacing w:after="0" w:line="360" w:lineRule="auto"/>
        <w:rPr>
          <w:rFonts w:eastAsia="Calibri" w:cs="Times New Roman"/>
        </w:rPr>
      </w:pPr>
      <w:r w:rsidRPr="005C5F89">
        <w:rPr>
          <w:rFonts w:eastAsia="Calibri" w:cs="Times New Roman"/>
        </w:rPr>
        <w:t xml:space="preserve"> </w:t>
      </w:r>
    </w:p>
    <w:p w:rsidRPr="005C5F89" w:rsidR="007A3B0C" w:rsidP="003A7290" w:rsidRDefault="007A3B0C" w14:paraId="371FF4D6" w14:textId="77777777">
      <w:pPr>
        <w:numPr>
          <w:ilvl w:val="0"/>
          <w:numId w:val="23"/>
        </w:numPr>
        <w:spacing w:after="0" w:line="360" w:lineRule="auto"/>
        <w:contextualSpacing/>
        <w:jc w:val="left"/>
        <w:rPr>
          <w:rFonts w:eastAsia="Calibri" w:cs="Tahoma"/>
          <w:bCs/>
          <w:color w:val="auto"/>
          <w:szCs w:val="24"/>
          <w:lang w:eastAsia="es-ES"/>
        </w:rPr>
      </w:pPr>
      <w:r w:rsidRPr="005C5F89">
        <w:rPr>
          <w:rFonts w:eastAsia="Calibri" w:cs="Tahoma"/>
          <w:b/>
          <w:color w:val="auto"/>
          <w:szCs w:val="24"/>
          <w:lang w:eastAsia="es-ES"/>
        </w:rPr>
        <w:t xml:space="preserve">Complejidad del asunto: </w:t>
      </w:r>
      <w:r w:rsidRPr="005C5F89">
        <w:rPr>
          <w:rFonts w:eastAsia="Calibri" w:cs="Tahoma"/>
          <w:bCs/>
          <w:color w:val="auto"/>
          <w:szCs w:val="24"/>
          <w:lang w:eastAsia="es-ES"/>
        </w:rPr>
        <w:t>La complejidad de la prueba, la pluralidad de sujetos procesales, el tiempo transcurrido, las características y contexto del recurso.</w:t>
      </w:r>
    </w:p>
    <w:p w:rsidRPr="005C5F89" w:rsidR="007A3B0C" w:rsidP="003A7290" w:rsidRDefault="007A3B0C" w14:paraId="60007BF3" w14:textId="77777777">
      <w:pPr>
        <w:spacing w:after="0" w:line="360" w:lineRule="auto"/>
        <w:rPr>
          <w:rFonts w:eastAsia="Calibri" w:cs="Tahoma"/>
          <w:bCs/>
        </w:rPr>
      </w:pPr>
    </w:p>
    <w:p w:rsidRPr="005C5F89" w:rsidR="007A3B0C" w:rsidP="003A7290" w:rsidRDefault="007A3B0C" w14:paraId="0D9FFAB0" w14:textId="77777777">
      <w:pPr>
        <w:numPr>
          <w:ilvl w:val="0"/>
          <w:numId w:val="23"/>
        </w:numPr>
        <w:spacing w:after="0" w:line="360" w:lineRule="auto"/>
        <w:contextualSpacing/>
        <w:jc w:val="left"/>
        <w:rPr>
          <w:rFonts w:eastAsia="Calibri" w:cs="Tahoma"/>
          <w:bCs/>
          <w:color w:val="auto"/>
          <w:szCs w:val="24"/>
          <w:lang w:eastAsia="es-ES"/>
        </w:rPr>
      </w:pPr>
      <w:r w:rsidRPr="005C5F89">
        <w:rPr>
          <w:rFonts w:eastAsia="Calibri" w:cs="Tahoma"/>
          <w:b/>
          <w:color w:val="auto"/>
          <w:szCs w:val="24"/>
          <w:lang w:eastAsia="es-ES"/>
        </w:rPr>
        <w:t>Actividad Procesal del interesado:</w:t>
      </w:r>
      <w:r w:rsidRPr="005C5F89">
        <w:rPr>
          <w:rFonts w:eastAsia="Calibri" w:cs="Tahoma"/>
          <w:bCs/>
          <w:color w:val="auto"/>
          <w:szCs w:val="24"/>
          <w:lang w:eastAsia="es-ES"/>
        </w:rPr>
        <w:t xml:space="preserve"> Acciones u omisiones del interesado.</w:t>
      </w:r>
    </w:p>
    <w:p w:rsidRPr="005C5F89" w:rsidR="007A3B0C" w:rsidP="003A7290" w:rsidRDefault="007A3B0C" w14:paraId="4D60EA82" w14:textId="77777777">
      <w:pPr>
        <w:spacing w:after="0" w:line="360" w:lineRule="auto"/>
        <w:rPr>
          <w:rFonts w:eastAsia="Calibri" w:cs="Tahoma"/>
          <w:b/>
        </w:rPr>
      </w:pPr>
    </w:p>
    <w:p w:rsidRPr="005C5F89" w:rsidR="007A3B0C" w:rsidP="003A7290" w:rsidRDefault="007A3B0C" w14:paraId="1A115C63" w14:textId="77777777">
      <w:pPr>
        <w:numPr>
          <w:ilvl w:val="0"/>
          <w:numId w:val="23"/>
        </w:numPr>
        <w:spacing w:after="0" w:line="360" w:lineRule="auto"/>
        <w:contextualSpacing/>
        <w:jc w:val="left"/>
        <w:rPr>
          <w:rFonts w:eastAsia="Calibri" w:cs="Tahoma"/>
          <w:bCs/>
          <w:color w:val="auto"/>
          <w:szCs w:val="24"/>
          <w:lang w:eastAsia="es-ES"/>
        </w:rPr>
      </w:pPr>
      <w:r w:rsidRPr="005C5F89">
        <w:rPr>
          <w:rFonts w:eastAsia="Calibri" w:cs="Tahoma"/>
          <w:b/>
          <w:color w:val="auto"/>
          <w:szCs w:val="24"/>
          <w:lang w:eastAsia="es-ES"/>
        </w:rPr>
        <w:t>Conducta de la Autoridad:</w:t>
      </w:r>
      <w:r w:rsidRPr="005C5F89">
        <w:rPr>
          <w:rFonts w:eastAsia="Calibri" w:cs="Tahoma"/>
          <w:bCs/>
          <w:color w:val="auto"/>
          <w:szCs w:val="24"/>
          <w:lang w:eastAsia="es-ES"/>
        </w:rPr>
        <w:t xml:space="preserve"> Las Acciones u omisiones realizadas en el procedimiento. Así como si la autoridad actuó con la debida diligencia.</w:t>
      </w:r>
    </w:p>
    <w:p w:rsidRPr="005C5F89" w:rsidR="007A3B0C" w:rsidP="003A7290" w:rsidRDefault="007A3B0C" w14:paraId="27120FAB" w14:textId="77777777">
      <w:pPr>
        <w:spacing w:after="0" w:line="360" w:lineRule="auto"/>
        <w:rPr>
          <w:rFonts w:eastAsia="Calibri" w:cs="Tahoma"/>
          <w:b/>
        </w:rPr>
      </w:pPr>
    </w:p>
    <w:p w:rsidRPr="005C5F89" w:rsidR="007A3B0C" w:rsidP="003A7290" w:rsidRDefault="007A3B0C" w14:paraId="7AEFD475" w14:textId="77777777">
      <w:pPr>
        <w:numPr>
          <w:ilvl w:val="0"/>
          <w:numId w:val="23"/>
        </w:numPr>
        <w:spacing w:after="0" w:line="360" w:lineRule="auto"/>
        <w:contextualSpacing/>
        <w:jc w:val="left"/>
        <w:rPr>
          <w:rFonts w:eastAsia="Calibri" w:cs="Tahoma"/>
          <w:bCs/>
          <w:color w:val="auto"/>
          <w:szCs w:val="24"/>
          <w:lang w:eastAsia="es-ES"/>
        </w:rPr>
      </w:pPr>
      <w:r w:rsidRPr="005C5F89">
        <w:rPr>
          <w:rFonts w:eastAsia="Calibri" w:cs="Tahoma"/>
          <w:b/>
          <w:color w:val="auto"/>
          <w:szCs w:val="24"/>
          <w:lang w:eastAsia="es-ES"/>
        </w:rPr>
        <w:t xml:space="preserve">La afectación generada en la situación jurídica de la persona involucrada en el proceso: </w:t>
      </w:r>
      <w:r w:rsidRPr="005C5F89">
        <w:rPr>
          <w:rFonts w:eastAsia="Calibri" w:cs="Tahoma"/>
          <w:bCs/>
          <w:color w:val="auto"/>
          <w:szCs w:val="24"/>
          <w:lang w:eastAsia="es-ES"/>
        </w:rPr>
        <w:t>Violación a sus derechos humanos.</w:t>
      </w:r>
    </w:p>
    <w:p w:rsidRPr="005C5F89" w:rsidR="007A3B0C" w:rsidP="003A7290" w:rsidRDefault="007A3B0C" w14:paraId="5DB67554" w14:textId="77777777">
      <w:pPr>
        <w:spacing w:after="0" w:line="360" w:lineRule="auto"/>
        <w:rPr>
          <w:rFonts w:eastAsia="Times New Roman" w:cs="Times New Roman"/>
          <w:color w:val="auto"/>
          <w:lang w:eastAsia="es-MX"/>
        </w:rPr>
      </w:pPr>
    </w:p>
    <w:p w:rsidRPr="005C5F89" w:rsidR="007A3B0C" w:rsidP="003A7290" w:rsidRDefault="007A3B0C" w14:paraId="3BBFF5DA" w14:textId="77777777">
      <w:pPr>
        <w:spacing w:after="0" w:line="360" w:lineRule="auto"/>
        <w:rPr>
          <w:rFonts w:eastAsia="Times New Roman" w:cs="Times New Roman"/>
          <w:color w:val="auto"/>
          <w:lang w:eastAsia="es-MX"/>
        </w:rPr>
      </w:pPr>
      <w:r w:rsidRPr="005C5F89">
        <w:rPr>
          <w:rFonts w:eastAsia="Times New Roman" w:cs="Times New Roman"/>
          <w:color w:val="auto"/>
          <w:lang w:eastAsia="es-MX"/>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5C5F89" w:rsidR="007A3B0C" w:rsidP="003A7290" w:rsidRDefault="007A3B0C" w14:paraId="4E4779F8" w14:textId="77777777">
      <w:pPr>
        <w:spacing w:after="0" w:line="360" w:lineRule="auto"/>
        <w:rPr>
          <w:rFonts w:eastAsia="Times New Roman" w:cs="Times New Roman"/>
          <w:color w:val="auto"/>
          <w:lang w:eastAsia="es-MX"/>
        </w:rPr>
      </w:pPr>
    </w:p>
    <w:p w:rsidRPr="005C5F89" w:rsidR="007A3B0C" w:rsidP="003A7290" w:rsidRDefault="007A3B0C" w14:paraId="271F0DC4" w14:textId="77777777">
      <w:pPr>
        <w:spacing w:after="0" w:line="360" w:lineRule="auto"/>
        <w:rPr>
          <w:rFonts w:eastAsia="Times New Roman" w:cs="Times New Roman"/>
          <w:color w:val="auto"/>
          <w:lang w:eastAsia="es-MX"/>
        </w:rPr>
      </w:pPr>
      <w:r w:rsidRPr="005C5F89">
        <w:rPr>
          <w:rFonts w:eastAsia="Times New Roman" w:cs="Times New Roman"/>
          <w:color w:val="auto"/>
          <w:lang w:eastAsia="es-MX"/>
        </w:rPr>
        <w:t xml:space="preserve"> Argumento que encuentra sustento en la jurisprudencia P./J. 32/92 emitida por el Pleno de la Suprema Corte de Justicia de la Nación de rubro </w:t>
      </w:r>
      <w:r w:rsidRPr="005C5F89">
        <w:rPr>
          <w:rFonts w:eastAsia="Times New Roman" w:cs="Times New Roman"/>
          <w:b/>
          <w:bCs/>
          <w:color w:val="auto"/>
          <w:lang w:eastAsia="es-MX"/>
        </w:rPr>
        <w:t>“TÉRMINOS PROCESALES. PARA DETERMINAR SI UN FUNCIONARIO JUDICIAL ACTUÓ INDEBIDAMENTE POR NO RESPETARLOS SE DEBE ATENDER AL PRESUPUESTO QUE CONSIDERÓ EL LEGISLADOR AL FIJARLOS Y LAS CARACTERÍSTICAS DEL CASO.”,</w:t>
      </w:r>
      <w:r w:rsidRPr="005C5F89">
        <w:rPr>
          <w:rFonts w:eastAsia="Times New Roman" w:cs="Times New Roman"/>
          <w:color w:val="auto"/>
          <w:lang w:eastAsia="es-MX"/>
        </w:rPr>
        <w:t xml:space="preserve"> visible en la Gaceta del Seminario Judicial de la Federación con el registro digital 205635.</w:t>
      </w:r>
    </w:p>
    <w:p w:rsidRPr="005C5F89" w:rsidR="007A3B0C" w:rsidP="003A7290" w:rsidRDefault="007A3B0C" w14:paraId="6D5FD68B" w14:textId="77777777">
      <w:pPr>
        <w:spacing w:after="0" w:line="360" w:lineRule="auto"/>
        <w:rPr>
          <w:rFonts w:eastAsia="Times New Roman" w:cs="Times New Roman"/>
          <w:color w:val="auto"/>
          <w:lang w:eastAsia="es-MX"/>
        </w:rPr>
      </w:pPr>
    </w:p>
    <w:p w:rsidRPr="005C5F89" w:rsidR="007A3B0C" w:rsidP="003A7290" w:rsidRDefault="007A3B0C" w14:paraId="10B67122" w14:textId="77777777">
      <w:pPr>
        <w:spacing w:after="0" w:line="360" w:lineRule="auto"/>
        <w:rPr>
          <w:rFonts w:eastAsia="Times New Roman" w:cs="Times New Roman"/>
          <w:color w:val="auto"/>
          <w:lang w:eastAsia="es-MX"/>
        </w:rPr>
      </w:pPr>
      <w:r w:rsidRPr="005C5F89">
        <w:rPr>
          <w:rFonts w:eastAsia="Times New Roman" w:cs="Times New Roman"/>
          <w:color w:val="auto"/>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5C5F89" w:rsidR="007A3B0C" w:rsidP="003A7290" w:rsidRDefault="007A3B0C" w14:paraId="421EE8B6" w14:textId="77777777">
      <w:pPr>
        <w:spacing w:after="0" w:line="360" w:lineRule="auto"/>
        <w:rPr>
          <w:rFonts w:eastAsia="Times New Roman" w:cs="Times New Roman"/>
          <w:color w:val="auto"/>
          <w:lang w:eastAsia="es-MX"/>
        </w:rPr>
      </w:pPr>
    </w:p>
    <w:p w:rsidRPr="005C5F89" w:rsidR="007A3B0C" w:rsidP="003A7290" w:rsidRDefault="007A3B0C" w14:paraId="36D27345" w14:textId="77777777">
      <w:pPr>
        <w:spacing w:after="0" w:line="360" w:lineRule="auto"/>
        <w:rPr>
          <w:rFonts w:eastAsia="Times New Roman" w:cs="Times New Roman"/>
          <w:color w:val="auto"/>
          <w:lang w:eastAsia="es-MX"/>
        </w:rPr>
      </w:pPr>
      <w:r w:rsidRPr="005C5F89">
        <w:rPr>
          <w:rFonts w:eastAsia="Times New Roman" w:cs="Times New Roman"/>
          <w:color w:val="auto"/>
          <w:lang w:eastAsia="es-MX"/>
        </w:rPr>
        <w:t>Al respecto, también son de considerar los criterios sostenidos por el Cuarto Tribunal Colegiado en Materia Administrativa del Primer Circuito, cuyos rubros y datos de identificación son los siguientes:</w:t>
      </w:r>
    </w:p>
    <w:p w:rsidRPr="005C5F89" w:rsidR="007A3B0C" w:rsidP="003A7290" w:rsidRDefault="007A3B0C" w14:paraId="429D0026" w14:textId="77777777">
      <w:pPr>
        <w:spacing w:after="0" w:line="360" w:lineRule="auto"/>
        <w:rPr>
          <w:rFonts w:eastAsia="Times New Roman" w:cs="Times New Roman"/>
          <w:color w:val="auto"/>
          <w:lang w:eastAsia="es-MX"/>
        </w:rPr>
      </w:pPr>
      <w:r w:rsidRPr="005C5F89">
        <w:rPr>
          <w:rFonts w:eastAsia="Times New Roman" w:cs="Times New Roman"/>
          <w:color w:val="auto"/>
          <w:lang w:eastAsia="es-MX"/>
        </w:rPr>
        <w:t xml:space="preserve"> </w:t>
      </w:r>
    </w:p>
    <w:p w:rsidRPr="005C5F89" w:rsidR="007A3B0C" w:rsidP="003A7290" w:rsidRDefault="007A3B0C" w14:paraId="1C1B82BB" w14:textId="77777777">
      <w:pPr>
        <w:spacing w:after="0" w:line="360" w:lineRule="auto"/>
        <w:rPr>
          <w:rFonts w:eastAsia="Times New Roman" w:cs="Times New Roman"/>
          <w:color w:val="auto"/>
          <w:lang w:eastAsia="es-MX"/>
        </w:rPr>
      </w:pPr>
      <w:r w:rsidRPr="005C5F89">
        <w:rPr>
          <w:rFonts w:eastAsia="Times New Roman" w:cs="Times New Roman"/>
          <w:b/>
          <w:bCs/>
          <w:color w:val="auto"/>
          <w:lang w:eastAsia="es-MX"/>
        </w:rPr>
        <w:lastRenderedPageBreak/>
        <w:t>“PLAZO RAZONABLE PARA RESOLVER. DIMENSIÓN Y EFECTOS DE ESTE CONCEPTO CUANDO SE ADUCE EXCESIVA CARGA DE TRABAJO.”</w:t>
      </w:r>
      <w:r w:rsidRPr="005C5F89">
        <w:rPr>
          <w:rFonts w:eastAsia="Times New Roman" w:cs="Times New Roman"/>
          <w:color w:val="auto"/>
          <w:lang w:eastAsia="es-MX"/>
        </w:rPr>
        <w:t xml:space="preserve"> consultable en el Seminario Judicial de la Federación y su gaceta, con el registro digital 2002351.</w:t>
      </w:r>
    </w:p>
    <w:p w:rsidRPr="005C5F89" w:rsidR="007A3B0C" w:rsidP="003A7290" w:rsidRDefault="007A3B0C" w14:paraId="6672FA00" w14:textId="77777777">
      <w:pPr>
        <w:spacing w:after="0" w:line="360" w:lineRule="auto"/>
        <w:rPr>
          <w:rFonts w:eastAsia="Times New Roman" w:cs="Times New Roman"/>
          <w:color w:val="auto"/>
          <w:lang w:eastAsia="es-MX"/>
        </w:rPr>
      </w:pPr>
    </w:p>
    <w:p w:rsidRPr="005C5F89" w:rsidR="007A3B0C" w:rsidP="003A7290" w:rsidRDefault="007A3B0C" w14:paraId="63EDC96F" w14:textId="77777777">
      <w:pPr>
        <w:spacing w:after="0" w:line="360" w:lineRule="auto"/>
        <w:rPr>
          <w:rFonts w:eastAsia="Times New Roman" w:cs="Times New Roman"/>
          <w:color w:val="auto"/>
          <w:lang w:eastAsia="es-MX"/>
        </w:rPr>
      </w:pPr>
      <w:r w:rsidRPr="005C5F89">
        <w:rPr>
          <w:rFonts w:eastAsia="Times New Roman" w:cs="Times New Roman"/>
          <w:b/>
          <w:bCs/>
          <w:color w:val="auto"/>
          <w:lang w:eastAsia="es-MX"/>
        </w:rPr>
        <w:t>“PLAZO RAZONABLE PARA RESOLVER. CONCEPTO Y ELEMENTOS QUE LO INTEGRAN A LA LUZ DEL DERECHO INTERNACIONAL DE LOS DERECHOS HUMANOS.”,</w:t>
      </w:r>
      <w:r w:rsidRPr="005C5F89">
        <w:rPr>
          <w:rFonts w:eastAsia="Times New Roman" w:cs="Times New Roman"/>
          <w:color w:val="auto"/>
          <w:lang w:eastAsia="es-MX"/>
        </w:rPr>
        <w:t xml:space="preserve"> visible en el Seminario Judicial de la Federación y su gaceta, con el registro digital 2002350.</w:t>
      </w:r>
    </w:p>
    <w:p w:rsidRPr="005C5F89" w:rsidR="007A3B0C" w:rsidP="003A7290" w:rsidRDefault="007A3B0C" w14:paraId="345595B2" w14:textId="77777777">
      <w:pPr>
        <w:spacing w:after="0" w:line="360" w:lineRule="auto"/>
        <w:rPr>
          <w:rFonts w:eastAsia="Times New Roman" w:cs="Times New Roman"/>
          <w:color w:val="auto"/>
          <w:lang w:eastAsia="es-MX"/>
        </w:rPr>
      </w:pPr>
    </w:p>
    <w:p w:rsidRPr="005C5F89" w:rsidR="007A3B0C" w:rsidP="003A7290" w:rsidRDefault="007A3B0C" w14:paraId="525C967E" w14:textId="77777777">
      <w:pPr>
        <w:spacing w:after="0" w:line="360" w:lineRule="auto"/>
        <w:rPr>
          <w:rFonts w:eastAsia="Times New Roman" w:cs="Times New Roman"/>
          <w:color w:val="auto"/>
          <w:lang w:eastAsia="es-MX"/>
        </w:rPr>
      </w:pPr>
      <w:r w:rsidRPr="005C5F89">
        <w:rPr>
          <w:rFonts w:eastAsia="Times New Roman" w:cs="Times New Roman"/>
          <w:color w:val="auto"/>
          <w:lang w:eastAsia="es-MX"/>
        </w:rPr>
        <w:t>Por ello, este organismo garante comprometido con la tutela de los derechos humanos confiados, señala que este exceso del plazo legal para resolver el presente asunto, resulta de carácter excepcional.</w:t>
      </w:r>
    </w:p>
    <w:p w:rsidRPr="005C5F89" w:rsidR="007A3B0C" w:rsidP="003A7290" w:rsidRDefault="007A3B0C" w14:paraId="39569768" w14:textId="77777777">
      <w:pPr>
        <w:spacing w:after="0" w:line="360" w:lineRule="auto"/>
        <w:rPr>
          <w:rFonts w:eastAsia="Calibri" w:cs="Times New Roman"/>
        </w:rPr>
      </w:pPr>
    </w:p>
    <w:p w:rsidRPr="005C5F89" w:rsidR="00CA1727" w:rsidP="003A7290" w:rsidRDefault="00CA1727" w14:paraId="5E1A9BA6" w14:textId="77777777">
      <w:pPr>
        <w:spacing w:after="0" w:line="360" w:lineRule="auto"/>
        <w:rPr>
          <w:rFonts w:eastAsia="Times New Roman" w:cs="Tahoma"/>
          <w:color w:val="000000"/>
          <w:szCs w:val="24"/>
          <w:lang w:eastAsia="es-ES"/>
        </w:rPr>
      </w:pPr>
      <w:r w:rsidRPr="005C5F89">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p>
    <w:p w:rsidRPr="005C5F89" w:rsidR="00CA1727" w:rsidP="003A7290" w:rsidRDefault="00CA1727" w14:paraId="3DD21C2D" w14:textId="356F437E">
      <w:pPr>
        <w:spacing w:after="0" w:line="360" w:lineRule="auto"/>
        <w:rPr>
          <w:rFonts w:eastAsia="Times New Roman" w:cs="Tahoma"/>
          <w:bCs/>
          <w:iCs/>
          <w:color w:val="auto"/>
          <w:lang w:val="es-ES" w:eastAsia="es-ES"/>
        </w:rPr>
      </w:pPr>
    </w:p>
    <w:p w:rsidRPr="005C5F89" w:rsidR="007A3B0C" w:rsidP="003A7290" w:rsidRDefault="007A3B0C" w14:paraId="087D18E9" w14:textId="77777777">
      <w:pPr>
        <w:spacing w:after="0" w:line="360" w:lineRule="auto"/>
        <w:rPr>
          <w:rFonts w:eastAsia="Times New Roman" w:cs="Tahoma"/>
          <w:bCs/>
          <w:iCs/>
          <w:color w:val="auto"/>
          <w:lang w:val="es-ES" w:eastAsia="es-ES"/>
        </w:rPr>
      </w:pPr>
    </w:p>
    <w:p w:rsidRPr="005C5F89" w:rsidR="00CA1727" w:rsidP="003A7290" w:rsidRDefault="00CA1727" w14:paraId="408FC144" w14:textId="77777777">
      <w:pPr>
        <w:spacing w:after="0" w:line="360" w:lineRule="auto"/>
        <w:jc w:val="center"/>
        <w:rPr>
          <w:rFonts w:eastAsia="Times New Roman" w:cs="Tahoma"/>
          <w:b/>
          <w:color w:val="auto"/>
          <w:lang w:val="es-ES" w:eastAsia="es-ES"/>
        </w:rPr>
      </w:pPr>
      <w:r w:rsidRPr="005C5F89">
        <w:rPr>
          <w:rFonts w:eastAsia="Times New Roman" w:cs="Tahoma"/>
          <w:b/>
          <w:color w:val="auto"/>
          <w:lang w:val="es-ES" w:eastAsia="es-ES"/>
        </w:rPr>
        <w:t>C O N S I D E R A N D O S:</w:t>
      </w:r>
    </w:p>
    <w:p w:rsidRPr="005C5F89" w:rsidR="00CA1727" w:rsidP="003A7290" w:rsidRDefault="00CA1727" w14:paraId="65F61C27" w14:textId="77777777">
      <w:pPr>
        <w:spacing w:after="0" w:line="360" w:lineRule="auto"/>
        <w:jc w:val="center"/>
        <w:rPr>
          <w:rFonts w:eastAsia="Times New Roman" w:cs="Tahoma"/>
          <w:b/>
          <w:color w:val="auto"/>
          <w:lang w:val="es-ES" w:eastAsia="es-ES"/>
        </w:rPr>
      </w:pPr>
    </w:p>
    <w:p w:rsidRPr="005C5F89" w:rsidR="00CA1727" w:rsidP="003A7290" w:rsidRDefault="00CA1727" w14:paraId="2DA2E4D4" w14:textId="77777777">
      <w:pPr>
        <w:autoSpaceDE w:val="0"/>
        <w:autoSpaceDN w:val="0"/>
        <w:adjustRightInd w:val="0"/>
        <w:spacing w:after="0" w:line="360" w:lineRule="auto"/>
        <w:rPr>
          <w:rFonts w:eastAsia="Times New Roman" w:cs="Tahoma"/>
          <w:b/>
          <w:color w:val="auto"/>
          <w:szCs w:val="24"/>
          <w:lang w:val="es-ES" w:eastAsia="es-ES"/>
        </w:rPr>
      </w:pPr>
      <w:r w:rsidRPr="005C5F89">
        <w:rPr>
          <w:rFonts w:eastAsia="Calibri" w:cs="Tahoma"/>
          <w:b/>
          <w:color w:val="000000"/>
          <w:szCs w:val="24"/>
          <w:lang w:val="es-ES" w:eastAsia="es-MX"/>
        </w:rPr>
        <w:t>PRIMERO</w:t>
      </w:r>
      <w:r w:rsidRPr="005C5F89">
        <w:rPr>
          <w:rFonts w:eastAsia="Calibri" w:cs="Tahoma"/>
          <w:color w:val="000000"/>
          <w:szCs w:val="24"/>
          <w:lang w:val="es-ES" w:eastAsia="es-MX"/>
        </w:rPr>
        <w:t xml:space="preserve">. </w:t>
      </w:r>
      <w:r w:rsidRPr="005C5F89">
        <w:rPr>
          <w:rFonts w:eastAsia="Times New Roman" w:cs="Tahoma"/>
          <w:b/>
          <w:color w:val="auto"/>
          <w:szCs w:val="24"/>
          <w:lang w:val="es-ES" w:eastAsia="es-ES"/>
        </w:rPr>
        <w:t>Competencia.</w:t>
      </w:r>
    </w:p>
    <w:p w:rsidRPr="005C5F89" w:rsidR="00CA1727" w:rsidP="003A7290" w:rsidRDefault="00CA1727" w14:paraId="5D3158A1" w14:textId="77777777">
      <w:pPr>
        <w:autoSpaceDE w:val="0"/>
        <w:autoSpaceDN w:val="0"/>
        <w:adjustRightInd w:val="0"/>
        <w:spacing w:after="0" w:line="360" w:lineRule="auto"/>
        <w:rPr>
          <w:rFonts w:eastAsia="Times New Roman" w:cs="Tahoma"/>
          <w:b/>
          <w:color w:val="auto"/>
          <w:szCs w:val="24"/>
          <w:lang w:val="es-ES" w:eastAsia="es-ES"/>
        </w:rPr>
      </w:pPr>
    </w:p>
    <w:p w:rsidRPr="005C5F89" w:rsidR="00CA1727" w:rsidP="003A7290" w:rsidRDefault="00CA1727" w14:paraId="4921FA7F" w14:textId="77777777">
      <w:pPr>
        <w:spacing w:after="0" w:line="360" w:lineRule="auto"/>
        <w:rPr>
          <w:rFonts w:eastAsia="Times New Roman" w:cs="Tahoma"/>
          <w:bCs/>
          <w:color w:val="auto"/>
          <w:lang w:eastAsia="es-ES"/>
        </w:rPr>
      </w:pPr>
      <w:bookmarkStart w:name="_Hlk63334754" w:id="0"/>
      <w:r w:rsidRPr="005C5F89">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w:t>
      </w:r>
      <w:r w:rsidRPr="005C5F89">
        <w:rPr>
          <w:rFonts w:eastAsia="Times New Roman" w:cs="Tahoma"/>
          <w:bCs/>
          <w:color w:val="auto"/>
          <w:lang w:eastAsia="es-ES"/>
        </w:rPr>
        <w:lastRenderedPageBreak/>
        <w:t>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5C5F89">
        <w:rPr>
          <w:rFonts w:eastAsia="Times New Roman" w:cs="Times New Roman"/>
          <w:bCs/>
          <w:color w:val="auto"/>
          <w:lang w:eastAsia="es-ES"/>
        </w:rPr>
        <w:t xml:space="preserve"> 7°, </w:t>
      </w:r>
      <w:r w:rsidRPr="005C5F89">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rsidRPr="005C5F89" w:rsidR="00CA1727" w:rsidP="003A7290" w:rsidRDefault="00CA1727" w14:paraId="3793A417" w14:textId="77777777">
      <w:pPr>
        <w:spacing w:after="0" w:line="360" w:lineRule="auto"/>
      </w:pPr>
    </w:p>
    <w:p w:rsidRPr="005C5F89" w:rsidR="00CA1727" w:rsidP="003A7290" w:rsidRDefault="00CA1727" w14:paraId="360AEAE9" w14:textId="77777777">
      <w:pPr>
        <w:autoSpaceDE w:val="0"/>
        <w:autoSpaceDN w:val="0"/>
        <w:adjustRightInd w:val="0"/>
        <w:spacing w:after="0" w:line="360" w:lineRule="auto"/>
        <w:rPr>
          <w:rFonts w:eastAsia="Times New Roman" w:cs="Tahoma"/>
          <w:color w:val="auto"/>
          <w:szCs w:val="24"/>
          <w:lang w:val="es-ES" w:eastAsia="es-ES"/>
        </w:rPr>
      </w:pPr>
      <w:r w:rsidRPr="005C5F89">
        <w:rPr>
          <w:rFonts w:eastAsia="Calibri" w:cs="Tahoma"/>
          <w:b/>
          <w:color w:val="000000"/>
          <w:szCs w:val="24"/>
          <w:lang w:val="es-ES" w:eastAsia="es-MX"/>
        </w:rPr>
        <w:t>SEGUNDO</w:t>
      </w:r>
      <w:r w:rsidRPr="005C5F89">
        <w:rPr>
          <w:rFonts w:eastAsia="Calibri" w:cs="Tahoma"/>
          <w:color w:val="000000"/>
          <w:szCs w:val="24"/>
          <w:lang w:val="es-ES" w:eastAsia="es-MX"/>
        </w:rPr>
        <w:t xml:space="preserve">. </w:t>
      </w:r>
      <w:r w:rsidRPr="005C5F89">
        <w:rPr>
          <w:rFonts w:eastAsia="Times New Roman" w:cs="Tahoma"/>
          <w:b/>
          <w:color w:val="auto"/>
          <w:szCs w:val="24"/>
          <w:lang w:val="es-ES" w:eastAsia="es-ES"/>
        </w:rPr>
        <w:t>Causales de improcedencia y sobreseimiento.</w:t>
      </w:r>
      <w:r w:rsidRPr="005C5F89">
        <w:rPr>
          <w:rFonts w:eastAsia="Times New Roman" w:cs="Tahoma"/>
          <w:color w:val="auto"/>
          <w:szCs w:val="24"/>
          <w:lang w:val="es-ES" w:eastAsia="es-ES"/>
        </w:rPr>
        <w:t xml:space="preserve"> </w:t>
      </w:r>
    </w:p>
    <w:p w:rsidRPr="005C5F89" w:rsidR="00CA1727" w:rsidP="003A7290" w:rsidRDefault="00CA1727" w14:paraId="5BE2BD57" w14:textId="77777777">
      <w:pPr>
        <w:autoSpaceDE w:val="0"/>
        <w:autoSpaceDN w:val="0"/>
        <w:adjustRightInd w:val="0"/>
        <w:spacing w:after="0" w:line="360" w:lineRule="auto"/>
        <w:rPr>
          <w:rFonts w:eastAsia="Times New Roman" w:cs="Tahoma"/>
          <w:color w:val="auto"/>
          <w:szCs w:val="24"/>
          <w:lang w:val="es-ES" w:eastAsia="es-ES"/>
        </w:rPr>
      </w:pPr>
    </w:p>
    <w:p w:rsidRPr="005C5F89" w:rsidR="00CA1727" w:rsidP="003A7290" w:rsidRDefault="00CA1727" w14:paraId="2486A480" w14:textId="77777777">
      <w:pPr>
        <w:autoSpaceDE w:val="0"/>
        <w:autoSpaceDN w:val="0"/>
        <w:adjustRightInd w:val="0"/>
        <w:spacing w:after="0" w:line="360" w:lineRule="auto"/>
        <w:rPr>
          <w:rFonts w:eastAsia="Times New Roman" w:cs="Tahoma"/>
          <w:color w:val="auto"/>
          <w:szCs w:val="24"/>
          <w:lang w:val="es-ES" w:eastAsia="es-ES"/>
        </w:rPr>
      </w:pPr>
      <w:r w:rsidRPr="005C5F89">
        <w:rPr>
          <w:rFonts w:eastAsia="Times New Roman" w:cs="Tahoma"/>
          <w:color w:val="auto"/>
          <w:szCs w:val="24"/>
          <w:lang w:val="es-ES" w:eastAsia="es-ES"/>
        </w:rPr>
        <w:t xml:space="preserve">De las constancias que forma parte del Recurso de Revisión que se analiza, se advierte que previo al estudio del fondo de la </w:t>
      </w:r>
      <w:r w:rsidRPr="005C5F89">
        <w:rPr>
          <w:rFonts w:eastAsia="Times New Roman" w:cs="Tahoma"/>
          <w:i/>
          <w:color w:val="auto"/>
          <w:szCs w:val="24"/>
          <w:lang w:val="es-ES" w:eastAsia="es-ES"/>
        </w:rPr>
        <w:t>litis</w:t>
      </w:r>
      <w:r w:rsidRPr="005C5F89">
        <w:rPr>
          <w:rFonts w:eastAsia="Times New Roman" w:cs="Tahoma"/>
          <w:color w:val="auto"/>
          <w:szCs w:val="24"/>
          <w:lang w:val="es-ES" w:eastAsia="es-ES"/>
        </w:rPr>
        <w:t>, es necesario estudiar las causales de improcedencia y sobreseimiento que se adviertan, para determinar lo que en Derecho proceda.</w:t>
      </w:r>
    </w:p>
    <w:p w:rsidRPr="005C5F89" w:rsidR="00CA1727" w:rsidP="003A7290" w:rsidRDefault="00CA1727" w14:paraId="5C617992" w14:textId="77777777">
      <w:pPr>
        <w:autoSpaceDE w:val="0"/>
        <w:autoSpaceDN w:val="0"/>
        <w:adjustRightInd w:val="0"/>
        <w:spacing w:after="0" w:line="360" w:lineRule="auto"/>
        <w:rPr>
          <w:rFonts w:eastAsia="Times New Roman" w:cs="Tahoma"/>
          <w:color w:val="auto"/>
          <w:szCs w:val="24"/>
          <w:lang w:val="es-ES" w:eastAsia="es-ES"/>
        </w:rPr>
      </w:pPr>
    </w:p>
    <w:p w:rsidRPr="005C5F89" w:rsidR="00CA1727" w:rsidP="003A7290" w:rsidRDefault="00CA1727" w14:paraId="2281C349" w14:textId="77777777">
      <w:pPr>
        <w:spacing w:after="0" w:line="360" w:lineRule="auto"/>
        <w:rPr>
          <w:b/>
          <w:lang w:val="es-ES"/>
        </w:rPr>
      </w:pPr>
      <w:r w:rsidRPr="005C5F89">
        <w:rPr>
          <w:b/>
          <w:lang w:val="es-ES"/>
        </w:rPr>
        <w:t>Causales de improcedencia</w:t>
      </w:r>
    </w:p>
    <w:p w:rsidRPr="005C5F89" w:rsidR="00CA1727" w:rsidP="003A7290" w:rsidRDefault="00CA1727" w14:paraId="672D9AEA" w14:textId="77777777">
      <w:pPr>
        <w:spacing w:after="0" w:line="360" w:lineRule="auto"/>
      </w:pPr>
    </w:p>
    <w:p w:rsidRPr="005C5F89" w:rsidR="00CA1727" w:rsidP="003A7290" w:rsidRDefault="00CA1727" w14:paraId="5B9CE337" w14:textId="77777777">
      <w:pPr>
        <w:spacing w:after="0" w:line="360" w:lineRule="auto"/>
        <w:rPr>
          <w:rFonts w:eastAsia="Times New Roman" w:cs="Tahoma"/>
          <w:color w:val="auto"/>
          <w:lang w:eastAsia="es-ES"/>
        </w:rPr>
      </w:pPr>
      <w:r w:rsidRPr="005C5F89">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5C5F89" w:rsidR="00CA1727" w:rsidP="003A7290" w:rsidRDefault="00CA1727" w14:paraId="2CC59783" w14:textId="77777777">
      <w:pPr>
        <w:spacing w:after="0" w:line="360" w:lineRule="auto"/>
        <w:rPr>
          <w:rFonts w:eastAsia="Times New Roman" w:cs="Tahoma"/>
          <w:color w:val="auto"/>
          <w:lang w:eastAsia="es-ES"/>
        </w:rPr>
      </w:pPr>
    </w:p>
    <w:p w:rsidRPr="005C5F89" w:rsidR="00CA1727" w:rsidP="003A7290" w:rsidRDefault="00CA1727" w14:paraId="335250F6" w14:textId="77777777">
      <w:pPr>
        <w:spacing w:after="0" w:line="360" w:lineRule="auto"/>
        <w:rPr>
          <w:rFonts w:eastAsia="Times New Roman" w:cs="Tahoma"/>
          <w:color w:val="auto"/>
          <w:lang w:eastAsia="es-ES"/>
        </w:rPr>
      </w:pPr>
      <w:r w:rsidRPr="005C5F89">
        <w:rPr>
          <w:rFonts w:eastAsia="Times New Roman" w:cs="Tahoma"/>
          <w:color w:val="auto"/>
          <w:lang w:eastAsia="es-ES"/>
        </w:rPr>
        <w:t>En el presente caso, </w:t>
      </w:r>
      <w:r w:rsidRPr="005C5F89">
        <w:rPr>
          <w:rFonts w:eastAsia="Times New Roman" w:cs="Tahoma"/>
          <w:b/>
          <w:bCs/>
          <w:color w:val="auto"/>
          <w:lang w:eastAsia="es-ES"/>
        </w:rPr>
        <w:t>no se actualiza ninguna de las causales de improcedencia</w:t>
      </w:r>
      <w:r w:rsidRPr="005C5F89">
        <w:rPr>
          <w:rFonts w:eastAsia="Times New Roman" w:cs="Tahoma"/>
          <w:color w:val="auto"/>
          <w:lang w:eastAsia="es-ES"/>
        </w:rPr>
        <w:t xml:space="preserve"> establecidas en el ordenamiento jurídico previamente señalado, toda vez que: este Instituto no tiene </w:t>
      </w:r>
      <w:r w:rsidRPr="005C5F89">
        <w:rPr>
          <w:rFonts w:eastAsia="Times New Roman" w:cs="Tahoma"/>
          <w:color w:val="auto"/>
          <w:lang w:eastAsia="es-ES"/>
        </w:rPr>
        <w:lastRenderedPageBreak/>
        <w:t>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rsidRPr="005C5F89" w:rsidR="00CA1727" w:rsidP="003A7290" w:rsidRDefault="00CA1727" w14:paraId="1E35FCF3" w14:textId="77777777">
      <w:pPr>
        <w:spacing w:after="0" w:line="360" w:lineRule="auto"/>
        <w:rPr>
          <w:rFonts w:eastAsia="Times New Roman" w:cs="Tahoma"/>
          <w:color w:val="auto"/>
          <w:lang w:val="es-ES" w:eastAsia="es-ES"/>
        </w:rPr>
      </w:pPr>
    </w:p>
    <w:p w:rsidRPr="005C5F89" w:rsidR="00CA1727" w:rsidP="003A7290" w:rsidRDefault="00CA1727" w14:paraId="1835B692" w14:textId="370B1A43">
      <w:pPr>
        <w:spacing w:after="0" w:line="360" w:lineRule="auto"/>
        <w:rPr>
          <w:rFonts w:eastAsia="Times New Roman" w:cs="Tahoma"/>
          <w:bCs/>
          <w:color w:val="auto"/>
          <w:lang w:val="es-ES" w:eastAsia="es-ES"/>
        </w:rPr>
      </w:pPr>
      <w:r w:rsidRPr="005C5F89">
        <w:rPr>
          <w:rFonts w:eastAsia="Times New Roman" w:cs="Tahoma"/>
          <w:color w:val="auto"/>
          <w:lang w:val="es-ES" w:eastAsia="es-ES"/>
        </w:rPr>
        <w:t>Conforme a lo anterior, se actualiza la causal de procedencia señalada en el artículo 179, fracción II</w:t>
      </w:r>
      <w:r w:rsidRPr="005C5F89" w:rsidR="00E931F8">
        <w:rPr>
          <w:rFonts w:eastAsia="Times New Roman" w:cs="Tahoma"/>
          <w:color w:val="auto"/>
          <w:lang w:val="es-ES" w:eastAsia="es-ES"/>
        </w:rPr>
        <w:t xml:space="preserve"> y V</w:t>
      </w:r>
      <w:r w:rsidRPr="005C5F89">
        <w:rPr>
          <w:rFonts w:eastAsia="Times New Roman" w:cs="Tahoma"/>
          <w:color w:val="auto"/>
          <w:lang w:val="es-ES" w:eastAsia="es-ES"/>
        </w:rPr>
        <w:t>, de la Ley de la materia</w:t>
      </w:r>
      <w:r w:rsidRPr="005C5F89">
        <w:rPr>
          <w:rFonts w:eastAsia="Times New Roman" w:cs="Tahoma"/>
          <w:bCs/>
          <w:color w:val="auto"/>
          <w:lang w:val="es-ES" w:eastAsia="es-ES"/>
        </w:rPr>
        <w:t xml:space="preserve">, toda vez que el Solicitante se inconformó </w:t>
      </w:r>
      <w:r w:rsidRPr="005C5F89" w:rsidR="00E931F8">
        <w:rPr>
          <w:rFonts w:eastAsia="Times New Roman" w:cs="Tahoma"/>
          <w:bCs/>
          <w:color w:val="auto"/>
          <w:lang w:val="es-ES" w:eastAsia="es-ES"/>
        </w:rPr>
        <w:t>con la clasificación de información y la entrega de información incompleta.</w:t>
      </w:r>
    </w:p>
    <w:p w:rsidRPr="005C5F89" w:rsidR="00CA1727" w:rsidP="003A7290" w:rsidRDefault="00CA1727" w14:paraId="0B520DB7" w14:textId="77777777">
      <w:pPr>
        <w:spacing w:after="0" w:line="360" w:lineRule="auto"/>
        <w:rPr>
          <w:rFonts w:eastAsia="Times New Roman" w:cs="Tahoma"/>
          <w:bCs/>
          <w:color w:val="auto"/>
          <w:lang w:val="es-ES" w:eastAsia="es-ES"/>
        </w:rPr>
      </w:pPr>
    </w:p>
    <w:p w:rsidRPr="005C5F89" w:rsidR="00CA1727" w:rsidP="003A7290" w:rsidRDefault="00CA1727" w14:paraId="65E4E70A" w14:textId="77777777">
      <w:pPr>
        <w:spacing w:after="0" w:line="360" w:lineRule="auto"/>
        <w:rPr>
          <w:rFonts w:eastAsia="Times New Roman" w:cs="Tahoma"/>
          <w:bCs/>
          <w:color w:val="0D0D0D" w:themeColor="text1" w:themeTint="F2"/>
          <w:lang w:eastAsia="es-ES"/>
        </w:rPr>
      </w:pPr>
      <w:r w:rsidRPr="005C5F89">
        <w:rPr>
          <w:rFonts w:eastAsia="Times New Roman" w:cs="Tahoma"/>
          <w:b/>
          <w:bCs/>
          <w:color w:val="0D0D0D" w:themeColor="text1" w:themeTint="F2"/>
          <w:lang w:eastAsia="es-ES"/>
        </w:rPr>
        <w:t>Causales de sobreseimiento.</w:t>
      </w:r>
    </w:p>
    <w:p w:rsidRPr="005C5F89" w:rsidR="00CA1727" w:rsidP="003A7290" w:rsidRDefault="00CA1727" w14:paraId="1980685D" w14:textId="77777777">
      <w:pPr>
        <w:spacing w:after="0" w:line="360" w:lineRule="auto"/>
        <w:rPr>
          <w:rFonts w:eastAsia="Times New Roman" w:cs="Tahoma"/>
          <w:bCs/>
          <w:color w:val="0D0D0D" w:themeColor="text1" w:themeTint="F2"/>
          <w:lang w:eastAsia="es-ES"/>
        </w:rPr>
      </w:pPr>
    </w:p>
    <w:p w:rsidRPr="005C5F89" w:rsidR="00CA1727" w:rsidP="003A7290" w:rsidRDefault="00CA1727" w14:paraId="6E3089AE" w14:textId="77777777">
      <w:pPr>
        <w:spacing w:after="0" w:line="360" w:lineRule="auto"/>
        <w:rPr>
          <w:rFonts w:eastAsia="Times New Roman" w:cs="Tahoma"/>
          <w:bCs/>
          <w:color w:val="0D0D0D" w:themeColor="text1" w:themeTint="F2"/>
          <w:lang w:eastAsia="es-ES"/>
        </w:rPr>
      </w:pPr>
      <w:r w:rsidRPr="005C5F89">
        <w:rPr>
          <w:rFonts w:eastAsia="Times New Roman" w:cs="Tahoma"/>
          <w:bCs/>
          <w:color w:val="0D0D0D" w:themeColor="text1" w:themeTint="F2"/>
          <w:lang w:eastAsia="es-ES"/>
        </w:rPr>
        <w:t>Por ser de previo y especial pronunciamiento, este Instituto analiza si se actualiza alguna causal de sobreseimiento.</w:t>
      </w:r>
    </w:p>
    <w:p w:rsidRPr="005C5F89" w:rsidR="00CA1727" w:rsidP="003A7290" w:rsidRDefault="00CA1727" w14:paraId="571EC681" w14:textId="77777777">
      <w:pPr>
        <w:spacing w:after="0" w:line="360" w:lineRule="auto"/>
        <w:rPr>
          <w:rFonts w:eastAsia="Times New Roman" w:cs="Tahoma"/>
          <w:bCs/>
          <w:color w:val="0D0D0D" w:themeColor="text1" w:themeTint="F2"/>
          <w:lang w:eastAsia="es-ES"/>
        </w:rPr>
      </w:pPr>
    </w:p>
    <w:p w:rsidRPr="005C5F89" w:rsidR="00CA1727" w:rsidP="003A7290" w:rsidRDefault="00CA1727" w14:paraId="52B22B16" w14:textId="77777777">
      <w:pPr>
        <w:spacing w:after="0" w:line="360" w:lineRule="auto"/>
        <w:rPr>
          <w:rFonts w:eastAsia="Times New Roman" w:cs="Tahoma"/>
          <w:color w:val="auto"/>
          <w:szCs w:val="24"/>
          <w:lang w:eastAsia="es-ES"/>
        </w:rPr>
      </w:pPr>
      <w:r w:rsidRPr="005C5F89">
        <w:rPr>
          <w:rFonts w:eastAsia="Times New Roman" w:cs="Tahoma"/>
          <w:bCs/>
          <w:color w:val="0D0D0D" w:themeColor="text1" w:themeTint="F2"/>
          <w:lang w:eastAsia="es-ES"/>
        </w:rPr>
        <w:t>Sobre el tema, e</w:t>
      </w:r>
      <w:r w:rsidRPr="005C5F89">
        <w:rPr>
          <w:rFonts w:eastAsia="Times New Roman" w:cs="Tahoma"/>
          <w:color w:val="auto"/>
          <w:szCs w:val="24"/>
          <w:lang w:eastAsia="es-ES"/>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rsidRPr="005C5F89" w:rsidR="00CA1727" w:rsidP="003A7290" w:rsidRDefault="00CA1727" w14:paraId="182BDE3C" w14:textId="77777777">
      <w:pPr>
        <w:spacing w:after="0" w:line="360" w:lineRule="auto"/>
        <w:rPr>
          <w:rFonts w:eastAsia="Times New Roman" w:cs="Tahoma"/>
          <w:color w:val="auto"/>
          <w:szCs w:val="24"/>
          <w:lang w:eastAsia="es-ES"/>
        </w:rPr>
      </w:pPr>
    </w:p>
    <w:p w:rsidRPr="005C5F89" w:rsidR="00CA1727" w:rsidP="003A7290" w:rsidRDefault="00CA1727" w14:paraId="65F96535" w14:textId="77777777">
      <w:pPr>
        <w:spacing w:after="0" w:line="360" w:lineRule="auto"/>
        <w:rPr>
          <w:rFonts w:eastAsia="Times New Roman" w:cs="Tahoma"/>
          <w:bCs/>
          <w:color w:val="0D0D0D" w:themeColor="text1" w:themeTint="F2"/>
          <w:lang w:eastAsia="es-ES"/>
        </w:rPr>
      </w:pPr>
      <w:r w:rsidRPr="005C5F89">
        <w:rPr>
          <w:rFonts w:eastAsia="Times New Roman" w:cs="Tahoma"/>
          <w:bCs/>
          <w:color w:val="0D0D0D" w:themeColor="text1" w:themeTint="F2"/>
          <w:lang w:eastAsia="es-ES"/>
        </w:rPr>
        <w:t xml:space="preserve">Por tales motivos, se considera procedente entrar al fondo del presente asunto. </w:t>
      </w:r>
    </w:p>
    <w:p w:rsidRPr="005C5F89" w:rsidR="00CA1727" w:rsidP="003A7290" w:rsidRDefault="00CA1727" w14:paraId="2BAC920C" w14:textId="77777777">
      <w:pPr>
        <w:spacing w:after="0" w:line="360" w:lineRule="auto"/>
        <w:rPr>
          <w:rFonts w:eastAsia="Times New Roman" w:cs="Tahoma"/>
          <w:b/>
          <w:bCs/>
          <w:iCs/>
          <w:color w:val="auto"/>
          <w:lang w:val="es-ES" w:eastAsia="es-ES"/>
        </w:rPr>
      </w:pPr>
    </w:p>
    <w:p w:rsidRPr="005C5F89" w:rsidR="00CA1727" w:rsidP="003A7290" w:rsidRDefault="00CA1727" w14:paraId="166BB080" w14:textId="77777777">
      <w:pPr>
        <w:spacing w:after="0" w:line="360" w:lineRule="auto"/>
        <w:rPr>
          <w:rFonts w:eastAsia="Times New Roman" w:cs="Tahoma"/>
          <w:b/>
          <w:bCs/>
          <w:iCs/>
          <w:color w:val="auto"/>
          <w:lang w:val="es-ES" w:eastAsia="es-ES"/>
        </w:rPr>
      </w:pPr>
      <w:r w:rsidRPr="005C5F89">
        <w:rPr>
          <w:rFonts w:eastAsia="Times New Roman" w:cs="Tahoma"/>
          <w:b/>
          <w:bCs/>
          <w:iCs/>
          <w:color w:val="auto"/>
          <w:lang w:val="es-ES" w:eastAsia="es-ES"/>
        </w:rPr>
        <w:t xml:space="preserve">TERCERO. Determinación de la Controversia. </w:t>
      </w:r>
    </w:p>
    <w:p w:rsidRPr="005C5F89" w:rsidR="00CA1727" w:rsidP="003A7290" w:rsidRDefault="00CA1727" w14:paraId="3C5EE5AF" w14:textId="77777777">
      <w:pPr>
        <w:autoSpaceDE w:val="0"/>
        <w:autoSpaceDN w:val="0"/>
        <w:adjustRightInd w:val="0"/>
        <w:spacing w:after="0" w:line="360" w:lineRule="auto"/>
        <w:rPr>
          <w:rFonts w:eastAsia="Calibri" w:cs="Tahoma"/>
          <w:color w:val="000000"/>
          <w:lang w:val="es-ES" w:eastAsia="es-MX"/>
        </w:rPr>
      </w:pPr>
    </w:p>
    <w:p w:rsidRPr="005C5F89" w:rsidR="00CA1727" w:rsidP="003A7290" w:rsidRDefault="00CA1727" w14:paraId="1F9E337B" w14:textId="77777777">
      <w:pPr>
        <w:widowControl w:val="0"/>
        <w:autoSpaceDE w:val="0"/>
        <w:autoSpaceDN w:val="0"/>
        <w:adjustRightInd w:val="0"/>
        <w:spacing w:after="0" w:line="360" w:lineRule="auto"/>
        <w:rPr>
          <w:rFonts w:eastAsia="Calibri" w:cs="Tahoma"/>
          <w:color w:val="000000"/>
          <w:lang w:val="es-ES" w:eastAsia="es-MX"/>
        </w:rPr>
      </w:pPr>
      <w:r w:rsidRPr="005C5F89">
        <w:rPr>
          <w:rFonts w:eastAsia="Calibri" w:cs="Tahoma"/>
          <w:color w:val="000000"/>
          <w:lang w:val="es-ES" w:eastAsia="es-MX"/>
        </w:rPr>
        <w:t xml:space="preserve">Con el objeto de ilustrar la controversia planteada, resulta conveniente realizar un cuadro, </w:t>
      </w:r>
      <w:r w:rsidRPr="005C5F89">
        <w:rPr>
          <w:rFonts w:eastAsia="Calibri" w:cs="Tahoma"/>
          <w:color w:val="000000"/>
          <w:lang w:val="es-ES" w:eastAsia="es-MX"/>
        </w:rPr>
        <w:lastRenderedPageBreak/>
        <w:t xml:space="preserve">con la solicitud de información, la respuesta y el agravio en los términos siguientes: </w:t>
      </w:r>
    </w:p>
    <w:p w:rsidRPr="005C5F89" w:rsidR="00CA1727" w:rsidP="003A7290" w:rsidRDefault="00CA1727" w14:paraId="1329C569" w14:textId="77777777">
      <w:pPr>
        <w:widowControl w:val="0"/>
        <w:autoSpaceDE w:val="0"/>
        <w:autoSpaceDN w:val="0"/>
        <w:adjustRightInd w:val="0"/>
        <w:spacing w:after="0" w:line="360" w:lineRule="auto"/>
        <w:rPr>
          <w:rFonts w:eastAsia="Calibri" w:cs="Tahoma"/>
          <w:color w:val="000000"/>
          <w:lang w:val="es-ES" w:eastAsia="es-MX"/>
        </w:rPr>
      </w:pPr>
    </w:p>
    <w:tbl>
      <w:tblPr>
        <w:tblStyle w:val="Tablaconcuadrcula"/>
        <w:tblW w:w="0" w:type="auto"/>
        <w:jc w:val="center"/>
        <w:tblLayout w:type="fixed"/>
        <w:tblLook w:val="04A0" w:firstRow="1" w:lastRow="0" w:firstColumn="1" w:lastColumn="0" w:noHBand="0" w:noVBand="1"/>
      </w:tblPr>
      <w:tblGrid>
        <w:gridCol w:w="2405"/>
        <w:gridCol w:w="2693"/>
        <w:gridCol w:w="2977"/>
      </w:tblGrid>
      <w:tr w:rsidRPr="005C5F89" w:rsidR="00CA1727" w:rsidTr="00460015" w14:paraId="5CE41248" w14:textId="77777777">
        <w:trPr>
          <w:jc w:val="center"/>
        </w:trPr>
        <w:tc>
          <w:tcPr>
            <w:tcW w:w="2405" w:type="dxa"/>
            <w:shd w:val="clear" w:color="auto" w:fill="D9D9D9" w:themeFill="background1" w:themeFillShade="D9"/>
          </w:tcPr>
          <w:p w:rsidRPr="005C5F89" w:rsidR="00CA1727" w:rsidP="003A7290" w:rsidRDefault="00CA1727" w14:paraId="44870AD0" w14:textId="77777777">
            <w:pPr>
              <w:spacing w:line="360" w:lineRule="auto"/>
              <w:jc w:val="center"/>
              <w:rPr>
                <w:rFonts w:cs="Tahoma"/>
                <w:b/>
                <w:bCs/>
                <w:sz w:val="17"/>
                <w:szCs w:val="17"/>
              </w:rPr>
            </w:pPr>
            <w:r w:rsidRPr="005C5F89">
              <w:rPr>
                <w:rFonts w:cs="Tahoma"/>
                <w:b/>
                <w:bCs/>
                <w:sz w:val="17"/>
                <w:szCs w:val="17"/>
              </w:rPr>
              <w:t>Solicitud</w:t>
            </w:r>
          </w:p>
        </w:tc>
        <w:tc>
          <w:tcPr>
            <w:tcW w:w="2693" w:type="dxa"/>
            <w:shd w:val="clear" w:color="auto" w:fill="D9D9D9" w:themeFill="background1" w:themeFillShade="D9"/>
          </w:tcPr>
          <w:p w:rsidRPr="005C5F89" w:rsidR="00CA1727" w:rsidP="003A7290" w:rsidRDefault="00CA1727" w14:paraId="0BB693D9" w14:textId="77777777">
            <w:pPr>
              <w:spacing w:line="360" w:lineRule="auto"/>
              <w:jc w:val="center"/>
              <w:rPr>
                <w:rFonts w:cs="Tahoma"/>
                <w:b/>
                <w:bCs/>
                <w:sz w:val="17"/>
                <w:szCs w:val="17"/>
              </w:rPr>
            </w:pPr>
            <w:r w:rsidRPr="005C5F89">
              <w:rPr>
                <w:rFonts w:cs="Tahoma"/>
                <w:b/>
                <w:bCs/>
                <w:sz w:val="17"/>
                <w:szCs w:val="17"/>
              </w:rPr>
              <w:t xml:space="preserve">Respuesta </w:t>
            </w:r>
          </w:p>
        </w:tc>
        <w:tc>
          <w:tcPr>
            <w:tcW w:w="2977" w:type="dxa"/>
            <w:shd w:val="clear" w:color="auto" w:fill="D9D9D9" w:themeFill="background1" w:themeFillShade="D9"/>
          </w:tcPr>
          <w:p w:rsidRPr="005C5F89" w:rsidR="00CA1727" w:rsidP="003A7290" w:rsidRDefault="00CA1727" w14:paraId="7652ADD7" w14:textId="77777777">
            <w:pPr>
              <w:spacing w:line="360" w:lineRule="auto"/>
              <w:jc w:val="center"/>
              <w:rPr>
                <w:rFonts w:cs="Tahoma"/>
                <w:b/>
                <w:bCs/>
                <w:sz w:val="17"/>
                <w:szCs w:val="17"/>
              </w:rPr>
            </w:pPr>
            <w:r w:rsidRPr="005C5F89">
              <w:rPr>
                <w:rFonts w:cs="Tahoma"/>
                <w:b/>
                <w:bCs/>
                <w:sz w:val="17"/>
                <w:szCs w:val="17"/>
              </w:rPr>
              <w:t>Inconformidad</w:t>
            </w:r>
          </w:p>
        </w:tc>
      </w:tr>
      <w:tr w:rsidRPr="005C5F89" w:rsidR="00CA1727" w:rsidTr="00460015" w14:paraId="1690126F" w14:textId="77777777">
        <w:trPr>
          <w:trHeight w:val="1148"/>
          <w:jc w:val="center"/>
        </w:trPr>
        <w:tc>
          <w:tcPr>
            <w:tcW w:w="2405" w:type="dxa"/>
          </w:tcPr>
          <w:p w:rsidRPr="005C5F89" w:rsidR="00CA1727" w:rsidP="003A7290" w:rsidRDefault="00CA1727" w14:paraId="349E33B1" w14:textId="77777777">
            <w:pPr>
              <w:spacing w:line="360" w:lineRule="auto"/>
              <w:rPr>
                <w:sz w:val="17"/>
                <w:szCs w:val="17"/>
              </w:rPr>
            </w:pPr>
            <w:r w:rsidRPr="005C5F89">
              <w:rPr>
                <w:sz w:val="17"/>
                <w:szCs w:val="17"/>
              </w:rPr>
              <w:t xml:space="preserve">1.Listado de servidores públicos de base, confianza y sindicalizados categorías y salarios de las siguientes dependencias:  </w:t>
            </w:r>
          </w:p>
          <w:p w:rsidRPr="005C5F89" w:rsidR="00CA1727" w:rsidP="003A7290" w:rsidRDefault="00CA1727" w14:paraId="3431D77B" w14:textId="77777777">
            <w:pPr>
              <w:pStyle w:val="Prrafodelista"/>
              <w:numPr>
                <w:ilvl w:val="0"/>
                <w:numId w:val="24"/>
              </w:numPr>
              <w:spacing w:line="360" w:lineRule="auto"/>
              <w:ind w:left="306" w:hanging="229"/>
              <w:rPr>
                <w:rFonts w:cs="Tahoma"/>
                <w:sz w:val="17"/>
                <w:szCs w:val="17"/>
              </w:rPr>
            </w:pPr>
            <w:r w:rsidRPr="005C5F89">
              <w:rPr>
                <w:rFonts w:cs="Tahoma"/>
                <w:sz w:val="17"/>
                <w:szCs w:val="17"/>
              </w:rPr>
              <w:t>Presidencia Municipal;</w:t>
            </w:r>
          </w:p>
          <w:p w:rsidRPr="005C5F89" w:rsidR="00CA1727" w:rsidP="003A7290" w:rsidRDefault="00CA1727" w14:paraId="77245CC7" w14:textId="77777777">
            <w:pPr>
              <w:pStyle w:val="Prrafodelista"/>
              <w:numPr>
                <w:ilvl w:val="0"/>
                <w:numId w:val="24"/>
              </w:numPr>
              <w:spacing w:line="360" w:lineRule="auto"/>
              <w:ind w:left="306" w:hanging="229"/>
              <w:rPr>
                <w:rFonts w:cs="Tahoma"/>
                <w:sz w:val="17"/>
                <w:szCs w:val="17"/>
              </w:rPr>
            </w:pPr>
            <w:r w:rsidRPr="005C5F89">
              <w:rPr>
                <w:rFonts w:cs="Tahoma"/>
                <w:sz w:val="17"/>
                <w:szCs w:val="17"/>
              </w:rPr>
              <w:t>Sindicaturas;</w:t>
            </w:r>
          </w:p>
          <w:p w:rsidRPr="005C5F89" w:rsidR="00CA1727" w:rsidP="003A7290" w:rsidRDefault="00CA1727" w14:paraId="490828FE" w14:textId="77777777">
            <w:pPr>
              <w:pStyle w:val="Prrafodelista"/>
              <w:numPr>
                <w:ilvl w:val="0"/>
                <w:numId w:val="24"/>
              </w:numPr>
              <w:spacing w:line="360" w:lineRule="auto"/>
              <w:ind w:left="306" w:hanging="229"/>
              <w:rPr>
                <w:rFonts w:cs="Tahoma"/>
                <w:sz w:val="17"/>
                <w:szCs w:val="17"/>
              </w:rPr>
            </w:pPr>
            <w:r w:rsidRPr="005C5F89">
              <w:rPr>
                <w:rFonts w:cs="Tahoma"/>
                <w:sz w:val="17"/>
                <w:szCs w:val="17"/>
              </w:rPr>
              <w:t>Regidurías;</w:t>
            </w:r>
          </w:p>
          <w:p w:rsidRPr="005C5F89" w:rsidR="00CA1727" w:rsidP="003A7290" w:rsidRDefault="00CA1727" w14:paraId="591964ED" w14:textId="77777777">
            <w:pPr>
              <w:pStyle w:val="Prrafodelista"/>
              <w:numPr>
                <w:ilvl w:val="0"/>
                <w:numId w:val="24"/>
              </w:numPr>
              <w:spacing w:line="360" w:lineRule="auto"/>
              <w:ind w:left="306" w:hanging="229"/>
              <w:rPr>
                <w:rFonts w:cs="Tahoma"/>
                <w:sz w:val="17"/>
                <w:szCs w:val="17"/>
              </w:rPr>
            </w:pPr>
            <w:r w:rsidRPr="005C5F89">
              <w:rPr>
                <w:rFonts w:cs="Tahoma"/>
                <w:sz w:val="17"/>
                <w:szCs w:val="17"/>
              </w:rPr>
              <w:t>Secretaría del Ayuntamiento y;</w:t>
            </w:r>
          </w:p>
          <w:p w:rsidRPr="005C5F89" w:rsidR="00CA1727" w:rsidP="003A7290" w:rsidRDefault="00CA1727" w14:paraId="3E41AAF8" w14:textId="77777777">
            <w:pPr>
              <w:pStyle w:val="Prrafodelista"/>
              <w:numPr>
                <w:ilvl w:val="0"/>
                <w:numId w:val="24"/>
              </w:numPr>
              <w:spacing w:line="360" w:lineRule="auto"/>
              <w:ind w:left="306" w:hanging="229"/>
              <w:rPr>
                <w:rFonts w:cs="Tahoma"/>
                <w:sz w:val="17"/>
                <w:szCs w:val="17"/>
              </w:rPr>
            </w:pPr>
            <w:r w:rsidRPr="005C5F89">
              <w:rPr>
                <w:rFonts w:cs="Tahoma"/>
                <w:sz w:val="17"/>
                <w:szCs w:val="17"/>
              </w:rPr>
              <w:t>Dirección de Seguridad Pública.</w:t>
            </w:r>
          </w:p>
        </w:tc>
        <w:tc>
          <w:tcPr>
            <w:tcW w:w="2693" w:type="dxa"/>
          </w:tcPr>
          <w:p w:rsidRPr="005C5F89" w:rsidR="00A70DF2" w:rsidP="003A7290" w:rsidRDefault="00A70DF2" w14:paraId="7FDA3EFF" w14:textId="61BA3158">
            <w:pPr>
              <w:spacing w:line="360" w:lineRule="auto"/>
              <w:rPr>
                <w:rFonts w:cs="Tahoma"/>
                <w:sz w:val="17"/>
                <w:szCs w:val="17"/>
              </w:rPr>
            </w:pPr>
            <w:r w:rsidRPr="005C5F89">
              <w:rPr>
                <w:rFonts w:cs="Tahoma"/>
                <w:sz w:val="17"/>
                <w:szCs w:val="17"/>
              </w:rPr>
              <w:t>i) Listado de servidores públicos adscritos a las Regidurías, la Sindicatura, la Presidencia Municipal y la Secretaría del Ayuntamiento, desglosado por categoría, dirección y salario;</w:t>
            </w:r>
          </w:p>
          <w:p w:rsidRPr="005C5F89" w:rsidR="00A70DF2" w:rsidP="003A7290" w:rsidRDefault="00A70DF2" w14:paraId="72AFAD2D" w14:textId="77777777">
            <w:pPr>
              <w:spacing w:line="360" w:lineRule="auto"/>
              <w:rPr>
                <w:rFonts w:cs="Tahoma"/>
                <w:sz w:val="17"/>
                <w:szCs w:val="17"/>
              </w:rPr>
            </w:pPr>
          </w:p>
          <w:p w:rsidRPr="005C5F89" w:rsidR="00CA1727" w:rsidP="003A7290" w:rsidRDefault="00A70DF2" w14:paraId="7848C1E2" w14:textId="705FE0AB">
            <w:pPr>
              <w:spacing w:line="360" w:lineRule="auto"/>
              <w:rPr>
                <w:rFonts w:cs="Tahoma"/>
                <w:sz w:val="17"/>
                <w:szCs w:val="17"/>
              </w:rPr>
            </w:pPr>
            <w:r w:rsidRPr="005C5F89">
              <w:rPr>
                <w:rFonts w:cs="Tahoma"/>
                <w:sz w:val="17"/>
                <w:szCs w:val="17"/>
              </w:rPr>
              <w:t>ii) Acta de la Centésima Septuagésima Sexta Sesión Extraordinaria, suscrita por el Comité de Transparencia, por medio del cual clasifica la información de la Dirección de Seguridad Pública.</w:t>
            </w:r>
          </w:p>
        </w:tc>
        <w:tc>
          <w:tcPr>
            <w:tcW w:w="2977" w:type="dxa"/>
          </w:tcPr>
          <w:p w:rsidRPr="005C5F89" w:rsidR="00CA1727" w:rsidP="003A7290" w:rsidRDefault="00A70DF2" w14:paraId="1A42FA7B" w14:textId="18E3CC04">
            <w:pPr>
              <w:spacing w:line="360" w:lineRule="auto"/>
              <w:rPr>
                <w:rFonts w:cs="Tahoma"/>
                <w:sz w:val="17"/>
                <w:szCs w:val="17"/>
              </w:rPr>
            </w:pPr>
            <w:r w:rsidRPr="005C5F89">
              <w:rPr>
                <w:rFonts w:cs="Tahoma"/>
                <w:sz w:val="17"/>
                <w:szCs w:val="17"/>
              </w:rPr>
              <w:t>Se agravió</w:t>
            </w:r>
            <w:r w:rsidRPr="005C5F89" w:rsidR="00CA1727">
              <w:rPr>
                <w:rFonts w:cs="Tahoma"/>
                <w:sz w:val="17"/>
                <w:szCs w:val="17"/>
              </w:rPr>
              <w:t xml:space="preserve"> de la Reserva de la información </w:t>
            </w:r>
            <w:r w:rsidRPr="005C5F89" w:rsidR="00D00632">
              <w:rPr>
                <w:rFonts w:cs="Tahoma"/>
                <w:sz w:val="17"/>
                <w:szCs w:val="17"/>
              </w:rPr>
              <w:t>referente a la Dirección de Seguridad Pública</w:t>
            </w:r>
            <w:r w:rsidRPr="005C5F89">
              <w:rPr>
                <w:rFonts w:cs="Tahoma"/>
                <w:sz w:val="17"/>
                <w:szCs w:val="17"/>
              </w:rPr>
              <w:t>, lo cual actualiza la causal de procedencia establecida en el artículo 179, fracción II, de la Ley de Transparencia y Acceso a la Información Pública del Estado de México y Municipios.</w:t>
            </w:r>
          </w:p>
        </w:tc>
      </w:tr>
      <w:tr w:rsidRPr="005C5F89" w:rsidR="00CA1727" w:rsidTr="00C46E26" w14:paraId="589CFC62" w14:textId="77777777">
        <w:trPr>
          <w:trHeight w:val="622"/>
          <w:jc w:val="center"/>
        </w:trPr>
        <w:tc>
          <w:tcPr>
            <w:tcW w:w="2405" w:type="dxa"/>
          </w:tcPr>
          <w:p w:rsidRPr="005C5F89" w:rsidR="00CA1727" w:rsidP="003A7290" w:rsidRDefault="00CA1727" w14:paraId="301FE652" w14:textId="16285B05">
            <w:pPr>
              <w:spacing w:line="360" w:lineRule="auto"/>
              <w:rPr>
                <w:color w:val="000000"/>
                <w:sz w:val="17"/>
                <w:szCs w:val="17"/>
              </w:rPr>
            </w:pPr>
            <w:r w:rsidRPr="005C5F89">
              <w:rPr>
                <w:rFonts w:cs="Tahoma"/>
                <w:sz w:val="17"/>
                <w:szCs w:val="17"/>
              </w:rPr>
              <w:t xml:space="preserve">2. </w:t>
            </w:r>
            <w:r w:rsidRPr="005C5F89">
              <w:rPr>
                <w:sz w:val="17"/>
                <w:szCs w:val="17"/>
              </w:rPr>
              <w:t>Listado de servidores públicos de base, confianza y sindicalizados categorías y salarios</w:t>
            </w:r>
            <w:r w:rsidRPr="005C5F89" w:rsidR="00C46E26">
              <w:rPr>
                <w:sz w:val="17"/>
                <w:szCs w:val="17"/>
              </w:rPr>
              <w:t>,</w:t>
            </w:r>
            <w:r w:rsidRPr="005C5F89">
              <w:rPr>
                <w:sz w:val="17"/>
                <w:szCs w:val="17"/>
              </w:rPr>
              <w:t xml:space="preserve"> de las siguientes dependencias:  </w:t>
            </w:r>
          </w:p>
          <w:p w:rsidRPr="005C5F89" w:rsidR="00CA1727" w:rsidP="003A7290" w:rsidRDefault="00CA1727" w14:paraId="52D3A1E4" w14:textId="77777777">
            <w:pPr>
              <w:pStyle w:val="Prrafodelista"/>
              <w:numPr>
                <w:ilvl w:val="0"/>
                <w:numId w:val="25"/>
              </w:numPr>
              <w:spacing w:line="360" w:lineRule="auto"/>
              <w:ind w:left="447"/>
              <w:rPr>
                <w:color w:val="000000"/>
                <w:sz w:val="17"/>
                <w:szCs w:val="17"/>
              </w:rPr>
            </w:pPr>
            <w:r w:rsidRPr="005C5F89">
              <w:rPr>
                <w:color w:val="000000"/>
                <w:sz w:val="17"/>
                <w:szCs w:val="17"/>
              </w:rPr>
              <w:t>Coordinación de Asesores;</w:t>
            </w:r>
          </w:p>
          <w:p w:rsidRPr="005C5F89" w:rsidR="00CA1727" w:rsidP="003A7290" w:rsidRDefault="00CA1727" w14:paraId="1BF69A52" w14:textId="77777777">
            <w:pPr>
              <w:pStyle w:val="Prrafodelista"/>
              <w:numPr>
                <w:ilvl w:val="0"/>
                <w:numId w:val="25"/>
              </w:numPr>
              <w:spacing w:line="360" w:lineRule="auto"/>
              <w:ind w:left="447"/>
              <w:rPr>
                <w:color w:val="000000"/>
                <w:sz w:val="17"/>
                <w:szCs w:val="17"/>
              </w:rPr>
            </w:pPr>
            <w:r w:rsidRPr="005C5F89">
              <w:rPr>
                <w:color w:val="000000"/>
                <w:sz w:val="17"/>
                <w:szCs w:val="17"/>
              </w:rPr>
              <w:t>Mejora Regulatoria;</w:t>
            </w:r>
          </w:p>
          <w:p w:rsidRPr="005C5F89" w:rsidR="00CA1727" w:rsidP="003A7290" w:rsidRDefault="00CA1727" w14:paraId="5E8B043E" w14:textId="77777777">
            <w:pPr>
              <w:pStyle w:val="Prrafodelista"/>
              <w:numPr>
                <w:ilvl w:val="0"/>
                <w:numId w:val="25"/>
              </w:numPr>
              <w:spacing w:line="360" w:lineRule="auto"/>
              <w:ind w:left="447"/>
              <w:rPr>
                <w:color w:val="000000"/>
                <w:sz w:val="17"/>
                <w:szCs w:val="17"/>
              </w:rPr>
            </w:pPr>
            <w:r w:rsidRPr="005C5F89">
              <w:rPr>
                <w:color w:val="000000"/>
                <w:sz w:val="17"/>
                <w:szCs w:val="17"/>
              </w:rPr>
              <w:t>Gabinete;</w:t>
            </w:r>
          </w:p>
          <w:p w:rsidRPr="005C5F89" w:rsidR="00CA1727" w:rsidP="003A7290" w:rsidRDefault="00CA1727" w14:paraId="162EB12B" w14:textId="77777777">
            <w:pPr>
              <w:pStyle w:val="Prrafodelista"/>
              <w:numPr>
                <w:ilvl w:val="0"/>
                <w:numId w:val="25"/>
              </w:numPr>
              <w:spacing w:line="360" w:lineRule="auto"/>
              <w:ind w:left="447"/>
              <w:rPr>
                <w:color w:val="000000"/>
                <w:sz w:val="17"/>
                <w:szCs w:val="17"/>
              </w:rPr>
            </w:pPr>
            <w:r w:rsidRPr="005C5F89">
              <w:rPr>
                <w:color w:val="000000"/>
                <w:sz w:val="17"/>
                <w:szCs w:val="17"/>
              </w:rPr>
              <w:t>Servicios Públicos;</w:t>
            </w:r>
          </w:p>
          <w:p w:rsidRPr="005C5F89" w:rsidR="00CA1727" w:rsidP="003A7290" w:rsidRDefault="00CA1727" w14:paraId="184F6EA7" w14:textId="77777777">
            <w:pPr>
              <w:pStyle w:val="Prrafodelista"/>
              <w:numPr>
                <w:ilvl w:val="0"/>
                <w:numId w:val="25"/>
              </w:numPr>
              <w:spacing w:line="360" w:lineRule="auto"/>
              <w:ind w:left="447"/>
              <w:rPr>
                <w:color w:val="000000"/>
                <w:sz w:val="17"/>
                <w:szCs w:val="17"/>
              </w:rPr>
            </w:pPr>
            <w:r w:rsidRPr="005C5F89">
              <w:rPr>
                <w:color w:val="000000"/>
                <w:sz w:val="17"/>
                <w:szCs w:val="17"/>
              </w:rPr>
              <w:t>Administración;</w:t>
            </w:r>
          </w:p>
          <w:p w:rsidRPr="005C5F89" w:rsidR="00CA1727" w:rsidP="003A7290" w:rsidRDefault="00CA1727" w14:paraId="3A54C0B4" w14:textId="77777777">
            <w:pPr>
              <w:pStyle w:val="Prrafodelista"/>
              <w:numPr>
                <w:ilvl w:val="0"/>
                <w:numId w:val="25"/>
              </w:numPr>
              <w:spacing w:line="360" w:lineRule="auto"/>
              <w:ind w:left="447"/>
              <w:rPr>
                <w:color w:val="000000"/>
                <w:sz w:val="17"/>
                <w:szCs w:val="17"/>
              </w:rPr>
            </w:pPr>
            <w:r w:rsidRPr="005C5F89">
              <w:rPr>
                <w:rFonts w:eastAsia="Calibri" w:cs="Tahoma"/>
                <w:sz w:val="17"/>
                <w:szCs w:val="17"/>
                <w:lang w:eastAsia="es-MX"/>
              </w:rPr>
              <w:t>Instituto Municipal de la Mujer;</w:t>
            </w:r>
          </w:p>
          <w:p w:rsidRPr="005C5F89" w:rsidR="00CA1727" w:rsidP="003A7290" w:rsidRDefault="00CA1727" w14:paraId="60719088" w14:textId="77777777">
            <w:pPr>
              <w:pStyle w:val="Prrafodelista"/>
              <w:numPr>
                <w:ilvl w:val="0"/>
                <w:numId w:val="25"/>
              </w:numPr>
              <w:spacing w:line="360" w:lineRule="auto"/>
              <w:ind w:left="447"/>
              <w:rPr>
                <w:color w:val="000000"/>
                <w:sz w:val="17"/>
                <w:szCs w:val="17"/>
              </w:rPr>
            </w:pPr>
            <w:r w:rsidRPr="005C5F89">
              <w:rPr>
                <w:rFonts w:eastAsia="Calibri" w:cs="Tahoma"/>
                <w:sz w:val="17"/>
                <w:szCs w:val="17"/>
                <w:lang w:eastAsia="es-MX"/>
              </w:rPr>
              <w:t>Bienestar Social y;</w:t>
            </w:r>
          </w:p>
          <w:p w:rsidRPr="005C5F89" w:rsidR="00CA1727" w:rsidP="003A7290" w:rsidRDefault="00CA1727" w14:paraId="1A50EC88" w14:textId="6C294A7F">
            <w:pPr>
              <w:pStyle w:val="Prrafodelista"/>
              <w:numPr>
                <w:ilvl w:val="0"/>
                <w:numId w:val="25"/>
              </w:numPr>
              <w:spacing w:line="360" w:lineRule="auto"/>
              <w:ind w:left="447"/>
              <w:rPr>
                <w:color w:val="000000"/>
                <w:sz w:val="17"/>
                <w:szCs w:val="17"/>
              </w:rPr>
            </w:pPr>
            <w:r w:rsidRPr="005C5F89">
              <w:rPr>
                <w:rFonts w:eastAsia="Calibri" w:cs="Tahoma"/>
                <w:sz w:val="17"/>
                <w:szCs w:val="17"/>
                <w:lang w:eastAsia="es-MX"/>
              </w:rPr>
              <w:t>Medio Ambiente.</w:t>
            </w:r>
          </w:p>
        </w:tc>
        <w:tc>
          <w:tcPr>
            <w:tcW w:w="2693" w:type="dxa"/>
          </w:tcPr>
          <w:p w:rsidRPr="005C5F89" w:rsidR="00C46E26" w:rsidP="003A7290" w:rsidRDefault="00C46E26" w14:paraId="13DA0200" w14:textId="62DE1A5E">
            <w:pPr>
              <w:spacing w:line="360" w:lineRule="auto"/>
              <w:rPr>
                <w:rFonts w:cs="Tahoma"/>
                <w:sz w:val="17"/>
                <w:szCs w:val="17"/>
              </w:rPr>
            </w:pPr>
            <w:r w:rsidRPr="005C5F89">
              <w:rPr>
                <w:rFonts w:cs="Tahoma"/>
                <w:sz w:val="17"/>
                <w:szCs w:val="17"/>
              </w:rPr>
              <w:t>i) Listado de servidores públicos adscritos al Instituto Municipal de la Mujer, con nombre, categoría y sueldo</w:t>
            </w:r>
            <w:r w:rsidRPr="005C5F89" w:rsidR="004F1BB1">
              <w:rPr>
                <w:rFonts w:cs="Tahoma"/>
                <w:sz w:val="17"/>
                <w:szCs w:val="17"/>
              </w:rPr>
              <w:t>.</w:t>
            </w:r>
          </w:p>
          <w:p w:rsidRPr="005C5F89" w:rsidR="00C46E26" w:rsidP="003A7290" w:rsidRDefault="00C46E26" w14:paraId="2D8B6DDA" w14:textId="77777777">
            <w:pPr>
              <w:spacing w:line="360" w:lineRule="auto"/>
              <w:rPr>
                <w:rFonts w:cs="Tahoma"/>
                <w:sz w:val="17"/>
                <w:szCs w:val="17"/>
              </w:rPr>
            </w:pPr>
          </w:p>
          <w:p w:rsidRPr="005C5F89" w:rsidR="00CA1727" w:rsidP="003A7290" w:rsidRDefault="00C46E26" w14:paraId="5B9F97E2" w14:textId="7A95735C">
            <w:pPr>
              <w:spacing w:line="360" w:lineRule="auto"/>
              <w:rPr>
                <w:rFonts w:cs="Tahoma"/>
                <w:sz w:val="17"/>
                <w:szCs w:val="17"/>
              </w:rPr>
            </w:pPr>
            <w:r w:rsidRPr="005C5F89">
              <w:rPr>
                <w:rFonts w:cs="Tahoma"/>
                <w:sz w:val="17"/>
                <w:szCs w:val="17"/>
              </w:rPr>
              <w:t xml:space="preserve">ii) Listado de cargos ocupados en la Dirección General de Administración, Coordinación de Planeación, la Coordinación de Asesores, la Coordinación de Mejora Regulatoria, la Dirección General de Servicios Públicos, Dirección General de Bienestar Social y Dirección General de Medio Ambiente, que contiene la categoría, tipo de empleado, departamento y dirección. </w:t>
            </w:r>
          </w:p>
        </w:tc>
        <w:tc>
          <w:tcPr>
            <w:tcW w:w="2977" w:type="dxa"/>
          </w:tcPr>
          <w:p w:rsidRPr="005C5F89" w:rsidR="00CA1727" w:rsidP="003A7290" w:rsidRDefault="00C46E26" w14:paraId="1492A3A7" w14:textId="01EFC651">
            <w:pPr>
              <w:spacing w:line="360" w:lineRule="auto"/>
              <w:rPr>
                <w:rFonts w:cs="Tahoma"/>
                <w:sz w:val="17"/>
                <w:szCs w:val="17"/>
              </w:rPr>
            </w:pPr>
            <w:r w:rsidRPr="005C5F89">
              <w:rPr>
                <w:rFonts w:cs="Tahoma"/>
                <w:sz w:val="17"/>
                <w:szCs w:val="17"/>
              </w:rPr>
              <w:t>Se agravió de la entrega de información incompleta, al señalar que únicamente se le había entregado la información del Instituto Municipal de la Mujer, lo cual actualiza la causal de procedencia establecida en el artículo 179, fracción V, de la Ley de la materia.</w:t>
            </w:r>
          </w:p>
        </w:tc>
      </w:tr>
    </w:tbl>
    <w:p w:rsidRPr="005C5F89" w:rsidR="00CA1727" w:rsidP="003A7290" w:rsidRDefault="00CA1727" w14:paraId="198B16B8" w14:textId="6697B610">
      <w:pPr>
        <w:widowControl w:val="0"/>
        <w:autoSpaceDE w:val="0"/>
        <w:autoSpaceDN w:val="0"/>
        <w:adjustRightInd w:val="0"/>
        <w:spacing w:after="0" w:line="360" w:lineRule="auto"/>
        <w:rPr>
          <w:rFonts w:eastAsia="Calibri" w:cs="Tahoma"/>
          <w:lang w:val="es-ES" w:eastAsia="es-MX"/>
        </w:rPr>
      </w:pPr>
    </w:p>
    <w:p w:rsidRPr="005C5F89" w:rsidR="00CA1727" w:rsidP="003A7290" w:rsidRDefault="00C46E26" w14:paraId="07F33F87" w14:textId="751BD458">
      <w:pPr>
        <w:autoSpaceDE w:val="0"/>
        <w:autoSpaceDN w:val="0"/>
        <w:adjustRightInd w:val="0"/>
        <w:spacing w:after="0" w:line="360" w:lineRule="auto"/>
        <w:rPr>
          <w:rFonts w:eastAsia="Times New Roman" w:cs="Tahoma"/>
          <w:bCs/>
          <w:iCs/>
          <w:color w:val="auto"/>
          <w:lang w:eastAsia="es-ES"/>
        </w:rPr>
      </w:pPr>
      <w:r w:rsidRPr="005C5F89">
        <w:rPr>
          <w:rFonts w:eastAsia="Calibri" w:cs="Tahoma"/>
          <w:lang w:val="es-ES" w:eastAsia="es-MX"/>
        </w:rPr>
        <w:t>Conforme a lo anterior, se logra vislumbrar que la Solicitante no se agravió</w:t>
      </w:r>
      <w:r w:rsidRPr="005C5F89" w:rsidR="009B3BE8">
        <w:rPr>
          <w:rFonts w:eastAsia="Calibri" w:cs="Tahoma"/>
          <w:lang w:val="es-ES" w:eastAsia="es-MX"/>
        </w:rPr>
        <w:t>, por una parte,</w:t>
      </w:r>
      <w:r w:rsidRPr="005C5F89">
        <w:rPr>
          <w:rFonts w:eastAsia="Calibri" w:cs="Tahoma"/>
          <w:lang w:val="es-ES" w:eastAsia="es-MX"/>
        </w:rPr>
        <w:t xml:space="preserve"> del</w:t>
      </w:r>
      <w:r w:rsidRPr="005C5F89" w:rsidR="009B3BE8">
        <w:t xml:space="preserve"> l</w:t>
      </w:r>
      <w:proofErr w:type="spellStart"/>
      <w:r w:rsidRPr="005C5F89" w:rsidR="009B3BE8">
        <w:rPr>
          <w:rFonts w:eastAsia="Calibri" w:cs="Tahoma"/>
          <w:lang w:val="es-ES" w:eastAsia="es-MX"/>
        </w:rPr>
        <w:t>istado</w:t>
      </w:r>
      <w:proofErr w:type="spellEnd"/>
      <w:r w:rsidRPr="005C5F89" w:rsidR="009B3BE8">
        <w:rPr>
          <w:rFonts w:eastAsia="Calibri" w:cs="Tahoma"/>
          <w:lang w:val="es-ES" w:eastAsia="es-MX"/>
        </w:rPr>
        <w:t xml:space="preserve"> de servidores públicos adscritos a las Regidurías, la Sindicatura, la Presidencia Municipal y la Secretaría del Ayuntamiento, desglosado por categoría, dirección y salario, ni del l</w:t>
      </w:r>
      <w:r w:rsidRPr="005C5F89" w:rsidR="009B3BE8">
        <w:rPr>
          <w:rFonts w:eastAsia="Calibri" w:cs="Tahoma"/>
          <w:color w:val="000000"/>
          <w:lang w:val="es-ES"/>
        </w:rPr>
        <w:t>istado de servidores públicos adscritos al Instituto Municipal de la Mujer, con nombre, categoría y sueldo y su contenido, así como, su respectivo contenido</w:t>
      </w:r>
      <w:r w:rsidRPr="005C5F89" w:rsidR="009B3BE8">
        <w:t xml:space="preserve">; </w:t>
      </w:r>
      <w:r w:rsidRPr="005C5F89" w:rsidR="00CA1727">
        <w:t xml:space="preserve">por lo que, </w:t>
      </w:r>
      <w:r w:rsidRPr="005C5F89" w:rsidR="00CA1727">
        <w:rPr>
          <w:rFonts w:eastAsia="Times New Roman" w:cs="Tahoma"/>
          <w:b/>
          <w:iCs/>
          <w:color w:val="auto"/>
          <w:lang w:eastAsia="es-ES"/>
        </w:rPr>
        <w:t xml:space="preserve">no se hará pronunciamiento alguno, respecto al listado de Servidores Públicos en los términos en que fueron entregados, </w:t>
      </w:r>
      <w:r w:rsidRPr="005C5F89" w:rsidR="00CA1727">
        <w:rPr>
          <w:rFonts w:eastAsia="Times New Roman" w:cs="Tahoma"/>
          <w:bCs/>
          <w:iCs/>
          <w:color w:val="auto"/>
          <w:lang w:eastAsia="es-ES"/>
        </w:rPr>
        <w:t xml:space="preserve">de conformidad con el artículo 195 de la Ley de Transparencia y Acceso a la Información Pública del Estado de México y Municipios, con relación con el diverso 195, fracción IV, de Código de </w:t>
      </w:r>
      <w:bookmarkStart w:name="_Hlk106021589" w:id="1"/>
      <w:r w:rsidRPr="005C5F89" w:rsidR="00CA1727">
        <w:rPr>
          <w:rFonts w:eastAsia="Times New Roman" w:cs="Tahoma"/>
          <w:bCs/>
          <w:iCs/>
          <w:color w:val="auto"/>
          <w:lang w:eastAsia="es-ES"/>
        </w:rPr>
        <w:t xml:space="preserve">Procedimientos Administrativos del Estado de México, que establece que será improcedente el recurso contra </w:t>
      </w:r>
      <w:r w:rsidRPr="005C5F89" w:rsidR="00CA1727">
        <w:rPr>
          <w:rFonts w:eastAsia="Times New Roman" w:cs="Tahoma"/>
          <w:b/>
          <w:bCs/>
          <w:iCs/>
          <w:color w:val="auto"/>
          <w:lang w:eastAsia="es-ES"/>
        </w:rPr>
        <w:t>los actos que se hayan consentido tácitamente,</w:t>
      </w:r>
      <w:r w:rsidRPr="005C5F89" w:rsidR="00CA1727">
        <w:rPr>
          <w:rFonts w:eastAsia="Times New Roman" w:cs="Tahoma"/>
          <w:bCs/>
          <w:iCs/>
          <w:color w:val="auto"/>
          <w:lang w:eastAsia="es-ES"/>
        </w:rPr>
        <w:t xml:space="preserve"> entendiéndose por estos cuando el agravio no se haya promovido en el plazo señalado para el efecto.</w:t>
      </w:r>
    </w:p>
    <w:p w:rsidRPr="005C5F89" w:rsidR="00CA1727" w:rsidP="003A7290" w:rsidRDefault="00CA1727" w14:paraId="19D8D7BE" w14:textId="77777777">
      <w:pPr>
        <w:spacing w:after="0" w:line="360" w:lineRule="auto"/>
        <w:rPr>
          <w:rFonts w:eastAsia="Times New Roman" w:cs="Tahoma"/>
          <w:bCs/>
          <w:iCs/>
          <w:color w:val="auto"/>
          <w:lang w:eastAsia="es-ES"/>
        </w:rPr>
      </w:pPr>
    </w:p>
    <w:p w:rsidRPr="005C5F89" w:rsidR="00CA1727" w:rsidP="003A7290" w:rsidRDefault="00CA1727" w14:paraId="2ED94241" w14:textId="76CC2178">
      <w:pPr>
        <w:spacing w:after="0" w:line="360" w:lineRule="auto"/>
        <w:rPr>
          <w:rFonts w:eastAsia="Times New Roman" w:cs="Tahoma"/>
          <w:bCs/>
          <w:iCs/>
          <w:color w:val="auto"/>
          <w:lang w:eastAsia="es-ES"/>
        </w:rPr>
      </w:pPr>
      <w:r w:rsidRPr="005C5F89">
        <w:rPr>
          <w:rFonts w:eastAsia="Times New Roman" w:cs="Tahoma"/>
          <w:bCs/>
          <w:iCs/>
          <w:color w:val="auto"/>
          <w:lang w:eastAsia="es-ES"/>
        </w:rPr>
        <w:t xml:space="preserve">De la misma manera resulta aplicable el criterio sostenido por el Poder Judicial de la Federación de rubro </w:t>
      </w:r>
      <w:r w:rsidRPr="005C5F89">
        <w:rPr>
          <w:rFonts w:eastAsia="Times New Roman" w:cs="Tahoma"/>
          <w:b/>
          <w:bCs/>
          <w:iCs/>
          <w:color w:val="auto"/>
          <w:lang w:eastAsia="es-ES"/>
        </w:rPr>
        <w:t>ACTOS CONSENTIDOS TÁCITAMENTE</w:t>
      </w:r>
      <w:r w:rsidRPr="005C5F89">
        <w:rPr>
          <w:rFonts w:eastAsia="Times New Roman" w:cs="Tahoma"/>
          <w:bCs/>
          <w:iCs/>
          <w:color w:val="auto"/>
          <w:lang w:eastAsia="es-ES"/>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rsidRPr="005C5F89" w:rsidR="009B3BE8" w:rsidP="003A7290" w:rsidRDefault="009B3BE8" w14:paraId="102CE146" w14:textId="77777777">
      <w:pPr>
        <w:spacing w:after="0" w:line="360" w:lineRule="auto"/>
        <w:rPr>
          <w:rFonts w:eastAsia="Times New Roman" w:cs="Tahoma"/>
          <w:bCs/>
          <w:iCs/>
          <w:color w:val="auto"/>
          <w:lang w:eastAsia="es-ES"/>
        </w:rPr>
      </w:pPr>
    </w:p>
    <w:p w:rsidRPr="005C5F89" w:rsidR="00CA1727" w:rsidP="003A7290" w:rsidRDefault="00CA1727" w14:paraId="1A0EDB0E" w14:textId="5B9C6447">
      <w:pPr>
        <w:spacing w:after="0" w:line="360" w:lineRule="auto"/>
        <w:rPr>
          <w:rFonts w:eastAsia="Times New Roman" w:cs="Tahoma"/>
          <w:bCs/>
          <w:iCs/>
          <w:color w:val="auto"/>
          <w:lang w:eastAsia="es-ES"/>
        </w:rPr>
      </w:pPr>
      <w:r w:rsidRPr="005C5F89">
        <w:rPr>
          <w:rFonts w:eastAsia="Times New Roman" w:cs="Tahoma"/>
          <w:bCs/>
          <w:iCs/>
          <w:color w:val="auto"/>
          <w:lang w:eastAsia="es-ES"/>
        </w:rPr>
        <w:t>De acuerdo con el criterio en comento, en el caso de que la Solicitante no haya manifestado su inconformidad en contra del acto en su totalidad o en cualquiera de sus partes, se tendrá por consentido al no haber realizado argumento alguno que formulara un agravio en su contra, por lo que, en la especie, se v</w:t>
      </w:r>
      <w:r w:rsidRPr="005C5F89" w:rsidR="008E440A">
        <w:rPr>
          <w:rFonts w:eastAsia="Times New Roman" w:cs="Tahoma"/>
          <w:bCs/>
          <w:iCs/>
          <w:color w:val="auto"/>
          <w:lang w:eastAsia="es-ES"/>
        </w:rPr>
        <w:t>a</w:t>
      </w:r>
      <w:r w:rsidRPr="005C5F89">
        <w:rPr>
          <w:rFonts w:eastAsia="Times New Roman" w:cs="Tahoma"/>
          <w:bCs/>
          <w:iCs/>
          <w:color w:val="auto"/>
          <w:lang w:eastAsia="es-ES"/>
        </w:rPr>
        <w:t>lida la respuesta respecto de los puntos no controvertidos y se arriba a la conclusión de que estos</w:t>
      </w:r>
      <w:r w:rsidRPr="005C5F89">
        <w:rPr>
          <w:rFonts w:eastAsia="Times New Roman" w:cs="Tahoma"/>
          <w:b/>
          <w:bCs/>
          <w:iCs/>
          <w:color w:val="auto"/>
          <w:lang w:eastAsia="es-ES"/>
        </w:rPr>
        <w:t xml:space="preserve"> quedaron firmes. </w:t>
      </w:r>
    </w:p>
    <w:p w:rsidRPr="005C5F89" w:rsidR="008E440A" w:rsidP="003A7290" w:rsidRDefault="008E440A" w14:paraId="19BFE2A5" w14:textId="7166882A">
      <w:pPr>
        <w:spacing w:after="0" w:line="360" w:lineRule="auto"/>
        <w:rPr>
          <w:rFonts w:eastAsia="Times New Roman" w:cs="Tahoma"/>
          <w:bCs/>
          <w:iCs/>
          <w:color w:val="auto"/>
          <w:lang w:eastAsia="es-ES"/>
        </w:rPr>
      </w:pPr>
    </w:p>
    <w:p w:rsidRPr="005C5F89" w:rsidR="00CA1727" w:rsidP="003A7290" w:rsidRDefault="00CA1727" w14:paraId="46F678EF" w14:textId="77777777">
      <w:pPr>
        <w:spacing w:after="0" w:line="360" w:lineRule="auto"/>
        <w:rPr>
          <w:rFonts w:eastAsia="Times New Roman" w:cs="Tahoma"/>
          <w:bCs/>
          <w:iCs/>
          <w:color w:val="auto"/>
          <w:lang w:eastAsia="es-ES"/>
        </w:rPr>
      </w:pPr>
      <w:r w:rsidRPr="005C5F89">
        <w:rPr>
          <w:rFonts w:eastAsia="Times New Roman" w:cs="Tahoma"/>
          <w:bCs/>
          <w:iCs/>
          <w:color w:val="auto"/>
          <w:lang w:eastAsia="es-ES"/>
        </w:rPr>
        <w:t>Asimismo, resulta relevante traer a colación el Criterio 01/20, emitido por el Instituto Nacional de Transparencia, Acceso a la Información y Protección de Datos Personales, que establece lo siguiente:</w:t>
      </w:r>
    </w:p>
    <w:p w:rsidRPr="005C5F89" w:rsidR="00CA1727" w:rsidP="003A7290" w:rsidRDefault="00CA1727" w14:paraId="788A4249" w14:textId="77777777">
      <w:pPr>
        <w:spacing w:after="0" w:line="360" w:lineRule="auto"/>
        <w:rPr>
          <w:rFonts w:eastAsia="Times New Roman" w:cs="Tahoma"/>
          <w:bCs/>
          <w:iCs/>
          <w:color w:val="auto"/>
          <w:lang w:eastAsia="es-ES"/>
        </w:rPr>
      </w:pPr>
    </w:p>
    <w:p w:rsidRPr="005C5F89" w:rsidR="00CA1727" w:rsidP="003A7290" w:rsidRDefault="00CA1727" w14:paraId="6B1DE613" w14:textId="77777777">
      <w:pPr>
        <w:spacing w:after="0" w:line="360" w:lineRule="auto"/>
        <w:ind w:left="567" w:right="567"/>
        <w:rPr>
          <w:rFonts w:eastAsia="Times New Roman" w:cs="Tahoma"/>
          <w:bCs/>
          <w:i/>
          <w:color w:val="auto"/>
          <w:sz w:val="20"/>
          <w:szCs w:val="20"/>
          <w:lang w:eastAsia="es-ES"/>
        </w:rPr>
      </w:pPr>
      <w:r w:rsidRPr="005C5F89">
        <w:rPr>
          <w:rFonts w:eastAsia="Times New Roman" w:cs="Tahoma"/>
          <w:b/>
          <w:bCs/>
          <w:i/>
          <w:color w:val="auto"/>
          <w:sz w:val="20"/>
          <w:szCs w:val="20"/>
          <w:lang w:eastAsia="es-ES"/>
        </w:rPr>
        <w:t xml:space="preserve">“Actos consentidos tácitamente. Improcedencia de su análisis. </w:t>
      </w:r>
      <w:r w:rsidRPr="005C5F89">
        <w:rPr>
          <w:rFonts w:eastAsia="Times New Roman" w:cs="Tahoma"/>
          <w:bCs/>
          <w:i/>
          <w:color w:val="auto"/>
          <w:sz w:val="20"/>
          <w:szCs w:val="20"/>
          <w:lang w:eastAsia="es-ES"/>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rsidRPr="005C5F89" w:rsidR="00CA1727" w:rsidP="003A7290" w:rsidRDefault="00CA1727" w14:paraId="751054F8" w14:textId="77777777">
      <w:pPr>
        <w:tabs>
          <w:tab w:val="left" w:pos="4962"/>
        </w:tabs>
        <w:spacing w:after="0" w:line="360" w:lineRule="auto"/>
        <w:rPr>
          <w:rFonts w:eastAsia="Times New Roman" w:cs="Tahoma"/>
          <w:bCs/>
          <w:iCs/>
          <w:color w:val="auto"/>
          <w:lang w:eastAsia="es-ES"/>
        </w:rPr>
      </w:pPr>
    </w:p>
    <w:p w:rsidRPr="005C5F89" w:rsidR="00CA1727" w:rsidP="003A7290" w:rsidRDefault="00CA1727" w14:paraId="6159E3D8" w14:textId="3E2276C7">
      <w:pPr>
        <w:tabs>
          <w:tab w:val="left" w:pos="4962"/>
        </w:tabs>
        <w:spacing w:after="0" w:line="360" w:lineRule="auto"/>
        <w:rPr>
          <w:rFonts w:cs="Tahoma"/>
          <w:bCs/>
          <w:iCs/>
          <w:lang w:val="es-ES" w:eastAsia="es-ES"/>
        </w:rPr>
      </w:pPr>
      <w:r w:rsidRPr="005C5F89">
        <w:rPr>
          <w:rFonts w:eastAsia="Times New Roman" w:cs="Tahoma"/>
          <w:bCs/>
          <w:iCs/>
          <w:color w:val="auto"/>
          <w:lang w:eastAsia="es-ES"/>
        </w:rPr>
        <w:t xml:space="preserve">Conforme al Criterio establecido, es improcedente entrar al análisis de las partes de la respuesta del Sujeto Obligado que no fueron impugnadas por el Recurrente; por lo que, en el presente caso, se tiene por consentida la información proporcionada, </w:t>
      </w:r>
      <w:r w:rsidRPr="005C5F89" w:rsidR="009B3BE8">
        <w:rPr>
          <w:rFonts w:eastAsia="Times New Roman" w:cs="Tahoma"/>
          <w:bCs/>
          <w:iCs/>
          <w:color w:val="auto"/>
          <w:lang w:eastAsia="es-ES"/>
        </w:rPr>
        <w:t xml:space="preserve">referente a los listados proporcionados que contienen la información de los </w:t>
      </w:r>
      <w:r w:rsidRPr="005C5F89" w:rsidR="009B3BE8">
        <w:rPr>
          <w:rFonts w:eastAsia="Calibri" w:cs="Tahoma"/>
          <w:lang w:val="es-ES" w:eastAsia="es-MX"/>
        </w:rPr>
        <w:t>servidores públicos adscritos a las Regidurías, la Sindicatura, la Presidencia Municipal, la Secretaría del Ayuntamiento y el Instituto Municipal de la Mujer.</w:t>
      </w:r>
      <w:r w:rsidRPr="005C5F89">
        <w:rPr>
          <w:rFonts w:eastAsia="Times New Roman" w:cs="Tahoma"/>
          <w:bCs/>
          <w:iCs/>
          <w:color w:val="auto"/>
          <w:lang w:eastAsia="es-ES"/>
        </w:rPr>
        <w:t xml:space="preserve"> </w:t>
      </w:r>
      <w:r w:rsidRPr="005C5F89">
        <w:rPr>
          <w:rFonts w:cs="Tahoma"/>
          <w:lang w:val="es-ES"/>
        </w:rPr>
        <w:t xml:space="preserve">Así las cosas, una vez admitidos y notificados los Recursos de Revisión a las partes, </w:t>
      </w:r>
      <w:r w:rsidRPr="005C5F89">
        <w:rPr>
          <w:rFonts w:cs="Tahoma"/>
          <w:bCs/>
          <w:iCs/>
          <w:lang w:val="es-ES" w:eastAsia="es-ES"/>
        </w:rPr>
        <w:t xml:space="preserve">el Sujeto Obligado </w:t>
      </w:r>
      <w:bookmarkEnd w:id="1"/>
      <w:r w:rsidRPr="005C5F89" w:rsidR="009B3BE8">
        <w:rPr>
          <w:rFonts w:cs="Tahoma"/>
          <w:bCs/>
          <w:iCs/>
          <w:lang w:val="es-ES" w:eastAsia="es-ES"/>
        </w:rPr>
        <w:t>ratificó su respuesta.</w:t>
      </w:r>
    </w:p>
    <w:p w:rsidRPr="005C5F89" w:rsidR="00CA1727" w:rsidP="003A7290" w:rsidRDefault="00CA1727" w14:paraId="5086B2C1" w14:textId="77777777">
      <w:pPr>
        <w:tabs>
          <w:tab w:val="left" w:pos="4962"/>
        </w:tabs>
        <w:spacing w:after="0" w:line="360" w:lineRule="auto"/>
        <w:rPr>
          <w:rFonts w:eastAsia="Times New Roman" w:cs="Tahoma"/>
          <w:bCs/>
          <w:iCs/>
          <w:color w:val="auto"/>
          <w:lang w:eastAsia="es-ES"/>
        </w:rPr>
      </w:pPr>
    </w:p>
    <w:p w:rsidRPr="005C5F89" w:rsidR="00CA1727" w:rsidP="003A7290" w:rsidRDefault="00CA1727" w14:paraId="5A84756C" w14:textId="77777777">
      <w:pPr>
        <w:spacing w:after="0" w:line="360" w:lineRule="auto"/>
        <w:rPr>
          <w:rFonts w:eastAsia="Calibri" w:cs="Tahoma"/>
          <w:bCs/>
        </w:rPr>
      </w:pPr>
      <w:r w:rsidRPr="005C5F89">
        <w:rPr>
          <w:rFonts w:eastAsia="Calibri" w:cs="Tahoma"/>
          <w:iCs/>
          <w:lang w:val="es-ES" w:eastAsia="es-ES_tradnl"/>
        </w:rPr>
        <w:t>Lo anterior, se desprende de las documentales que obran en el expediente de referencia, materia de la presente resolución, consistentes en: las solicitudes de acceso a la información; los documentos que contienen la entrega de la información,</w:t>
      </w:r>
      <w:r w:rsidRPr="005C5F89">
        <w:rPr>
          <w:rFonts w:eastAsia="Calibri" w:cs="Tahoma"/>
          <w:iCs/>
          <w:lang w:eastAsia="es-ES_tradnl"/>
        </w:rPr>
        <w:t xml:space="preserve"> el Escrito </w:t>
      </w:r>
      <w:proofErr w:type="spellStart"/>
      <w:r w:rsidRPr="005C5F89">
        <w:rPr>
          <w:rFonts w:eastAsia="Calibri" w:cs="Tahoma"/>
          <w:iCs/>
          <w:lang w:eastAsia="es-ES_tradnl"/>
        </w:rPr>
        <w:t>Recursal</w:t>
      </w:r>
      <w:proofErr w:type="spellEnd"/>
      <w:r w:rsidRPr="005C5F89">
        <w:rPr>
          <w:rFonts w:eastAsia="Calibri" w:cs="Tahoma"/>
          <w:iCs/>
          <w:lang w:eastAsia="es-ES_tradnl"/>
        </w:rPr>
        <w:t xml:space="preserve"> y; el informe justificado, </w:t>
      </w:r>
      <w:r w:rsidRPr="005C5F89">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rsidRPr="005C5F89" w:rsidR="00CA1727" w:rsidP="003A7290" w:rsidRDefault="00CA1727" w14:paraId="26998BE0" w14:textId="77777777">
      <w:pPr>
        <w:spacing w:after="0" w:line="360" w:lineRule="auto"/>
        <w:rPr>
          <w:rFonts w:eastAsia="Calibri" w:cs="Tahoma"/>
          <w:color w:val="auto"/>
          <w:lang w:eastAsia="es-ES_tradnl"/>
        </w:rPr>
      </w:pPr>
    </w:p>
    <w:p w:rsidRPr="005C5F89" w:rsidR="00CA1727" w:rsidP="003A7290" w:rsidRDefault="00CA1727" w14:paraId="6B97C978" w14:textId="77777777">
      <w:pPr>
        <w:spacing w:after="0" w:line="360" w:lineRule="auto"/>
        <w:rPr>
          <w:rFonts w:eastAsia="Times New Roman" w:cs="Tahoma"/>
          <w:b/>
          <w:bCs/>
          <w:iCs/>
          <w:color w:val="auto"/>
          <w:lang w:eastAsia="es-ES"/>
        </w:rPr>
      </w:pPr>
      <w:r w:rsidRPr="005C5F89">
        <w:rPr>
          <w:rFonts w:eastAsia="Times New Roman" w:cs="Tahoma"/>
          <w:b/>
          <w:bCs/>
          <w:iCs/>
          <w:color w:val="auto"/>
          <w:lang w:val="es-ES" w:eastAsia="es-ES"/>
        </w:rPr>
        <w:t xml:space="preserve">CUARTO. </w:t>
      </w:r>
      <w:r w:rsidRPr="005C5F89">
        <w:rPr>
          <w:rFonts w:eastAsia="Times New Roman" w:cs="Tahoma"/>
          <w:b/>
          <w:bCs/>
          <w:iCs/>
          <w:color w:val="auto"/>
          <w:lang w:eastAsia="es-ES"/>
        </w:rPr>
        <w:t>Marco normativo aplicable en materia de transparencia y acceso a la información pública.</w:t>
      </w:r>
    </w:p>
    <w:p w:rsidRPr="005C5F89" w:rsidR="00CA1727" w:rsidP="003A7290" w:rsidRDefault="00CA1727" w14:paraId="3918EA2B" w14:textId="77777777">
      <w:pPr>
        <w:autoSpaceDE w:val="0"/>
        <w:autoSpaceDN w:val="0"/>
        <w:adjustRightInd w:val="0"/>
        <w:spacing w:after="0" w:line="360" w:lineRule="auto"/>
        <w:rPr>
          <w:rFonts w:eastAsia="Times New Roman" w:cs="Tahoma"/>
          <w:bCs/>
          <w:iCs/>
          <w:color w:val="auto"/>
          <w:lang w:val="es-ES" w:eastAsia="es-ES"/>
        </w:rPr>
      </w:pPr>
    </w:p>
    <w:p w:rsidRPr="005C5F89" w:rsidR="00CA1727" w:rsidP="003A7290" w:rsidRDefault="00CA1727" w14:paraId="0BDC4AEB" w14:textId="77777777">
      <w:pPr>
        <w:spacing w:after="0" w:line="360" w:lineRule="auto"/>
        <w:rPr>
          <w:rFonts w:eastAsia="Times New Roman" w:cs="Tahoma"/>
          <w:bCs/>
          <w:iCs/>
          <w:color w:val="auto"/>
          <w:lang w:eastAsia="es-ES"/>
        </w:rPr>
      </w:pPr>
      <w:r w:rsidRPr="005C5F89">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5C5F89" w:rsidR="00CA1727" w:rsidP="003A7290" w:rsidRDefault="00CA1727" w14:paraId="1D32BDF0" w14:textId="77777777">
      <w:pPr>
        <w:spacing w:after="0" w:line="360" w:lineRule="auto"/>
        <w:rPr>
          <w:rFonts w:eastAsia="Times New Roman" w:cs="Tahoma"/>
          <w:bCs/>
          <w:iCs/>
          <w:color w:val="auto"/>
          <w:lang w:eastAsia="es-ES"/>
        </w:rPr>
      </w:pPr>
    </w:p>
    <w:p w:rsidRPr="005C5F89" w:rsidR="00CA1727" w:rsidP="003A7290" w:rsidRDefault="00CA1727" w14:paraId="3EAD6C3D" w14:textId="77777777">
      <w:pPr>
        <w:spacing w:after="0" w:line="360" w:lineRule="auto"/>
        <w:rPr>
          <w:rFonts w:eastAsia="Times New Roman" w:cs="Tahoma"/>
          <w:bCs/>
          <w:iCs/>
          <w:color w:val="auto"/>
          <w:lang w:eastAsia="es-ES"/>
        </w:rPr>
      </w:pPr>
      <w:r w:rsidRPr="005C5F89">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5C5F89" w:rsidR="00CA1727" w:rsidP="003A7290" w:rsidRDefault="00CA1727" w14:paraId="1E1E4803" w14:textId="77777777">
      <w:pPr>
        <w:spacing w:after="0" w:line="360" w:lineRule="auto"/>
        <w:rPr>
          <w:rFonts w:eastAsia="Times New Roman" w:cs="Tahoma"/>
          <w:bCs/>
          <w:iCs/>
          <w:color w:val="auto"/>
          <w:lang w:eastAsia="es-ES"/>
        </w:rPr>
      </w:pPr>
    </w:p>
    <w:p w:rsidRPr="005C5F89" w:rsidR="00CA1727" w:rsidP="003A7290" w:rsidRDefault="00CA1727" w14:paraId="0ABD6B7E" w14:textId="77777777">
      <w:pPr>
        <w:spacing w:after="0" w:line="360" w:lineRule="auto"/>
        <w:rPr>
          <w:rFonts w:eastAsia="Times New Roman" w:cs="Tahoma"/>
          <w:bCs/>
          <w:iCs/>
          <w:color w:val="auto"/>
          <w:lang w:eastAsia="es-ES"/>
        </w:rPr>
      </w:pPr>
      <w:r w:rsidRPr="005C5F89">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5C5F89" w:rsidR="00CA1727" w:rsidP="003A7290" w:rsidRDefault="00CA1727" w14:paraId="1FD1706E" w14:textId="77777777">
      <w:pPr>
        <w:spacing w:after="0" w:line="360" w:lineRule="auto"/>
        <w:rPr>
          <w:rFonts w:eastAsia="Times New Roman" w:cs="Tahoma"/>
          <w:bCs/>
          <w:iCs/>
          <w:color w:val="auto"/>
          <w:lang w:eastAsia="es-ES"/>
        </w:rPr>
      </w:pPr>
    </w:p>
    <w:p w:rsidRPr="005C5F89" w:rsidR="00CA1727" w:rsidP="003A7290" w:rsidRDefault="00CA1727" w14:paraId="40D2F385" w14:textId="77777777">
      <w:pPr>
        <w:spacing w:after="0" w:line="360" w:lineRule="auto"/>
        <w:rPr>
          <w:rFonts w:eastAsia="Times New Roman" w:cs="Tahoma"/>
          <w:bCs/>
          <w:iCs/>
          <w:color w:val="auto"/>
          <w:lang w:eastAsia="es-ES"/>
        </w:rPr>
      </w:pPr>
      <w:r w:rsidRPr="005C5F89">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5C5F89" w:rsidR="00CA1727" w:rsidP="003A7290" w:rsidRDefault="00CA1727" w14:paraId="77D4FAB2" w14:textId="77777777">
      <w:pPr>
        <w:spacing w:after="0" w:line="360" w:lineRule="auto"/>
        <w:rPr>
          <w:rFonts w:eastAsia="Times New Roman" w:cs="Tahoma"/>
          <w:bCs/>
          <w:iCs/>
          <w:color w:val="auto"/>
          <w:lang w:eastAsia="es-ES"/>
        </w:rPr>
      </w:pPr>
    </w:p>
    <w:p w:rsidRPr="005C5F89" w:rsidR="00CA1727" w:rsidP="003A7290" w:rsidRDefault="00CA1727" w14:paraId="40A28682" w14:textId="77777777">
      <w:pPr>
        <w:spacing w:after="0" w:line="360" w:lineRule="auto"/>
        <w:rPr>
          <w:rFonts w:eastAsia="Times New Roman" w:cs="Tahoma"/>
          <w:bCs/>
          <w:iCs/>
          <w:color w:val="auto"/>
          <w:lang w:eastAsia="es-ES"/>
        </w:rPr>
      </w:pPr>
      <w:r w:rsidRPr="005C5F89">
        <w:rPr>
          <w:rFonts w:eastAsia="Times New Roman" w:cs="Tahoma"/>
          <w:bCs/>
          <w:iCs/>
          <w:color w:val="auto"/>
          <w:lang w:eastAsia="es-ES"/>
        </w:rPr>
        <w:t>El artículo 12, que, quienes generen, recopilen, administren, manejen, procesen, archiven o conserven información pública serán responsables de la misma.</w:t>
      </w:r>
    </w:p>
    <w:p w:rsidRPr="005C5F89" w:rsidR="00CA1727" w:rsidP="003A7290" w:rsidRDefault="00CA1727" w14:paraId="360F0F34" w14:textId="77777777">
      <w:pPr>
        <w:spacing w:after="0" w:line="360" w:lineRule="auto"/>
        <w:rPr>
          <w:rFonts w:eastAsia="Times New Roman" w:cs="Tahoma"/>
          <w:bCs/>
          <w:iCs/>
          <w:color w:val="auto"/>
          <w:lang w:eastAsia="es-ES"/>
        </w:rPr>
      </w:pPr>
    </w:p>
    <w:p w:rsidRPr="005C5F89" w:rsidR="00CA1727" w:rsidP="003A7290" w:rsidRDefault="00CA1727" w14:paraId="7AC71FE5" w14:textId="77777777">
      <w:pPr>
        <w:widowControl w:val="0"/>
        <w:spacing w:after="0" w:line="360" w:lineRule="auto"/>
        <w:rPr>
          <w:rFonts w:eastAsia="Times New Roman" w:cs="Tahoma"/>
          <w:bCs/>
          <w:iCs/>
          <w:color w:val="auto"/>
          <w:lang w:eastAsia="es-ES"/>
        </w:rPr>
      </w:pPr>
      <w:r w:rsidRPr="005C5F89">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5C5F89" w:rsidR="00CA1727" w:rsidP="003A7290" w:rsidRDefault="00CA1727" w14:paraId="441F8482" w14:textId="77777777">
      <w:pPr>
        <w:spacing w:after="0" w:line="360" w:lineRule="auto"/>
        <w:rPr>
          <w:rFonts w:eastAsia="Times New Roman" w:cs="Tahoma"/>
          <w:bCs/>
          <w:iCs/>
          <w:color w:val="auto"/>
          <w:lang w:eastAsia="es-ES"/>
        </w:rPr>
      </w:pPr>
    </w:p>
    <w:p w:rsidRPr="005C5F89" w:rsidR="00CA1727" w:rsidP="003A7290" w:rsidRDefault="00CA1727" w14:paraId="082B53DC" w14:textId="77777777">
      <w:pPr>
        <w:spacing w:after="0" w:line="360" w:lineRule="auto"/>
        <w:rPr>
          <w:rFonts w:eastAsia="Times New Roman" w:cs="Tahoma"/>
          <w:bCs/>
          <w:iCs/>
          <w:color w:val="auto"/>
          <w:lang w:eastAsia="es-ES"/>
        </w:rPr>
      </w:pPr>
      <w:r w:rsidRPr="005C5F89">
        <w:rPr>
          <w:rFonts w:eastAsia="Times New Roman" w:cs="Tahoma"/>
          <w:bCs/>
          <w:iCs/>
          <w:color w:val="auto"/>
          <w:lang w:eastAsia="es-ES"/>
        </w:rPr>
        <w:t xml:space="preserve">El artículo 19, que, se presume que la información debe existir si se refiere a las facultades, competencias y funciones que los ordenamientos jurídicos aplicables otorgan a los sujetos </w:t>
      </w:r>
      <w:r w:rsidRPr="005C5F89">
        <w:rPr>
          <w:rFonts w:eastAsia="Times New Roman" w:cs="Tahoma"/>
          <w:bCs/>
          <w:iCs/>
          <w:color w:val="auto"/>
          <w:lang w:eastAsia="es-ES"/>
        </w:rPr>
        <w:lastRenderedPageBreak/>
        <w:t>obligados y en caso de que dichas facultades no se hayan ejercido, se deberá motivar la respuesta en función de las causas que motivaron tal circunstancia.</w:t>
      </w:r>
    </w:p>
    <w:p w:rsidRPr="005C5F89" w:rsidR="00CA1727" w:rsidP="003A7290" w:rsidRDefault="00CA1727" w14:paraId="013CD03B" w14:textId="77777777">
      <w:pPr>
        <w:spacing w:after="0" w:line="360" w:lineRule="auto"/>
        <w:rPr>
          <w:rFonts w:cs="Tahoma"/>
          <w:bCs/>
          <w:iCs/>
          <w:lang w:val="es-ES"/>
        </w:rPr>
      </w:pPr>
    </w:p>
    <w:p w:rsidRPr="005C5F89" w:rsidR="00CA1727" w:rsidP="003A7290" w:rsidRDefault="00CA1727" w14:paraId="150D087B" w14:textId="77777777">
      <w:pPr>
        <w:spacing w:after="0" w:line="360" w:lineRule="auto"/>
        <w:rPr>
          <w:rFonts w:cs="Tahoma"/>
          <w:bCs/>
          <w:iCs/>
          <w:lang w:val="es-ES"/>
        </w:rPr>
      </w:pPr>
      <w:r w:rsidRPr="005C5F89">
        <w:rPr>
          <w:rFonts w:cs="Tahoma"/>
          <w:bCs/>
          <w:iCs/>
        </w:rPr>
        <w:t xml:space="preserve">El artículo 92, fracción VII y VIII, </w:t>
      </w:r>
      <w:r w:rsidRPr="005C5F89">
        <w:rPr>
          <w:rFonts w:cs="Tahoma"/>
          <w:bCs/>
          <w:iCs/>
          <w:lang w:val="es-ES"/>
        </w:rPr>
        <w:t>que, el directorio y la información sobre cargo, categoría y las remuneraciones de todos los servidores públicos de base o de confianza, corresponde a una Obligación Común de Transparencia para los Sujetos Obligados.</w:t>
      </w:r>
    </w:p>
    <w:p w:rsidRPr="005C5F89" w:rsidR="00CA1727" w:rsidP="003A7290" w:rsidRDefault="00CA1727" w14:paraId="300B0E22" w14:textId="77777777">
      <w:pPr>
        <w:spacing w:after="0" w:line="360" w:lineRule="auto"/>
        <w:rPr>
          <w:rFonts w:cs="Tahoma"/>
          <w:bCs/>
          <w:iCs/>
          <w:lang w:val="es-ES"/>
        </w:rPr>
      </w:pPr>
    </w:p>
    <w:p w:rsidRPr="005C5F89" w:rsidR="00CA1727" w:rsidP="003A7290" w:rsidRDefault="00CA1727" w14:paraId="3329FD37" w14:textId="77777777">
      <w:pPr>
        <w:spacing w:after="0" w:line="360" w:lineRule="auto"/>
        <w:rPr>
          <w:rFonts w:eastAsia="Times New Roman" w:cs="Tahoma"/>
          <w:b/>
          <w:bCs/>
          <w:iCs/>
          <w:color w:val="auto"/>
          <w:lang w:val="es-ES" w:eastAsia="es-ES"/>
        </w:rPr>
      </w:pPr>
      <w:r w:rsidRPr="005C5F89">
        <w:rPr>
          <w:rFonts w:eastAsia="Times New Roman" w:cs="Tahoma"/>
          <w:b/>
          <w:bCs/>
          <w:iCs/>
          <w:color w:val="auto"/>
          <w:lang w:val="es-ES" w:eastAsia="es-ES"/>
        </w:rPr>
        <w:t>Quinto. Estudio de Fondo.</w:t>
      </w:r>
    </w:p>
    <w:p w:rsidRPr="005C5F89" w:rsidR="00CA1727" w:rsidP="003A7290" w:rsidRDefault="00CA1727" w14:paraId="6CE3F46B" w14:textId="77777777">
      <w:pPr>
        <w:autoSpaceDE w:val="0"/>
        <w:autoSpaceDN w:val="0"/>
        <w:adjustRightInd w:val="0"/>
        <w:spacing w:after="0" w:line="360" w:lineRule="auto"/>
        <w:rPr>
          <w:rFonts w:eastAsia="Times New Roman" w:cs="Tahoma"/>
          <w:bCs/>
          <w:iCs/>
          <w:color w:val="auto"/>
          <w:lang w:val="es-ES" w:eastAsia="es-ES"/>
        </w:rPr>
      </w:pPr>
    </w:p>
    <w:p w:rsidRPr="005C5F89" w:rsidR="00CA1727" w:rsidP="003A7290" w:rsidRDefault="00CA1727" w14:paraId="159CC6F8" w14:textId="0ADAC9B3">
      <w:pPr>
        <w:spacing w:after="0" w:line="360" w:lineRule="auto"/>
        <w:rPr>
          <w:rFonts w:eastAsia="Times New Roman" w:cs="Tahoma"/>
          <w:bCs/>
          <w:iCs/>
          <w:color w:val="auto"/>
          <w:lang w:eastAsia="es-ES"/>
        </w:rPr>
      </w:pPr>
      <w:r w:rsidRPr="005C5F89">
        <w:rPr>
          <w:rFonts w:eastAsia="Times New Roman" w:cs="Tahoma"/>
          <w:bCs/>
          <w:iCs/>
          <w:color w:val="auto"/>
          <w:lang w:eastAsia="es-ES"/>
        </w:rPr>
        <w:t xml:space="preserve">Expuestas las posturas de las partes, se procede al análisis de los agravios hechos valer por la ahora Recurrente, para lo cual, </w:t>
      </w:r>
      <w:r w:rsidRPr="005C5F89" w:rsidR="00E931F8">
        <w:rPr>
          <w:rFonts w:eastAsia="Times New Roman" w:cs="Tahoma"/>
          <w:bCs/>
          <w:iCs/>
          <w:color w:val="auto"/>
          <w:lang w:eastAsia="es-ES"/>
        </w:rPr>
        <w:t xml:space="preserve">en principio es necesario señalar </w:t>
      </w:r>
      <w:r w:rsidRPr="005C5F89" w:rsidR="008330D0">
        <w:rPr>
          <w:rFonts w:eastAsia="Times New Roman" w:cs="Tahoma"/>
          <w:bCs/>
          <w:iCs/>
          <w:color w:val="auto"/>
          <w:lang w:eastAsia="es-ES"/>
        </w:rPr>
        <w:t>que,</w:t>
      </w:r>
      <w:r w:rsidRPr="005C5F89" w:rsidR="00E931F8">
        <w:rPr>
          <w:rFonts w:eastAsia="Times New Roman" w:cs="Tahoma"/>
          <w:bCs/>
          <w:iCs/>
          <w:color w:val="auto"/>
          <w:lang w:eastAsia="es-ES"/>
        </w:rPr>
        <w:t xml:space="preserve"> del análisis de la</w:t>
      </w:r>
      <w:r w:rsidRPr="005C5F89" w:rsidR="00DD292E">
        <w:rPr>
          <w:rFonts w:eastAsia="Times New Roman" w:cs="Tahoma"/>
          <w:bCs/>
          <w:iCs/>
          <w:color w:val="auto"/>
          <w:lang w:eastAsia="es-ES"/>
        </w:rPr>
        <w:t>s</w:t>
      </w:r>
      <w:r w:rsidRPr="005C5F89" w:rsidR="00E931F8">
        <w:rPr>
          <w:rFonts w:eastAsia="Times New Roman" w:cs="Tahoma"/>
          <w:bCs/>
          <w:iCs/>
          <w:color w:val="auto"/>
          <w:lang w:eastAsia="es-ES"/>
        </w:rPr>
        <w:t xml:space="preserve"> solicitud</w:t>
      </w:r>
      <w:r w:rsidRPr="005C5F89" w:rsidR="00DD292E">
        <w:rPr>
          <w:rFonts w:eastAsia="Times New Roman" w:cs="Tahoma"/>
          <w:bCs/>
          <w:iCs/>
          <w:color w:val="auto"/>
          <w:lang w:eastAsia="es-ES"/>
        </w:rPr>
        <w:t>es</w:t>
      </w:r>
      <w:r w:rsidRPr="005C5F89" w:rsidR="00E931F8">
        <w:rPr>
          <w:rFonts w:eastAsia="Times New Roman" w:cs="Tahoma"/>
          <w:bCs/>
          <w:iCs/>
          <w:color w:val="auto"/>
          <w:lang w:eastAsia="es-ES"/>
        </w:rPr>
        <w:t>, la</w:t>
      </w:r>
      <w:r w:rsidRPr="005C5F89" w:rsidR="00DD292E">
        <w:rPr>
          <w:rFonts w:eastAsia="Times New Roman" w:cs="Tahoma"/>
          <w:bCs/>
          <w:iCs/>
          <w:color w:val="auto"/>
          <w:lang w:eastAsia="es-ES"/>
        </w:rPr>
        <w:t>s</w:t>
      </w:r>
      <w:r w:rsidRPr="005C5F89" w:rsidR="00E931F8">
        <w:rPr>
          <w:rFonts w:eastAsia="Times New Roman" w:cs="Tahoma"/>
          <w:bCs/>
          <w:iCs/>
          <w:color w:val="auto"/>
          <w:lang w:eastAsia="es-ES"/>
        </w:rPr>
        <w:t xml:space="preserve"> respues</w:t>
      </w:r>
      <w:r w:rsidRPr="005C5F89" w:rsidR="00DD292E">
        <w:rPr>
          <w:rFonts w:eastAsia="Times New Roman" w:cs="Tahoma"/>
          <w:bCs/>
          <w:iCs/>
          <w:color w:val="auto"/>
          <w:lang w:eastAsia="es-ES"/>
        </w:rPr>
        <w:t>tas</w:t>
      </w:r>
      <w:r w:rsidRPr="005C5F89" w:rsidR="00E931F8">
        <w:rPr>
          <w:rFonts w:eastAsia="Times New Roman" w:cs="Tahoma"/>
          <w:bCs/>
          <w:iCs/>
          <w:color w:val="auto"/>
          <w:lang w:eastAsia="es-ES"/>
        </w:rPr>
        <w:t xml:space="preserve"> y los actos consentidos </w:t>
      </w:r>
      <w:r w:rsidRPr="005C5F89" w:rsidR="00DD292E">
        <w:rPr>
          <w:rFonts w:eastAsia="Times New Roman" w:cs="Tahoma"/>
          <w:bCs/>
          <w:iCs/>
          <w:color w:val="auto"/>
          <w:lang w:eastAsia="es-ES"/>
        </w:rPr>
        <w:t>derivados del Recurso de Revisión, se logra vislumbrar que la pretensión del ahora Recurrente es obtener lo siguiente:</w:t>
      </w:r>
    </w:p>
    <w:p w:rsidRPr="005C5F89" w:rsidR="00E931F8" w:rsidP="003A7290" w:rsidRDefault="00E931F8" w14:paraId="1BAC17BA" w14:textId="6EBC12B7">
      <w:pPr>
        <w:spacing w:after="0" w:line="360" w:lineRule="auto"/>
        <w:rPr>
          <w:rFonts w:eastAsia="Calibri" w:cs="Tahoma"/>
          <w:lang w:val="es-ES" w:eastAsia="es-MX"/>
        </w:rPr>
      </w:pPr>
    </w:p>
    <w:p w:rsidRPr="005C5F89" w:rsidR="00DD292E" w:rsidP="003A7290" w:rsidRDefault="00DD292E" w14:paraId="4026FBA1" w14:textId="69FF5A16">
      <w:pPr>
        <w:pStyle w:val="Prrafodelista"/>
        <w:numPr>
          <w:ilvl w:val="0"/>
          <w:numId w:val="26"/>
        </w:numPr>
        <w:spacing w:after="0" w:line="360" w:lineRule="auto"/>
        <w:rPr>
          <w:rFonts w:eastAsia="Calibri" w:cs="Tahoma"/>
          <w:lang w:val="es-ES" w:eastAsia="es-MX"/>
        </w:rPr>
      </w:pPr>
      <w:r w:rsidRPr="005C5F89">
        <w:rPr>
          <w:rFonts w:eastAsia="Calibri" w:cs="Tahoma"/>
          <w:lang w:val="es-ES" w:eastAsia="es-MX"/>
        </w:rPr>
        <w:t>La categoría, adscripción y salario de los servidores públicos que laboraban para la Dirección General de Seguridad y Protección, y</w:t>
      </w:r>
    </w:p>
    <w:p w:rsidRPr="005C5F89" w:rsidR="00DD292E" w:rsidP="003A7290" w:rsidRDefault="00DD292E" w14:paraId="2E3D6C2E" w14:textId="38B05E29">
      <w:pPr>
        <w:spacing w:after="0" w:line="360" w:lineRule="auto"/>
        <w:rPr>
          <w:rFonts w:eastAsia="Calibri" w:cs="Tahoma"/>
          <w:lang w:val="es-ES" w:eastAsia="es-MX"/>
        </w:rPr>
      </w:pPr>
    </w:p>
    <w:p w:rsidRPr="005C5F89" w:rsidR="00CA1727" w:rsidP="003A7290" w:rsidRDefault="00DD292E" w14:paraId="2F05736C" w14:textId="592311F4">
      <w:pPr>
        <w:pStyle w:val="Prrafodelista"/>
        <w:numPr>
          <w:ilvl w:val="0"/>
          <w:numId w:val="26"/>
        </w:numPr>
        <w:spacing w:after="0" w:line="360" w:lineRule="auto"/>
        <w:rPr>
          <w:rFonts w:eastAsia="Calibri" w:cs="Times New Roman"/>
          <w:bCs/>
          <w:color w:val="000000"/>
        </w:rPr>
      </w:pPr>
      <w:r w:rsidRPr="005C5F89">
        <w:rPr>
          <w:rFonts w:eastAsia="Calibri" w:cs="Tahoma"/>
          <w:lang w:val="es-ES" w:eastAsia="es-MX"/>
        </w:rPr>
        <w:t xml:space="preserve">El nombre, categoría y sueldo de los servidores públicos adscritos a la </w:t>
      </w:r>
      <w:r w:rsidRPr="005C5F89" w:rsidR="004D6EBD">
        <w:rPr>
          <w:rFonts w:cs="Tahoma"/>
        </w:rPr>
        <w:t xml:space="preserve">Dirección General de Administración, </w:t>
      </w:r>
      <w:r w:rsidRPr="005C5F89" w:rsidR="0000199D">
        <w:rPr>
          <w:rFonts w:cs="Tahoma"/>
        </w:rPr>
        <w:t xml:space="preserve">la </w:t>
      </w:r>
      <w:r w:rsidRPr="005C5F89" w:rsidR="004D6EBD">
        <w:rPr>
          <w:rFonts w:cs="Tahoma"/>
        </w:rPr>
        <w:t xml:space="preserve">Coordinación de Planeación, la Coordinación de Asesores, la Coordinación de Mejora Regulatoria, la Dirección General de Servicios Públicos, </w:t>
      </w:r>
      <w:r w:rsidRPr="005C5F89" w:rsidR="0000199D">
        <w:rPr>
          <w:rFonts w:cs="Tahoma"/>
        </w:rPr>
        <w:t xml:space="preserve">la </w:t>
      </w:r>
      <w:r w:rsidRPr="005C5F89" w:rsidR="004D6EBD">
        <w:rPr>
          <w:rFonts w:cs="Tahoma"/>
        </w:rPr>
        <w:t>Dirección General de Bienestar Social</w:t>
      </w:r>
      <w:r w:rsidRPr="005C5F89" w:rsidR="0000199D">
        <w:rPr>
          <w:rFonts w:cs="Tahoma"/>
        </w:rPr>
        <w:t>, la</w:t>
      </w:r>
      <w:r w:rsidRPr="005C5F89" w:rsidR="004D6EBD">
        <w:rPr>
          <w:rFonts w:cs="Tahoma"/>
        </w:rPr>
        <w:t xml:space="preserve"> Dirección General de Medio Ambiente</w:t>
      </w:r>
      <w:r w:rsidRPr="005C5F89" w:rsidR="0000199D">
        <w:rPr>
          <w:rFonts w:cs="Tahoma"/>
        </w:rPr>
        <w:t xml:space="preserve"> y los miembros del Gabinete Municipal.</w:t>
      </w:r>
    </w:p>
    <w:p w:rsidRPr="005C5F89" w:rsidR="0000199D" w:rsidP="003A7290" w:rsidRDefault="0000199D" w14:paraId="60881F7E" w14:textId="77777777">
      <w:pPr>
        <w:pStyle w:val="Prrafodelista"/>
        <w:spacing w:after="0"/>
        <w:rPr>
          <w:rFonts w:eastAsia="Calibri" w:cs="Times New Roman"/>
          <w:bCs/>
          <w:color w:val="000000"/>
        </w:rPr>
      </w:pPr>
    </w:p>
    <w:p w:rsidRPr="005C5F89" w:rsidR="00AC7EB4" w:rsidP="003A7290" w:rsidRDefault="00AC7EB4" w14:paraId="16F126DA" w14:textId="213E2803">
      <w:pPr>
        <w:spacing w:after="0" w:line="360" w:lineRule="auto"/>
        <w:rPr>
          <w:rFonts w:cs="Tahoma"/>
          <w:bCs/>
        </w:rPr>
      </w:pPr>
      <w:r w:rsidRPr="005C5F89">
        <w:rPr>
          <w:rFonts w:cs="Tahoma"/>
          <w:bCs/>
        </w:rPr>
        <w:t xml:space="preserve">Ahora bien, de las constancias que obran en el expediente, se advierte que el Sujeto Obligado turnó la solicitud únicamente a la Dirección General de Administración, por lo que, resulta necesario hacer referencia al procedimiento de búsqueda que deben de seguir los Sujetos Obligados para localizar la información, el cual se encuentra previsto en los artículos 160 y </w:t>
      </w:r>
      <w:r w:rsidRPr="005C5F89">
        <w:rPr>
          <w:rFonts w:cs="Tahoma"/>
          <w:bCs/>
        </w:rPr>
        <w:lastRenderedPageBreak/>
        <w:t>162 de la Ley de Transparencia y Acceso a la Información Pública del Estado de México y Municipios, mismo que es el siguiente:</w:t>
      </w:r>
    </w:p>
    <w:p w:rsidRPr="005C5F89" w:rsidR="00AC7EB4" w:rsidP="003A7290" w:rsidRDefault="00AC7EB4" w14:paraId="3C6C3E81" w14:textId="77777777">
      <w:pPr>
        <w:spacing w:after="0" w:line="360" w:lineRule="auto"/>
        <w:rPr>
          <w:rFonts w:cs="Tahoma"/>
          <w:bCs/>
        </w:rPr>
      </w:pPr>
    </w:p>
    <w:p w:rsidRPr="005C5F89" w:rsidR="00AC7EB4" w:rsidP="003A7290" w:rsidRDefault="00AC7EB4" w14:paraId="1FA6B561" w14:textId="77777777">
      <w:pPr>
        <w:numPr>
          <w:ilvl w:val="0"/>
          <w:numId w:val="40"/>
        </w:numPr>
        <w:spacing w:after="0" w:line="360" w:lineRule="auto"/>
        <w:rPr>
          <w:rFonts w:eastAsia="Calibri" w:cs="Tahoma"/>
          <w:bCs/>
          <w:color w:val="000000"/>
          <w:lang w:val="es-ES"/>
        </w:rPr>
      </w:pPr>
      <w:r w:rsidRPr="005C5F89">
        <w:rPr>
          <w:rFonts w:eastAsia="Calibri" w:cs="Tahoma"/>
          <w:bCs/>
          <w:color w:val="000000"/>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5C5F89" w:rsidR="00AC7EB4" w:rsidP="003A7290" w:rsidRDefault="00AC7EB4" w14:paraId="59890DE6" w14:textId="77777777">
      <w:pPr>
        <w:spacing w:after="0" w:line="360" w:lineRule="auto"/>
        <w:ind w:left="720"/>
        <w:rPr>
          <w:rFonts w:eastAsia="Calibri" w:cs="Tahoma"/>
          <w:bCs/>
          <w:color w:val="000000"/>
          <w:lang w:val="es-ES"/>
        </w:rPr>
      </w:pPr>
    </w:p>
    <w:p w:rsidRPr="005C5F89" w:rsidR="00AC7EB4" w:rsidP="003A7290" w:rsidRDefault="00AC7EB4" w14:paraId="79E70B37" w14:textId="77777777">
      <w:pPr>
        <w:numPr>
          <w:ilvl w:val="0"/>
          <w:numId w:val="40"/>
        </w:numPr>
        <w:spacing w:after="0" w:line="360" w:lineRule="auto"/>
        <w:rPr>
          <w:rFonts w:eastAsia="Calibri" w:cs="Tahoma"/>
          <w:bCs/>
          <w:color w:val="000000"/>
          <w:lang w:val="es-ES"/>
        </w:rPr>
      </w:pPr>
      <w:r w:rsidRPr="005C5F89">
        <w:rPr>
          <w:rFonts w:eastAsia="Calibri" w:cs="Tahoma"/>
          <w:bCs/>
          <w:color w:val="000000"/>
          <w:lang w:val="es-ES"/>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rsidRPr="005C5F89" w:rsidR="00AC7EB4" w:rsidP="003A7290" w:rsidRDefault="00AC7EB4" w14:paraId="2FA634F1" w14:textId="77777777">
      <w:pPr>
        <w:spacing w:after="0" w:line="360" w:lineRule="auto"/>
        <w:rPr>
          <w:rFonts w:cs="Tahoma"/>
          <w:bCs/>
        </w:rPr>
      </w:pPr>
    </w:p>
    <w:p w:rsidRPr="005C5F89" w:rsidR="00AC7EB4" w:rsidP="003A7290" w:rsidRDefault="00AC7EB4" w14:paraId="1649D40D" w14:textId="2F18E9B2">
      <w:pPr>
        <w:spacing w:after="0" w:line="360" w:lineRule="auto"/>
        <w:ind w:right="-28"/>
        <w:contextualSpacing/>
        <w:rPr>
          <w:rFonts w:eastAsia="Calibri" w:cs="Tahoma"/>
          <w:b/>
          <w:color w:val="000000"/>
        </w:rPr>
      </w:pPr>
      <w:r w:rsidRPr="005C5F89">
        <w:rPr>
          <w:rFonts w:eastAsia="Calibri" w:cs="Tahoma"/>
          <w:bCs/>
          <w:color w:val="000000"/>
        </w:rPr>
        <w:t xml:space="preserve">Así, a efecto de determinar si el Sujeto Obligado cumplió con el procedimiento de búsqueda, resulta necesario citar el artículo 3.43 del </w:t>
      </w:r>
      <w:r w:rsidRPr="005C5F89">
        <w:rPr>
          <w:iCs/>
        </w:rPr>
        <w:t xml:space="preserve">Código Reglamentario Municipal de Toluca, que establece que el Sujeto Obligado cuenta con diversas unidades administrativas para el ejercicio de sus funciones, entre las cuales se encuentra la Dirección General de Administración, encargada de coordinar y dirigir los sistemas de reclutamiento, selección, contratación e inducción y desarrollo de personal; autorizar las altas, bajas, cambios, permisos, licencias y comisiones del personal, así como autorizar a elaboración y distribución oportuna de la nómina al personal que labora en el Ayuntamiento; lo anterior, a través de la Dirección de Recursos Humanos que elabora, opera y mejora los procedimientos administrativos de control para la selección, reclutamiento, contratación, escalafón, capacitación, retiro, sanción, comisión y desarrollo del personal; registra as altas, reingresos, bajas, cambios de categoría y adscripción, permisos y licencias por incapacidad, entre otras, del personal y coadyuva en la a elaboración y distribución oportuna de la nómina para el </w:t>
      </w:r>
      <w:r w:rsidRPr="005C5F89">
        <w:rPr>
          <w:iCs/>
        </w:rPr>
        <w:lastRenderedPageBreak/>
        <w:t>pago al personal que labora en el Ayuntamiento, apegándose al presupuesto autorizado y aplicar los descuentos procedentes, así como, en la emisión de los CFDI correspondientes una vez realizado el pago, en términos del diverso 3.45 del ordenamiento referido.</w:t>
      </w:r>
    </w:p>
    <w:p w:rsidRPr="005C5F89" w:rsidR="00AC7EB4" w:rsidP="003A7290" w:rsidRDefault="00AC7EB4" w14:paraId="34C33E7D" w14:textId="69CA2BF3">
      <w:pPr>
        <w:spacing w:after="0" w:line="360" w:lineRule="auto"/>
        <w:rPr>
          <w:rFonts w:eastAsia="Times New Roman" w:cs="Tahoma"/>
          <w:bCs/>
          <w:iCs/>
          <w:color w:val="auto"/>
          <w:lang w:eastAsia="es-ES"/>
        </w:rPr>
      </w:pPr>
    </w:p>
    <w:p w:rsidRPr="005C5F89" w:rsidR="00AC7EB4" w:rsidP="003A7290" w:rsidRDefault="00AC7EB4" w14:paraId="0C0504C3" w14:textId="2C48306E">
      <w:pPr>
        <w:spacing w:after="0" w:line="360" w:lineRule="auto"/>
        <w:rPr>
          <w:rFonts w:eastAsia="Times New Roman" w:cs="Tahoma"/>
          <w:bCs/>
          <w:iCs/>
          <w:color w:val="auto"/>
          <w:lang w:eastAsia="es-ES"/>
        </w:rPr>
      </w:pPr>
      <w:r w:rsidRPr="005C5F89">
        <w:rPr>
          <w:rFonts w:eastAsia="Times New Roman" w:cs="Tahoma"/>
          <w:bCs/>
          <w:iCs/>
          <w:color w:val="auto"/>
          <w:lang w:eastAsia="es-ES"/>
        </w:rPr>
        <w:t xml:space="preserve">Conforme a lo anterior se logra observar que el Ayuntamiento de Toluca, gestiono a la solicitud de información </w:t>
      </w:r>
      <w:r w:rsidRPr="005C5F89" w:rsidR="004F1BB1">
        <w:rPr>
          <w:rFonts w:eastAsia="Times New Roman" w:cs="Tahoma"/>
          <w:bCs/>
          <w:iCs/>
          <w:color w:val="auto"/>
          <w:lang w:eastAsia="es-ES"/>
        </w:rPr>
        <w:t>a la unidad administrativa competente para conocer de lo requerido, por lo que, cumplió con el procedimiento de búsqueda establecido en la Ley de la materia.</w:t>
      </w:r>
    </w:p>
    <w:p w:rsidRPr="005C5F89" w:rsidR="00AC7EB4" w:rsidP="003A7290" w:rsidRDefault="00AC7EB4" w14:paraId="7A6E9008" w14:textId="77777777">
      <w:pPr>
        <w:spacing w:after="0" w:line="360" w:lineRule="auto"/>
        <w:rPr>
          <w:rFonts w:eastAsia="Times New Roman" w:cs="Tahoma"/>
          <w:bCs/>
          <w:iCs/>
          <w:color w:val="auto"/>
          <w:lang w:eastAsia="es-ES"/>
        </w:rPr>
      </w:pPr>
    </w:p>
    <w:p w:rsidRPr="005C5F89" w:rsidR="00FB657D" w:rsidP="003A7290" w:rsidRDefault="004D6EBD" w14:paraId="38E608AF" w14:textId="41411FD2">
      <w:pPr>
        <w:spacing w:after="0" w:line="360" w:lineRule="auto"/>
        <w:rPr>
          <w:rFonts w:eastAsia="Times New Roman" w:cs="Tahoma"/>
          <w:bCs/>
          <w:iCs/>
          <w:color w:val="auto"/>
          <w:lang w:eastAsia="es-ES"/>
        </w:rPr>
      </w:pPr>
      <w:r w:rsidRPr="005C5F89">
        <w:rPr>
          <w:rFonts w:eastAsia="Times New Roman" w:cs="Tahoma"/>
          <w:bCs/>
          <w:iCs/>
          <w:color w:val="auto"/>
          <w:lang w:eastAsia="es-ES"/>
        </w:rPr>
        <w:t>Ahora bien, se procede analizar la respuesta entregada por el Sujeto Obligado, en atención a los agravios realizados por la parte Recurrente, es decir, de la siguiente manera:</w:t>
      </w:r>
    </w:p>
    <w:p w:rsidRPr="005C5F89" w:rsidR="004D6EBD" w:rsidP="003A7290" w:rsidRDefault="004D6EBD" w14:paraId="43FA473A" w14:textId="738B4EF0">
      <w:pPr>
        <w:spacing w:after="0" w:line="360" w:lineRule="auto"/>
        <w:rPr>
          <w:rFonts w:eastAsia="Times New Roman" w:cs="Tahoma"/>
          <w:bCs/>
          <w:iCs/>
          <w:color w:val="auto"/>
          <w:lang w:eastAsia="es-ES"/>
        </w:rPr>
      </w:pPr>
    </w:p>
    <w:p w:rsidRPr="005C5F89" w:rsidR="004D6EBD" w:rsidP="003A7290" w:rsidRDefault="004D6EBD" w14:paraId="42604958" w14:textId="51899D1B">
      <w:pPr>
        <w:pStyle w:val="Prrafodelista"/>
        <w:numPr>
          <w:ilvl w:val="0"/>
          <w:numId w:val="27"/>
        </w:numPr>
        <w:spacing w:after="0" w:line="360" w:lineRule="auto"/>
        <w:rPr>
          <w:rFonts w:eastAsia="Times New Roman" w:cs="Tahoma"/>
          <w:b/>
          <w:iCs/>
          <w:color w:val="auto"/>
          <w:lang w:eastAsia="es-ES"/>
        </w:rPr>
      </w:pPr>
      <w:r w:rsidRPr="005C5F89">
        <w:rPr>
          <w:rFonts w:eastAsia="Times New Roman" w:cs="Tahoma"/>
          <w:b/>
          <w:iCs/>
          <w:color w:val="auto"/>
          <w:lang w:eastAsia="es-ES"/>
        </w:rPr>
        <w:t>Clasificación de la información de la Dirección General de Seguridad y Protección, y</w:t>
      </w:r>
    </w:p>
    <w:p w:rsidRPr="005C5F89" w:rsidR="004D6EBD" w:rsidP="003A7290" w:rsidRDefault="004D6EBD" w14:paraId="275CFC70" w14:textId="77777777">
      <w:pPr>
        <w:pStyle w:val="Prrafodelista"/>
        <w:spacing w:after="0" w:line="360" w:lineRule="auto"/>
        <w:rPr>
          <w:rFonts w:eastAsia="Times New Roman" w:cs="Tahoma"/>
          <w:bCs/>
          <w:iCs/>
          <w:color w:val="auto"/>
          <w:lang w:eastAsia="es-ES"/>
        </w:rPr>
      </w:pPr>
    </w:p>
    <w:p w:rsidRPr="005C5F89" w:rsidR="004D6EBD" w:rsidP="003A7290" w:rsidRDefault="004D6EBD" w14:paraId="43BD5599" w14:textId="63CBDCDF">
      <w:pPr>
        <w:pStyle w:val="Prrafodelista"/>
        <w:numPr>
          <w:ilvl w:val="0"/>
          <w:numId w:val="27"/>
        </w:numPr>
        <w:spacing w:after="0" w:line="360" w:lineRule="auto"/>
        <w:rPr>
          <w:rFonts w:eastAsia="Times New Roman" w:cs="Tahoma"/>
          <w:b/>
          <w:iCs/>
          <w:color w:val="auto"/>
          <w:lang w:eastAsia="es-ES"/>
        </w:rPr>
      </w:pPr>
      <w:r w:rsidRPr="005C5F89">
        <w:rPr>
          <w:rFonts w:eastAsia="Times New Roman" w:cs="Tahoma"/>
          <w:b/>
          <w:iCs/>
          <w:color w:val="auto"/>
          <w:lang w:eastAsia="es-ES"/>
        </w:rPr>
        <w:t>Falta de entrega de la información de diversas áreas.</w:t>
      </w:r>
    </w:p>
    <w:p w:rsidRPr="005C5F89" w:rsidR="004D6EBD" w:rsidP="003A7290" w:rsidRDefault="004D6EBD" w14:paraId="7A2BDE3B" w14:textId="7FF97DA2">
      <w:pPr>
        <w:spacing w:after="0" w:line="360" w:lineRule="auto"/>
        <w:rPr>
          <w:rFonts w:eastAsia="Times New Roman" w:cs="Tahoma"/>
          <w:bCs/>
          <w:iCs/>
          <w:color w:val="auto"/>
          <w:lang w:eastAsia="es-ES"/>
        </w:rPr>
      </w:pPr>
    </w:p>
    <w:p w:rsidRPr="005C5F89" w:rsidR="004D6EBD" w:rsidP="003A7290" w:rsidRDefault="004D6EBD" w14:paraId="2155A7F7" w14:textId="1665FA25">
      <w:pPr>
        <w:spacing w:after="0" w:line="360" w:lineRule="auto"/>
        <w:rPr>
          <w:rFonts w:eastAsia="Times New Roman" w:cs="Tahoma"/>
          <w:b/>
          <w:iCs/>
          <w:color w:val="auto"/>
          <w:lang w:eastAsia="es-ES"/>
        </w:rPr>
      </w:pPr>
      <w:r w:rsidRPr="005C5F89">
        <w:rPr>
          <w:rFonts w:eastAsia="Times New Roman" w:cs="Tahoma"/>
          <w:b/>
          <w:iCs/>
          <w:color w:val="auto"/>
          <w:lang w:eastAsia="es-ES"/>
        </w:rPr>
        <w:t>Clasificación de la información.</w:t>
      </w:r>
    </w:p>
    <w:p w:rsidRPr="005C5F89" w:rsidR="004D6EBD" w:rsidP="003A7290" w:rsidRDefault="004D6EBD" w14:paraId="5FD6518B" w14:textId="4A4B473F">
      <w:pPr>
        <w:spacing w:after="0" w:line="360" w:lineRule="auto"/>
        <w:rPr>
          <w:rFonts w:eastAsia="Times New Roman" w:cs="Tahoma"/>
          <w:bCs/>
          <w:iCs/>
          <w:color w:val="auto"/>
          <w:lang w:eastAsia="es-ES"/>
        </w:rPr>
      </w:pPr>
    </w:p>
    <w:p w:rsidRPr="005C5F89" w:rsidR="0017321E" w:rsidP="003A7290" w:rsidRDefault="0017321E" w14:paraId="66EE1092" w14:textId="6FD8044E">
      <w:pPr>
        <w:spacing w:after="0" w:line="360" w:lineRule="auto"/>
        <w:rPr>
          <w:rFonts w:eastAsia="Times New Roman" w:cs="Tahoma"/>
          <w:b/>
          <w:color w:val="0D0D0D" w:themeColor="text1" w:themeTint="F2"/>
          <w:lang w:eastAsia="es-MX"/>
        </w:rPr>
      </w:pPr>
      <w:r w:rsidRPr="005C5F89">
        <w:rPr>
          <w:rFonts w:eastAsia="Times New Roman" w:cs="Tahoma"/>
          <w:bCs/>
          <w:iCs/>
          <w:color w:val="auto"/>
          <w:lang w:eastAsia="es-ES"/>
        </w:rPr>
        <w:t>En principio, es necesario precisar que la Dirección General de Administración precisó que la información de la Dirección General de Seguridad y Protección era reservada; a</w:t>
      </w:r>
      <w:r w:rsidRPr="005C5F89">
        <w:rPr>
          <w:rFonts w:eastAsia="Times New Roman" w:cs="Tahoma"/>
          <w:color w:val="0D0D0D" w:themeColor="text1" w:themeTint="F2"/>
          <w:lang w:eastAsia="es-MX"/>
        </w:rPr>
        <w:t xml:space="preserve">l respecto, cabe precisar, que conforme al artículo 20 de la Ley de Transparencia y Acceso a la Información Pública del Estado de México y Municipios, </w:t>
      </w:r>
      <w:r w:rsidRPr="005C5F89">
        <w:rPr>
          <w:rFonts w:eastAsia="Times New Roman" w:cs="Tahoma"/>
          <w:b/>
          <w:color w:val="0D0D0D" w:themeColor="text1" w:themeTint="F2"/>
          <w:lang w:eastAsia="es-MX"/>
        </w:rPr>
        <w:t>ante la negativa de acceso a la información o su inexistencia, el sujeto obligado deberá demostrar que encuentra en alguna de las excepciones establecidas en la normatividad aplicable.</w:t>
      </w:r>
    </w:p>
    <w:p w:rsidRPr="005C5F89" w:rsidR="0017321E" w:rsidP="003A7290" w:rsidRDefault="0017321E" w14:paraId="55FE9A2A" w14:textId="77777777">
      <w:pPr>
        <w:spacing w:after="0" w:line="360" w:lineRule="auto"/>
        <w:rPr>
          <w:rFonts w:eastAsia="Times New Roman" w:cs="Tahoma"/>
          <w:color w:val="0D0D0D" w:themeColor="text1" w:themeTint="F2"/>
          <w:lang w:eastAsia="es-MX"/>
        </w:rPr>
      </w:pPr>
    </w:p>
    <w:p w:rsidRPr="005C5F89" w:rsidR="0017321E" w:rsidP="003A7290" w:rsidRDefault="0017321E" w14:paraId="236D1108" w14:textId="77777777">
      <w:pPr>
        <w:spacing w:after="0" w:line="360" w:lineRule="auto"/>
        <w:rPr>
          <w:rFonts w:eastAsia="Times New Roman" w:cs="Arial"/>
          <w:bCs/>
          <w:color w:val="0D0D0D" w:themeColor="text1" w:themeTint="F2"/>
          <w:lang w:eastAsia="es-ES"/>
        </w:rPr>
      </w:pPr>
      <w:r w:rsidRPr="005C5F89">
        <w:rPr>
          <w:rFonts w:eastAsia="Times New Roman" w:cs="Arial"/>
          <w:bCs/>
          <w:color w:val="0D0D0D" w:themeColor="text1" w:themeTint="F2"/>
          <w:lang w:eastAsia="es-ES"/>
        </w:rPr>
        <w:lastRenderedPageBreak/>
        <w:t xml:space="preserve">En ese sentido, según Trujillo, Humberto (2019), en el “Diccionario de Transparencia y Acceso a la Información Pública” (p. 201), </w:t>
      </w:r>
      <w:r w:rsidRPr="005C5F89">
        <w:rPr>
          <w:rFonts w:eastAsia="Times New Roman" w:cs="Arial"/>
          <w:b/>
          <w:bCs/>
          <w:color w:val="0D0D0D" w:themeColor="text1" w:themeTint="F2"/>
          <w:lang w:eastAsia="es-ES"/>
        </w:rPr>
        <w:t xml:space="preserve">la negativa de acceso a la información </w:t>
      </w:r>
      <w:r w:rsidRPr="005C5F89">
        <w:rPr>
          <w:rFonts w:eastAsia="Times New Roman" w:cs="Arial"/>
          <w:bCs/>
          <w:color w:val="0D0D0D" w:themeColor="text1" w:themeTint="F2"/>
          <w:lang w:eastAsia="es-ES"/>
        </w:rPr>
        <w:t xml:space="preserve">ocurre cuanto de manera fundada y motivada, una autoridad la niega o la limita, por alguna de las siguientes razones: </w:t>
      </w:r>
    </w:p>
    <w:p w:rsidRPr="005C5F89" w:rsidR="0017321E" w:rsidP="003A7290" w:rsidRDefault="0017321E" w14:paraId="2A33163B" w14:textId="77777777">
      <w:pPr>
        <w:spacing w:after="0" w:line="360" w:lineRule="auto"/>
        <w:rPr>
          <w:rFonts w:eastAsia="Times New Roman" w:cs="Arial"/>
          <w:bCs/>
          <w:color w:val="0D0D0D" w:themeColor="text1" w:themeTint="F2"/>
          <w:lang w:eastAsia="es-ES"/>
        </w:rPr>
      </w:pPr>
    </w:p>
    <w:p w:rsidRPr="005C5F89" w:rsidR="0017321E" w:rsidP="003A7290" w:rsidRDefault="0017321E" w14:paraId="04E8A35D" w14:textId="77777777">
      <w:pPr>
        <w:numPr>
          <w:ilvl w:val="0"/>
          <w:numId w:val="28"/>
        </w:numPr>
        <w:spacing w:after="0" w:line="360" w:lineRule="auto"/>
        <w:contextualSpacing/>
        <w:rPr>
          <w:rFonts w:eastAsia="Times New Roman" w:cs="Arial"/>
          <w:b/>
          <w:bCs/>
          <w:color w:val="0D0D0D" w:themeColor="text1" w:themeTint="F2"/>
          <w:lang w:eastAsia="es-ES"/>
        </w:rPr>
      </w:pPr>
      <w:r w:rsidRPr="005C5F89">
        <w:rPr>
          <w:rFonts w:eastAsia="Times New Roman" w:cs="Arial"/>
          <w:b/>
          <w:bCs/>
          <w:color w:val="0D0D0D" w:themeColor="text1" w:themeTint="F2"/>
          <w:lang w:eastAsia="es-ES"/>
        </w:rPr>
        <w:t xml:space="preserve">La inexistencia de la información (p. 171): </w:t>
      </w:r>
      <w:r w:rsidRPr="005C5F89">
        <w:rPr>
          <w:rFonts w:eastAsia="Times New Roman" w:cs="Arial"/>
          <w:bCs/>
          <w:color w:val="0D0D0D" w:themeColor="text1" w:themeTint="F2"/>
          <w:lang w:eastAsia="es-ES"/>
        </w:rPr>
        <w:t>Sucede cuando la información solicitada no se encuentra en los archivos públicos o clasificado de los entes sujetos a las Leyes de Transparencia.</w:t>
      </w:r>
    </w:p>
    <w:p w:rsidRPr="005C5F89" w:rsidR="0017321E" w:rsidP="00767CE8" w:rsidRDefault="00767CE8" w14:paraId="6BCFD6A9" w14:textId="60BB68AB">
      <w:pPr>
        <w:tabs>
          <w:tab w:val="left" w:pos="1905"/>
        </w:tabs>
        <w:spacing w:after="0" w:line="360" w:lineRule="auto"/>
        <w:ind w:left="720"/>
        <w:contextualSpacing/>
        <w:rPr>
          <w:rFonts w:eastAsia="Times New Roman" w:cs="Arial"/>
          <w:b/>
          <w:bCs/>
          <w:color w:val="0D0D0D" w:themeColor="text1" w:themeTint="F2"/>
          <w:lang w:eastAsia="es-ES"/>
        </w:rPr>
      </w:pPr>
      <w:r w:rsidRPr="005C5F89">
        <w:rPr>
          <w:rFonts w:eastAsia="Times New Roman" w:cs="Arial"/>
          <w:b/>
          <w:bCs/>
          <w:color w:val="0D0D0D" w:themeColor="text1" w:themeTint="F2"/>
          <w:lang w:eastAsia="es-ES"/>
        </w:rPr>
        <w:tab/>
      </w:r>
    </w:p>
    <w:p w:rsidRPr="005C5F89" w:rsidR="0017321E" w:rsidP="003A7290" w:rsidRDefault="0017321E" w14:paraId="1F6B1439" w14:textId="77777777">
      <w:pPr>
        <w:numPr>
          <w:ilvl w:val="0"/>
          <w:numId w:val="28"/>
        </w:numPr>
        <w:spacing w:after="0" w:line="360" w:lineRule="auto"/>
        <w:contextualSpacing/>
        <w:rPr>
          <w:rFonts w:eastAsia="Times New Roman" w:cs="Arial"/>
          <w:b/>
          <w:bCs/>
          <w:color w:val="0D0D0D" w:themeColor="text1" w:themeTint="F2"/>
          <w:lang w:eastAsia="es-ES"/>
        </w:rPr>
      </w:pPr>
      <w:r w:rsidRPr="005C5F89">
        <w:rPr>
          <w:rFonts w:eastAsia="Times New Roman" w:cs="Arial"/>
          <w:b/>
          <w:bCs/>
          <w:color w:val="0D0D0D" w:themeColor="text1" w:themeTint="F2"/>
          <w:lang w:eastAsia="es-ES"/>
        </w:rPr>
        <w:t xml:space="preserve">La incompetencia del Sujeto Obligado (p. 171): </w:t>
      </w:r>
      <w:r w:rsidRPr="005C5F89">
        <w:rPr>
          <w:rFonts w:eastAsia="Times New Roman" w:cs="Arial"/>
          <w:bCs/>
          <w:color w:val="0D0D0D" w:themeColor="text1" w:themeTint="F2"/>
          <w:lang w:eastAsia="es-ES"/>
        </w:rPr>
        <w:t>Ocurre cuando el Sujeto Obligado carece de atribuciones para poseer la información peticionada.</w:t>
      </w:r>
    </w:p>
    <w:p w:rsidRPr="005C5F89" w:rsidR="0017321E" w:rsidP="003A7290" w:rsidRDefault="0017321E" w14:paraId="69F387E0" w14:textId="77777777">
      <w:pPr>
        <w:spacing w:after="0" w:line="360" w:lineRule="auto"/>
        <w:ind w:left="720"/>
        <w:contextualSpacing/>
        <w:rPr>
          <w:rFonts w:eastAsia="Times New Roman" w:cs="Arial"/>
          <w:b/>
          <w:bCs/>
          <w:color w:val="0D0D0D" w:themeColor="text1" w:themeTint="F2"/>
          <w:lang w:eastAsia="es-ES"/>
        </w:rPr>
      </w:pPr>
    </w:p>
    <w:p w:rsidRPr="005C5F89" w:rsidR="0017321E" w:rsidP="003A7290" w:rsidRDefault="0017321E" w14:paraId="3EB08CEB" w14:textId="77777777">
      <w:pPr>
        <w:numPr>
          <w:ilvl w:val="0"/>
          <w:numId w:val="28"/>
        </w:numPr>
        <w:spacing w:after="0" w:line="360" w:lineRule="auto"/>
        <w:contextualSpacing/>
        <w:rPr>
          <w:rFonts w:eastAsia="Times New Roman" w:cs="Arial"/>
          <w:b/>
          <w:bCs/>
          <w:color w:val="0D0D0D" w:themeColor="text1" w:themeTint="F2"/>
          <w:lang w:eastAsia="es-ES"/>
        </w:rPr>
      </w:pPr>
      <w:r w:rsidRPr="005C5F89">
        <w:rPr>
          <w:rFonts w:eastAsia="Times New Roman" w:cs="Arial"/>
          <w:b/>
          <w:bCs/>
          <w:color w:val="0D0D0D" w:themeColor="text1" w:themeTint="F2"/>
          <w:lang w:eastAsia="es-ES"/>
        </w:rPr>
        <w:t xml:space="preserve">La clasificación de la información (p. 70): </w:t>
      </w:r>
      <w:r w:rsidRPr="005C5F89">
        <w:rPr>
          <w:rFonts w:eastAsia="Times New Roman" w:cs="Arial"/>
          <w:bCs/>
          <w:color w:val="0D0D0D" w:themeColor="text1" w:themeTint="F2"/>
          <w:lang w:eastAsia="es-ES"/>
        </w:rPr>
        <w:t>Es el proceso o conjunto de acciones que realizan los sujetos obligados para establecer que determinada información se encuentra en alguno de los supuestos de reserva o confidencialidad establecidos en la legislación en materia de transparencia.</w:t>
      </w:r>
    </w:p>
    <w:p w:rsidRPr="005C5F89" w:rsidR="0017321E" w:rsidP="003A7290" w:rsidRDefault="0017321E" w14:paraId="161AE678" w14:textId="77777777">
      <w:pPr>
        <w:spacing w:after="0" w:line="360" w:lineRule="auto"/>
        <w:rPr>
          <w:rFonts w:eastAsia="Times New Roman" w:cs="Tahoma"/>
          <w:color w:val="0D0D0D" w:themeColor="text1" w:themeTint="F2"/>
          <w:lang w:eastAsia="es-MX"/>
        </w:rPr>
      </w:pPr>
    </w:p>
    <w:p w:rsidRPr="005C5F89" w:rsidR="0017321E" w:rsidP="003A7290" w:rsidRDefault="0017321E" w14:paraId="21084DEE" w14:textId="77777777">
      <w:pPr>
        <w:spacing w:after="0" w:line="360" w:lineRule="auto"/>
        <w:rPr>
          <w:rFonts w:eastAsia="Times New Roman" w:cs="Tahoma"/>
          <w:b/>
          <w:bCs/>
          <w:iCs/>
          <w:color w:val="0D0D0D" w:themeColor="text1" w:themeTint="F2"/>
          <w:lang w:val="es-ES" w:eastAsia="es-MX"/>
        </w:rPr>
      </w:pPr>
      <w:r w:rsidRPr="005C5F89">
        <w:rPr>
          <w:rFonts w:eastAsia="Times New Roman" w:cs="Tahoma"/>
          <w:color w:val="0D0D0D" w:themeColor="text1" w:themeTint="F2"/>
          <w:lang w:eastAsia="es-MX"/>
        </w:rPr>
        <w:t>En ese orden de ideas y en atención a lo anterior, es de señalar que l</w:t>
      </w:r>
      <w:r w:rsidRPr="005C5F89">
        <w:rPr>
          <w:rFonts w:eastAsia="Times New Roman" w:cs="Tahoma"/>
          <w:color w:val="0D0D0D" w:themeColor="text1" w:themeTint="F2"/>
          <w:lang w:val="es-ES" w:eastAsia="es-MX"/>
        </w:rPr>
        <w:t xml:space="preserve">as </w:t>
      </w:r>
      <w:r w:rsidRPr="005C5F89">
        <w:rPr>
          <w:rFonts w:eastAsia="Times New Roman" w:cs="Tahoma"/>
          <w:bCs/>
          <w:iCs/>
          <w:color w:val="0D0D0D" w:themeColor="text1" w:themeTint="F2"/>
          <w:lang w:val="es-ES" w:eastAsia="es-MX"/>
        </w:rPr>
        <w:t xml:space="preserve">excepciones al derecho de acceso a la información, consisten en que la documentación sea inexistente, </w:t>
      </w:r>
      <w:r w:rsidRPr="005C5F89">
        <w:rPr>
          <w:rFonts w:eastAsia="Times New Roman" w:cs="Tahoma"/>
          <w:b/>
          <w:bCs/>
          <w:iCs/>
          <w:color w:val="0D0D0D" w:themeColor="text1" w:themeTint="F2"/>
          <w:lang w:val="es-ES" w:eastAsia="es-MX"/>
        </w:rPr>
        <w:t>se encuentre clasificada</w:t>
      </w:r>
      <w:r w:rsidRPr="005C5F89">
        <w:rPr>
          <w:rFonts w:eastAsia="Times New Roman" w:cs="Tahoma"/>
          <w:bCs/>
          <w:iCs/>
          <w:color w:val="0D0D0D" w:themeColor="text1" w:themeTint="F2"/>
          <w:lang w:val="es-ES" w:eastAsia="es-MX"/>
        </w:rPr>
        <w:t xml:space="preserve">, o bien, el Sujeto Obligado sea incompetente para contar con esta; esto es, la negativa de acceso a la información, recae cuando la documentación no se encuentre en los archivos del sujeto obligado, o bien exista, pero no pueda proporcionarse por contener datos </w:t>
      </w:r>
      <w:r w:rsidRPr="005C5F89">
        <w:rPr>
          <w:rFonts w:eastAsia="Times New Roman" w:cs="Tahoma"/>
          <w:b/>
          <w:bCs/>
          <w:iCs/>
          <w:color w:val="0D0D0D" w:themeColor="text1" w:themeTint="F2"/>
          <w:lang w:val="es-ES" w:eastAsia="es-MX"/>
        </w:rPr>
        <w:t>confidenciales o reservados.</w:t>
      </w:r>
    </w:p>
    <w:p w:rsidRPr="005C5F89" w:rsidR="0017321E" w:rsidP="003A7290" w:rsidRDefault="0017321E" w14:paraId="56A2701D" w14:textId="77777777">
      <w:pPr>
        <w:spacing w:after="0" w:line="360" w:lineRule="auto"/>
        <w:rPr>
          <w:rFonts w:eastAsia="Times New Roman" w:cs="Tahoma"/>
          <w:bCs/>
          <w:iCs/>
          <w:color w:val="0D0D0D" w:themeColor="text1" w:themeTint="F2"/>
          <w:lang w:val="es-ES" w:eastAsia="es-MX"/>
        </w:rPr>
      </w:pPr>
    </w:p>
    <w:p w:rsidRPr="005C5F89" w:rsidR="0017321E" w:rsidP="003A7290" w:rsidRDefault="0017321E" w14:paraId="30B3DB68" w14:textId="77777777">
      <w:pPr>
        <w:spacing w:after="0" w:line="360" w:lineRule="auto"/>
        <w:rPr>
          <w:rFonts w:eastAsia="Times New Roman" w:cs="Tahoma"/>
          <w:color w:val="0D0D0D" w:themeColor="text1" w:themeTint="F2"/>
          <w:lang w:val="es-ES" w:eastAsia="es-MX"/>
        </w:rPr>
      </w:pPr>
      <w:r w:rsidRPr="005C5F89">
        <w:rPr>
          <w:rFonts w:eastAsia="Times New Roman" w:cs="Tahoma"/>
          <w:color w:val="0D0D0D" w:themeColor="text1" w:themeTint="F2"/>
          <w:lang w:eastAsia="es-MX"/>
        </w:rPr>
        <w:t xml:space="preserve">Así, en los artículos 122, 128 y 130 de la Ley Transparencia y Acceso a la Información Pública del Estado de México y Municipios, se prevé que </w:t>
      </w:r>
      <w:r w:rsidRPr="005C5F89">
        <w:rPr>
          <w:rFonts w:eastAsia="Times New Roman" w:cs="Tahoma"/>
          <w:b/>
          <w:color w:val="0D0D0D" w:themeColor="text1" w:themeTint="F2"/>
          <w:lang w:eastAsia="es-MX"/>
        </w:rPr>
        <w:t xml:space="preserve">la clasificación </w:t>
      </w:r>
      <w:r w:rsidRPr="005C5F89">
        <w:rPr>
          <w:rFonts w:eastAsia="Times New Roman" w:cs="Tahoma"/>
          <w:color w:val="0D0D0D" w:themeColor="text1" w:themeTint="F2"/>
          <w:lang w:eastAsia="es-MX"/>
        </w:rPr>
        <w:t xml:space="preserve">es el proceso mediante el cual los sujetos obligados determinan que la información en su poder, actualiza alguno de </w:t>
      </w:r>
      <w:r w:rsidRPr="005C5F89">
        <w:rPr>
          <w:rFonts w:eastAsia="Times New Roman" w:cs="Tahoma"/>
          <w:color w:val="0D0D0D" w:themeColor="text1" w:themeTint="F2"/>
          <w:lang w:eastAsia="es-MX"/>
        </w:rPr>
        <w:lastRenderedPageBreak/>
        <w:t xml:space="preserve">los supuestos de reserva o confidencialidad. </w:t>
      </w:r>
      <w:r w:rsidRPr="005C5F89">
        <w:rPr>
          <w:rFonts w:eastAsia="Times New Roman" w:cs="Tahoma"/>
          <w:color w:val="0D0D0D" w:themeColor="text1" w:themeTint="F2"/>
          <w:lang w:val="es-ES" w:eastAsia="es-MX"/>
        </w:rPr>
        <w:t>Además, que dichos entes deberán aplicar de manera restrictiva y limitada, las excepciones al derecho de acceso a la información, por lo que, tendrán que acreditar la procedencia.</w:t>
      </w:r>
    </w:p>
    <w:p w:rsidRPr="005C5F89" w:rsidR="0017321E" w:rsidP="003A7290" w:rsidRDefault="0017321E" w14:paraId="7EF4FA92" w14:textId="77777777">
      <w:pPr>
        <w:spacing w:after="0" w:line="360" w:lineRule="auto"/>
        <w:rPr>
          <w:rFonts w:eastAsia="Times New Roman" w:cs="Tahoma"/>
          <w:color w:val="0D0D0D" w:themeColor="text1" w:themeTint="F2"/>
          <w:lang w:eastAsia="es-MX"/>
        </w:rPr>
      </w:pPr>
    </w:p>
    <w:p w:rsidRPr="005C5F89" w:rsidR="0017321E" w:rsidP="003A7290" w:rsidRDefault="0017321E" w14:paraId="173DB26C" w14:textId="77777777">
      <w:pPr>
        <w:spacing w:after="0" w:line="360" w:lineRule="auto"/>
        <w:rPr>
          <w:rFonts w:eastAsia="Times New Roman" w:cs="Tahoma"/>
          <w:color w:val="0D0D0D" w:themeColor="text1" w:themeTint="F2"/>
          <w:lang w:val="es-ES" w:eastAsia="es-MX"/>
        </w:rPr>
      </w:pPr>
      <w:r w:rsidRPr="005C5F89">
        <w:rPr>
          <w:rFonts w:eastAsia="Times New Roman" w:cs="Tahoma"/>
          <w:color w:val="0D0D0D" w:themeColor="text1" w:themeTint="F2"/>
          <w:lang w:val="es-ES" w:eastAsia="es-MX"/>
        </w:rPr>
        <w:t xml:space="preserve">Por lo cual, en los casos en que se niegue el acceso a la información, por actualizarse alguno de los supuestos de clasificación, </w:t>
      </w:r>
      <w:r w:rsidRPr="005C5F89">
        <w:rPr>
          <w:rFonts w:eastAsia="Times New Roman" w:cs="Tahoma"/>
          <w:b/>
          <w:color w:val="0D0D0D" w:themeColor="text1" w:themeTint="F2"/>
          <w:lang w:val="es-ES" w:eastAsia="es-MX"/>
        </w:rPr>
        <w:t xml:space="preserve">el Comité de Transparencia deberá confirmar, modificar o revocar la decisión; </w:t>
      </w:r>
      <w:r w:rsidRPr="005C5F89">
        <w:rPr>
          <w:rFonts w:eastAsia="Times New Roman" w:cs="Tahoma"/>
          <w:color w:val="0D0D0D" w:themeColor="text1" w:themeTint="F2"/>
          <w:lang w:val="es-ES" w:eastAsia="es-MX"/>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rsidRPr="005C5F89" w:rsidR="0017321E" w:rsidP="003A7290" w:rsidRDefault="0017321E" w14:paraId="34F2849E" w14:textId="77777777">
      <w:pPr>
        <w:spacing w:after="0" w:line="360" w:lineRule="auto"/>
        <w:rPr>
          <w:rFonts w:eastAsia="Times New Roman" w:cs="Tahoma"/>
          <w:color w:val="0D0D0D" w:themeColor="text1" w:themeTint="F2"/>
          <w:lang w:val="es-ES" w:eastAsia="es-MX"/>
        </w:rPr>
      </w:pPr>
    </w:p>
    <w:p w:rsidRPr="005C5F89" w:rsidR="0017321E" w:rsidP="003A7290" w:rsidRDefault="0017321E" w14:paraId="56D681C1" w14:textId="77777777">
      <w:pPr>
        <w:spacing w:after="0" w:line="360" w:lineRule="auto"/>
        <w:rPr>
          <w:rFonts w:eastAsia="Times New Roman" w:cs="Arial"/>
          <w:b/>
          <w:bCs/>
          <w:color w:val="0D0D0D" w:themeColor="text1" w:themeTint="F2"/>
          <w:lang w:eastAsia="es-ES"/>
        </w:rPr>
      </w:pPr>
      <w:r w:rsidRPr="005C5F89">
        <w:rPr>
          <w:rFonts w:eastAsia="Times New Roman" w:cs="Tahoma"/>
          <w:color w:val="0D0D0D" w:themeColor="text1" w:themeTint="F2"/>
          <w:lang w:val="es-ES" w:eastAsia="es-ES"/>
        </w:rPr>
        <w:t xml:space="preserve">Por su parte, </w:t>
      </w:r>
      <w:r w:rsidRPr="005C5F89">
        <w:rPr>
          <w:rFonts w:eastAsia="Times New Roman" w:cs="Arial"/>
          <w:bCs/>
          <w:color w:val="0D0D0D" w:themeColor="text1" w:themeTint="F2"/>
          <w:lang w:eastAsia="es-ES"/>
        </w:rPr>
        <w:t xml:space="preserve">según Bonifaz, Leticia (2016), en la “Ley General de Transparencia y Acceso a la Información Pública Comentada” (p. 342), la </w:t>
      </w:r>
      <w:r w:rsidRPr="005C5F89">
        <w:rPr>
          <w:rFonts w:eastAsia="Times New Roman" w:cs="Arial"/>
          <w:b/>
          <w:bCs/>
          <w:color w:val="0D0D0D" w:themeColor="text1" w:themeTint="F2"/>
          <w:lang w:eastAsia="es-ES"/>
        </w:rPr>
        <w:t>clasificación de la información</w:t>
      </w:r>
      <w:r w:rsidRPr="005C5F89">
        <w:rPr>
          <w:rFonts w:eastAsia="Times New Roman" w:cs="Arial"/>
          <w:bCs/>
          <w:color w:val="0D0D0D" w:themeColor="text1" w:themeTint="F2"/>
          <w:lang w:eastAsia="es-ES"/>
        </w:rP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5C5F89">
        <w:rPr>
          <w:rFonts w:eastAsia="Times New Roman" w:cs="Arial"/>
          <w:b/>
          <w:bCs/>
          <w:color w:val="0D0D0D" w:themeColor="text1" w:themeTint="F2"/>
          <w:lang w:eastAsia="es-ES"/>
        </w:rPr>
        <w:t>de manera adecuada la negativa de información.</w:t>
      </w:r>
    </w:p>
    <w:p w:rsidRPr="005C5F89" w:rsidR="0017321E" w:rsidP="003A7290" w:rsidRDefault="0017321E" w14:paraId="7E3CB994" w14:textId="77777777">
      <w:pPr>
        <w:spacing w:after="0" w:line="360" w:lineRule="auto"/>
        <w:rPr>
          <w:rFonts w:eastAsia="Calibri" w:cs="Tahoma"/>
          <w:bCs/>
          <w:color w:val="0D0D0D" w:themeColor="text1" w:themeTint="F2"/>
        </w:rPr>
      </w:pPr>
    </w:p>
    <w:p w:rsidRPr="005C5F89" w:rsidR="0017321E" w:rsidP="003A7290" w:rsidRDefault="0017321E" w14:paraId="7AA85541" w14:textId="47890C5C">
      <w:pPr>
        <w:spacing w:after="0" w:line="360" w:lineRule="auto"/>
        <w:rPr>
          <w:rFonts w:eastAsia="Calibri" w:cs="Tahoma"/>
          <w:bCs/>
          <w:color w:val="0D0D0D" w:themeColor="text1" w:themeTint="F2"/>
        </w:rPr>
      </w:pPr>
      <w:r w:rsidRPr="005C5F89">
        <w:rPr>
          <w:rFonts w:eastAsia="Calibri" w:cs="Tahoma"/>
          <w:bCs/>
          <w:color w:val="0D0D0D" w:themeColor="text1" w:themeTint="F2"/>
        </w:rPr>
        <w:t xml:space="preserve">Conforme a lo anterior, en el presente caso, el Ayuntamiento de </w:t>
      </w:r>
      <w:r w:rsidRPr="005C5F89" w:rsidR="003B4B06">
        <w:rPr>
          <w:rFonts w:eastAsia="Calibri" w:cs="Tahoma"/>
          <w:bCs/>
          <w:color w:val="0D0D0D" w:themeColor="text1" w:themeTint="F2"/>
        </w:rPr>
        <w:t>Toluc</w:t>
      </w:r>
      <w:r w:rsidRPr="005C5F89">
        <w:rPr>
          <w:rFonts w:eastAsia="Calibri" w:cs="Tahoma"/>
          <w:bCs/>
          <w:color w:val="0D0D0D" w:themeColor="text1" w:themeTint="F2"/>
        </w:rPr>
        <w:t xml:space="preserve">a, </w:t>
      </w:r>
      <w:r w:rsidRPr="005C5F89">
        <w:rPr>
          <w:rFonts w:eastAsia="Times New Roman" w:cs="Tahoma"/>
          <w:color w:val="0D0D0D" w:themeColor="text1" w:themeTint="F2"/>
          <w:lang w:eastAsia="es-MX"/>
        </w:rPr>
        <w:t>no señaló que era inexistente la información; al contrario, precisó que no podía proporcionarla al ser reservada; esto es, aludió a una clasificación; al respecto</w:t>
      </w:r>
      <w:r w:rsidRPr="005C5F89">
        <w:rPr>
          <w:rFonts w:eastAsia="Calibri" w:cs="Tahoma"/>
          <w:bCs/>
          <w:color w:val="0D0D0D" w:themeColor="text1" w:themeTint="F2"/>
        </w:rPr>
        <w:t xml:space="preserve">, el </w:t>
      </w:r>
      <w:r w:rsidRPr="005C5F89">
        <w:rPr>
          <w:rFonts w:eastAsia="Calibri" w:cs="Tahoma"/>
          <w:b/>
          <w:color w:val="0D0D0D" w:themeColor="text1" w:themeTint="F2"/>
        </w:rPr>
        <w:t>Criterio 29/10</w:t>
      </w:r>
      <w:r w:rsidRPr="005C5F89">
        <w:rPr>
          <w:rFonts w:eastAsia="Calibri" w:cs="Tahoma"/>
          <w:bCs/>
          <w:color w:val="0D0D0D" w:themeColor="text1" w:themeTint="F2"/>
        </w:rPr>
        <w:t>, emitido por el Pleno del entonces Instituto Federal de Acceso a la Información y Protección de Datos, precisa lo siguiente:</w:t>
      </w:r>
    </w:p>
    <w:p w:rsidRPr="005C5F89" w:rsidR="0017321E" w:rsidP="003A7290" w:rsidRDefault="0017321E" w14:paraId="26DB8D6F" w14:textId="77777777">
      <w:pPr>
        <w:spacing w:after="0" w:line="360" w:lineRule="auto"/>
        <w:rPr>
          <w:rFonts w:eastAsia="Calibri" w:cs="Tahoma"/>
          <w:bCs/>
          <w:color w:val="0D0D0D" w:themeColor="text1" w:themeTint="F2"/>
        </w:rPr>
      </w:pPr>
    </w:p>
    <w:p w:rsidRPr="005C5F89" w:rsidR="0017321E" w:rsidP="003A7290" w:rsidRDefault="0017321E" w14:paraId="4FCDA7AD" w14:textId="77777777">
      <w:pPr>
        <w:spacing w:after="0" w:line="360" w:lineRule="auto"/>
        <w:ind w:left="567" w:right="567"/>
        <w:rPr>
          <w:rFonts w:eastAsia="Calibri" w:cs="Tahoma"/>
          <w:bCs/>
          <w:i/>
          <w:color w:val="0D0D0D" w:themeColor="text1" w:themeTint="F2"/>
          <w:sz w:val="20"/>
        </w:rPr>
      </w:pPr>
      <w:r w:rsidRPr="005C5F89">
        <w:rPr>
          <w:rFonts w:eastAsia="Calibri" w:cs="Tahoma"/>
          <w:b/>
          <w:bCs/>
          <w:i/>
          <w:color w:val="0D0D0D" w:themeColor="text1" w:themeTint="F2"/>
          <w:sz w:val="20"/>
        </w:rPr>
        <w:t>“La clasificación y la inexistencia de información son conceptos que no pueden coexistir.</w:t>
      </w:r>
      <w:r w:rsidRPr="005C5F89">
        <w:rPr>
          <w:rFonts w:eastAsia="Calibri" w:cs="Tahoma"/>
          <w:bCs/>
          <w:i/>
          <w:color w:val="0D0D0D" w:themeColor="text1" w:themeTint="F2"/>
          <w:sz w:val="20"/>
        </w:rPr>
        <w:t xml:space="preserve"> La inexistencia implica necesariamente que la información no se encuentra en los archivos de la autoridad, no obstante que la dependencia o entidad cuente con facultades para poseer dicha </w:t>
      </w:r>
      <w:r w:rsidRPr="005C5F89">
        <w:rPr>
          <w:rFonts w:eastAsia="Calibri" w:cs="Tahoma"/>
          <w:bCs/>
          <w:i/>
          <w:color w:val="0D0D0D" w:themeColor="text1" w:themeTint="F2"/>
          <w:sz w:val="20"/>
        </w:rPr>
        <w:lastRenderedPageBreak/>
        <w:t xml:space="preserve">información. En este sentido, la inexistencia es una calidad que se atribuye a la información solicitada. Por su parte, la clasificación es una característica que adquiere la información concreta </w:t>
      </w:r>
      <w:proofErr w:type="gramStart"/>
      <w:r w:rsidRPr="005C5F89">
        <w:rPr>
          <w:rFonts w:eastAsia="Calibri" w:cs="Tahoma"/>
          <w:bCs/>
          <w:i/>
          <w:color w:val="0D0D0D" w:themeColor="text1" w:themeTint="F2"/>
          <w:sz w:val="20"/>
        </w:rPr>
        <w:t>contenida  en</w:t>
      </w:r>
      <w:proofErr w:type="gramEnd"/>
      <w:r w:rsidRPr="005C5F89">
        <w:rPr>
          <w:rFonts w:eastAsia="Calibri" w:cs="Tahoma"/>
          <w:bCs/>
          <w:i/>
          <w:color w:val="0D0D0D" w:themeColor="text1" w:themeTint="F2"/>
          <w:sz w:val="20"/>
        </w:rPr>
        <w:t xml:space="preserve">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p>
    <w:p w:rsidRPr="005C5F89" w:rsidR="0017321E" w:rsidP="003A7290" w:rsidRDefault="0017321E" w14:paraId="1FA67536" w14:textId="77777777">
      <w:pPr>
        <w:spacing w:after="0" w:line="360" w:lineRule="auto"/>
        <w:jc w:val="left"/>
        <w:rPr>
          <w:rFonts w:eastAsia="Calibri" w:cs="Tahoma"/>
          <w:bCs/>
          <w:color w:val="0D0D0D" w:themeColor="text1" w:themeTint="F2"/>
        </w:rPr>
      </w:pPr>
    </w:p>
    <w:p w:rsidRPr="005C5F89" w:rsidR="0017321E" w:rsidP="003A7290" w:rsidRDefault="0017321E" w14:paraId="4FEB5888" w14:textId="77777777">
      <w:pPr>
        <w:spacing w:after="0" w:line="360" w:lineRule="auto"/>
        <w:rPr>
          <w:rFonts w:eastAsia="Calibri" w:cs="Tahoma"/>
          <w:bCs/>
          <w:color w:val="0D0D0D" w:themeColor="text1" w:themeTint="F2"/>
        </w:rPr>
      </w:pPr>
      <w:r w:rsidRPr="005C5F89">
        <w:rPr>
          <w:rFonts w:eastAsia="Calibri" w:cs="Tahoma"/>
          <w:bCs/>
          <w:color w:val="0D0D0D" w:themeColor="text1" w:themeTint="F2"/>
        </w:rPr>
        <w:t>Del citado criterio, se advierte que la clasificación y la inexistencia no coexisten entre sí, en virtud de que la primera implica la existencia de un documento o documentos determinados, mientras que la segunda conlleva a la ausencia de los mismos en los archivos de la dependencia o entidad de que se trate.</w:t>
      </w:r>
    </w:p>
    <w:p w:rsidRPr="005C5F89" w:rsidR="0017321E" w:rsidP="003A7290" w:rsidRDefault="0017321E" w14:paraId="12B030ED" w14:textId="77777777">
      <w:pPr>
        <w:spacing w:after="0" w:line="360" w:lineRule="auto"/>
        <w:rPr>
          <w:rFonts w:eastAsia="Calibri" w:cs="Tahoma"/>
          <w:bCs/>
          <w:color w:val="0D0D0D" w:themeColor="text1" w:themeTint="F2"/>
        </w:rPr>
      </w:pPr>
    </w:p>
    <w:p w:rsidRPr="005C5F89" w:rsidR="0017321E" w:rsidP="003A7290" w:rsidRDefault="0017321E" w14:paraId="0C51AD92" w14:textId="77777777">
      <w:pPr>
        <w:spacing w:after="0" w:line="360" w:lineRule="auto"/>
        <w:rPr>
          <w:rFonts w:eastAsia="Times New Roman" w:cs="Tahoma"/>
          <w:b/>
          <w:color w:val="0D0D0D" w:themeColor="text1" w:themeTint="F2"/>
          <w:lang w:eastAsia="es-ES"/>
        </w:rPr>
      </w:pPr>
      <w:r w:rsidRPr="005C5F89">
        <w:rPr>
          <w:rFonts w:eastAsia="Calibri" w:cs="Tahoma"/>
          <w:bCs/>
          <w:color w:val="0D0D0D" w:themeColor="text1" w:themeTint="F2"/>
        </w:rPr>
        <w:t>En ese sen</w:t>
      </w:r>
      <w:r w:rsidRPr="005C5F89">
        <w:rPr>
          <w:rFonts w:eastAsia="Times New Roman" w:cs="Tahoma"/>
          <w:color w:val="0D0D0D" w:themeColor="text1" w:themeTint="F2"/>
          <w:lang w:eastAsia="es-ES"/>
        </w:rPr>
        <w:t xml:space="preserve">tido, conforme al 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5C5F89">
        <w:rPr>
          <w:rFonts w:eastAsia="Times New Roman" w:cs="Tahoma"/>
          <w:b/>
          <w:color w:val="0D0D0D" w:themeColor="text1" w:themeTint="F2"/>
          <w:lang w:eastAsia="es-ES"/>
        </w:rPr>
        <w:t>análisis caso por caso.</w:t>
      </w:r>
    </w:p>
    <w:p w:rsidRPr="005C5F89" w:rsidR="0017321E" w:rsidP="003A7290" w:rsidRDefault="0017321E" w14:paraId="347C79BB" w14:textId="77777777">
      <w:pPr>
        <w:spacing w:after="0" w:line="360" w:lineRule="auto"/>
        <w:rPr>
          <w:rFonts w:eastAsia="Times New Roman" w:cs="Tahoma"/>
          <w:b/>
          <w:color w:val="0D0D0D" w:themeColor="text1" w:themeTint="F2"/>
          <w:lang w:eastAsia="es-ES"/>
        </w:rPr>
      </w:pPr>
    </w:p>
    <w:p w:rsidRPr="005C5F89" w:rsidR="0017321E" w:rsidP="003A7290" w:rsidRDefault="0017321E" w14:paraId="2656BD8C" w14:textId="77777777">
      <w:pPr>
        <w:spacing w:after="0" w:line="360" w:lineRule="auto"/>
        <w:rPr>
          <w:rFonts w:eastAsia="Times New Roman" w:cs="Tahoma"/>
          <w:color w:val="0D0D0D" w:themeColor="text1" w:themeTint="F2"/>
          <w:lang w:eastAsia="es-ES"/>
        </w:rPr>
      </w:pPr>
      <w:r w:rsidRPr="005C5F89">
        <w:rPr>
          <w:rFonts w:eastAsia="Times New Roman" w:cs="Tahoma"/>
          <w:color w:val="0D0D0D" w:themeColor="text1" w:themeTint="F2"/>
          <w:lang w:eastAsia="es-ES"/>
        </w:rPr>
        <w:t xml:space="preserve">Además, el artículo 131 de la Ley referida, así como el Quinto de los Lineamientos Generales, establecen que los sujetos obligados </w:t>
      </w:r>
      <w:r w:rsidRPr="005C5F89">
        <w:rPr>
          <w:rFonts w:eastAsia="Times New Roman" w:cs="Tahoma"/>
          <w:b/>
          <w:color w:val="0D0D0D" w:themeColor="text1" w:themeTint="F2"/>
          <w:lang w:eastAsia="es-ES"/>
        </w:rPr>
        <w:t>deberán fundar y motivar</w:t>
      </w:r>
      <w:r w:rsidRPr="005C5F89">
        <w:rPr>
          <w:rFonts w:eastAsia="Times New Roman" w:cs="Tahoma"/>
          <w:color w:val="0D0D0D" w:themeColor="text1" w:themeTint="F2"/>
          <w:lang w:eastAsia="es-ES"/>
        </w:rPr>
        <w:t xml:space="preserve"> debidamente la clasificación de la información.</w:t>
      </w:r>
    </w:p>
    <w:p w:rsidRPr="005C5F89" w:rsidR="0017321E" w:rsidP="003A7290" w:rsidRDefault="0017321E" w14:paraId="68B269B1" w14:textId="77777777">
      <w:pPr>
        <w:spacing w:after="0" w:line="360" w:lineRule="auto"/>
        <w:rPr>
          <w:rFonts w:eastAsia="Times New Roman" w:cs="Tahoma"/>
          <w:b/>
          <w:color w:val="0D0D0D" w:themeColor="text1" w:themeTint="F2"/>
          <w:lang w:eastAsia="es-ES"/>
        </w:rPr>
      </w:pPr>
    </w:p>
    <w:p w:rsidRPr="005C5F89" w:rsidR="0017321E" w:rsidP="003A7290" w:rsidRDefault="0017321E" w14:paraId="1F8D903B" w14:textId="77777777">
      <w:pPr>
        <w:spacing w:after="0" w:line="360" w:lineRule="auto"/>
        <w:rPr>
          <w:rFonts w:eastAsia="Times New Roman" w:cs="Tahoma"/>
          <w:bCs/>
          <w:iCs/>
          <w:color w:val="0D0D0D" w:themeColor="text1" w:themeTint="F2"/>
          <w:lang w:eastAsia="es-ES"/>
        </w:rPr>
      </w:pPr>
      <w:r w:rsidRPr="005C5F89">
        <w:rPr>
          <w:rFonts w:eastAsia="Times New Roman" w:cs="Tahoma"/>
          <w:color w:val="0D0D0D" w:themeColor="text1" w:themeTint="F2"/>
          <w:lang w:eastAsia="es-ES"/>
        </w:rPr>
        <w:t>Al respecto, e</w:t>
      </w:r>
      <w:r w:rsidRPr="005C5F89">
        <w:rPr>
          <w:rFonts w:eastAsia="Times New Roman" w:cs="Tahoma"/>
          <w:bCs/>
          <w:iCs/>
          <w:color w:val="0D0D0D" w:themeColor="text1" w:themeTint="F2"/>
          <w:lang w:eastAsia="es-ES"/>
        </w:rPr>
        <w:t>l Octavo de los Lineamientos Generales, precisa lo siguiente:</w:t>
      </w:r>
    </w:p>
    <w:p w:rsidRPr="005C5F89" w:rsidR="0017321E" w:rsidP="003A7290" w:rsidRDefault="0017321E" w14:paraId="14E2F49D" w14:textId="77777777">
      <w:pPr>
        <w:spacing w:after="0" w:line="360" w:lineRule="auto"/>
        <w:rPr>
          <w:rFonts w:eastAsia="Times New Roman" w:cs="Tahoma"/>
          <w:bCs/>
          <w:iCs/>
          <w:color w:val="0D0D0D" w:themeColor="text1" w:themeTint="F2"/>
          <w:lang w:eastAsia="es-ES"/>
        </w:rPr>
      </w:pPr>
    </w:p>
    <w:p w:rsidRPr="005C5F89" w:rsidR="0017321E" w:rsidP="003A7290" w:rsidRDefault="0017321E" w14:paraId="61CEE1F5" w14:textId="77777777">
      <w:pPr>
        <w:numPr>
          <w:ilvl w:val="0"/>
          <w:numId w:val="29"/>
        </w:numPr>
        <w:spacing w:after="0" w:line="360" w:lineRule="auto"/>
        <w:rPr>
          <w:rFonts w:eastAsia="Times New Roman" w:cs="Tahoma"/>
          <w:bCs/>
          <w:color w:val="0D0D0D" w:themeColor="text1" w:themeTint="F2"/>
          <w:lang w:eastAsia="es-ES"/>
        </w:rPr>
      </w:pPr>
      <w:r w:rsidRPr="005C5F89">
        <w:rPr>
          <w:rFonts w:eastAsia="Times New Roman" w:cs="Tahoma"/>
          <w:b/>
          <w:bCs/>
          <w:color w:val="0D0D0D" w:themeColor="text1" w:themeTint="F2"/>
          <w:lang w:eastAsia="es-ES"/>
        </w:rPr>
        <w:t>Para fundar la clasificación</w:t>
      </w:r>
      <w:r w:rsidRPr="005C5F89">
        <w:rPr>
          <w:rFonts w:eastAsia="Times New Roman" w:cs="Tahoma"/>
          <w:bCs/>
          <w:color w:val="0D0D0D" w:themeColor="text1" w:themeTint="F2"/>
          <w:lang w:eastAsia="es-ES"/>
        </w:rPr>
        <w:t xml:space="preserve"> de la información se deberán señalar el artículo, fracción, inciso, párrafo o numeral de la Ley aplicable;</w:t>
      </w:r>
    </w:p>
    <w:p w:rsidRPr="005C5F89" w:rsidR="0017321E" w:rsidP="003A7290" w:rsidRDefault="0017321E" w14:paraId="58BF5350" w14:textId="77777777">
      <w:pPr>
        <w:spacing w:after="0" w:line="360" w:lineRule="auto"/>
        <w:rPr>
          <w:rFonts w:eastAsia="Times New Roman" w:cs="Tahoma"/>
          <w:bCs/>
          <w:color w:val="0D0D0D" w:themeColor="text1" w:themeTint="F2"/>
          <w:lang w:eastAsia="es-ES"/>
        </w:rPr>
      </w:pPr>
    </w:p>
    <w:p w:rsidRPr="005C5F89" w:rsidR="0017321E" w:rsidP="003A7290" w:rsidRDefault="0017321E" w14:paraId="3EEBFFB3" w14:textId="77777777">
      <w:pPr>
        <w:numPr>
          <w:ilvl w:val="0"/>
          <w:numId w:val="29"/>
        </w:numPr>
        <w:spacing w:after="0" w:line="360" w:lineRule="auto"/>
        <w:rPr>
          <w:rFonts w:eastAsia="Times New Roman" w:cs="Tahoma"/>
          <w:bCs/>
          <w:color w:val="0D0D0D" w:themeColor="text1" w:themeTint="F2"/>
          <w:lang w:eastAsia="es-ES"/>
        </w:rPr>
      </w:pPr>
      <w:r w:rsidRPr="005C5F89">
        <w:rPr>
          <w:rFonts w:eastAsia="Times New Roman" w:cs="Tahoma"/>
          <w:b/>
          <w:bCs/>
          <w:color w:val="0D0D0D" w:themeColor="text1" w:themeTint="F2"/>
          <w:lang w:eastAsia="es-ES"/>
        </w:rPr>
        <w:t>Para motivar la clasificación</w:t>
      </w:r>
      <w:r w:rsidRPr="005C5F89">
        <w:rPr>
          <w:rFonts w:eastAsia="Times New Roman" w:cs="Tahoma"/>
          <w:bCs/>
          <w:color w:val="0D0D0D" w:themeColor="text1" w:themeTint="F2"/>
          <w:lang w:eastAsia="es-ES"/>
        </w:rPr>
        <w:t xml:space="preserve"> se deberán indicar las razones y circunstancias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rsidRPr="005C5F89" w:rsidR="0017321E" w:rsidP="003A7290" w:rsidRDefault="0017321E" w14:paraId="7EBD557C" w14:textId="77777777">
      <w:pPr>
        <w:spacing w:after="0" w:line="360" w:lineRule="auto"/>
        <w:ind w:left="720"/>
        <w:contextualSpacing/>
        <w:jc w:val="left"/>
        <w:rPr>
          <w:rFonts w:eastAsia="Times New Roman" w:cs="Tahoma"/>
          <w:bCs/>
          <w:color w:val="0D0D0D" w:themeColor="text1" w:themeTint="F2"/>
          <w:lang w:eastAsia="es-ES"/>
        </w:rPr>
      </w:pPr>
    </w:p>
    <w:p w:rsidRPr="005C5F89" w:rsidR="0017321E" w:rsidP="003A7290" w:rsidRDefault="0017321E" w14:paraId="40855F9F" w14:textId="77777777">
      <w:pPr>
        <w:spacing w:after="0" w:line="360" w:lineRule="auto"/>
        <w:rPr>
          <w:rFonts w:eastAsia="Times New Roman" w:cs="Tahoma"/>
          <w:color w:val="0D0D0D" w:themeColor="text1" w:themeTint="F2"/>
          <w:lang w:eastAsia="es-ES"/>
        </w:rPr>
      </w:pPr>
      <w:r w:rsidRPr="005C5F89">
        <w:rPr>
          <w:rFonts w:eastAsia="Times New Roman" w:cs="Tahoma"/>
          <w:color w:val="0D0D0D" w:themeColor="text1" w:themeTint="F2"/>
          <w:lang w:eastAsia="es-ES"/>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la Tesis aislada número I. 4o. P. 56 P, Octava Época, publicada en el Semanario Judicial de la Federación, Tomo XIV, noviembre de mil novecientos noventa y cuatro, (p. 450), que establece lo siguiente:</w:t>
      </w:r>
    </w:p>
    <w:p w:rsidRPr="005C5F89" w:rsidR="0017321E" w:rsidP="003A7290" w:rsidRDefault="0017321E" w14:paraId="57B22E0D" w14:textId="77777777">
      <w:pPr>
        <w:spacing w:after="0" w:line="360" w:lineRule="auto"/>
        <w:rPr>
          <w:rFonts w:eastAsia="Times New Roman" w:cs="Tahoma"/>
          <w:color w:val="0D0D0D" w:themeColor="text1" w:themeTint="F2"/>
          <w:lang w:eastAsia="es-ES"/>
        </w:rPr>
      </w:pPr>
    </w:p>
    <w:p w:rsidRPr="005C5F89" w:rsidR="0017321E" w:rsidP="003A7290" w:rsidRDefault="0017321E" w14:paraId="699D9A03" w14:textId="77777777">
      <w:pPr>
        <w:spacing w:after="0" w:line="360" w:lineRule="auto"/>
        <w:ind w:left="567" w:right="567"/>
        <w:rPr>
          <w:rFonts w:eastAsia="Times New Roman" w:cs="Tahoma"/>
          <w:i/>
          <w:color w:val="0D0D0D" w:themeColor="text1" w:themeTint="F2"/>
          <w:sz w:val="20"/>
          <w:szCs w:val="20"/>
          <w:lang w:eastAsia="es-ES"/>
        </w:rPr>
      </w:pPr>
      <w:r w:rsidRPr="005C5F89">
        <w:rPr>
          <w:rFonts w:eastAsia="Times New Roman" w:cs="Tahoma"/>
          <w:b/>
          <w:i/>
          <w:color w:val="0D0D0D" w:themeColor="text1" w:themeTint="F2"/>
          <w:sz w:val="20"/>
          <w:szCs w:val="20"/>
          <w:lang w:eastAsia="es-ES"/>
        </w:rPr>
        <w:t xml:space="preserve">“FUNDAMENTACION Y MOTIVACION, CONCEPTO DE. </w:t>
      </w:r>
      <w:r w:rsidRPr="005C5F89">
        <w:rPr>
          <w:rFonts w:eastAsia="Times New Roman" w:cs="Tahoma"/>
          <w:i/>
          <w:color w:val="0D0D0D" w:themeColor="text1" w:themeTint="F2"/>
          <w:sz w:val="20"/>
          <w:szCs w:val="20"/>
          <w:lang w:eastAsia="es-ES"/>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rsidRPr="005C5F89" w:rsidR="0017321E" w:rsidP="003A7290" w:rsidRDefault="0017321E" w14:paraId="5E2A5781" w14:textId="77777777">
      <w:pPr>
        <w:spacing w:after="0" w:line="360" w:lineRule="auto"/>
        <w:rPr>
          <w:rFonts w:eastAsia="Times New Roman" w:cs="Tahoma"/>
          <w:color w:val="0D0D0D" w:themeColor="text1" w:themeTint="F2"/>
          <w:lang w:eastAsia="es-ES"/>
        </w:rPr>
      </w:pPr>
    </w:p>
    <w:p w:rsidRPr="005C5F89" w:rsidR="0017321E" w:rsidP="003A7290" w:rsidRDefault="0017321E" w14:paraId="196BD7B7" w14:textId="77777777">
      <w:pPr>
        <w:spacing w:after="0" w:line="360" w:lineRule="auto"/>
        <w:rPr>
          <w:rFonts w:eastAsia="Times New Roman" w:cs="Tahoma"/>
          <w:color w:val="0D0D0D" w:themeColor="text1" w:themeTint="F2"/>
          <w:lang w:eastAsia="es-ES"/>
        </w:rPr>
      </w:pPr>
      <w:r w:rsidRPr="005C5F89">
        <w:rPr>
          <w:rFonts w:eastAsia="Times New Roman" w:cs="Tahoma"/>
          <w:color w:val="0D0D0D" w:themeColor="text1" w:themeTint="F2"/>
          <w:lang w:eastAsia="es-ES"/>
        </w:rPr>
        <w:t>Conforme a lo anterior, se advierte lo siguiente:</w:t>
      </w:r>
    </w:p>
    <w:p w:rsidRPr="005C5F89" w:rsidR="0017321E" w:rsidP="003A7290" w:rsidRDefault="0017321E" w14:paraId="593F57E1" w14:textId="77777777">
      <w:pPr>
        <w:spacing w:after="0" w:line="360" w:lineRule="auto"/>
        <w:rPr>
          <w:rFonts w:eastAsia="Times New Roman" w:cs="Tahoma"/>
          <w:color w:val="0D0D0D" w:themeColor="text1" w:themeTint="F2"/>
          <w:lang w:eastAsia="es-ES"/>
        </w:rPr>
      </w:pPr>
    </w:p>
    <w:p w:rsidRPr="005C5F89" w:rsidR="0017321E" w:rsidP="003A7290" w:rsidRDefault="0017321E" w14:paraId="6E1B28C1" w14:textId="77777777">
      <w:pPr>
        <w:numPr>
          <w:ilvl w:val="0"/>
          <w:numId w:val="30"/>
        </w:numPr>
        <w:spacing w:after="0" w:line="360" w:lineRule="auto"/>
        <w:jc w:val="left"/>
        <w:rPr>
          <w:rFonts w:eastAsia="Times New Roman" w:cs="Tahoma"/>
          <w:b/>
          <w:color w:val="0D0D0D" w:themeColor="text1" w:themeTint="F2"/>
          <w:lang w:eastAsia="es-ES"/>
        </w:rPr>
      </w:pPr>
      <w:r w:rsidRPr="005C5F89">
        <w:rPr>
          <w:rFonts w:eastAsia="Times New Roman" w:cs="Tahoma"/>
          <w:b/>
          <w:color w:val="0D0D0D" w:themeColor="text1" w:themeTint="F2"/>
          <w:lang w:eastAsia="es-ES"/>
        </w:rPr>
        <w:lastRenderedPageBreak/>
        <w:t xml:space="preserve">Fundamentación: </w:t>
      </w:r>
      <w:r w:rsidRPr="005C5F89">
        <w:rPr>
          <w:rFonts w:eastAsia="Times New Roman" w:cs="Tahoma"/>
          <w:color w:val="0D0D0D" w:themeColor="text1" w:themeTint="F2"/>
          <w:lang w:eastAsia="es-ES"/>
        </w:rPr>
        <w:t>Obligación de la autoridad que emite un acto, para citar los preceptos legales, sustantivos y adjetivos, en que se apoye para la determinación tomada.</w:t>
      </w:r>
    </w:p>
    <w:p w:rsidRPr="005C5F89" w:rsidR="0017321E" w:rsidP="003A7290" w:rsidRDefault="0017321E" w14:paraId="22F76209" w14:textId="77777777">
      <w:pPr>
        <w:spacing w:after="0" w:line="360" w:lineRule="auto"/>
        <w:ind w:left="720"/>
        <w:contextualSpacing/>
        <w:rPr>
          <w:rFonts w:eastAsia="Times New Roman" w:cs="Tahoma"/>
          <w:b/>
          <w:color w:val="0D0D0D" w:themeColor="text1" w:themeTint="F2"/>
          <w:lang w:eastAsia="es-ES"/>
        </w:rPr>
      </w:pPr>
    </w:p>
    <w:p w:rsidRPr="005C5F89" w:rsidR="0017321E" w:rsidP="003A7290" w:rsidRDefault="0017321E" w14:paraId="0778B8BB" w14:textId="77777777">
      <w:pPr>
        <w:numPr>
          <w:ilvl w:val="0"/>
          <w:numId w:val="30"/>
        </w:numPr>
        <w:spacing w:after="0" w:line="360" w:lineRule="auto"/>
        <w:jc w:val="left"/>
        <w:rPr>
          <w:rFonts w:eastAsia="Times New Roman" w:cs="Tahoma"/>
          <w:b/>
          <w:color w:val="0D0D0D" w:themeColor="text1" w:themeTint="F2"/>
          <w:lang w:eastAsia="es-ES"/>
        </w:rPr>
      </w:pPr>
      <w:r w:rsidRPr="005C5F89">
        <w:rPr>
          <w:rFonts w:eastAsia="Times New Roman" w:cs="Tahoma"/>
          <w:b/>
          <w:color w:val="0D0D0D" w:themeColor="text1" w:themeTint="F2"/>
          <w:lang w:eastAsia="es-ES"/>
        </w:rPr>
        <w:t xml:space="preserve">Motivación: </w:t>
      </w:r>
      <w:r w:rsidRPr="005C5F89">
        <w:rPr>
          <w:rFonts w:eastAsia="Times New Roman" w:cs="Tahoma"/>
          <w:color w:val="0D0D0D" w:themeColor="text1" w:themeTint="F2"/>
          <w:lang w:eastAsia="es-ES"/>
        </w:rPr>
        <w:t>Razonamientos lógico-jurídicos sobre porque se consideró en el caso en concreto, que se ajusta a la hipótesis normativa.</w:t>
      </w:r>
    </w:p>
    <w:p w:rsidRPr="005C5F89" w:rsidR="0017321E" w:rsidP="003A7290" w:rsidRDefault="0017321E" w14:paraId="3D53A005" w14:textId="77777777">
      <w:pPr>
        <w:spacing w:after="0" w:line="360" w:lineRule="auto"/>
        <w:rPr>
          <w:rFonts w:eastAsia="Times New Roman" w:cs="Tahoma"/>
          <w:color w:val="0D0D0D" w:themeColor="text1" w:themeTint="F2"/>
          <w:lang w:eastAsia="es-ES"/>
        </w:rPr>
      </w:pPr>
    </w:p>
    <w:p w:rsidRPr="005C5F89" w:rsidR="0017321E" w:rsidP="003A7290" w:rsidRDefault="0017321E" w14:paraId="4C2EC199" w14:textId="77777777">
      <w:pPr>
        <w:spacing w:after="0" w:line="360" w:lineRule="auto"/>
        <w:rPr>
          <w:rFonts w:eastAsia="Times New Roman" w:cs="Tahoma"/>
          <w:color w:val="0D0D0D" w:themeColor="text1" w:themeTint="F2"/>
          <w:lang w:val="es-ES" w:eastAsia="es-ES"/>
        </w:rPr>
      </w:pPr>
      <w:r w:rsidRPr="005C5F89">
        <w:rPr>
          <w:rFonts w:eastAsia="Times New Roman" w:cs="Tahoma"/>
          <w:color w:val="0D0D0D" w:themeColor="text1" w:themeTint="F2"/>
          <w:lang w:val="es-ES" w:eastAsia="es-ES"/>
        </w:rPr>
        <w:t>En ese orden de ideas, el Trigésimo tercero de los Lineamientos Generales, establece la forma en que se debe fundamentar y motivar la reserva de la información, es decir, a través de los siguientes pasos:</w:t>
      </w:r>
    </w:p>
    <w:p w:rsidRPr="005C5F89" w:rsidR="0017321E" w:rsidP="003A7290" w:rsidRDefault="0017321E" w14:paraId="38C5E5FF" w14:textId="77777777">
      <w:pPr>
        <w:spacing w:after="0" w:line="360" w:lineRule="auto"/>
        <w:rPr>
          <w:rFonts w:eastAsia="Times New Roman" w:cs="Tahoma"/>
          <w:color w:val="0D0D0D" w:themeColor="text1" w:themeTint="F2"/>
          <w:sz w:val="20"/>
          <w:lang w:eastAsia="es-ES"/>
        </w:rPr>
      </w:pPr>
    </w:p>
    <w:p w:rsidRPr="005C5F89" w:rsidR="0017321E" w:rsidP="003A7290" w:rsidRDefault="0017321E" w14:paraId="1B153231" w14:textId="77777777">
      <w:pPr>
        <w:numPr>
          <w:ilvl w:val="0"/>
          <w:numId w:val="31"/>
        </w:numPr>
        <w:spacing w:after="0" w:line="360" w:lineRule="auto"/>
        <w:contextualSpacing/>
        <w:rPr>
          <w:rFonts w:eastAsia="Times New Roman" w:cs="Tahoma"/>
          <w:color w:val="0D0D0D" w:themeColor="text1" w:themeTint="F2"/>
          <w:lang w:eastAsia="es-ES"/>
        </w:rPr>
      </w:pPr>
      <w:r w:rsidRPr="005C5F89">
        <w:rPr>
          <w:rFonts w:eastAsia="Times New Roman" w:cs="Tahoma"/>
          <w:color w:val="0D0D0D" w:themeColor="text1" w:themeTint="F2"/>
          <w:lang w:eastAsia="es-ES"/>
        </w:rPr>
        <w:t xml:space="preserve">Se deberá citar la fracción y, en su caso, la causal aplicable de las Ley General de Transparencia y Acceso a la Información Pública o, en el presente caso, de la Ley de Transparencia y Acceso a la Información Pública del Estado de México y Municipios, vinculándola con el Lineamiento específico; </w:t>
      </w:r>
    </w:p>
    <w:p w:rsidRPr="005C5F89" w:rsidR="0017321E" w:rsidP="003A7290" w:rsidRDefault="0017321E" w14:paraId="17335161" w14:textId="77777777">
      <w:pPr>
        <w:spacing w:after="0" w:line="360" w:lineRule="auto"/>
        <w:ind w:left="720"/>
        <w:contextualSpacing/>
        <w:rPr>
          <w:rFonts w:eastAsia="Times New Roman" w:cs="Tahoma"/>
          <w:color w:val="0D0D0D" w:themeColor="text1" w:themeTint="F2"/>
          <w:lang w:eastAsia="es-ES"/>
        </w:rPr>
      </w:pPr>
    </w:p>
    <w:p w:rsidRPr="005C5F89" w:rsidR="0017321E" w:rsidP="003A7290" w:rsidRDefault="0017321E" w14:paraId="26C5A5F8" w14:textId="77777777">
      <w:pPr>
        <w:numPr>
          <w:ilvl w:val="0"/>
          <w:numId w:val="31"/>
        </w:numPr>
        <w:spacing w:after="0" w:line="360" w:lineRule="auto"/>
        <w:contextualSpacing/>
        <w:rPr>
          <w:rFonts w:eastAsia="Times New Roman" w:cs="Tahoma"/>
          <w:color w:val="0D0D0D" w:themeColor="text1" w:themeTint="F2"/>
          <w:lang w:val="es-ES" w:eastAsia="es-ES"/>
        </w:rPr>
      </w:pPr>
      <w:r w:rsidRPr="005C5F89">
        <w:rPr>
          <w:rFonts w:eastAsia="Times New Roman" w:cs="Tahoma"/>
          <w:color w:val="0D0D0D" w:themeColor="text1" w:themeTint="F2"/>
          <w:lang w:val="es-ES" w:eastAsia="es-ES"/>
        </w:rPr>
        <w:t>Se deberá demostrar que la publicidad de la información generaría un riesgo de perjuicio, que rebasa el interés público;</w:t>
      </w:r>
    </w:p>
    <w:p w:rsidRPr="005C5F89" w:rsidR="0017321E" w:rsidP="003A7290" w:rsidRDefault="0017321E" w14:paraId="5E1B3A06" w14:textId="77777777">
      <w:pPr>
        <w:numPr>
          <w:ilvl w:val="0"/>
          <w:numId w:val="31"/>
        </w:numPr>
        <w:spacing w:after="0" w:line="360" w:lineRule="auto"/>
        <w:contextualSpacing/>
        <w:rPr>
          <w:rFonts w:eastAsia="Times New Roman" w:cs="Tahoma"/>
          <w:color w:val="0D0D0D" w:themeColor="text1" w:themeTint="F2"/>
          <w:lang w:val="es-ES" w:eastAsia="es-ES"/>
        </w:rPr>
      </w:pPr>
      <w:r w:rsidRPr="005C5F89">
        <w:rPr>
          <w:rFonts w:eastAsia="Times New Roman" w:cs="Tahoma"/>
          <w:color w:val="0D0D0D" w:themeColor="text1" w:themeTint="F2"/>
          <w:lang w:val="es-ES" w:eastAsia="es-ES"/>
        </w:rPr>
        <w:t>Se acreditará el vínculo entre la difusión de la información y la afectación del interés jurídico tutelado;</w:t>
      </w:r>
    </w:p>
    <w:p w:rsidRPr="005C5F89" w:rsidR="0017321E" w:rsidP="003A7290" w:rsidRDefault="0017321E" w14:paraId="558DDA09" w14:textId="77777777">
      <w:pPr>
        <w:spacing w:after="0" w:line="360" w:lineRule="auto"/>
        <w:ind w:left="720"/>
        <w:contextualSpacing/>
        <w:rPr>
          <w:rFonts w:eastAsia="Times New Roman" w:cs="Tahoma"/>
          <w:color w:val="0D0D0D" w:themeColor="text1" w:themeTint="F2"/>
          <w:lang w:val="es-ES" w:eastAsia="es-ES"/>
        </w:rPr>
      </w:pPr>
    </w:p>
    <w:p w:rsidRPr="005C5F89" w:rsidR="0017321E" w:rsidP="003A7290" w:rsidRDefault="0017321E" w14:paraId="3DF26DA7" w14:textId="77777777">
      <w:pPr>
        <w:numPr>
          <w:ilvl w:val="0"/>
          <w:numId w:val="31"/>
        </w:numPr>
        <w:spacing w:after="0" w:line="360" w:lineRule="auto"/>
        <w:contextualSpacing/>
        <w:rPr>
          <w:rFonts w:eastAsia="Times New Roman" w:cs="Tahoma"/>
          <w:color w:val="0D0D0D" w:themeColor="text1" w:themeTint="F2"/>
          <w:lang w:val="es-ES" w:eastAsia="es-ES"/>
        </w:rPr>
      </w:pPr>
      <w:r w:rsidRPr="005C5F89">
        <w:rPr>
          <w:rFonts w:eastAsia="Times New Roman" w:cs="Tahoma"/>
          <w:color w:val="0D0D0D" w:themeColor="text1" w:themeTint="F2"/>
          <w:lang w:val="es-ES" w:eastAsia="es-ES"/>
        </w:rPr>
        <w:t>Se precisará las razones objetivas por las que la apertura de la información generaría una afectación, por medio del riesgo real, demostrable e identificable;</w:t>
      </w:r>
    </w:p>
    <w:p w:rsidRPr="005C5F89" w:rsidR="0017321E" w:rsidP="003A7290" w:rsidRDefault="0017321E" w14:paraId="1865661A" w14:textId="77777777">
      <w:pPr>
        <w:spacing w:after="0" w:line="360" w:lineRule="auto"/>
        <w:ind w:left="720"/>
        <w:contextualSpacing/>
        <w:rPr>
          <w:rFonts w:eastAsia="Times New Roman" w:cs="Tahoma"/>
          <w:color w:val="0D0D0D" w:themeColor="text1" w:themeTint="F2"/>
          <w:lang w:val="es-ES" w:eastAsia="es-ES"/>
        </w:rPr>
      </w:pPr>
    </w:p>
    <w:p w:rsidRPr="005C5F89" w:rsidR="0017321E" w:rsidP="003A7290" w:rsidRDefault="0017321E" w14:paraId="050AC366" w14:textId="77777777">
      <w:pPr>
        <w:numPr>
          <w:ilvl w:val="0"/>
          <w:numId w:val="31"/>
        </w:numPr>
        <w:spacing w:after="0" w:line="360" w:lineRule="auto"/>
        <w:contextualSpacing/>
        <w:rPr>
          <w:rFonts w:eastAsia="Times New Roman" w:cs="Tahoma"/>
          <w:color w:val="0D0D0D" w:themeColor="text1" w:themeTint="F2"/>
          <w:lang w:val="es-ES" w:eastAsia="es-ES"/>
        </w:rPr>
      </w:pPr>
      <w:r w:rsidRPr="005C5F89">
        <w:rPr>
          <w:rFonts w:eastAsia="Times New Roman" w:cs="Tahoma"/>
          <w:color w:val="0D0D0D" w:themeColor="text1" w:themeTint="F2"/>
          <w:lang w:val="es-ES" w:eastAsia="es-ES"/>
        </w:rPr>
        <w:t>Se deberán señalar las circunstancias de modo, tiempo y lugar del daño, y</w:t>
      </w:r>
    </w:p>
    <w:p w:rsidRPr="005C5F89" w:rsidR="0017321E" w:rsidP="003A7290" w:rsidRDefault="0017321E" w14:paraId="08F6CC44" w14:textId="77777777">
      <w:pPr>
        <w:spacing w:after="0" w:line="360" w:lineRule="auto"/>
        <w:ind w:left="720"/>
        <w:contextualSpacing/>
        <w:rPr>
          <w:rFonts w:eastAsia="Times New Roman" w:cs="Tahoma"/>
          <w:color w:val="0D0D0D" w:themeColor="text1" w:themeTint="F2"/>
          <w:lang w:val="es-ES" w:eastAsia="es-ES"/>
        </w:rPr>
      </w:pPr>
    </w:p>
    <w:p w:rsidRPr="005C5F89" w:rsidR="0017321E" w:rsidP="003A7290" w:rsidRDefault="0017321E" w14:paraId="7F07069F" w14:textId="77777777">
      <w:pPr>
        <w:numPr>
          <w:ilvl w:val="0"/>
          <w:numId w:val="31"/>
        </w:numPr>
        <w:spacing w:after="0" w:line="360" w:lineRule="auto"/>
        <w:contextualSpacing/>
        <w:rPr>
          <w:rFonts w:eastAsia="Times New Roman" w:cs="Tahoma"/>
          <w:color w:val="0D0D0D" w:themeColor="text1" w:themeTint="F2"/>
          <w:lang w:val="es-ES" w:eastAsia="es-ES"/>
        </w:rPr>
      </w:pPr>
      <w:r w:rsidRPr="005C5F89">
        <w:rPr>
          <w:rFonts w:eastAsia="Times New Roman" w:cs="Tahoma"/>
          <w:color w:val="0D0D0D" w:themeColor="text1" w:themeTint="F2"/>
          <w:lang w:val="es-ES" w:eastAsia="es-ES"/>
        </w:rPr>
        <w:lastRenderedPageBreak/>
        <w:t>Se elegirá la opción de excepción al acceso a la información que menos restrinja, la cual será adecuada y proporcional para la protección del interés público.</w:t>
      </w:r>
    </w:p>
    <w:p w:rsidRPr="005C5F89" w:rsidR="0017321E" w:rsidP="003A7290" w:rsidRDefault="0017321E" w14:paraId="4B95EB43" w14:textId="77777777">
      <w:pPr>
        <w:spacing w:after="0" w:line="360" w:lineRule="auto"/>
        <w:rPr>
          <w:rFonts w:eastAsia="Times New Roman" w:cs="Tahoma"/>
          <w:color w:val="0D0D0D" w:themeColor="text1" w:themeTint="F2"/>
          <w:lang w:val="es-ES" w:eastAsia="es-ES"/>
        </w:rPr>
      </w:pPr>
    </w:p>
    <w:p w:rsidRPr="005C5F89" w:rsidR="0017321E" w:rsidP="003A7290" w:rsidRDefault="0017321E" w14:paraId="33011DF0" w14:textId="77777777">
      <w:pPr>
        <w:spacing w:after="0" w:line="360" w:lineRule="auto"/>
        <w:rPr>
          <w:rFonts w:eastAsia="Times New Roman" w:cs="Tahoma"/>
          <w:bCs/>
          <w:noProof/>
          <w:color w:val="0D0D0D" w:themeColor="text1" w:themeTint="F2"/>
          <w:lang w:eastAsia="es-ES"/>
        </w:rPr>
      </w:pPr>
    </w:p>
    <w:p w:rsidRPr="005C5F89" w:rsidR="0017321E" w:rsidP="003A7290" w:rsidRDefault="0017321E" w14:paraId="4CE64FFC" w14:textId="5FD0AB43">
      <w:pPr>
        <w:spacing w:after="0" w:line="360" w:lineRule="auto"/>
        <w:rPr>
          <w:rFonts w:eastAsia="Times New Roman" w:cs="Tahoma"/>
          <w:bCs/>
          <w:noProof/>
          <w:color w:val="0D0D0D" w:themeColor="text1" w:themeTint="F2"/>
          <w:lang w:eastAsia="es-ES"/>
        </w:rPr>
      </w:pPr>
      <w:r w:rsidRPr="005C5F89">
        <w:rPr>
          <w:rFonts w:eastAsia="Times New Roman" w:cs="Tahoma"/>
          <w:bCs/>
          <w:noProof/>
          <w:color w:val="0D0D0D" w:themeColor="text1" w:themeTint="F2"/>
          <w:lang w:eastAsia="es-ES"/>
        </w:rPr>
        <w:t xml:space="preserve">Ahora bien, durante la sustanciación del Medio de Impugnación, el Sujeto Obligado proporcionó el Acta del Comité de Transparencia, por medio del cual emitió el Acuerdo </w:t>
      </w:r>
      <w:r w:rsidRPr="005C5F89" w:rsidR="008330D0">
        <w:rPr>
          <w:rFonts w:eastAsia="Times New Roman" w:cs="Tahoma"/>
          <w:bCs/>
          <w:noProof/>
          <w:color w:val="0D0D0D" w:themeColor="text1" w:themeTint="F2"/>
          <w:lang w:eastAsia="es-ES"/>
        </w:rPr>
        <w:t>AT/CT/01/2022</w:t>
      </w:r>
      <w:r w:rsidRPr="005C5F89">
        <w:rPr>
          <w:rFonts w:eastAsia="Times New Roman" w:cs="Tahoma"/>
          <w:bCs/>
          <w:noProof/>
          <w:color w:val="0D0D0D" w:themeColor="text1" w:themeTint="F2"/>
          <w:lang w:eastAsia="es-ES"/>
        </w:rPr>
        <w:t xml:space="preserve">, </w:t>
      </w:r>
      <w:r w:rsidRPr="005C5F89" w:rsidR="008330D0">
        <w:rPr>
          <w:rFonts w:eastAsia="Times New Roman" w:cs="Tahoma"/>
          <w:bCs/>
          <w:noProof/>
          <w:color w:val="0D0D0D" w:themeColor="text1" w:themeTint="F2"/>
          <w:lang w:eastAsia="es-ES"/>
        </w:rPr>
        <w:t>en el cual</w:t>
      </w:r>
      <w:r w:rsidRPr="005C5F89">
        <w:rPr>
          <w:rFonts w:eastAsia="Times New Roman" w:cs="Tahoma"/>
          <w:bCs/>
          <w:noProof/>
          <w:color w:val="0D0D0D" w:themeColor="text1" w:themeTint="F2"/>
          <w:lang w:eastAsia="es-ES"/>
        </w:rPr>
        <w:t xml:space="preserve"> confirmó la clasificación </w:t>
      </w:r>
      <w:r w:rsidRPr="005C5F89" w:rsidR="008330D0">
        <w:rPr>
          <w:rFonts w:eastAsia="Times New Roman" w:cs="Tahoma"/>
          <w:bCs/>
          <w:noProof/>
          <w:color w:val="0D0D0D" w:themeColor="text1" w:themeTint="F2"/>
          <w:lang w:eastAsia="es-ES"/>
        </w:rPr>
        <w:t>de lo peticionado, tal como se observa a continuación:</w:t>
      </w:r>
    </w:p>
    <w:p w:rsidRPr="005C5F89" w:rsidR="0017321E" w:rsidP="003A7290" w:rsidRDefault="0017321E" w14:paraId="3A97618C" w14:textId="211496BE">
      <w:pPr>
        <w:spacing w:after="0" w:line="360" w:lineRule="auto"/>
        <w:jc w:val="center"/>
        <w:rPr>
          <w:rFonts w:eastAsia="Times New Roman" w:cs="Tahoma"/>
          <w:bCs/>
          <w:noProof/>
          <w:color w:val="0D0D0D" w:themeColor="text1" w:themeTint="F2"/>
          <w:lang w:eastAsia="es-ES"/>
        </w:rPr>
      </w:pPr>
    </w:p>
    <w:p w:rsidRPr="005C5F89" w:rsidR="008330D0" w:rsidP="003A7290" w:rsidRDefault="008330D0" w14:paraId="2DE7B1C5" w14:textId="0051F3C6">
      <w:pPr>
        <w:spacing w:after="0" w:line="360" w:lineRule="auto"/>
        <w:jc w:val="center"/>
        <w:rPr>
          <w:rFonts w:eastAsia="Times New Roman" w:cs="Tahoma"/>
          <w:bCs/>
          <w:noProof/>
          <w:color w:val="0D0D0D" w:themeColor="text1" w:themeTint="F2"/>
          <w:lang w:eastAsia="es-ES"/>
        </w:rPr>
      </w:pPr>
    </w:p>
    <w:p w:rsidRPr="005C5F89" w:rsidR="0017321E" w:rsidP="003A7290" w:rsidRDefault="008330D0" w14:paraId="5C85FA05" w14:textId="614CC52C">
      <w:pPr>
        <w:spacing w:after="0" w:line="360" w:lineRule="auto"/>
        <w:jc w:val="center"/>
        <w:rPr>
          <w:rFonts w:eastAsia="Times New Roman" w:cs="Tahoma"/>
          <w:bCs/>
          <w:color w:val="0D0D0D" w:themeColor="text1" w:themeTint="F2"/>
          <w:lang w:eastAsia="es-ES"/>
        </w:rPr>
      </w:pPr>
      <w:r w:rsidRPr="005C5F89">
        <w:rPr>
          <w:noProof/>
        </w:rPr>
        <w:drawing>
          <wp:inline distT="0" distB="0" distL="0" distR="0" wp14:anchorId="26F9CB86" wp14:editId="67C5DEA5">
            <wp:extent cx="2889945" cy="2171700"/>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08278" cy="2185477"/>
                    </a:xfrm>
                    <a:prstGeom prst="rect">
                      <a:avLst/>
                    </a:prstGeom>
                  </pic:spPr>
                </pic:pic>
              </a:graphicData>
            </a:graphic>
          </wp:inline>
        </w:drawing>
      </w:r>
    </w:p>
    <w:p w:rsidRPr="005C5F89" w:rsidR="008330D0" w:rsidP="003A7290" w:rsidRDefault="008330D0" w14:paraId="59350BBD" w14:textId="0775ABAE">
      <w:pPr>
        <w:spacing w:after="0" w:line="360" w:lineRule="auto"/>
        <w:jc w:val="center"/>
        <w:rPr>
          <w:rFonts w:eastAsia="Times New Roman" w:cs="Tahoma"/>
          <w:bCs/>
          <w:color w:val="0D0D0D" w:themeColor="text1" w:themeTint="F2"/>
          <w:lang w:eastAsia="es-ES"/>
        </w:rPr>
      </w:pPr>
      <w:r w:rsidRPr="005C5F89">
        <w:rPr>
          <w:rFonts w:eastAsia="Times New Roman" w:cs="Tahoma"/>
          <w:bCs/>
          <w:color w:val="0D0D0D" w:themeColor="text1" w:themeTint="F2"/>
          <w:lang w:eastAsia="es-ES"/>
        </w:rPr>
        <w:t>…</w:t>
      </w:r>
    </w:p>
    <w:p w:rsidRPr="005C5F89" w:rsidR="008330D0" w:rsidP="003A7290" w:rsidRDefault="008330D0" w14:paraId="1F207237" w14:textId="7CCB5CB4">
      <w:pPr>
        <w:spacing w:after="0" w:line="360" w:lineRule="auto"/>
        <w:jc w:val="center"/>
        <w:rPr>
          <w:rFonts w:eastAsia="Times New Roman" w:cs="Tahoma"/>
          <w:bCs/>
          <w:color w:val="0D0D0D" w:themeColor="text1" w:themeTint="F2"/>
          <w:lang w:eastAsia="es-ES"/>
        </w:rPr>
      </w:pPr>
      <w:r w:rsidRPr="005C5F89">
        <w:rPr>
          <w:noProof/>
        </w:rPr>
        <w:lastRenderedPageBreak/>
        <w:drawing>
          <wp:inline distT="0" distB="0" distL="0" distR="0" wp14:anchorId="20B0569C" wp14:editId="1F642E31">
            <wp:extent cx="3419475" cy="2240818"/>
            <wp:effectExtent l="0" t="0" r="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24654" cy="2244212"/>
                    </a:xfrm>
                    <a:prstGeom prst="rect">
                      <a:avLst/>
                    </a:prstGeom>
                  </pic:spPr>
                </pic:pic>
              </a:graphicData>
            </a:graphic>
          </wp:inline>
        </w:drawing>
      </w:r>
    </w:p>
    <w:p w:rsidRPr="005C5F89" w:rsidR="0017321E" w:rsidP="003A7290" w:rsidRDefault="0017321E" w14:paraId="1AD57A92" w14:textId="77777777">
      <w:pPr>
        <w:spacing w:after="0" w:line="360" w:lineRule="auto"/>
        <w:rPr>
          <w:rFonts w:eastAsia="Calibri" w:cs="Tahoma"/>
          <w:bCs/>
          <w:color w:val="0D0D0D" w:themeColor="text1" w:themeTint="F2"/>
        </w:rPr>
      </w:pPr>
    </w:p>
    <w:p w:rsidRPr="005C5F89" w:rsidR="0017321E" w:rsidP="003A7290" w:rsidRDefault="0017321E" w14:paraId="0ACBE3F9" w14:textId="0B259AC2">
      <w:pPr>
        <w:spacing w:after="0" w:line="360" w:lineRule="auto"/>
        <w:rPr>
          <w:rFonts w:eastAsia="Calibri" w:cs="Tahoma"/>
          <w:bCs/>
          <w:color w:val="0D0D0D" w:themeColor="text1" w:themeTint="F2"/>
        </w:rPr>
      </w:pPr>
      <w:r w:rsidRPr="005C5F89">
        <w:rPr>
          <w:rFonts w:eastAsia="Calibri" w:cs="Tahoma"/>
          <w:bCs/>
          <w:color w:val="0D0D0D" w:themeColor="text1" w:themeTint="F2"/>
        </w:rPr>
        <w:t>Ahora bien, del análisis del Acuerdo proporcionado, se logra vislumbrar que el Comité de Transparencia, no fundamentó, ni motivó la clasificación de la información, de manera correcta, en primera instancia, toda vez que resulta confusa la fundamentación y motivación utilizada por el Sujeto Obligado, pues mientras que en la presentación de clasificación como reservada, se ciñe al análisis del artículo 140, fracciones I</w:t>
      </w:r>
      <w:r w:rsidRPr="005C5F89" w:rsidR="008330D0">
        <w:rPr>
          <w:rFonts w:eastAsia="Calibri" w:cs="Tahoma"/>
          <w:bCs/>
          <w:color w:val="0D0D0D" w:themeColor="text1" w:themeTint="F2"/>
        </w:rPr>
        <w:t xml:space="preserve"> y</w:t>
      </w:r>
      <w:r w:rsidRPr="005C5F89">
        <w:rPr>
          <w:rFonts w:eastAsia="Calibri" w:cs="Tahoma"/>
          <w:bCs/>
          <w:color w:val="0D0D0D" w:themeColor="text1" w:themeTint="F2"/>
        </w:rPr>
        <w:t xml:space="preserve"> IV de la Ley de Local, en la prueba de daño proporcionada por el área con la que cuenta la información y en el acuerdo únicamente refirió </w:t>
      </w:r>
      <w:r w:rsidRPr="005C5F89" w:rsidR="008330D0">
        <w:rPr>
          <w:rFonts w:eastAsia="Calibri" w:cs="Tahoma"/>
          <w:bCs/>
          <w:color w:val="0D0D0D" w:themeColor="text1" w:themeTint="F2"/>
        </w:rPr>
        <w:t>a otras fracciones</w:t>
      </w:r>
      <w:r w:rsidRPr="005C5F89">
        <w:rPr>
          <w:rFonts w:eastAsia="Calibri" w:cs="Tahoma"/>
          <w:bCs/>
          <w:color w:val="0D0D0D" w:themeColor="text1" w:themeTint="F2"/>
        </w:rPr>
        <w:t>; por lo que, se considera lo siguiente:</w:t>
      </w:r>
    </w:p>
    <w:p w:rsidRPr="005C5F89" w:rsidR="0017321E" w:rsidP="003A7290" w:rsidRDefault="0017321E" w14:paraId="4AF56C06" w14:textId="77777777">
      <w:pPr>
        <w:spacing w:after="0" w:line="360" w:lineRule="auto"/>
        <w:rPr>
          <w:rFonts w:eastAsia="Times New Roman" w:cs="Tahoma"/>
          <w:color w:val="0D0D0D" w:themeColor="text1" w:themeTint="F2"/>
          <w:lang w:val="es-ES" w:eastAsia="es-ES"/>
        </w:rPr>
      </w:pPr>
    </w:p>
    <w:p w:rsidRPr="005C5F89" w:rsidR="0017321E" w:rsidP="003A7290" w:rsidRDefault="0017321E" w14:paraId="443DEE3B" w14:textId="77777777">
      <w:pPr>
        <w:numPr>
          <w:ilvl w:val="0"/>
          <w:numId w:val="32"/>
        </w:numPr>
        <w:spacing w:after="0" w:line="360" w:lineRule="auto"/>
        <w:contextualSpacing/>
        <w:rPr>
          <w:rFonts w:eastAsia="Calibri" w:cs="Tahoma"/>
          <w:bCs/>
          <w:color w:val="0D0D0D" w:themeColor="text1" w:themeTint="F2"/>
        </w:rPr>
      </w:pPr>
      <w:r w:rsidRPr="005C5F89">
        <w:rPr>
          <w:rFonts w:eastAsia="Calibri" w:cs="Tahoma"/>
          <w:bCs/>
          <w:color w:val="0D0D0D" w:themeColor="text1" w:themeTint="F2"/>
        </w:rPr>
        <w:t>No señaló de manera clara y precisa los artículos de los ordenamientos jurídicos aplicables.</w:t>
      </w:r>
    </w:p>
    <w:p w:rsidRPr="005C5F89" w:rsidR="0017321E" w:rsidP="003A7290" w:rsidRDefault="0017321E" w14:paraId="16E93549" w14:textId="77777777">
      <w:pPr>
        <w:spacing w:after="0" w:line="360" w:lineRule="auto"/>
        <w:ind w:left="720"/>
        <w:contextualSpacing/>
        <w:jc w:val="left"/>
        <w:rPr>
          <w:rFonts w:eastAsia="Calibri" w:cs="Tahoma"/>
          <w:bCs/>
          <w:color w:val="0D0D0D" w:themeColor="text1" w:themeTint="F2"/>
        </w:rPr>
      </w:pPr>
    </w:p>
    <w:p w:rsidRPr="005C5F89" w:rsidR="0017321E" w:rsidP="003A7290" w:rsidRDefault="0017321E" w14:paraId="0BAE01EC" w14:textId="77777777">
      <w:pPr>
        <w:numPr>
          <w:ilvl w:val="0"/>
          <w:numId w:val="32"/>
        </w:numPr>
        <w:spacing w:after="0" w:line="360" w:lineRule="auto"/>
        <w:contextualSpacing/>
        <w:rPr>
          <w:rFonts w:eastAsia="Calibri" w:cs="Tahoma"/>
          <w:bCs/>
          <w:color w:val="0D0D0D" w:themeColor="text1" w:themeTint="F2"/>
        </w:rPr>
      </w:pPr>
      <w:r w:rsidRPr="005C5F89">
        <w:rPr>
          <w:rFonts w:eastAsia="Calibri" w:cs="Tahoma"/>
          <w:bCs/>
          <w:color w:val="0D0D0D" w:themeColor="text1" w:themeTint="F2"/>
        </w:rPr>
        <w:t>No señaló las razones objetivas, concretas y específicas por las cuales la apertura de la información generaría una afectación que rebase el interés público, pues, el Sujeto Obligado confundió la argumentación, entre diversos supuestos de clasificación distintos.</w:t>
      </w:r>
    </w:p>
    <w:p w:rsidRPr="005C5F89" w:rsidR="0017321E" w:rsidP="003A7290" w:rsidRDefault="0017321E" w14:paraId="2D8C6A64" w14:textId="77777777">
      <w:pPr>
        <w:spacing w:after="0" w:line="360" w:lineRule="auto"/>
        <w:ind w:left="720"/>
        <w:contextualSpacing/>
        <w:jc w:val="left"/>
        <w:rPr>
          <w:rFonts w:eastAsia="Calibri" w:cs="Tahoma"/>
          <w:bCs/>
          <w:color w:val="0D0D0D" w:themeColor="text1" w:themeTint="F2"/>
        </w:rPr>
      </w:pPr>
    </w:p>
    <w:p w:rsidRPr="005C5F89" w:rsidR="0017321E" w:rsidP="003A7290" w:rsidRDefault="0017321E" w14:paraId="7EDA45E2" w14:textId="77777777">
      <w:pPr>
        <w:numPr>
          <w:ilvl w:val="0"/>
          <w:numId w:val="32"/>
        </w:numPr>
        <w:spacing w:after="0" w:line="360" w:lineRule="auto"/>
        <w:contextualSpacing/>
        <w:rPr>
          <w:rFonts w:eastAsia="Times New Roman" w:cs="Tahoma"/>
          <w:color w:val="0D0D0D" w:themeColor="text1" w:themeTint="F2"/>
          <w:lang w:eastAsia="es-ES"/>
        </w:rPr>
      </w:pPr>
      <w:r w:rsidRPr="005C5F89">
        <w:rPr>
          <w:rFonts w:eastAsia="Times New Roman" w:cs="Tahoma"/>
          <w:color w:val="0D0D0D" w:themeColor="text1" w:themeTint="F2"/>
          <w:lang w:eastAsia="es-ES"/>
        </w:rPr>
        <w:lastRenderedPageBreak/>
        <w:t>No acreditó el vínculo entre la información peticionada y la afectación que podría causar a la auditoría realizada por el órgano señalado, pues únicamente precisó que podría afectar el trámite de los procedimientos administrativos.</w:t>
      </w:r>
    </w:p>
    <w:p w:rsidRPr="005C5F89" w:rsidR="0017321E" w:rsidP="003A7290" w:rsidRDefault="0017321E" w14:paraId="16B7DADA" w14:textId="77777777">
      <w:pPr>
        <w:spacing w:after="0" w:line="360" w:lineRule="auto"/>
        <w:ind w:left="720"/>
        <w:contextualSpacing/>
        <w:jc w:val="left"/>
        <w:rPr>
          <w:rFonts w:eastAsia="Calibri" w:cs="Tahoma"/>
          <w:bCs/>
          <w:color w:val="0D0D0D" w:themeColor="text1" w:themeTint="F2"/>
        </w:rPr>
      </w:pPr>
    </w:p>
    <w:p w:rsidRPr="005C5F89" w:rsidR="0017321E" w:rsidP="003A7290" w:rsidRDefault="0017321E" w14:paraId="26539877" w14:textId="77777777">
      <w:pPr>
        <w:numPr>
          <w:ilvl w:val="0"/>
          <w:numId w:val="32"/>
        </w:numPr>
        <w:spacing w:after="0" w:line="360" w:lineRule="auto"/>
        <w:contextualSpacing/>
        <w:rPr>
          <w:rFonts w:eastAsia="Times New Roman" w:cs="Tahoma"/>
          <w:color w:val="0D0D0D" w:themeColor="text1" w:themeTint="F2"/>
          <w:lang w:eastAsia="es-ES"/>
        </w:rPr>
      </w:pPr>
      <w:r w:rsidRPr="005C5F89">
        <w:rPr>
          <w:rFonts w:eastAsia="Calibri" w:cs="Tahoma"/>
          <w:bCs/>
          <w:color w:val="0D0D0D" w:themeColor="text1" w:themeTint="F2"/>
        </w:rPr>
        <w:t>Omitió señalar, las circunstancias de tiempo, modo y lugar del daño que produciría entregar la información peticionada</w:t>
      </w:r>
      <w:r w:rsidRPr="005C5F89">
        <w:rPr>
          <w:rFonts w:eastAsia="Times New Roman" w:cs="Tahoma"/>
          <w:color w:val="0D0D0D" w:themeColor="text1" w:themeTint="F2"/>
          <w:lang w:eastAsia="es-ES"/>
        </w:rPr>
        <w:t>.</w:t>
      </w:r>
    </w:p>
    <w:p w:rsidRPr="005C5F89" w:rsidR="0017321E" w:rsidP="003A7290" w:rsidRDefault="0017321E" w14:paraId="700CDAB4" w14:textId="77777777">
      <w:pPr>
        <w:spacing w:after="0" w:line="360" w:lineRule="auto"/>
        <w:ind w:left="720"/>
        <w:contextualSpacing/>
        <w:jc w:val="left"/>
        <w:rPr>
          <w:rFonts w:eastAsia="Times New Roman" w:cs="Tahoma"/>
          <w:color w:val="0D0D0D" w:themeColor="text1" w:themeTint="F2"/>
          <w:lang w:eastAsia="es-ES"/>
        </w:rPr>
      </w:pPr>
    </w:p>
    <w:p w:rsidRPr="005C5F89" w:rsidR="0017321E" w:rsidP="003A7290" w:rsidRDefault="0017321E" w14:paraId="382F248D" w14:textId="77777777">
      <w:pPr>
        <w:numPr>
          <w:ilvl w:val="0"/>
          <w:numId w:val="32"/>
        </w:numPr>
        <w:spacing w:after="0" w:line="360" w:lineRule="auto"/>
        <w:contextualSpacing/>
        <w:rPr>
          <w:rFonts w:eastAsia="Calibri" w:cs="Tahoma"/>
          <w:bCs/>
          <w:color w:val="0D0D0D" w:themeColor="text1" w:themeTint="F2"/>
        </w:rPr>
      </w:pPr>
      <w:r w:rsidRPr="005C5F89">
        <w:rPr>
          <w:rFonts w:eastAsia="Calibri" w:cs="Tahoma"/>
          <w:bCs/>
          <w:color w:val="0D0D0D" w:themeColor="text1" w:themeTint="F2"/>
        </w:rPr>
        <w:t>No se establecieron las razones, por las cuales la reserva era el medio menos restrictivo, para la protección del interés jurídico.</w:t>
      </w:r>
    </w:p>
    <w:p w:rsidRPr="005C5F89" w:rsidR="0017321E" w:rsidP="003A7290" w:rsidRDefault="0017321E" w14:paraId="039A0420" w14:textId="77777777">
      <w:pPr>
        <w:spacing w:after="0" w:line="360" w:lineRule="auto"/>
        <w:rPr>
          <w:rFonts w:eastAsia="Times New Roman" w:cs="Tahoma"/>
          <w:color w:val="0D0D0D" w:themeColor="text1" w:themeTint="F2"/>
          <w:lang w:val="es-ES" w:eastAsia="es-ES"/>
        </w:rPr>
      </w:pPr>
    </w:p>
    <w:p w:rsidRPr="005C5F89" w:rsidR="008330D0" w:rsidP="003A7290" w:rsidRDefault="0017321E" w14:paraId="5D2950D9" w14:textId="77777777">
      <w:pPr>
        <w:spacing w:after="0" w:line="360" w:lineRule="auto"/>
        <w:rPr>
          <w:rFonts w:eastAsia="Times New Roman" w:cs="Tahoma"/>
          <w:bCs/>
          <w:noProof/>
          <w:color w:val="0D0D0D" w:themeColor="text1" w:themeTint="F2"/>
          <w:lang w:eastAsia="es-ES"/>
        </w:rPr>
      </w:pPr>
      <w:r w:rsidRPr="005C5F89">
        <w:rPr>
          <w:rFonts w:eastAsia="Calibri" w:cs="Tahoma"/>
          <w:bCs/>
          <w:color w:val="0D0D0D" w:themeColor="text1" w:themeTint="F2"/>
        </w:rPr>
        <w:t>Así, se advierte que el Comité de Transparencia, no fundamentó y motivó la reserva, pues no realizó de manera correcta, la prueba de daño, que es la argumentación fundada y motivada que se debe realizar para acreditar que la divulgación de la información lesiona el interés jurídicamente protegido por la normatividad aplicable y que el daño que puede producirse con la publicidad de la información es mayor que el interés de conocerla; por lo que, no se puede validar el Acuerdo emitido por el Sujeto Obligado</w:t>
      </w:r>
      <w:r w:rsidRPr="005C5F89" w:rsidR="008330D0">
        <w:rPr>
          <w:rFonts w:eastAsia="Calibri" w:cs="Tahoma"/>
          <w:bCs/>
          <w:color w:val="0D0D0D" w:themeColor="text1" w:themeTint="F2"/>
        </w:rPr>
        <w:t xml:space="preserve">, </w:t>
      </w:r>
      <w:r w:rsidRPr="005C5F89" w:rsidR="008330D0">
        <w:rPr>
          <w:rFonts w:eastAsia="Times New Roman" w:cs="Tahoma"/>
          <w:color w:val="0D0D0D" w:themeColor="text1" w:themeTint="F2"/>
          <w:lang w:val="es-ES" w:eastAsia="es-ES"/>
        </w:rPr>
        <w:t xml:space="preserve">lo cual da como resultado que el agravio sea </w:t>
      </w:r>
      <w:r w:rsidRPr="005C5F89" w:rsidR="008330D0">
        <w:rPr>
          <w:rFonts w:eastAsia="Times New Roman" w:cs="Tahoma"/>
          <w:b/>
          <w:bCs/>
          <w:color w:val="0D0D0D" w:themeColor="text1" w:themeTint="F2"/>
          <w:lang w:val="es-ES" w:eastAsia="es-ES"/>
        </w:rPr>
        <w:t>FUNDADO.</w:t>
      </w:r>
    </w:p>
    <w:p w:rsidRPr="005C5F89" w:rsidR="008330D0" w:rsidP="003A7290" w:rsidRDefault="008330D0" w14:paraId="306E3D77" w14:textId="77777777">
      <w:pPr>
        <w:spacing w:after="0" w:line="360" w:lineRule="auto"/>
        <w:rPr>
          <w:rFonts w:eastAsia="Calibri" w:cs="Tahoma"/>
          <w:bCs/>
          <w:color w:val="0D0D0D" w:themeColor="text1" w:themeTint="F2"/>
        </w:rPr>
      </w:pPr>
    </w:p>
    <w:p w:rsidRPr="005C5F89" w:rsidR="0017321E" w:rsidP="003A7290" w:rsidRDefault="0017321E" w14:paraId="469CFD5E" w14:textId="1652A03F">
      <w:pPr>
        <w:spacing w:after="0" w:line="360" w:lineRule="auto"/>
        <w:rPr>
          <w:rFonts w:eastAsia="Calibri" w:cs="Tahoma"/>
          <w:bCs/>
          <w:color w:val="0D0D0D" w:themeColor="text1" w:themeTint="F2"/>
        </w:rPr>
      </w:pPr>
      <w:r w:rsidRPr="005C5F89">
        <w:rPr>
          <w:rFonts w:eastAsia="Calibri" w:cs="Tahoma"/>
          <w:bCs/>
          <w:color w:val="0D0D0D" w:themeColor="text1" w:themeTint="F2"/>
        </w:rPr>
        <w:t xml:space="preserve">Así, resulta necesario </w:t>
      </w:r>
      <w:r w:rsidRPr="005C5F89" w:rsidR="008330D0">
        <w:rPr>
          <w:rFonts w:eastAsia="Calibri" w:cs="Tahoma"/>
          <w:bCs/>
          <w:color w:val="0D0D0D" w:themeColor="text1" w:themeTint="F2"/>
        </w:rPr>
        <w:t xml:space="preserve">analizar si la </w:t>
      </w:r>
      <w:r w:rsidRPr="005C5F89" w:rsidR="008330D0">
        <w:rPr>
          <w:rFonts w:eastAsia="Calibri" w:cs="Tahoma"/>
          <w:lang w:val="es-ES" w:eastAsia="es-MX"/>
        </w:rPr>
        <w:t>categoría, adscripción y salario del personal adscrito a la Dirección General de Seguridad y Protección</w:t>
      </w:r>
      <w:r w:rsidRPr="005C5F89">
        <w:rPr>
          <w:rFonts w:eastAsia="Calibri" w:cs="Tahoma"/>
          <w:bCs/>
          <w:color w:val="0D0D0D" w:themeColor="text1" w:themeTint="F2"/>
        </w:rPr>
        <w:t xml:space="preserve"> actualiza alguna de las causales establecidas en el artículo 140, fracci</w:t>
      </w:r>
      <w:r w:rsidRPr="005C5F89" w:rsidR="00773AF1">
        <w:rPr>
          <w:rFonts w:eastAsia="Calibri" w:cs="Tahoma"/>
          <w:bCs/>
          <w:color w:val="0D0D0D" w:themeColor="text1" w:themeTint="F2"/>
        </w:rPr>
        <w:t>o</w:t>
      </w:r>
      <w:r w:rsidRPr="005C5F89">
        <w:rPr>
          <w:rFonts w:eastAsia="Calibri" w:cs="Tahoma"/>
          <w:bCs/>
          <w:color w:val="0D0D0D" w:themeColor="text1" w:themeTint="F2"/>
        </w:rPr>
        <w:t>n</w:t>
      </w:r>
      <w:r w:rsidRPr="005C5F89" w:rsidR="00773AF1">
        <w:rPr>
          <w:rFonts w:eastAsia="Calibri" w:cs="Tahoma"/>
          <w:bCs/>
          <w:color w:val="0D0D0D" w:themeColor="text1" w:themeTint="F2"/>
        </w:rPr>
        <w:t>es</w:t>
      </w:r>
      <w:r w:rsidRPr="005C5F89">
        <w:rPr>
          <w:rFonts w:eastAsia="Calibri" w:cs="Tahoma"/>
          <w:bCs/>
          <w:color w:val="0D0D0D" w:themeColor="text1" w:themeTint="F2"/>
        </w:rPr>
        <w:t xml:space="preserve"> I</w:t>
      </w:r>
      <w:r w:rsidRPr="005C5F89" w:rsidR="00773AF1">
        <w:rPr>
          <w:rFonts w:eastAsia="Calibri" w:cs="Tahoma"/>
          <w:bCs/>
          <w:color w:val="0D0D0D" w:themeColor="text1" w:themeTint="F2"/>
        </w:rPr>
        <w:t xml:space="preserve"> y </w:t>
      </w:r>
      <w:r w:rsidRPr="005C5F89">
        <w:rPr>
          <w:rFonts w:eastAsia="Calibri" w:cs="Tahoma"/>
          <w:bCs/>
          <w:color w:val="0D0D0D" w:themeColor="text1" w:themeTint="F2"/>
        </w:rPr>
        <w:t>IV, de la Ley de la materia.</w:t>
      </w:r>
    </w:p>
    <w:p w:rsidRPr="005C5F89" w:rsidR="004D6EBD" w:rsidP="003A7290" w:rsidRDefault="004D6EBD" w14:paraId="0DC06C3F" w14:textId="2A056BC1">
      <w:pPr>
        <w:spacing w:after="0" w:line="360" w:lineRule="auto"/>
        <w:rPr>
          <w:rFonts w:eastAsia="Times New Roman" w:cs="Tahoma"/>
          <w:bCs/>
          <w:iCs/>
          <w:color w:val="auto"/>
          <w:lang w:eastAsia="es-ES"/>
        </w:rPr>
      </w:pPr>
    </w:p>
    <w:p w:rsidRPr="005C5F89" w:rsidR="00773AF1" w:rsidP="003A7290" w:rsidRDefault="00773AF1" w14:paraId="7F3DD222" w14:textId="77777777">
      <w:pPr>
        <w:spacing w:after="0" w:line="360" w:lineRule="auto"/>
        <w:rPr>
          <w:rFonts w:eastAsia="Calibri" w:cs="Tahoma"/>
          <w:b/>
          <w:color w:val="0D0D0D" w:themeColor="text1" w:themeTint="F2"/>
        </w:rPr>
      </w:pPr>
      <w:r w:rsidRPr="005C5F89">
        <w:rPr>
          <w:rFonts w:eastAsia="Calibri" w:cs="Tahoma"/>
          <w:b/>
          <w:color w:val="0D0D0D" w:themeColor="text1" w:themeTint="F2"/>
        </w:rPr>
        <w:t>Artículo 140, fracción I, de la Ley de Transparencia y Acceso a la Información Pública del Estado de México y Municipios.</w:t>
      </w:r>
    </w:p>
    <w:p w:rsidRPr="005C5F89" w:rsidR="00773AF1" w:rsidP="003A7290" w:rsidRDefault="00773AF1" w14:paraId="01B3566B" w14:textId="77777777">
      <w:pPr>
        <w:spacing w:after="0" w:line="360" w:lineRule="auto"/>
        <w:rPr>
          <w:rFonts w:eastAsia="Calibri" w:cs="Tahoma"/>
          <w:b/>
          <w:color w:val="0D0D0D" w:themeColor="text1" w:themeTint="F2"/>
        </w:rPr>
      </w:pPr>
    </w:p>
    <w:p w:rsidRPr="005C5F89" w:rsidR="00773AF1" w:rsidP="003A7290" w:rsidRDefault="00773AF1" w14:paraId="58070848" w14:textId="77777777">
      <w:pPr>
        <w:tabs>
          <w:tab w:val="left" w:pos="4962"/>
        </w:tabs>
        <w:spacing w:after="0" w:line="360" w:lineRule="auto"/>
        <w:rPr>
          <w:rFonts w:eastAsia="Calibri" w:cs="Tahoma"/>
          <w:iCs/>
          <w:color w:val="auto"/>
          <w:lang w:val="es-ES" w:eastAsia="es-ES_tradnl"/>
        </w:rPr>
      </w:pPr>
      <w:r w:rsidRPr="005C5F89">
        <w:rPr>
          <w:rFonts w:eastAsia="Calibri" w:cs="Tahoma"/>
          <w:iCs/>
          <w:color w:val="auto"/>
          <w:lang w:val="es-ES" w:eastAsia="es-ES_tradnl"/>
        </w:rPr>
        <w:lastRenderedPageBreak/>
        <w:t>El</w:t>
      </w:r>
      <w:r w:rsidRPr="005C5F89">
        <w:rPr>
          <w:rFonts w:eastAsia="Calibri" w:cs="Tahoma"/>
          <w:b/>
          <w:iCs/>
          <w:color w:val="auto"/>
          <w:lang w:val="es-ES" w:eastAsia="es-ES_tradnl"/>
        </w:rPr>
        <w:t xml:space="preserve"> </w:t>
      </w:r>
      <w:r w:rsidRPr="005C5F89">
        <w:rPr>
          <w:rFonts w:eastAsia="Calibri" w:cs="Tahoma"/>
          <w:iCs/>
          <w:color w:val="auto"/>
          <w:lang w:val="es-ES" w:eastAsia="es-ES_tradnl"/>
        </w:rPr>
        <w:t>artículo 140, fracción I, de la Ley de Transparencia y Acceso a la Información Pública del Estado de México y Municipios, (homólogo del artículo 113, fracción I de la Ley General de Transparencia y Acceso a la Información Pública), prevé lo siguiente:</w:t>
      </w:r>
    </w:p>
    <w:p w:rsidRPr="005C5F89" w:rsidR="00773AF1" w:rsidP="003A7290" w:rsidRDefault="00773AF1" w14:paraId="20D5A1F4" w14:textId="77777777">
      <w:pPr>
        <w:tabs>
          <w:tab w:val="left" w:pos="4962"/>
        </w:tabs>
        <w:spacing w:after="0" w:line="360" w:lineRule="auto"/>
        <w:ind w:left="567" w:right="567"/>
        <w:rPr>
          <w:rFonts w:eastAsia="Calibri" w:cs="Tahoma"/>
          <w:i/>
          <w:iCs/>
          <w:color w:val="auto"/>
          <w:sz w:val="20"/>
          <w:szCs w:val="20"/>
          <w:lang w:val="es-ES" w:eastAsia="es-ES_tradnl"/>
        </w:rPr>
      </w:pPr>
    </w:p>
    <w:p w:rsidRPr="005C5F89" w:rsidR="00773AF1" w:rsidP="003A7290" w:rsidRDefault="00773AF1" w14:paraId="3EB2D86B" w14:textId="77777777">
      <w:pPr>
        <w:tabs>
          <w:tab w:val="left" w:pos="4962"/>
        </w:tabs>
        <w:spacing w:after="0" w:line="360" w:lineRule="auto"/>
        <w:ind w:left="567" w:right="567"/>
        <w:rPr>
          <w:rFonts w:eastAsia="Calibri" w:cs="Tahoma"/>
          <w:i/>
          <w:iCs/>
          <w:color w:val="auto"/>
          <w:sz w:val="20"/>
          <w:szCs w:val="20"/>
          <w:lang w:val="es-ES" w:eastAsia="es-ES_tradnl"/>
        </w:rPr>
      </w:pPr>
      <w:r w:rsidRPr="005C5F89">
        <w:rPr>
          <w:rFonts w:eastAsia="Calibri" w:cs="Tahoma"/>
          <w:i/>
          <w:iCs/>
          <w:color w:val="auto"/>
          <w:sz w:val="20"/>
          <w:szCs w:val="20"/>
          <w:lang w:val="es-ES" w:eastAsia="es-ES_tradnl"/>
        </w:rPr>
        <w:t>“</w:t>
      </w:r>
      <w:r w:rsidRPr="005C5F89">
        <w:rPr>
          <w:rFonts w:eastAsia="Calibri" w:cs="Tahoma"/>
          <w:b/>
          <w:i/>
          <w:iCs/>
          <w:color w:val="auto"/>
          <w:sz w:val="20"/>
          <w:szCs w:val="20"/>
          <w:lang w:val="es-ES" w:eastAsia="es-ES_tradnl"/>
        </w:rPr>
        <w:t>Artículo 140.</w:t>
      </w:r>
      <w:r w:rsidRPr="005C5F89">
        <w:rPr>
          <w:rFonts w:eastAsia="Calibri" w:cs="Tahoma"/>
          <w:i/>
          <w:iCs/>
          <w:color w:val="auto"/>
          <w:sz w:val="20"/>
          <w:szCs w:val="20"/>
          <w:lang w:val="es-ES" w:eastAsia="es-ES_tradnl"/>
        </w:rPr>
        <w:t xml:space="preserve"> El acceso a la información pública será restringido excepcionalmente, cuando por razones de interés público, ésta sea clasificada como reservada, conforme a los criterios siguientes: </w:t>
      </w:r>
    </w:p>
    <w:p w:rsidRPr="005C5F89" w:rsidR="00773AF1" w:rsidP="003A7290" w:rsidRDefault="00773AF1" w14:paraId="6E256559" w14:textId="77777777">
      <w:pPr>
        <w:tabs>
          <w:tab w:val="left" w:pos="4962"/>
        </w:tabs>
        <w:spacing w:after="0" w:line="360" w:lineRule="auto"/>
        <w:ind w:left="567" w:right="567"/>
        <w:rPr>
          <w:rFonts w:eastAsia="Calibri" w:cs="Tahoma"/>
          <w:i/>
          <w:iCs/>
          <w:color w:val="auto"/>
          <w:sz w:val="20"/>
          <w:szCs w:val="20"/>
          <w:lang w:val="es-ES" w:eastAsia="es-ES_tradnl"/>
        </w:rPr>
      </w:pPr>
    </w:p>
    <w:p w:rsidRPr="005C5F89" w:rsidR="00773AF1" w:rsidP="003A7290" w:rsidRDefault="00773AF1" w14:paraId="2BADF76D" w14:textId="77777777">
      <w:pPr>
        <w:tabs>
          <w:tab w:val="left" w:pos="4962"/>
        </w:tabs>
        <w:spacing w:after="0" w:line="360" w:lineRule="auto"/>
        <w:ind w:left="567" w:right="567"/>
        <w:rPr>
          <w:rFonts w:eastAsia="Calibri" w:cs="Tahoma"/>
          <w:i/>
          <w:iCs/>
          <w:color w:val="auto"/>
          <w:sz w:val="20"/>
          <w:szCs w:val="20"/>
          <w:lang w:eastAsia="es-ES_tradnl"/>
        </w:rPr>
      </w:pPr>
      <w:r w:rsidRPr="005C5F89">
        <w:rPr>
          <w:rFonts w:eastAsia="Calibri" w:cs="Tahoma"/>
          <w:i/>
          <w:iCs/>
          <w:color w:val="auto"/>
          <w:sz w:val="20"/>
          <w:szCs w:val="20"/>
          <w:lang w:eastAsia="es-ES_tradnl"/>
        </w:rPr>
        <w:t>I. Comprometa la seguridad pública y cuente con un propósito genuino y un efecto demostrable;</w:t>
      </w:r>
    </w:p>
    <w:p w:rsidRPr="005C5F89" w:rsidR="00773AF1" w:rsidP="003A7290" w:rsidRDefault="00773AF1" w14:paraId="4BF9E03F" w14:textId="77777777">
      <w:pPr>
        <w:tabs>
          <w:tab w:val="left" w:pos="4962"/>
        </w:tabs>
        <w:spacing w:after="0" w:line="360" w:lineRule="auto"/>
        <w:ind w:left="567" w:right="567"/>
        <w:rPr>
          <w:rFonts w:eastAsia="Calibri" w:cs="Tahoma"/>
          <w:i/>
          <w:iCs/>
          <w:color w:val="auto"/>
          <w:sz w:val="20"/>
          <w:szCs w:val="20"/>
          <w:lang w:val="es-ES" w:eastAsia="es-ES_tradnl"/>
        </w:rPr>
      </w:pPr>
      <w:r w:rsidRPr="005C5F89">
        <w:rPr>
          <w:rFonts w:eastAsia="Calibri" w:cs="Tahoma"/>
          <w:i/>
          <w:iCs/>
          <w:color w:val="auto"/>
          <w:sz w:val="20"/>
          <w:szCs w:val="20"/>
          <w:lang w:val="es-ES" w:eastAsia="es-ES_tradnl"/>
        </w:rPr>
        <w:t xml:space="preserve">…” </w:t>
      </w:r>
    </w:p>
    <w:p w:rsidRPr="005C5F89" w:rsidR="00773AF1" w:rsidP="003A7290" w:rsidRDefault="00773AF1" w14:paraId="4C1CADF2" w14:textId="77777777">
      <w:pPr>
        <w:tabs>
          <w:tab w:val="left" w:pos="4962"/>
        </w:tabs>
        <w:spacing w:after="0" w:line="360" w:lineRule="auto"/>
        <w:ind w:left="567" w:right="567"/>
        <w:rPr>
          <w:rFonts w:eastAsia="Calibri" w:cs="Tahoma"/>
          <w:iCs/>
          <w:color w:val="auto"/>
          <w:sz w:val="20"/>
          <w:szCs w:val="20"/>
          <w:lang w:val="es-ES" w:eastAsia="es-ES_tradnl"/>
        </w:rPr>
      </w:pPr>
    </w:p>
    <w:p w:rsidRPr="005C5F89" w:rsidR="00773AF1" w:rsidP="003A7290" w:rsidRDefault="00773AF1" w14:paraId="034A0DAF" w14:textId="77777777">
      <w:pPr>
        <w:tabs>
          <w:tab w:val="left" w:pos="4962"/>
        </w:tabs>
        <w:spacing w:after="0" w:line="360" w:lineRule="auto"/>
        <w:rPr>
          <w:rFonts w:eastAsia="Calibri" w:cs="Tahoma"/>
          <w:bCs/>
          <w:iCs/>
          <w:color w:val="auto"/>
          <w:lang w:eastAsia="es-ES_tradnl"/>
        </w:rPr>
      </w:pPr>
      <w:r w:rsidRPr="005C5F89">
        <w:rPr>
          <w:rFonts w:eastAsia="Calibri" w:cs="Tahoma"/>
          <w:iCs/>
          <w:color w:val="auto"/>
          <w:lang w:eastAsia="es-ES_tradnl"/>
        </w:rPr>
        <w:t xml:space="preserve">De dicho precepto normativo se desprende que podrá clasificarse como información reservada aquella cuya publicación comprometa la seguridad pública y cuente con un propósito genuino y un efecto demostrable; por lo que, los </w:t>
      </w:r>
      <w:r w:rsidRPr="005C5F89">
        <w:rPr>
          <w:rFonts w:eastAsia="Calibri" w:cs="Tahoma"/>
          <w:bCs/>
          <w:iCs/>
          <w:color w:val="auto"/>
          <w:lang w:eastAsia="es-ES_tradnl"/>
        </w:rPr>
        <w:t>Lineamientos Generales, disponen:</w:t>
      </w:r>
    </w:p>
    <w:p w:rsidRPr="005C5F89" w:rsidR="00773AF1" w:rsidP="003A7290" w:rsidRDefault="00773AF1" w14:paraId="4AFBB436" w14:textId="77777777">
      <w:pPr>
        <w:spacing w:after="0" w:line="360" w:lineRule="auto"/>
        <w:rPr>
          <w:rFonts w:eastAsia="Calibri" w:cs="Tahoma"/>
          <w:bCs/>
          <w:color w:val="auto"/>
        </w:rPr>
      </w:pPr>
    </w:p>
    <w:p w:rsidRPr="005C5F89" w:rsidR="00773AF1" w:rsidP="003A7290" w:rsidRDefault="00773AF1" w14:paraId="353D59F5" w14:textId="77777777">
      <w:pPr>
        <w:tabs>
          <w:tab w:val="left" w:pos="4962"/>
        </w:tabs>
        <w:spacing w:after="0" w:line="360" w:lineRule="auto"/>
        <w:ind w:left="567" w:right="567"/>
        <w:rPr>
          <w:rFonts w:eastAsia="Calibri" w:cs="Tahoma"/>
          <w:i/>
          <w:iCs/>
          <w:color w:val="auto"/>
          <w:sz w:val="20"/>
          <w:szCs w:val="20"/>
          <w:lang w:eastAsia="es-ES_tradnl"/>
        </w:rPr>
      </w:pPr>
      <w:r w:rsidRPr="005C5F89">
        <w:rPr>
          <w:rFonts w:eastAsia="Calibri" w:cs="Tahoma"/>
          <w:b/>
          <w:iCs/>
          <w:color w:val="auto"/>
          <w:sz w:val="20"/>
          <w:szCs w:val="20"/>
          <w:lang w:val="es-ES" w:eastAsia="es-ES_tradnl"/>
        </w:rPr>
        <w:t>“</w:t>
      </w:r>
      <w:r w:rsidRPr="005C5F89">
        <w:rPr>
          <w:rFonts w:eastAsia="Calibri" w:cs="Tahoma"/>
          <w:b/>
          <w:i/>
          <w:iCs/>
          <w:color w:val="auto"/>
          <w:sz w:val="20"/>
          <w:szCs w:val="20"/>
          <w:lang w:val="es-ES" w:eastAsia="es-ES_tradnl"/>
        </w:rPr>
        <w:t>Décimo octavo.</w:t>
      </w:r>
      <w:r w:rsidRPr="005C5F89">
        <w:rPr>
          <w:rFonts w:eastAsia="Calibri" w:cs="Tahoma"/>
          <w:i/>
          <w:iCs/>
          <w:color w:val="auto"/>
          <w:sz w:val="20"/>
          <w:szCs w:val="20"/>
          <w:lang w:val="es-ES" w:eastAsia="es-ES_tradnl"/>
        </w:rPr>
        <w:t xml:space="preserve"> De conformidad con el artículo 113, fracción I de la Ley General, podrá considerarse como información reservada, aquella que comprometa la seguridad pública, al poner en peligro las funciones a cargo de la Federación, la </w:t>
      </w:r>
      <w:r w:rsidRPr="005C5F89">
        <w:rPr>
          <w:rFonts w:eastAsia="Calibri" w:cs="Tahoma"/>
          <w:i/>
          <w:iCs/>
          <w:color w:val="auto"/>
          <w:sz w:val="20"/>
          <w:szCs w:val="20"/>
          <w:lang w:eastAsia="es-ES_tradnl"/>
        </w:rPr>
        <w:t xml:space="preserve">Ciudad de México, los Estados y los Municipios, tendientes a preservar y resguardar la vida, la salud, la integridad y el ejercicio de los derechos de las personas, así como para el mantenimiento del orden público. </w:t>
      </w:r>
    </w:p>
    <w:p w:rsidRPr="005C5F89" w:rsidR="00773AF1" w:rsidP="003A7290" w:rsidRDefault="00773AF1" w14:paraId="0DB0CA6C" w14:textId="77777777">
      <w:pPr>
        <w:tabs>
          <w:tab w:val="left" w:pos="4962"/>
        </w:tabs>
        <w:spacing w:after="0" w:line="360" w:lineRule="auto"/>
        <w:ind w:left="567" w:right="567"/>
        <w:rPr>
          <w:rFonts w:eastAsia="Calibri" w:cs="Tahoma"/>
          <w:i/>
          <w:iCs/>
          <w:color w:val="auto"/>
          <w:sz w:val="20"/>
          <w:szCs w:val="20"/>
          <w:lang w:eastAsia="es-ES_tradnl"/>
        </w:rPr>
      </w:pPr>
    </w:p>
    <w:p w:rsidRPr="005C5F89" w:rsidR="00773AF1" w:rsidP="003A7290" w:rsidRDefault="00773AF1" w14:paraId="52525079" w14:textId="77777777">
      <w:pPr>
        <w:tabs>
          <w:tab w:val="left" w:pos="4962"/>
        </w:tabs>
        <w:spacing w:after="0" w:line="360" w:lineRule="auto"/>
        <w:ind w:left="567" w:right="567"/>
        <w:rPr>
          <w:rFonts w:eastAsia="Calibri" w:cs="Tahoma"/>
          <w:i/>
          <w:iCs/>
          <w:color w:val="auto"/>
          <w:sz w:val="20"/>
          <w:szCs w:val="20"/>
          <w:lang w:eastAsia="es-ES_tradnl"/>
        </w:rPr>
      </w:pPr>
      <w:r w:rsidRPr="005C5F89">
        <w:rPr>
          <w:rFonts w:eastAsia="Calibri" w:cs="Tahoma"/>
          <w:i/>
          <w:iCs/>
          <w:color w:val="auto"/>
          <w:sz w:val="20"/>
          <w:szCs w:val="20"/>
          <w:lang w:eastAsia="es-ES_tradnl"/>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rsidRPr="005C5F89" w:rsidR="00773AF1" w:rsidP="003A7290" w:rsidRDefault="00773AF1" w14:paraId="3AE6177C" w14:textId="77777777">
      <w:pPr>
        <w:tabs>
          <w:tab w:val="left" w:pos="4962"/>
        </w:tabs>
        <w:spacing w:after="0" w:line="360" w:lineRule="auto"/>
        <w:ind w:left="567" w:right="567"/>
        <w:rPr>
          <w:rFonts w:eastAsia="Calibri" w:cs="Tahoma"/>
          <w:i/>
          <w:iCs/>
          <w:color w:val="auto"/>
          <w:sz w:val="20"/>
          <w:szCs w:val="20"/>
          <w:lang w:eastAsia="es-ES_tradnl"/>
        </w:rPr>
      </w:pPr>
    </w:p>
    <w:p w:rsidRPr="005C5F89" w:rsidR="00773AF1" w:rsidP="003A7290" w:rsidRDefault="00773AF1" w14:paraId="281FCE9C" w14:textId="77777777">
      <w:pPr>
        <w:tabs>
          <w:tab w:val="left" w:pos="4962"/>
        </w:tabs>
        <w:spacing w:after="0" w:line="360" w:lineRule="auto"/>
        <w:ind w:left="567" w:right="567"/>
        <w:rPr>
          <w:rFonts w:eastAsia="Calibri" w:cs="Tahoma"/>
          <w:i/>
          <w:iCs/>
          <w:color w:val="auto"/>
          <w:sz w:val="20"/>
          <w:szCs w:val="20"/>
          <w:lang w:val="es-ES" w:eastAsia="es-ES_tradnl"/>
        </w:rPr>
      </w:pPr>
      <w:r w:rsidRPr="005C5F89">
        <w:rPr>
          <w:rFonts w:eastAsia="Calibri" w:cs="Tahoma"/>
          <w:i/>
          <w:iCs/>
          <w:color w:val="auto"/>
          <w:sz w:val="20"/>
          <w:szCs w:val="20"/>
          <w:lang w:eastAsia="es-ES_tradnl"/>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rsidRPr="005C5F89" w:rsidR="00773AF1" w:rsidP="003A7290" w:rsidRDefault="00773AF1" w14:paraId="6745F2FD" w14:textId="77777777">
      <w:pPr>
        <w:spacing w:after="0" w:line="360" w:lineRule="auto"/>
        <w:rPr>
          <w:rFonts w:eastAsia="Calibri" w:cs="Tahoma"/>
          <w:bCs/>
          <w:color w:val="auto"/>
        </w:rPr>
      </w:pPr>
    </w:p>
    <w:p w:rsidRPr="005C5F89" w:rsidR="00773AF1" w:rsidP="003A7290" w:rsidRDefault="00773AF1" w14:paraId="0187B638" w14:textId="77777777">
      <w:pPr>
        <w:spacing w:after="0" w:line="360" w:lineRule="auto"/>
        <w:rPr>
          <w:rFonts w:eastAsia="Calibri" w:cs="Tahoma"/>
          <w:bCs/>
          <w:color w:val="auto"/>
        </w:rPr>
      </w:pPr>
      <w:r w:rsidRPr="005C5F89">
        <w:rPr>
          <w:rFonts w:eastAsia="Calibri" w:cs="Tahoma"/>
          <w:bCs/>
          <w:color w:val="auto"/>
        </w:rPr>
        <w:t xml:space="preserve">Así, es posible observar que podrá clasificarse como información reservada, aquélla que comprometa la seguridad pública o bien, entorpezca los sistemas de coordinación interinstitucional en materia de seguridad pública, menoscabar o dificultar las estrategias contra la evasión de reos o la capacidad de las autoridades para disuadir o prevenir disturbios sociales. </w:t>
      </w:r>
    </w:p>
    <w:p w:rsidRPr="005C5F89" w:rsidR="00773AF1" w:rsidP="003A7290" w:rsidRDefault="00773AF1" w14:paraId="4E6641CF" w14:textId="77777777">
      <w:pPr>
        <w:spacing w:after="0" w:line="360" w:lineRule="auto"/>
        <w:rPr>
          <w:rFonts w:eastAsia="Calibri" w:cs="Tahoma"/>
          <w:bCs/>
          <w:color w:val="auto"/>
        </w:rPr>
      </w:pPr>
    </w:p>
    <w:p w:rsidRPr="005C5F89" w:rsidR="00773AF1" w:rsidP="003A7290" w:rsidRDefault="00773AF1" w14:paraId="43F77645" w14:textId="77777777">
      <w:pPr>
        <w:spacing w:after="0" w:line="360" w:lineRule="auto"/>
        <w:rPr>
          <w:rFonts w:eastAsia="Calibri" w:cs="Tahoma"/>
          <w:bCs/>
          <w:color w:val="auto"/>
        </w:rPr>
      </w:pPr>
      <w:r w:rsidRPr="005C5F89">
        <w:rPr>
          <w:rFonts w:eastAsia="Calibri" w:cs="Tahoma"/>
          <w:bCs/>
          <w:color w:val="auto"/>
        </w:rPr>
        <w:t>De la misma manera, será información clasificada aquella que revele datos que pudieran ser aprovechados para conocer la capacidad de reacción de las instituciones encargadas de la seguridad pública, sus planes, estrategias, tecnología, información, sistemas de comunicaciones.</w:t>
      </w:r>
    </w:p>
    <w:p w:rsidRPr="005C5F89" w:rsidR="00773AF1" w:rsidP="003A7290" w:rsidRDefault="00773AF1" w14:paraId="7DB8455B" w14:textId="77777777">
      <w:pPr>
        <w:spacing w:after="0" w:line="360" w:lineRule="auto"/>
        <w:rPr>
          <w:rFonts w:eastAsia="Calibri" w:cs="Tahoma"/>
          <w:bCs/>
          <w:color w:val="auto"/>
        </w:rPr>
      </w:pPr>
      <w:r w:rsidRPr="005C5F89">
        <w:rPr>
          <w:rFonts w:eastAsia="Calibri" w:cs="Tahoma"/>
          <w:bCs/>
          <w:color w:val="auto"/>
        </w:rPr>
        <w:t>En ese orden de ideas, el artículo 81 de la Ley de Seguridad del Estado de México, que establece lo siguiente:</w:t>
      </w:r>
    </w:p>
    <w:p w:rsidRPr="005C5F89" w:rsidR="00773AF1" w:rsidP="003A7290" w:rsidRDefault="00773AF1" w14:paraId="2149A175" w14:textId="77777777">
      <w:pPr>
        <w:spacing w:after="0" w:line="360" w:lineRule="auto"/>
        <w:rPr>
          <w:rFonts w:eastAsia="Calibri" w:cs="Tahoma"/>
          <w:bCs/>
          <w:color w:val="auto"/>
        </w:rPr>
      </w:pPr>
    </w:p>
    <w:p w:rsidRPr="005C5F89" w:rsidR="00773AF1" w:rsidP="003A7290" w:rsidRDefault="00773AF1" w14:paraId="20C3C07A" w14:textId="77777777">
      <w:pPr>
        <w:spacing w:after="0" w:line="360" w:lineRule="auto"/>
        <w:ind w:left="567" w:right="567"/>
        <w:rPr>
          <w:rFonts w:eastAsia="Calibri" w:cs="Tahoma"/>
          <w:bCs/>
          <w:i/>
          <w:color w:val="auto"/>
          <w:sz w:val="20"/>
          <w:szCs w:val="20"/>
        </w:rPr>
      </w:pPr>
      <w:r w:rsidRPr="005C5F89">
        <w:rPr>
          <w:rFonts w:eastAsia="Calibri" w:cs="Tahoma"/>
          <w:b/>
          <w:bCs/>
          <w:i/>
          <w:color w:val="auto"/>
          <w:sz w:val="20"/>
          <w:szCs w:val="20"/>
        </w:rPr>
        <w:t>“Artículo 81.-</w:t>
      </w:r>
      <w:r w:rsidRPr="005C5F89">
        <w:rPr>
          <w:rFonts w:eastAsia="Calibri" w:cs="Tahoma"/>
          <w:bCs/>
          <w:i/>
          <w:color w:val="auto"/>
          <w:sz w:val="20"/>
          <w:szCs w:val="20"/>
        </w:rPr>
        <w:t xml:space="preserve"> Toda información para la seguridad pública generada o en poder de Instituciones de Seguridad Pública o de cualquier instancia del Sistema Estatal debe registrarse, clasificarse y tratarse de conformidad con las disposiciones aplicables. No </w:t>
      </w:r>
      <w:proofErr w:type="gramStart"/>
      <w:r w:rsidRPr="005C5F89">
        <w:rPr>
          <w:rFonts w:eastAsia="Calibri" w:cs="Tahoma"/>
          <w:bCs/>
          <w:i/>
          <w:color w:val="auto"/>
          <w:sz w:val="20"/>
          <w:szCs w:val="20"/>
        </w:rPr>
        <w:t>obstante</w:t>
      </w:r>
      <w:proofErr w:type="gramEnd"/>
      <w:r w:rsidRPr="005C5F89">
        <w:rPr>
          <w:rFonts w:eastAsia="Calibri" w:cs="Tahoma"/>
          <w:bCs/>
          <w:i/>
          <w:color w:val="auto"/>
          <w:sz w:val="20"/>
          <w:szCs w:val="20"/>
        </w:rPr>
        <w:t xml:space="preserve"> lo anterior, esta información se considerará reservada en los casos siguientes: </w:t>
      </w:r>
    </w:p>
    <w:p w:rsidRPr="005C5F89" w:rsidR="00773AF1" w:rsidP="003A7290" w:rsidRDefault="00773AF1" w14:paraId="10BBB9ED" w14:textId="77777777">
      <w:pPr>
        <w:spacing w:after="0" w:line="360" w:lineRule="auto"/>
        <w:ind w:left="567" w:right="567"/>
        <w:rPr>
          <w:rFonts w:eastAsia="Calibri" w:cs="Tahoma"/>
          <w:bCs/>
          <w:i/>
          <w:color w:val="auto"/>
          <w:sz w:val="20"/>
          <w:szCs w:val="20"/>
        </w:rPr>
      </w:pPr>
    </w:p>
    <w:p w:rsidRPr="005C5F89" w:rsidR="00773AF1" w:rsidP="003A7290" w:rsidRDefault="00773AF1" w14:paraId="0CD87605" w14:textId="77777777">
      <w:pPr>
        <w:spacing w:after="0" w:line="360" w:lineRule="auto"/>
        <w:ind w:left="567" w:right="567"/>
        <w:rPr>
          <w:rFonts w:eastAsia="Calibri" w:cs="Tahoma"/>
          <w:bCs/>
          <w:i/>
          <w:color w:val="auto"/>
          <w:sz w:val="20"/>
          <w:szCs w:val="20"/>
        </w:rPr>
      </w:pPr>
      <w:r w:rsidRPr="005C5F89">
        <w:rPr>
          <w:rFonts w:eastAsia="Calibri" w:cs="Tahoma"/>
          <w:b/>
          <w:bCs/>
          <w:i/>
          <w:color w:val="auto"/>
          <w:sz w:val="20"/>
          <w:szCs w:val="20"/>
        </w:rPr>
        <w:t>I.</w:t>
      </w:r>
      <w:r w:rsidRPr="005C5F89">
        <w:rPr>
          <w:rFonts w:eastAsia="Calibri" w:cs="Tahoma"/>
          <w:bCs/>
          <w:i/>
          <w:color w:val="auto"/>
          <w:sz w:val="20"/>
          <w:szCs w:val="20"/>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rsidRPr="005C5F89" w:rsidR="00773AF1" w:rsidP="003A7290" w:rsidRDefault="00773AF1" w14:paraId="673444C7" w14:textId="77777777">
      <w:pPr>
        <w:spacing w:after="0" w:line="360" w:lineRule="auto"/>
        <w:ind w:left="567" w:right="567"/>
        <w:rPr>
          <w:rFonts w:eastAsia="Calibri" w:cs="Tahoma"/>
          <w:bCs/>
          <w:i/>
          <w:color w:val="auto"/>
          <w:sz w:val="20"/>
          <w:szCs w:val="20"/>
        </w:rPr>
      </w:pPr>
    </w:p>
    <w:p w:rsidRPr="005C5F89" w:rsidR="00773AF1" w:rsidP="003A7290" w:rsidRDefault="00773AF1" w14:paraId="5B3F7184" w14:textId="77777777">
      <w:pPr>
        <w:spacing w:after="0" w:line="360" w:lineRule="auto"/>
        <w:ind w:left="567" w:right="567"/>
        <w:rPr>
          <w:rFonts w:eastAsia="Calibri" w:cs="Tahoma"/>
          <w:bCs/>
          <w:i/>
          <w:color w:val="auto"/>
          <w:sz w:val="20"/>
          <w:szCs w:val="20"/>
        </w:rPr>
      </w:pPr>
      <w:r w:rsidRPr="005C5F89">
        <w:rPr>
          <w:rFonts w:eastAsia="Calibri" w:cs="Tahoma"/>
          <w:b/>
          <w:bCs/>
          <w:i/>
          <w:color w:val="auto"/>
          <w:sz w:val="20"/>
          <w:szCs w:val="20"/>
        </w:rPr>
        <w:t>II.</w:t>
      </w:r>
      <w:r w:rsidRPr="005C5F89">
        <w:rPr>
          <w:rFonts w:eastAsia="Calibri" w:cs="Tahoma"/>
          <w:bCs/>
          <w:i/>
          <w:color w:val="auto"/>
          <w:sz w:val="20"/>
          <w:szCs w:val="20"/>
        </w:rPr>
        <w:t xml:space="preserve"> Aquella cuya revelación pueda ser utilizada para actualizar o potenciar una amenaza a la seguridad pública o a las instituciones del Estado de México; </w:t>
      </w:r>
    </w:p>
    <w:p w:rsidRPr="005C5F89" w:rsidR="00773AF1" w:rsidP="003A7290" w:rsidRDefault="00773AF1" w14:paraId="2BF2AC05" w14:textId="77777777">
      <w:pPr>
        <w:spacing w:after="0" w:line="360" w:lineRule="auto"/>
        <w:ind w:left="567" w:right="567"/>
        <w:rPr>
          <w:rFonts w:eastAsia="Calibri" w:cs="Tahoma"/>
          <w:bCs/>
          <w:i/>
          <w:color w:val="auto"/>
          <w:sz w:val="20"/>
          <w:szCs w:val="20"/>
        </w:rPr>
      </w:pPr>
      <w:r w:rsidRPr="005C5F89">
        <w:rPr>
          <w:rFonts w:eastAsia="Calibri" w:cs="Tahoma"/>
          <w:bCs/>
          <w:i/>
          <w:color w:val="auto"/>
          <w:sz w:val="20"/>
          <w:szCs w:val="20"/>
        </w:rPr>
        <w:t>…</w:t>
      </w:r>
    </w:p>
    <w:p w:rsidRPr="005C5F89" w:rsidR="00773AF1" w:rsidP="003A7290" w:rsidRDefault="00773AF1" w14:paraId="17BE1835" w14:textId="77777777">
      <w:pPr>
        <w:spacing w:after="0" w:line="360" w:lineRule="auto"/>
        <w:ind w:left="567" w:right="567"/>
        <w:rPr>
          <w:rFonts w:eastAsia="Calibri" w:cs="Tahoma"/>
          <w:bCs/>
          <w:i/>
          <w:color w:val="auto"/>
          <w:sz w:val="20"/>
          <w:szCs w:val="20"/>
        </w:rPr>
      </w:pPr>
      <w:r w:rsidRPr="005C5F89">
        <w:rPr>
          <w:rFonts w:eastAsia="Calibri" w:cs="Tahoma"/>
          <w:b/>
          <w:bCs/>
          <w:i/>
          <w:color w:val="auto"/>
          <w:sz w:val="20"/>
          <w:szCs w:val="20"/>
        </w:rPr>
        <w:t xml:space="preserve">IV. </w:t>
      </w:r>
      <w:r w:rsidRPr="005C5F89">
        <w:rPr>
          <w:rFonts w:eastAsia="Calibri" w:cs="Tahoma"/>
          <w:bCs/>
          <w:i/>
          <w:color w:val="auto"/>
          <w:sz w:val="20"/>
          <w:szCs w:val="20"/>
        </w:rPr>
        <w:t xml:space="preserve">La que sea producto de una intervención de comunicaciones privadas autorizadas conforme a la Constitución Federal y las disposiciones legales correspondientes; y </w:t>
      </w:r>
    </w:p>
    <w:p w:rsidRPr="005C5F89" w:rsidR="00773AF1" w:rsidP="003A7290" w:rsidRDefault="00773AF1" w14:paraId="72B35B4E" w14:textId="77777777">
      <w:pPr>
        <w:spacing w:after="0" w:line="360" w:lineRule="auto"/>
        <w:ind w:left="567" w:right="567"/>
        <w:rPr>
          <w:rFonts w:eastAsia="Calibri" w:cs="Tahoma"/>
          <w:bCs/>
          <w:i/>
          <w:color w:val="auto"/>
          <w:sz w:val="20"/>
          <w:szCs w:val="20"/>
        </w:rPr>
      </w:pPr>
    </w:p>
    <w:p w:rsidRPr="005C5F89" w:rsidR="00773AF1" w:rsidP="003A7290" w:rsidRDefault="00773AF1" w14:paraId="65C2A610" w14:textId="77777777">
      <w:pPr>
        <w:spacing w:after="0" w:line="360" w:lineRule="auto"/>
        <w:ind w:left="567" w:right="567"/>
        <w:rPr>
          <w:rFonts w:eastAsia="Calibri" w:cs="Tahoma"/>
          <w:bCs/>
          <w:i/>
          <w:color w:val="auto"/>
          <w:sz w:val="20"/>
          <w:szCs w:val="20"/>
        </w:rPr>
      </w:pPr>
      <w:r w:rsidRPr="005C5F89">
        <w:rPr>
          <w:rFonts w:eastAsia="Calibri" w:cs="Tahoma"/>
          <w:b/>
          <w:bCs/>
          <w:i/>
          <w:color w:val="auto"/>
          <w:sz w:val="20"/>
          <w:szCs w:val="20"/>
        </w:rPr>
        <w:t>V.</w:t>
      </w:r>
      <w:r w:rsidRPr="005C5F89">
        <w:rPr>
          <w:rFonts w:eastAsia="Calibri" w:cs="Tahoma"/>
          <w:bCs/>
          <w:i/>
          <w:color w:val="auto"/>
          <w:sz w:val="20"/>
          <w:szCs w:val="20"/>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rsidRPr="005C5F89" w:rsidR="00773AF1" w:rsidP="003A7290" w:rsidRDefault="00773AF1" w14:paraId="77698ED9" w14:textId="77777777">
      <w:pPr>
        <w:spacing w:after="0" w:line="360" w:lineRule="auto"/>
        <w:rPr>
          <w:rFonts w:eastAsia="Calibri" w:cs="Tahoma"/>
          <w:bCs/>
          <w:color w:val="auto"/>
        </w:rPr>
      </w:pPr>
    </w:p>
    <w:p w:rsidRPr="005C5F89" w:rsidR="00773AF1" w:rsidP="003A7290" w:rsidRDefault="00773AF1" w14:paraId="279A0F46" w14:textId="77777777">
      <w:pPr>
        <w:spacing w:after="0" w:line="360" w:lineRule="auto"/>
        <w:rPr>
          <w:rFonts w:eastAsia="Calibri" w:cs="Tahoma"/>
          <w:bCs/>
          <w:color w:val="auto"/>
        </w:rPr>
      </w:pPr>
      <w:r w:rsidRPr="005C5F89">
        <w:rPr>
          <w:rFonts w:eastAsia="Calibri" w:cs="Tahoma"/>
          <w:bCs/>
          <w:color w:val="auto"/>
        </w:rPr>
        <w:t>De lo anterior, se logra desprender que es información reservada, aquella que pueda revelar las normas, procedimientos, métodos, fuentes, técnicas, sistemas,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rsidRPr="005C5F89" w:rsidR="00773AF1" w:rsidP="003A7290" w:rsidRDefault="00773AF1" w14:paraId="6B573AD8" w14:textId="683445DF">
      <w:pPr>
        <w:spacing w:after="0" w:line="360" w:lineRule="auto"/>
        <w:rPr>
          <w:rFonts w:eastAsia="Calibri" w:cs="Tahoma"/>
          <w:bCs/>
          <w:iCs/>
          <w:color w:val="auto"/>
        </w:rPr>
      </w:pPr>
      <w:r w:rsidRPr="005C5F89">
        <w:rPr>
          <w:rFonts w:eastAsia="Calibri" w:cs="Tahoma"/>
          <w:bCs/>
          <w:color w:val="auto"/>
        </w:rPr>
        <w:t xml:space="preserve">En ese contexto, </w:t>
      </w:r>
      <w:r w:rsidRPr="005C5F89">
        <w:rPr>
          <w:rFonts w:eastAsia="Calibri" w:cs="Tahoma"/>
          <w:bCs/>
          <w:iCs/>
          <w:color w:val="auto"/>
        </w:rPr>
        <w:t>las áreas que se pronunciaron, señalaron que entregar la información revelaba el Estado de Fuerza del Ayuntamiento, al entregar el total de elementos con los que contaba; además que podían afectar la operatividad de estas, pues dar a conocer dicha información, podría ser ocupada por la delincuencia, para tomar ventaja.</w:t>
      </w:r>
    </w:p>
    <w:p w:rsidRPr="005C5F89" w:rsidR="00773AF1" w:rsidP="003A7290" w:rsidRDefault="00773AF1" w14:paraId="0C796EBA" w14:textId="77777777">
      <w:pPr>
        <w:spacing w:after="0" w:line="360" w:lineRule="auto"/>
        <w:rPr>
          <w:rFonts w:eastAsia="Calibri" w:cs="Tahoma"/>
          <w:bCs/>
          <w:color w:val="auto"/>
        </w:rPr>
      </w:pPr>
    </w:p>
    <w:p w:rsidRPr="005C5F89" w:rsidR="00773AF1" w:rsidP="003A7290" w:rsidRDefault="00773AF1" w14:paraId="29998B98" w14:textId="048EE1AE">
      <w:pPr>
        <w:spacing w:after="0" w:line="360" w:lineRule="auto"/>
        <w:rPr>
          <w:rFonts w:eastAsia="Calibri" w:cs="Tahoma"/>
          <w:bCs/>
          <w:color w:val="auto"/>
        </w:rPr>
      </w:pPr>
      <w:r w:rsidRPr="005C5F89">
        <w:rPr>
          <w:rFonts w:eastAsia="Calibri" w:cs="Tahoma"/>
          <w:bCs/>
          <w:color w:val="auto"/>
        </w:rPr>
        <w:t xml:space="preserve">Al respecto, cabe precisar que proporcionar la categoría, adscripción y salario de los servidores público adscritos a la Dirección General de Seguridad y Protección, tal como señaló el Ente Recurrido, podría revelar </w:t>
      </w:r>
      <w:r w:rsidRPr="005C5F89">
        <w:rPr>
          <w:rFonts w:eastAsia="Calibri" w:cs="Tahoma"/>
          <w:b/>
          <w:bCs/>
          <w:color w:val="auto"/>
        </w:rPr>
        <w:t>el estado de fuerza del Municipio</w:t>
      </w:r>
      <w:r w:rsidRPr="005C5F89">
        <w:rPr>
          <w:rFonts w:eastAsia="Calibri" w:cs="Tahoma"/>
          <w:bCs/>
          <w:color w:val="auto"/>
        </w:rPr>
        <w:t>; en ese contexto, el estado de fuerza corresponde al número de elementos con los que cuenta el Ayuntamiento de Toluca, en el área referida, para realizar funciones de seguridad pública.</w:t>
      </w:r>
    </w:p>
    <w:p w:rsidRPr="005C5F89" w:rsidR="00773AF1" w:rsidP="003A7290" w:rsidRDefault="00773AF1" w14:paraId="028D1EA3" w14:textId="77777777">
      <w:pPr>
        <w:spacing w:after="0" w:line="360" w:lineRule="auto"/>
        <w:rPr>
          <w:rFonts w:eastAsia="Calibri" w:cs="Tahoma"/>
          <w:bCs/>
          <w:color w:val="auto"/>
        </w:rPr>
      </w:pPr>
    </w:p>
    <w:p w:rsidRPr="005C5F89" w:rsidR="00773AF1" w:rsidP="003A7290" w:rsidRDefault="00773AF1" w14:paraId="7ADD1393" w14:textId="77777777">
      <w:pPr>
        <w:spacing w:after="0" w:line="360" w:lineRule="auto"/>
        <w:rPr>
          <w:rFonts w:eastAsia="Calibri" w:cs="Tahoma"/>
          <w:bCs/>
          <w:color w:val="auto"/>
        </w:rPr>
      </w:pPr>
      <w:r w:rsidRPr="005C5F89">
        <w:rPr>
          <w:rFonts w:eastAsia="Calibri" w:cs="Tahoma"/>
          <w:bCs/>
          <w:color w:val="auto"/>
        </w:rPr>
        <w:t>En ese sentido, el artículo 142 y 143 de la Ley de Seguridad del Estado de México, establece la organización jerárquica de las Instituciones Policiales de la Entidad Federativa y sus Municipios, la cual es la siguiente:</w:t>
      </w:r>
    </w:p>
    <w:p w:rsidRPr="005C5F89" w:rsidR="00773AF1" w:rsidP="003A7290" w:rsidRDefault="00773AF1" w14:paraId="0E44EFBC" w14:textId="77777777">
      <w:pPr>
        <w:spacing w:after="0" w:line="360" w:lineRule="auto"/>
        <w:rPr>
          <w:rFonts w:eastAsia="Calibri" w:cs="Tahoma"/>
          <w:bCs/>
          <w:color w:val="auto"/>
        </w:rPr>
      </w:pPr>
    </w:p>
    <w:p w:rsidRPr="005C5F89" w:rsidR="00773AF1" w:rsidP="003A7290" w:rsidRDefault="00773AF1" w14:paraId="05ADB71F" w14:textId="77777777">
      <w:pPr>
        <w:numPr>
          <w:ilvl w:val="0"/>
          <w:numId w:val="33"/>
        </w:numPr>
        <w:spacing w:after="0" w:line="360" w:lineRule="auto"/>
        <w:jc w:val="left"/>
        <w:rPr>
          <w:rFonts w:eastAsia="Calibri" w:cs="Tahoma"/>
          <w:bCs/>
          <w:color w:val="auto"/>
        </w:rPr>
      </w:pPr>
      <w:r w:rsidRPr="005C5F89">
        <w:rPr>
          <w:rFonts w:eastAsia="Calibri" w:cs="Tahoma"/>
          <w:bCs/>
          <w:color w:val="auto"/>
        </w:rPr>
        <w:t>Comisarios:</w:t>
      </w:r>
    </w:p>
    <w:p w:rsidRPr="005C5F89" w:rsidR="00773AF1" w:rsidP="003A7290" w:rsidRDefault="00773AF1" w14:paraId="7456E019" w14:textId="77777777">
      <w:pPr>
        <w:numPr>
          <w:ilvl w:val="0"/>
          <w:numId w:val="34"/>
        </w:numPr>
        <w:spacing w:after="0" w:line="360" w:lineRule="auto"/>
        <w:ind w:left="993" w:hanging="77"/>
        <w:contextualSpacing/>
        <w:jc w:val="left"/>
        <w:rPr>
          <w:rFonts w:eastAsia="Calibri" w:cs="Tahoma"/>
          <w:bCs/>
          <w:color w:val="auto"/>
        </w:rPr>
      </w:pPr>
      <w:r w:rsidRPr="005C5F89">
        <w:rPr>
          <w:rFonts w:eastAsia="Calibri" w:cs="Tahoma"/>
          <w:bCs/>
          <w:color w:val="auto"/>
        </w:rPr>
        <w:lastRenderedPageBreak/>
        <w:t>Comisario General;</w:t>
      </w:r>
    </w:p>
    <w:p w:rsidRPr="005C5F89" w:rsidR="00773AF1" w:rsidP="003A7290" w:rsidRDefault="00773AF1" w14:paraId="43E015FE" w14:textId="77777777">
      <w:pPr>
        <w:numPr>
          <w:ilvl w:val="0"/>
          <w:numId w:val="34"/>
        </w:numPr>
        <w:spacing w:after="0" w:line="360" w:lineRule="auto"/>
        <w:ind w:left="993" w:hanging="77"/>
        <w:contextualSpacing/>
        <w:jc w:val="left"/>
        <w:rPr>
          <w:rFonts w:eastAsia="Calibri" w:cs="Tahoma"/>
          <w:bCs/>
          <w:color w:val="auto"/>
        </w:rPr>
      </w:pPr>
      <w:r w:rsidRPr="005C5F89">
        <w:rPr>
          <w:rFonts w:eastAsia="Calibri" w:cs="Tahoma"/>
          <w:bCs/>
          <w:color w:val="auto"/>
        </w:rPr>
        <w:t xml:space="preserve">Comisario </w:t>
      </w:r>
      <w:proofErr w:type="gramStart"/>
      <w:r w:rsidRPr="005C5F89">
        <w:rPr>
          <w:rFonts w:eastAsia="Calibri" w:cs="Tahoma"/>
          <w:bCs/>
          <w:color w:val="auto"/>
        </w:rPr>
        <w:t>Jefe</w:t>
      </w:r>
      <w:proofErr w:type="gramEnd"/>
      <w:r w:rsidRPr="005C5F89">
        <w:rPr>
          <w:rFonts w:eastAsia="Calibri" w:cs="Tahoma"/>
          <w:bCs/>
          <w:color w:val="auto"/>
        </w:rPr>
        <w:t>, y</w:t>
      </w:r>
    </w:p>
    <w:p w:rsidRPr="005C5F89" w:rsidR="00773AF1" w:rsidP="003A7290" w:rsidRDefault="00773AF1" w14:paraId="06B8954E" w14:textId="77777777">
      <w:pPr>
        <w:numPr>
          <w:ilvl w:val="0"/>
          <w:numId w:val="34"/>
        </w:numPr>
        <w:spacing w:after="0" w:line="360" w:lineRule="auto"/>
        <w:ind w:left="993" w:hanging="77"/>
        <w:contextualSpacing/>
        <w:jc w:val="left"/>
        <w:rPr>
          <w:rFonts w:eastAsia="Calibri" w:cs="Tahoma"/>
          <w:bCs/>
          <w:color w:val="auto"/>
        </w:rPr>
      </w:pPr>
      <w:r w:rsidRPr="005C5F89">
        <w:rPr>
          <w:rFonts w:eastAsia="Calibri" w:cs="Tahoma"/>
          <w:bCs/>
          <w:color w:val="auto"/>
        </w:rPr>
        <w:t>Comisario.</w:t>
      </w:r>
    </w:p>
    <w:p w:rsidRPr="005C5F89" w:rsidR="00773AF1" w:rsidP="003A7290" w:rsidRDefault="00773AF1" w14:paraId="7244979E" w14:textId="77777777">
      <w:pPr>
        <w:numPr>
          <w:ilvl w:val="0"/>
          <w:numId w:val="33"/>
        </w:numPr>
        <w:spacing w:after="0" w:line="360" w:lineRule="auto"/>
        <w:jc w:val="left"/>
        <w:rPr>
          <w:rFonts w:eastAsia="Calibri" w:cs="Tahoma"/>
          <w:bCs/>
          <w:color w:val="auto"/>
        </w:rPr>
      </w:pPr>
      <w:r w:rsidRPr="005C5F89">
        <w:rPr>
          <w:rFonts w:eastAsia="Calibri" w:cs="Tahoma"/>
          <w:bCs/>
          <w:color w:val="auto"/>
        </w:rPr>
        <w:t>Inspectores:</w:t>
      </w:r>
    </w:p>
    <w:p w:rsidRPr="005C5F89" w:rsidR="00773AF1" w:rsidP="003A7290" w:rsidRDefault="00773AF1" w14:paraId="4C7970C6" w14:textId="77777777">
      <w:pPr>
        <w:numPr>
          <w:ilvl w:val="0"/>
          <w:numId w:val="35"/>
        </w:numPr>
        <w:spacing w:after="0" w:line="360" w:lineRule="auto"/>
        <w:ind w:left="993" w:hanging="54"/>
        <w:contextualSpacing/>
        <w:jc w:val="left"/>
        <w:rPr>
          <w:rFonts w:eastAsia="Calibri" w:cs="Tahoma"/>
          <w:bCs/>
          <w:color w:val="auto"/>
        </w:rPr>
      </w:pPr>
      <w:r w:rsidRPr="005C5F89">
        <w:rPr>
          <w:rFonts w:eastAsia="Calibri" w:cs="Tahoma"/>
          <w:bCs/>
          <w:color w:val="auto"/>
        </w:rPr>
        <w:t>Inspector General;</w:t>
      </w:r>
    </w:p>
    <w:p w:rsidRPr="005C5F89" w:rsidR="00773AF1" w:rsidP="003A7290" w:rsidRDefault="00773AF1" w14:paraId="69E836D1" w14:textId="77777777">
      <w:pPr>
        <w:numPr>
          <w:ilvl w:val="0"/>
          <w:numId w:val="35"/>
        </w:numPr>
        <w:spacing w:after="0" w:line="360" w:lineRule="auto"/>
        <w:ind w:left="993" w:hanging="54"/>
        <w:contextualSpacing/>
        <w:jc w:val="left"/>
        <w:rPr>
          <w:rFonts w:eastAsia="Calibri" w:cs="Tahoma"/>
          <w:bCs/>
          <w:color w:val="auto"/>
        </w:rPr>
      </w:pPr>
      <w:r w:rsidRPr="005C5F89">
        <w:rPr>
          <w:rFonts w:eastAsia="Calibri" w:cs="Tahoma"/>
          <w:bCs/>
          <w:color w:val="auto"/>
        </w:rPr>
        <w:t xml:space="preserve">Inspector </w:t>
      </w:r>
      <w:proofErr w:type="gramStart"/>
      <w:r w:rsidRPr="005C5F89">
        <w:rPr>
          <w:rFonts w:eastAsia="Calibri" w:cs="Tahoma"/>
          <w:bCs/>
          <w:color w:val="auto"/>
        </w:rPr>
        <w:t>Jefe</w:t>
      </w:r>
      <w:proofErr w:type="gramEnd"/>
      <w:r w:rsidRPr="005C5F89">
        <w:rPr>
          <w:rFonts w:eastAsia="Calibri" w:cs="Tahoma"/>
          <w:bCs/>
          <w:color w:val="auto"/>
        </w:rPr>
        <w:t>, y</w:t>
      </w:r>
    </w:p>
    <w:p w:rsidRPr="005C5F89" w:rsidR="00773AF1" w:rsidP="003A7290" w:rsidRDefault="00773AF1" w14:paraId="0C8BD66E" w14:textId="77777777">
      <w:pPr>
        <w:numPr>
          <w:ilvl w:val="0"/>
          <w:numId w:val="35"/>
        </w:numPr>
        <w:spacing w:after="0" w:line="360" w:lineRule="auto"/>
        <w:ind w:left="993" w:hanging="54"/>
        <w:contextualSpacing/>
        <w:jc w:val="left"/>
        <w:rPr>
          <w:rFonts w:eastAsia="Calibri" w:cs="Tahoma"/>
          <w:bCs/>
          <w:color w:val="auto"/>
        </w:rPr>
      </w:pPr>
      <w:r w:rsidRPr="005C5F89">
        <w:rPr>
          <w:rFonts w:eastAsia="Calibri" w:cs="Tahoma"/>
          <w:bCs/>
          <w:color w:val="auto"/>
        </w:rPr>
        <w:t>Inspector.</w:t>
      </w:r>
    </w:p>
    <w:p w:rsidRPr="005C5F89" w:rsidR="00773AF1" w:rsidP="003A7290" w:rsidRDefault="00773AF1" w14:paraId="6BAE0004" w14:textId="77777777">
      <w:pPr>
        <w:numPr>
          <w:ilvl w:val="0"/>
          <w:numId w:val="33"/>
        </w:numPr>
        <w:spacing w:after="0" w:line="360" w:lineRule="auto"/>
        <w:jc w:val="left"/>
        <w:rPr>
          <w:rFonts w:eastAsia="Calibri" w:cs="Tahoma"/>
          <w:bCs/>
          <w:color w:val="auto"/>
        </w:rPr>
      </w:pPr>
      <w:r w:rsidRPr="005C5F89">
        <w:rPr>
          <w:rFonts w:eastAsia="Calibri" w:cs="Tahoma"/>
          <w:bCs/>
          <w:color w:val="auto"/>
        </w:rPr>
        <w:t>Oficiales:</w:t>
      </w:r>
    </w:p>
    <w:p w:rsidRPr="005C5F89" w:rsidR="00773AF1" w:rsidP="003A7290" w:rsidRDefault="00773AF1" w14:paraId="0D43934A" w14:textId="77777777">
      <w:pPr>
        <w:numPr>
          <w:ilvl w:val="0"/>
          <w:numId w:val="36"/>
        </w:numPr>
        <w:spacing w:after="0" w:line="360" w:lineRule="auto"/>
        <w:ind w:left="993" w:hanging="54"/>
        <w:contextualSpacing/>
        <w:jc w:val="left"/>
        <w:rPr>
          <w:rFonts w:eastAsia="Calibri" w:cs="Tahoma"/>
          <w:bCs/>
          <w:color w:val="auto"/>
        </w:rPr>
      </w:pPr>
      <w:r w:rsidRPr="005C5F89">
        <w:rPr>
          <w:rFonts w:eastAsia="Calibri" w:cs="Tahoma"/>
          <w:bCs/>
          <w:color w:val="auto"/>
        </w:rPr>
        <w:t>Subinspector;</w:t>
      </w:r>
    </w:p>
    <w:p w:rsidRPr="005C5F89" w:rsidR="00773AF1" w:rsidP="003A7290" w:rsidRDefault="00773AF1" w14:paraId="74763ED8" w14:textId="77777777">
      <w:pPr>
        <w:numPr>
          <w:ilvl w:val="0"/>
          <w:numId w:val="36"/>
        </w:numPr>
        <w:spacing w:after="0" w:line="360" w:lineRule="auto"/>
        <w:ind w:left="993" w:hanging="54"/>
        <w:contextualSpacing/>
        <w:jc w:val="left"/>
        <w:rPr>
          <w:rFonts w:eastAsia="Calibri" w:cs="Tahoma"/>
          <w:bCs/>
          <w:color w:val="auto"/>
        </w:rPr>
      </w:pPr>
      <w:r w:rsidRPr="005C5F89">
        <w:rPr>
          <w:rFonts w:eastAsia="Calibri" w:cs="Tahoma"/>
          <w:bCs/>
          <w:color w:val="auto"/>
        </w:rPr>
        <w:t>Oficial, y</w:t>
      </w:r>
    </w:p>
    <w:p w:rsidRPr="005C5F89" w:rsidR="00773AF1" w:rsidP="003A7290" w:rsidRDefault="00773AF1" w14:paraId="7755D0D0" w14:textId="77777777">
      <w:pPr>
        <w:numPr>
          <w:ilvl w:val="0"/>
          <w:numId w:val="36"/>
        </w:numPr>
        <w:spacing w:after="0" w:line="360" w:lineRule="auto"/>
        <w:ind w:left="993" w:hanging="54"/>
        <w:contextualSpacing/>
        <w:jc w:val="left"/>
        <w:rPr>
          <w:rFonts w:eastAsia="Calibri" w:cs="Tahoma"/>
          <w:bCs/>
          <w:color w:val="auto"/>
        </w:rPr>
      </w:pPr>
      <w:r w:rsidRPr="005C5F89">
        <w:rPr>
          <w:rFonts w:eastAsia="Calibri" w:cs="Tahoma"/>
          <w:bCs/>
          <w:color w:val="auto"/>
        </w:rPr>
        <w:t>Suboficial.</w:t>
      </w:r>
    </w:p>
    <w:p w:rsidRPr="005C5F89" w:rsidR="00773AF1" w:rsidP="003A7290" w:rsidRDefault="00773AF1" w14:paraId="3238AE94" w14:textId="77777777">
      <w:pPr>
        <w:numPr>
          <w:ilvl w:val="0"/>
          <w:numId w:val="33"/>
        </w:numPr>
        <w:spacing w:after="0" w:line="360" w:lineRule="auto"/>
        <w:jc w:val="left"/>
        <w:rPr>
          <w:rFonts w:eastAsia="Calibri" w:cs="Tahoma"/>
          <w:bCs/>
          <w:color w:val="auto"/>
        </w:rPr>
      </w:pPr>
      <w:r w:rsidRPr="005C5F89">
        <w:rPr>
          <w:rFonts w:eastAsia="Calibri" w:cs="Tahoma"/>
          <w:bCs/>
          <w:color w:val="auto"/>
        </w:rPr>
        <w:t>Escala Básica:</w:t>
      </w:r>
    </w:p>
    <w:p w:rsidRPr="005C5F89" w:rsidR="00773AF1" w:rsidP="003A7290" w:rsidRDefault="00773AF1" w14:paraId="438E36B6" w14:textId="77777777">
      <w:pPr>
        <w:numPr>
          <w:ilvl w:val="0"/>
          <w:numId w:val="37"/>
        </w:numPr>
        <w:spacing w:after="0" w:line="360" w:lineRule="auto"/>
        <w:ind w:left="993" w:hanging="54"/>
        <w:contextualSpacing/>
        <w:jc w:val="left"/>
        <w:rPr>
          <w:rFonts w:eastAsia="Calibri" w:cs="Tahoma"/>
          <w:bCs/>
          <w:color w:val="auto"/>
        </w:rPr>
      </w:pPr>
      <w:r w:rsidRPr="005C5F89">
        <w:rPr>
          <w:rFonts w:eastAsia="Calibri" w:cs="Tahoma"/>
          <w:bCs/>
          <w:color w:val="auto"/>
        </w:rPr>
        <w:t>Policía Primero;</w:t>
      </w:r>
    </w:p>
    <w:p w:rsidRPr="005C5F89" w:rsidR="00773AF1" w:rsidP="003A7290" w:rsidRDefault="00773AF1" w14:paraId="41D5C0E1" w14:textId="77777777">
      <w:pPr>
        <w:numPr>
          <w:ilvl w:val="0"/>
          <w:numId w:val="37"/>
        </w:numPr>
        <w:spacing w:after="0" w:line="360" w:lineRule="auto"/>
        <w:ind w:left="993" w:hanging="54"/>
        <w:contextualSpacing/>
        <w:jc w:val="left"/>
        <w:rPr>
          <w:rFonts w:eastAsia="Calibri" w:cs="Tahoma"/>
          <w:bCs/>
          <w:color w:val="auto"/>
        </w:rPr>
      </w:pPr>
      <w:r w:rsidRPr="005C5F89">
        <w:rPr>
          <w:rFonts w:eastAsia="Calibri" w:cs="Tahoma"/>
          <w:bCs/>
          <w:color w:val="auto"/>
        </w:rPr>
        <w:t xml:space="preserve">Policía Segundo; </w:t>
      </w:r>
    </w:p>
    <w:p w:rsidRPr="005C5F89" w:rsidR="00773AF1" w:rsidP="003A7290" w:rsidRDefault="00773AF1" w14:paraId="40554CA2" w14:textId="77777777">
      <w:pPr>
        <w:numPr>
          <w:ilvl w:val="0"/>
          <w:numId w:val="37"/>
        </w:numPr>
        <w:spacing w:after="0" w:line="360" w:lineRule="auto"/>
        <w:ind w:left="993" w:hanging="54"/>
        <w:contextualSpacing/>
        <w:jc w:val="left"/>
        <w:rPr>
          <w:rFonts w:eastAsia="Calibri" w:cs="Tahoma"/>
          <w:bCs/>
          <w:color w:val="auto"/>
        </w:rPr>
      </w:pPr>
      <w:r w:rsidRPr="005C5F89">
        <w:rPr>
          <w:rFonts w:eastAsia="Calibri" w:cs="Tahoma"/>
          <w:bCs/>
          <w:color w:val="auto"/>
        </w:rPr>
        <w:t>Policía Tercero, y</w:t>
      </w:r>
    </w:p>
    <w:p w:rsidRPr="005C5F89" w:rsidR="00773AF1" w:rsidP="003A7290" w:rsidRDefault="00773AF1" w14:paraId="2369B4FA" w14:textId="77777777">
      <w:pPr>
        <w:numPr>
          <w:ilvl w:val="0"/>
          <w:numId w:val="37"/>
        </w:numPr>
        <w:spacing w:after="0" w:line="360" w:lineRule="auto"/>
        <w:ind w:left="993" w:hanging="54"/>
        <w:contextualSpacing/>
        <w:jc w:val="left"/>
        <w:rPr>
          <w:rFonts w:eastAsia="Calibri" w:cs="Tahoma"/>
          <w:bCs/>
          <w:color w:val="auto"/>
        </w:rPr>
      </w:pPr>
      <w:r w:rsidRPr="005C5F89">
        <w:rPr>
          <w:rFonts w:eastAsia="Calibri" w:cs="Tahoma"/>
          <w:bCs/>
          <w:color w:val="auto"/>
        </w:rPr>
        <w:t>Policía.</w:t>
      </w:r>
    </w:p>
    <w:p w:rsidRPr="005C5F89" w:rsidR="00773AF1" w:rsidP="003A7290" w:rsidRDefault="00773AF1" w14:paraId="2950914B" w14:textId="77777777">
      <w:pPr>
        <w:spacing w:after="0" w:line="360" w:lineRule="auto"/>
        <w:rPr>
          <w:rFonts w:eastAsia="Calibri" w:cs="Tahoma"/>
          <w:bCs/>
          <w:color w:val="auto"/>
          <w:sz w:val="20"/>
        </w:rPr>
      </w:pPr>
      <w:r w:rsidRPr="005C5F89">
        <w:rPr>
          <w:rFonts w:eastAsia="Calibri" w:cs="Tahoma"/>
          <w:bCs/>
          <w:color w:val="auto"/>
          <w:sz w:val="20"/>
        </w:rPr>
        <w:t xml:space="preserve">                                                                                                                                                                                                  </w:t>
      </w:r>
    </w:p>
    <w:p w:rsidRPr="005C5F89" w:rsidR="00773AF1" w:rsidP="003A7290" w:rsidRDefault="00773AF1" w14:paraId="12E2C61C" w14:textId="77777777">
      <w:pPr>
        <w:spacing w:after="0" w:line="360" w:lineRule="auto"/>
        <w:rPr>
          <w:rFonts w:eastAsia="Calibri" w:cs="Tahoma"/>
          <w:bCs/>
          <w:color w:val="auto"/>
        </w:rPr>
      </w:pPr>
      <w:r w:rsidRPr="005C5F89">
        <w:rPr>
          <w:rFonts w:eastAsia="Calibri" w:cs="Tahoma"/>
          <w:bCs/>
          <w:color w:val="auto"/>
        </w:rPr>
        <w:t xml:space="preserve">Como se logra observar, el </w:t>
      </w:r>
      <w:r w:rsidRPr="005C5F89">
        <w:rPr>
          <w:rFonts w:eastAsia="Calibri" w:cs="Tahoma"/>
          <w:b/>
          <w:bCs/>
          <w:color w:val="auto"/>
        </w:rPr>
        <w:t>Estado de Fuerza Municipal, se conforma de los Comisarios, Inspectores, Oficiales y la Estala Básica (Policías)</w:t>
      </w:r>
      <w:r w:rsidRPr="005C5F89">
        <w:rPr>
          <w:rFonts w:eastAsia="Calibri" w:cs="Tahoma"/>
          <w:bCs/>
          <w:color w:val="auto"/>
        </w:rPr>
        <w:t>; lo anterior, toma sustento, con los Resultados del Diagnóstico de Salarios y Prestaciones de Policías Estatales y Municipales del País, emitidos por el Secretariado Ejecutivo del Sistema Nacional de Seguridad Pública, que establecen lo siguiente:</w:t>
      </w:r>
    </w:p>
    <w:p w:rsidRPr="005C5F89" w:rsidR="00773AF1" w:rsidP="003A7290" w:rsidRDefault="00773AF1" w14:paraId="20D6EE2D" w14:textId="77777777">
      <w:pPr>
        <w:spacing w:after="0" w:line="360" w:lineRule="auto"/>
        <w:rPr>
          <w:rFonts w:eastAsia="Calibri" w:cs="Tahoma"/>
          <w:bCs/>
          <w:color w:val="auto"/>
        </w:rPr>
      </w:pPr>
    </w:p>
    <w:p w:rsidRPr="005C5F89" w:rsidR="00773AF1" w:rsidP="003A7290" w:rsidRDefault="00773AF1" w14:paraId="707BEB31" w14:textId="77777777">
      <w:pPr>
        <w:spacing w:after="0" w:line="360" w:lineRule="auto"/>
        <w:jc w:val="center"/>
        <w:rPr>
          <w:rFonts w:eastAsia="Calibri" w:cs="Tahoma"/>
          <w:bCs/>
          <w:color w:val="auto"/>
        </w:rPr>
      </w:pPr>
      <w:r w:rsidRPr="005C5F89">
        <w:rPr>
          <w:rFonts w:ascii="Times New Roman" w:hAnsi="Times New Roman" w:eastAsia="Times New Roman" w:cs="Times New Roman"/>
          <w:noProof/>
          <w:color w:val="auto"/>
          <w:sz w:val="20"/>
          <w:szCs w:val="20"/>
          <w:lang w:eastAsia="es-ES"/>
        </w:rPr>
        <w:lastRenderedPageBreak/>
        <mc:AlternateContent>
          <mc:Choice Requires="wps">
            <w:drawing>
              <wp:anchor distT="0" distB="0" distL="114300" distR="114300" simplePos="0" relativeHeight="251659264" behindDoc="0" locked="0" layoutInCell="1" allowOverlap="1" wp14:anchorId="592D9807" wp14:editId="452E335D">
                <wp:simplePos x="0" y="0"/>
                <wp:positionH relativeFrom="column">
                  <wp:posOffset>2125345</wp:posOffset>
                </wp:positionH>
                <wp:positionV relativeFrom="paragraph">
                  <wp:posOffset>34290</wp:posOffset>
                </wp:positionV>
                <wp:extent cx="1828800" cy="2590800"/>
                <wp:effectExtent l="19050" t="19050" r="19050" b="19050"/>
                <wp:wrapNone/>
                <wp:docPr id="3" name="Rectángulo 3"/>
                <wp:cNvGraphicFramePr/>
                <a:graphic xmlns:a="http://schemas.openxmlformats.org/drawingml/2006/main">
                  <a:graphicData uri="http://schemas.microsoft.com/office/word/2010/wordprocessingShape">
                    <wps:wsp>
                      <wps:cNvSpPr/>
                      <wps:spPr>
                        <a:xfrm>
                          <a:off x="0" y="0"/>
                          <a:ext cx="1828800" cy="2590800"/>
                        </a:xfrm>
                        <a:prstGeom prst="rect">
                          <a:avLst/>
                        </a:prstGeom>
                        <a:noFill/>
                        <a:ln w="381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3" style="position:absolute;margin-left:167.35pt;margin-top:2.7pt;width:2in;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3pt" w14:anchorId="282D69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"/>
            </w:pict>
          </mc:Fallback>
        </mc:AlternateContent>
      </w:r>
      <w:r w:rsidRPr="005C5F89">
        <w:rPr>
          <w:rFonts w:eastAsia="Times New Roman" w:cs="Times New Roman"/>
          <w:noProof/>
          <w:color w:val="auto"/>
          <w:sz w:val="20"/>
          <w:szCs w:val="20"/>
          <w:lang w:eastAsia="es-MX"/>
        </w:rPr>
        <w:drawing>
          <wp:inline distT="0" distB="0" distL="0" distR="0" wp14:anchorId="18754311" wp14:editId="659A9334">
            <wp:extent cx="5039995" cy="2626360"/>
            <wp:effectExtent l="0" t="0" r="8255"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0">
                      <a:extLst>
                        <a:ext uri="{28A0092B-C50C-407E-A947-70E740481C1C}">
                          <a14:useLocalDpi xmlns:a14="http://schemas.microsoft.com/office/drawing/2010/main" val="0"/>
                        </a:ext>
                      </a:extLst>
                    </a:blip>
                    <a:srcRect t="10001" b="7077"/>
                    <a:stretch>
                      <a:fillRect/>
                    </a:stretch>
                  </pic:blipFill>
                  <pic:spPr bwMode="auto">
                    <a:xfrm>
                      <a:off x="0" y="0"/>
                      <a:ext cx="5039995" cy="2626360"/>
                    </a:xfrm>
                    <a:prstGeom prst="rect">
                      <a:avLst/>
                    </a:prstGeom>
                    <a:noFill/>
                    <a:ln>
                      <a:noFill/>
                    </a:ln>
                  </pic:spPr>
                </pic:pic>
              </a:graphicData>
            </a:graphic>
          </wp:inline>
        </w:drawing>
      </w:r>
    </w:p>
    <w:p w:rsidRPr="005C5F89" w:rsidR="00773AF1" w:rsidP="003A7290" w:rsidRDefault="00773AF1" w14:paraId="5CFAB581" w14:textId="77777777">
      <w:pPr>
        <w:spacing w:after="0" w:line="360" w:lineRule="auto"/>
        <w:rPr>
          <w:rFonts w:eastAsia="Calibri" w:cs="Tahoma"/>
          <w:bCs/>
          <w:color w:val="auto"/>
        </w:rPr>
      </w:pPr>
    </w:p>
    <w:p w:rsidRPr="005C5F89" w:rsidR="00773AF1" w:rsidP="003A7290" w:rsidRDefault="00773AF1" w14:paraId="1911F5B3" w14:textId="589B81D8">
      <w:pPr>
        <w:spacing w:after="0" w:line="360" w:lineRule="auto"/>
        <w:rPr>
          <w:rFonts w:eastAsia="Calibri" w:cs="Tahoma"/>
          <w:bCs/>
          <w:color w:val="auto"/>
        </w:rPr>
      </w:pPr>
      <w:r w:rsidRPr="005C5F89">
        <w:rPr>
          <w:rFonts w:eastAsia="Calibri" w:cs="Tahoma"/>
          <w:bCs/>
          <w:color w:val="auto"/>
        </w:rPr>
        <w:t xml:space="preserve">En ese contexto, cabe precisar que si bien proporcionar la categoría, la adscripción y remuneraciones de los elementos operativos, </w:t>
      </w:r>
      <w:r w:rsidRPr="005C5F89">
        <w:rPr>
          <w:rFonts w:eastAsia="Calibri" w:cs="Tahoma"/>
          <w:b/>
          <w:bCs/>
          <w:color w:val="auto"/>
        </w:rPr>
        <w:t>podría dar cuenta del estado de fuerza de la Dirección General de Seguridad y Protección</w:t>
      </w:r>
      <w:r w:rsidRPr="005C5F89">
        <w:rPr>
          <w:rFonts w:eastAsia="Calibri" w:cs="Tahoma"/>
          <w:bCs/>
          <w:color w:val="auto"/>
        </w:rPr>
        <w:t>, también lo es que este Instituto no advierte de qué forma, proporcionar el número de elementos que conforma el estado de fuerza, comprometa la seguridad pública del Municipio, por las siguientes consideraciones:</w:t>
      </w:r>
    </w:p>
    <w:p w:rsidRPr="005C5F89" w:rsidR="00773AF1" w:rsidP="003A7290" w:rsidRDefault="00773AF1" w14:paraId="610B93B7" w14:textId="77777777">
      <w:pPr>
        <w:spacing w:after="0" w:line="360" w:lineRule="auto"/>
        <w:rPr>
          <w:rFonts w:eastAsia="Calibri" w:cs="Tahoma"/>
          <w:bCs/>
          <w:color w:val="auto"/>
        </w:rPr>
      </w:pPr>
    </w:p>
    <w:p w:rsidRPr="005C5F89" w:rsidR="00773AF1" w:rsidP="003A7290" w:rsidRDefault="00773AF1" w14:paraId="142EBC75" w14:textId="77777777">
      <w:pPr>
        <w:numPr>
          <w:ilvl w:val="0"/>
          <w:numId w:val="38"/>
        </w:numPr>
        <w:spacing w:after="0" w:line="360" w:lineRule="auto"/>
        <w:rPr>
          <w:rFonts w:eastAsia="Calibri" w:cs="Tahoma"/>
          <w:bCs/>
          <w:color w:val="auto"/>
        </w:rPr>
      </w:pPr>
      <w:r w:rsidRPr="005C5F89">
        <w:rPr>
          <w:rFonts w:eastAsia="Calibri" w:cs="Tahoma"/>
          <w:bCs/>
          <w:color w:val="auto"/>
        </w:rPr>
        <w:t>No entorpece los sistemas de coordinación interinstitucional en materia de seguridad pública, pues únicamente se establecería el número de policías con los que cuenta, o bien la denominación de cargo en específico.</w:t>
      </w:r>
    </w:p>
    <w:p w:rsidRPr="005C5F89" w:rsidR="00773AF1" w:rsidP="003A7290" w:rsidRDefault="00773AF1" w14:paraId="60009A56" w14:textId="77777777">
      <w:pPr>
        <w:spacing w:after="0" w:line="360" w:lineRule="auto"/>
        <w:ind w:left="720"/>
        <w:contextualSpacing/>
        <w:rPr>
          <w:rFonts w:eastAsia="Calibri" w:cs="Tahoma"/>
          <w:bCs/>
          <w:color w:val="auto"/>
        </w:rPr>
      </w:pPr>
    </w:p>
    <w:p w:rsidRPr="005C5F89" w:rsidR="00773AF1" w:rsidP="003A7290" w:rsidRDefault="00773AF1" w14:paraId="122DBA2C" w14:textId="77777777">
      <w:pPr>
        <w:numPr>
          <w:ilvl w:val="0"/>
          <w:numId w:val="38"/>
        </w:numPr>
        <w:spacing w:after="0" w:line="360" w:lineRule="auto"/>
        <w:rPr>
          <w:rFonts w:eastAsia="Calibri" w:cs="Tahoma"/>
          <w:bCs/>
          <w:color w:val="auto"/>
        </w:rPr>
      </w:pPr>
      <w:r w:rsidRPr="005C5F89">
        <w:rPr>
          <w:rFonts w:eastAsia="Calibri" w:cs="Tahoma"/>
          <w:bCs/>
          <w:color w:val="auto"/>
        </w:rPr>
        <w:t>Tampoco dificulta o menoscaba las estrategias contra la evasión de reos o la capacidad de disuadir, prevenir disturbios sociales, o bien, la capacidad de reacción, planes, estrategias, tecnologías, información o sistemas de comunicaciones, pues no se está dando a conocer información concerniente a vehículos, armamento, chalecos o radios de comunicación; sino únicamente al personal que se encarga de la seguridad pública del Municipio.</w:t>
      </w:r>
    </w:p>
    <w:p w:rsidRPr="005C5F89" w:rsidR="00773AF1" w:rsidP="003A7290" w:rsidRDefault="00773AF1" w14:paraId="7F4BF728" w14:textId="77777777">
      <w:pPr>
        <w:spacing w:after="0" w:line="360" w:lineRule="auto"/>
        <w:ind w:left="720"/>
        <w:contextualSpacing/>
        <w:jc w:val="left"/>
        <w:rPr>
          <w:rFonts w:eastAsia="Calibri" w:cs="Tahoma"/>
          <w:bCs/>
          <w:color w:val="auto"/>
        </w:rPr>
      </w:pPr>
    </w:p>
    <w:p w:rsidRPr="005C5F89" w:rsidR="00773AF1" w:rsidP="003A7290" w:rsidRDefault="00773AF1" w14:paraId="2055BD2F" w14:textId="77777777">
      <w:pPr>
        <w:numPr>
          <w:ilvl w:val="0"/>
          <w:numId w:val="38"/>
        </w:numPr>
        <w:spacing w:after="0" w:line="360" w:lineRule="auto"/>
        <w:rPr>
          <w:rFonts w:eastAsia="Calibri" w:cs="Tahoma"/>
          <w:bCs/>
          <w:color w:val="auto"/>
        </w:rPr>
      </w:pPr>
      <w:r w:rsidRPr="005C5F89">
        <w:rPr>
          <w:rFonts w:eastAsia="Calibri" w:cs="Tahoma"/>
          <w:bCs/>
          <w:color w:val="auto"/>
        </w:rPr>
        <w:t>La información requerida, no es producto de la intervención de comunicaciones privadas, ni se encuentra contenida en averiguaciones previas, carpetas de investigación, expedientes y archivos de investigación o prevención de delitos.</w:t>
      </w:r>
    </w:p>
    <w:p w:rsidRPr="005C5F89" w:rsidR="00773AF1" w:rsidP="003A7290" w:rsidRDefault="00773AF1" w14:paraId="14476D19" w14:textId="77777777">
      <w:pPr>
        <w:spacing w:after="0" w:line="360" w:lineRule="auto"/>
        <w:ind w:left="720"/>
        <w:contextualSpacing/>
        <w:jc w:val="left"/>
        <w:rPr>
          <w:rFonts w:eastAsia="Calibri" w:cs="Tahoma"/>
          <w:bCs/>
          <w:color w:val="auto"/>
        </w:rPr>
      </w:pPr>
    </w:p>
    <w:p w:rsidRPr="005C5F89" w:rsidR="00773AF1" w:rsidP="003A7290" w:rsidRDefault="00773AF1" w14:paraId="13311454" w14:textId="1E171586">
      <w:pPr>
        <w:numPr>
          <w:ilvl w:val="0"/>
          <w:numId w:val="38"/>
        </w:numPr>
        <w:spacing w:after="0" w:line="360" w:lineRule="auto"/>
        <w:rPr>
          <w:rFonts w:eastAsia="Calibri" w:cs="Tahoma"/>
          <w:bCs/>
          <w:color w:val="auto"/>
        </w:rPr>
      </w:pPr>
      <w:r w:rsidRPr="005C5F89">
        <w:rPr>
          <w:rFonts w:eastAsia="Calibri" w:cs="Tahoma"/>
          <w:bCs/>
          <w:color w:val="auto"/>
        </w:rPr>
        <w:t>La categoría, adscripción o sueldo, de ninguna forma da cuenta, de normas, procedimientos, métodos, fuentes, especificaciones técnicas, sistemas, tecnologías o equipos útiles a la generación de inteligencia en materia de seguridad pública o en combate a la delincuencia, pues como se precisó solamente da a conocer el estado de fuerza municipal y no la forma de actuación, estrategias y equipo con la que opera la Dirección</w:t>
      </w:r>
      <w:r w:rsidRPr="005C5F89" w:rsidR="00AF1307">
        <w:rPr>
          <w:rFonts w:eastAsia="Calibri" w:cs="Tahoma"/>
          <w:bCs/>
          <w:color w:val="auto"/>
        </w:rPr>
        <w:t xml:space="preserve"> General de Seguridad y Protección</w:t>
      </w:r>
      <w:r w:rsidRPr="005C5F89">
        <w:rPr>
          <w:rFonts w:eastAsia="Calibri" w:cs="Tahoma"/>
          <w:bCs/>
          <w:color w:val="auto"/>
        </w:rPr>
        <w:t>.</w:t>
      </w:r>
    </w:p>
    <w:p w:rsidRPr="005C5F89" w:rsidR="00773AF1" w:rsidP="003A7290" w:rsidRDefault="00773AF1" w14:paraId="5CE58F7D" w14:textId="77777777">
      <w:pPr>
        <w:spacing w:after="0" w:line="360" w:lineRule="auto"/>
        <w:rPr>
          <w:rFonts w:eastAsia="Calibri" w:cs="Tahoma"/>
          <w:bCs/>
          <w:color w:val="auto"/>
        </w:rPr>
      </w:pPr>
    </w:p>
    <w:p w:rsidRPr="005C5F89" w:rsidR="00773AF1" w:rsidP="003A7290" w:rsidRDefault="00773AF1" w14:paraId="6DBE985B" w14:textId="7C6199DE">
      <w:pPr>
        <w:spacing w:after="0" w:line="360" w:lineRule="auto"/>
        <w:rPr>
          <w:rFonts w:eastAsia="Calibri" w:cs="Tahoma"/>
          <w:b/>
          <w:bCs/>
          <w:color w:val="auto"/>
        </w:rPr>
      </w:pPr>
      <w:r w:rsidRPr="005C5F89">
        <w:rPr>
          <w:rFonts w:eastAsia="Calibri" w:cs="Tahoma"/>
          <w:bCs/>
          <w:color w:val="auto"/>
        </w:rPr>
        <w:t>Conforme a lo anterior, no se logra desprender, la forma en que la categoría, adscripción y remuneraciones de los cuerpos policiacos, puedan afectar la seguridad pública del Municipio de Toluca; además</w:t>
      </w:r>
      <w:r w:rsidRPr="005C5F89">
        <w:rPr>
          <w:rFonts w:eastAsia="Calibri" w:cs="Tahoma"/>
          <w:iCs/>
          <w:color w:val="auto"/>
          <w:lang w:val="es-ES" w:eastAsia="es-ES_tradnl"/>
        </w:rPr>
        <w:t xml:space="preserve">, que este Instituto no advierte un riesgo real, demostrable e identificable que supere al interés público o bien perjudique la seguridad pública, pues como se precisó en párrafos anteriores, la información requerida </w:t>
      </w:r>
      <w:r w:rsidRPr="005C5F89">
        <w:rPr>
          <w:rFonts w:eastAsia="Calibri" w:cs="Tahoma"/>
          <w:b/>
          <w:iCs/>
          <w:color w:val="auto"/>
          <w:lang w:val="es-ES" w:eastAsia="es-ES_tradnl"/>
        </w:rPr>
        <w:t xml:space="preserve">no da cuenta de la forma de actuación, estrategias o equipo con el que cuenta la </w:t>
      </w:r>
      <w:r w:rsidRPr="005C5F89">
        <w:rPr>
          <w:rFonts w:eastAsia="Calibri" w:cs="Tahoma"/>
          <w:b/>
          <w:bCs/>
          <w:iCs/>
          <w:color w:val="auto"/>
          <w:lang w:eastAsia="es-ES_tradnl"/>
        </w:rPr>
        <w:t>Dirección General de Seguridad y Protección</w:t>
      </w:r>
      <w:r w:rsidRPr="005C5F89">
        <w:rPr>
          <w:rFonts w:eastAsia="Calibri" w:cs="Tahoma"/>
          <w:b/>
          <w:iCs/>
          <w:color w:val="auto"/>
          <w:lang w:val="es-ES" w:eastAsia="es-ES_tradnl"/>
        </w:rPr>
        <w:t>, tampoco precisa la capacidad de reacción o la forma de organización para prevenir delitos, ni de actuaciones en averiguaciones previas, carpetas de investigación o bien, la intervención de comunicaciones privadas.</w:t>
      </w:r>
    </w:p>
    <w:p w:rsidRPr="005C5F89" w:rsidR="00773AF1" w:rsidP="003A7290" w:rsidRDefault="00773AF1" w14:paraId="43E7D51E" w14:textId="77777777">
      <w:pPr>
        <w:spacing w:after="0" w:line="360" w:lineRule="auto"/>
        <w:ind w:right="-93"/>
        <w:rPr>
          <w:rFonts w:eastAsia="Calibri" w:cs="Tahoma"/>
          <w:bCs/>
          <w:color w:val="auto"/>
        </w:rPr>
      </w:pPr>
    </w:p>
    <w:p w:rsidRPr="005C5F89" w:rsidR="00773AF1" w:rsidP="003A7290" w:rsidRDefault="00773AF1" w14:paraId="2FE7B5B1" w14:textId="5C20C4FC">
      <w:pPr>
        <w:spacing w:after="0" w:line="360" w:lineRule="auto"/>
        <w:ind w:right="-93"/>
        <w:rPr>
          <w:rFonts w:eastAsia="Calibri" w:cs="Tahoma"/>
          <w:bCs/>
          <w:color w:val="auto"/>
        </w:rPr>
      </w:pPr>
      <w:r w:rsidRPr="005C5F89">
        <w:rPr>
          <w:rFonts w:eastAsia="Calibri" w:cs="Tahoma"/>
          <w:bCs/>
          <w:color w:val="auto"/>
        </w:rPr>
        <w:t xml:space="preserve">Situación que se robustece con el hecho de que conforme al artículo 70, fracciones VI y VIII, de la Ley General de Transparencia y Acceso a la Información Pública, con relación al 92, fracciones VII y VIII, de la Ley de Transparencia y Acceso a la Información Pública del Estado de México y Municipios, </w:t>
      </w:r>
      <w:r w:rsidRPr="005C5F89" w:rsidR="00146348">
        <w:rPr>
          <w:rFonts w:eastAsia="Calibri" w:cs="Tahoma"/>
          <w:bCs/>
          <w:color w:val="auto"/>
        </w:rPr>
        <w:t xml:space="preserve">el cargo, adscripción y </w:t>
      </w:r>
      <w:r w:rsidRPr="005C5F89">
        <w:rPr>
          <w:rFonts w:eastAsia="Calibri" w:cs="Tahoma"/>
          <w:bCs/>
          <w:color w:val="auto"/>
        </w:rPr>
        <w:t>remuneraciones</w:t>
      </w:r>
      <w:r w:rsidRPr="005C5F89" w:rsidR="00146348">
        <w:rPr>
          <w:rFonts w:eastAsia="Calibri" w:cs="Tahoma"/>
          <w:bCs/>
          <w:color w:val="auto"/>
        </w:rPr>
        <w:t xml:space="preserve"> de los servidores públicos</w:t>
      </w:r>
      <w:r w:rsidRPr="005C5F89">
        <w:rPr>
          <w:rFonts w:eastAsia="Calibri" w:cs="Tahoma"/>
          <w:bCs/>
          <w:color w:val="auto"/>
        </w:rPr>
        <w:t xml:space="preserve">, son de carácter público. Por lo tanto, dicho ordenamiento jurídico, considera que </w:t>
      </w:r>
      <w:r w:rsidRPr="005C5F89">
        <w:rPr>
          <w:rFonts w:eastAsia="Calibri" w:cs="Tahoma"/>
          <w:b/>
          <w:bCs/>
          <w:color w:val="auto"/>
        </w:rPr>
        <w:t xml:space="preserve">los datos de </w:t>
      </w:r>
      <w:r w:rsidRPr="005C5F89">
        <w:rPr>
          <w:rFonts w:eastAsia="Calibri" w:cs="Tahoma"/>
          <w:b/>
          <w:bCs/>
          <w:color w:val="auto"/>
        </w:rPr>
        <w:lastRenderedPageBreak/>
        <w:t xml:space="preserve">servidores públicos, por regla general, </w:t>
      </w:r>
      <w:r w:rsidRPr="005C5F89">
        <w:rPr>
          <w:rFonts w:eastAsia="Calibri" w:cs="Tahoma"/>
          <w:bCs/>
          <w:color w:val="auto"/>
        </w:rPr>
        <w:t>son de naturaleza pública, ya que su publicidad orienta a cumplir los objetivos que persigue la Ley.</w:t>
      </w:r>
    </w:p>
    <w:p w:rsidRPr="005C5F89" w:rsidR="00773AF1" w:rsidP="003A7290" w:rsidRDefault="00773AF1" w14:paraId="67322050" w14:textId="77777777">
      <w:pPr>
        <w:spacing w:after="0" w:line="360" w:lineRule="auto"/>
        <w:rPr>
          <w:rFonts w:eastAsia="Calibri" w:cs="Tahoma"/>
          <w:bCs/>
          <w:color w:val="auto"/>
        </w:rPr>
      </w:pPr>
    </w:p>
    <w:p w:rsidRPr="005C5F89" w:rsidR="00773AF1" w:rsidP="003A7290" w:rsidRDefault="00773AF1" w14:paraId="090E952D" w14:textId="44C08C4E">
      <w:pPr>
        <w:spacing w:after="0" w:line="360" w:lineRule="auto"/>
        <w:rPr>
          <w:rFonts w:eastAsia="Calibri" w:cs="Tahoma"/>
          <w:bCs/>
          <w:color w:val="auto"/>
        </w:rPr>
      </w:pPr>
      <w:r w:rsidRPr="005C5F89">
        <w:rPr>
          <w:rFonts w:eastAsia="Calibri" w:cs="Tahoma"/>
          <w:bCs/>
          <w:color w:val="auto"/>
        </w:rPr>
        <w:t xml:space="preserve">De tal situación, el simple hecho de conocer el número de </w:t>
      </w:r>
      <w:r w:rsidRPr="005C5F89" w:rsidR="00146348">
        <w:rPr>
          <w:rFonts w:eastAsia="Calibri" w:cs="Tahoma"/>
          <w:bCs/>
          <w:color w:val="auto"/>
        </w:rPr>
        <w:t>elementos de la Dirección General de Seguridad y Protección</w:t>
      </w:r>
      <w:r w:rsidRPr="005C5F89">
        <w:rPr>
          <w:rFonts w:eastAsia="Calibri" w:cs="Tahoma"/>
          <w:bCs/>
          <w:color w:val="auto"/>
        </w:rPr>
        <w:t xml:space="preserve"> con los que cuenta el Municipio, no brinda información que pudiera ser utilizada por personas con la finalidad de cometer algún ilícito, pues si bien constituye o se identifica como se conforma el estado de fuerza, este no refleja la capacidad de reacción, pues se integra, entre otras cosas por el equipo con el que cuenta </w:t>
      </w:r>
      <w:r w:rsidRPr="005C5F89" w:rsidR="00146348">
        <w:rPr>
          <w:rFonts w:eastAsia="Calibri" w:cs="Tahoma"/>
          <w:bCs/>
          <w:color w:val="auto"/>
        </w:rPr>
        <w:t>dicha unidad</w:t>
      </w:r>
      <w:r w:rsidRPr="005C5F89">
        <w:rPr>
          <w:rFonts w:eastAsia="Calibri" w:cs="Tahoma"/>
          <w:bCs/>
          <w:color w:val="auto"/>
        </w:rPr>
        <w:t>, como lo son, los vehículos y armamento; asimismo, no es posible identificar el riesgo de perjuicio que supondría la divulgación de la información, contenida en la nómina del personal de seguridad pública, o que esta información constituya  procedimientos, métodos, fuentes, especificaciones técnicas, tecnología o equipo útiles a la generación de inteligencia utilizado en la prevención de los delitos del orden común, pues únicamente se estarían revelando el nombre, cargo y puesto, sin precisar sus funciones específicas y si estas son de carácter operativo o administrativo.</w:t>
      </w:r>
    </w:p>
    <w:p w:rsidRPr="005C5F89" w:rsidR="00773AF1" w:rsidP="003A7290" w:rsidRDefault="00773AF1" w14:paraId="0F7D9958" w14:textId="77777777">
      <w:pPr>
        <w:spacing w:after="0" w:line="360" w:lineRule="auto"/>
        <w:rPr>
          <w:rFonts w:eastAsia="Calibri" w:cs="Tahoma"/>
          <w:bCs/>
          <w:color w:val="auto"/>
        </w:rPr>
      </w:pPr>
    </w:p>
    <w:p w:rsidRPr="005C5F89" w:rsidR="00773AF1" w:rsidP="003A7290" w:rsidRDefault="00773AF1" w14:paraId="60708F12" w14:textId="77777777">
      <w:pPr>
        <w:spacing w:after="0" w:line="360" w:lineRule="auto"/>
        <w:ind w:right="-93"/>
        <w:rPr>
          <w:rFonts w:eastAsia="Times New Roman" w:cs="Tahoma"/>
          <w:color w:val="auto"/>
          <w:lang w:val="es-ES" w:eastAsia="es-ES"/>
        </w:rPr>
      </w:pPr>
      <w:r w:rsidRPr="005C5F89">
        <w:rPr>
          <w:rFonts w:eastAsia="Times New Roman" w:cs="Tahoma"/>
          <w:color w:val="auto"/>
          <w:lang w:val="es-ES" w:eastAsia="es-ES"/>
        </w:rPr>
        <w:t>Por tales consideraciones, no resulta procedente la reserva en términos del artículo 140, fracción I de la Ley de Transparencia y Acceso a la Información Pública del Estado de México y Municipios.</w:t>
      </w:r>
    </w:p>
    <w:p w:rsidRPr="005C5F89" w:rsidR="004D6EBD" w:rsidP="003A7290" w:rsidRDefault="004D6EBD" w14:paraId="2D038DCD" w14:textId="7ADA3E37">
      <w:pPr>
        <w:spacing w:after="0" w:line="360" w:lineRule="auto"/>
        <w:rPr>
          <w:rFonts w:eastAsia="Calibri" w:cs="Times New Roman"/>
          <w:color w:val="000000"/>
        </w:rPr>
      </w:pPr>
    </w:p>
    <w:p w:rsidRPr="005C5F89" w:rsidR="00146348" w:rsidP="003A7290" w:rsidRDefault="00146348" w14:paraId="130DF564" w14:textId="77777777">
      <w:pPr>
        <w:spacing w:after="0" w:line="360" w:lineRule="auto"/>
        <w:rPr>
          <w:rFonts w:eastAsia="Calibri" w:cs="Tahoma"/>
          <w:b/>
          <w:color w:val="0D0D0D" w:themeColor="text1" w:themeTint="F2"/>
        </w:rPr>
      </w:pPr>
      <w:r w:rsidRPr="005C5F89">
        <w:rPr>
          <w:rFonts w:eastAsia="Calibri" w:cs="Tahoma"/>
          <w:b/>
          <w:color w:val="0D0D0D" w:themeColor="text1" w:themeTint="F2"/>
        </w:rPr>
        <w:t>Artículo 140, fracción IV, de la Ley de Transparencia y Acceso a la Información Pública del Estado de México y Municipios.</w:t>
      </w:r>
    </w:p>
    <w:p w:rsidRPr="005C5F89" w:rsidR="00146348" w:rsidP="003A7290" w:rsidRDefault="00146348" w14:paraId="198BB1A1" w14:textId="77777777">
      <w:pPr>
        <w:spacing w:after="0" w:line="360" w:lineRule="auto"/>
        <w:rPr>
          <w:rFonts w:eastAsia="Calibri" w:cs="Tahoma"/>
          <w:bCs/>
          <w:color w:val="0D0D0D" w:themeColor="text1" w:themeTint="F2"/>
        </w:rPr>
      </w:pPr>
    </w:p>
    <w:p w:rsidRPr="005C5F89" w:rsidR="00146348" w:rsidP="003A7290" w:rsidRDefault="00146348" w14:paraId="1F2A3F16" w14:textId="0A951749">
      <w:pPr>
        <w:spacing w:after="0" w:line="360" w:lineRule="auto"/>
        <w:rPr>
          <w:rFonts w:eastAsia="Calibri" w:cs="Times New Roman"/>
          <w:color w:val="auto"/>
          <w:szCs w:val="20"/>
          <w:lang w:eastAsia="es-ES"/>
        </w:rPr>
      </w:pPr>
      <w:r w:rsidRPr="005C5F89">
        <w:rPr>
          <w:rFonts w:eastAsia="Calibri" w:cs="Times New Roman"/>
          <w:color w:val="auto"/>
          <w:szCs w:val="20"/>
          <w:lang w:eastAsia="es-ES"/>
        </w:rPr>
        <w:t>El artículo 140, fracción IV, de la Ley de Transparencia y Acceso a la Información Pública del Estado de México y Municipios, homólogo a parte del artículo 113, fracción V de la Ley General de Transparencia y Acceso a la Información Pública), prevé lo siguiente:</w:t>
      </w:r>
    </w:p>
    <w:p w:rsidRPr="005C5F89" w:rsidR="00AF1307" w:rsidP="003A7290" w:rsidRDefault="00AF1307" w14:paraId="14AAFF5F" w14:textId="77777777">
      <w:pPr>
        <w:spacing w:after="0" w:line="360" w:lineRule="auto"/>
        <w:rPr>
          <w:rFonts w:eastAsia="Calibri" w:cs="Times New Roman"/>
          <w:color w:val="auto"/>
          <w:szCs w:val="20"/>
          <w:lang w:eastAsia="es-ES"/>
        </w:rPr>
      </w:pPr>
    </w:p>
    <w:p w:rsidRPr="005C5F89" w:rsidR="00146348" w:rsidP="003A7290" w:rsidRDefault="00146348" w14:paraId="32C3016A" w14:textId="77777777">
      <w:pPr>
        <w:tabs>
          <w:tab w:val="left" w:pos="4962"/>
        </w:tabs>
        <w:spacing w:after="0" w:line="360" w:lineRule="auto"/>
        <w:ind w:left="567" w:right="567"/>
        <w:rPr>
          <w:rFonts w:eastAsia="Calibri" w:cs="Tahoma"/>
          <w:i/>
          <w:iCs/>
          <w:color w:val="auto"/>
          <w:sz w:val="20"/>
          <w:szCs w:val="20"/>
          <w:lang w:val="es-ES" w:eastAsia="es-ES_tradnl"/>
        </w:rPr>
      </w:pPr>
      <w:r w:rsidRPr="005C5F89">
        <w:rPr>
          <w:rFonts w:eastAsia="Calibri" w:cs="Tahoma"/>
          <w:i/>
          <w:iCs/>
          <w:color w:val="auto"/>
          <w:sz w:val="20"/>
          <w:szCs w:val="20"/>
          <w:lang w:val="es-ES" w:eastAsia="es-ES_tradnl"/>
        </w:rPr>
        <w:lastRenderedPageBreak/>
        <w:t>“</w:t>
      </w:r>
      <w:r w:rsidRPr="005C5F89">
        <w:rPr>
          <w:rFonts w:eastAsia="Calibri" w:cs="Tahoma"/>
          <w:b/>
          <w:i/>
          <w:iCs/>
          <w:color w:val="auto"/>
          <w:sz w:val="20"/>
          <w:szCs w:val="20"/>
          <w:lang w:val="es-ES" w:eastAsia="es-ES_tradnl"/>
        </w:rPr>
        <w:t>Artículo 140.</w:t>
      </w:r>
      <w:r w:rsidRPr="005C5F89">
        <w:rPr>
          <w:rFonts w:eastAsia="Calibri" w:cs="Tahoma"/>
          <w:i/>
          <w:iCs/>
          <w:color w:val="auto"/>
          <w:sz w:val="20"/>
          <w:szCs w:val="20"/>
          <w:lang w:val="es-ES" w:eastAsia="es-ES_tradnl"/>
        </w:rPr>
        <w:t xml:space="preserve"> El acceso a la información pública será restringido excepcionalmente, cuando por razones de interés público, ésta sea clasificada como reservada, conforme a los criterios siguientes: </w:t>
      </w:r>
    </w:p>
    <w:p w:rsidRPr="005C5F89" w:rsidR="00146348" w:rsidP="003A7290" w:rsidRDefault="00146348" w14:paraId="7E1A11DA" w14:textId="77777777">
      <w:pPr>
        <w:tabs>
          <w:tab w:val="left" w:pos="4962"/>
        </w:tabs>
        <w:spacing w:after="0" w:line="360" w:lineRule="auto"/>
        <w:ind w:left="567" w:right="567"/>
        <w:rPr>
          <w:rFonts w:eastAsia="Calibri" w:cs="Tahoma"/>
          <w:i/>
          <w:iCs/>
          <w:color w:val="auto"/>
          <w:sz w:val="20"/>
          <w:szCs w:val="20"/>
          <w:lang w:val="es-ES" w:eastAsia="es-ES_tradnl"/>
        </w:rPr>
      </w:pPr>
      <w:r w:rsidRPr="005C5F89">
        <w:rPr>
          <w:rFonts w:eastAsia="Calibri" w:cs="Tahoma"/>
          <w:i/>
          <w:iCs/>
          <w:color w:val="auto"/>
          <w:sz w:val="20"/>
          <w:szCs w:val="20"/>
          <w:lang w:val="es-ES" w:eastAsia="es-ES_tradnl"/>
        </w:rPr>
        <w:t>…</w:t>
      </w:r>
    </w:p>
    <w:p w:rsidRPr="005C5F89" w:rsidR="00146348" w:rsidP="003A7290" w:rsidRDefault="00146348" w14:paraId="492BC9F0" w14:textId="77777777">
      <w:pPr>
        <w:tabs>
          <w:tab w:val="left" w:pos="4962"/>
        </w:tabs>
        <w:spacing w:after="0" w:line="360" w:lineRule="auto"/>
        <w:ind w:left="567" w:right="567"/>
        <w:rPr>
          <w:rFonts w:eastAsia="Calibri" w:cs="Tahoma"/>
          <w:i/>
          <w:iCs/>
          <w:color w:val="auto"/>
          <w:sz w:val="20"/>
          <w:szCs w:val="20"/>
          <w:lang w:eastAsia="es-ES_tradnl"/>
        </w:rPr>
      </w:pPr>
      <w:r w:rsidRPr="005C5F89">
        <w:rPr>
          <w:rFonts w:eastAsia="Calibri" w:cs="Tahoma"/>
          <w:i/>
          <w:iCs/>
          <w:color w:val="auto"/>
          <w:sz w:val="20"/>
          <w:szCs w:val="20"/>
          <w:lang w:eastAsia="es-ES_tradnl"/>
        </w:rPr>
        <w:t>IV. Ponga en riesgo la vida, la seguridad o la salud de una persona física;</w:t>
      </w:r>
    </w:p>
    <w:p w:rsidRPr="005C5F89" w:rsidR="00146348" w:rsidP="003A7290" w:rsidRDefault="00146348" w14:paraId="2FEECBD6" w14:textId="77777777">
      <w:pPr>
        <w:tabs>
          <w:tab w:val="left" w:pos="4962"/>
        </w:tabs>
        <w:spacing w:after="0" w:line="360" w:lineRule="auto"/>
        <w:ind w:left="567" w:right="567"/>
        <w:rPr>
          <w:rFonts w:eastAsia="Calibri" w:cs="Tahoma"/>
          <w:i/>
          <w:iCs/>
          <w:color w:val="auto"/>
          <w:sz w:val="20"/>
          <w:szCs w:val="20"/>
          <w:lang w:val="es-ES" w:eastAsia="es-ES_tradnl"/>
        </w:rPr>
      </w:pPr>
      <w:r w:rsidRPr="005C5F89">
        <w:rPr>
          <w:rFonts w:eastAsia="Calibri" w:cs="Tahoma"/>
          <w:i/>
          <w:iCs/>
          <w:color w:val="auto"/>
          <w:sz w:val="20"/>
          <w:szCs w:val="20"/>
          <w:lang w:val="es-ES" w:eastAsia="es-ES_tradnl"/>
        </w:rPr>
        <w:t xml:space="preserve">…” </w:t>
      </w:r>
    </w:p>
    <w:p w:rsidRPr="005C5F89" w:rsidR="00146348" w:rsidP="003A7290" w:rsidRDefault="00146348" w14:paraId="770EADCD" w14:textId="77777777">
      <w:pPr>
        <w:spacing w:after="0" w:line="360" w:lineRule="auto"/>
        <w:rPr>
          <w:rFonts w:eastAsia="Calibri" w:cs="Tahoma"/>
          <w:bCs/>
          <w:color w:val="auto"/>
        </w:rPr>
      </w:pPr>
    </w:p>
    <w:p w:rsidRPr="005C5F89" w:rsidR="00146348" w:rsidP="003A7290" w:rsidRDefault="00146348" w14:paraId="092E823E" w14:textId="77777777">
      <w:pPr>
        <w:spacing w:after="0" w:line="360" w:lineRule="auto"/>
        <w:rPr>
          <w:rFonts w:eastAsia="Calibri" w:cs="Tahoma"/>
          <w:bCs/>
          <w:color w:val="auto"/>
        </w:rPr>
      </w:pPr>
      <w:r w:rsidRPr="005C5F89">
        <w:rPr>
          <w:rFonts w:eastAsia="Calibri" w:cs="Tahoma"/>
          <w:bCs/>
          <w:color w:val="auto"/>
        </w:rPr>
        <w:t xml:space="preserve">Del precepto legal anteriormente citado se desprende que como información reservada podrá clasificarse aquella cuya publicación pueda poner en riesgo la vida, seguridad o salud de una persona física; para acreditar lo anterior, los </w:t>
      </w:r>
      <w:r w:rsidRPr="005C5F89">
        <w:rPr>
          <w:rFonts w:eastAsia="Calibri" w:cs="Tahoma"/>
          <w:bCs/>
          <w:color w:val="auto"/>
          <w:lang w:val="es-ES"/>
        </w:rPr>
        <w:t>Lineamientos Generales,</w:t>
      </w:r>
      <w:r w:rsidRPr="005C5F89">
        <w:rPr>
          <w:rFonts w:eastAsia="Calibri" w:cs="Tahoma"/>
          <w:bCs/>
          <w:color w:val="auto"/>
        </w:rPr>
        <w:t xml:space="preserve"> establecen lo siguiente:</w:t>
      </w:r>
    </w:p>
    <w:p w:rsidRPr="005C5F89" w:rsidR="00146348" w:rsidP="003A7290" w:rsidRDefault="00146348" w14:paraId="5847463C" w14:textId="77777777">
      <w:pPr>
        <w:spacing w:after="0" w:line="360" w:lineRule="auto"/>
        <w:rPr>
          <w:rFonts w:eastAsia="Calibri" w:cs="Tahoma"/>
          <w:bCs/>
          <w:color w:val="auto"/>
        </w:rPr>
      </w:pPr>
    </w:p>
    <w:p w:rsidRPr="005C5F89" w:rsidR="00146348" w:rsidP="003A7290" w:rsidRDefault="00146348" w14:paraId="415E511A" w14:textId="77777777">
      <w:pPr>
        <w:spacing w:after="0" w:line="360" w:lineRule="auto"/>
        <w:ind w:left="567" w:right="567"/>
        <w:rPr>
          <w:rFonts w:eastAsia="Calibri" w:cs="Tahoma"/>
          <w:bCs/>
          <w:i/>
          <w:color w:val="auto"/>
          <w:sz w:val="20"/>
          <w:szCs w:val="20"/>
        </w:rPr>
      </w:pPr>
      <w:r w:rsidRPr="005C5F89">
        <w:rPr>
          <w:rFonts w:eastAsia="Calibri" w:cs="Tahoma"/>
          <w:b/>
          <w:bCs/>
          <w:i/>
          <w:color w:val="auto"/>
          <w:sz w:val="20"/>
          <w:szCs w:val="20"/>
        </w:rPr>
        <w:t xml:space="preserve">“Vigésimo tercero. </w:t>
      </w:r>
      <w:r w:rsidRPr="005C5F89">
        <w:rPr>
          <w:rFonts w:eastAsia="Calibri" w:cs="Tahoma"/>
          <w:bCs/>
          <w:i/>
          <w:color w:val="auto"/>
          <w:sz w:val="20"/>
          <w:szCs w:val="20"/>
        </w:rPr>
        <w:t>Para clasificar la información como reservada, de conformidad con el artículo 113, fracción V de la Ley General, será necesario acreditar un vínculo, entre la persona física y la información que pueda poner en riesgo su vida, seguridad o salud.”</w:t>
      </w:r>
    </w:p>
    <w:p w:rsidRPr="005C5F89" w:rsidR="00146348" w:rsidP="003A7290" w:rsidRDefault="00146348" w14:paraId="5A5A1C19" w14:textId="77777777">
      <w:pPr>
        <w:spacing w:after="0" w:line="360" w:lineRule="auto"/>
        <w:ind w:left="567" w:right="567"/>
        <w:rPr>
          <w:rFonts w:eastAsia="Calibri" w:cs="Tahoma"/>
          <w:bCs/>
          <w:i/>
          <w:color w:val="auto"/>
          <w:sz w:val="20"/>
          <w:szCs w:val="20"/>
        </w:rPr>
      </w:pPr>
    </w:p>
    <w:p w:rsidRPr="005C5F89" w:rsidR="00146348" w:rsidP="003A7290" w:rsidRDefault="00146348" w14:paraId="4DF4DA20" w14:textId="77777777">
      <w:pPr>
        <w:spacing w:after="0" w:line="360" w:lineRule="auto"/>
        <w:rPr>
          <w:rFonts w:eastAsia="Calibri" w:cs="Tahoma"/>
          <w:bCs/>
          <w:color w:val="auto"/>
        </w:rPr>
      </w:pPr>
      <w:r w:rsidRPr="005C5F89">
        <w:rPr>
          <w:rFonts w:eastAsia="Calibri" w:cs="Tahoma"/>
          <w:bCs/>
          <w:color w:val="auto"/>
        </w:rPr>
        <w:t xml:space="preserve">Del Lineamiento referido, se desprende que para clasificar la información como reservada, será necesario </w:t>
      </w:r>
      <w:r w:rsidRPr="005C5F89">
        <w:rPr>
          <w:rFonts w:eastAsia="Calibri" w:cs="Tahoma"/>
          <w:b/>
          <w:bCs/>
          <w:color w:val="auto"/>
        </w:rPr>
        <w:t>acreditar un vínculo, entre la persona física y la información que pueda poner en riesgo su vida, seguridad o salud</w:t>
      </w:r>
      <w:r w:rsidRPr="005C5F89">
        <w:rPr>
          <w:rFonts w:eastAsia="Calibri" w:cs="Tahoma"/>
          <w:bCs/>
          <w:color w:val="auto"/>
        </w:rPr>
        <w:t>.</w:t>
      </w:r>
    </w:p>
    <w:p w:rsidRPr="005C5F89" w:rsidR="00146348" w:rsidP="003A7290" w:rsidRDefault="00146348" w14:paraId="4560DECF" w14:textId="77777777">
      <w:pPr>
        <w:spacing w:after="0" w:line="360" w:lineRule="auto"/>
        <w:rPr>
          <w:rFonts w:eastAsia="Calibri" w:cs="Tahoma"/>
          <w:bCs/>
          <w:color w:val="auto"/>
        </w:rPr>
      </w:pPr>
    </w:p>
    <w:p w:rsidRPr="005C5F89" w:rsidR="00146348" w:rsidP="003A7290" w:rsidRDefault="00146348" w14:paraId="3050753B" w14:textId="77777777">
      <w:pPr>
        <w:spacing w:after="0" w:line="360" w:lineRule="auto"/>
        <w:rPr>
          <w:rFonts w:eastAsia="Calibri" w:cs="Tahoma"/>
          <w:bCs/>
          <w:color w:val="auto"/>
        </w:rPr>
      </w:pPr>
      <w:r w:rsidRPr="005C5F89">
        <w:rPr>
          <w:rFonts w:eastAsia="Calibri" w:cs="Tahoma"/>
          <w:bCs/>
          <w:color w:val="auto"/>
        </w:rPr>
        <w:t>Además, el artículo 81, fracción III, de la Ley de Seguridad del Estado de México, establece lo siguiente:</w:t>
      </w:r>
    </w:p>
    <w:p w:rsidRPr="005C5F89" w:rsidR="00146348" w:rsidP="003A7290" w:rsidRDefault="00146348" w14:paraId="19AE1D98" w14:textId="77777777">
      <w:pPr>
        <w:spacing w:after="0" w:line="360" w:lineRule="auto"/>
        <w:rPr>
          <w:rFonts w:eastAsia="Calibri" w:cs="Tahoma"/>
          <w:bCs/>
          <w:color w:val="auto"/>
        </w:rPr>
      </w:pPr>
    </w:p>
    <w:p w:rsidRPr="005C5F89" w:rsidR="00146348" w:rsidP="003A7290" w:rsidRDefault="00146348" w14:paraId="47B21CCC" w14:textId="77777777">
      <w:pPr>
        <w:spacing w:after="0" w:line="360" w:lineRule="auto"/>
        <w:ind w:left="567" w:right="567"/>
        <w:rPr>
          <w:rFonts w:eastAsia="Calibri" w:cs="Tahoma"/>
          <w:bCs/>
          <w:i/>
          <w:color w:val="auto"/>
          <w:sz w:val="20"/>
          <w:szCs w:val="20"/>
        </w:rPr>
      </w:pPr>
      <w:r w:rsidRPr="005C5F89">
        <w:rPr>
          <w:rFonts w:eastAsia="Calibri" w:cs="Tahoma"/>
          <w:b/>
          <w:bCs/>
          <w:i/>
          <w:color w:val="auto"/>
          <w:sz w:val="20"/>
          <w:szCs w:val="20"/>
        </w:rPr>
        <w:t>“Artículo 81.-</w:t>
      </w:r>
      <w:r w:rsidRPr="005C5F89">
        <w:rPr>
          <w:rFonts w:eastAsia="Calibri" w:cs="Tahoma"/>
          <w:bCs/>
          <w:i/>
          <w:color w:val="auto"/>
          <w:sz w:val="20"/>
          <w:szCs w:val="20"/>
        </w:rPr>
        <w:t xml:space="preserve"> Toda información para la seguridad pública generada o en poder de Instituciones de Seguridad Pública o de cualquier instancia del Sistema Estatal debe registrarse, clasificarse y tratarse de conformidad con las disposiciones aplicables. No </w:t>
      </w:r>
      <w:proofErr w:type="gramStart"/>
      <w:r w:rsidRPr="005C5F89">
        <w:rPr>
          <w:rFonts w:eastAsia="Calibri" w:cs="Tahoma"/>
          <w:bCs/>
          <w:i/>
          <w:color w:val="auto"/>
          <w:sz w:val="20"/>
          <w:szCs w:val="20"/>
        </w:rPr>
        <w:t>obstante</w:t>
      </w:r>
      <w:proofErr w:type="gramEnd"/>
      <w:r w:rsidRPr="005C5F89">
        <w:rPr>
          <w:rFonts w:eastAsia="Calibri" w:cs="Tahoma"/>
          <w:bCs/>
          <w:i/>
          <w:color w:val="auto"/>
          <w:sz w:val="20"/>
          <w:szCs w:val="20"/>
        </w:rPr>
        <w:t xml:space="preserve"> lo anterior, esta información se considerará reservada en los casos siguientes: </w:t>
      </w:r>
    </w:p>
    <w:p w:rsidRPr="005C5F89" w:rsidR="00146348" w:rsidP="003A7290" w:rsidRDefault="00146348" w14:paraId="17078A04" w14:textId="77777777">
      <w:pPr>
        <w:spacing w:after="0" w:line="360" w:lineRule="auto"/>
        <w:ind w:left="567" w:right="567"/>
        <w:rPr>
          <w:rFonts w:eastAsia="Calibri" w:cs="Tahoma"/>
          <w:bCs/>
          <w:i/>
          <w:color w:val="auto"/>
          <w:sz w:val="20"/>
          <w:szCs w:val="20"/>
        </w:rPr>
      </w:pPr>
      <w:r w:rsidRPr="005C5F89">
        <w:rPr>
          <w:rFonts w:eastAsia="Calibri" w:cs="Tahoma"/>
          <w:bCs/>
          <w:i/>
          <w:color w:val="auto"/>
          <w:sz w:val="20"/>
          <w:szCs w:val="20"/>
        </w:rPr>
        <w:t>…</w:t>
      </w:r>
    </w:p>
    <w:p w:rsidRPr="005C5F89" w:rsidR="00146348" w:rsidP="003A7290" w:rsidRDefault="00146348" w14:paraId="041D5202" w14:textId="77777777">
      <w:pPr>
        <w:spacing w:after="0" w:line="360" w:lineRule="auto"/>
        <w:ind w:left="567" w:right="567"/>
        <w:rPr>
          <w:rFonts w:eastAsia="Calibri" w:cs="Tahoma"/>
          <w:bCs/>
          <w:i/>
          <w:color w:val="auto"/>
          <w:sz w:val="20"/>
          <w:szCs w:val="20"/>
        </w:rPr>
      </w:pPr>
      <w:r w:rsidRPr="005C5F89">
        <w:rPr>
          <w:rFonts w:eastAsia="Calibri" w:cs="Tahoma"/>
          <w:bCs/>
          <w:i/>
          <w:color w:val="auto"/>
          <w:sz w:val="20"/>
          <w:szCs w:val="20"/>
        </w:rPr>
        <w:t>III. La relativa a los servidores públicos integrantes de las instituciones de seguridad pública, cuya revelación pueda poner en riesgo su vida e integridad física con motivo de sus funciones;</w:t>
      </w:r>
    </w:p>
    <w:p w:rsidRPr="005C5F89" w:rsidR="00146348" w:rsidP="003A7290" w:rsidRDefault="00146348" w14:paraId="73DFC5A1" w14:textId="77777777">
      <w:pPr>
        <w:spacing w:after="0" w:line="360" w:lineRule="auto"/>
        <w:ind w:left="567" w:right="567"/>
        <w:rPr>
          <w:rFonts w:eastAsia="Calibri" w:cs="Tahoma"/>
          <w:bCs/>
          <w:i/>
          <w:color w:val="auto"/>
          <w:sz w:val="20"/>
          <w:szCs w:val="20"/>
        </w:rPr>
      </w:pPr>
      <w:r w:rsidRPr="005C5F89">
        <w:rPr>
          <w:rFonts w:eastAsia="Calibri" w:cs="Tahoma"/>
          <w:bCs/>
          <w:i/>
          <w:color w:val="auto"/>
          <w:sz w:val="20"/>
          <w:szCs w:val="20"/>
        </w:rPr>
        <w:lastRenderedPageBreak/>
        <w:t>…”</w:t>
      </w:r>
    </w:p>
    <w:p w:rsidRPr="005C5F89" w:rsidR="00146348" w:rsidP="003A7290" w:rsidRDefault="00146348" w14:paraId="6AADA673" w14:textId="77777777">
      <w:pPr>
        <w:spacing w:after="0" w:line="360" w:lineRule="auto"/>
        <w:rPr>
          <w:rFonts w:eastAsia="Calibri" w:cs="Tahoma"/>
          <w:bCs/>
          <w:color w:val="auto"/>
          <w:sz w:val="20"/>
          <w:szCs w:val="20"/>
        </w:rPr>
      </w:pPr>
    </w:p>
    <w:p w:rsidRPr="005C5F89" w:rsidR="00146348" w:rsidP="003A7290" w:rsidRDefault="00146348" w14:paraId="22D77873" w14:textId="77777777">
      <w:pPr>
        <w:spacing w:after="0" w:line="360" w:lineRule="auto"/>
        <w:rPr>
          <w:rFonts w:eastAsia="Times New Roman" w:cs="Tahoma"/>
          <w:color w:val="auto"/>
          <w:lang w:eastAsia="es-ES"/>
        </w:rPr>
      </w:pPr>
      <w:r w:rsidRPr="005C5F89">
        <w:rPr>
          <w:rFonts w:eastAsia="Times New Roman" w:cs="Tahoma"/>
          <w:color w:val="auto"/>
          <w:lang w:eastAsia="es-ES"/>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rsidRPr="005C5F89" w:rsidR="00773AF1" w:rsidP="003A7290" w:rsidRDefault="00773AF1" w14:paraId="2191C010" w14:textId="046E57DA">
      <w:pPr>
        <w:spacing w:after="0" w:line="360" w:lineRule="auto"/>
        <w:rPr>
          <w:rFonts w:eastAsia="Calibri" w:cs="Times New Roman"/>
          <w:color w:val="000000"/>
        </w:rPr>
      </w:pPr>
    </w:p>
    <w:p w:rsidRPr="005C5F89" w:rsidR="00146348" w:rsidP="003A7290" w:rsidRDefault="00146348" w14:paraId="204915EB" w14:textId="72AEF31D">
      <w:pPr>
        <w:spacing w:after="0" w:line="360" w:lineRule="auto"/>
        <w:rPr>
          <w:rFonts w:eastAsia="Calibri" w:cs="Tahoma"/>
          <w:bCs/>
          <w:color w:val="auto"/>
        </w:rPr>
      </w:pPr>
      <w:r w:rsidRPr="005C5F89">
        <w:rPr>
          <w:rFonts w:eastAsia="Calibri" w:cs="Times New Roman"/>
          <w:color w:val="000000"/>
        </w:rPr>
        <w:t xml:space="preserve">Como se logra observar, para acreditar la causal de reserva en análisis, se debe acreditar </w:t>
      </w:r>
      <w:r w:rsidRPr="005C5F89">
        <w:rPr>
          <w:rFonts w:eastAsia="Calibri" w:cs="Tahoma"/>
          <w:b/>
          <w:bCs/>
          <w:color w:val="auto"/>
        </w:rPr>
        <w:t>un vínculo, entre el servidor público y la información que pueda poner en riesgo su vida, seguridad o salud</w:t>
      </w:r>
      <w:r w:rsidRPr="005C5F89">
        <w:rPr>
          <w:rFonts w:eastAsia="Calibri" w:cs="Tahoma"/>
          <w:bCs/>
          <w:color w:val="auto"/>
        </w:rPr>
        <w:t>.</w:t>
      </w:r>
    </w:p>
    <w:p w:rsidRPr="005C5F89" w:rsidR="00146348" w:rsidP="003A7290" w:rsidRDefault="00146348" w14:paraId="182D0AAF" w14:textId="3CB19A58">
      <w:pPr>
        <w:spacing w:after="0" w:line="360" w:lineRule="auto"/>
        <w:rPr>
          <w:rFonts w:eastAsia="Calibri" w:cs="Times New Roman"/>
          <w:color w:val="000000"/>
        </w:rPr>
      </w:pPr>
    </w:p>
    <w:p w:rsidRPr="005C5F89" w:rsidR="00146348" w:rsidP="003A7290" w:rsidRDefault="00146348" w14:paraId="047AF0B9" w14:textId="7CD74798">
      <w:pPr>
        <w:spacing w:after="0" w:line="360" w:lineRule="auto"/>
        <w:rPr>
          <w:rFonts w:eastAsia="Calibri" w:cs="Times New Roman"/>
          <w:color w:val="000000"/>
        </w:rPr>
      </w:pPr>
      <w:r w:rsidRPr="005C5F89">
        <w:rPr>
          <w:rFonts w:eastAsia="Calibri" w:cs="Times New Roman"/>
          <w:color w:val="000000"/>
        </w:rPr>
        <w:t xml:space="preserve">En el presente caso, este Instituto no advierte de que forma entregar el cargo, adscripción y </w:t>
      </w:r>
      <w:r w:rsidRPr="005C5F89" w:rsidR="00AF1307">
        <w:rPr>
          <w:rFonts w:eastAsia="Calibri" w:cs="Times New Roman"/>
          <w:color w:val="000000"/>
        </w:rPr>
        <w:t>salario del personal adscrito a la Dirección General de Seguridad y Protección, por si solos, es decir, sin vincularlo a la persona específica (nombre), podría poner en riesgo la vida, seguridad o salud de estos, pues no existe un vínculo que los pueda hacer identificables.</w:t>
      </w:r>
    </w:p>
    <w:p w:rsidRPr="005C5F89" w:rsidR="00AF1307" w:rsidP="003A7290" w:rsidRDefault="00AF1307" w14:paraId="69E298CA" w14:textId="350C5FEA">
      <w:pPr>
        <w:spacing w:after="0" w:line="360" w:lineRule="auto"/>
        <w:rPr>
          <w:rFonts w:eastAsia="Calibri" w:cs="Times New Roman"/>
          <w:color w:val="000000"/>
        </w:rPr>
      </w:pPr>
    </w:p>
    <w:p w:rsidRPr="005C5F89" w:rsidR="00AF1307" w:rsidP="003A7290" w:rsidRDefault="00AF1307" w14:paraId="36C86861" w14:textId="1E75D129">
      <w:pPr>
        <w:spacing w:after="0" w:line="360" w:lineRule="auto"/>
        <w:rPr>
          <w:rFonts w:eastAsia="Calibri" w:cs="Tahoma"/>
          <w:bCs/>
          <w:color w:val="auto"/>
        </w:rPr>
      </w:pPr>
      <w:r w:rsidRPr="005C5F89">
        <w:rPr>
          <w:rFonts w:eastAsia="Calibri" w:cs="Times New Roman"/>
          <w:color w:val="000000"/>
        </w:rPr>
        <w:t xml:space="preserve">Por tal circunstancia y toda vez, que conforme al </w:t>
      </w:r>
      <w:r w:rsidRPr="005C5F89">
        <w:rPr>
          <w:rFonts w:eastAsia="Calibri" w:cs="Tahoma"/>
          <w:bCs/>
          <w:color w:val="auto"/>
        </w:rPr>
        <w:t>artículo 70, fracciones VI y VIII, de la Ley General de Transparencia y Acceso a la Información Pública, con relación al 92, fracciones VII y VIII, de la Ley de Transparencia y Acceso a la Información Pública del Estado de México y Municipios, el cargo, adscripción y sueldo de los trabajadores gubernamentales son públicos, no resulta procedente la clasificación en términos del artículo 140, fracción IV, de la Ley Local de Transparencia.</w:t>
      </w:r>
    </w:p>
    <w:p w:rsidRPr="005C5F89" w:rsidR="00AF1307" w:rsidP="003A7290" w:rsidRDefault="00AF1307" w14:paraId="28E5E358" w14:textId="164F6B75">
      <w:pPr>
        <w:spacing w:after="0" w:line="360" w:lineRule="auto"/>
        <w:rPr>
          <w:rFonts w:eastAsia="Calibri" w:cs="Tahoma"/>
          <w:bCs/>
          <w:color w:val="auto"/>
        </w:rPr>
      </w:pPr>
    </w:p>
    <w:p w:rsidRPr="005C5F89" w:rsidR="001B4284" w:rsidP="003A7290" w:rsidRDefault="00F5388D" w14:paraId="477FB148" w14:textId="64AD6794">
      <w:pPr>
        <w:spacing w:after="0" w:line="360" w:lineRule="auto"/>
        <w:rPr>
          <w:rFonts w:eastAsia="Calibri" w:cs="Tahoma"/>
          <w:iCs/>
          <w:lang w:val="es-ES" w:eastAsia="es-ES_tradnl"/>
        </w:rPr>
      </w:pPr>
      <w:r w:rsidRPr="005C5F89">
        <w:rPr>
          <w:rFonts w:eastAsia="Calibri" w:cs="Times New Roman"/>
          <w:color w:val="000000"/>
        </w:rPr>
        <w:t>Conforme a lo anterior, resulta procedente que la Dirección General de Administración, realice una búsqueda exhaustiva y razonable en sus archivos, a efecto de que proporcione el documento donde conste la categoría, adscripción y salario de los servidores públicos adscritos a la Dirección General de Seguridad y Protección, al catorce de marzo de dos mil veintidós</w:t>
      </w:r>
      <w:r w:rsidRPr="005C5F89" w:rsidR="001B4284">
        <w:rPr>
          <w:rFonts w:eastAsia="Calibri" w:cs="Times New Roman"/>
          <w:color w:val="000000"/>
        </w:rPr>
        <w:t xml:space="preserve">; </w:t>
      </w:r>
      <w:r w:rsidRPr="005C5F89" w:rsidR="001B4284">
        <w:rPr>
          <w:rFonts w:eastAsia="Calibri" w:cs="Tahoma"/>
          <w:iCs/>
          <w:lang w:val="es-ES" w:eastAsia="es-ES_tradnl"/>
        </w:rPr>
        <w:t xml:space="preserve">dicha determinación toma relevancia, pues conforme al artículo 12 de la Ley de </w:t>
      </w:r>
      <w:r w:rsidRPr="005C5F89" w:rsidR="001B4284">
        <w:rPr>
          <w:rFonts w:eastAsia="Calibri" w:cs="Tahoma"/>
          <w:iCs/>
          <w:lang w:val="es-ES" w:eastAsia="es-ES_tradnl"/>
        </w:rPr>
        <w:lastRenderedPageBreak/>
        <w:t>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Pr="005C5F89" w:rsidR="001B4284" w:rsidP="003A7290" w:rsidRDefault="001B4284" w14:paraId="08C0E310" w14:textId="77777777">
      <w:pPr>
        <w:spacing w:after="0" w:line="360" w:lineRule="auto"/>
        <w:rPr>
          <w:rFonts w:eastAsia="Calibri" w:cs="Tahoma"/>
          <w:iCs/>
          <w:lang w:val="es-ES" w:eastAsia="es-ES_tradnl"/>
        </w:rPr>
      </w:pPr>
    </w:p>
    <w:p w:rsidRPr="005C5F89" w:rsidR="001B4284" w:rsidP="003A7290" w:rsidRDefault="001B4284" w14:paraId="6AD3905C" w14:textId="77777777">
      <w:pPr>
        <w:spacing w:after="0" w:line="360" w:lineRule="auto"/>
        <w:rPr>
          <w:rFonts w:eastAsia="Calibri" w:cs="Tahoma"/>
          <w:iCs/>
          <w:lang w:val="es-ES" w:eastAsia="es-ES_tradnl"/>
        </w:rPr>
      </w:pPr>
      <w:r w:rsidRPr="005C5F89">
        <w:rPr>
          <w:rFonts w:eastAsia="Calibri" w:cs="Tahoma"/>
          <w:iCs/>
          <w:lang w:val="es-ES" w:eastAsia="es-ES_tradnl"/>
        </w:rPr>
        <w:t xml:space="preserve">De esta manera, el derecho de acceso a la información pública se satisface en aquellos casos en que se entregue el soporte documental en el que conste la información solicitada, sin necesidad de elaborar documentos </w:t>
      </w:r>
      <w:r w:rsidRPr="005C5F89">
        <w:rPr>
          <w:rFonts w:eastAsia="Calibri" w:cs="Tahoma"/>
          <w:i/>
          <w:lang w:val="es-ES" w:eastAsia="es-ES_tradnl"/>
        </w:rPr>
        <w:t>“ad hoc”;</w:t>
      </w:r>
      <w:r w:rsidRPr="005C5F89">
        <w:rPr>
          <w:rFonts w:eastAsia="Calibri" w:cs="Tahoma"/>
          <w:iCs/>
          <w:lang w:val="es-ES" w:eastAsia="es-ES_tradnl"/>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el Criterio 03/17 del Instituto Nacional de Transparencia, Acceso a la Información y Protección de Datos Personales que a continuación se cita:</w:t>
      </w:r>
    </w:p>
    <w:p w:rsidRPr="005C5F89" w:rsidR="001B4284" w:rsidP="003A7290" w:rsidRDefault="001B4284" w14:paraId="5156186D" w14:textId="77777777">
      <w:pPr>
        <w:spacing w:after="0" w:line="360" w:lineRule="auto"/>
        <w:rPr>
          <w:rFonts w:eastAsia="Times New Roman" w:cs="Tahoma"/>
          <w:iCs/>
          <w:lang w:val="es-ES" w:eastAsia="es-ES"/>
        </w:rPr>
      </w:pPr>
    </w:p>
    <w:p w:rsidRPr="005C5F89" w:rsidR="001B4284" w:rsidP="003A7290" w:rsidRDefault="001B4284" w14:paraId="6EF3E2F0" w14:textId="77777777">
      <w:pPr>
        <w:spacing w:after="0" w:line="360" w:lineRule="auto"/>
        <w:ind w:left="567" w:right="567"/>
        <w:rPr>
          <w:rFonts w:eastAsia="Times New Roman" w:cs="Tahoma"/>
          <w:i/>
          <w:sz w:val="20"/>
          <w:szCs w:val="20"/>
          <w:lang w:val="es-ES" w:eastAsia="es-ES"/>
        </w:rPr>
      </w:pPr>
      <w:r w:rsidRPr="005C5F89">
        <w:rPr>
          <w:rFonts w:eastAsia="Times New Roman" w:cs="Tahoma"/>
          <w:b/>
          <w:bCs/>
          <w:i/>
          <w:sz w:val="20"/>
          <w:szCs w:val="20"/>
          <w:lang w:val="es-ES" w:eastAsia="es-ES"/>
        </w:rPr>
        <w:t>“No existe obligación de elaborar documentos ad hoc para atender las solicitudes de acceso a la información.</w:t>
      </w:r>
      <w:r w:rsidRPr="005C5F89">
        <w:rPr>
          <w:rFonts w:eastAsia="Times New Roman" w:cs="Tahoma"/>
          <w:i/>
          <w:sz w:val="20"/>
          <w:szCs w:val="20"/>
          <w:lang w:val="es-ES" w:eastAsia="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Pr="005C5F89" w:rsidR="001B4284" w:rsidP="003A7290" w:rsidRDefault="001B4284" w14:paraId="1D560D1F" w14:textId="77777777">
      <w:pPr>
        <w:spacing w:after="0" w:line="360" w:lineRule="auto"/>
        <w:rPr>
          <w:rFonts w:cs="Tahoma"/>
          <w:bCs/>
        </w:rPr>
      </w:pPr>
    </w:p>
    <w:p w:rsidRPr="005C5F89" w:rsidR="001B4284" w:rsidP="003A7290" w:rsidRDefault="001B4284" w14:paraId="09422286" w14:textId="6826F61A">
      <w:pPr>
        <w:spacing w:after="0" w:line="360" w:lineRule="auto"/>
        <w:rPr>
          <w:rFonts w:cs="Tahoma"/>
          <w:bCs/>
        </w:rPr>
      </w:pPr>
      <w:r w:rsidRPr="005C5F89">
        <w:rPr>
          <w:rFonts w:cs="Tahoma"/>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w:t>
      </w:r>
      <w:r w:rsidRPr="005C5F89">
        <w:rPr>
          <w:rFonts w:cs="Tahoma"/>
          <w:lang w:val="es-ES"/>
        </w:rPr>
        <w:lastRenderedPageBreak/>
        <w:t>lo que el Sujeto Obligado para dar atención a la solicitud de información, deberá entregar el documento donde conste</w:t>
      </w:r>
      <w:r w:rsidRPr="005C5F89" w:rsidR="007A6B97">
        <w:rPr>
          <w:rFonts w:cs="Tahoma"/>
          <w:lang w:val="es-ES"/>
        </w:rPr>
        <w:t xml:space="preserve"> </w:t>
      </w:r>
      <w:r w:rsidRPr="005C5F89" w:rsidR="007A6B97">
        <w:rPr>
          <w:rFonts w:eastAsia="Calibri" w:cs="Times New Roman"/>
          <w:color w:val="000000"/>
        </w:rPr>
        <w:t>la categoría, adscripción y salario de los servidores públicos adscritos a la Dirección General de Seguridad y Protección, al catorce de marzo de dos mil veintidós</w:t>
      </w:r>
      <w:r w:rsidRPr="005C5F89" w:rsidR="003A7290">
        <w:rPr>
          <w:rFonts w:eastAsia="Calibri" w:cs="Times New Roman"/>
          <w:color w:val="000000"/>
        </w:rPr>
        <w:t>.</w:t>
      </w:r>
    </w:p>
    <w:p w:rsidRPr="005C5F89" w:rsidR="00AF1307" w:rsidP="003A7290" w:rsidRDefault="00AF1307" w14:paraId="7FDA1BBA" w14:textId="4933345D">
      <w:pPr>
        <w:spacing w:after="0" w:line="360" w:lineRule="auto"/>
        <w:rPr>
          <w:rFonts w:eastAsia="Calibri" w:cs="Times New Roman"/>
          <w:color w:val="000000"/>
        </w:rPr>
      </w:pPr>
    </w:p>
    <w:p w:rsidRPr="005C5F89" w:rsidR="00F5388D" w:rsidP="003A7290" w:rsidRDefault="007A6B97" w14:paraId="118602E8" w14:textId="59DA18E2">
      <w:pPr>
        <w:spacing w:after="0" w:line="360" w:lineRule="auto"/>
        <w:rPr>
          <w:rFonts w:eastAsia="Calibri" w:cs="Times New Roman"/>
          <w:color w:val="000000"/>
        </w:rPr>
      </w:pPr>
      <w:r w:rsidRPr="005C5F89">
        <w:rPr>
          <w:rFonts w:eastAsia="Calibri" w:cs="Times New Roman"/>
          <w:color w:val="000000"/>
        </w:rPr>
        <w:t>Ahora bien, para el caso de que el documento contenga el nombre de los servidores públicos, resulta necesario analizar si procede su clasificación o no, en términos del artículo 140, fracción IV, de la Ley de Transparencia y Acceso a la Información Pública del Estado de México y Municipios.</w:t>
      </w:r>
    </w:p>
    <w:p w:rsidRPr="005C5F89" w:rsidR="007A6B97" w:rsidP="003A7290" w:rsidRDefault="007A6B97" w14:paraId="1EF97A5C" w14:textId="63D7D03F">
      <w:pPr>
        <w:spacing w:after="0" w:line="360" w:lineRule="auto"/>
        <w:rPr>
          <w:rFonts w:eastAsia="Calibri" w:cs="Times New Roman"/>
          <w:color w:val="000000"/>
        </w:rPr>
      </w:pPr>
    </w:p>
    <w:p w:rsidRPr="005C5F89" w:rsidR="00F721DD" w:rsidP="003A7290" w:rsidRDefault="00F721DD" w14:paraId="0CC45CA5" w14:textId="77777777">
      <w:pPr>
        <w:spacing w:after="0" w:line="360" w:lineRule="auto"/>
        <w:rPr>
          <w:rFonts w:eastAsia="Calibri" w:cs="Tahoma"/>
          <w:bCs/>
          <w:color w:val="auto"/>
        </w:rPr>
      </w:pPr>
      <w:r w:rsidRPr="005C5F89">
        <w:rPr>
          <w:rFonts w:eastAsia="Calibri" w:cs="Tahoma"/>
          <w:bCs/>
          <w:color w:val="auto"/>
        </w:rPr>
        <w:t>En ese contexto, es de señalar que los datos de servidores públicos, entre los que se encuentran el nombre de los trabajadores, por regla general, son de naturaleza pública, de conformidad con el artículo 70, fracción VII de la Ley General de Transparencia y Acceso a la Información Pública del Estado de México, y 92, fracción VII, de la Ley de Transparencia y Acceso a la Información Pública del Estado de México y Municipios.</w:t>
      </w:r>
    </w:p>
    <w:p w:rsidRPr="005C5F89" w:rsidR="00F721DD" w:rsidP="003A7290" w:rsidRDefault="00F721DD" w14:paraId="6422E9D3" w14:textId="77777777">
      <w:pPr>
        <w:spacing w:after="0" w:line="360" w:lineRule="auto"/>
        <w:rPr>
          <w:rFonts w:eastAsia="Calibri" w:cs="Tahoma"/>
          <w:bCs/>
          <w:color w:val="auto"/>
        </w:rPr>
      </w:pPr>
    </w:p>
    <w:p w:rsidRPr="005C5F89" w:rsidR="00F721DD" w:rsidP="003A7290" w:rsidRDefault="00F721DD" w14:paraId="2A713339" w14:textId="77777777">
      <w:pPr>
        <w:spacing w:after="0" w:line="360" w:lineRule="auto"/>
        <w:rPr>
          <w:rFonts w:eastAsia="Times New Roman" w:cs="Tahoma"/>
          <w:color w:val="auto"/>
          <w:lang w:eastAsia="es-ES"/>
        </w:rPr>
      </w:pPr>
      <w:r w:rsidRPr="005C5F89">
        <w:rPr>
          <w:rFonts w:eastAsia="Calibri" w:cs="Tahoma"/>
          <w:bCs/>
          <w:color w:val="auto"/>
        </w:rPr>
        <w:t xml:space="preserve">No obstante, resulta necesario traer a colación por analogía, el Criterio 06/09, emitido por </w:t>
      </w:r>
      <w:r w:rsidRPr="005C5F89">
        <w:rPr>
          <w:rFonts w:eastAsia="Times New Roman" w:cs="Tahoma"/>
          <w:color w:val="auto"/>
          <w:lang w:eastAsia="es-ES"/>
        </w:rPr>
        <w:t>el entonces Instituto Federal de Acceso a la Información y Protección de Datos ahora Instituto Nacional de Transparencia, Acceso a la Información y Protección de Datos Personales, que establece lo siguiente:</w:t>
      </w:r>
    </w:p>
    <w:p w:rsidRPr="005C5F89" w:rsidR="00F721DD" w:rsidP="003A7290" w:rsidRDefault="00F721DD" w14:paraId="53C6D6F1" w14:textId="77777777">
      <w:pPr>
        <w:spacing w:after="0" w:line="360" w:lineRule="auto"/>
        <w:rPr>
          <w:rFonts w:eastAsia="Times New Roman" w:cs="Tahoma"/>
          <w:i/>
          <w:color w:val="auto"/>
          <w:lang w:eastAsia="es-ES"/>
        </w:rPr>
      </w:pPr>
    </w:p>
    <w:p w:rsidRPr="005C5F89" w:rsidR="00F721DD" w:rsidP="003A7290" w:rsidRDefault="00F721DD" w14:paraId="0E30AF19" w14:textId="77777777">
      <w:pPr>
        <w:tabs>
          <w:tab w:val="left" w:pos="4962"/>
        </w:tabs>
        <w:spacing w:after="0" w:line="360" w:lineRule="auto"/>
        <w:ind w:left="567" w:right="567"/>
        <w:rPr>
          <w:rFonts w:eastAsia="Times New Roman" w:cs="Tahoma"/>
          <w:i/>
          <w:color w:val="auto"/>
          <w:sz w:val="20"/>
          <w:lang w:eastAsia="es-ES"/>
        </w:rPr>
      </w:pPr>
      <w:r w:rsidRPr="005C5F89">
        <w:rPr>
          <w:rFonts w:eastAsia="Times New Roman" w:cs="Tahoma"/>
          <w:b/>
          <w:i/>
          <w:color w:val="auto"/>
          <w:sz w:val="20"/>
          <w:lang w:eastAsia="es-ES"/>
        </w:rPr>
        <w:t>“Nombres de servidores públicos dedicados a actividades en materia de seguridad, por excepción pueden considerarse información reservada.</w:t>
      </w:r>
      <w:r w:rsidRPr="005C5F89">
        <w:rPr>
          <w:rFonts w:eastAsia="Times New Roman" w:cs="Tahoma"/>
          <w:i/>
          <w:color w:val="auto"/>
          <w:sz w:val="20"/>
          <w:lang w:eastAsia="es-ES"/>
        </w:rPr>
        <w:t xml:space="preserve"> De conformidad con el artículo 7, fracciones I y III de la Ley Federal de Transparencia y Acceso a la Información Pública Gubernamental el nombre de los servidores públicos es información de naturaleza pública. No </w:t>
      </w:r>
      <w:proofErr w:type="gramStart"/>
      <w:r w:rsidRPr="005C5F89">
        <w:rPr>
          <w:rFonts w:eastAsia="Times New Roman" w:cs="Tahoma"/>
          <w:i/>
          <w:color w:val="auto"/>
          <w:sz w:val="20"/>
          <w:lang w:eastAsia="es-ES"/>
        </w:rPr>
        <w:t>obstante</w:t>
      </w:r>
      <w:proofErr w:type="gramEnd"/>
      <w:r w:rsidRPr="005C5F89">
        <w:rPr>
          <w:rFonts w:eastAsia="Times New Roman" w:cs="Tahoma"/>
          <w:i/>
          <w:color w:val="auto"/>
          <w:sz w:val="20"/>
          <w:lang w:eastAsia="es-ES"/>
        </w:rPr>
        <w:t xml:space="preserve"> lo anterior, el mismo precepto establece la posibilidad de que existan excepciones a las obligaciones ahí establecidas cuando la información actualice algunos de los supuestos de reserva </w:t>
      </w:r>
      <w:r w:rsidRPr="005C5F89">
        <w:rPr>
          <w:rFonts w:eastAsia="Times New Roman" w:cs="Tahoma"/>
          <w:i/>
          <w:color w:val="auto"/>
          <w:sz w:val="20"/>
          <w:lang w:eastAsia="es-ES"/>
        </w:rPr>
        <w:lastRenderedPageBreak/>
        <w:t>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rsidRPr="005C5F89" w:rsidR="00F721DD" w:rsidP="003A7290" w:rsidRDefault="00F721DD" w14:paraId="7CBA19DC" w14:textId="77777777">
      <w:pPr>
        <w:spacing w:after="0" w:line="360" w:lineRule="auto"/>
        <w:rPr>
          <w:rFonts w:eastAsia="Calibri" w:cs="Tahoma"/>
          <w:bCs/>
          <w:color w:val="auto"/>
        </w:rPr>
      </w:pPr>
    </w:p>
    <w:p w:rsidRPr="005C5F89" w:rsidR="00F721DD" w:rsidP="003A7290" w:rsidRDefault="00F721DD" w14:paraId="0A7F0D94" w14:textId="77777777">
      <w:pPr>
        <w:spacing w:after="0" w:line="360" w:lineRule="auto"/>
        <w:rPr>
          <w:rFonts w:eastAsia="Calibri" w:cs="Tahoma"/>
          <w:bCs/>
          <w:color w:val="auto"/>
        </w:rPr>
      </w:pPr>
      <w:r w:rsidRPr="005C5F89">
        <w:rPr>
          <w:rFonts w:eastAsia="Calibri" w:cs="Tahoma"/>
          <w:bCs/>
          <w:color w:val="auto"/>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rsidRPr="005C5F89" w:rsidR="00F721DD" w:rsidP="003A7290" w:rsidRDefault="00F721DD" w14:paraId="47389598" w14:textId="77777777">
      <w:pPr>
        <w:spacing w:after="0" w:line="360" w:lineRule="auto"/>
        <w:rPr>
          <w:rFonts w:eastAsia="Calibri" w:cs="Tahoma"/>
          <w:bCs/>
          <w:color w:val="auto"/>
        </w:rPr>
      </w:pPr>
    </w:p>
    <w:p w:rsidRPr="005C5F89" w:rsidR="00F721DD" w:rsidP="003A7290" w:rsidRDefault="00F721DD" w14:paraId="60CFD636" w14:textId="77777777">
      <w:pPr>
        <w:spacing w:after="0" w:line="360" w:lineRule="auto"/>
        <w:rPr>
          <w:rFonts w:eastAsia="Calibri" w:cs="Tahoma"/>
          <w:bCs/>
          <w:color w:val="auto"/>
        </w:rPr>
      </w:pPr>
      <w:r w:rsidRPr="005C5F89">
        <w:rPr>
          <w:rFonts w:eastAsia="Calibri" w:cs="Tahoma"/>
          <w:bCs/>
          <w:color w:val="auto"/>
        </w:rPr>
        <w:t xml:space="preserve">En ese orden de ideas, si bien por regla general los nombres de los trabajadores gubernamentales son información pública de oficio, existe una excepción relativa a </w:t>
      </w:r>
      <w:r w:rsidRPr="005C5F89">
        <w:rPr>
          <w:rFonts w:eastAsia="Calibri" w:cs="Tahoma"/>
          <w:b/>
          <w:bCs/>
          <w:color w:val="auto"/>
        </w:rPr>
        <w:t>aquellos que realicen actividades operativas en materia de seguridad,</w:t>
      </w:r>
      <w:r w:rsidRPr="005C5F89">
        <w:rPr>
          <w:rFonts w:eastAsia="Calibri" w:cs="Tahoma"/>
          <w:bCs/>
          <w:color w:val="auto"/>
        </w:rPr>
        <w:t xml:space="preserve"> como es el caso de los elementos operativos y la policía municipal.</w:t>
      </w:r>
    </w:p>
    <w:p w:rsidRPr="005C5F89" w:rsidR="00F721DD" w:rsidP="003A7290" w:rsidRDefault="00F721DD" w14:paraId="2059C856" w14:textId="77777777">
      <w:pPr>
        <w:spacing w:after="0" w:line="360" w:lineRule="auto"/>
        <w:rPr>
          <w:rFonts w:eastAsia="Calibri" w:cs="Tahoma"/>
          <w:bCs/>
          <w:color w:val="auto"/>
        </w:rPr>
      </w:pPr>
    </w:p>
    <w:p w:rsidRPr="005C5F89" w:rsidR="00F721DD" w:rsidP="003A7290" w:rsidRDefault="00F721DD" w14:paraId="2F67423E" w14:textId="77777777">
      <w:pPr>
        <w:spacing w:after="0" w:line="360" w:lineRule="auto"/>
        <w:rPr>
          <w:rFonts w:eastAsia="Calibri" w:cs="Tahoma"/>
          <w:bCs/>
          <w:color w:val="auto"/>
        </w:rPr>
      </w:pPr>
      <w:r w:rsidRPr="005C5F89">
        <w:rPr>
          <w:rFonts w:eastAsia="Calibri" w:cs="Tahoma"/>
          <w:bCs/>
          <w:color w:val="auto"/>
        </w:rPr>
        <w:t xml:space="preserve">Al respecto,  el artículo 4° de la Ley de Seguridad del Estado de México prevé que la función de seguridad pública se realizará, en los diversos ámbitos de competencia, por conducto de </w:t>
      </w:r>
      <w:r w:rsidRPr="005C5F89">
        <w:rPr>
          <w:rFonts w:eastAsia="Calibri" w:cs="Tahoma"/>
          <w:bCs/>
          <w:color w:val="auto"/>
        </w:rPr>
        <w:lastRenderedPageBreak/>
        <w:t>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rsidRPr="005C5F89" w:rsidR="00F721DD" w:rsidP="003A7290" w:rsidRDefault="00F721DD" w14:paraId="27650470" w14:textId="77777777">
      <w:pPr>
        <w:spacing w:after="0" w:line="360" w:lineRule="auto"/>
        <w:rPr>
          <w:rFonts w:eastAsia="Calibri" w:cs="Tahoma"/>
          <w:bCs/>
          <w:color w:val="auto"/>
        </w:rPr>
      </w:pPr>
    </w:p>
    <w:p w:rsidRPr="005C5F89" w:rsidR="00F721DD" w:rsidP="003A7290" w:rsidRDefault="00F721DD" w14:paraId="69681434" w14:textId="77777777">
      <w:pPr>
        <w:spacing w:after="0" w:line="360" w:lineRule="auto"/>
        <w:rPr>
          <w:rFonts w:eastAsia="Calibri" w:cs="Tahoma"/>
          <w:bCs/>
          <w:color w:val="auto"/>
        </w:rPr>
      </w:pPr>
      <w:r w:rsidRPr="005C5F89">
        <w:rPr>
          <w:rFonts w:eastAsia="Calibri" w:cs="Tahoma"/>
          <w:bCs/>
          <w:color w:val="auto"/>
        </w:rPr>
        <w:t>En ese contexto, el artículo 6, fracciones XI y XII de dicho ordenamiento jurídico, establece los siguientes conceptos:</w:t>
      </w:r>
    </w:p>
    <w:p w:rsidRPr="005C5F89" w:rsidR="00F721DD" w:rsidP="003A7290" w:rsidRDefault="00F721DD" w14:paraId="58DBEEB9" w14:textId="77777777">
      <w:pPr>
        <w:spacing w:after="0" w:line="360" w:lineRule="auto"/>
        <w:rPr>
          <w:rFonts w:eastAsia="Calibri" w:cs="Tahoma"/>
          <w:bCs/>
          <w:color w:val="auto"/>
        </w:rPr>
      </w:pPr>
    </w:p>
    <w:p w:rsidRPr="005C5F89" w:rsidR="00F721DD" w:rsidP="003A7290" w:rsidRDefault="00F721DD" w14:paraId="08621543" w14:textId="77777777">
      <w:pPr>
        <w:numPr>
          <w:ilvl w:val="0"/>
          <w:numId w:val="4"/>
        </w:numPr>
        <w:spacing w:after="0" w:line="360" w:lineRule="auto"/>
        <w:contextualSpacing/>
        <w:rPr>
          <w:rFonts w:eastAsia="Calibri" w:cs="Tahoma"/>
          <w:b/>
          <w:bCs/>
          <w:color w:val="auto"/>
        </w:rPr>
      </w:pPr>
      <w:r w:rsidRPr="005C5F89">
        <w:rPr>
          <w:rFonts w:eastAsia="Calibri" w:cs="Tahoma"/>
          <w:b/>
          <w:bCs/>
          <w:color w:val="auto"/>
        </w:rPr>
        <w:t xml:space="preserve">Instituciones Policiales: </w:t>
      </w:r>
      <w:r w:rsidRPr="005C5F89">
        <w:rPr>
          <w:rFonts w:eastAsia="Calibri" w:cs="Tahoma"/>
          <w:bCs/>
          <w:color w:val="auto"/>
        </w:rPr>
        <w:t xml:space="preserve">Son los cuerpos de policía, de vigilancia y custodia de los establecimientos penitenciarios, detención preventiva, centros de arraigo y en general, </w:t>
      </w:r>
      <w:r w:rsidRPr="005C5F89">
        <w:rPr>
          <w:rFonts w:eastAsia="Calibri" w:cs="Tahoma"/>
          <w:b/>
          <w:bCs/>
          <w:color w:val="auto"/>
        </w:rPr>
        <w:t>todas las dependencias encargadas de la seguridad pública a nivel</w:t>
      </w:r>
      <w:r w:rsidRPr="005C5F89">
        <w:rPr>
          <w:rFonts w:eastAsia="Calibri" w:cs="Tahoma"/>
          <w:bCs/>
          <w:color w:val="auto"/>
        </w:rPr>
        <w:t xml:space="preserve"> estatal y </w:t>
      </w:r>
      <w:r w:rsidRPr="005C5F89">
        <w:rPr>
          <w:rFonts w:eastAsia="Calibri" w:cs="Tahoma"/>
          <w:b/>
          <w:bCs/>
          <w:color w:val="auto"/>
        </w:rPr>
        <w:t>municipal.</w:t>
      </w:r>
    </w:p>
    <w:p w:rsidRPr="005C5F89" w:rsidR="00F721DD" w:rsidP="003A7290" w:rsidRDefault="00F721DD" w14:paraId="35D66DF4" w14:textId="77777777">
      <w:pPr>
        <w:spacing w:after="0" w:line="360" w:lineRule="auto"/>
        <w:ind w:left="720"/>
        <w:contextualSpacing/>
        <w:rPr>
          <w:rFonts w:eastAsia="Calibri" w:cs="Tahoma"/>
          <w:bCs/>
          <w:color w:val="auto"/>
        </w:rPr>
      </w:pPr>
    </w:p>
    <w:p w:rsidRPr="005C5F89" w:rsidR="00F721DD" w:rsidP="003A7290" w:rsidRDefault="00F721DD" w14:paraId="7E44EF78" w14:textId="77777777">
      <w:pPr>
        <w:numPr>
          <w:ilvl w:val="0"/>
          <w:numId w:val="4"/>
        </w:numPr>
        <w:spacing w:after="0" w:line="360" w:lineRule="auto"/>
        <w:contextualSpacing/>
        <w:rPr>
          <w:rFonts w:eastAsia="Calibri" w:cs="Tahoma"/>
          <w:b/>
          <w:bCs/>
          <w:color w:val="auto"/>
        </w:rPr>
      </w:pPr>
      <w:r w:rsidRPr="005C5F89">
        <w:rPr>
          <w:rFonts w:eastAsia="Calibri" w:cs="Tahoma"/>
          <w:b/>
          <w:bCs/>
          <w:color w:val="auto"/>
        </w:rPr>
        <w:t xml:space="preserve">Instituciones de Seguridad Pública: </w:t>
      </w:r>
      <w:r w:rsidRPr="005C5F89">
        <w:rPr>
          <w:rFonts w:eastAsia="Calibri" w:cs="Tahoma"/>
          <w:bCs/>
          <w:color w:val="auto"/>
        </w:rPr>
        <w:t xml:space="preserve">Instituciones Policiales, Procuración de Justicia, Sistema Penitenciario y </w:t>
      </w:r>
      <w:r w:rsidRPr="005C5F89">
        <w:rPr>
          <w:rFonts w:eastAsia="Calibri" w:cs="Tahoma"/>
          <w:b/>
          <w:bCs/>
          <w:color w:val="auto"/>
        </w:rPr>
        <w:t xml:space="preserve">dependencias encargadas de la seguridad pública a nivel </w:t>
      </w:r>
      <w:r w:rsidRPr="005C5F89">
        <w:rPr>
          <w:rFonts w:eastAsia="Calibri" w:cs="Tahoma"/>
          <w:bCs/>
          <w:color w:val="auto"/>
        </w:rPr>
        <w:t xml:space="preserve">estatal y </w:t>
      </w:r>
      <w:r w:rsidRPr="005C5F89">
        <w:rPr>
          <w:rFonts w:eastAsia="Calibri" w:cs="Tahoma"/>
          <w:b/>
          <w:bCs/>
          <w:color w:val="auto"/>
        </w:rPr>
        <w:t>municipal.</w:t>
      </w:r>
    </w:p>
    <w:p w:rsidRPr="005C5F89" w:rsidR="00F721DD" w:rsidP="003A7290" w:rsidRDefault="00F721DD" w14:paraId="35A3D9E3" w14:textId="77777777">
      <w:pPr>
        <w:spacing w:after="0" w:line="360" w:lineRule="auto"/>
        <w:contextualSpacing/>
        <w:rPr>
          <w:rFonts w:eastAsia="Calibri" w:cs="Tahoma"/>
          <w:b/>
          <w:bCs/>
          <w:color w:val="auto"/>
        </w:rPr>
      </w:pPr>
    </w:p>
    <w:p w:rsidRPr="005C5F89" w:rsidR="00F721DD" w:rsidP="003A7290" w:rsidRDefault="00F721DD" w14:paraId="69EAA6B7" w14:textId="0CFCAC33">
      <w:pPr>
        <w:tabs>
          <w:tab w:val="left" w:pos="1843"/>
        </w:tabs>
        <w:spacing w:after="0" w:line="360" w:lineRule="auto"/>
        <w:rPr>
          <w:rFonts w:eastAsia="Calibri" w:cs="Times New Roman"/>
          <w:color w:val="auto"/>
          <w:szCs w:val="20"/>
          <w:lang w:eastAsia="es-ES"/>
        </w:rPr>
      </w:pPr>
      <w:r w:rsidRPr="005C5F89">
        <w:rPr>
          <w:rFonts w:eastAsia="Calibri" w:cs="Tahoma"/>
          <w:iCs/>
          <w:color w:val="auto"/>
          <w:szCs w:val="20"/>
          <w:lang w:val="es-ES" w:eastAsia="es-ES_tradnl"/>
        </w:rPr>
        <w:t>Conforme a lo anterior</w:t>
      </w:r>
      <w:r w:rsidRPr="005C5F89">
        <w:rPr>
          <w:rFonts w:eastAsia="Calibri" w:cs="Tahoma"/>
          <w:bCs/>
          <w:color w:val="auto"/>
        </w:rPr>
        <w:t xml:space="preserve">, se puede deducir que la </w:t>
      </w:r>
      <w:r w:rsidRPr="005C5F89" w:rsidR="00801ED2">
        <w:rPr>
          <w:rFonts w:eastAsia="Calibri" w:cs="Tahoma"/>
          <w:bCs/>
          <w:color w:val="auto"/>
        </w:rPr>
        <w:t>Dirección General de Seguridad y Protección</w:t>
      </w:r>
      <w:r w:rsidRPr="005C5F89">
        <w:rPr>
          <w:rFonts w:eastAsia="Calibri" w:cs="Tahoma"/>
          <w:bCs/>
          <w:color w:val="auto"/>
        </w:rPr>
        <w:t xml:space="preserve">, es una institución de seguridad pública, pues tiene como atribución principal, la prevención de delitos </w:t>
      </w:r>
      <w:r w:rsidRPr="005C5F89">
        <w:rPr>
          <w:rFonts w:eastAsia="Calibri" w:cs="Times New Roman"/>
          <w:color w:val="auto"/>
          <w:szCs w:val="20"/>
          <w:lang w:eastAsia="es-ES"/>
        </w:rPr>
        <w:t>y proteger a las personas, sus propiedades, posesiones y derechos.</w:t>
      </w:r>
    </w:p>
    <w:p w:rsidRPr="005C5F89" w:rsidR="00F721DD" w:rsidP="003A7290" w:rsidRDefault="00F721DD" w14:paraId="6A0A9EBB" w14:textId="77777777">
      <w:pPr>
        <w:spacing w:after="0" w:line="360" w:lineRule="auto"/>
        <w:rPr>
          <w:rFonts w:eastAsia="Calibri" w:cs="Tahoma"/>
          <w:bCs/>
          <w:color w:val="auto"/>
        </w:rPr>
      </w:pPr>
    </w:p>
    <w:p w:rsidRPr="005C5F89" w:rsidR="00F721DD" w:rsidP="003A7290" w:rsidRDefault="00F721DD" w14:paraId="34786D7C" w14:textId="2168F8F5">
      <w:pPr>
        <w:tabs>
          <w:tab w:val="left" w:pos="4962"/>
        </w:tabs>
        <w:spacing w:after="0" w:line="360" w:lineRule="auto"/>
        <w:ind w:right="-28"/>
        <w:rPr>
          <w:rFonts w:eastAsia="Calibri" w:cs="Tahoma"/>
          <w:bCs/>
          <w:color w:val="auto"/>
        </w:rPr>
      </w:pPr>
      <w:r w:rsidRPr="005C5F89">
        <w:rPr>
          <w:rFonts w:eastAsia="Calibri" w:cs="Tahoma"/>
          <w:bCs/>
          <w:color w:val="auto"/>
          <w:lang w:val="es-ES"/>
        </w:rPr>
        <w:t xml:space="preserve">Además, </w:t>
      </w:r>
      <w:r w:rsidRPr="005C5F89">
        <w:rPr>
          <w:rFonts w:eastAsia="Calibri" w:cs="Tahoma"/>
          <w:bCs/>
          <w:color w:val="auto"/>
        </w:rPr>
        <w:t xml:space="preserve">el Instructivo de llenado del Formato “Personal de Seguridad Pública”, del Secretariado Ejecutivo del Sistema Nacional de Seguridad Pública (consultado el veinticuatro de junio de dos mil veintidós, a las dieciséis horas, en la liga electrónica </w:t>
      </w:r>
      <w:hyperlink w:history="1" r:id="rId11">
        <w:r w:rsidRPr="005C5F89">
          <w:rPr>
            <w:rFonts w:eastAsia="Calibri" w:cs="Tahoma"/>
            <w:bCs/>
            <w:color w:val="0563C1"/>
            <w:u w:val="single"/>
          </w:rPr>
          <w:t>http://secretariadoejecutivo.gob.mx/work/models/SecretariadoEjecutivo/Resource/328/1/images/instructivo_final_edo_fuerza(1).pdf</w:t>
        </w:r>
      </w:hyperlink>
      <w:r w:rsidRPr="005C5F89">
        <w:rPr>
          <w:rFonts w:eastAsia="Calibri" w:cs="Tahoma"/>
          <w:bCs/>
          <w:color w:val="auto"/>
        </w:rPr>
        <w:t xml:space="preserve">), establece que los elementos operativos de </w:t>
      </w:r>
      <w:r w:rsidRPr="005C5F89">
        <w:rPr>
          <w:rFonts w:eastAsia="Calibri" w:cs="Tahoma"/>
          <w:bCs/>
          <w:color w:val="auto"/>
        </w:rPr>
        <w:lastRenderedPageBreak/>
        <w:t xml:space="preserve">seguridad pública, son aquellos que desempeñan funciones de campo (policiacas, especializadas o equivalentes y que no </w:t>
      </w:r>
      <w:r w:rsidRPr="005C5F89">
        <w:rPr>
          <w:rFonts w:eastAsia="Calibri" w:cs="Tahoma"/>
          <w:b/>
          <w:bCs/>
          <w:color w:val="auto"/>
        </w:rPr>
        <w:t>desempeña funciones de mando</w:t>
      </w:r>
      <w:r w:rsidRPr="005C5F89">
        <w:rPr>
          <w:rFonts w:eastAsia="Calibri" w:cs="Tahoma"/>
          <w:bCs/>
          <w:color w:val="auto"/>
        </w:rPr>
        <w:t xml:space="preserve">), entre los cuales, se encuentra </w:t>
      </w:r>
      <w:r w:rsidRPr="005C5F89">
        <w:rPr>
          <w:rFonts w:eastAsia="Calibri" w:cs="Tahoma"/>
          <w:b/>
          <w:bCs/>
          <w:color w:val="auto"/>
        </w:rPr>
        <w:t>la Policía Municipal</w:t>
      </w:r>
      <w:r w:rsidRPr="005C5F89">
        <w:rPr>
          <w:rFonts w:eastAsia="Calibri" w:cs="Tahoma"/>
          <w:bCs/>
          <w:color w:val="auto"/>
        </w:rPr>
        <w:t>.</w:t>
      </w:r>
    </w:p>
    <w:p w:rsidRPr="005C5F89" w:rsidR="00801ED2" w:rsidP="003A7290" w:rsidRDefault="00801ED2" w14:paraId="5323936A" w14:textId="77777777">
      <w:pPr>
        <w:tabs>
          <w:tab w:val="left" w:pos="4962"/>
        </w:tabs>
        <w:spacing w:after="0" w:line="360" w:lineRule="auto"/>
        <w:ind w:right="-28"/>
        <w:rPr>
          <w:rFonts w:eastAsia="Calibri" w:cs="Tahoma"/>
          <w:bCs/>
          <w:color w:val="auto"/>
        </w:rPr>
      </w:pPr>
    </w:p>
    <w:p w:rsidRPr="005C5F89" w:rsidR="00F721DD" w:rsidP="003A7290" w:rsidRDefault="00F721DD" w14:paraId="0B0D0A10" w14:textId="77777777">
      <w:pPr>
        <w:tabs>
          <w:tab w:val="left" w:pos="4962"/>
        </w:tabs>
        <w:spacing w:after="0" w:line="360" w:lineRule="auto"/>
        <w:ind w:right="-28"/>
        <w:rPr>
          <w:rFonts w:eastAsia="Calibri" w:cs="Tahoma"/>
          <w:bCs/>
          <w:color w:val="auto"/>
        </w:rPr>
      </w:pPr>
      <w:r w:rsidRPr="005C5F89">
        <w:rPr>
          <w:rFonts w:eastAsia="Calibri" w:cs="Tahoma"/>
          <w:bCs/>
          <w:color w:val="auto"/>
        </w:rPr>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w:t>
      </w:r>
    </w:p>
    <w:p w:rsidRPr="005C5F89" w:rsidR="00F721DD" w:rsidP="003A7290" w:rsidRDefault="00F721DD" w14:paraId="0E47BD64" w14:textId="77777777">
      <w:pPr>
        <w:spacing w:after="0" w:line="360" w:lineRule="auto"/>
        <w:rPr>
          <w:rFonts w:eastAsia="Calibri" w:cs="Tahoma"/>
          <w:bCs/>
          <w:color w:val="auto"/>
        </w:rPr>
      </w:pPr>
    </w:p>
    <w:p w:rsidRPr="005C5F89" w:rsidR="00F721DD" w:rsidP="003A7290" w:rsidRDefault="00F721DD" w14:paraId="713953EE" w14:textId="389619FE">
      <w:pPr>
        <w:spacing w:after="0" w:line="360" w:lineRule="auto"/>
        <w:rPr>
          <w:rFonts w:eastAsia="Calibri" w:cs="Tahoma"/>
          <w:bCs/>
          <w:color w:val="auto"/>
        </w:rPr>
      </w:pPr>
      <w:r w:rsidRPr="005C5F89">
        <w:rPr>
          <w:rFonts w:eastAsia="Calibri" w:cs="Tahoma"/>
          <w:bCs/>
          <w:color w:val="auto"/>
        </w:rPr>
        <w:t xml:space="preserve">De tales circunstancias, se puede observar que la Dirección </w:t>
      </w:r>
      <w:r w:rsidRPr="005C5F89" w:rsidR="00801ED2">
        <w:rPr>
          <w:rFonts w:eastAsia="Calibri" w:cs="Tahoma"/>
          <w:bCs/>
          <w:color w:val="auto"/>
        </w:rPr>
        <w:t>General de Seguridad y Protección</w:t>
      </w:r>
      <w:r w:rsidRPr="005C5F89">
        <w:rPr>
          <w:rFonts w:eastAsia="Calibri" w:cs="Tahoma"/>
          <w:bCs/>
          <w:color w:val="auto"/>
        </w:rPr>
        <w:t>, tiene dos clases de servidores públicos, por una parte, los operativos (policía municipal) y por otra, los administrativos, de apoyo y personal de mando, los cuales no realizan funciones operativas.</w:t>
      </w:r>
    </w:p>
    <w:p w:rsidRPr="005C5F89" w:rsidR="00F721DD" w:rsidP="003A7290" w:rsidRDefault="00F721DD" w14:paraId="3F55D0EA" w14:textId="77777777">
      <w:pPr>
        <w:spacing w:after="0" w:line="360" w:lineRule="auto"/>
        <w:rPr>
          <w:rFonts w:eastAsia="Calibri" w:cs="Tahoma"/>
          <w:bCs/>
          <w:color w:val="auto"/>
        </w:rPr>
      </w:pPr>
    </w:p>
    <w:p w:rsidRPr="005C5F89" w:rsidR="00F721DD" w:rsidP="003A7290" w:rsidRDefault="00F721DD" w14:paraId="5A3C79CC" w14:textId="77777777">
      <w:pPr>
        <w:spacing w:after="0" w:line="360" w:lineRule="auto"/>
        <w:rPr>
          <w:rFonts w:eastAsia="Calibri" w:cs="Tahoma"/>
          <w:bCs/>
          <w:color w:val="auto"/>
        </w:rPr>
      </w:pPr>
      <w:r w:rsidRPr="005C5F89">
        <w:rPr>
          <w:rFonts w:eastAsia="Calibri" w:cs="Tahoma"/>
          <w:bCs/>
          <w:color w:val="auto"/>
        </w:rPr>
        <w:t>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rsidRPr="005C5F89" w:rsidR="00F721DD" w:rsidP="003A7290" w:rsidRDefault="00F721DD" w14:paraId="5D196A50" w14:textId="77777777">
      <w:pPr>
        <w:spacing w:after="0" w:line="360" w:lineRule="auto"/>
        <w:rPr>
          <w:rFonts w:eastAsia="Calibri" w:cs="Tahoma"/>
          <w:bCs/>
          <w:color w:val="auto"/>
        </w:rPr>
      </w:pPr>
    </w:p>
    <w:p w:rsidRPr="005C5F89" w:rsidR="00F721DD" w:rsidP="003A7290" w:rsidRDefault="00F721DD" w14:paraId="33106BC9" w14:textId="2ADD0CB9">
      <w:pPr>
        <w:spacing w:after="0" w:line="360" w:lineRule="auto"/>
        <w:rPr>
          <w:rFonts w:eastAsia="Calibri" w:cs="Tahoma"/>
          <w:bCs/>
          <w:color w:val="auto"/>
        </w:rPr>
      </w:pPr>
      <w:r w:rsidRPr="005C5F89">
        <w:rPr>
          <w:rFonts w:eastAsia="Calibri" w:cs="Tahoma"/>
          <w:bCs/>
          <w:color w:val="auto"/>
        </w:rPr>
        <w:lastRenderedPageBreak/>
        <w:t xml:space="preserve">Lo anterior, se robustece con las Cifras de Incidencia Delictiva Municipal 2015-2022, publicado por el Secretariado Ejecutivo del Sistema Nacional de Seguridad Pública, en la página </w:t>
      </w:r>
      <w:hyperlink w:history="1" r:id="rId12">
        <w:r w:rsidRPr="005C5F89">
          <w:rPr>
            <w:rFonts w:eastAsia="Times New Roman" w:cs="Times New Roman"/>
            <w:color w:val="0563C1"/>
            <w:u w:val="single"/>
            <w:lang w:eastAsia="es-ES"/>
          </w:rPr>
          <w:t>https://www.gob.mx/sesnsp/acciones-y-programas/incidencia-delictiva-del-fuero-comun-nueva-metodologia?state=published</w:t>
        </w:r>
      </w:hyperlink>
      <w:r w:rsidRPr="005C5F89">
        <w:rPr>
          <w:rFonts w:eastAsia="Calibri" w:cs="Tahoma"/>
          <w:bCs/>
          <w:color w:val="auto"/>
        </w:rPr>
        <w:t xml:space="preserve"> (consultado el diecisiete de agosto de dos mil veintidós, a las dieciocho horas con tres minutos) de cual se desprenden algunos delitos que se han cometido en el Municipio de Toluca, de enero a mayo de la presente anualidad, entre los cuales se encuentra </w:t>
      </w:r>
      <w:r w:rsidRPr="005C5F89" w:rsidR="00801ED2">
        <w:rPr>
          <w:rFonts w:eastAsia="Calibri" w:cs="Tahoma"/>
          <w:bCs/>
          <w:color w:val="auto"/>
        </w:rPr>
        <w:t>el homicidio, las lesiones, el secuestro, el abuso, acoso o hostigamiento sexual, la violación, robo, fraude, extorsión, daño a propiedad, violencia familiar o de género, trata de personas y narcomenudeo.</w:t>
      </w:r>
    </w:p>
    <w:p w:rsidRPr="005C5F89" w:rsidR="00F721DD" w:rsidP="003A7290" w:rsidRDefault="00F721DD" w14:paraId="1803C701" w14:textId="77777777">
      <w:pPr>
        <w:spacing w:after="0" w:line="360" w:lineRule="auto"/>
        <w:ind w:right="-93"/>
        <w:jc w:val="left"/>
        <w:rPr>
          <w:rFonts w:ascii="Times New Roman" w:hAnsi="Times New Roman" w:eastAsia="Times New Roman" w:cs="Times New Roman"/>
          <w:noProof/>
          <w:color w:val="auto"/>
          <w:sz w:val="20"/>
          <w:szCs w:val="20"/>
          <w:lang w:eastAsia="es-ES"/>
        </w:rPr>
      </w:pPr>
    </w:p>
    <w:p w:rsidRPr="005C5F89" w:rsidR="00F721DD" w:rsidP="003A7290" w:rsidRDefault="00F721DD" w14:paraId="7D73C35B" w14:textId="1EBAB7A5">
      <w:pPr>
        <w:spacing w:after="0" w:line="360" w:lineRule="auto"/>
        <w:rPr>
          <w:rFonts w:eastAsia="Calibri" w:cs="Tahoma"/>
          <w:bCs/>
          <w:color w:val="auto"/>
        </w:rPr>
      </w:pPr>
      <w:r w:rsidRPr="005C5F89">
        <w:rPr>
          <w:rFonts w:eastAsia="Calibri" w:cs="Tahoma"/>
          <w:bCs/>
          <w:color w:val="auto"/>
        </w:rPr>
        <w:t xml:space="preserve">Como se logra observar, en el Municipio de </w:t>
      </w:r>
      <w:r w:rsidRPr="005C5F89" w:rsidR="00801ED2">
        <w:rPr>
          <w:rFonts w:eastAsia="Calibri" w:cs="Tahoma"/>
          <w:bCs/>
          <w:color w:val="auto"/>
        </w:rPr>
        <w:t>Toluca</w:t>
      </w:r>
      <w:r w:rsidRPr="005C5F89">
        <w:rPr>
          <w:rFonts w:eastAsia="Calibri" w:cs="Tahoma"/>
          <w:bCs/>
          <w:color w:val="auto"/>
        </w:rPr>
        <w:t xml:space="preserve"> durante la presente anualidad, se han realizado diversos actos ilícitos</w:t>
      </w:r>
      <w:r w:rsidRPr="005C5F89" w:rsidR="00801ED2">
        <w:rPr>
          <w:rFonts w:eastAsia="Calibri" w:cs="Tahoma"/>
          <w:bCs/>
          <w:color w:val="auto"/>
        </w:rPr>
        <w:t>,</w:t>
      </w:r>
      <w:r w:rsidRPr="005C5F89">
        <w:rPr>
          <w:rFonts w:eastAsia="Calibri" w:cs="Tahoma"/>
          <w:b/>
          <w:bCs/>
          <w:color w:val="auto"/>
        </w:rPr>
        <w:t xml:space="preserve"> </w:t>
      </w:r>
      <w:r w:rsidRPr="005C5F89">
        <w:rPr>
          <w:rFonts w:eastAsia="Calibri" w:cs="Tahoma"/>
          <w:bCs/>
          <w:color w:val="auto"/>
        </w:rPr>
        <w:t xml:space="preserve">hechos que pueden llegar a ser atendidos directamente por este personal operativo en apoyo de los afectados o incluso de las autoridades encargadas de la procuración de justicia. </w:t>
      </w:r>
    </w:p>
    <w:p w:rsidRPr="005C5F89" w:rsidR="00F721DD" w:rsidP="003A7290" w:rsidRDefault="00F721DD" w14:paraId="5D1A6D99" w14:textId="77777777">
      <w:pPr>
        <w:spacing w:after="0" w:line="360" w:lineRule="auto"/>
        <w:rPr>
          <w:rFonts w:eastAsia="Calibri" w:cs="Tahoma"/>
          <w:bCs/>
          <w:color w:val="auto"/>
        </w:rPr>
      </w:pPr>
    </w:p>
    <w:p w:rsidRPr="005C5F89" w:rsidR="00F721DD" w:rsidP="003A7290" w:rsidRDefault="00F721DD" w14:paraId="59EB6404" w14:textId="77777777">
      <w:pPr>
        <w:spacing w:after="0" w:line="360" w:lineRule="auto"/>
        <w:rPr>
          <w:rFonts w:eastAsia="Calibri" w:cs="Tahoma"/>
          <w:bCs/>
          <w:color w:val="auto"/>
        </w:rPr>
      </w:pPr>
      <w:r w:rsidRPr="005C5F89">
        <w:rPr>
          <w:rFonts w:eastAsia="Calibri" w:cs="Tahoma"/>
          <w:bCs/>
          <w:color w:val="auto"/>
        </w:rPr>
        <w:t>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rsidRPr="005C5F89" w:rsidR="00F721DD" w:rsidP="003A7290" w:rsidRDefault="00F721DD" w14:paraId="3668DAB3" w14:textId="77777777">
      <w:pPr>
        <w:spacing w:after="0" w:line="360" w:lineRule="auto"/>
        <w:rPr>
          <w:rFonts w:eastAsia="Calibri" w:cs="Tahoma"/>
          <w:bCs/>
          <w:color w:val="auto"/>
        </w:rPr>
      </w:pPr>
    </w:p>
    <w:p w:rsidRPr="005C5F89" w:rsidR="00F721DD" w:rsidP="003A7290" w:rsidRDefault="00F721DD" w14:paraId="6F9AD86C" w14:textId="77777777">
      <w:pPr>
        <w:tabs>
          <w:tab w:val="left" w:pos="4962"/>
        </w:tabs>
        <w:spacing w:after="0" w:line="360" w:lineRule="auto"/>
        <w:rPr>
          <w:rFonts w:eastAsia="Calibri" w:cs="Tahoma"/>
          <w:iCs/>
          <w:color w:val="auto"/>
          <w:lang w:val="es-ES" w:eastAsia="es-ES_tradnl"/>
        </w:rPr>
      </w:pPr>
      <w:r w:rsidRPr="005C5F89">
        <w:rPr>
          <w:rFonts w:eastAsia="Calibri" w:cs="Tahoma"/>
          <w:iCs/>
          <w:color w:val="auto"/>
          <w:lang w:val="es-ES" w:eastAsia="es-ES_tradnl"/>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rsidRPr="005C5F89" w:rsidR="00F721DD" w:rsidP="003A7290" w:rsidRDefault="00F721DD" w14:paraId="226D8772" w14:textId="77777777">
      <w:pPr>
        <w:tabs>
          <w:tab w:val="left" w:pos="4962"/>
        </w:tabs>
        <w:spacing w:after="0" w:line="360" w:lineRule="auto"/>
        <w:rPr>
          <w:rFonts w:eastAsia="Calibri" w:cs="Tahoma"/>
          <w:iCs/>
          <w:color w:val="auto"/>
          <w:lang w:val="es-ES" w:eastAsia="es-ES_tradnl"/>
        </w:rPr>
      </w:pPr>
    </w:p>
    <w:p w:rsidRPr="005C5F89" w:rsidR="00F721DD" w:rsidP="003A7290" w:rsidRDefault="00F721DD" w14:paraId="5EF1DC94" w14:textId="77777777">
      <w:pPr>
        <w:numPr>
          <w:ilvl w:val="0"/>
          <w:numId w:val="39"/>
        </w:numPr>
        <w:tabs>
          <w:tab w:val="left" w:pos="4962"/>
        </w:tabs>
        <w:spacing w:after="0" w:line="360" w:lineRule="auto"/>
        <w:rPr>
          <w:rFonts w:eastAsia="Calibri" w:cs="Tahoma"/>
          <w:iCs/>
          <w:color w:val="auto"/>
          <w:lang w:val="es-ES_tradnl" w:eastAsia="es-ES_tradnl"/>
        </w:rPr>
      </w:pPr>
      <w:r w:rsidRPr="005C5F89">
        <w:rPr>
          <w:rFonts w:eastAsia="Calibri" w:cs="Tahoma"/>
          <w:iCs/>
          <w:color w:val="auto"/>
          <w:lang w:val="es-ES_tradnl" w:eastAsia="es-ES_tradnl"/>
        </w:rPr>
        <w:t>La divulgación de la información representa un riesgo real, demostrable e identificable de perjuicio significativo al interés público o a la seguridad nacional.</w:t>
      </w:r>
    </w:p>
    <w:p w:rsidRPr="005C5F89" w:rsidR="00F721DD" w:rsidP="003A7290" w:rsidRDefault="00F721DD" w14:paraId="7FA8147F" w14:textId="77777777">
      <w:pPr>
        <w:tabs>
          <w:tab w:val="left" w:pos="4962"/>
        </w:tabs>
        <w:spacing w:after="0" w:line="360" w:lineRule="auto"/>
        <w:rPr>
          <w:rFonts w:eastAsia="Calibri" w:cs="Tahoma"/>
          <w:iCs/>
          <w:color w:val="auto"/>
          <w:lang w:val="es-ES_tradnl" w:eastAsia="es-ES_tradnl"/>
        </w:rPr>
      </w:pPr>
    </w:p>
    <w:p w:rsidRPr="005C5F89" w:rsidR="00F721DD" w:rsidP="003A7290" w:rsidRDefault="00F721DD" w14:paraId="6E273A34" w14:textId="77777777">
      <w:pPr>
        <w:numPr>
          <w:ilvl w:val="0"/>
          <w:numId w:val="39"/>
        </w:numPr>
        <w:tabs>
          <w:tab w:val="left" w:pos="4962"/>
        </w:tabs>
        <w:spacing w:after="0" w:line="360" w:lineRule="auto"/>
        <w:rPr>
          <w:rFonts w:eastAsia="Calibri" w:cs="Tahoma"/>
          <w:iCs/>
          <w:color w:val="auto"/>
          <w:lang w:val="es-ES_tradnl" w:eastAsia="es-ES_tradnl"/>
        </w:rPr>
      </w:pPr>
      <w:r w:rsidRPr="005C5F89">
        <w:rPr>
          <w:rFonts w:eastAsia="Calibri" w:cs="Tahoma"/>
          <w:iCs/>
          <w:color w:val="auto"/>
          <w:lang w:val="es-ES_tradnl" w:eastAsia="es-ES_tradnl"/>
        </w:rPr>
        <w:t>El riesgo de perjuicio supera el interés público general de que se difunda.</w:t>
      </w:r>
    </w:p>
    <w:p w:rsidRPr="005C5F89" w:rsidR="00F721DD" w:rsidP="003A7290" w:rsidRDefault="00F721DD" w14:paraId="71F0D6A5" w14:textId="77777777">
      <w:pPr>
        <w:tabs>
          <w:tab w:val="left" w:pos="4962"/>
        </w:tabs>
        <w:spacing w:after="0" w:line="360" w:lineRule="auto"/>
        <w:rPr>
          <w:rFonts w:eastAsia="Calibri" w:cs="Tahoma"/>
          <w:iCs/>
          <w:color w:val="auto"/>
          <w:lang w:val="es-ES_tradnl" w:eastAsia="es-ES_tradnl"/>
        </w:rPr>
      </w:pPr>
    </w:p>
    <w:p w:rsidRPr="005C5F89" w:rsidR="00F721DD" w:rsidP="003A7290" w:rsidRDefault="00F721DD" w14:paraId="3F677E97" w14:textId="77777777">
      <w:pPr>
        <w:numPr>
          <w:ilvl w:val="0"/>
          <w:numId w:val="39"/>
        </w:numPr>
        <w:tabs>
          <w:tab w:val="left" w:pos="4962"/>
        </w:tabs>
        <w:spacing w:after="0" w:line="360" w:lineRule="auto"/>
        <w:rPr>
          <w:rFonts w:eastAsia="Calibri" w:cs="Tahoma"/>
          <w:iCs/>
          <w:color w:val="auto"/>
          <w:lang w:val="es-ES_tradnl" w:eastAsia="es-ES_tradnl"/>
        </w:rPr>
      </w:pPr>
      <w:r w:rsidRPr="005C5F89">
        <w:rPr>
          <w:rFonts w:eastAsia="Calibri" w:cs="Tahoma"/>
          <w:iCs/>
          <w:color w:val="auto"/>
          <w:lang w:val="es-ES_tradnl" w:eastAsia="es-ES_tradnl"/>
        </w:rPr>
        <w:t>Que la limitación se adecua al principio de proporcionalidad y representa el medio menos restrictivo disponible para evitar el perjuicio.</w:t>
      </w:r>
    </w:p>
    <w:p w:rsidRPr="005C5F89" w:rsidR="00F721DD" w:rsidP="003A7290" w:rsidRDefault="00F721DD" w14:paraId="00702A12" w14:textId="77777777">
      <w:pPr>
        <w:spacing w:after="0" w:line="360" w:lineRule="auto"/>
        <w:rPr>
          <w:rFonts w:eastAsia="Calibri" w:cs="Tahoma"/>
          <w:iCs/>
          <w:color w:val="auto"/>
          <w:lang w:eastAsia="es-ES_tradnl"/>
        </w:rPr>
      </w:pPr>
    </w:p>
    <w:p w:rsidRPr="005C5F89" w:rsidR="00F721DD" w:rsidP="003A7290" w:rsidRDefault="00F721DD" w14:paraId="6A0AA564" w14:textId="77777777">
      <w:pPr>
        <w:spacing w:after="0" w:line="360" w:lineRule="auto"/>
        <w:rPr>
          <w:rFonts w:eastAsia="Calibri" w:cs="Tahoma"/>
          <w:iCs/>
          <w:color w:val="auto"/>
          <w:lang w:eastAsia="es-ES_tradnl"/>
        </w:rPr>
      </w:pPr>
      <w:r w:rsidRPr="005C5F89">
        <w:rPr>
          <w:rFonts w:eastAsia="Calibri" w:cs="Tahoma"/>
          <w:iCs/>
          <w:color w:val="auto"/>
          <w:lang w:eastAsia="es-ES_tradnl"/>
        </w:rPr>
        <w:t>Al respecto, este Instituto advierte lo siguiente:</w:t>
      </w:r>
    </w:p>
    <w:p w:rsidRPr="005C5F89" w:rsidR="00F721DD" w:rsidP="003A7290" w:rsidRDefault="00F721DD" w14:paraId="3577D7A7" w14:textId="77777777">
      <w:pPr>
        <w:spacing w:after="0" w:line="360" w:lineRule="auto"/>
        <w:rPr>
          <w:rFonts w:eastAsia="Calibri" w:cs="Tahoma"/>
          <w:iCs/>
          <w:color w:val="auto"/>
          <w:lang w:eastAsia="es-ES_tradnl"/>
        </w:rPr>
      </w:pPr>
    </w:p>
    <w:p w:rsidRPr="005C5F89" w:rsidR="00F721DD" w:rsidP="003A7290" w:rsidRDefault="00F721DD" w14:paraId="5198FD4E" w14:textId="6065187A">
      <w:pPr>
        <w:numPr>
          <w:ilvl w:val="0"/>
          <w:numId w:val="6"/>
        </w:numPr>
        <w:spacing w:after="0" w:line="360" w:lineRule="auto"/>
        <w:contextualSpacing/>
        <w:rPr>
          <w:rFonts w:eastAsia="Calibri" w:cs="Tahoma"/>
          <w:bCs/>
          <w:color w:val="auto"/>
        </w:rPr>
      </w:pPr>
      <w:r w:rsidRPr="005C5F89">
        <w:rPr>
          <w:rFonts w:eastAsia="Calibri" w:cs="Tahoma"/>
          <w:bCs/>
          <w:color w:val="auto"/>
        </w:rPr>
        <w:t xml:space="preserve">Que existe un </w:t>
      </w:r>
      <w:r w:rsidRPr="005C5F89">
        <w:rPr>
          <w:rFonts w:eastAsia="Calibri" w:cs="Tahoma"/>
          <w:b/>
          <w:bCs/>
          <w:color w:val="auto"/>
        </w:rPr>
        <w:t xml:space="preserve">riesgo real, demostrable e identificable, </w:t>
      </w:r>
      <w:r w:rsidRPr="005C5F89">
        <w:rPr>
          <w:rFonts w:eastAsia="Calibri" w:cs="Tahoma"/>
          <w:bCs/>
          <w:color w:val="auto"/>
        </w:rPr>
        <w:t xml:space="preserve">toda vez que dar a conocer los nombres de la policía municipal, pone en riesgo su vida, salud y seguridad, dado que los hace identificables, lo cual provocaría que utilicen dicha información para amenazar, intimidar o extorsionar al servidor público, a su familia e inclusive a su entorno social. Además, que podría ocasionar que los integrantes de organizaciones criminales los contacten para presionar en entregar información, estrategias para aumentar la inseguridad y los actos ilícitos en el Municipio. </w:t>
      </w:r>
      <w:proofErr w:type="gramStart"/>
      <w:r w:rsidRPr="005C5F89">
        <w:rPr>
          <w:rFonts w:eastAsia="Calibri" w:cs="Tahoma"/>
          <w:bCs/>
          <w:color w:val="auto"/>
        </w:rPr>
        <w:t>Además</w:t>
      </w:r>
      <w:proofErr w:type="gramEnd"/>
      <w:r w:rsidRPr="005C5F89">
        <w:rPr>
          <w:rFonts w:eastAsia="Calibri" w:cs="Tahoma"/>
          <w:bCs/>
          <w:color w:val="auto"/>
        </w:rPr>
        <w:t xml:space="preserve"> que comprometería el cumplimiento de los objetivos de la Dirección </w:t>
      </w:r>
      <w:r w:rsidRPr="005C5F89" w:rsidR="00801ED2">
        <w:rPr>
          <w:rFonts w:eastAsia="Calibri" w:cs="Tahoma"/>
          <w:bCs/>
          <w:color w:val="auto"/>
        </w:rPr>
        <w:t>General de Seguridad y Protección.</w:t>
      </w:r>
    </w:p>
    <w:p w:rsidRPr="005C5F89" w:rsidR="00F721DD" w:rsidP="003A7290" w:rsidRDefault="00F721DD" w14:paraId="753A78CB" w14:textId="77777777">
      <w:pPr>
        <w:spacing w:after="0" w:line="360" w:lineRule="auto"/>
        <w:ind w:left="720"/>
        <w:contextualSpacing/>
        <w:rPr>
          <w:rFonts w:eastAsia="Calibri" w:cs="Tahoma"/>
          <w:bCs/>
          <w:color w:val="auto"/>
        </w:rPr>
      </w:pPr>
    </w:p>
    <w:p w:rsidRPr="005C5F89" w:rsidR="00F721DD" w:rsidP="003A7290" w:rsidRDefault="00F721DD" w14:paraId="5F38ED52" w14:textId="77777777">
      <w:pPr>
        <w:numPr>
          <w:ilvl w:val="0"/>
          <w:numId w:val="6"/>
        </w:numPr>
        <w:spacing w:after="0" w:line="360" w:lineRule="auto"/>
        <w:contextualSpacing/>
        <w:rPr>
          <w:rFonts w:eastAsia="Calibri" w:cs="Tahoma"/>
          <w:b/>
          <w:bCs/>
          <w:color w:val="auto"/>
        </w:rPr>
      </w:pPr>
      <w:r w:rsidRPr="005C5F89">
        <w:rPr>
          <w:rFonts w:eastAsia="Calibri" w:cs="Tahoma"/>
          <w:b/>
          <w:bCs/>
          <w:color w:val="auto"/>
        </w:rPr>
        <w:t>Que el riesgo de perjuicio que supone la divulgación de la información supera el interés público general</w:t>
      </w:r>
      <w:r w:rsidRPr="005C5F89">
        <w:rPr>
          <w:rFonts w:eastAsia="Calibri" w:cs="Tahoma"/>
          <w:bCs/>
          <w:color w:val="auto"/>
        </w:rPr>
        <w:t xml:space="preserve">, ya que individuos con pretensiones delictivas pudieran promover algún vínculo o relación directa con los elementos operativos, que incluye a la policía municipal o bien, someterla a extorsión o amenazas con el fin de obtener información sensible sobre el modus operandi de dicha área, lo cual se traduciría en </w:t>
      </w:r>
      <w:r w:rsidRPr="005C5F89">
        <w:rPr>
          <w:rFonts w:eastAsia="Calibri" w:cs="Tahoma"/>
          <w:bCs/>
          <w:color w:val="auto"/>
        </w:rPr>
        <w:lastRenderedPageBreak/>
        <w:t xml:space="preserve">un detrimento al combate a la delincuencia y un perjuicio a la seguridad pública, </w:t>
      </w:r>
      <w:r w:rsidRPr="005C5F89">
        <w:rPr>
          <w:rFonts w:eastAsia="Calibri" w:cs="Tahoma"/>
          <w:b/>
          <w:bCs/>
          <w:color w:val="auto"/>
        </w:rPr>
        <w:t>vulnerando así, el interés general.</w:t>
      </w:r>
    </w:p>
    <w:p w:rsidRPr="005C5F89" w:rsidR="00F721DD" w:rsidP="003A7290" w:rsidRDefault="00F721DD" w14:paraId="25F53A15" w14:textId="77777777">
      <w:pPr>
        <w:spacing w:after="0" w:line="360" w:lineRule="auto"/>
        <w:ind w:left="720"/>
        <w:contextualSpacing/>
        <w:rPr>
          <w:rFonts w:eastAsia="Calibri" w:cs="Tahoma"/>
          <w:bCs/>
          <w:color w:val="auto"/>
        </w:rPr>
      </w:pPr>
    </w:p>
    <w:p w:rsidRPr="005C5F89" w:rsidR="00F721DD" w:rsidP="003A7290" w:rsidRDefault="00F721DD" w14:paraId="4BC2028F" w14:textId="77777777">
      <w:pPr>
        <w:numPr>
          <w:ilvl w:val="0"/>
          <w:numId w:val="6"/>
        </w:numPr>
        <w:spacing w:after="0" w:line="360" w:lineRule="auto"/>
        <w:contextualSpacing/>
        <w:rPr>
          <w:rFonts w:eastAsia="Calibri" w:cs="Tahoma"/>
          <w:bCs/>
          <w:color w:val="auto"/>
        </w:rPr>
      </w:pPr>
      <w:r w:rsidRPr="005C5F89">
        <w:rPr>
          <w:rFonts w:eastAsia="Calibri" w:cs="Tahoma"/>
          <w:b/>
          <w:bCs/>
          <w:color w:val="auto"/>
        </w:rPr>
        <w:t xml:space="preserve">Que la reserva no se traduzca en un medio restrictivo al derecho de acceso a la información, </w:t>
      </w:r>
      <w:r w:rsidRPr="005C5F89">
        <w:rPr>
          <w:rFonts w:eastAsia="Calibri" w:cs="Tahoma"/>
          <w:bCs/>
          <w:color w:val="auto"/>
        </w:rPr>
        <w:t xml:space="preserve">en virtud de que la misma prevalece al proteger alguno de los derechos más importantes, como lo son la vida, la salud y la seguridad de </w:t>
      </w:r>
      <w:r w:rsidRPr="005C5F89">
        <w:rPr>
          <w:rFonts w:eastAsia="Calibri" w:cs="Tahoma"/>
          <w:b/>
          <w:bCs/>
          <w:color w:val="auto"/>
        </w:rPr>
        <w:t>los servidores públicos,</w:t>
      </w:r>
      <w:r w:rsidRPr="005C5F89">
        <w:rPr>
          <w:rFonts w:eastAsia="Calibri" w:cs="Tahoma"/>
          <w:bCs/>
          <w:color w:val="auto"/>
        </w:rPr>
        <w:t xml:space="preserve"> sus familiares e inclusive de su entorno social, ya que la policía municipal ayuda a mantener el orden público y la paz social, así como la prevención de la comisión de cualquier delito, inhibiendo la manifestación de conductas antisociales.</w:t>
      </w:r>
    </w:p>
    <w:p w:rsidRPr="005C5F89" w:rsidR="00F721DD" w:rsidP="003A7290" w:rsidRDefault="00F721DD" w14:paraId="6CE8F400" w14:textId="77777777">
      <w:pPr>
        <w:spacing w:after="0" w:line="360" w:lineRule="auto"/>
        <w:rPr>
          <w:rFonts w:eastAsia="Calibri" w:cs="Tahoma"/>
          <w:bCs/>
          <w:color w:val="auto"/>
        </w:rPr>
      </w:pPr>
    </w:p>
    <w:p w:rsidRPr="005C5F89" w:rsidR="00F721DD" w:rsidP="003A7290" w:rsidRDefault="00F721DD" w14:paraId="3FE58BDA" w14:textId="048A0CEA">
      <w:pPr>
        <w:spacing w:after="0" w:line="360" w:lineRule="auto"/>
        <w:rPr>
          <w:rFonts w:eastAsia="Calibri" w:cs="Tahoma"/>
          <w:b/>
          <w:iCs/>
          <w:color w:val="auto"/>
          <w:lang w:val="es-ES" w:eastAsia="es-ES_tradnl"/>
        </w:rPr>
      </w:pPr>
      <w:r w:rsidRPr="005C5F89">
        <w:rPr>
          <w:rFonts w:eastAsia="Calibri" w:cs="Tahoma"/>
          <w:bCs/>
          <w:color w:val="auto"/>
        </w:rPr>
        <w:t xml:space="preserve">Por tales consideraciones, </w:t>
      </w:r>
      <w:r w:rsidRPr="005C5F89">
        <w:rPr>
          <w:rFonts w:eastAsia="Calibri" w:cs="Tahoma"/>
          <w:b/>
          <w:bCs/>
          <w:color w:val="auto"/>
        </w:rPr>
        <w:t xml:space="preserve">resulta procedente la reserva del nombre de los elementos operativos de la Dirección </w:t>
      </w:r>
      <w:r w:rsidRPr="005C5F89" w:rsidR="00801ED2">
        <w:rPr>
          <w:rFonts w:eastAsia="Calibri" w:cs="Tahoma"/>
          <w:b/>
          <w:bCs/>
          <w:color w:val="auto"/>
        </w:rPr>
        <w:t>General de Seguridad y Protección</w:t>
      </w:r>
      <w:r w:rsidRPr="005C5F89">
        <w:rPr>
          <w:rFonts w:eastAsia="Calibri" w:cs="Tahoma"/>
          <w:b/>
          <w:bCs/>
          <w:color w:val="auto"/>
        </w:rPr>
        <w:t xml:space="preserve">, en términos del artículo 140, fracción IV, de </w:t>
      </w:r>
      <w:r w:rsidRPr="005C5F89">
        <w:rPr>
          <w:rFonts w:eastAsia="Calibri" w:cs="Tahoma"/>
          <w:b/>
          <w:iCs/>
          <w:color w:val="auto"/>
          <w:lang w:val="es-ES" w:eastAsia="es-ES_tradnl"/>
        </w:rPr>
        <w:t>de la Ley de Transparencia y Acceso a la Información Pública del Estado de México y Municipios.</w:t>
      </w:r>
    </w:p>
    <w:p w:rsidRPr="005C5F89" w:rsidR="00F721DD" w:rsidP="003A7290" w:rsidRDefault="00F721DD" w14:paraId="6432FABE" w14:textId="7C23F48D">
      <w:pPr>
        <w:spacing w:after="0" w:line="360" w:lineRule="auto"/>
        <w:rPr>
          <w:rFonts w:eastAsia="Times New Roman" w:cs="Times New Roman"/>
          <w:bCs/>
          <w:iCs/>
          <w:color w:val="auto"/>
          <w:szCs w:val="20"/>
          <w:lang w:val="es-ES" w:eastAsia="es-ES"/>
        </w:rPr>
      </w:pPr>
    </w:p>
    <w:p w:rsidRPr="005C5F89" w:rsidR="00F721DD" w:rsidP="003A7290" w:rsidRDefault="00F721DD" w14:paraId="12CA2EFB" w14:textId="77777777">
      <w:pPr>
        <w:autoSpaceDE w:val="0"/>
        <w:autoSpaceDN w:val="0"/>
        <w:spacing w:after="0" w:line="360" w:lineRule="auto"/>
        <w:rPr>
          <w:rFonts w:eastAsia="Times New Roman" w:cs="Tahoma"/>
          <w:color w:val="auto"/>
          <w:lang w:eastAsia="es-ES"/>
        </w:rPr>
      </w:pPr>
      <w:r w:rsidRPr="005C5F89">
        <w:rPr>
          <w:rFonts w:eastAsia="Calibri" w:cs="Tahoma"/>
          <w:iCs/>
          <w:color w:val="auto"/>
          <w:lang w:val="es-ES" w:eastAsia="es-ES_tradnl"/>
        </w:rPr>
        <w:t>Ahora bien,</w:t>
      </w:r>
      <w:r w:rsidRPr="005C5F89">
        <w:rPr>
          <w:rFonts w:eastAsia="Calibri" w:cs="Tahoma"/>
          <w:b/>
          <w:iCs/>
          <w:color w:val="auto"/>
          <w:lang w:val="es-ES" w:eastAsia="es-ES_tradnl"/>
        </w:rPr>
        <w:t xml:space="preserve"> </w:t>
      </w:r>
      <w:r w:rsidRPr="005C5F89">
        <w:rPr>
          <w:rFonts w:eastAsia="Calibri" w:cs="Tahoma"/>
          <w:bCs/>
          <w:color w:val="auto"/>
        </w:rPr>
        <w:t xml:space="preserve">respecto al plazo de reserva, el artículo 125 de la Ley de la materia, establece </w:t>
      </w:r>
      <w:r w:rsidRPr="005C5F89">
        <w:rPr>
          <w:rFonts w:eastAsia="Times New Roman" w:cs="Tahoma"/>
          <w:bCs/>
          <w:color w:val="auto"/>
          <w:lang w:eastAsia="es-ES"/>
        </w:rPr>
        <w:t xml:space="preserve">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en las </w:t>
      </w:r>
      <w:r w:rsidRPr="005C5F89">
        <w:rPr>
          <w:rFonts w:eastAsia="Times New Roman" w:cs="Tahoma"/>
          <w:color w:val="auto"/>
          <w:lang w:eastAsia="es-ES"/>
        </w:rPr>
        <w:t>versiones públicas, deberá clasificar el nombre de los elementos operativos en materia de seguridad, y proporcionar, su respectivo acuerdo de Clasificación.</w:t>
      </w:r>
    </w:p>
    <w:p w:rsidRPr="005C5F89" w:rsidR="007A6B97" w:rsidP="003A7290" w:rsidRDefault="007A6B97" w14:paraId="695CDCE5" w14:textId="77777777">
      <w:pPr>
        <w:spacing w:after="0" w:line="360" w:lineRule="auto"/>
        <w:jc w:val="left"/>
        <w:rPr>
          <w:rFonts w:eastAsia="Calibri" w:cs="Times New Roman"/>
          <w:color w:val="000000"/>
        </w:rPr>
      </w:pPr>
    </w:p>
    <w:p w:rsidRPr="005C5F89" w:rsidR="00A83372" w:rsidP="003A7290" w:rsidRDefault="00A83372" w14:paraId="2E1644C8" w14:textId="77777777">
      <w:pPr>
        <w:spacing w:after="0" w:line="360" w:lineRule="auto"/>
        <w:rPr>
          <w:rFonts w:eastAsia="Times New Roman" w:cs="Tahoma"/>
          <w:bCs/>
          <w:iCs/>
          <w:color w:val="auto"/>
          <w:lang w:eastAsia="es-ES"/>
        </w:rPr>
      </w:pPr>
      <w:r w:rsidRPr="005C5F89">
        <w:rPr>
          <w:rFonts w:eastAsia="Times New Roman" w:cs="Tahoma"/>
          <w:bCs/>
          <w:iCs/>
          <w:color w:val="auto"/>
          <w:lang w:eastAsia="es-ES"/>
        </w:rPr>
        <w:t>Conforme a lo anterior resulta procedente la clasificación del nombre de los elementos operativos, entre los cuales, se encuentra la policía municipal, sin embargo, no procede la reserva de los mandos medios, superiores y altos, es decir, de aquellos que realizan funciones de dirección, coordinación y supervisión, toda vez que no realizan funciones operativas de seguridad.</w:t>
      </w:r>
    </w:p>
    <w:p w:rsidRPr="005C5F89" w:rsidR="00A83372" w:rsidP="003A7290" w:rsidRDefault="00A83372" w14:paraId="30D44473" w14:textId="77777777">
      <w:pPr>
        <w:spacing w:after="0" w:line="360" w:lineRule="auto"/>
        <w:rPr>
          <w:rFonts w:eastAsia="Times New Roman" w:cs="Tahoma"/>
          <w:bCs/>
          <w:iCs/>
          <w:color w:val="auto"/>
          <w:lang w:eastAsia="es-ES"/>
        </w:rPr>
      </w:pPr>
    </w:p>
    <w:p w:rsidRPr="005C5F89" w:rsidR="00A83372" w:rsidP="003A7290" w:rsidRDefault="00A83372" w14:paraId="65568DB9" w14:textId="752796CC">
      <w:pPr>
        <w:spacing w:after="0" w:line="360" w:lineRule="auto"/>
        <w:rPr>
          <w:rFonts w:eastAsia="Times New Roman" w:cs="Tahoma"/>
          <w:bCs/>
          <w:iCs/>
          <w:color w:val="auto"/>
          <w:lang w:eastAsia="es-ES"/>
        </w:rPr>
      </w:pPr>
      <w:r w:rsidRPr="005C5F89">
        <w:rPr>
          <w:rFonts w:eastAsia="Times New Roman" w:cs="Tahoma"/>
          <w:bCs/>
          <w:iCs/>
          <w:color w:val="auto"/>
          <w:lang w:eastAsia="es-ES"/>
        </w:rPr>
        <w:t>Por tal circunstancia, no resulta procedente la reserva del nombre de los servidores públicos que ostenten mandos medios, superiores y altos de la Dirección General de Seguridad y Protección, en términos del artículo 140, fracción IV, de la Ley de la materia.</w:t>
      </w:r>
    </w:p>
    <w:p w:rsidRPr="005C5F89" w:rsidR="004E59B7" w:rsidP="003A7290" w:rsidRDefault="004E59B7" w14:paraId="0AD10095" w14:textId="77777777">
      <w:pPr>
        <w:spacing w:after="0" w:line="360" w:lineRule="auto"/>
        <w:rPr>
          <w:rFonts w:eastAsia="Times New Roman" w:cs="Tahoma"/>
          <w:bCs/>
          <w:iCs/>
          <w:color w:val="auto"/>
          <w:lang w:eastAsia="es-ES"/>
        </w:rPr>
      </w:pPr>
    </w:p>
    <w:p w:rsidRPr="005C5F89" w:rsidR="00F5388D" w:rsidP="003A7290" w:rsidRDefault="00A83372" w14:paraId="39B1EF65" w14:textId="3C231AAF">
      <w:pPr>
        <w:spacing w:after="0" w:line="360" w:lineRule="auto"/>
        <w:rPr>
          <w:rFonts w:eastAsia="Calibri" w:cs="Times New Roman"/>
          <w:b/>
          <w:bCs/>
          <w:color w:val="000000"/>
        </w:rPr>
      </w:pPr>
      <w:r w:rsidRPr="005C5F89">
        <w:rPr>
          <w:rFonts w:eastAsia="Calibri" w:cs="Times New Roman"/>
          <w:b/>
          <w:bCs/>
          <w:color w:val="000000"/>
        </w:rPr>
        <w:t>Entrega de información incompleta.</w:t>
      </w:r>
    </w:p>
    <w:p w:rsidRPr="005C5F89" w:rsidR="00146348" w:rsidP="003A7290" w:rsidRDefault="00146348" w14:paraId="713C7619" w14:textId="77777777">
      <w:pPr>
        <w:spacing w:after="0" w:line="360" w:lineRule="auto"/>
        <w:rPr>
          <w:rFonts w:eastAsia="Calibri" w:cs="Times New Roman"/>
          <w:color w:val="000000"/>
        </w:rPr>
      </w:pPr>
    </w:p>
    <w:p w:rsidRPr="005C5F89" w:rsidR="0017321E" w:rsidP="003A7290" w:rsidRDefault="0000199D" w14:paraId="6A7E9F01" w14:textId="29EFB8F2">
      <w:pPr>
        <w:spacing w:after="0" w:line="360" w:lineRule="auto"/>
        <w:rPr>
          <w:rFonts w:eastAsia="Calibri" w:cs="Times New Roman"/>
          <w:color w:val="000000"/>
        </w:rPr>
      </w:pPr>
      <w:r w:rsidRPr="005C5F89">
        <w:rPr>
          <w:rFonts w:eastAsia="Calibri" w:cs="Times New Roman"/>
          <w:color w:val="000000"/>
        </w:rPr>
        <w:t>En principio, es necesario recordar que la pretensión del ahora Recurrente es obtener el nombre, categoría y sueldo</w:t>
      </w:r>
      <w:r w:rsidRPr="005C5F89" w:rsidR="004E59B7">
        <w:rPr>
          <w:rFonts w:eastAsia="Calibri" w:cs="Times New Roman"/>
          <w:color w:val="000000"/>
        </w:rPr>
        <w:t xml:space="preserve"> </w:t>
      </w:r>
      <w:r w:rsidRPr="005C5F89">
        <w:rPr>
          <w:rFonts w:eastAsia="Calibri" w:cs="Times New Roman"/>
          <w:color w:val="000000"/>
        </w:rPr>
        <w:t>de los servidores públicos adscritos a la Dirección General de Administración, la Coordinación de Planeación, la Coordinación de Asesores, la Coordinación de Mejora Regulatoria, la Dirección General de Servicios Públicos, la Dirección General de Bienestar Social, la Dirección General de Medio Ambiente y los miembros del Gabinete Municipal, al catorce de marzo de dos mil veintidós.</w:t>
      </w:r>
    </w:p>
    <w:p w:rsidRPr="005C5F89" w:rsidR="0017321E" w:rsidP="003A7290" w:rsidRDefault="0017321E" w14:paraId="1B9D79E3" w14:textId="7C2E6CFB">
      <w:pPr>
        <w:spacing w:after="0" w:line="360" w:lineRule="auto"/>
        <w:rPr>
          <w:rFonts w:eastAsia="Calibri" w:cs="Times New Roman"/>
          <w:color w:val="000000"/>
        </w:rPr>
      </w:pPr>
    </w:p>
    <w:p w:rsidRPr="005C5F89" w:rsidR="0000199D" w:rsidP="003A7290" w:rsidRDefault="004F1BB1" w14:paraId="1C17DCD6" w14:textId="5666FE54">
      <w:pPr>
        <w:spacing w:after="0" w:line="360" w:lineRule="auto"/>
        <w:rPr>
          <w:rFonts w:eastAsia="Calibri" w:cs="Times New Roman"/>
          <w:color w:val="000000"/>
        </w:rPr>
      </w:pPr>
      <w:r w:rsidRPr="005C5F89">
        <w:rPr>
          <w:rFonts w:eastAsia="Calibri" w:cs="Times New Roman"/>
          <w:color w:val="000000"/>
        </w:rPr>
        <w:t>En ese contexto, la Dirección General de Administración proporcionó una relación con los cargos ocupados en la Dirección General de Administración, Coordinación de Planeación, la Coordinación de Asesores, la Coordinación de Mejora Regulatoria, la Dirección General de Servicios Públicos, Dirección General de Bienestar Social y Dirección General de Medio Ambiente, que contiene la categoría, tipo de empleado, departamento y dirección, tal como se muestra a continuación:</w:t>
      </w:r>
    </w:p>
    <w:p w:rsidRPr="005C5F89" w:rsidR="004F1BB1" w:rsidP="003A7290" w:rsidRDefault="004F1BB1" w14:paraId="4837C9B0" w14:textId="1F41315E">
      <w:pPr>
        <w:spacing w:after="0" w:line="360" w:lineRule="auto"/>
        <w:rPr>
          <w:rFonts w:eastAsia="Calibri" w:cs="Times New Roman"/>
          <w:color w:val="000000"/>
        </w:rPr>
      </w:pPr>
    </w:p>
    <w:p w:rsidRPr="005C5F89" w:rsidR="004F1BB1" w:rsidP="003A7290" w:rsidRDefault="004F1BB1" w14:paraId="230FA11E" w14:textId="3B3DB35C">
      <w:pPr>
        <w:spacing w:after="0" w:line="360" w:lineRule="auto"/>
        <w:rPr>
          <w:rFonts w:eastAsia="Calibri" w:cs="Times New Roman"/>
          <w:color w:val="000000"/>
        </w:rPr>
      </w:pPr>
      <w:r w:rsidRPr="005C5F89">
        <w:rPr>
          <w:noProof/>
        </w:rPr>
        <w:lastRenderedPageBreak/>
        <w:drawing>
          <wp:inline distT="0" distB="0" distL="0" distR="0" wp14:anchorId="49169F52" wp14:editId="4F7DB20C">
            <wp:extent cx="5671185" cy="927100"/>
            <wp:effectExtent l="0" t="0" r="5715" b="635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71185" cy="927100"/>
                    </a:xfrm>
                    <a:prstGeom prst="rect">
                      <a:avLst/>
                    </a:prstGeom>
                  </pic:spPr>
                </pic:pic>
              </a:graphicData>
            </a:graphic>
          </wp:inline>
        </w:drawing>
      </w:r>
    </w:p>
    <w:p w:rsidRPr="005C5F89" w:rsidR="0000199D" w:rsidP="003A7290" w:rsidRDefault="0000199D" w14:paraId="70933971" w14:textId="24244A6E">
      <w:pPr>
        <w:spacing w:after="0" w:line="360" w:lineRule="auto"/>
        <w:rPr>
          <w:rFonts w:eastAsia="Calibri" w:cs="Times New Roman"/>
          <w:color w:val="000000"/>
        </w:rPr>
      </w:pPr>
    </w:p>
    <w:p w:rsidRPr="005C5F89" w:rsidR="004F1BB1" w:rsidP="003A7290" w:rsidRDefault="004F1BB1" w14:paraId="27BD85EC" w14:textId="06F0EFF4">
      <w:pPr>
        <w:spacing w:after="0" w:line="360" w:lineRule="auto"/>
        <w:rPr>
          <w:rFonts w:eastAsia="Calibri" w:cs="Times New Roman"/>
          <w:color w:val="000000"/>
        </w:rPr>
      </w:pPr>
      <w:r w:rsidRPr="005C5F89">
        <w:rPr>
          <w:rFonts w:eastAsia="Calibri" w:cs="Times New Roman"/>
          <w:color w:val="000000"/>
        </w:rPr>
        <w:t>Como se logra observar, el Sujeto Obligado proporciono parte de la información requerida, pues proporcionó la categoría de los servidores públicos, sin embargo, de la revisión realizada, este Instituto logra vislumbrar que la información entregada se encuentra incompleta, por las siguientes circunstancias:</w:t>
      </w:r>
    </w:p>
    <w:p w:rsidRPr="005C5F89" w:rsidR="004F1BB1" w:rsidP="003A7290" w:rsidRDefault="004F1BB1" w14:paraId="64322188" w14:textId="723D3997">
      <w:pPr>
        <w:spacing w:after="0" w:line="360" w:lineRule="auto"/>
        <w:rPr>
          <w:rFonts w:eastAsia="Calibri" w:cs="Times New Roman"/>
          <w:color w:val="000000"/>
        </w:rPr>
      </w:pPr>
    </w:p>
    <w:p w:rsidRPr="005C5F89" w:rsidR="004F1BB1" w:rsidP="003A7290" w:rsidRDefault="004F1BB1" w14:paraId="31D7583B" w14:textId="69C324D6">
      <w:pPr>
        <w:pStyle w:val="Prrafodelista"/>
        <w:numPr>
          <w:ilvl w:val="0"/>
          <w:numId w:val="42"/>
        </w:numPr>
        <w:spacing w:after="0" w:line="360" w:lineRule="auto"/>
        <w:rPr>
          <w:rFonts w:eastAsia="Calibri" w:cs="Times New Roman"/>
          <w:color w:val="000000"/>
        </w:rPr>
      </w:pPr>
      <w:r w:rsidRPr="005C5F89">
        <w:rPr>
          <w:rFonts w:eastAsia="Calibri" w:cs="Times New Roman"/>
          <w:color w:val="000000"/>
        </w:rPr>
        <w:t>Omitió entregar el nombre</w:t>
      </w:r>
      <w:r w:rsidRPr="005C5F89" w:rsidR="004E59B7">
        <w:rPr>
          <w:rFonts w:eastAsia="Calibri" w:cs="Times New Roman"/>
          <w:color w:val="000000"/>
        </w:rPr>
        <w:t xml:space="preserve"> y sueldo de los servidores públicos adscritos a </w:t>
      </w:r>
      <w:proofErr w:type="gramStart"/>
      <w:r w:rsidRPr="005C5F89" w:rsidR="004E59B7">
        <w:rPr>
          <w:rFonts w:eastAsia="Calibri" w:cs="Times New Roman"/>
          <w:color w:val="000000"/>
        </w:rPr>
        <w:t>la  Dirección</w:t>
      </w:r>
      <w:proofErr w:type="gramEnd"/>
      <w:r w:rsidRPr="005C5F89" w:rsidR="004E59B7">
        <w:rPr>
          <w:rFonts w:eastAsia="Calibri" w:cs="Times New Roman"/>
          <w:color w:val="000000"/>
        </w:rPr>
        <w:t xml:space="preserve"> General de Administración, la Coordinación de Planeación, la Coordinación de Asesores, la Coordinación de Mejora Regulatoria, la Dirección General de Servicios Públicos, la Dirección General de Bienestar Social y la Dirección General de Medio Ambiente.</w:t>
      </w:r>
    </w:p>
    <w:p w:rsidRPr="005C5F89" w:rsidR="004E59B7" w:rsidP="003A7290" w:rsidRDefault="004E59B7" w14:paraId="14CABBA8" w14:textId="77777777">
      <w:pPr>
        <w:pStyle w:val="Prrafodelista"/>
        <w:spacing w:after="0" w:line="360" w:lineRule="auto"/>
        <w:rPr>
          <w:rFonts w:eastAsia="Calibri" w:cs="Times New Roman"/>
          <w:color w:val="000000"/>
        </w:rPr>
      </w:pPr>
    </w:p>
    <w:p w:rsidRPr="005C5F89" w:rsidR="004E59B7" w:rsidP="003A7290" w:rsidRDefault="004E59B7" w14:paraId="02B15951" w14:textId="6AFF621E">
      <w:pPr>
        <w:pStyle w:val="Prrafodelista"/>
        <w:numPr>
          <w:ilvl w:val="0"/>
          <w:numId w:val="42"/>
        </w:numPr>
        <w:spacing w:after="0" w:line="360" w:lineRule="auto"/>
        <w:rPr>
          <w:rFonts w:eastAsia="Calibri" w:cs="Times New Roman"/>
          <w:color w:val="000000"/>
        </w:rPr>
      </w:pPr>
      <w:r w:rsidRPr="005C5F89">
        <w:rPr>
          <w:rFonts w:eastAsia="Calibri" w:cs="Times New Roman"/>
          <w:color w:val="000000"/>
        </w:rPr>
        <w:t>No proporcionó la información referente a los miembros del Gabinete.</w:t>
      </w:r>
    </w:p>
    <w:p w:rsidRPr="005C5F89" w:rsidR="004E59B7" w:rsidP="003A7290" w:rsidRDefault="004E59B7" w14:paraId="33D37B66" w14:textId="77777777">
      <w:pPr>
        <w:pStyle w:val="Prrafodelista"/>
        <w:spacing w:after="0"/>
        <w:rPr>
          <w:rFonts w:eastAsia="Calibri" w:cs="Times New Roman"/>
          <w:color w:val="000000"/>
        </w:rPr>
      </w:pPr>
    </w:p>
    <w:p w:rsidRPr="005C5F89" w:rsidR="004E59B7" w:rsidP="003A7290" w:rsidRDefault="004E59B7" w14:paraId="28B7C908" w14:textId="332EAA68">
      <w:pPr>
        <w:spacing w:after="0" w:line="360" w:lineRule="auto"/>
        <w:rPr>
          <w:rFonts w:eastAsia="Calibri" w:cs="Tahoma"/>
        </w:rPr>
      </w:pPr>
      <w:r w:rsidRPr="005C5F89">
        <w:rPr>
          <w:rFonts w:eastAsia="Calibri" w:cs="Times New Roman"/>
          <w:color w:val="000000"/>
        </w:rPr>
        <w:t xml:space="preserve">Así, se logra vislumbrar que la Dirección General de Administración omitió realizar un pronunciamiento expreso sobre la información previamente señalada; </w:t>
      </w:r>
      <w:r w:rsidRPr="005C5F89">
        <w:rPr>
          <w:rFonts w:eastAsia="Times New Roman" w:cs="Tahoma"/>
          <w:color w:val="auto"/>
          <w:lang w:eastAsia="es-ES"/>
        </w:rPr>
        <w:t>sobre el tema</w:t>
      </w:r>
      <w:r w:rsidRPr="005C5F89">
        <w:rPr>
          <w:rFonts w:eastAsia="Calibri" w:cs="Tahoma"/>
          <w:color w:val="auto"/>
        </w:rPr>
        <w:t>, e</w:t>
      </w:r>
      <w:r w:rsidRPr="005C5F89">
        <w:rPr>
          <w:rFonts w:eastAsia="Times New Roman" w:cs="Tahoma"/>
          <w:color w:val="auto"/>
          <w:lang w:eastAsia="es-ES"/>
        </w:rPr>
        <w:t xml:space="preserve">l artículo 1.8, fracción XIII, del Código Administrativo del Estado de México, establece que para que tenga validez, todo acto administrativo deberá resolver todos los puntos propuestos por los interesados. </w:t>
      </w:r>
      <w:r w:rsidRPr="005C5F89">
        <w:rPr>
          <w:rFonts w:eastAsia="Calibri" w:cs="Tahoma"/>
          <w:color w:val="000000"/>
          <w:lang w:eastAsia="es-MX"/>
        </w:rPr>
        <w:t>Situación que se robustece, con el Criterio 02/17, del Instituto Nacional de Transparencia, Acceso a la Información y Protección de Datos Personales, el cual establece lo siguiente:</w:t>
      </w:r>
    </w:p>
    <w:p w:rsidRPr="005C5F89" w:rsidR="004E59B7" w:rsidP="003A7290" w:rsidRDefault="004E59B7" w14:paraId="2DA8115F" w14:textId="77777777">
      <w:pPr>
        <w:autoSpaceDE w:val="0"/>
        <w:autoSpaceDN w:val="0"/>
        <w:adjustRightInd w:val="0"/>
        <w:spacing w:after="0" w:line="360" w:lineRule="auto"/>
        <w:rPr>
          <w:rFonts w:eastAsia="Calibri" w:cs="Tahoma"/>
          <w:color w:val="000000"/>
          <w:lang w:eastAsia="es-MX"/>
        </w:rPr>
      </w:pPr>
    </w:p>
    <w:p w:rsidRPr="005C5F89" w:rsidR="004E59B7" w:rsidP="003A7290" w:rsidRDefault="004E59B7" w14:paraId="23AF3EB5" w14:textId="77777777">
      <w:pPr>
        <w:spacing w:after="0" w:line="360" w:lineRule="auto"/>
        <w:ind w:left="567" w:right="567"/>
        <w:rPr>
          <w:rFonts w:eastAsia="Calibri" w:cs="Tahoma"/>
          <w:bCs/>
          <w:i/>
          <w:color w:val="auto"/>
          <w:sz w:val="20"/>
          <w:szCs w:val="20"/>
        </w:rPr>
      </w:pPr>
      <w:r w:rsidRPr="005C5F89">
        <w:rPr>
          <w:rFonts w:eastAsia="Calibri" w:cs="Tahoma"/>
          <w:b/>
          <w:bCs/>
          <w:i/>
          <w:color w:val="auto"/>
          <w:sz w:val="20"/>
          <w:szCs w:val="20"/>
        </w:rPr>
        <w:lastRenderedPageBreak/>
        <w:t xml:space="preserve">“Congruencia y exhaustividad. Sus alcances para garantizar el derecho de acceso a la información. </w:t>
      </w:r>
      <w:r w:rsidRPr="005C5F89">
        <w:rPr>
          <w:rFonts w:eastAsia="Calibri" w:cs="Tahoma"/>
          <w:bCs/>
          <w:i/>
          <w:color w:val="auto"/>
          <w:sz w:val="20"/>
          <w:szCs w:val="20"/>
        </w:rPr>
        <w:t xml:space="preserve">De conformidad con el artículo </w:t>
      </w:r>
      <w:r w:rsidRPr="005C5F89">
        <w:rPr>
          <w:rFonts w:eastAsia="Calibri" w:cs="Tahoma"/>
          <w:bCs/>
          <w:i/>
          <w:color w:val="auto"/>
          <w:sz w:val="20"/>
          <w:szCs w:val="20"/>
          <w:lang w:val="es-ES_tradnl"/>
        </w:rPr>
        <w:t>3 de la Ley Federal de Procedimiento Administrativo</w:t>
      </w:r>
      <w:r w:rsidRPr="005C5F89">
        <w:rPr>
          <w:rFonts w:eastAsia="Calibri" w:cs="Tahoma"/>
          <w:bCs/>
          <w:i/>
          <w:color w:val="auto"/>
          <w:sz w:val="20"/>
          <w:szCs w:val="20"/>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5C5F89">
        <w:rPr>
          <w:rFonts w:eastAsia="Calibri" w:cs="Tahoma"/>
          <w:b/>
          <w:bCs/>
          <w:i/>
          <w:color w:val="auto"/>
          <w:sz w:val="20"/>
          <w:szCs w:val="20"/>
        </w:rPr>
        <w:t>la exhaustividad significa que dicha respuesta se refiera expresamente a cada uno de los puntos solicitados</w:t>
      </w:r>
      <w:r w:rsidRPr="005C5F89">
        <w:rPr>
          <w:rFonts w:eastAsia="Calibri" w:cs="Tahoma"/>
          <w:bCs/>
          <w:i/>
          <w:color w:val="auto"/>
          <w:sz w:val="20"/>
          <w:szCs w:val="20"/>
        </w:rPr>
        <w:t xml:space="preserve">. Por lo anterior, los sujetos obligados cumplirán con los principios de congruencia y exhaustividad, cuando las respuestas que emitan guarden una relación lógica con lo solicitado y </w:t>
      </w:r>
      <w:r w:rsidRPr="005C5F89">
        <w:rPr>
          <w:rFonts w:eastAsia="Calibri" w:cs="Tahoma"/>
          <w:b/>
          <w:bCs/>
          <w:i/>
          <w:color w:val="auto"/>
          <w:sz w:val="20"/>
          <w:szCs w:val="20"/>
        </w:rPr>
        <w:t>atiendan de manera puntual y expresa, cada uno de los contenidos de información.”</w:t>
      </w:r>
    </w:p>
    <w:p w:rsidRPr="005C5F89" w:rsidR="004E59B7" w:rsidP="003A7290" w:rsidRDefault="004E59B7" w14:paraId="15056D63" w14:textId="77777777">
      <w:pPr>
        <w:autoSpaceDE w:val="0"/>
        <w:autoSpaceDN w:val="0"/>
        <w:adjustRightInd w:val="0"/>
        <w:spacing w:after="0" w:line="360" w:lineRule="auto"/>
        <w:rPr>
          <w:rFonts w:eastAsia="Calibri" w:cs="Tahoma"/>
          <w:color w:val="000000"/>
          <w:lang w:eastAsia="es-MX"/>
        </w:rPr>
      </w:pPr>
    </w:p>
    <w:p w:rsidRPr="005C5F89" w:rsidR="004E59B7" w:rsidP="003A7290" w:rsidRDefault="004E59B7" w14:paraId="0C423B52" w14:textId="77777777">
      <w:pPr>
        <w:widowControl w:val="0"/>
        <w:autoSpaceDE w:val="0"/>
        <w:autoSpaceDN w:val="0"/>
        <w:adjustRightInd w:val="0"/>
        <w:spacing w:after="0" w:line="360" w:lineRule="auto"/>
        <w:rPr>
          <w:rFonts w:eastAsia="Times New Roman" w:cs="Tahoma"/>
          <w:bCs/>
          <w:color w:val="auto"/>
          <w:szCs w:val="24"/>
          <w:lang w:val="es-ES_tradnl" w:eastAsia="es-MX"/>
        </w:rPr>
      </w:pPr>
      <w:r w:rsidRPr="005C5F89">
        <w:rPr>
          <w:rFonts w:eastAsia="Times New Roman" w:cs="Tahoma"/>
          <w:color w:val="auto"/>
          <w:szCs w:val="24"/>
          <w:lang w:eastAsia="es-MX"/>
        </w:rPr>
        <w:t xml:space="preserve">De lo citado, se desprende que </w:t>
      </w:r>
      <w:r w:rsidRPr="005C5F89">
        <w:rPr>
          <w:rFonts w:eastAsia="Times New Roman" w:cs="Tahoma"/>
          <w:bCs/>
          <w:color w:val="auto"/>
          <w:szCs w:val="24"/>
          <w:lang w:eastAsia="es-MX"/>
        </w:rPr>
        <w:t xml:space="preserve">todo acto administrativo debe apegarse al </w:t>
      </w:r>
      <w:r w:rsidRPr="005C5F89">
        <w:rPr>
          <w:rFonts w:eastAsia="Times New Roman" w:cs="Tahoma"/>
          <w:b/>
          <w:bCs/>
          <w:color w:val="auto"/>
          <w:szCs w:val="24"/>
          <w:lang w:eastAsia="es-MX"/>
        </w:rPr>
        <w:t>principio de exhaustividad</w:t>
      </w:r>
      <w:r w:rsidRPr="005C5F89">
        <w:rPr>
          <w:rFonts w:eastAsia="Times New Roman" w:cs="Tahoma"/>
          <w:bCs/>
          <w:color w:val="auto"/>
          <w:szCs w:val="24"/>
          <w:lang w:eastAsia="es-MX"/>
        </w:rPr>
        <w:t xml:space="preserve">, </w:t>
      </w:r>
      <w:r w:rsidRPr="005C5F89">
        <w:rPr>
          <w:rFonts w:eastAsia="Times New Roman" w:cs="Tahoma"/>
          <w:bCs/>
          <w:color w:val="auto"/>
          <w:szCs w:val="24"/>
          <w:lang w:val="es-ES_tradnl" w:eastAsia="es-MX"/>
        </w:rPr>
        <w:t>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rsidRPr="005C5F89" w:rsidR="004E59B7" w:rsidP="003A7290" w:rsidRDefault="004E59B7" w14:paraId="63EA6FC9" w14:textId="77777777">
      <w:pPr>
        <w:autoSpaceDE w:val="0"/>
        <w:autoSpaceDN w:val="0"/>
        <w:adjustRightInd w:val="0"/>
        <w:spacing w:after="0" w:line="360" w:lineRule="auto"/>
        <w:rPr>
          <w:rFonts w:eastAsia="Calibri" w:cs="Tahoma"/>
          <w:color w:val="000000"/>
          <w:lang w:eastAsia="es-MX"/>
        </w:rPr>
      </w:pPr>
    </w:p>
    <w:p w:rsidRPr="005C5F89" w:rsidR="004E59B7" w:rsidP="003A7290" w:rsidRDefault="004E59B7" w14:paraId="33CF584C" w14:textId="64001494">
      <w:pPr>
        <w:spacing w:after="0" w:line="360" w:lineRule="auto"/>
        <w:rPr>
          <w:rFonts w:eastAsia="Calibri" w:cs="Tahoma"/>
          <w:b/>
          <w:color w:val="auto"/>
        </w:rPr>
      </w:pPr>
      <w:r w:rsidRPr="005C5F89">
        <w:rPr>
          <w:rFonts w:eastAsia="Times New Roman" w:cs="Tahoma"/>
          <w:color w:val="auto"/>
          <w:szCs w:val="24"/>
          <w:lang w:eastAsia="es-MX"/>
        </w:rPr>
        <w:t xml:space="preserve">En esa tesitura, se concluye que el Sujeto Obligado no satisfizo el derecho de acceso </w:t>
      </w:r>
      <w:r w:rsidRPr="005C5F89">
        <w:rPr>
          <w:rFonts w:eastAsia="Calibri" w:cs="Tahoma"/>
          <w:bCs/>
          <w:color w:val="auto"/>
        </w:rPr>
        <w:t xml:space="preserve">a la información del Recurrente, </w:t>
      </w:r>
      <w:r w:rsidRPr="005C5F89">
        <w:rPr>
          <w:rFonts w:eastAsia="Calibri" w:cs="Tahoma"/>
          <w:b/>
          <w:bCs/>
          <w:color w:val="auto"/>
        </w:rPr>
        <w:t xml:space="preserve">al incumplir el principio de exhaustividad, </w:t>
      </w:r>
      <w:r w:rsidRPr="005C5F89">
        <w:rPr>
          <w:rFonts w:eastAsia="Calibri" w:cs="Tahoma"/>
          <w:bCs/>
          <w:color w:val="auto"/>
        </w:rPr>
        <w:t xml:space="preserve">pues no se pronunció, ni proporcionó el documento donde constarán todos los datos solicitados por el ahora Recurrente, lo cual da como resultado que el agravio sea </w:t>
      </w:r>
      <w:r w:rsidRPr="005C5F89">
        <w:rPr>
          <w:rFonts w:eastAsia="Calibri" w:cs="Tahoma"/>
          <w:b/>
          <w:color w:val="auto"/>
        </w:rPr>
        <w:t>FUNDADO.</w:t>
      </w:r>
    </w:p>
    <w:p w:rsidRPr="005C5F89" w:rsidR="004E59B7" w:rsidP="003A7290" w:rsidRDefault="004E59B7" w14:paraId="201B6A0D" w14:textId="7BB1169C">
      <w:pPr>
        <w:spacing w:after="0" w:line="360" w:lineRule="auto"/>
        <w:rPr>
          <w:rFonts w:eastAsia="Calibri" w:cs="Tahoma"/>
          <w:b/>
          <w:color w:val="auto"/>
        </w:rPr>
      </w:pPr>
    </w:p>
    <w:p w:rsidRPr="005C5F89" w:rsidR="004E59B7" w:rsidP="003A7290" w:rsidRDefault="004E59B7" w14:paraId="53BD6445" w14:textId="5A67E638">
      <w:pPr>
        <w:spacing w:after="0" w:line="360" w:lineRule="auto"/>
        <w:rPr>
          <w:rFonts w:eastAsia="Calibri" w:cs="Tahoma"/>
          <w:bCs/>
          <w:color w:val="auto"/>
        </w:rPr>
      </w:pPr>
      <w:r w:rsidRPr="005C5F89">
        <w:rPr>
          <w:rFonts w:eastAsia="Calibri" w:cs="Tahoma"/>
          <w:bCs/>
          <w:color w:val="auto"/>
        </w:rPr>
        <w:t xml:space="preserve">Así, con el fin de dar cumplimiento a los artículos 12, 160 y 162 de la Ley de Transparencia y Acceso a la Información Pública del Estado de México y Municipios, se considera que la Dirección General de Administración, deberá realizar una búsqueda exhaustiva y razonable en sus archivos, a efecto de que proporcione el documento donde conste el </w:t>
      </w:r>
      <w:r w:rsidRPr="005C5F89" w:rsidR="009414DA">
        <w:rPr>
          <w:rFonts w:eastAsia="Calibri" w:cs="Tahoma"/>
          <w:bCs/>
          <w:color w:val="auto"/>
        </w:rPr>
        <w:t xml:space="preserve">nombre, categoría </w:t>
      </w:r>
      <w:r w:rsidRPr="005C5F89" w:rsidR="009414DA">
        <w:rPr>
          <w:rFonts w:eastAsia="Calibri" w:cs="Tahoma"/>
          <w:bCs/>
          <w:color w:val="auto"/>
        </w:rPr>
        <w:lastRenderedPageBreak/>
        <w:t>y sueldo de los servidores públicos, que al catorce de mayo de dos mil veintidós, ocupaban un cargo en la Dirección General de Administración, la Coordinación de Planeación, la Coordinación de Asesores, la Coordinación de Mejora Regulatoria, la Dirección General de Servicios Públicos, la Dirección General de Bienestar Social y la Dirección General de Medio Ambiente, así como, de los miembros del Gabinete.</w:t>
      </w:r>
    </w:p>
    <w:p w:rsidRPr="005C5F89" w:rsidR="004E59B7" w:rsidP="003A7290" w:rsidRDefault="004E59B7" w14:paraId="62641055" w14:textId="65851038">
      <w:pPr>
        <w:spacing w:after="0" w:line="360" w:lineRule="auto"/>
        <w:rPr>
          <w:rFonts w:eastAsia="Calibri" w:cs="Times New Roman"/>
          <w:color w:val="000000"/>
        </w:rPr>
      </w:pPr>
    </w:p>
    <w:p w:rsidRPr="005C5F89" w:rsidR="009414DA" w:rsidP="003A7290" w:rsidRDefault="009414DA" w14:paraId="5D73D923" w14:textId="77777777">
      <w:pPr>
        <w:spacing w:after="0" w:line="360" w:lineRule="auto"/>
        <w:rPr>
          <w:rFonts w:eastAsia="Calibri" w:cs="Tahoma"/>
          <w:bCs/>
          <w:iCs/>
          <w:color w:val="000000"/>
          <w:lang w:val="es-ES"/>
        </w:rPr>
      </w:pPr>
      <w:r w:rsidRPr="005C5F89">
        <w:rPr>
          <w:rFonts w:eastAsia="Calibri" w:cs="Tahoma"/>
          <w:bCs/>
          <w:iCs/>
          <w:color w:val="000000"/>
          <w:lang w:val="es-ES_tradnl"/>
        </w:rPr>
        <w:t>Ahora bien, no pasa desapercibido para este Instituto que los documentos que den cuenta de lo solicitado, pudieran contener datos o información clasificada; por lo que, en el supuesto, deberá elaborar la versión pública respectiva; a</w:t>
      </w:r>
      <w:r w:rsidRPr="005C5F89">
        <w:rPr>
          <w:rFonts w:eastAsia="Calibri" w:cs="Tahoma"/>
          <w:bCs/>
          <w:iCs/>
          <w:color w:val="000000"/>
          <w:lang w:val="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Pr="005C5F89" w:rsidR="009414DA" w:rsidP="003A7290" w:rsidRDefault="009414DA" w14:paraId="405DF20D" w14:textId="77777777">
      <w:pPr>
        <w:spacing w:after="0" w:line="360" w:lineRule="auto"/>
        <w:rPr>
          <w:rFonts w:eastAsia="Calibri" w:cs="Tahoma"/>
          <w:bCs/>
          <w:iCs/>
          <w:color w:val="000000"/>
          <w:lang w:val="es-ES"/>
        </w:rPr>
      </w:pPr>
    </w:p>
    <w:p w:rsidRPr="005C5F89" w:rsidR="009414DA" w:rsidP="003A7290" w:rsidRDefault="009414DA" w14:paraId="6F1BAA7F" w14:textId="77777777">
      <w:pPr>
        <w:spacing w:after="0" w:line="360" w:lineRule="auto"/>
        <w:rPr>
          <w:rFonts w:eastAsia="Calibri" w:cs="Tahoma"/>
          <w:bCs/>
          <w:iCs/>
          <w:color w:val="000000"/>
          <w:lang w:val="es-ES"/>
        </w:rPr>
      </w:pPr>
      <w:r w:rsidRPr="005C5F89">
        <w:rPr>
          <w:rFonts w:eastAsia="Calibri" w:cs="Tahoma"/>
          <w:bCs/>
          <w:iCs/>
          <w:color w:val="000000"/>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Pr="005C5F89" w:rsidR="00905C7D" w:rsidP="003A7290" w:rsidRDefault="00905C7D" w14:paraId="633891AD" w14:textId="77777777">
      <w:pPr>
        <w:spacing w:after="0" w:line="360" w:lineRule="auto"/>
        <w:rPr>
          <w:rFonts w:cs="Tahoma"/>
          <w:b/>
        </w:rPr>
      </w:pPr>
    </w:p>
    <w:p w:rsidRPr="005C5F89" w:rsidR="00905C7D" w:rsidP="003A7290" w:rsidRDefault="00905C7D" w14:paraId="2CF30DEF" w14:textId="1442D6D6">
      <w:pPr>
        <w:spacing w:after="0" w:line="360" w:lineRule="auto"/>
        <w:rPr>
          <w:rFonts w:cs="Tahoma"/>
          <w:b/>
        </w:rPr>
      </w:pPr>
      <w:r w:rsidRPr="005C5F89">
        <w:rPr>
          <w:rFonts w:cs="Tahoma"/>
          <w:b/>
        </w:rPr>
        <w:t xml:space="preserve">SEXTO. Decisión. </w:t>
      </w:r>
    </w:p>
    <w:p w:rsidRPr="005C5F89" w:rsidR="00905C7D" w:rsidP="003A7290" w:rsidRDefault="00905C7D" w14:paraId="036A6564" w14:textId="77777777">
      <w:pPr>
        <w:spacing w:after="0" w:line="360" w:lineRule="auto"/>
        <w:rPr>
          <w:rFonts w:cs="Tahoma"/>
          <w:b/>
        </w:rPr>
      </w:pPr>
    </w:p>
    <w:p w:rsidRPr="005C5F89" w:rsidR="00905C7D" w:rsidP="003A7290" w:rsidRDefault="00905C7D" w14:paraId="23C05F75" w14:textId="323EEA3E">
      <w:pPr>
        <w:tabs>
          <w:tab w:val="left" w:pos="993"/>
        </w:tabs>
        <w:spacing w:after="0" w:line="360" w:lineRule="auto"/>
        <w:ind w:right="-28"/>
        <w:rPr>
          <w:rFonts w:cs="Tahoma"/>
          <w:color w:val="auto"/>
        </w:rPr>
      </w:pPr>
      <w:r w:rsidRPr="005C5F89">
        <w:rPr>
          <w:rFonts w:cs="Tahoma"/>
        </w:rPr>
        <w:t xml:space="preserve">Con fundamento en el artículo 186, fracción II, de la Ley de Transparencia y Acceso a la Información Pública del Estado de México y Municipios, este Instituto considera procedente </w:t>
      </w:r>
      <w:r w:rsidRPr="005C5F89">
        <w:rPr>
          <w:rFonts w:cs="Tahoma"/>
          <w:b/>
        </w:rPr>
        <w:t xml:space="preserve">MODIFICAR </w:t>
      </w:r>
      <w:r w:rsidRPr="005C5F89">
        <w:rPr>
          <w:rFonts w:cs="Tahoma"/>
          <w:bCs/>
        </w:rPr>
        <w:t>la</w:t>
      </w:r>
      <w:r w:rsidRPr="005C5F89">
        <w:rPr>
          <w:rFonts w:cs="Tahoma"/>
        </w:rPr>
        <w:t xml:space="preserve"> respuesta otorgada por el </w:t>
      </w:r>
      <w:r w:rsidRPr="005C5F89">
        <w:rPr>
          <w:rFonts w:eastAsia="Calibri" w:cs="Tahoma"/>
        </w:rPr>
        <w:t xml:space="preserve">Ayuntamiento de Toluca, </w:t>
      </w:r>
      <w:r w:rsidRPr="005C5F89">
        <w:rPr>
          <w:rFonts w:cs="Tahoma"/>
        </w:rPr>
        <w:t>a efecto de que, previa búsqueda exhaustiva y razonable en las unidades administrativas competentes,</w:t>
      </w:r>
      <w:r w:rsidRPr="005C5F89" w:rsidR="009414DA">
        <w:rPr>
          <w:rFonts w:cs="Tahoma"/>
        </w:rPr>
        <w:t xml:space="preserve"> entre las </w:t>
      </w:r>
      <w:r w:rsidRPr="005C5F89" w:rsidR="009414DA">
        <w:rPr>
          <w:rFonts w:cs="Tahoma"/>
        </w:rPr>
        <w:lastRenderedPageBreak/>
        <w:t>cuales no podrá omitir a la Dirección General de Administración,</w:t>
      </w:r>
      <w:r w:rsidRPr="005C5F89">
        <w:rPr>
          <w:rFonts w:cs="Tahoma"/>
        </w:rPr>
        <w:t xml:space="preserve"> entregue </w:t>
      </w:r>
      <w:r w:rsidRPr="005C5F89">
        <w:rPr>
          <w:rFonts w:eastAsia="Calibri" w:cs="Tahoma"/>
          <w:iCs/>
          <w:lang w:eastAsia="es-ES_tradnl"/>
        </w:rPr>
        <w:t>a través del Sistema de Acceso a la Información Mexiquense (SAIMEX), en su caso, en versión pública</w:t>
      </w:r>
      <w:r w:rsidRPr="005C5F89">
        <w:rPr>
          <w:rFonts w:cs="Tahoma"/>
        </w:rPr>
        <w:t xml:space="preserve">, </w:t>
      </w:r>
      <w:r w:rsidRPr="005C5F89" w:rsidR="009414DA">
        <w:rPr>
          <w:rFonts w:cs="Tahoma"/>
        </w:rPr>
        <w:t>los documentos donde conste lo siguiente:</w:t>
      </w:r>
    </w:p>
    <w:p w:rsidRPr="005C5F89" w:rsidR="00905C7D" w:rsidP="003A7290" w:rsidRDefault="00905C7D" w14:paraId="261AD2D6" w14:textId="77777777">
      <w:pPr>
        <w:widowControl w:val="0"/>
        <w:spacing w:after="0" w:line="360" w:lineRule="auto"/>
        <w:rPr>
          <w:rFonts w:eastAsia="Calibri" w:cs="Tahoma"/>
          <w:iCs/>
          <w:lang w:eastAsia="es-ES_tradnl"/>
        </w:rPr>
      </w:pPr>
    </w:p>
    <w:p w:rsidRPr="005C5F89" w:rsidR="003A7290" w:rsidP="003A7290" w:rsidRDefault="003A7290" w14:paraId="39BC3018" w14:textId="6E39DE32">
      <w:pPr>
        <w:pStyle w:val="Prrafodelista"/>
        <w:numPr>
          <w:ilvl w:val="0"/>
          <w:numId w:val="20"/>
        </w:numPr>
        <w:spacing w:after="0" w:line="360" w:lineRule="auto"/>
        <w:rPr>
          <w:rFonts w:cs="Tahoma"/>
          <w:bCs/>
        </w:rPr>
      </w:pPr>
      <w:r w:rsidRPr="005C5F89">
        <w:rPr>
          <w:rFonts w:eastAsia="Calibri" w:cs="Times New Roman"/>
          <w:color w:val="000000"/>
        </w:rPr>
        <w:t>La categoría, adscripción y salario de los servidores públicos que ocupaban un cargo en la Dirección General de Seguridad y Protección, al catorce de marzo de dos mil veintidós.</w:t>
      </w:r>
    </w:p>
    <w:p w:rsidRPr="005C5F89" w:rsidR="003A7290" w:rsidP="003A7290" w:rsidRDefault="003A7290" w14:paraId="252F12C8" w14:textId="77777777">
      <w:pPr>
        <w:pStyle w:val="Prrafodelista"/>
        <w:spacing w:after="0" w:line="360" w:lineRule="auto"/>
        <w:rPr>
          <w:rFonts w:cs="Tahoma"/>
          <w:bCs/>
        </w:rPr>
      </w:pPr>
    </w:p>
    <w:p w:rsidRPr="005C5F89" w:rsidR="003A7290" w:rsidP="003A7290" w:rsidRDefault="003A7290" w14:paraId="60BE911A" w14:textId="21CEED46">
      <w:pPr>
        <w:pStyle w:val="Prrafodelista"/>
        <w:numPr>
          <w:ilvl w:val="0"/>
          <w:numId w:val="43"/>
        </w:numPr>
        <w:spacing w:after="0" w:line="360" w:lineRule="auto"/>
        <w:rPr>
          <w:rFonts w:eastAsia="Calibri" w:cs="Tahoma"/>
          <w:bCs/>
          <w:color w:val="auto"/>
        </w:rPr>
      </w:pPr>
      <w:r w:rsidRPr="005C5F89">
        <w:rPr>
          <w:rFonts w:eastAsia="Calibri" w:cs="Tahoma"/>
          <w:bCs/>
          <w:color w:val="auto"/>
        </w:rPr>
        <w:t xml:space="preserve">El nombre, categoría y sueldo de los trabajadores gubernamentales, </w:t>
      </w:r>
      <w:proofErr w:type="gramStart"/>
      <w:r w:rsidRPr="005C5F89">
        <w:rPr>
          <w:rFonts w:eastAsia="Calibri" w:cs="Tahoma"/>
          <w:bCs/>
          <w:color w:val="auto"/>
        </w:rPr>
        <w:t>que</w:t>
      </w:r>
      <w:proofErr w:type="gramEnd"/>
      <w:r w:rsidRPr="005C5F89">
        <w:rPr>
          <w:rFonts w:eastAsia="Calibri" w:cs="Tahoma"/>
          <w:bCs/>
          <w:color w:val="auto"/>
        </w:rPr>
        <w:t xml:space="preserve"> al catorce de mayo de dos mil veintidós, ocupaban un cargo en la Dirección General de Administración, la Coordinación de Planeación, la Coordinación de Asesores, la Coordinación de Mejora Regulatoria, la Dirección General de Servicios Públicos, la Dirección General de Bienestar Social y la Dirección General de Medio Ambiente, así como, de los miembros del Gabinete.</w:t>
      </w:r>
    </w:p>
    <w:p w:rsidRPr="005C5F89" w:rsidR="00F53DDC" w:rsidP="003A7290" w:rsidRDefault="00F53DDC" w14:paraId="03F9BD1A" w14:textId="77777777">
      <w:pPr>
        <w:pStyle w:val="Prrafodelista"/>
        <w:widowControl w:val="0"/>
        <w:spacing w:after="0" w:line="360" w:lineRule="auto"/>
        <w:rPr>
          <w:rFonts w:eastAsia="Calibri" w:cs="Tahoma"/>
          <w:iCs/>
          <w:lang w:eastAsia="es-ES_tradnl"/>
        </w:rPr>
      </w:pPr>
    </w:p>
    <w:p w:rsidRPr="005C5F89" w:rsidR="005F27A8" w:rsidP="003A7290" w:rsidRDefault="00905C7D" w14:paraId="18E918DE" w14:textId="0BD95DAB">
      <w:pPr>
        <w:tabs>
          <w:tab w:val="left" w:pos="4962"/>
        </w:tabs>
        <w:spacing w:after="0" w:line="360" w:lineRule="auto"/>
        <w:rPr>
          <w:rFonts w:eastAsia="Calibri" w:cs="Tahoma"/>
          <w:bCs/>
          <w:iCs/>
          <w:color w:val="auto"/>
          <w:lang w:val="es-ES"/>
        </w:rPr>
      </w:pPr>
      <w:r w:rsidRPr="005C5F89">
        <w:rPr>
          <w:rFonts w:eastAsia="Calibri" w:cs="Tahoma"/>
          <w:bCs/>
          <w:iCs/>
          <w:color w:val="auto"/>
          <w:lang w:val="es-ES"/>
        </w:rPr>
        <w:t>Además, de ser necesario, deberá proporcionar el Acuerdo de Clasificación donde el Comité de Transparencia, confirme la eliminación de los datos o información</w:t>
      </w:r>
      <w:r w:rsidRPr="005C5F89" w:rsidR="00324F15">
        <w:rPr>
          <w:rFonts w:eastAsia="Calibri" w:cs="Tahoma"/>
          <w:bCs/>
          <w:iCs/>
          <w:color w:val="auto"/>
          <w:lang w:val="es-ES"/>
        </w:rPr>
        <w:t xml:space="preserve"> clasificada.</w:t>
      </w:r>
      <w:r w:rsidRPr="005C5F89" w:rsidR="005F27A8">
        <w:rPr>
          <w:rFonts w:eastAsia="Calibri" w:cs="Tahoma"/>
          <w:bCs/>
          <w:iCs/>
          <w:color w:val="auto"/>
          <w:lang w:val="es-ES"/>
        </w:rPr>
        <w:t xml:space="preserve"> </w:t>
      </w:r>
    </w:p>
    <w:p w:rsidRPr="005C5F89" w:rsidR="005F27A8" w:rsidP="003A7290" w:rsidRDefault="005F27A8" w14:paraId="5B4DAD6D" w14:textId="77777777">
      <w:pPr>
        <w:tabs>
          <w:tab w:val="left" w:pos="4962"/>
        </w:tabs>
        <w:spacing w:after="0" w:line="360" w:lineRule="auto"/>
        <w:rPr>
          <w:rFonts w:eastAsia="Calibri" w:cs="Tahoma"/>
          <w:bCs/>
          <w:iCs/>
          <w:color w:val="auto"/>
          <w:lang w:val="es-ES"/>
        </w:rPr>
      </w:pPr>
    </w:p>
    <w:p w:rsidRPr="005C5F89" w:rsidR="00905C7D" w:rsidP="003A7290" w:rsidRDefault="00905C7D" w14:paraId="27965F4A" w14:textId="77777777">
      <w:pPr>
        <w:spacing w:after="0" w:line="360" w:lineRule="auto"/>
        <w:rPr>
          <w:b/>
          <w:bCs/>
        </w:rPr>
      </w:pPr>
      <w:r w:rsidRPr="005C5F89">
        <w:rPr>
          <w:b/>
          <w:bCs/>
        </w:rPr>
        <w:t>Términos de la Resolución.</w:t>
      </w:r>
    </w:p>
    <w:p w:rsidRPr="005C5F89" w:rsidR="00905C7D" w:rsidP="003A7290" w:rsidRDefault="00905C7D" w14:paraId="4ED26051" w14:textId="77777777">
      <w:pPr>
        <w:spacing w:after="0" w:line="360" w:lineRule="auto"/>
      </w:pPr>
    </w:p>
    <w:p w:rsidRPr="005C5F89" w:rsidR="00905C7D" w:rsidP="003A7290" w:rsidRDefault="00905C7D" w14:paraId="77C5D35F" w14:textId="2CEB170E">
      <w:pPr>
        <w:spacing w:after="0" w:line="360" w:lineRule="auto"/>
        <w:ind w:right="-28"/>
        <w:rPr>
          <w:rFonts w:eastAsia="Calibri" w:cs="Tahoma"/>
          <w:bCs/>
          <w:iCs/>
          <w:color w:val="auto"/>
        </w:rPr>
      </w:pPr>
      <w:r w:rsidRPr="005C5F89">
        <w:rPr>
          <w:rFonts w:eastAsia="Times New Roman" w:cs="Times New Roman"/>
          <w:lang w:eastAsia="es-MX"/>
        </w:rPr>
        <w:t xml:space="preserve">Se le hace del conocimiento al Particular, que, en el presente caso, se le concede la razón, pues el </w:t>
      </w:r>
      <w:r w:rsidRPr="005C5F89">
        <w:rPr>
          <w:rFonts w:eastAsia="Calibri" w:cs="Tahoma"/>
        </w:rPr>
        <w:t xml:space="preserve">Ayuntamiento de </w:t>
      </w:r>
      <w:r w:rsidRPr="005C5F89" w:rsidR="005F27A8">
        <w:rPr>
          <w:rFonts w:eastAsia="Calibri" w:cs="Tahoma"/>
        </w:rPr>
        <w:t>Toluca</w:t>
      </w:r>
      <w:r w:rsidRPr="005C5F89">
        <w:rPr>
          <w:rFonts w:eastAsia="Calibri" w:cs="Tahoma"/>
        </w:rPr>
        <w:t>, proporcion</w:t>
      </w:r>
      <w:r w:rsidRPr="005C5F89" w:rsidR="003A7290">
        <w:rPr>
          <w:rFonts w:eastAsia="Calibri" w:cs="Tahoma"/>
        </w:rPr>
        <w:t>ó</w:t>
      </w:r>
      <w:r w:rsidRPr="005C5F89">
        <w:rPr>
          <w:rFonts w:eastAsia="Calibri" w:cs="Tahoma"/>
        </w:rPr>
        <w:t xml:space="preserve"> de manera parcial la información </w:t>
      </w:r>
      <w:r w:rsidRPr="005C5F89" w:rsidR="00717E66">
        <w:rPr>
          <w:rFonts w:eastAsia="Calibri" w:cs="Tahoma"/>
        </w:rPr>
        <w:t>solicitada</w:t>
      </w:r>
      <w:r w:rsidRPr="005C5F89">
        <w:rPr>
          <w:rFonts w:eastAsia="Calibri" w:cs="Tahoma"/>
        </w:rPr>
        <w:t>, ante lo cual, se le ordena el Ente Recurrido la información que es de s</w:t>
      </w:r>
      <w:r w:rsidRPr="005C5F89" w:rsidR="005F27A8">
        <w:rPr>
          <w:rFonts w:eastAsia="Calibri" w:cs="Tahoma"/>
        </w:rPr>
        <w:t>u</w:t>
      </w:r>
      <w:r w:rsidRPr="005C5F89">
        <w:rPr>
          <w:rFonts w:eastAsia="Calibri" w:cs="Tahoma"/>
        </w:rPr>
        <w:t xml:space="preserve"> interés.</w:t>
      </w:r>
      <w:r w:rsidRPr="005C5F89" w:rsidR="003A7290">
        <w:rPr>
          <w:rFonts w:eastAsia="Calibri" w:cs="Tahoma"/>
        </w:rPr>
        <w:t xml:space="preserve"> </w:t>
      </w:r>
      <w:r w:rsidRPr="005C5F89">
        <w:rPr>
          <w:rFonts w:eastAsia="Calibri" w:cs="Tahoma"/>
          <w:bCs/>
          <w:iCs/>
          <w:color w:val="auto"/>
        </w:rPr>
        <w:t>Finalmente, la labor de este Instituto, es apoyar a la población a acceder a la información pública y garantizar la protección de los datos personales.</w:t>
      </w:r>
    </w:p>
    <w:p w:rsidRPr="005C5F89" w:rsidR="00324F15" w:rsidP="003A7290" w:rsidRDefault="00324F15" w14:paraId="51E034D3" w14:textId="77777777">
      <w:pPr>
        <w:spacing w:after="0" w:line="360" w:lineRule="auto"/>
        <w:ind w:right="-28"/>
        <w:rPr>
          <w:rFonts w:eastAsia="Calibri" w:cs="Tahoma"/>
        </w:rPr>
      </w:pPr>
    </w:p>
    <w:p w:rsidRPr="005C5F89" w:rsidR="00905C7D" w:rsidP="003A7290" w:rsidRDefault="00905C7D" w14:paraId="01F7E1DA" w14:textId="77777777">
      <w:pPr>
        <w:spacing w:after="0" w:line="360" w:lineRule="auto"/>
        <w:rPr>
          <w:rFonts w:eastAsia="Calibri" w:cs="Tahoma"/>
          <w:bCs/>
          <w:color w:val="auto"/>
        </w:rPr>
      </w:pPr>
      <w:r w:rsidRPr="005C5F89">
        <w:t>Por</w:t>
      </w:r>
      <w:r w:rsidRPr="005C5F89">
        <w:rPr>
          <w:rFonts w:eastAsia="Calibri" w:cs="Tahoma"/>
          <w:bCs/>
          <w:color w:val="auto"/>
        </w:rPr>
        <w:t xml:space="preserve"> lo expuesto y fundado, este Pleno:</w:t>
      </w:r>
    </w:p>
    <w:p w:rsidRPr="005C5F89" w:rsidR="00905C7D" w:rsidP="003A7290" w:rsidRDefault="00905C7D" w14:paraId="2104F62A" w14:textId="77777777">
      <w:pPr>
        <w:spacing w:after="0" w:line="360" w:lineRule="auto"/>
        <w:ind w:right="-28"/>
        <w:jc w:val="center"/>
        <w:rPr>
          <w:rFonts w:eastAsia="Calibri" w:cs="Tahoma"/>
          <w:b/>
          <w:bCs/>
          <w:color w:val="auto"/>
        </w:rPr>
      </w:pPr>
      <w:r w:rsidRPr="005C5F89">
        <w:rPr>
          <w:rFonts w:eastAsia="Calibri" w:cs="Tahoma"/>
          <w:b/>
          <w:bCs/>
          <w:color w:val="auto"/>
        </w:rPr>
        <w:lastRenderedPageBreak/>
        <w:t>R E S U E L V E:</w:t>
      </w:r>
    </w:p>
    <w:p w:rsidRPr="005C5F89" w:rsidR="00905C7D" w:rsidP="003A7290" w:rsidRDefault="00905C7D" w14:paraId="56645E9B" w14:textId="77777777">
      <w:pPr>
        <w:spacing w:after="0" w:line="360" w:lineRule="auto"/>
        <w:rPr>
          <w:lang w:val="es-ES" w:eastAsia="es-ES_tradnl"/>
        </w:rPr>
      </w:pPr>
    </w:p>
    <w:p w:rsidRPr="005C5F89" w:rsidR="00905C7D" w:rsidP="003A7290" w:rsidRDefault="00905C7D" w14:paraId="638E46BC" w14:textId="21C8CB1B">
      <w:pPr>
        <w:spacing w:after="0" w:line="360" w:lineRule="auto"/>
        <w:contextualSpacing/>
        <w:rPr>
          <w:rFonts w:eastAsia="Calibri" w:cs="Tahoma"/>
        </w:rPr>
      </w:pPr>
      <w:r w:rsidRPr="005C5F89">
        <w:rPr>
          <w:rFonts w:cs="Tahoma"/>
          <w:b/>
          <w:bCs/>
        </w:rPr>
        <w:t xml:space="preserve">PRIMERO. </w:t>
      </w:r>
      <w:r w:rsidRPr="005C5F89">
        <w:rPr>
          <w:rFonts w:cs="Tahoma"/>
          <w:bCs/>
        </w:rPr>
        <w:t xml:space="preserve">Se </w:t>
      </w:r>
      <w:r w:rsidRPr="005C5F89">
        <w:rPr>
          <w:rFonts w:cs="Tahoma"/>
          <w:b/>
          <w:bCs/>
        </w:rPr>
        <w:t>MODIFICA</w:t>
      </w:r>
      <w:r w:rsidRPr="005C5F89">
        <w:rPr>
          <w:rFonts w:cs="Tahoma"/>
          <w:bCs/>
        </w:rPr>
        <w:t xml:space="preserve"> la respuesta entregada por el </w:t>
      </w:r>
      <w:r w:rsidRPr="005C5F89">
        <w:rPr>
          <w:rFonts w:eastAsia="Calibri" w:cs="Tahoma"/>
        </w:rPr>
        <w:t xml:space="preserve">Ayuntamiento de </w:t>
      </w:r>
      <w:r w:rsidRPr="005C5F89" w:rsidR="003A7290">
        <w:rPr>
          <w:rFonts w:eastAsia="Calibri" w:cs="Tahoma"/>
        </w:rPr>
        <w:t>Toluca</w:t>
      </w:r>
      <w:r w:rsidRPr="005C5F89">
        <w:rPr>
          <w:rFonts w:cs="Tahoma"/>
          <w:bCs/>
        </w:rPr>
        <w:t xml:space="preserve"> a la</w:t>
      </w:r>
      <w:r w:rsidRPr="005C5F89" w:rsidR="00717E66">
        <w:rPr>
          <w:rFonts w:cs="Tahoma"/>
          <w:bCs/>
        </w:rPr>
        <w:t>s</w:t>
      </w:r>
      <w:r w:rsidRPr="005C5F89">
        <w:rPr>
          <w:rFonts w:cs="Tahoma"/>
          <w:bCs/>
        </w:rPr>
        <w:t xml:space="preserve"> solicitud</w:t>
      </w:r>
      <w:r w:rsidRPr="005C5F89" w:rsidR="00717E66">
        <w:rPr>
          <w:rFonts w:cs="Tahoma"/>
          <w:bCs/>
        </w:rPr>
        <w:t>es</w:t>
      </w:r>
      <w:r w:rsidRPr="005C5F89">
        <w:rPr>
          <w:rFonts w:cs="Tahoma"/>
          <w:bCs/>
        </w:rPr>
        <w:t xml:space="preserve"> de </w:t>
      </w:r>
      <w:r w:rsidRPr="005C5F89">
        <w:rPr>
          <w:rFonts w:eastAsia="Calibri" w:cs="Tahoma"/>
        </w:rPr>
        <w:t xml:space="preserve">información </w:t>
      </w:r>
      <w:r w:rsidRPr="005C5F89" w:rsidR="00717E66">
        <w:t>00671/TOLUCA/IP/2022 y 00674/TOLUCA/IP/2022</w:t>
      </w:r>
      <w:r w:rsidRPr="005C5F89">
        <w:t xml:space="preserve"> por resultar </w:t>
      </w:r>
      <w:r w:rsidRPr="005C5F89">
        <w:rPr>
          <w:b/>
        </w:rPr>
        <w:t>FUNDADAS</w:t>
      </w:r>
      <w:r w:rsidRPr="005C5F89">
        <w:rPr>
          <w:rFonts w:cs="Tahoma"/>
        </w:rPr>
        <w:t xml:space="preserve"> </w:t>
      </w:r>
      <w:r w:rsidRPr="005C5F89">
        <w:rPr>
          <w:rFonts w:eastAsia="Calibri" w:cs="Tahoma"/>
        </w:rPr>
        <w:t xml:space="preserve">las razones o motivos de inconformidad hechos valer por </w:t>
      </w:r>
      <w:r w:rsidRPr="005C5F89" w:rsidR="00717E66">
        <w:rPr>
          <w:rFonts w:eastAsia="Calibri" w:cs="Tahoma"/>
        </w:rPr>
        <w:t>la</w:t>
      </w:r>
      <w:r w:rsidRPr="005C5F89">
        <w:rPr>
          <w:rFonts w:eastAsia="Calibri" w:cs="Tahoma"/>
        </w:rPr>
        <w:t xml:space="preserve"> Particular, en</w:t>
      </w:r>
      <w:r w:rsidRPr="005C5F89">
        <w:rPr>
          <w:rFonts w:eastAsia="Calibri" w:cs="Tahoma"/>
          <w:bCs/>
        </w:rPr>
        <w:t xml:space="preserve"> términos de los considerandos </w:t>
      </w:r>
      <w:r w:rsidRPr="005C5F89">
        <w:rPr>
          <w:rFonts w:eastAsia="Calibri" w:cs="Tahoma"/>
        </w:rPr>
        <w:t>QUINTO y SEXTO de la presente Resolución.</w:t>
      </w:r>
    </w:p>
    <w:p w:rsidRPr="005C5F89" w:rsidR="00905C7D" w:rsidP="003A7290" w:rsidRDefault="00905C7D" w14:paraId="643C7FBF" w14:textId="77777777">
      <w:pPr>
        <w:spacing w:after="0" w:line="360" w:lineRule="auto"/>
        <w:contextualSpacing/>
        <w:rPr>
          <w:rFonts w:eastAsia="Calibri" w:cs="Tahoma"/>
          <w:bCs/>
        </w:rPr>
      </w:pPr>
    </w:p>
    <w:p w:rsidRPr="005C5F89" w:rsidR="00905C7D" w:rsidP="003A7290" w:rsidRDefault="00905C7D" w14:paraId="7FFDC056" w14:textId="5D5F87F1">
      <w:pPr>
        <w:tabs>
          <w:tab w:val="left" w:pos="993"/>
        </w:tabs>
        <w:spacing w:after="0" w:line="360" w:lineRule="auto"/>
        <w:ind w:right="-28"/>
        <w:rPr>
          <w:rFonts w:cs="Tahoma"/>
          <w:color w:val="auto"/>
        </w:rPr>
      </w:pPr>
      <w:r w:rsidRPr="005C5F89">
        <w:rPr>
          <w:rFonts w:cs="Tahoma"/>
          <w:b/>
          <w:bCs/>
        </w:rPr>
        <w:t xml:space="preserve">SEGUNDO. </w:t>
      </w:r>
      <w:r w:rsidRPr="005C5F89">
        <w:rPr>
          <w:rFonts w:cs="Tahoma"/>
        </w:rPr>
        <w:t xml:space="preserve">Se </w:t>
      </w:r>
      <w:r w:rsidRPr="005C5F89">
        <w:rPr>
          <w:rFonts w:cs="Tahoma"/>
          <w:b/>
        </w:rPr>
        <w:t xml:space="preserve">ORDENA </w:t>
      </w:r>
      <w:r w:rsidRPr="005C5F89">
        <w:rPr>
          <w:rFonts w:cs="Tahoma"/>
          <w:bCs/>
        </w:rPr>
        <w:t xml:space="preserve">al </w:t>
      </w:r>
      <w:r w:rsidRPr="005C5F89">
        <w:rPr>
          <w:rFonts w:cs="Tahoma"/>
        </w:rPr>
        <w:t>Ente Recurrido, a efecto de</w:t>
      </w:r>
      <w:r w:rsidRPr="005C5F89">
        <w:rPr>
          <w:rFonts w:eastAsia="Calibri" w:cs="Tahoma"/>
          <w:lang w:eastAsia="es-MX"/>
        </w:rPr>
        <w:t xml:space="preserve"> que </w:t>
      </w:r>
      <w:r w:rsidRPr="005C5F89">
        <w:rPr>
          <w:rFonts w:cs="Tahoma"/>
        </w:rPr>
        <w:t xml:space="preserve">a efecto de que, previa búsqueda exhaustiva y razonable entregue, </w:t>
      </w:r>
      <w:r w:rsidRPr="005C5F89">
        <w:rPr>
          <w:rFonts w:eastAsia="Calibri" w:cs="Tahoma"/>
          <w:iCs/>
          <w:lang w:eastAsia="es-ES_tradnl"/>
        </w:rPr>
        <w:t>a través del Sistema de Acceso a la Información Mexiquense (SAIMEX), en su caso, en versión pública</w:t>
      </w:r>
      <w:r w:rsidRPr="005C5F89" w:rsidR="003A7290">
        <w:rPr>
          <w:rFonts w:eastAsia="Calibri" w:cs="Tahoma"/>
          <w:iCs/>
          <w:lang w:eastAsia="es-ES_tradnl"/>
        </w:rPr>
        <w:t>, los documentos donde conste lo siguiente:</w:t>
      </w:r>
    </w:p>
    <w:p w:rsidRPr="005C5F89" w:rsidR="00717E66" w:rsidP="003A7290" w:rsidRDefault="00717E66" w14:paraId="6CAA2F16" w14:textId="77777777">
      <w:pPr>
        <w:widowControl w:val="0"/>
        <w:spacing w:after="0" w:line="360" w:lineRule="auto"/>
        <w:rPr>
          <w:rFonts w:eastAsia="Calibri" w:cs="Tahoma"/>
          <w:iCs/>
          <w:lang w:eastAsia="es-ES_tradnl"/>
        </w:rPr>
      </w:pPr>
    </w:p>
    <w:p w:rsidRPr="005C5F89" w:rsidR="003A7290" w:rsidP="003A7290" w:rsidRDefault="003A7290" w14:paraId="5E697CEB" w14:textId="77777777">
      <w:pPr>
        <w:pStyle w:val="Prrafodelista"/>
        <w:numPr>
          <w:ilvl w:val="0"/>
          <w:numId w:val="44"/>
        </w:numPr>
        <w:spacing w:after="0" w:line="360" w:lineRule="auto"/>
        <w:rPr>
          <w:rFonts w:cs="Tahoma"/>
          <w:bCs/>
        </w:rPr>
      </w:pPr>
      <w:r w:rsidRPr="005C5F89">
        <w:rPr>
          <w:rFonts w:eastAsia="Calibri" w:cs="Times New Roman"/>
          <w:color w:val="000000"/>
        </w:rPr>
        <w:t>La categoría, adscripción y salario de los servidores públicos que ocupaban un cargo en la Dirección General de Seguridad y Protección, al catorce de marzo de dos mil veintidós.</w:t>
      </w:r>
    </w:p>
    <w:p w:rsidRPr="005C5F89" w:rsidR="003A7290" w:rsidP="003A7290" w:rsidRDefault="003A7290" w14:paraId="0FEA3BB6" w14:textId="77777777">
      <w:pPr>
        <w:pStyle w:val="Prrafodelista"/>
        <w:spacing w:after="0" w:line="360" w:lineRule="auto"/>
        <w:rPr>
          <w:rFonts w:cs="Tahoma"/>
          <w:bCs/>
        </w:rPr>
      </w:pPr>
    </w:p>
    <w:p w:rsidRPr="005C5F89" w:rsidR="003A7290" w:rsidP="003A7290" w:rsidRDefault="003A7290" w14:paraId="28015DA8" w14:textId="5F09138D">
      <w:pPr>
        <w:pStyle w:val="Prrafodelista"/>
        <w:numPr>
          <w:ilvl w:val="0"/>
          <w:numId w:val="43"/>
        </w:numPr>
        <w:spacing w:after="0" w:line="360" w:lineRule="auto"/>
        <w:rPr>
          <w:rFonts w:eastAsia="Calibri" w:cs="Tahoma"/>
          <w:bCs/>
          <w:color w:val="auto"/>
        </w:rPr>
      </w:pPr>
      <w:r w:rsidRPr="005C5F89">
        <w:rPr>
          <w:rFonts w:eastAsia="Calibri" w:cs="Tahoma"/>
          <w:bCs/>
          <w:color w:val="auto"/>
        </w:rPr>
        <w:t>El nombre, categoría y sueldo de los trabajadores gubernamentales que, al catorce de mayo de dos mil veintidós, ocupaban un cargo en la Dirección General de Administración, la Coordinación de Planeación, la Coordinación de Asesores, la Coordinación de Mejora Regulatoria, la Dirección General de Servicios Públicos, la Dirección General de Bienestar Social y la Dirección General de Medio Ambiente, así como, de los miembros del Gabinete.</w:t>
      </w:r>
    </w:p>
    <w:p w:rsidRPr="005C5F89" w:rsidR="00905C7D" w:rsidP="003A7290" w:rsidRDefault="00905C7D" w14:paraId="118B0A26" w14:textId="77777777">
      <w:pPr>
        <w:widowControl w:val="0"/>
        <w:spacing w:after="0" w:line="360" w:lineRule="auto"/>
        <w:rPr>
          <w:rFonts w:eastAsia="Calibri" w:cs="Tahoma"/>
          <w:iCs/>
          <w:lang w:eastAsia="es-ES_tradnl"/>
        </w:rPr>
      </w:pPr>
    </w:p>
    <w:p w:rsidRPr="005C5F89" w:rsidR="00717E66" w:rsidP="003A7290" w:rsidRDefault="00717E66" w14:paraId="58529729" w14:textId="77777777">
      <w:pPr>
        <w:tabs>
          <w:tab w:val="left" w:pos="4962"/>
        </w:tabs>
        <w:spacing w:after="0" w:line="360" w:lineRule="auto"/>
        <w:rPr>
          <w:rFonts w:eastAsia="Calibri" w:cs="Tahoma"/>
          <w:bCs/>
          <w:iCs/>
          <w:color w:val="auto"/>
          <w:lang w:val="es-ES"/>
        </w:rPr>
      </w:pPr>
      <w:r w:rsidRPr="005C5F89">
        <w:rPr>
          <w:rFonts w:eastAsia="Calibri" w:cs="Tahoma"/>
          <w:bCs/>
          <w:iCs/>
          <w:color w:val="auto"/>
          <w:lang w:val="es-ES"/>
        </w:rPr>
        <w:t xml:space="preserve">Además, de ser necesario, deberá proporcionar el Acuerdo de Clasificación donde el Comité de Transparencia, confirme la eliminación de los datos o información reservada, en la versión pública, de conformidad con los artículos 49, fracciones II y VIII y 132, fracción II de la Ley de Transparencia y Acceso a la Información Pública del Estado de México y Municipios. </w:t>
      </w:r>
    </w:p>
    <w:p w:rsidRPr="005C5F89" w:rsidR="00717E66" w:rsidP="003A7290" w:rsidRDefault="00717E66" w14:paraId="737DD396" w14:textId="77777777">
      <w:pPr>
        <w:tabs>
          <w:tab w:val="left" w:pos="4962"/>
        </w:tabs>
        <w:spacing w:after="0" w:line="360" w:lineRule="auto"/>
        <w:rPr>
          <w:rFonts w:eastAsia="Calibri" w:cs="Tahoma"/>
          <w:bCs/>
          <w:iCs/>
          <w:color w:val="auto"/>
          <w:lang w:val="es-ES"/>
        </w:rPr>
      </w:pPr>
    </w:p>
    <w:p w:rsidRPr="005C5F89" w:rsidR="00905C7D" w:rsidP="003A7290" w:rsidRDefault="00905C7D" w14:paraId="0FA6328B" w14:textId="77777777">
      <w:pPr>
        <w:spacing w:after="0" w:line="360" w:lineRule="auto"/>
        <w:rPr>
          <w:rFonts w:cs="Tahoma"/>
        </w:rPr>
      </w:pPr>
      <w:r w:rsidRPr="005C5F89">
        <w:rPr>
          <w:rFonts w:cs="Arial"/>
          <w:b/>
          <w:lang w:val="es-ES_tradnl"/>
        </w:rPr>
        <w:lastRenderedPageBreak/>
        <w:t>TERCERO.</w:t>
      </w:r>
      <w:r w:rsidRPr="005C5F89">
        <w:rPr>
          <w:rFonts w:cs="Tahoma"/>
          <w:b/>
        </w:rPr>
        <w:t xml:space="preserve"> NOTIFÍQUESE </w:t>
      </w:r>
      <w:r w:rsidRPr="005C5F89">
        <w:rPr>
          <w:rFonts w:cs="Tahoma"/>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5C5F89" w:rsidR="00905C7D" w:rsidP="003A7290" w:rsidRDefault="00905C7D" w14:paraId="75EDA83A" w14:textId="77777777">
      <w:pPr>
        <w:spacing w:after="0" w:line="360" w:lineRule="auto"/>
        <w:rPr>
          <w:rFonts w:cs="Tahoma"/>
        </w:rPr>
      </w:pPr>
    </w:p>
    <w:p w:rsidRPr="005C5F89" w:rsidR="00905C7D" w:rsidP="003A7290" w:rsidRDefault="00905C7D" w14:paraId="395BBFF1" w14:textId="77777777">
      <w:pPr>
        <w:spacing w:after="0" w:line="360" w:lineRule="auto"/>
        <w:contextualSpacing/>
        <w:rPr>
          <w:rFonts w:eastAsia="Calibri" w:cs="Tahoma"/>
          <w:iCs/>
        </w:rPr>
      </w:pPr>
      <w:bookmarkStart w:name="_Hlk61509110" w:id="2"/>
      <w:r w:rsidRPr="005C5F89">
        <w:rPr>
          <w:rFonts w:eastAsia="Calibri" w:cs="Tahoma"/>
          <w:i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2"/>
    </w:p>
    <w:p w:rsidRPr="005C5F89" w:rsidR="00905C7D" w:rsidP="003A7290" w:rsidRDefault="00905C7D" w14:paraId="0FDF5898" w14:textId="77777777">
      <w:pPr>
        <w:spacing w:after="0" w:line="360" w:lineRule="auto"/>
        <w:rPr>
          <w:rFonts w:cs="Tahoma"/>
        </w:rPr>
      </w:pPr>
    </w:p>
    <w:p w:rsidRPr="005C5F89" w:rsidR="00905C7D" w:rsidP="003A7290" w:rsidRDefault="00905C7D" w14:paraId="0656831C" w14:textId="77777777">
      <w:pPr>
        <w:spacing w:after="0" w:line="360" w:lineRule="auto"/>
        <w:rPr>
          <w:rFonts w:cs="Tahoma"/>
        </w:rPr>
      </w:pPr>
      <w:r w:rsidRPr="005C5F89">
        <w:rPr>
          <w:rFonts w:cs="Tahoma"/>
          <w:b/>
        </w:rPr>
        <w:t>CUARTO. NOTIFÍQUESE</w:t>
      </w:r>
      <w:r w:rsidRPr="005C5F89">
        <w:rPr>
          <w:rFonts w:cs="Tahoma"/>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5C5F89" w:rsidR="00905C7D" w:rsidP="003A7290" w:rsidRDefault="00905C7D" w14:paraId="3FF06C04" w14:textId="77777777">
      <w:pPr>
        <w:spacing w:after="0" w:line="360" w:lineRule="auto"/>
        <w:rPr>
          <w:rFonts w:eastAsia="Calibri" w:cs="Tahoma"/>
          <w:bCs/>
          <w:lang w:val="es-ES"/>
        </w:rPr>
      </w:pPr>
    </w:p>
    <w:p w:rsidR="00905C7D" w:rsidP="003A7290" w:rsidRDefault="0080135B" w14:paraId="056C9AB1" w14:textId="153D30BD">
      <w:pPr>
        <w:spacing w:after="0" w:line="360" w:lineRule="auto"/>
        <w:rPr>
          <w:rFonts w:eastAsia="Calibri" w:cs="Tahoma"/>
          <w:bCs/>
        </w:rPr>
      </w:pPr>
      <w:r w:rsidRPr="005C5F89">
        <w:rPr>
          <w:rFonts w:eastAsia="Calibri" w:cs="Tahoma"/>
          <w:bCs/>
        </w:rPr>
        <w:t xml:space="preserve">ASÍ LO RESUELVE, POR </w:t>
      </w:r>
      <w:r w:rsidRPr="005C5F89">
        <w:rPr>
          <w:rFonts w:eastAsia="Calibri" w:cs="Tahoma"/>
          <w:b/>
        </w:rPr>
        <w:t>MAYORÍA</w:t>
      </w:r>
      <w:r w:rsidRPr="005C5F89">
        <w:rPr>
          <w:rFonts w:eastAsia="Calibri" w:cs="Tahoma"/>
          <w:bCs/>
        </w:rPr>
        <w:t xml:space="preserve"> DE VOTOS EL PLENO DEL INSTITUTO DE TRANSPARENCIA, ACCESO A LA INFORMACIÓN PÚBLICA Y PROTECCIÓN DE DATOS PERSONALES DEL ESTADO DE MÉXICO Y MUNICIPIOS, CONFORMADO POR LOS COMISIONADOS JOSÉ MARTÍNEZ VILCHIS CON VOTO PARTICULAR, MARÍA DEL ROSARIO MEJÍA AYALA, SHARON CRISTINA MORALES MARTÍNEZ CON VOTO DISIDENTE, LUIS GUSTAVO PARRA NORIEGA Y GUADALUPE RAMÍREZ PEÑA CON OPINIÓN PARTICULAR, EN LA TRIGÉSIMA SESIÓN ORDINARIA, CELEBRADA EL VEINTICUATRO DE AGOSTO DE DOS MIL VEINTIDÓS, ANTE EL SECRETARIO TÉCNICO DEL PLENO, ALEXIS TAPIA RAMÍREZ.</w:t>
      </w:r>
    </w:p>
    <w:p w:rsidR="00CA1727" w:rsidP="003A7290" w:rsidRDefault="00CA1727" w14:paraId="1F6C6F38" w14:textId="0F00CE32">
      <w:pPr>
        <w:spacing w:after="0" w:line="360" w:lineRule="auto"/>
      </w:pPr>
      <w:r>
        <w:br w:type="page"/>
      </w:r>
    </w:p>
    <w:p w:rsidRPr="00CA1727" w:rsidR="003A7290" w:rsidRDefault="003A7290" w14:paraId="60424854" w14:textId="77777777">
      <w:pPr>
        <w:spacing w:after="0"/>
      </w:pPr>
    </w:p>
    <w:sectPr w:rsidRPr="00CA1727" w:rsidR="003A7290" w:rsidSect="009C7B84">
      <w:headerReference w:type="even" r:id="rId14"/>
      <w:headerReference w:type="default" r:id="rId15"/>
      <w:footerReference w:type="even" r:id="rId16"/>
      <w:footerReference w:type="default" r:id="rId17"/>
      <w:headerReference w:type="first" r:id="rId18"/>
      <w:footerReference w:type="first" r:id="rId19"/>
      <w:pgSz w:w="12240" w:h="15840" w:orient="portrait"/>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70499" w:rsidP="007F1C93" w:rsidRDefault="00270499" w14:paraId="5C2452E7" w14:textId="77777777">
      <w:pPr>
        <w:spacing w:after="0" w:line="240" w:lineRule="auto"/>
      </w:pPr>
      <w:r>
        <w:separator/>
      </w:r>
    </w:p>
  </w:endnote>
  <w:endnote w:type="continuationSeparator" w:id="0">
    <w:p w:rsidR="00270499" w:rsidP="007F1C93" w:rsidRDefault="00270499" w14:paraId="5E799D2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1E53" w:rsidRDefault="00A97DFC" w14:paraId="48641E1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rsidR="00881E53" w:rsidRDefault="005C5F89" w14:paraId="43E3E400"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rsidR="00881E53" w:rsidRDefault="00A97DFC" w14:paraId="7F476EA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sdtContent>
      </w:sdt>
    </w:sdtContent>
  </w:sdt>
  <w:p w:rsidR="00881E53" w:rsidRDefault="005C5F89" w14:paraId="726DB7BD"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1E53" w:rsidRDefault="00A97DFC" w14:paraId="53BF2749"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p w:rsidR="00881E53" w:rsidRDefault="005C5F89" w14:paraId="6752F069"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70499" w:rsidP="007F1C93" w:rsidRDefault="00270499" w14:paraId="112EA835" w14:textId="77777777">
      <w:pPr>
        <w:spacing w:after="0" w:line="240" w:lineRule="auto"/>
      </w:pPr>
      <w:r>
        <w:separator/>
      </w:r>
    </w:p>
  </w:footnote>
  <w:footnote w:type="continuationSeparator" w:id="0">
    <w:p w:rsidR="00270499" w:rsidP="007F1C93" w:rsidRDefault="00270499" w14:paraId="4C4DD53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405"/>
    </w:tblGrid>
    <w:tr w:rsidRPr="00E152D8" w:rsidR="00881E53" w:rsidTr="00881E53" w14:paraId="7E743FED" w14:textId="77777777">
      <w:trPr>
        <w:trHeight w:val="132"/>
      </w:trPr>
      <w:tc>
        <w:tcPr>
          <w:tcW w:w="2691" w:type="dxa"/>
        </w:tcPr>
        <w:p w:rsidRPr="00E152D8" w:rsidR="00881E53" w:rsidP="00881E53" w:rsidRDefault="00A97DFC" w14:paraId="28B167DA" w14:textId="77777777">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rsidRPr="00EE1572" w:rsidR="00881E53" w:rsidP="00881E53" w:rsidRDefault="00A97DFC" w14:paraId="38E9DA9B" w14:textId="77777777">
          <w:pPr>
            <w:tabs>
              <w:tab w:val="right" w:pos="8838"/>
            </w:tabs>
            <w:ind w:left="-28" w:right="-32"/>
            <w:rPr>
              <w:rFonts w:eastAsia="Calibri" w:cs="Tahoma"/>
            </w:rPr>
          </w:pPr>
          <w:r w:rsidRPr="00EE1572">
            <w:rPr>
              <w:rFonts w:eastAsia="Calibri" w:cs="Tahoma"/>
            </w:rPr>
            <w:t>03846/INFOEM/IP/RR/2020</w:t>
          </w:r>
        </w:p>
      </w:tc>
    </w:tr>
    <w:tr w:rsidRPr="00E152D8" w:rsidR="00881E53" w:rsidTr="00881E53" w14:paraId="2CD72963" w14:textId="77777777">
      <w:trPr>
        <w:trHeight w:val="261"/>
      </w:trPr>
      <w:tc>
        <w:tcPr>
          <w:tcW w:w="2691" w:type="dxa"/>
        </w:tcPr>
        <w:p w:rsidRPr="00E152D8" w:rsidR="00881E53" w:rsidP="00881E53" w:rsidRDefault="00A97DFC" w14:paraId="4CC55C36"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rsidRPr="00EE1572" w:rsidR="00881E53" w:rsidP="00881E53" w:rsidRDefault="00A97DFC" w14:paraId="4A6F59DC" w14:textId="77777777">
          <w:pPr>
            <w:tabs>
              <w:tab w:val="right" w:pos="8838"/>
            </w:tabs>
            <w:ind w:right="-32"/>
            <w:rPr>
              <w:rFonts w:eastAsia="Calibri" w:cs="Tahoma"/>
              <w:lang w:val="es-MX"/>
            </w:rPr>
          </w:pPr>
          <w:r w:rsidRPr="00EE1572">
            <w:rPr>
              <w:rFonts w:eastAsia="Calibri" w:cs="Tahoma"/>
              <w:lang w:val="es-MX"/>
            </w:rPr>
            <w:t>Ayuntamiento de Temascalcingo</w:t>
          </w:r>
        </w:p>
      </w:tc>
    </w:tr>
    <w:tr w:rsidRPr="00E152D8" w:rsidR="00881E53" w:rsidTr="00881E53" w14:paraId="56D14C81" w14:textId="77777777">
      <w:trPr>
        <w:trHeight w:val="261"/>
      </w:trPr>
      <w:tc>
        <w:tcPr>
          <w:tcW w:w="2691" w:type="dxa"/>
        </w:tcPr>
        <w:p w:rsidRPr="00E152D8" w:rsidR="00881E53" w:rsidP="00881E53" w:rsidRDefault="00A97DFC" w14:paraId="555B73FC" w14:textId="77777777">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rsidRPr="00E152D8" w:rsidR="00881E53" w:rsidP="00881E53" w:rsidRDefault="00A97DFC" w14:paraId="307D6D27"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881E53" w:rsidRDefault="005C5F89" w14:paraId="3670DAD0" w14:textId="77777777">
    <w:pPr>
      <w:pStyle w:val="Encabezado"/>
    </w:pPr>
    <w:r>
      <w:rPr>
        <w:noProof/>
      </w:rPr>
      <w:pict w14:anchorId="4EE1B7B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0" style="position:absolute;left:0;text-align:left;margin-left:0;margin-top:0;width:663.5pt;height:12in;z-index:-251659776;mso-wrap-edited:f;mso-width-percent:0;mso-height-percent:0;mso-position-horizontal:center;mso-position-horizontal-relative:margin;mso-position-vertical:center;mso-position-vertical-relative:margin;mso-width-percent:0;mso-height-percent:0" alt="" o:spid="_x0000_s1025"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528" w:type="dxa"/>
      <w:tblInd w:w="34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410"/>
      <w:gridCol w:w="3118"/>
    </w:tblGrid>
    <w:tr w:rsidRPr="00E152D8" w:rsidR="00881E53" w:rsidTr="003A7290" w14:paraId="158D17FD" w14:textId="77777777">
      <w:trPr>
        <w:trHeight w:val="138"/>
      </w:trPr>
      <w:tc>
        <w:tcPr>
          <w:tcW w:w="2410" w:type="dxa"/>
        </w:tcPr>
        <w:p w:rsidRPr="00E152D8" w:rsidR="00881E53" w:rsidP="00756312" w:rsidRDefault="00A97DFC" w14:paraId="377986B2" w14:textId="77777777">
          <w:pPr>
            <w:tabs>
              <w:tab w:val="right" w:pos="8838"/>
            </w:tabs>
            <w:ind w:right="-105"/>
            <w:jc w:val="left"/>
            <w:rPr>
              <w:rFonts w:eastAsia="Calibri" w:cs="Tahoma"/>
              <w:b/>
              <w:lang w:val="es-MX"/>
            </w:rPr>
          </w:pPr>
          <w:r w:rsidRPr="00E152D8">
            <w:rPr>
              <w:rFonts w:eastAsia="Calibri" w:cs="Tahoma"/>
              <w:b/>
              <w:lang w:val="es-MX"/>
            </w:rPr>
            <w:t>Recurso de Revisión:</w:t>
          </w:r>
        </w:p>
      </w:tc>
      <w:tc>
        <w:tcPr>
          <w:tcW w:w="3118" w:type="dxa"/>
        </w:tcPr>
        <w:p w:rsidRPr="00051642" w:rsidR="00881E53" w:rsidP="00B93061" w:rsidRDefault="007F1C93" w14:paraId="4C312CB6" w14:textId="3E94301F">
          <w:pPr>
            <w:tabs>
              <w:tab w:val="right" w:pos="8838"/>
            </w:tabs>
            <w:ind w:right="-32"/>
            <w:rPr>
              <w:rFonts w:eastAsia="Calibri" w:cs="Tahoma"/>
            </w:rPr>
          </w:pPr>
          <w:r>
            <w:rPr>
              <w:rFonts w:eastAsia="Calibri" w:cs="Tahoma"/>
              <w:lang w:val="es-MX"/>
            </w:rPr>
            <w:t>05571/INFOEM/IP/RR/2022 y acumulado</w:t>
          </w:r>
        </w:p>
      </w:tc>
    </w:tr>
    <w:tr w:rsidRPr="00E152D8" w:rsidR="00881E53" w:rsidTr="003A7290" w14:paraId="57E894A3" w14:textId="77777777">
      <w:trPr>
        <w:trHeight w:val="273"/>
      </w:trPr>
      <w:tc>
        <w:tcPr>
          <w:tcW w:w="2410" w:type="dxa"/>
        </w:tcPr>
        <w:p w:rsidRPr="00E152D8" w:rsidR="00881E53" w:rsidP="00881E53" w:rsidRDefault="00A97DFC" w14:paraId="60DDFE87"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118" w:type="dxa"/>
        </w:tcPr>
        <w:p w:rsidRPr="00051642" w:rsidR="00881E53" w:rsidP="00881E53" w:rsidRDefault="00A97DFC" w14:paraId="3F7A7508" w14:textId="38CD4644">
          <w:pPr>
            <w:tabs>
              <w:tab w:val="right" w:pos="8838"/>
            </w:tabs>
            <w:ind w:left="-28" w:right="-32"/>
            <w:rPr>
              <w:rFonts w:eastAsia="Calibri" w:cs="Tahoma"/>
              <w:lang w:val="es-MX"/>
            </w:rPr>
          </w:pPr>
          <w:r>
            <w:rPr>
              <w:rFonts w:eastAsia="Calibri" w:cs="Tahoma"/>
              <w:lang w:val="es-MX"/>
            </w:rPr>
            <w:t xml:space="preserve">Ayuntamiento de </w:t>
          </w:r>
          <w:r w:rsidR="007F1C93">
            <w:rPr>
              <w:rFonts w:eastAsia="Calibri" w:cs="Tahoma"/>
              <w:lang w:val="es-MX"/>
            </w:rPr>
            <w:t>Toluca</w:t>
          </w:r>
        </w:p>
      </w:tc>
    </w:tr>
    <w:tr w:rsidRPr="00E152D8" w:rsidR="00881E53" w:rsidTr="003A7290" w14:paraId="344F0AFC" w14:textId="77777777">
      <w:trPr>
        <w:trHeight w:val="273"/>
      </w:trPr>
      <w:tc>
        <w:tcPr>
          <w:tcW w:w="2410" w:type="dxa"/>
        </w:tcPr>
        <w:p w:rsidRPr="00E152D8" w:rsidR="00881E53" w:rsidP="00881E53" w:rsidRDefault="00A97DFC" w14:paraId="109B1E2A" w14:textId="77777777">
          <w:pPr>
            <w:tabs>
              <w:tab w:val="right" w:pos="8838"/>
            </w:tabs>
            <w:ind w:right="-105"/>
            <w:rPr>
              <w:rFonts w:eastAsia="Calibri" w:cs="Tahoma"/>
              <w:b/>
              <w:lang w:val="es-MX"/>
            </w:rPr>
          </w:pPr>
          <w:r w:rsidRPr="00E152D8">
            <w:rPr>
              <w:rFonts w:eastAsia="Calibri" w:cs="Tahoma"/>
              <w:b/>
              <w:lang w:val="es-MX"/>
            </w:rPr>
            <w:t>Comisionado Ponente:</w:t>
          </w:r>
        </w:p>
      </w:tc>
      <w:tc>
        <w:tcPr>
          <w:tcW w:w="3118" w:type="dxa"/>
        </w:tcPr>
        <w:p w:rsidRPr="00E152D8" w:rsidR="00881E53" w:rsidP="00881E53" w:rsidRDefault="00A97DFC" w14:paraId="29E0E8C8" w14:textId="77777777">
          <w:pPr>
            <w:tabs>
              <w:tab w:val="right" w:pos="8838"/>
            </w:tabs>
            <w:ind w:left="-28" w:right="-32"/>
            <w:rPr>
              <w:rFonts w:eastAsia="Calibri" w:cs="Tahoma"/>
              <w:b/>
              <w:lang w:val="es-MX"/>
            </w:rPr>
          </w:pPr>
          <w:r w:rsidRPr="00E152D8">
            <w:rPr>
              <w:rFonts w:eastAsia="Calibri" w:cs="Tahoma"/>
              <w:lang w:val="es-MX"/>
            </w:rPr>
            <w:t>Luis Gustavo Parra Noriega</w:t>
          </w:r>
        </w:p>
      </w:tc>
    </w:tr>
  </w:tbl>
  <w:p w:rsidR="00881E53" w:rsidP="00881E53" w:rsidRDefault="005C5F89" w14:paraId="57654694" w14:textId="77777777">
    <w:pPr>
      <w:pStyle w:val="Encabezado"/>
    </w:pPr>
    <w:r>
      <w:rPr>
        <w:noProof/>
      </w:rPr>
      <w:pict w14:anchorId="4451073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1" style="position:absolute;left:0;text-align:left;margin-left:-108.6pt;margin-top:-123.7pt;width:663.5pt;height:12in;z-index:-251658752;mso-wrap-edited:f;mso-width-percent:0;mso-height-percent:0;mso-position-horizontal-relative:margin;mso-position-vertical-relative:margin;mso-width-percent:0;mso-height-percent:0" alt=""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7088" w:type="dxa"/>
      <w:tblInd w:w="22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4397"/>
    </w:tblGrid>
    <w:tr w:rsidRPr="00E152D8" w:rsidR="00881E53" w:rsidTr="0E4546A3" w14:paraId="5CF43E12" w14:textId="77777777">
      <w:trPr>
        <w:trHeight w:val="132"/>
      </w:trPr>
      <w:tc>
        <w:tcPr>
          <w:tcW w:w="2691" w:type="dxa"/>
          <w:tcMar/>
        </w:tcPr>
        <w:p w:rsidRPr="00E152D8" w:rsidR="00881E53" w:rsidP="00881E53" w:rsidRDefault="00A97DFC" w14:paraId="7B773638" w14:textId="77777777">
          <w:pPr>
            <w:tabs>
              <w:tab w:val="right" w:pos="8838"/>
            </w:tabs>
            <w:ind w:right="-105"/>
            <w:rPr>
              <w:rFonts w:eastAsia="Calibri" w:cs="Tahoma"/>
              <w:b/>
              <w:lang w:val="es-MX"/>
            </w:rPr>
          </w:pPr>
          <w:r w:rsidRPr="00E152D8">
            <w:rPr>
              <w:rFonts w:eastAsia="Calibri" w:cs="Tahoma"/>
              <w:b/>
              <w:lang w:val="es-MX"/>
            </w:rPr>
            <w:t>Recurso de Revisión:</w:t>
          </w:r>
        </w:p>
      </w:tc>
      <w:tc>
        <w:tcPr>
          <w:tcW w:w="4397" w:type="dxa"/>
          <w:tcMar/>
        </w:tcPr>
        <w:p w:rsidRPr="00051642" w:rsidR="00881E53" w:rsidP="00881E53" w:rsidRDefault="00A97DFC" w14:paraId="2768077E" w14:textId="0A81A991">
          <w:pPr>
            <w:tabs>
              <w:tab w:val="right" w:pos="8838"/>
            </w:tabs>
            <w:ind w:left="-111" w:right="-32"/>
            <w:rPr>
              <w:rFonts w:eastAsia="Calibri" w:cs="Tahoma"/>
            </w:rPr>
          </w:pPr>
          <w:r>
            <w:rPr>
              <w:rFonts w:eastAsia="Calibri" w:cs="Tahoma"/>
              <w:lang w:val="es-MX"/>
            </w:rPr>
            <w:t>0</w:t>
          </w:r>
          <w:r w:rsidR="007F1C93">
            <w:rPr>
              <w:rFonts w:eastAsia="Calibri" w:cs="Tahoma"/>
              <w:lang w:val="es-MX"/>
            </w:rPr>
            <w:t>557</w:t>
          </w:r>
          <w:r>
            <w:rPr>
              <w:rFonts w:eastAsia="Calibri" w:cs="Tahoma"/>
              <w:lang w:val="es-MX"/>
            </w:rPr>
            <w:t>1/INFOEM/IP/RR/2022</w:t>
          </w:r>
          <w:r w:rsidR="007F1C93">
            <w:rPr>
              <w:rFonts w:eastAsia="Calibri" w:cs="Tahoma"/>
              <w:lang w:val="es-MX"/>
            </w:rPr>
            <w:t xml:space="preserve"> y acumulado</w:t>
          </w:r>
        </w:p>
      </w:tc>
    </w:tr>
    <w:tr w:rsidRPr="00E152D8" w:rsidR="00881E53" w:rsidTr="0E4546A3" w14:paraId="15888D8E" w14:textId="77777777">
      <w:trPr>
        <w:trHeight w:val="132"/>
      </w:trPr>
      <w:tc>
        <w:tcPr>
          <w:tcW w:w="2691" w:type="dxa"/>
          <w:tcMar/>
        </w:tcPr>
        <w:p w:rsidRPr="00E152D8" w:rsidR="00881E53" w:rsidP="00712E99" w:rsidRDefault="00A97DFC" w14:paraId="20FE1574" w14:textId="77777777">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4397" w:type="dxa"/>
          <w:tcMar/>
        </w:tcPr>
        <w:p w:rsidRPr="00E152D8" w:rsidR="00881E53" w:rsidP="0E4546A3" w:rsidRDefault="007F1C93" w14:paraId="4E89BF9B" w14:textId="3ACE8D8B">
          <w:pPr>
            <w:tabs>
              <w:tab w:val="right" w:pos="8838"/>
            </w:tabs>
            <w:ind w:left="-111" w:right="-109"/>
            <w:rPr>
              <w:rFonts w:eastAsia="Calibri" w:cs="Tahoma"/>
              <w:highlight w:val="black"/>
              <w:lang w:val="es-MX"/>
            </w:rPr>
          </w:pPr>
          <w:r w:rsidRPr="0E4546A3" w:rsidR="0E4546A3">
            <w:rPr>
              <w:rFonts w:eastAsia="Calibri" w:cs="Tahoma"/>
              <w:highlight w:val="black"/>
              <w:lang w:val="es-MX"/>
            </w:rPr>
            <w:t>XXXXXXXXXXXXX</w:t>
          </w:r>
        </w:p>
      </w:tc>
    </w:tr>
    <w:tr w:rsidRPr="00E152D8" w:rsidR="00881E53" w:rsidTr="0E4546A3" w14:paraId="3560EBF8" w14:textId="77777777">
      <w:trPr>
        <w:trHeight w:val="261"/>
      </w:trPr>
      <w:tc>
        <w:tcPr>
          <w:tcW w:w="2691" w:type="dxa"/>
          <w:tcMar/>
        </w:tcPr>
        <w:p w:rsidRPr="00E152D8" w:rsidR="00881E53" w:rsidP="00881E53" w:rsidRDefault="00A97DFC" w14:paraId="32AB37CF"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397" w:type="dxa"/>
          <w:tcMar/>
        </w:tcPr>
        <w:p w:rsidRPr="00051642" w:rsidR="00881E53" w:rsidP="005E139E" w:rsidRDefault="00A97DFC" w14:paraId="6D88D504" w14:textId="3969C6AC">
          <w:pPr>
            <w:tabs>
              <w:tab w:val="right" w:pos="8838"/>
            </w:tabs>
            <w:ind w:left="-111" w:right="-32"/>
            <w:rPr>
              <w:rFonts w:eastAsia="Calibri" w:cs="Tahoma"/>
              <w:lang w:val="es-MX"/>
            </w:rPr>
          </w:pPr>
          <w:r>
            <w:rPr>
              <w:rFonts w:eastAsia="Calibri" w:cs="Tahoma"/>
              <w:lang w:val="es-MX"/>
            </w:rPr>
            <w:t xml:space="preserve">Ayuntamiento de </w:t>
          </w:r>
          <w:r w:rsidR="007F1C93">
            <w:rPr>
              <w:rFonts w:eastAsia="Calibri" w:cs="Tahoma"/>
              <w:lang w:val="es-MX"/>
            </w:rPr>
            <w:t>Toluca</w:t>
          </w:r>
        </w:p>
      </w:tc>
    </w:tr>
    <w:tr w:rsidRPr="00E152D8" w:rsidR="00881E53" w:rsidTr="0E4546A3" w14:paraId="05366309" w14:textId="77777777">
      <w:trPr>
        <w:trHeight w:val="261"/>
      </w:trPr>
      <w:tc>
        <w:tcPr>
          <w:tcW w:w="2691" w:type="dxa"/>
          <w:tcMar/>
        </w:tcPr>
        <w:p w:rsidRPr="00E152D8" w:rsidR="00881E53" w:rsidP="00881E53" w:rsidRDefault="00A97DFC" w14:paraId="62496A20" w14:textId="77777777">
          <w:pPr>
            <w:tabs>
              <w:tab w:val="right" w:pos="8838"/>
            </w:tabs>
            <w:ind w:right="-105"/>
            <w:rPr>
              <w:rFonts w:eastAsia="Calibri" w:cs="Tahoma"/>
              <w:b/>
              <w:lang w:val="es-MX"/>
            </w:rPr>
          </w:pPr>
          <w:r w:rsidRPr="00E152D8">
            <w:rPr>
              <w:rFonts w:eastAsia="Calibri" w:cs="Tahoma"/>
              <w:b/>
              <w:lang w:val="es-MX"/>
            </w:rPr>
            <w:t>Comisionado Ponente:</w:t>
          </w:r>
        </w:p>
      </w:tc>
      <w:tc>
        <w:tcPr>
          <w:tcW w:w="4397" w:type="dxa"/>
          <w:tcMar/>
        </w:tcPr>
        <w:p w:rsidRPr="00E152D8" w:rsidR="00881E53" w:rsidP="00881E53" w:rsidRDefault="00A97DFC" w14:paraId="35793015" w14:textId="77777777">
          <w:pPr>
            <w:tabs>
              <w:tab w:val="right" w:pos="8838"/>
            </w:tabs>
            <w:ind w:left="-111" w:right="-32"/>
            <w:rPr>
              <w:rFonts w:eastAsia="Calibri" w:cs="Tahoma"/>
              <w:b/>
              <w:lang w:val="es-MX"/>
            </w:rPr>
          </w:pPr>
          <w:r w:rsidRPr="00E152D8">
            <w:rPr>
              <w:rFonts w:eastAsia="Calibri" w:cs="Tahoma"/>
              <w:lang w:val="es-MX"/>
            </w:rPr>
            <w:t>Luis Gustavo Parra Noriega</w:t>
          </w:r>
        </w:p>
      </w:tc>
    </w:tr>
  </w:tbl>
  <w:p w:rsidR="00881E53" w:rsidP="00881E53" w:rsidRDefault="005C5F89" w14:paraId="1281F5BD" w14:textId="77777777">
    <w:pPr>
      <w:pStyle w:val="Encabezado"/>
      <w:tabs>
        <w:tab w:val="left" w:pos="5812"/>
      </w:tabs>
    </w:pPr>
    <w:r>
      <w:rPr>
        <w:noProof/>
      </w:rPr>
      <w:pict w14:anchorId="738DF9B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59" style="position:absolute;left:0;text-align:left;margin-left:-89.1pt;margin-top:-125pt;width:663.5pt;height:12in;z-index:-251657728;mso-wrap-edited:f;mso-width-percent:0;mso-height-percent:0;mso-position-horizontal-relative:margin;mso-position-vertical-relative:margin;mso-width-percent:0;mso-height-percent:0" alt="" o:spid="_x0000_s1027"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46B8"/>
    <w:multiLevelType w:val="hybridMultilevel"/>
    <w:tmpl w:val="A30A296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0A3157C"/>
    <w:multiLevelType w:val="hybridMultilevel"/>
    <w:tmpl w:val="0958D686"/>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0EE55E7"/>
    <w:multiLevelType w:val="hybridMultilevel"/>
    <w:tmpl w:val="79CE6AF6"/>
    <w:lvl w:ilvl="0" w:tplc="080A001B">
      <w:start w:val="1"/>
      <w:numFmt w:val="lowerRoman"/>
      <w:lvlText w:val="%1."/>
      <w:lvlJc w:val="righ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3" w15:restartNumberingAfterBreak="0">
    <w:nsid w:val="046D6A28"/>
    <w:multiLevelType w:val="hybridMultilevel"/>
    <w:tmpl w:val="A15CC88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05B04DF0"/>
    <w:multiLevelType w:val="hybridMultilevel"/>
    <w:tmpl w:val="40045CEC"/>
    <w:lvl w:ilvl="0" w:tplc="454E4012">
      <w:start w:val="1"/>
      <w:numFmt w:val="decimal"/>
      <w:lvlText w:val="%1)"/>
      <w:lvlJc w:val="left"/>
      <w:pPr>
        <w:ind w:left="720" w:hanging="360"/>
      </w:pPr>
      <w:rPr>
        <w:rFonts w:hint="default"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7643202"/>
    <w:multiLevelType w:val="hybridMultilevel"/>
    <w:tmpl w:val="49CA172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199B087C"/>
    <w:multiLevelType w:val="hybridMultilevel"/>
    <w:tmpl w:val="7AC8EEC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7" w15:restartNumberingAfterBreak="0">
    <w:nsid w:val="19D82882"/>
    <w:multiLevelType w:val="hybridMultilevel"/>
    <w:tmpl w:val="9C18C078"/>
    <w:lvl w:ilvl="0" w:tplc="4EBAAEE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4F3F89"/>
    <w:multiLevelType w:val="hybridMultilevel"/>
    <w:tmpl w:val="507E6F4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254D2718"/>
    <w:multiLevelType w:val="hybridMultilevel"/>
    <w:tmpl w:val="E400755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267334BA"/>
    <w:multiLevelType w:val="hybridMultilevel"/>
    <w:tmpl w:val="ED800FF0"/>
    <w:lvl w:ilvl="0" w:tplc="FFFFFFFF">
      <w:start w:val="1"/>
      <w:numFmt w:val="lowerLetter"/>
      <w:lvlText w:val="%1."/>
      <w:lvlJc w:val="left"/>
      <w:pPr>
        <w:ind w:left="720" w:hanging="360"/>
      </w:pPr>
    </w:lvl>
    <w:lvl w:ilvl="1" w:tplc="FFFFFFFF">
      <w:start w:val="1"/>
      <w:numFmt w:val="lowerRoman"/>
      <w:lvlText w:val="%2."/>
      <w:lvlJc w:val="left"/>
      <w:pPr>
        <w:ind w:left="1440" w:hanging="360"/>
      </w:pPr>
      <w:rPr>
        <w:rFonts w:hint="default" w:ascii="Palatino Linotype" w:hAnsi="Palatino Linotype"/>
        <w:sz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2" w15:restartNumberingAfterBreak="0">
    <w:nsid w:val="28F31D3C"/>
    <w:multiLevelType w:val="hybridMultilevel"/>
    <w:tmpl w:val="ED800FF0"/>
    <w:lvl w:ilvl="0" w:tplc="FFFFFFFF">
      <w:start w:val="1"/>
      <w:numFmt w:val="lowerLetter"/>
      <w:lvlText w:val="%1."/>
      <w:lvlJc w:val="left"/>
      <w:pPr>
        <w:ind w:left="720" w:hanging="360"/>
      </w:pPr>
    </w:lvl>
    <w:lvl w:ilvl="1" w:tplc="FFFFFFFF">
      <w:start w:val="1"/>
      <w:numFmt w:val="lowerRoman"/>
      <w:lvlText w:val="%2."/>
      <w:lvlJc w:val="left"/>
      <w:pPr>
        <w:ind w:left="1440" w:hanging="360"/>
      </w:pPr>
      <w:rPr>
        <w:rFonts w:hint="default" w:ascii="Palatino Linotype" w:hAnsi="Palatino Linotype"/>
        <w:sz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CB1419"/>
    <w:multiLevelType w:val="hybridMultilevel"/>
    <w:tmpl w:val="79CE6AF6"/>
    <w:lvl w:ilvl="0" w:tplc="080A001B">
      <w:start w:val="1"/>
      <w:numFmt w:val="lowerRoman"/>
      <w:lvlText w:val="%1."/>
      <w:lvlJc w:val="righ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14" w15:restartNumberingAfterBreak="0">
    <w:nsid w:val="2C404D96"/>
    <w:multiLevelType w:val="hybridMultilevel"/>
    <w:tmpl w:val="BFC2E560"/>
    <w:lvl w:ilvl="0" w:tplc="0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2C852DEF"/>
    <w:multiLevelType w:val="hybridMultilevel"/>
    <w:tmpl w:val="A5C4FB0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6" w15:restartNumberingAfterBreak="0">
    <w:nsid w:val="30B41489"/>
    <w:multiLevelType w:val="hybridMultilevel"/>
    <w:tmpl w:val="F2C28CE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30BA7E48"/>
    <w:multiLevelType w:val="hybridMultilevel"/>
    <w:tmpl w:val="CD1E71B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8" w15:restartNumberingAfterBreak="0">
    <w:nsid w:val="35E96A71"/>
    <w:multiLevelType w:val="hybridMultilevel"/>
    <w:tmpl w:val="988E16E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372F31AE"/>
    <w:multiLevelType w:val="hybridMultilevel"/>
    <w:tmpl w:val="27C0729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0" w15:restartNumberingAfterBreak="0">
    <w:nsid w:val="37B01762"/>
    <w:multiLevelType w:val="hybridMultilevel"/>
    <w:tmpl w:val="CE5E9896"/>
    <w:lvl w:ilvl="0" w:tplc="0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1" w15:restartNumberingAfterBreak="0">
    <w:nsid w:val="3C704FDE"/>
    <w:multiLevelType w:val="hybridMultilevel"/>
    <w:tmpl w:val="7A30E15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444C5034"/>
    <w:multiLevelType w:val="hybridMultilevel"/>
    <w:tmpl w:val="0EF8823C"/>
    <w:lvl w:ilvl="0" w:tplc="B468A3D0">
      <w:start w:val="1"/>
      <w:numFmt w:val="decimal"/>
      <w:lvlText w:val="%1."/>
      <w:lvlJc w:val="left"/>
      <w:pPr>
        <w:ind w:left="720" w:hanging="360"/>
      </w:pPr>
      <w:rPr>
        <w:rFonts w:hint="default"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7D86DD9"/>
    <w:multiLevelType w:val="hybridMultilevel"/>
    <w:tmpl w:val="BADAE1A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7548EC"/>
    <w:multiLevelType w:val="hybridMultilevel"/>
    <w:tmpl w:val="9A344AF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4A9615E3"/>
    <w:multiLevelType w:val="hybridMultilevel"/>
    <w:tmpl w:val="ED800FF0"/>
    <w:lvl w:ilvl="0" w:tplc="FFFFFFFF">
      <w:start w:val="1"/>
      <w:numFmt w:val="lowerLetter"/>
      <w:lvlText w:val="%1."/>
      <w:lvlJc w:val="left"/>
      <w:pPr>
        <w:ind w:left="720" w:hanging="360"/>
      </w:pPr>
    </w:lvl>
    <w:lvl w:ilvl="1" w:tplc="FFFFFFFF">
      <w:start w:val="1"/>
      <w:numFmt w:val="lowerRoman"/>
      <w:lvlText w:val="%2."/>
      <w:lvlJc w:val="left"/>
      <w:pPr>
        <w:ind w:left="1440" w:hanging="360"/>
      </w:pPr>
      <w:rPr>
        <w:rFonts w:hint="default" w:ascii="Palatino Linotype" w:hAnsi="Palatino Linotype"/>
        <w:sz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7" w15:restartNumberingAfterBreak="0">
    <w:nsid w:val="4D68526F"/>
    <w:multiLevelType w:val="hybridMultilevel"/>
    <w:tmpl w:val="7E76D95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15:restartNumberingAfterBreak="0">
    <w:nsid w:val="5CE47351"/>
    <w:multiLevelType w:val="hybridMultilevel"/>
    <w:tmpl w:val="7D08FB60"/>
    <w:lvl w:ilvl="0" w:tplc="2946DFF0">
      <w:start w:val="1"/>
      <w:numFmt w:val="lowerRoman"/>
      <w:lvlText w:val="%1)"/>
      <w:lvlJc w:val="left"/>
      <w:pPr>
        <w:ind w:left="1080" w:hanging="720"/>
      </w:pPr>
      <w:rPr>
        <w:rFonts w:hint="default" w:eastAsiaTheme="minorHAnsi" w:cstheme="minorBidi"/>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1DD19B1"/>
    <w:multiLevelType w:val="hybridMultilevel"/>
    <w:tmpl w:val="DE62FA2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0"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68682EF6"/>
    <w:multiLevelType w:val="hybridMultilevel"/>
    <w:tmpl w:val="3D1A8260"/>
    <w:lvl w:ilvl="0" w:tplc="39A0060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689E4E1C"/>
    <w:multiLevelType w:val="hybridMultilevel"/>
    <w:tmpl w:val="79CE6AF6"/>
    <w:lvl w:ilvl="0" w:tplc="080A001B">
      <w:start w:val="1"/>
      <w:numFmt w:val="lowerRoman"/>
      <w:lvlText w:val="%1."/>
      <w:lvlJc w:val="righ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33" w15:restartNumberingAfterBreak="0">
    <w:nsid w:val="6C0539D8"/>
    <w:multiLevelType w:val="hybridMultilevel"/>
    <w:tmpl w:val="9F8C4A42"/>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4" w15:restartNumberingAfterBreak="0">
    <w:nsid w:val="6D7D16A9"/>
    <w:multiLevelType w:val="hybridMultilevel"/>
    <w:tmpl w:val="79CE6AF6"/>
    <w:lvl w:ilvl="0" w:tplc="080A001B">
      <w:start w:val="1"/>
      <w:numFmt w:val="lowerRoman"/>
      <w:lvlText w:val="%1."/>
      <w:lvlJc w:val="righ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35"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6"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7" w15:restartNumberingAfterBreak="0">
    <w:nsid w:val="75B90A23"/>
    <w:multiLevelType w:val="hybridMultilevel"/>
    <w:tmpl w:val="0818EBE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8" w15:restartNumberingAfterBreak="0">
    <w:nsid w:val="7A544DF6"/>
    <w:multiLevelType w:val="hybridMultilevel"/>
    <w:tmpl w:val="ED800FF0"/>
    <w:lvl w:ilvl="0" w:tplc="080A0019">
      <w:start w:val="1"/>
      <w:numFmt w:val="lowerLetter"/>
      <w:lvlText w:val="%1."/>
      <w:lvlJc w:val="left"/>
      <w:pPr>
        <w:ind w:left="720" w:hanging="360"/>
      </w:pPr>
    </w:lvl>
    <w:lvl w:ilvl="1" w:tplc="DA5A3ECE">
      <w:start w:val="1"/>
      <w:numFmt w:val="lowerRoman"/>
      <w:lvlText w:val="%2."/>
      <w:lvlJc w:val="left"/>
      <w:pPr>
        <w:ind w:left="1440" w:hanging="360"/>
      </w:pPr>
      <w:rPr>
        <w:rFonts w:hint="default" w:ascii="Palatino Linotype" w:hAnsi="Palatino Linotype"/>
        <w:sz w:val="2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ADA4D23"/>
    <w:multiLevelType w:val="hybridMultilevel"/>
    <w:tmpl w:val="D59A059C"/>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40" w15:restartNumberingAfterBreak="0">
    <w:nsid w:val="7E196450"/>
    <w:multiLevelType w:val="hybridMultilevel"/>
    <w:tmpl w:val="28A4AA6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580410274">
    <w:abstractNumId w:val="11"/>
  </w:num>
  <w:num w:numId="2" w16cid:durableId="533812681">
    <w:abstractNumId w:val="36"/>
  </w:num>
  <w:num w:numId="3" w16cid:durableId="7754406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4390060">
    <w:abstractNumId w:val="39"/>
  </w:num>
  <w:num w:numId="5" w16cid:durableId="43040030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3745460">
    <w:abstractNumId w:val="17"/>
  </w:num>
  <w:num w:numId="7" w16cid:durableId="1083063133">
    <w:abstractNumId w:val="9"/>
  </w:num>
  <w:num w:numId="8" w16cid:durableId="1746491064">
    <w:abstractNumId w:val="28"/>
  </w:num>
  <w:num w:numId="9" w16cid:durableId="16272693">
    <w:abstractNumId w:val="7"/>
  </w:num>
  <w:num w:numId="10" w16cid:durableId="457068638">
    <w:abstractNumId w:val="30"/>
  </w:num>
  <w:num w:numId="11" w16cid:durableId="892933199">
    <w:abstractNumId w:val="29"/>
  </w:num>
  <w:num w:numId="12" w16cid:durableId="1805197994">
    <w:abstractNumId w:val="31"/>
  </w:num>
  <w:num w:numId="13" w16cid:durableId="1421021995">
    <w:abstractNumId w:val="37"/>
  </w:num>
  <w:num w:numId="14" w16cid:durableId="32266315">
    <w:abstractNumId w:val="0"/>
  </w:num>
  <w:num w:numId="15" w16cid:durableId="1793818034">
    <w:abstractNumId w:val="18"/>
  </w:num>
  <w:num w:numId="16" w16cid:durableId="1822886604">
    <w:abstractNumId w:val="4"/>
  </w:num>
  <w:num w:numId="17" w16cid:durableId="1915508880">
    <w:abstractNumId w:val="22"/>
  </w:num>
  <w:num w:numId="18" w16cid:durableId="1200051411">
    <w:abstractNumId w:val="21"/>
  </w:num>
  <w:num w:numId="19" w16cid:durableId="1640040363">
    <w:abstractNumId w:val="3"/>
  </w:num>
  <w:num w:numId="20" w16cid:durableId="744956873">
    <w:abstractNumId w:val="38"/>
  </w:num>
  <w:num w:numId="21" w16cid:durableId="412817033">
    <w:abstractNumId w:val="25"/>
  </w:num>
  <w:num w:numId="22" w16cid:durableId="2106420974">
    <w:abstractNumId w:val="10"/>
  </w:num>
  <w:num w:numId="23" w16cid:durableId="1370952931">
    <w:abstractNumId w:val="15"/>
  </w:num>
  <w:num w:numId="24" w16cid:durableId="1233808647">
    <w:abstractNumId w:val="20"/>
  </w:num>
  <w:num w:numId="25" w16cid:durableId="804470333">
    <w:abstractNumId w:val="14"/>
  </w:num>
  <w:num w:numId="26" w16cid:durableId="1449281410">
    <w:abstractNumId w:val="5"/>
  </w:num>
  <w:num w:numId="27" w16cid:durableId="120005769">
    <w:abstractNumId w:val="27"/>
  </w:num>
  <w:num w:numId="28" w16cid:durableId="1995909199">
    <w:abstractNumId w:val="6"/>
  </w:num>
  <w:num w:numId="29" w16cid:durableId="444620049">
    <w:abstractNumId w:val="40"/>
  </w:num>
  <w:num w:numId="30" w16cid:durableId="610670781">
    <w:abstractNumId w:val="8"/>
  </w:num>
  <w:num w:numId="31" w16cid:durableId="955215947">
    <w:abstractNumId w:val="24"/>
  </w:num>
  <w:num w:numId="32" w16cid:durableId="1098985045">
    <w:abstractNumId w:val="19"/>
  </w:num>
  <w:num w:numId="33" w16cid:durableId="2335155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697893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312848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381693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47144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79906337">
    <w:abstractNumId w:val="33"/>
  </w:num>
  <w:num w:numId="39" w16cid:durableId="968245377">
    <w:abstractNumId w:val="26"/>
  </w:num>
  <w:num w:numId="40" w16cid:durableId="5634904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61587741">
    <w:abstractNumId w:val="1"/>
  </w:num>
  <w:num w:numId="42" w16cid:durableId="1160150772">
    <w:abstractNumId w:val="16"/>
  </w:num>
  <w:num w:numId="43" w16cid:durableId="128937579">
    <w:abstractNumId w:val="23"/>
  </w:num>
  <w:num w:numId="44" w16cid:durableId="9491245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C93"/>
    <w:rsid w:val="0000199D"/>
    <w:rsid w:val="00030E54"/>
    <w:rsid w:val="00064828"/>
    <w:rsid w:val="000744A3"/>
    <w:rsid w:val="00096DBD"/>
    <w:rsid w:val="00097831"/>
    <w:rsid w:val="000C0F1A"/>
    <w:rsid w:val="000E43C8"/>
    <w:rsid w:val="00146348"/>
    <w:rsid w:val="0017321E"/>
    <w:rsid w:val="001B4284"/>
    <w:rsid w:val="00224B1F"/>
    <w:rsid w:val="00270499"/>
    <w:rsid w:val="00277943"/>
    <w:rsid w:val="002A3A92"/>
    <w:rsid w:val="002D3047"/>
    <w:rsid w:val="00304EF5"/>
    <w:rsid w:val="00310766"/>
    <w:rsid w:val="00312B9A"/>
    <w:rsid w:val="00324F15"/>
    <w:rsid w:val="00336BCE"/>
    <w:rsid w:val="00340FE1"/>
    <w:rsid w:val="00344E8C"/>
    <w:rsid w:val="00346D69"/>
    <w:rsid w:val="00355DAF"/>
    <w:rsid w:val="00363C68"/>
    <w:rsid w:val="00381C7A"/>
    <w:rsid w:val="003840CF"/>
    <w:rsid w:val="003A7290"/>
    <w:rsid w:val="003B4B06"/>
    <w:rsid w:val="00403145"/>
    <w:rsid w:val="00404010"/>
    <w:rsid w:val="004044D6"/>
    <w:rsid w:val="00433BD2"/>
    <w:rsid w:val="00451FD3"/>
    <w:rsid w:val="00455500"/>
    <w:rsid w:val="00463BD0"/>
    <w:rsid w:val="00470C4E"/>
    <w:rsid w:val="0048319C"/>
    <w:rsid w:val="004D6EBD"/>
    <w:rsid w:val="004E59B7"/>
    <w:rsid w:val="004F1BB1"/>
    <w:rsid w:val="005001CE"/>
    <w:rsid w:val="00516DD6"/>
    <w:rsid w:val="005243CD"/>
    <w:rsid w:val="0053118E"/>
    <w:rsid w:val="00531537"/>
    <w:rsid w:val="00564862"/>
    <w:rsid w:val="00573396"/>
    <w:rsid w:val="00574C1B"/>
    <w:rsid w:val="00584A1C"/>
    <w:rsid w:val="005921C7"/>
    <w:rsid w:val="00594EDE"/>
    <w:rsid w:val="005C5F89"/>
    <w:rsid w:val="005F27A8"/>
    <w:rsid w:val="00631C94"/>
    <w:rsid w:val="006A6813"/>
    <w:rsid w:val="006B2F21"/>
    <w:rsid w:val="006C3B04"/>
    <w:rsid w:val="006E2D31"/>
    <w:rsid w:val="00717E66"/>
    <w:rsid w:val="007236B8"/>
    <w:rsid w:val="00767CE8"/>
    <w:rsid w:val="00773AF1"/>
    <w:rsid w:val="007804BD"/>
    <w:rsid w:val="007A3B0C"/>
    <w:rsid w:val="007A6B97"/>
    <w:rsid w:val="007B02D8"/>
    <w:rsid w:val="007F1C93"/>
    <w:rsid w:val="0080135B"/>
    <w:rsid w:val="00801ED2"/>
    <w:rsid w:val="008330D0"/>
    <w:rsid w:val="00845C0E"/>
    <w:rsid w:val="00847A7D"/>
    <w:rsid w:val="008506FD"/>
    <w:rsid w:val="0085581A"/>
    <w:rsid w:val="00887080"/>
    <w:rsid w:val="00891809"/>
    <w:rsid w:val="00893065"/>
    <w:rsid w:val="008C1495"/>
    <w:rsid w:val="008E440A"/>
    <w:rsid w:val="00905C7D"/>
    <w:rsid w:val="009414DA"/>
    <w:rsid w:val="00966A1D"/>
    <w:rsid w:val="00984038"/>
    <w:rsid w:val="00990ECE"/>
    <w:rsid w:val="009B3BE8"/>
    <w:rsid w:val="00A136F9"/>
    <w:rsid w:val="00A154EC"/>
    <w:rsid w:val="00A17C36"/>
    <w:rsid w:val="00A40694"/>
    <w:rsid w:val="00A70DF2"/>
    <w:rsid w:val="00A83372"/>
    <w:rsid w:val="00A837F4"/>
    <w:rsid w:val="00A97DFC"/>
    <w:rsid w:val="00AC7EB4"/>
    <w:rsid w:val="00AF1307"/>
    <w:rsid w:val="00AF6984"/>
    <w:rsid w:val="00B44AF3"/>
    <w:rsid w:val="00B57274"/>
    <w:rsid w:val="00B7568B"/>
    <w:rsid w:val="00BE0DE5"/>
    <w:rsid w:val="00C1309C"/>
    <w:rsid w:val="00C22B21"/>
    <w:rsid w:val="00C46E26"/>
    <w:rsid w:val="00C76828"/>
    <w:rsid w:val="00CA1727"/>
    <w:rsid w:val="00D00632"/>
    <w:rsid w:val="00D1709D"/>
    <w:rsid w:val="00D6029F"/>
    <w:rsid w:val="00D862DA"/>
    <w:rsid w:val="00DA0787"/>
    <w:rsid w:val="00DB5794"/>
    <w:rsid w:val="00DB5B45"/>
    <w:rsid w:val="00DC20B0"/>
    <w:rsid w:val="00DD292E"/>
    <w:rsid w:val="00DE4B2B"/>
    <w:rsid w:val="00DE59D9"/>
    <w:rsid w:val="00E22E69"/>
    <w:rsid w:val="00E274A5"/>
    <w:rsid w:val="00E529B0"/>
    <w:rsid w:val="00E92997"/>
    <w:rsid w:val="00E931F8"/>
    <w:rsid w:val="00EC1284"/>
    <w:rsid w:val="00EE433D"/>
    <w:rsid w:val="00F26652"/>
    <w:rsid w:val="00F5388D"/>
    <w:rsid w:val="00F53DDC"/>
    <w:rsid w:val="00F567F8"/>
    <w:rsid w:val="00F672DF"/>
    <w:rsid w:val="00F721DD"/>
    <w:rsid w:val="00F73AD6"/>
    <w:rsid w:val="00F76AFE"/>
    <w:rsid w:val="00FB657D"/>
    <w:rsid w:val="00FC7608"/>
    <w:rsid w:val="00FE4E11"/>
    <w:rsid w:val="00FE5120"/>
    <w:rsid w:val="0E4546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8B348"/>
  <w15:chartTrackingRefBased/>
  <w15:docId w15:val="{B6C345A3-A1B7-4152-B5BD-5DCA0E743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A7290"/>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7F1C93"/>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7F1C93"/>
    <w:rPr>
      <w:rFonts w:ascii="Palatino Linotype" w:hAnsi="Palatino Linotype"/>
      <w:color w:val="000000" w:themeColor="text1"/>
    </w:rPr>
  </w:style>
  <w:style w:type="paragraph" w:styleId="Piedepgina">
    <w:name w:val="footer"/>
    <w:basedOn w:val="Normal"/>
    <w:link w:val="PiedepginaCar"/>
    <w:uiPriority w:val="99"/>
    <w:unhideWhenUsed/>
    <w:rsid w:val="007F1C93"/>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7F1C93"/>
    <w:rPr>
      <w:rFonts w:ascii="Palatino Linotype" w:hAnsi="Palatino Linotype"/>
      <w:color w:val="000000" w:themeColor="text1"/>
    </w:rPr>
  </w:style>
  <w:style w:type="table" w:styleId="Tablaconcuadrcula">
    <w:name w:val="Table Grid"/>
    <w:basedOn w:val="Tablanormal"/>
    <w:uiPriority w:val="59"/>
    <w:qFormat/>
    <w:rsid w:val="007F1C93"/>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7F1C93"/>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F1C93"/>
    <w:pPr>
      <w:ind w:left="720"/>
      <w:contextualSpacing/>
    </w:p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7F1C93"/>
    <w:rPr>
      <w:rFonts w:ascii="Palatino Linotype" w:hAnsi="Palatino Linotype"/>
      <w:color w:val="000000" w:themeColor="text1"/>
    </w:rPr>
  </w:style>
  <w:style w:type="character" w:styleId="Hipervnculo">
    <w:name w:val="Hyperlink"/>
    <w:basedOn w:val="Fuentedeprrafopredeter"/>
    <w:uiPriority w:val="99"/>
    <w:unhideWhenUsed/>
    <w:rsid w:val="007F1C93"/>
    <w:rPr>
      <w:color w:val="0000FF"/>
      <w:u w:val="single"/>
    </w:rPr>
  </w:style>
  <w:style w:type="character" w:styleId="Mencinsinresolver">
    <w:name w:val="Unresolved Mention"/>
    <w:basedOn w:val="Fuentedeprrafopredeter"/>
    <w:uiPriority w:val="99"/>
    <w:semiHidden/>
    <w:unhideWhenUsed/>
    <w:rsid w:val="00340F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4.png" Id="rId13" /><Relationship Type="http://schemas.openxmlformats.org/officeDocument/2006/relationships/header" Target="header3.xm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hyperlink" Target="https://www.gob.mx/sesnsp/acciones-y-programas/incidencia-delictiva-del-fuero-comun-nueva-metodologia?state=published" TargetMode="External" Id="rId12" /><Relationship Type="http://schemas.openxmlformats.org/officeDocument/2006/relationships/footer" Target="footer2.xml" Id="rId17"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ecretariadoejecutivo.gob.mx/work/models/SecretariadoEjecutivo/Resource/328/1/images/instructivo_final_edo_fuerza(1).pdf" TargetMode="External" Id="rId11" /><Relationship Type="http://schemas.openxmlformats.org/officeDocument/2006/relationships/webSettings" Target="webSettings.xml" Id="rId5" /><Relationship Type="http://schemas.openxmlformats.org/officeDocument/2006/relationships/header" Target="header2.xml" Id="rId15" /><Relationship Type="http://schemas.openxmlformats.org/officeDocument/2006/relationships/image" Target="media/image3.png" Id="rId10" /><Relationship Type="http://schemas.openxmlformats.org/officeDocument/2006/relationships/footer" Target="footer3.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eader" Target="header1.xml" Id="rId14" /><Relationship Type="http://schemas.openxmlformats.org/officeDocument/2006/relationships/glossaryDocument" Target="glossary/document.xml" Id="R30e5a9b398ae4d0e" /></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7caa5e0-cf5c-4dc0-ac60-9c98708f392d}"/>
      </w:docPartPr>
      <w:docPartBody>
        <w:p w14:paraId="0E4546A3">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28788-1252-4B1D-941C-0A4713AB609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JAEL RUBIO SANCHEZ</lastModifiedBy>
  <revision>10</revision>
  <dcterms:created xsi:type="dcterms:W3CDTF">2022-08-17T21:50:00.0000000Z</dcterms:created>
  <dcterms:modified xsi:type="dcterms:W3CDTF">2022-09-08T18:10:12.2771085Z</dcterms:modified>
</coreProperties>
</file>