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7378BAC" w14:textId="461FF308" w:rsidR="007F7B11" w:rsidRPr="00C23C61" w:rsidRDefault="007F7B11" w:rsidP="00CA6269">
      <w:pPr>
        <w:tabs>
          <w:tab w:val="left" w:pos="3465"/>
        </w:tabs>
        <w:spacing w:before="240" w:after="360" w:line="360" w:lineRule="auto"/>
        <w:jc w:val="both"/>
        <w:rPr>
          <w:rFonts w:ascii="Palatino Linotype" w:eastAsiaTheme="minorEastAsia" w:hAnsi="Palatino Linotype" w:cstheme="minorBidi"/>
          <w:lang w:val="es-ES_tradnl"/>
        </w:rPr>
      </w:pPr>
      <w:r w:rsidRPr="00C23C61">
        <w:rPr>
          <w:rFonts w:ascii="Palatino Linotype" w:eastAsiaTheme="minorEastAsia" w:hAnsi="Palatino Linotype" w:cstheme="minorBidi"/>
          <w:lang w:val="es-ES_tradnl"/>
        </w:rPr>
        <w:t>Resolución del Pleno del Instituto de Transparencia, Acceso a la Información Pública y Protección de Datos Personales del Estado de México y Municipios, con domicilio e</w:t>
      </w:r>
      <w:r w:rsidR="009B54B1" w:rsidRPr="00C23C61">
        <w:rPr>
          <w:rFonts w:ascii="Palatino Linotype" w:eastAsiaTheme="minorEastAsia" w:hAnsi="Palatino Linotype" w:cstheme="minorBidi"/>
          <w:lang w:val="es-ES_tradnl"/>
        </w:rPr>
        <w:t>n Metepec, Estado de México; de diecisiete (17</w:t>
      </w:r>
      <w:r w:rsidRPr="00C23C61">
        <w:rPr>
          <w:rFonts w:ascii="Palatino Linotype" w:eastAsiaTheme="minorEastAsia" w:hAnsi="Palatino Linotype" w:cstheme="minorBidi"/>
          <w:lang w:val="es-ES_tradnl"/>
        </w:rPr>
        <w:t>) de</w:t>
      </w:r>
      <w:r w:rsidR="009B54B1" w:rsidRPr="00C23C61">
        <w:rPr>
          <w:rFonts w:ascii="Palatino Linotype" w:eastAsiaTheme="minorEastAsia" w:hAnsi="Palatino Linotype" w:cstheme="minorBidi"/>
          <w:lang w:val="es-ES_tradnl"/>
        </w:rPr>
        <w:t xml:space="preserve"> agosto</w:t>
      </w:r>
      <w:r w:rsidR="00E176F9" w:rsidRPr="00C23C61">
        <w:rPr>
          <w:rFonts w:ascii="Palatino Linotype" w:eastAsiaTheme="minorEastAsia" w:hAnsi="Palatino Linotype" w:cstheme="minorBidi"/>
          <w:lang w:val="es-ES_tradnl"/>
        </w:rPr>
        <w:t xml:space="preserve"> </w:t>
      </w:r>
      <w:r w:rsidRPr="00C23C61">
        <w:rPr>
          <w:rFonts w:ascii="Palatino Linotype" w:eastAsiaTheme="minorEastAsia" w:hAnsi="Palatino Linotype" w:cstheme="minorBidi"/>
          <w:lang w:val="es-ES_tradnl"/>
        </w:rPr>
        <w:t>de dos mil veintidós.</w:t>
      </w:r>
    </w:p>
    <w:p w14:paraId="18F60015" w14:textId="68888B07" w:rsidR="007F7B11" w:rsidRPr="00C23C61" w:rsidRDefault="007F7B11" w:rsidP="00CA6269">
      <w:pPr>
        <w:spacing w:before="240" w:after="360" w:line="360" w:lineRule="auto"/>
        <w:jc w:val="both"/>
        <w:rPr>
          <w:rFonts w:ascii="Palatino Linotype" w:hAnsi="Palatino Linotype"/>
          <w:color w:val="000000" w:themeColor="text1"/>
          <w:lang w:val="es-ES_tradnl"/>
        </w:rPr>
      </w:pPr>
      <w:r w:rsidRPr="00C23C61">
        <w:rPr>
          <w:rFonts w:ascii="Palatino Linotype" w:eastAsiaTheme="minorEastAsia" w:hAnsi="Palatino Linotype" w:cstheme="minorBidi"/>
          <w:b/>
          <w:lang w:val="es-ES_tradnl"/>
        </w:rPr>
        <w:t>VISTO</w:t>
      </w:r>
      <w:r w:rsidRPr="00C23C61">
        <w:rPr>
          <w:rFonts w:ascii="Palatino Linotype" w:eastAsiaTheme="minorEastAsia" w:hAnsi="Palatino Linotype" w:cstheme="minorBidi"/>
          <w:lang w:val="es-ES_tradnl"/>
        </w:rPr>
        <w:t xml:space="preserve"> el expediente electrónico formado con motivo del recurso de revisión</w:t>
      </w:r>
      <w:r w:rsidR="00E176F9" w:rsidRPr="00C23C61">
        <w:rPr>
          <w:rFonts w:ascii="Palatino Linotype" w:eastAsiaTheme="minorEastAsia" w:hAnsi="Palatino Linotype" w:cstheme="minorBidi"/>
          <w:lang w:val="es-ES_tradnl"/>
        </w:rPr>
        <w:t xml:space="preserve"> </w:t>
      </w:r>
      <w:r w:rsidR="009B54B1" w:rsidRPr="00C23C61">
        <w:rPr>
          <w:rFonts w:ascii="Palatino Linotype" w:eastAsiaTheme="minorEastAsia" w:hAnsi="Palatino Linotype" w:cstheme="minorBidi"/>
          <w:b/>
          <w:bCs/>
        </w:rPr>
        <w:t>10308/INFOEM/IP/RR/2022</w:t>
      </w:r>
      <w:r w:rsidRPr="00C23C61">
        <w:rPr>
          <w:rFonts w:ascii="Palatino Linotype" w:eastAsiaTheme="minorEastAsia" w:hAnsi="Palatino Linotype" w:cs="Arial"/>
          <w:b/>
          <w:bCs/>
          <w:lang w:val="es-ES_tradnl"/>
        </w:rPr>
        <w:t xml:space="preserve">; </w:t>
      </w:r>
      <w:r w:rsidRPr="00C23C61">
        <w:rPr>
          <w:rFonts w:ascii="Palatino Linotype" w:hAnsi="Palatino Linotype"/>
          <w:color w:val="000000" w:themeColor="text1"/>
          <w:lang w:val="es-ES_tradnl"/>
        </w:rPr>
        <w:t>interpuesto por</w:t>
      </w:r>
      <w:r w:rsidR="00BF3B3C" w:rsidRPr="00C23C61">
        <w:rPr>
          <w:rFonts w:ascii="Palatino Linotype" w:hAnsi="Palatino Linotype"/>
          <w:color w:val="000000" w:themeColor="text1"/>
          <w:lang w:val="es-ES_tradnl"/>
        </w:rPr>
        <w:t xml:space="preserve"> </w:t>
      </w:r>
      <w:r w:rsidR="00167C5F" w:rsidRPr="00C23C61">
        <w:rPr>
          <w:rFonts w:ascii="Palatino Linotype" w:hAnsi="Palatino Linotype"/>
          <w:b/>
          <w:bCs/>
          <w:color w:val="000000" w:themeColor="text1"/>
        </w:rPr>
        <w:t>XXXX XXXXX XXX</w:t>
      </w:r>
      <w:r w:rsidR="009B54B1" w:rsidRPr="00C23C61">
        <w:rPr>
          <w:rFonts w:ascii="Palatino Linotype" w:hAnsi="Palatino Linotype"/>
          <w:color w:val="000000" w:themeColor="text1"/>
          <w:lang w:val="es-ES_tradnl"/>
        </w:rPr>
        <w:t xml:space="preserve"> </w:t>
      </w:r>
      <w:r w:rsidRPr="00C23C61">
        <w:rPr>
          <w:rFonts w:ascii="Palatino Linotype" w:hAnsi="Palatino Linotype"/>
          <w:color w:val="000000" w:themeColor="text1"/>
          <w:lang w:val="es-ES_tradnl"/>
        </w:rPr>
        <w:t xml:space="preserve">en lo sucesivo el </w:t>
      </w:r>
      <w:r w:rsidRPr="00C23C61">
        <w:rPr>
          <w:rFonts w:ascii="Palatino Linotype" w:hAnsi="Palatino Linotype"/>
          <w:b/>
          <w:bCs/>
          <w:color w:val="000000" w:themeColor="text1"/>
          <w:lang w:val="es-ES_tradnl"/>
        </w:rPr>
        <w:t>RECURRENTE</w:t>
      </w:r>
      <w:r w:rsidRPr="00C23C61">
        <w:rPr>
          <w:rFonts w:ascii="Palatino Linotype" w:hAnsi="Palatino Linotype" w:cs="Arial"/>
          <w:color w:val="000000" w:themeColor="text1"/>
          <w:lang w:val="es-ES_tradnl"/>
        </w:rPr>
        <w:t>; en contra de</w:t>
      </w:r>
      <w:r w:rsidR="009B54B1" w:rsidRPr="00C23C61">
        <w:rPr>
          <w:rFonts w:ascii="Palatino Linotype" w:hAnsi="Palatino Linotype" w:cs="Arial"/>
          <w:color w:val="000000" w:themeColor="text1"/>
          <w:lang w:val="es-ES_tradnl"/>
        </w:rPr>
        <w:t xml:space="preserve"> la </w:t>
      </w:r>
      <w:r w:rsidRPr="00C23C61">
        <w:rPr>
          <w:rFonts w:ascii="Palatino Linotype" w:hAnsi="Palatino Linotype" w:cs="Arial"/>
          <w:color w:val="000000" w:themeColor="text1"/>
          <w:lang w:val="es-ES_tradnl"/>
        </w:rPr>
        <w:t xml:space="preserve">respuesta del </w:t>
      </w:r>
      <w:r w:rsidR="009B54B1" w:rsidRPr="00C23C61">
        <w:rPr>
          <w:rFonts w:ascii="Palatino Linotype" w:hAnsi="Palatino Linotype" w:cs="Arial"/>
          <w:b/>
          <w:color w:val="000000" w:themeColor="text1"/>
          <w:lang w:val="es-ES_tradnl"/>
        </w:rPr>
        <w:t>Ayuntamiento de Tenancingo</w:t>
      </w:r>
      <w:r w:rsidR="009B54B1" w:rsidRPr="00C23C61">
        <w:rPr>
          <w:rFonts w:ascii="Palatino Linotype" w:hAnsi="Palatino Linotype" w:cs="Arial"/>
          <w:color w:val="000000" w:themeColor="text1"/>
          <w:lang w:val="es-ES_tradnl"/>
        </w:rPr>
        <w:t xml:space="preserve"> </w:t>
      </w:r>
      <w:r w:rsidRPr="00C23C61">
        <w:rPr>
          <w:rFonts w:ascii="Palatino Linotype" w:hAnsi="Palatino Linotype"/>
          <w:color w:val="000000" w:themeColor="text1"/>
          <w:lang w:val="es-ES_tradnl"/>
        </w:rPr>
        <w:t>en lo sucesivo el</w:t>
      </w:r>
      <w:r w:rsidRPr="00C23C61">
        <w:rPr>
          <w:rFonts w:ascii="Palatino Linotype" w:hAnsi="Palatino Linotype"/>
          <w:b/>
          <w:color w:val="000000" w:themeColor="text1"/>
          <w:lang w:val="es-ES_tradnl"/>
        </w:rPr>
        <w:t xml:space="preserve"> SUJETO OBLIGADO, </w:t>
      </w:r>
      <w:r w:rsidRPr="00C23C61">
        <w:rPr>
          <w:rFonts w:ascii="Palatino Linotype" w:hAnsi="Palatino Linotype"/>
          <w:color w:val="000000" w:themeColor="text1"/>
          <w:lang w:val="es-ES_tradnl"/>
        </w:rPr>
        <w:t>se procede a dictar la presente resolución, con base en los siguientes:</w:t>
      </w:r>
    </w:p>
    <w:p w14:paraId="62E6CFD9" w14:textId="6A7D8E82" w:rsidR="000C53E4" w:rsidRPr="00C23C61" w:rsidRDefault="007F7B11" w:rsidP="00CA6269">
      <w:pPr>
        <w:keepNext/>
        <w:keepLines/>
        <w:spacing w:before="240" w:line="360" w:lineRule="auto"/>
        <w:jc w:val="center"/>
        <w:outlineLvl w:val="0"/>
        <w:rPr>
          <w:rFonts w:ascii="Palatino Linotype" w:eastAsiaTheme="majorEastAsia" w:hAnsi="Palatino Linotype" w:cstheme="majorBidi"/>
          <w:b/>
          <w:lang w:val="es-MX" w:eastAsia="en-US"/>
        </w:rPr>
      </w:pPr>
      <w:bookmarkStart w:id="0" w:name="_Toc461555884"/>
      <w:bookmarkStart w:id="1" w:name="_Toc466371847"/>
      <w:bookmarkStart w:id="2" w:name="_Toc110973003"/>
      <w:r w:rsidRPr="00C23C61">
        <w:rPr>
          <w:rFonts w:ascii="Palatino Linotype" w:eastAsiaTheme="majorEastAsia" w:hAnsi="Palatino Linotype" w:cstheme="majorBidi"/>
          <w:b/>
          <w:lang w:val="es-MX" w:eastAsia="en-US"/>
        </w:rPr>
        <w:t>ANTECEDENTES</w:t>
      </w:r>
      <w:bookmarkEnd w:id="0"/>
      <w:bookmarkEnd w:id="1"/>
      <w:bookmarkEnd w:id="2"/>
    </w:p>
    <w:p w14:paraId="6DD0F7E0" w14:textId="77777777" w:rsidR="00D13A6B" w:rsidRPr="00C23C61" w:rsidRDefault="00D13A6B" w:rsidP="00CA6269">
      <w:pPr>
        <w:keepNext/>
        <w:keepLines/>
        <w:spacing w:before="240" w:line="360" w:lineRule="auto"/>
        <w:jc w:val="center"/>
        <w:outlineLvl w:val="0"/>
        <w:rPr>
          <w:rFonts w:ascii="Palatino Linotype" w:eastAsiaTheme="majorEastAsia" w:hAnsi="Palatino Linotype" w:cstheme="majorBidi"/>
          <w:b/>
          <w:lang w:val="es-MX" w:eastAsia="en-US"/>
        </w:rPr>
      </w:pPr>
    </w:p>
    <w:p w14:paraId="016DEFA4" w14:textId="113FED90" w:rsidR="007F7B11" w:rsidRPr="00C23C61" w:rsidRDefault="009B54B1" w:rsidP="009B54B1">
      <w:pPr>
        <w:numPr>
          <w:ilvl w:val="0"/>
          <w:numId w:val="17"/>
        </w:numPr>
        <w:tabs>
          <w:tab w:val="left" w:pos="0"/>
        </w:tabs>
        <w:spacing w:before="240" w:after="240" w:line="360" w:lineRule="auto"/>
        <w:ind w:left="0" w:firstLine="0"/>
        <w:contextualSpacing/>
        <w:jc w:val="both"/>
        <w:rPr>
          <w:rFonts w:ascii="Palatino Linotype" w:eastAsia="Calibri" w:hAnsi="Palatino Linotype" w:cs="Arial"/>
        </w:rPr>
      </w:pPr>
      <w:r w:rsidRPr="00C23C61">
        <w:rPr>
          <w:rFonts w:ascii="Palatino Linotype" w:eastAsia="Calibri" w:hAnsi="Palatino Linotype" w:cs="Arial"/>
        </w:rPr>
        <w:t>El diecinueve (19</w:t>
      </w:r>
      <w:r w:rsidR="000C53E4" w:rsidRPr="00C23C61">
        <w:rPr>
          <w:rFonts w:ascii="Palatino Linotype" w:eastAsia="Calibri" w:hAnsi="Palatino Linotype" w:cs="Arial"/>
        </w:rPr>
        <w:t>) de</w:t>
      </w:r>
      <w:r w:rsidRPr="00C23C61">
        <w:rPr>
          <w:rFonts w:ascii="Palatino Linotype" w:eastAsia="Calibri" w:hAnsi="Palatino Linotype" w:cs="Arial"/>
        </w:rPr>
        <w:t xml:space="preserve"> abril</w:t>
      </w:r>
      <w:r w:rsidR="00E176F9" w:rsidRPr="00C23C61">
        <w:rPr>
          <w:rFonts w:ascii="Palatino Linotype" w:eastAsia="Calibri" w:hAnsi="Palatino Linotype" w:cs="Arial"/>
        </w:rPr>
        <w:t xml:space="preserve"> </w:t>
      </w:r>
      <w:r w:rsidRPr="00C23C61">
        <w:rPr>
          <w:rFonts w:ascii="Palatino Linotype" w:eastAsia="Calibri" w:hAnsi="Palatino Linotype" w:cs="Arial"/>
        </w:rPr>
        <w:t>de dos mil veintidós</w:t>
      </w:r>
      <w:r w:rsidR="007F7B11" w:rsidRPr="00C23C61">
        <w:rPr>
          <w:rFonts w:ascii="Palatino Linotype" w:eastAsiaTheme="minorEastAsia" w:hAnsi="Palatino Linotype" w:cstheme="minorBidi"/>
          <w:b/>
          <w:lang w:val="es-ES_tradnl"/>
        </w:rPr>
        <w:t xml:space="preserve">, </w:t>
      </w:r>
      <w:r w:rsidR="007F7B11" w:rsidRPr="00C23C61">
        <w:rPr>
          <w:rFonts w:ascii="Palatino Linotype" w:eastAsia="Calibri" w:hAnsi="Palatino Linotype" w:cs="Arial"/>
        </w:rPr>
        <w:t xml:space="preserve">se presentó ante el </w:t>
      </w:r>
      <w:r w:rsidR="007F7B11" w:rsidRPr="00C23C61">
        <w:rPr>
          <w:rFonts w:ascii="Palatino Linotype" w:eastAsia="Calibri" w:hAnsi="Palatino Linotype" w:cs="Arial"/>
          <w:b/>
        </w:rPr>
        <w:t>SUJETO OBLIGADO</w:t>
      </w:r>
      <w:r w:rsidR="007F7B11" w:rsidRPr="00C23C61">
        <w:rPr>
          <w:rFonts w:ascii="Palatino Linotype" w:eastAsia="Calibri" w:hAnsi="Palatino Linotype" w:cs="Arial"/>
          <w:lang w:val="es-ES_tradnl"/>
        </w:rPr>
        <w:t xml:space="preserve"> vía </w:t>
      </w:r>
      <w:r w:rsidR="007F7B11" w:rsidRPr="00C23C61">
        <w:rPr>
          <w:rFonts w:ascii="Palatino Linotype" w:eastAsia="Calibri" w:hAnsi="Palatino Linotype" w:cs="Arial"/>
        </w:rPr>
        <w:t xml:space="preserve">Sistema de Acceso a la Información Mexiquense </w:t>
      </w:r>
      <w:r w:rsidR="007F7B11" w:rsidRPr="00C23C61">
        <w:rPr>
          <w:rFonts w:ascii="Palatino Linotype" w:eastAsia="Calibri" w:hAnsi="Palatino Linotype" w:cs="Arial"/>
          <w:b/>
        </w:rPr>
        <w:t>SAIMEX</w:t>
      </w:r>
      <w:r w:rsidR="007F7B11" w:rsidRPr="00C23C61">
        <w:rPr>
          <w:rFonts w:ascii="Palatino Linotype" w:eastAsia="Calibri" w:hAnsi="Palatino Linotype" w:cs="Arial"/>
        </w:rPr>
        <w:t xml:space="preserve">, la solicitud de información pública registrada con el número </w:t>
      </w:r>
      <w:r w:rsidRPr="00C23C61">
        <w:rPr>
          <w:rFonts w:ascii="Palatino Linotype" w:eastAsia="Calibri" w:hAnsi="Palatino Linotype" w:cs="Arial"/>
          <w:b/>
          <w:bCs/>
        </w:rPr>
        <w:t>00417/TENANCIN/IP/2022</w:t>
      </w:r>
      <w:r w:rsidRPr="00C23C61">
        <w:rPr>
          <w:rFonts w:ascii="Palatino Linotype" w:eastAsia="Calibri" w:hAnsi="Palatino Linotype" w:cs="Arial"/>
        </w:rPr>
        <w:t xml:space="preserve"> </w:t>
      </w:r>
      <w:r w:rsidR="007F7B11" w:rsidRPr="00C23C61">
        <w:rPr>
          <w:rFonts w:ascii="Palatino Linotype" w:eastAsia="Calibri" w:hAnsi="Palatino Linotype" w:cs="Arial"/>
        </w:rPr>
        <w:t>mediante la cual solicitó:</w:t>
      </w:r>
    </w:p>
    <w:p w14:paraId="718F0BAA" w14:textId="77777777" w:rsidR="007F7B11" w:rsidRPr="00C23C61" w:rsidRDefault="007F7B11" w:rsidP="00CA6269">
      <w:pPr>
        <w:spacing w:line="360" w:lineRule="auto"/>
        <w:ind w:left="360"/>
        <w:contextualSpacing/>
        <w:jc w:val="both"/>
        <w:rPr>
          <w:rFonts w:ascii="Palatino Linotype" w:eastAsiaTheme="minorEastAsia" w:hAnsi="Palatino Linotype" w:cstheme="minorBidi"/>
          <w:i/>
          <w:color w:val="000000"/>
          <w:lang w:val="es-ES_tradnl"/>
        </w:rPr>
      </w:pPr>
    </w:p>
    <w:p w14:paraId="17BF7598" w14:textId="09080823" w:rsidR="007F7B11" w:rsidRPr="00C23C61" w:rsidRDefault="007F7B11" w:rsidP="00CA6269">
      <w:pPr>
        <w:spacing w:line="360" w:lineRule="auto"/>
        <w:ind w:left="567" w:right="567"/>
        <w:contextualSpacing/>
        <w:jc w:val="both"/>
        <w:rPr>
          <w:rFonts w:ascii="Palatino Linotype" w:eastAsiaTheme="minorEastAsia" w:hAnsi="Palatino Linotype" w:cstheme="minorBidi"/>
          <w:color w:val="000000"/>
          <w:lang w:val="es-ES_tradnl"/>
        </w:rPr>
      </w:pPr>
      <w:r w:rsidRPr="00C23C61">
        <w:rPr>
          <w:rFonts w:ascii="Palatino Linotype" w:eastAsiaTheme="minorEastAsia" w:hAnsi="Palatino Linotype" w:cstheme="minorBidi"/>
          <w:i/>
          <w:color w:val="000000"/>
          <w:lang w:val="es-ES_tradnl"/>
        </w:rPr>
        <w:t>“</w:t>
      </w:r>
      <w:r w:rsidR="009B54B1" w:rsidRPr="00C23C61">
        <w:rPr>
          <w:rFonts w:ascii="Palatino Linotype" w:eastAsiaTheme="minorEastAsia" w:hAnsi="Palatino Linotype" w:cstheme="minorBidi"/>
          <w:i/>
          <w:color w:val="000000"/>
          <w:lang w:val="es-ES_tradnl"/>
        </w:rPr>
        <w:t xml:space="preserve">COPIA DEL CONTRATO CELEBRADO CON LA PERSONA FÍSICA O MORAL A LA QUE FUE ADJUDICADA LA OBRA DE REHABILITACIÓN DE LA CALZADA DE GUADALUPE LA CABECERA MUNICIPAL DE TENANCINGO, MÉXICO. ASIMISMO SE ME INFORME EL PROCEDIMIENTO QUE SE LLEVO A CABO PARA ADJUDICAR DICHA OBRA. a) SI FUE POR LICITACIÓN PUBLICA O POR INVITACIÓN RESTRINGIDA: 1) La convocatoria o invitación emitida, así como los </w:t>
      </w:r>
      <w:r w:rsidR="009B54B1" w:rsidRPr="00C23C61">
        <w:rPr>
          <w:rFonts w:ascii="Palatino Linotype" w:eastAsiaTheme="minorEastAsia" w:hAnsi="Palatino Linotype" w:cstheme="minorBidi"/>
          <w:i/>
          <w:color w:val="000000"/>
          <w:lang w:val="es-ES_tradnl"/>
        </w:rPr>
        <w:lastRenderedPageBreak/>
        <w:t>fundamentos legales aplicados para llevarla a cabo; 2) Los nombres de los participantes o invitados; 3) El nombre del ganador y las razones que lo justifican; 4) El área solicitante y la responsable de su ejecución; 5) Las convocatorias e invitaciones emitidas; 6) Los dictámenes y fallo de adjudicación; 7) El contrato y, en su caso, sus anexos; 8) Los mecanismos de vigilancia y supervisión, incluyendo en su caso, los estudios de impacto urbano y ambiental, según corresponda; 9) La partida presupuestal, de conformidad con el clasificador por objeto del gasto, en el caso de ser aplicable; 10) Origen de los recursos especificando si son federales, estatales o municipales, así como el tipo de fondo de participación o aportación respectiva; 11) Los convenios modificatorios que, en su caso, sean firmados, precisando el objeto y la fecha de celebración; 12) Los informes de avance físico y financiero sobre las obras o servicios contratados; 13) El convenio de terminación; y 14) El finiquito. b) SI FUE POR ADJUDICACION DIRECTA: 1) La propuesta enviada por el participante; 2) Los motivos y fundamentos legales aplicados para llevarla a cabo; 3) La autorización del ejercicio de la opción; 4) En su caso, las cotizaciones consideradas, especificando los nombres de los proveedores y sus montos; 5) El nombre de la persona física o jurídica colectiva adjudicada; 6) La unidad administrativa solicitante y la responsable de su ejecución; 7) El número, fecha, el monto del contrato y el plazo de entrega o de ejecución de la obra; 8) Los mecanismos de vigilancia y supervisión, incluyendo, en su caso, los estudios de impacto urbano y ambiental, según corresponda; 9) Los informes de avance sobre las obras; 10) El convenio de terminación; y 11) El finiquito.</w:t>
      </w:r>
      <w:r w:rsidR="000C53E4" w:rsidRPr="00C23C61">
        <w:rPr>
          <w:rFonts w:ascii="Palatino Linotype" w:eastAsiaTheme="minorEastAsia" w:hAnsi="Palatino Linotype" w:cstheme="minorBidi"/>
          <w:i/>
          <w:color w:val="000000"/>
          <w:lang w:val="es-ES_tradnl"/>
        </w:rPr>
        <w:t>.</w:t>
      </w:r>
      <w:r w:rsidRPr="00C23C61">
        <w:rPr>
          <w:rFonts w:ascii="Palatino Linotype" w:eastAsiaTheme="minorEastAsia" w:hAnsi="Palatino Linotype" w:cstheme="minorBidi"/>
          <w:i/>
          <w:color w:val="000000"/>
          <w:lang w:val="es-ES_tradnl"/>
        </w:rPr>
        <w:t>”</w:t>
      </w:r>
      <w:r w:rsidRPr="00C23C61">
        <w:rPr>
          <w:rFonts w:ascii="Palatino Linotype" w:eastAsiaTheme="minorEastAsia" w:hAnsi="Palatino Linotype" w:cstheme="minorBidi"/>
          <w:color w:val="000000"/>
          <w:lang w:val="es-ES_tradnl"/>
        </w:rPr>
        <w:t xml:space="preserve"> (Sic)</w:t>
      </w:r>
    </w:p>
    <w:p w14:paraId="270EF866" w14:textId="77777777" w:rsidR="007F7B11" w:rsidRPr="00C23C61" w:rsidRDefault="007F7B11" w:rsidP="00CA6269">
      <w:pPr>
        <w:spacing w:line="360" w:lineRule="auto"/>
        <w:jc w:val="both"/>
        <w:rPr>
          <w:rFonts w:ascii="Palatino Linotype" w:hAnsi="Palatino Linotype" w:cs="Arial"/>
        </w:rPr>
      </w:pPr>
    </w:p>
    <w:p w14:paraId="7A8253AD" w14:textId="400D92F6" w:rsidR="00E176F9" w:rsidRPr="00C23C61" w:rsidRDefault="007F7B11" w:rsidP="00CA6269">
      <w:pPr>
        <w:numPr>
          <w:ilvl w:val="0"/>
          <w:numId w:val="17"/>
        </w:numPr>
        <w:tabs>
          <w:tab w:val="left" w:pos="284"/>
        </w:tabs>
        <w:spacing w:before="240" w:after="240" w:line="360" w:lineRule="auto"/>
        <w:ind w:left="0" w:firstLine="0"/>
        <w:contextualSpacing/>
        <w:jc w:val="both"/>
        <w:rPr>
          <w:rFonts w:ascii="Palatino Linotype" w:eastAsia="MS Mincho" w:hAnsi="Palatino Linotype"/>
          <w:lang w:val="es-ES_tradnl"/>
        </w:rPr>
      </w:pPr>
      <w:r w:rsidRPr="00C23C61">
        <w:rPr>
          <w:rFonts w:ascii="Palatino Linotype" w:eastAsia="Calibri" w:hAnsi="Palatino Linotype" w:cs="Arial"/>
          <w:lang w:val="es-AR"/>
        </w:rPr>
        <w:lastRenderedPageBreak/>
        <w:t xml:space="preserve">De las constancias </w:t>
      </w:r>
      <w:r w:rsidRPr="00C23C61">
        <w:rPr>
          <w:rFonts w:ascii="Palatino Linotype" w:hAnsi="Palatino Linotype" w:cs="Arial"/>
        </w:rPr>
        <w:t xml:space="preserve">que obran en el expediente, se aprecia que el entonces </w:t>
      </w:r>
      <w:r w:rsidRPr="00C23C61">
        <w:rPr>
          <w:rFonts w:ascii="Palatino Linotype" w:hAnsi="Palatino Linotype" w:cs="Arial"/>
          <w:b/>
        </w:rPr>
        <w:t>SOLICITANTE</w:t>
      </w:r>
      <w:r w:rsidRPr="00C23C61">
        <w:rPr>
          <w:rFonts w:ascii="Palatino Linotype" w:hAnsi="Palatino Linotype" w:cs="Arial"/>
        </w:rPr>
        <w:t xml:space="preserve"> señaló como modalidad de entrega de la información:</w:t>
      </w:r>
      <w:r w:rsidRPr="00C23C61">
        <w:rPr>
          <w:rFonts w:ascii="Palatino Linotype" w:hAnsi="Palatino Linotype" w:cs="Arial"/>
          <w:b/>
        </w:rPr>
        <w:t xml:space="preserve"> </w:t>
      </w:r>
      <w:r w:rsidRPr="00C23C61">
        <w:rPr>
          <w:rFonts w:ascii="Palatino Linotype" w:eastAsiaTheme="minorEastAsia" w:hAnsi="Palatino Linotype" w:cstheme="minorBidi"/>
          <w:b/>
          <w:lang w:val="es-ES_tradnl"/>
        </w:rPr>
        <w:t xml:space="preserve">A través del </w:t>
      </w:r>
      <w:r w:rsidR="0060001F" w:rsidRPr="00C23C61">
        <w:rPr>
          <w:rFonts w:ascii="Palatino Linotype" w:eastAsiaTheme="minorEastAsia" w:hAnsi="Palatino Linotype" w:cstheme="minorBidi"/>
          <w:b/>
          <w:lang w:val="es-ES_tradnl"/>
        </w:rPr>
        <w:t>SAIMEX</w:t>
      </w:r>
      <w:r w:rsidRPr="00C23C61">
        <w:rPr>
          <w:rFonts w:ascii="Palatino Linotype" w:eastAsiaTheme="minorEastAsia" w:hAnsi="Palatino Linotype" w:cstheme="minorBidi"/>
          <w:b/>
          <w:lang w:val="es-ES_tradnl"/>
        </w:rPr>
        <w:t>.</w:t>
      </w:r>
    </w:p>
    <w:p w14:paraId="63CBCB65" w14:textId="77777777" w:rsidR="00E176F9" w:rsidRPr="00C23C61" w:rsidRDefault="00E176F9" w:rsidP="00CA6269">
      <w:pPr>
        <w:tabs>
          <w:tab w:val="left" w:pos="284"/>
        </w:tabs>
        <w:spacing w:before="240" w:after="240" w:line="360" w:lineRule="auto"/>
        <w:contextualSpacing/>
        <w:jc w:val="both"/>
        <w:rPr>
          <w:rFonts w:ascii="Palatino Linotype" w:eastAsia="MS Mincho" w:hAnsi="Palatino Linotype"/>
          <w:lang w:val="es-ES_tradnl"/>
        </w:rPr>
      </w:pPr>
    </w:p>
    <w:p w14:paraId="25B833D0" w14:textId="6BA7F92F" w:rsidR="00E176F9" w:rsidRPr="00C23C61" w:rsidRDefault="00E176F9" w:rsidP="00CA6269">
      <w:pPr>
        <w:numPr>
          <w:ilvl w:val="0"/>
          <w:numId w:val="17"/>
        </w:numPr>
        <w:tabs>
          <w:tab w:val="left" w:pos="284"/>
        </w:tabs>
        <w:spacing w:before="240" w:after="240" w:line="360" w:lineRule="auto"/>
        <w:ind w:left="0" w:firstLine="0"/>
        <w:contextualSpacing/>
        <w:jc w:val="both"/>
        <w:rPr>
          <w:rFonts w:ascii="Palatino Linotype" w:eastAsia="MS Mincho" w:hAnsi="Palatino Linotype"/>
          <w:lang w:val="es-ES_tradnl"/>
        </w:rPr>
      </w:pPr>
      <w:r w:rsidRPr="00C23C61">
        <w:rPr>
          <w:rFonts w:ascii="Palatino Linotype" w:eastAsiaTheme="minorEastAsia" w:hAnsi="Palatino Linotype" w:cstheme="minorBidi"/>
          <w:color w:val="000000" w:themeColor="text1"/>
          <w:lang w:val="es-ES_tradnl"/>
        </w:rPr>
        <w:t xml:space="preserve">El </w:t>
      </w:r>
      <w:r w:rsidR="009B54B1" w:rsidRPr="00C23C61">
        <w:rPr>
          <w:rFonts w:ascii="Palatino Linotype" w:eastAsiaTheme="minorEastAsia" w:hAnsi="Palatino Linotype" w:cstheme="minorBidi"/>
          <w:color w:val="000000" w:themeColor="text1"/>
          <w:lang w:val="es-ES_tradnl"/>
        </w:rPr>
        <w:t>nueve (09</w:t>
      </w:r>
      <w:r w:rsidRPr="00C23C61">
        <w:rPr>
          <w:rFonts w:ascii="Palatino Linotype" w:eastAsiaTheme="minorEastAsia" w:hAnsi="Palatino Linotype" w:cstheme="minorBidi"/>
          <w:color w:val="000000" w:themeColor="text1"/>
          <w:lang w:val="es-ES_tradnl"/>
        </w:rPr>
        <w:t>) de</w:t>
      </w:r>
      <w:r w:rsidR="009B54B1" w:rsidRPr="00C23C61">
        <w:rPr>
          <w:rFonts w:ascii="Palatino Linotype" w:eastAsiaTheme="minorEastAsia" w:hAnsi="Palatino Linotype" w:cstheme="minorBidi"/>
          <w:color w:val="000000" w:themeColor="text1"/>
          <w:lang w:val="es-ES_tradnl"/>
        </w:rPr>
        <w:t xml:space="preserve"> mayo</w:t>
      </w:r>
      <w:r w:rsidRPr="00C23C61">
        <w:rPr>
          <w:rFonts w:ascii="Palatino Linotype" w:eastAsiaTheme="minorEastAsia" w:hAnsi="Palatino Linotype" w:cstheme="minorBidi"/>
          <w:color w:val="000000" w:themeColor="text1"/>
          <w:lang w:val="es-ES_tradnl"/>
        </w:rPr>
        <w:t xml:space="preserve"> </w:t>
      </w:r>
      <w:r w:rsidR="009B54B1" w:rsidRPr="00C23C61">
        <w:rPr>
          <w:rFonts w:ascii="Palatino Linotype" w:eastAsiaTheme="minorEastAsia" w:hAnsi="Palatino Linotype" w:cstheme="minorBidi"/>
          <w:color w:val="000000" w:themeColor="text1"/>
          <w:lang w:val="es-ES_tradnl"/>
        </w:rPr>
        <w:t>de dos mil veintidós</w:t>
      </w:r>
      <w:r w:rsidRPr="00C23C61">
        <w:rPr>
          <w:rFonts w:ascii="Palatino Linotype" w:eastAsiaTheme="minorEastAsia" w:hAnsi="Palatino Linotype" w:cstheme="minorBidi"/>
          <w:color w:val="000000" w:themeColor="text1"/>
          <w:lang w:val="es-ES_tradnl"/>
        </w:rPr>
        <w:t xml:space="preserve">, el </w:t>
      </w:r>
      <w:r w:rsidRPr="00C23C61">
        <w:rPr>
          <w:rFonts w:ascii="Palatino Linotype" w:eastAsiaTheme="minorEastAsia" w:hAnsi="Palatino Linotype" w:cstheme="minorBidi"/>
          <w:b/>
          <w:color w:val="000000" w:themeColor="text1"/>
          <w:lang w:val="es-ES_tradnl"/>
        </w:rPr>
        <w:t>SUJETO OBLIGADO</w:t>
      </w:r>
      <w:r w:rsidRPr="00C23C61">
        <w:rPr>
          <w:rFonts w:ascii="Palatino Linotype" w:eastAsiaTheme="minorEastAsia" w:hAnsi="Palatino Linotype" w:cstheme="minorBidi"/>
          <w:color w:val="000000" w:themeColor="text1"/>
          <w:lang w:val="es-ES_tradnl"/>
        </w:rPr>
        <w:t xml:space="preserve"> dio respuesta a la solicitud de información en los siguientes términos:</w:t>
      </w:r>
    </w:p>
    <w:p w14:paraId="26A87C72" w14:textId="77777777" w:rsidR="00E176F9" w:rsidRPr="00C23C61" w:rsidRDefault="00E176F9" w:rsidP="00CA6269">
      <w:pPr>
        <w:tabs>
          <w:tab w:val="left" w:pos="426"/>
        </w:tabs>
        <w:spacing w:before="240" w:after="240" w:line="360" w:lineRule="auto"/>
        <w:contextualSpacing/>
        <w:jc w:val="both"/>
        <w:rPr>
          <w:rFonts w:ascii="Palatino Linotype" w:eastAsia="MS Mincho" w:hAnsi="Palatino Linotype"/>
          <w:color w:val="000000" w:themeColor="text1"/>
          <w:lang w:val="es-ES_tradnl"/>
        </w:rPr>
      </w:pPr>
    </w:p>
    <w:p w14:paraId="586600C1" w14:textId="64145A04" w:rsidR="009B54B1" w:rsidRPr="00C23C61" w:rsidRDefault="00E176F9" w:rsidP="009B54B1">
      <w:pPr>
        <w:spacing w:line="360" w:lineRule="auto"/>
        <w:ind w:left="567" w:right="567"/>
        <w:jc w:val="right"/>
        <w:rPr>
          <w:rFonts w:ascii="Palatino Linotype" w:eastAsiaTheme="minorEastAsia" w:hAnsi="Palatino Linotype" w:cstheme="minorBidi"/>
          <w:i/>
          <w:noProof/>
          <w:color w:val="000000" w:themeColor="text1"/>
          <w:lang w:val="es-MX" w:eastAsia="es-MX"/>
        </w:rPr>
      </w:pPr>
      <w:r w:rsidRPr="00C23C61">
        <w:rPr>
          <w:rFonts w:ascii="Palatino Linotype" w:eastAsiaTheme="minorEastAsia" w:hAnsi="Palatino Linotype" w:cstheme="minorBidi"/>
          <w:i/>
          <w:noProof/>
          <w:color w:val="000000" w:themeColor="text1"/>
          <w:lang w:val="es-MX" w:eastAsia="es-MX"/>
        </w:rPr>
        <w:t>“</w:t>
      </w:r>
      <w:r w:rsidR="009B54B1" w:rsidRPr="00C23C61">
        <w:rPr>
          <w:rFonts w:ascii="Palatino Linotype" w:eastAsiaTheme="minorEastAsia" w:hAnsi="Palatino Linotype" w:cstheme="minorBidi"/>
          <w:i/>
          <w:noProof/>
          <w:color w:val="000000" w:themeColor="text1"/>
          <w:lang w:val="es-MX" w:eastAsia="es-MX"/>
        </w:rPr>
        <w:t>Tenancingo, México a 09 de Mayo de 2022</w:t>
      </w:r>
    </w:p>
    <w:p w14:paraId="5C37C0DB" w14:textId="77777777" w:rsidR="009B54B1" w:rsidRPr="00C23C61" w:rsidRDefault="009B54B1" w:rsidP="009B54B1">
      <w:pPr>
        <w:spacing w:line="360" w:lineRule="auto"/>
        <w:ind w:left="567" w:right="567"/>
        <w:jc w:val="right"/>
        <w:rPr>
          <w:rFonts w:ascii="Palatino Linotype" w:eastAsiaTheme="minorEastAsia" w:hAnsi="Palatino Linotype" w:cstheme="minorBidi"/>
          <w:i/>
          <w:noProof/>
          <w:color w:val="000000" w:themeColor="text1"/>
          <w:lang w:val="es-MX" w:eastAsia="es-MX"/>
        </w:rPr>
      </w:pPr>
      <w:r w:rsidRPr="00C23C61">
        <w:rPr>
          <w:rFonts w:ascii="Palatino Linotype" w:eastAsiaTheme="minorEastAsia" w:hAnsi="Palatino Linotype" w:cstheme="minorBidi"/>
          <w:i/>
          <w:noProof/>
          <w:color w:val="000000" w:themeColor="text1"/>
          <w:lang w:val="es-MX" w:eastAsia="es-MX"/>
        </w:rPr>
        <w:t>Nombre del solicitante: C. Solicitante</w:t>
      </w:r>
    </w:p>
    <w:p w14:paraId="61EE7C1B" w14:textId="51CABD81" w:rsidR="009B54B1" w:rsidRPr="00C23C61" w:rsidRDefault="009B54B1" w:rsidP="009B54B1">
      <w:pPr>
        <w:spacing w:line="360" w:lineRule="auto"/>
        <w:ind w:left="567" w:right="567"/>
        <w:jc w:val="right"/>
        <w:rPr>
          <w:rFonts w:ascii="Palatino Linotype" w:eastAsiaTheme="minorEastAsia" w:hAnsi="Palatino Linotype" w:cstheme="minorBidi"/>
          <w:i/>
          <w:noProof/>
          <w:color w:val="000000" w:themeColor="text1"/>
          <w:lang w:val="es-MX" w:eastAsia="es-MX"/>
        </w:rPr>
      </w:pPr>
      <w:r w:rsidRPr="00C23C61">
        <w:rPr>
          <w:rFonts w:ascii="Palatino Linotype" w:eastAsiaTheme="minorEastAsia" w:hAnsi="Palatino Linotype" w:cstheme="minorBidi"/>
          <w:i/>
          <w:noProof/>
          <w:color w:val="000000" w:themeColor="text1"/>
          <w:lang w:val="es-MX" w:eastAsia="es-MX"/>
        </w:rPr>
        <w:t>Folio de la solicitud: 00417/TENANCIN/IP/2022</w:t>
      </w:r>
    </w:p>
    <w:p w14:paraId="69D4D082" w14:textId="77777777" w:rsidR="009B54B1" w:rsidRPr="00C23C61" w:rsidRDefault="009B54B1" w:rsidP="009B54B1">
      <w:pPr>
        <w:spacing w:line="360" w:lineRule="auto"/>
        <w:ind w:left="567" w:right="567"/>
        <w:jc w:val="right"/>
        <w:rPr>
          <w:rFonts w:ascii="Palatino Linotype" w:eastAsiaTheme="minorEastAsia" w:hAnsi="Palatino Linotype" w:cstheme="minorBidi"/>
          <w:i/>
          <w:noProof/>
          <w:color w:val="000000" w:themeColor="text1"/>
          <w:lang w:val="es-MX" w:eastAsia="es-MX"/>
        </w:rPr>
      </w:pPr>
    </w:p>
    <w:p w14:paraId="151BFCE4" w14:textId="17FD1539" w:rsidR="009B54B1" w:rsidRPr="00C23C61" w:rsidRDefault="009B54B1" w:rsidP="009B54B1">
      <w:pPr>
        <w:spacing w:line="360" w:lineRule="auto"/>
        <w:ind w:left="567" w:right="567"/>
        <w:jc w:val="both"/>
        <w:rPr>
          <w:rFonts w:ascii="Palatino Linotype" w:eastAsiaTheme="minorEastAsia" w:hAnsi="Palatino Linotype" w:cstheme="minorBidi"/>
          <w:i/>
          <w:noProof/>
          <w:color w:val="000000" w:themeColor="text1"/>
          <w:lang w:val="es-MX" w:eastAsia="es-MX"/>
        </w:rPr>
      </w:pPr>
      <w:r w:rsidRPr="00C23C61">
        <w:rPr>
          <w:rFonts w:ascii="Palatino Linotype" w:eastAsiaTheme="minorEastAsia" w:hAnsi="Palatino Linotype" w:cstheme="minorBidi"/>
          <w:i/>
          <w:noProof/>
          <w:color w:val="000000" w:themeColor="text1"/>
          <w:lang w:val="es-MX"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6323E5D9" w14:textId="77777777" w:rsidR="009B54B1" w:rsidRPr="00C23C61" w:rsidRDefault="009B54B1" w:rsidP="009B54B1">
      <w:pPr>
        <w:spacing w:line="360" w:lineRule="auto"/>
        <w:ind w:left="567" w:right="567"/>
        <w:jc w:val="both"/>
        <w:rPr>
          <w:rFonts w:ascii="Palatino Linotype" w:eastAsiaTheme="minorEastAsia" w:hAnsi="Palatino Linotype" w:cstheme="minorBidi"/>
          <w:i/>
          <w:noProof/>
          <w:color w:val="000000" w:themeColor="text1"/>
          <w:lang w:val="es-MX" w:eastAsia="es-MX"/>
        </w:rPr>
      </w:pPr>
    </w:p>
    <w:p w14:paraId="6DC16B93" w14:textId="77777777" w:rsidR="009B54B1" w:rsidRPr="00C23C61" w:rsidRDefault="009B54B1" w:rsidP="009B54B1">
      <w:pPr>
        <w:spacing w:line="360" w:lineRule="auto"/>
        <w:ind w:left="567" w:right="567"/>
        <w:rPr>
          <w:rFonts w:ascii="Palatino Linotype" w:eastAsiaTheme="minorEastAsia" w:hAnsi="Palatino Linotype" w:cstheme="minorBidi"/>
          <w:i/>
          <w:noProof/>
          <w:color w:val="000000" w:themeColor="text1"/>
          <w:lang w:val="es-MX" w:eastAsia="es-MX"/>
        </w:rPr>
      </w:pPr>
      <w:r w:rsidRPr="00C23C61">
        <w:rPr>
          <w:rFonts w:ascii="Palatino Linotype" w:eastAsiaTheme="minorEastAsia" w:hAnsi="Palatino Linotype" w:cstheme="minorBidi"/>
          <w:i/>
          <w:noProof/>
          <w:color w:val="000000" w:themeColor="text1"/>
          <w:lang w:val="es-MX" w:eastAsia="es-MX"/>
        </w:rPr>
        <w:t>SE REMITE RESPUESTA A LA SOLICITUD</w:t>
      </w:r>
    </w:p>
    <w:p w14:paraId="3048E1CF" w14:textId="77777777" w:rsidR="009B54B1" w:rsidRPr="00C23C61" w:rsidRDefault="009B54B1" w:rsidP="009B54B1">
      <w:pPr>
        <w:spacing w:line="360" w:lineRule="auto"/>
        <w:ind w:left="567" w:right="567"/>
        <w:rPr>
          <w:rFonts w:ascii="Palatino Linotype" w:eastAsiaTheme="minorEastAsia" w:hAnsi="Palatino Linotype" w:cstheme="minorBidi"/>
          <w:i/>
          <w:noProof/>
          <w:color w:val="000000" w:themeColor="text1"/>
          <w:lang w:val="es-MX" w:eastAsia="es-MX"/>
        </w:rPr>
      </w:pPr>
      <w:r w:rsidRPr="00C23C61">
        <w:rPr>
          <w:rFonts w:ascii="Palatino Linotype" w:eastAsiaTheme="minorEastAsia" w:hAnsi="Palatino Linotype" w:cstheme="minorBidi"/>
          <w:i/>
          <w:noProof/>
          <w:color w:val="000000" w:themeColor="text1"/>
          <w:lang w:val="es-MX" w:eastAsia="es-MX"/>
        </w:rPr>
        <w:t>ATENTAMENTE</w:t>
      </w:r>
    </w:p>
    <w:p w14:paraId="1093F52C" w14:textId="6CCD94F8" w:rsidR="00E176F9" w:rsidRPr="00C23C61" w:rsidRDefault="009B54B1" w:rsidP="009B54B1">
      <w:pPr>
        <w:spacing w:line="360" w:lineRule="auto"/>
        <w:ind w:left="567" w:right="567"/>
        <w:rPr>
          <w:rFonts w:ascii="Palatino Linotype" w:eastAsiaTheme="minorEastAsia" w:hAnsi="Palatino Linotype" w:cstheme="minorBidi"/>
          <w:i/>
          <w:noProof/>
          <w:color w:val="000000" w:themeColor="text1"/>
          <w:lang w:val="es-MX" w:eastAsia="es-MX"/>
        </w:rPr>
      </w:pPr>
      <w:r w:rsidRPr="00C23C61">
        <w:rPr>
          <w:rFonts w:ascii="Palatino Linotype" w:eastAsiaTheme="minorEastAsia" w:hAnsi="Palatino Linotype" w:cstheme="minorBidi"/>
          <w:i/>
          <w:noProof/>
          <w:color w:val="000000" w:themeColor="text1"/>
          <w:lang w:val="es-MX" w:eastAsia="es-MX"/>
        </w:rPr>
        <w:t>L. en D. OSCAR MANUEL MARTINEZ RODRIGUEZ</w:t>
      </w:r>
      <w:r w:rsidR="00E176F9" w:rsidRPr="00C23C61">
        <w:rPr>
          <w:rFonts w:ascii="Palatino Linotype" w:eastAsiaTheme="minorEastAsia" w:hAnsi="Palatino Linotype" w:cstheme="minorBidi"/>
          <w:i/>
          <w:noProof/>
          <w:color w:val="000000" w:themeColor="text1"/>
          <w:lang w:val="es-MX" w:eastAsia="es-MX"/>
        </w:rPr>
        <w:t>.” (Sic)</w:t>
      </w:r>
    </w:p>
    <w:p w14:paraId="17316424" w14:textId="77777777" w:rsidR="00E176F9" w:rsidRPr="00C23C61" w:rsidRDefault="00E176F9" w:rsidP="00CA6269">
      <w:pPr>
        <w:spacing w:line="360" w:lineRule="auto"/>
        <w:ind w:left="567" w:right="567"/>
        <w:rPr>
          <w:rFonts w:ascii="Palatino Linotype" w:eastAsiaTheme="minorEastAsia" w:hAnsi="Palatino Linotype" w:cstheme="minorBidi"/>
          <w:i/>
          <w:noProof/>
          <w:color w:val="000000" w:themeColor="text1"/>
          <w:lang w:val="es-MX" w:eastAsia="es-MX"/>
        </w:rPr>
      </w:pPr>
    </w:p>
    <w:p w14:paraId="5CDB73AC" w14:textId="524B8C47" w:rsidR="00E176F9" w:rsidRPr="00C23C61" w:rsidRDefault="00E176F9" w:rsidP="00CA6269">
      <w:pPr>
        <w:pStyle w:val="Prrafodelista"/>
        <w:numPr>
          <w:ilvl w:val="0"/>
          <w:numId w:val="17"/>
        </w:numPr>
        <w:tabs>
          <w:tab w:val="left" w:pos="0"/>
        </w:tabs>
        <w:spacing w:line="360" w:lineRule="auto"/>
        <w:ind w:left="0" w:firstLine="0"/>
        <w:contextualSpacing/>
        <w:jc w:val="both"/>
        <w:rPr>
          <w:rFonts w:ascii="Palatino Linotype" w:eastAsiaTheme="minorEastAsia" w:hAnsi="Palatino Linotype" w:cstheme="minorBidi"/>
          <w:color w:val="000000" w:themeColor="text1"/>
          <w:lang w:val="es-ES_tradnl"/>
        </w:rPr>
      </w:pPr>
      <w:r w:rsidRPr="00C23C61">
        <w:rPr>
          <w:rFonts w:ascii="Palatino Linotype" w:eastAsiaTheme="minorEastAsia" w:hAnsi="Palatino Linotype" w:cstheme="minorBidi"/>
          <w:color w:val="000000" w:themeColor="text1"/>
          <w:lang w:val="es-ES_tradnl"/>
        </w:rPr>
        <w:t xml:space="preserve">Asimismo, el </w:t>
      </w:r>
      <w:r w:rsidRPr="00C23C61">
        <w:rPr>
          <w:rFonts w:ascii="Palatino Linotype" w:eastAsiaTheme="minorEastAsia" w:hAnsi="Palatino Linotype" w:cstheme="minorBidi"/>
          <w:b/>
          <w:bCs/>
          <w:color w:val="000000" w:themeColor="text1"/>
          <w:lang w:val="es-ES_tradnl"/>
        </w:rPr>
        <w:t>SUJETO OBLIGADO</w:t>
      </w:r>
      <w:r w:rsidRPr="00C23C61">
        <w:rPr>
          <w:rFonts w:ascii="Palatino Linotype" w:eastAsiaTheme="minorEastAsia" w:hAnsi="Palatino Linotype" w:cstheme="minorBidi"/>
          <w:color w:val="000000" w:themeColor="text1"/>
          <w:lang w:val="es-ES_tradnl"/>
        </w:rPr>
        <w:t xml:space="preserve"> adjuntó a su respuesta el arch</w:t>
      </w:r>
      <w:r w:rsidR="00860698" w:rsidRPr="00C23C61">
        <w:rPr>
          <w:rFonts w:ascii="Palatino Linotype" w:eastAsiaTheme="minorEastAsia" w:hAnsi="Palatino Linotype" w:cstheme="minorBidi"/>
          <w:color w:val="000000" w:themeColor="text1"/>
          <w:lang w:val="es-ES_tradnl"/>
        </w:rPr>
        <w:t>ivo electrónico que se describe</w:t>
      </w:r>
      <w:r w:rsidRPr="00C23C61">
        <w:rPr>
          <w:rFonts w:ascii="Palatino Linotype" w:eastAsiaTheme="minorEastAsia" w:hAnsi="Palatino Linotype" w:cstheme="minorBidi"/>
          <w:color w:val="000000" w:themeColor="text1"/>
          <w:lang w:val="es-ES_tradnl"/>
        </w:rPr>
        <w:t xml:space="preserve"> a continuación:</w:t>
      </w:r>
    </w:p>
    <w:p w14:paraId="003EC1F5" w14:textId="77777777" w:rsidR="009B54B1" w:rsidRPr="00C23C61" w:rsidRDefault="009B54B1" w:rsidP="009B54B1">
      <w:pPr>
        <w:pStyle w:val="Prrafodelista"/>
        <w:tabs>
          <w:tab w:val="left" w:pos="0"/>
        </w:tabs>
        <w:spacing w:line="360" w:lineRule="auto"/>
        <w:ind w:left="0"/>
        <w:contextualSpacing/>
        <w:jc w:val="both"/>
        <w:rPr>
          <w:rFonts w:ascii="Palatino Linotype" w:eastAsiaTheme="minorEastAsia" w:hAnsi="Palatino Linotype" w:cstheme="minorBidi"/>
          <w:color w:val="000000" w:themeColor="text1"/>
          <w:lang w:val="es-ES_tradnl"/>
        </w:rPr>
      </w:pPr>
    </w:p>
    <w:p w14:paraId="7D2FE665" w14:textId="30D7DD2D" w:rsidR="00860698" w:rsidRPr="00C23C61" w:rsidRDefault="00F03A51" w:rsidP="00BF3B3C">
      <w:pPr>
        <w:pStyle w:val="Prrafodelista"/>
        <w:numPr>
          <w:ilvl w:val="0"/>
          <w:numId w:val="31"/>
        </w:numPr>
        <w:tabs>
          <w:tab w:val="left" w:pos="284"/>
          <w:tab w:val="left" w:pos="426"/>
          <w:tab w:val="left" w:pos="993"/>
          <w:tab w:val="left" w:pos="1134"/>
        </w:tabs>
        <w:spacing w:line="360" w:lineRule="auto"/>
        <w:ind w:left="567" w:right="616" w:firstLine="0"/>
        <w:contextualSpacing/>
        <w:jc w:val="both"/>
        <w:rPr>
          <w:rFonts w:ascii="Palatino Linotype" w:eastAsiaTheme="minorEastAsia" w:hAnsi="Palatino Linotype" w:cstheme="minorBidi"/>
          <w:color w:val="000000" w:themeColor="text1"/>
          <w:lang w:val="es-ES_tradnl"/>
        </w:rPr>
      </w:pPr>
      <w:hyperlink r:id="rId8" w:tgtFrame="_blank" w:history="1">
        <w:r w:rsidR="009B54B1" w:rsidRPr="00C23C61">
          <w:rPr>
            <w:rStyle w:val="Hipervnculo"/>
            <w:b/>
            <w:bCs/>
            <w:color w:val="000000" w:themeColor="text1"/>
            <w:u w:val="none"/>
          </w:rPr>
          <w:t>417-RESP-OBRAS.pdf</w:t>
        </w:r>
      </w:hyperlink>
      <w:hyperlink r:id="rId9" w:tgtFrame="_blank" w:history="1"/>
      <w:r w:rsidR="00BF3B3C" w:rsidRPr="00C23C61">
        <w:rPr>
          <w:rFonts w:ascii="Palatino Linotype" w:eastAsiaTheme="minorEastAsia" w:hAnsi="Palatino Linotype" w:cstheme="minorBidi"/>
          <w:b/>
          <w:color w:val="000000" w:themeColor="text1"/>
          <w:lang w:val="es-ES_tradnl"/>
        </w:rPr>
        <w:t>:</w:t>
      </w:r>
      <w:r w:rsidR="00BF3B3C" w:rsidRPr="00C23C61">
        <w:rPr>
          <w:rFonts w:ascii="Palatino Linotype" w:eastAsiaTheme="minorEastAsia" w:hAnsi="Palatino Linotype" w:cstheme="minorBidi"/>
          <w:color w:val="000000" w:themeColor="text1"/>
          <w:lang w:val="es-ES_tradnl"/>
        </w:rPr>
        <w:t xml:space="preserve"> Documento </w:t>
      </w:r>
      <w:r w:rsidR="00860698" w:rsidRPr="00C23C61">
        <w:rPr>
          <w:rFonts w:ascii="Palatino Linotype" w:eastAsiaTheme="minorEastAsia" w:hAnsi="Palatino Linotype" w:cstheme="minorBidi"/>
          <w:color w:val="000000" w:themeColor="text1"/>
          <w:lang w:val="es-ES_tradnl"/>
        </w:rPr>
        <w:t>electrónico que en dos (02</w:t>
      </w:r>
      <w:r w:rsidR="00BF3B3C" w:rsidRPr="00C23C61">
        <w:rPr>
          <w:rFonts w:ascii="Palatino Linotype" w:eastAsiaTheme="minorEastAsia" w:hAnsi="Palatino Linotype" w:cstheme="minorBidi"/>
          <w:color w:val="000000" w:themeColor="text1"/>
          <w:lang w:val="es-ES_tradnl"/>
        </w:rPr>
        <w:t xml:space="preserve">) hojas contiene </w:t>
      </w:r>
      <w:r w:rsidR="00860698" w:rsidRPr="00C23C61">
        <w:rPr>
          <w:rFonts w:ascii="Palatino Linotype" w:eastAsiaTheme="minorEastAsia" w:hAnsi="Palatino Linotype" w:cstheme="minorBidi"/>
          <w:color w:val="000000" w:themeColor="text1"/>
          <w:lang w:val="es-ES_tradnl"/>
        </w:rPr>
        <w:t xml:space="preserve">el oficio PMT058/D.O.P./180/2022 dirigido al Coordinador de </w:t>
      </w:r>
      <w:r w:rsidR="00860698" w:rsidRPr="00C23C61">
        <w:rPr>
          <w:rFonts w:ascii="Palatino Linotype" w:eastAsiaTheme="minorEastAsia" w:hAnsi="Palatino Linotype" w:cstheme="minorBidi"/>
          <w:color w:val="000000" w:themeColor="text1"/>
          <w:lang w:val="es-ES_tradnl"/>
        </w:rPr>
        <w:lastRenderedPageBreak/>
        <w:t xml:space="preserve">Transparencia y Acceso a la Información y suscrito por el Director de Obras Públicas, mediante el cual se refiere que </w:t>
      </w:r>
      <w:r w:rsidR="00860698" w:rsidRPr="00C23C61">
        <w:rPr>
          <w:rFonts w:ascii="Palatino Linotype" w:eastAsiaTheme="minorEastAsia" w:hAnsi="Palatino Linotype" w:cstheme="minorBidi"/>
          <w:i/>
          <w:color w:val="000000" w:themeColor="text1"/>
          <w:lang w:val="es-ES_tradnl"/>
        </w:rPr>
        <w:t xml:space="preserve">“al respecto le comento que está dirección está llevando los procesos de contratación con forme a lo establecido en la Ley de Contratación Pública del Estado de México, y la integración de expediente único como lo marca la Secretaría de Infraestructura en Gaceta de Gobierno emitida en fecha 02 de diciembre de 2016” </w:t>
      </w:r>
    </w:p>
    <w:p w14:paraId="1D2FBD05" w14:textId="0C672349" w:rsidR="007F7B11" w:rsidRPr="00C23C61" w:rsidRDefault="007F7B11" w:rsidP="00CA6269">
      <w:pPr>
        <w:tabs>
          <w:tab w:val="left" w:pos="284"/>
          <w:tab w:val="left" w:pos="426"/>
          <w:tab w:val="left" w:pos="993"/>
          <w:tab w:val="left" w:pos="1134"/>
        </w:tabs>
        <w:spacing w:line="360" w:lineRule="auto"/>
        <w:ind w:right="616"/>
        <w:contextualSpacing/>
        <w:jc w:val="both"/>
        <w:rPr>
          <w:rFonts w:ascii="Palatino Linotype" w:eastAsiaTheme="minorEastAsia" w:hAnsi="Palatino Linotype" w:cstheme="minorBidi"/>
          <w:color w:val="000000" w:themeColor="text1"/>
          <w:lang w:val="es-ES_tradnl"/>
        </w:rPr>
      </w:pPr>
    </w:p>
    <w:p w14:paraId="2D1E09E7" w14:textId="4775478F" w:rsidR="0060001F" w:rsidRPr="00C23C61" w:rsidRDefault="007F7B11" w:rsidP="002B00F6">
      <w:pPr>
        <w:numPr>
          <w:ilvl w:val="0"/>
          <w:numId w:val="17"/>
        </w:numPr>
        <w:tabs>
          <w:tab w:val="left" w:pos="284"/>
        </w:tabs>
        <w:spacing w:line="360" w:lineRule="auto"/>
        <w:ind w:left="0" w:firstLine="0"/>
        <w:contextualSpacing/>
        <w:jc w:val="both"/>
        <w:rPr>
          <w:rFonts w:ascii="Palatino Linotype" w:eastAsiaTheme="minorEastAsia" w:hAnsi="Palatino Linotype" w:cstheme="minorBidi"/>
          <w:b/>
          <w:i/>
          <w:lang w:val="es-ES_tradnl"/>
        </w:rPr>
      </w:pPr>
      <w:r w:rsidRPr="00C23C61">
        <w:rPr>
          <w:rFonts w:ascii="Palatino Linotype" w:hAnsi="Palatino Linotype" w:cs="Arial"/>
          <w:lang w:val="es-ES_tradnl"/>
        </w:rPr>
        <w:t>Derivado de la</w:t>
      </w:r>
      <w:r w:rsidR="00860698" w:rsidRPr="00C23C61">
        <w:rPr>
          <w:rFonts w:ascii="Palatino Linotype" w:hAnsi="Palatino Linotype" w:cs="Arial"/>
          <w:lang w:val="es-ES_tradnl"/>
        </w:rPr>
        <w:t xml:space="preserve"> </w:t>
      </w:r>
      <w:r w:rsidRPr="00C23C61">
        <w:rPr>
          <w:rFonts w:ascii="Palatino Linotype" w:hAnsi="Palatino Linotype" w:cs="Arial"/>
          <w:lang w:val="es-ES_tradnl"/>
        </w:rPr>
        <w:t>respuesta, el</w:t>
      </w:r>
      <w:r w:rsidR="00860698" w:rsidRPr="00C23C61">
        <w:rPr>
          <w:rFonts w:ascii="Palatino Linotype" w:hAnsi="Palatino Linotype" w:cs="Arial"/>
        </w:rPr>
        <w:t xml:space="preserve"> treinta (30</w:t>
      </w:r>
      <w:r w:rsidRPr="00C23C61">
        <w:rPr>
          <w:rFonts w:ascii="Palatino Linotype" w:hAnsi="Palatino Linotype" w:cs="Arial"/>
        </w:rPr>
        <w:t>) de</w:t>
      </w:r>
      <w:r w:rsidR="00860698" w:rsidRPr="00C23C61">
        <w:rPr>
          <w:rFonts w:ascii="Palatino Linotype" w:hAnsi="Palatino Linotype" w:cs="Arial"/>
        </w:rPr>
        <w:t xml:space="preserve"> mayo</w:t>
      </w:r>
      <w:r w:rsidR="00B537D4" w:rsidRPr="00C23C61">
        <w:rPr>
          <w:rFonts w:ascii="Palatino Linotype" w:hAnsi="Palatino Linotype" w:cs="Arial"/>
        </w:rPr>
        <w:t xml:space="preserve"> </w:t>
      </w:r>
      <w:r w:rsidR="0060001F" w:rsidRPr="00C23C61">
        <w:rPr>
          <w:rFonts w:ascii="Palatino Linotype" w:hAnsi="Palatino Linotype" w:cs="Arial"/>
        </w:rPr>
        <w:t xml:space="preserve">de dos </w:t>
      </w:r>
      <w:r w:rsidRPr="00C23C61">
        <w:rPr>
          <w:rFonts w:ascii="Palatino Linotype" w:hAnsi="Palatino Linotype" w:cs="Arial"/>
        </w:rPr>
        <w:t>mil</w:t>
      </w:r>
      <w:r w:rsidR="00B856D0" w:rsidRPr="00C23C61">
        <w:rPr>
          <w:rFonts w:ascii="Palatino Linotype" w:hAnsi="Palatino Linotype" w:cs="Arial"/>
        </w:rPr>
        <w:t xml:space="preserve"> veintidós</w:t>
      </w:r>
      <w:r w:rsidRPr="00C23C61">
        <w:rPr>
          <w:rFonts w:ascii="Palatino Linotype" w:hAnsi="Palatino Linotype" w:cs="Arial"/>
        </w:rPr>
        <w:t>, el particular interpuso el recurso de revisión con número indicado al rubro y señalando como:</w:t>
      </w:r>
    </w:p>
    <w:p w14:paraId="6EFC0DC2" w14:textId="77777777" w:rsidR="00860698" w:rsidRPr="00C23C61" w:rsidRDefault="00860698" w:rsidP="00860698">
      <w:pPr>
        <w:tabs>
          <w:tab w:val="left" w:pos="284"/>
        </w:tabs>
        <w:spacing w:line="360" w:lineRule="auto"/>
        <w:contextualSpacing/>
        <w:jc w:val="both"/>
        <w:rPr>
          <w:rFonts w:ascii="Palatino Linotype" w:eastAsiaTheme="minorEastAsia" w:hAnsi="Palatino Linotype" w:cstheme="minorBidi"/>
          <w:b/>
          <w:i/>
          <w:lang w:val="es-ES_tradnl"/>
        </w:rPr>
      </w:pPr>
    </w:p>
    <w:p w14:paraId="46AD8467" w14:textId="02232496" w:rsidR="007F7B11" w:rsidRPr="00C23C61" w:rsidRDefault="007F7B11" w:rsidP="00860698">
      <w:pPr>
        <w:pStyle w:val="Prrafodelista"/>
        <w:numPr>
          <w:ilvl w:val="0"/>
          <w:numId w:val="24"/>
        </w:numPr>
        <w:tabs>
          <w:tab w:val="left" w:pos="284"/>
        </w:tabs>
        <w:spacing w:line="360" w:lineRule="auto"/>
        <w:ind w:right="738"/>
        <w:contextualSpacing/>
        <w:jc w:val="both"/>
        <w:rPr>
          <w:rFonts w:ascii="Palatino Linotype" w:eastAsiaTheme="minorEastAsia" w:hAnsi="Palatino Linotype" w:cstheme="minorBidi"/>
          <w:i/>
          <w:lang w:val="es-ES_tradnl"/>
        </w:rPr>
      </w:pPr>
      <w:r w:rsidRPr="00C23C61">
        <w:rPr>
          <w:rFonts w:ascii="Palatino Linotype" w:hAnsi="Palatino Linotype" w:cs="Arial"/>
          <w:b/>
        </w:rPr>
        <w:t>Acto impugnado:</w:t>
      </w:r>
      <w:r w:rsidRPr="00C23C61">
        <w:rPr>
          <w:rFonts w:ascii="Palatino Linotype" w:hAnsi="Palatino Linotype" w:cs="Arial"/>
        </w:rPr>
        <w:t xml:space="preserve"> </w:t>
      </w:r>
      <w:r w:rsidRPr="00C23C61">
        <w:rPr>
          <w:rFonts w:ascii="Palatino Linotype" w:hAnsi="Palatino Linotype" w:cs="Arial"/>
          <w:i/>
        </w:rPr>
        <w:t>“</w:t>
      </w:r>
      <w:r w:rsidR="00860698" w:rsidRPr="00C23C61">
        <w:rPr>
          <w:rFonts w:ascii="Palatino Linotype" w:hAnsi="Palatino Linotype" w:cs="Arial"/>
          <w:i/>
        </w:rPr>
        <w:t>Resolución dictada por el sujeto obligado misma que me fuera notificada en fecha nueve de mayo de 2022 a través de la plataforma SAIMEX, en relación a la solicitud de información con el numero de folio 00417/TENANCIN/IP/2022.</w:t>
      </w:r>
      <w:r w:rsidRPr="00C23C61">
        <w:rPr>
          <w:rFonts w:ascii="Palatino Linotype" w:hAnsi="Palatino Linotype" w:cs="Arial"/>
          <w:i/>
        </w:rPr>
        <w:t>” (Sic).</w:t>
      </w:r>
    </w:p>
    <w:p w14:paraId="09BD370B" w14:textId="77777777" w:rsidR="007F7B11" w:rsidRPr="00C23C61" w:rsidRDefault="007F7B11" w:rsidP="00CA6269">
      <w:pPr>
        <w:tabs>
          <w:tab w:val="left" w:pos="426"/>
          <w:tab w:val="left" w:pos="993"/>
        </w:tabs>
        <w:spacing w:line="360" w:lineRule="auto"/>
        <w:ind w:left="567" w:right="738"/>
        <w:contextualSpacing/>
        <w:jc w:val="both"/>
        <w:rPr>
          <w:rFonts w:ascii="Palatino Linotype" w:hAnsi="Palatino Linotype" w:cs="Arial"/>
        </w:rPr>
      </w:pPr>
    </w:p>
    <w:p w14:paraId="3AF54962" w14:textId="7E7763F8" w:rsidR="007F7B11" w:rsidRPr="00C23C61" w:rsidRDefault="007F7B11" w:rsidP="00860698">
      <w:pPr>
        <w:pStyle w:val="Prrafodelista"/>
        <w:numPr>
          <w:ilvl w:val="0"/>
          <w:numId w:val="24"/>
        </w:numPr>
        <w:tabs>
          <w:tab w:val="left" w:pos="426"/>
          <w:tab w:val="left" w:pos="993"/>
        </w:tabs>
        <w:spacing w:line="360" w:lineRule="auto"/>
        <w:ind w:right="738"/>
        <w:contextualSpacing/>
        <w:jc w:val="both"/>
        <w:rPr>
          <w:rFonts w:ascii="Palatino Linotype" w:hAnsi="Palatino Linotype" w:cs="Arial"/>
        </w:rPr>
      </w:pPr>
      <w:r w:rsidRPr="00C23C61">
        <w:rPr>
          <w:rFonts w:ascii="Palatino Linotype" w:hAnsi="Palatino Linotype" w:cs="Arial"/>
          <w:b/>
        </w:rPr>
        <w:t>Razones o motivos de inconformidad:</w:t>
      </w:r>
      <w:r w:rsidRPr="00C23C61">
        <w:rPr>
          <w:rFonts w:ascii="Palatino Linotype" w:hAnsi="Palatino Linotype" w:cs="Arial"/>
        </w:rPr>
        <w:t xml:space="preserve"> </w:t>
      </w:r>
      <w:r w:rsidRPr="00C23C61">
        <w:rPr>
          <w:rFonts w:ascii="Palatino Linotype" w:hAnsi="Palatino Linotype" w:cs="Arial"/>
          <w:i/>
        </w:rPr>
        <w:t>“</w:t>
      </w:r>
      <w:r w:rsidR="00860698" w:rsidRPr="00C23C61">
        <w:rPr>
          <w:rFonts w:ascii="Palatino Linotype" w:hAnsi="Palatino Linotype" w:cs="Arial"/>
          <w:i/>
        </w:rPr>
        <w:t xml:space="preserve">A pesar de que el sujeto obligado emite una respuesta a la solicitud de información pública, también es cierto que únicamente se limita a señalar “… al respecto le comento que esta dirección está llevando los procesos de contratación con forme(sic) a lo establecido en la Ley de Contratación Publica del Estado de México, y la integración del expediente único como lo marca la Secretaria de Infraestructura en Gaceta de Gobierno emitida en fecha 02 de diciembre de 2016.” Por lo que con todo respeto no se le está preguntando si está realizando su trabajo conforme a la ley, sino que se le está solicitando información pública </w:t>
      </w:r>
      <w:r w:rsidR="00860698" w:rsidRPr="00C23C61">
        <w:rPr>
          <w:rFonts w:ascii="Palatino Linotype" w:hAnsi="Palatino Linotype" w:cs="Arial"/>
          <w:i/>
        </w:rPr>
        <w:lastRenderedPageBreak/>
        <w:t>que incluso es obligación del sujeto obligado poner a disposición de manera permanente en los respectivos medios electrónicos según lo establece el artículo 92 fracción XXIX de la Ley de Transparencia y acceso a la información pública del Estado de México y municipios. POR LO QUE AL CONTESTAR CON EVASIVAS, JURÍDICAMENTE ESTÁ NEGANDO LA INFORMACIÓN PÚBLICA SOLICITADA. Por lo que la determinación del sujeto obligado solo es una práctica o táctica dilatoria para evitar que el suscrito acceda a la información pública solicitada. Bajo este contexto se debe declarar procedente el recurso de revisión interpuesto y ordenar al sujeto obligado haga entrega de la información pública en los términos solicitados.</w:t>
      </w:r>
      <w:r w:rsidR="00B537D4" w:rsidRPr="00C23C61">
        <w:rPr>
          <w:rFonts w:ascii="Palatino Linotype" w:hAnsi="Palatino Linotype" w:cs="Arial"/>
          <w:i/>
        </w:rPr>
        <w:t>.</w:t>
      </w:r>
      <w:r w:rsidRPr="00C23C61">
        <w:rPr>
          <w:rFonts w:ascii="Palatino Linotype" w:hAnsi="Palatino Linotype" w:cs="Arial"/>
          <w:i/>
        </w:rPr>
        <w:t>” (Sic).</w:t>
      </w:r>
    </w:p>
    <w:p w14:paraId="6F0D0AC4" w14:textId="77777777" w:rsidR="007F7B11" w:rsidRPr="00C23C61" w:rsidRDefault="007F7B11" w:rsidP="00CA6269">
      <w:pPr>
        <w:spacing w:line="360" w:lineRule="auto"/>
        <w:ind w:left="360" w:right="34"/>
        <w:jc w:val="both"/>
        <w:rPr>
          <w:rFonts w:ascii="Palatino Linotype" w:eastAsiaTheme="majorEastAsia" w:hAnsi="Palatino Linotype" w:cstheme="majorBidi"/>
          <w:b/>
          <w:lang w:eastAsia="en-US"/>
        </w:rPr>
      </w:pPr>
    </w:p>
    <w:p w14:paraId="6262FD0F" w14:textId="77777777" w:rsidR="007F7B11" w:rsidRPr="00C23C61" w:rsidRDefault="007F7B11" w:rsidP="00CA6269">
      <w:pPr>
        <w:numPr>
          <w:ilvl w:val="0"/>
          <w:numId w:val="17"/>
        </w:numPr>
        <w:tabs>
          <w:tab w:val="left" w:pos="284"/>
        </w:tabs>
        <w:spacing w:before="240" w:after="240" w:line="360" w:lineRule="auto"/>
        <w:ind w:left="0" w:firstLine="0"/>
        <w:contextualSpacing/>
        <w:jc w:val="both"/>
        <w:rPr>
          <w:rFonts w:ascii="Palatino Linotype" w:eastAsia="Calibri" w:hAnsi="Palatino Linotype" w:cs="Arial"/>
          <w:color w:val="000000" w:themeColor="text1"/>
        </w:rPr>
      </w:pPr>
      <w:r w:rsidRPr="00C23C61">
        <w:rPr>
          <w:rFonts w:ascii="Palatino Linotype" w:eastAsia="Calibri" w:hAnsi="Palatino Linotype" w:cs="Arial"/>
        </w:rPr>
        <w:t xml:space="preserve">Se registró el recurso de revisión bajo el número de expediente al rubro indicado, asimismo, con fundamento en lo dispuesto por el artículo 185 fracción I de la </w:t>
      </w:r>
      <w:r w:rsidRPr="00C23C61">
        <w:rPr>
          <w:rFonts w:ascii="Palatino Linotype" w:eastAsia="Calibri" w:hAnsi="Palatino Linotype" w:cs="Arial"/>
          <w:b/>
        </w:rPr>
        <w:t>Ley de Transparencia y Acceso a la Información Pública del Estado de México y Municipios</w:t>
      </w:r>
      <w:r w:rsidRPr="00C23C61">
        <w:rPr>
          <w:rFonts w:ascii="Palatino Linotype" w:eastAsia="Calibri" w:hAnsi="Palatino Linotype" w:cs="Arial"/>
        </w:rPr>
        <w:t xml:space="preserve">, se turnó a la </w:t>
      </w:r>
      <w:r w:rsidRPr="00C23C61">
        <w:rPr>
          <w:rFonts w:ascii="Palatino Linotype" w:eastAsia="Calibri" w:hAnsi="Palatino Linotype" w:cs="Arial"/>
          <w:b/>
        </w:rPr>
        <w:t>Comisionada María del Rosario Mejía Ayala</w:t>
      </w:r>
      <w:r w:rsidRPr="00C23C61">
        <w:rPr>
          <w:rFonts w:ascii="Palatino Linotype" w:eastAsia="Calibri" w:hAnsi="Palatino Linotype" w:cs="Arial"/>
        </w:rPr>
        <w:t>, con el objeto de su análisis.</w:t>
      </w:r>
    </w:p>
    <w:p w14:paraId="0A930C08" w14:textId="77777777" w:rsidR="007F7B11" w:rsidRPr="00C23C61" w:rsidRDefault="007F7B11" w:rsidP="00CA6269">
      <w:pPr>
        <w:tabs>
          <w:tab w:val="left" w:pos="284"/>
        </w:tabs>
        <w:spacing w:before="240" w:after="240" w:line="360" w:lineRule="auto"/>
        <w:contextualSpacing/>
        <w:jc w:val="both"/>
        <w:rPr>
          <w:rFonts w:ascii="Palatino Linotype" w:eastAsia="Calibri" w:hAnsi="Palatino Linotype" w:cs="Arial"/>
          <w:color w:val="000000" w:themeColor="text1"/>
        </w:rPr>
      </w:pPr>
    </w:p>
    <w:p w14:paraId="464151BE" w14:textId="31DA65CD" w:rsidR="007F7B11" w:rsidRPr="00C23C61" w:rsidRDefault="007F7B11" w:rsidP="00CA6269">
      <w:pPr>
        <w:numPr>
          <w:ilvl w:val="0"/>
          <w:numId w:val="17"/>
        </w:numPr>
        <w:tabs>
          <w:tab w:val="left" w:pos="284"/>
        </w:tabs>
        <w:spacing w:before="240" w:after="240" w:line="360" w:lineRule="auto"/>
        <w:ind w:left="0" w:firstLine="0"/>
        <w:contextualSpacing/>
        <w:jc w:val="both"/>
        <w:rPr>
          <w:rFonts w:ascii="Palatino Linotype" w:eastAsia="Calibri" w:hAnsi="Palatino Linotype" w:cs="Arial"/>
          <w:color w:val="000000" w:themeColor="text1"/>
        </w:rPr>
      </w:pPr>
      <w:r w:rsidRPr="00C23C61">
        <w:rPr>
          <w:rFonts w:ascii="Palatino Linotype" w:eastAsia="Calibri" w:hAnsi="Palatino Linotype" w:cs="Arial"/>
        </w:rPr>
        <w:t>La Comisionada Ponente, con fundamento en lo dispuesto por el artículo 185 fracción II de la ley de la materia, a tr</w:t>
      </w:r>
      <w:r w:rsidR="00B537D4" w:rsidRPr="00C23C61">
        <w:rPr>
          <w:rFonts w:ascii="Palatino Linotype" w:eastAsia="Calibri" w:hAnsi="Palatino Linotype" w:cs="Arial"/>
        </w:rPr>
        <w:t>avés d</w:t>
      </w:r>
      <w:r w:rsidR="00B856D0" w:rsidRPr="00C23C61">
        <w:rPr>
          <w:rFonts w:ascii="Palatino Linotype" w:eastAsia="Calibri" w:hAnsi="Palatino Linotype" w:cs="Arial"/>
        </w:rPr>
        <w:t xml:space="preserve">el </w:t>
      </w:r>
      <w:r w:rsidR="00860698" w:rsidRPr="00C23C61">
        <w:rPr>
          <w:rFonts w:ascii="Palatino Linotype" w:eastAsia="Calibri" w:hAnsi="Palatino Linotype" w:cs="Arial"/>
        </w:rPr>
        <w:t>acuerdo de admisión de siete</w:t>
      </w:r>
      <w:r w:rsidR="0060001F" w:rsidRPr="00C23C61">
        <w:rPr>
          <w:rFonts w:ascii="Palatino Linotype" w:eastAsia="Calibri" w:hAnsi="Palatino Linotype" w:cs="Arial"/>
        </w:rPr>
        <w:t xml:space="preserve"> </w:t>
      </w:r>
      <w:r w:rsidR="00860698" w:rsidRPr="00C23C61">
        <w:rPr>
          <w:rFonts w:ascii="Palatino Linotype" w:eastAsia="Calibri" w:hAnsi="Palatino Linotype" w:cs="Arial"/>
        </w:rPr>
        <w:t>(07</w:t>
      </w:r>
      <w:r w:rsidR="00AD0232" w:rsidRPr="00C23C61">
        <w:rPr>
          <w:rFonts w:ascii="Palatino Linotype" w:eastAsia="Calibri" w:hAnsi="Palatino Linotype" w:cs="Arial"/>
        </w:rPr>
        <w:t>) de</w:t>
      </w:r>
      <w:r w:rsidR="00860698" w:rsidRPr="00C23C61">
        <w:rPr>
          <w:rFonts w:ascii="Palatino Linotype" w:eastAsia="Calibri" w:hAnsi="Palatino Linotype" w:cs="Arial"/>
        </w:rPr>
        <w:t xml:space="preserve"> junio</w:t>
      </w:r>
      <w:r w:rsidR="00B856D0" w:rsidRPr="00C23C61">
        <w:rPr>
          <w:rFonts w:ascii="Palatino Linotype" w:eastAsia="Calibri" w:hAnsi="Palatino Linotype" w:cs="Arial"/>
        </w:rPr>
        <w:t xml:space="preserve"> </w:t>
      </w:r>
      <w:r w:rsidR="00860698" w:rsidRPr="00C23C61">
        <w:rPr>
          <w:rFonts w:ascii="Palatino Linotype" w:eastAsia="Calibri" w:hAnsi="Palatino Linotype" w:cs="Arial"/>
        </w:rPr>
        <w:t>de dos mil veintidós</w:t>
      </w:r>
      <w:r w:rsidRPr="00C23C61">
        <w:rPr>
          <w:rFonts w:ascii="Palatino Linotype" w:eastAsia="Calibri" w:hAnsi="Palatino Linotype" w:cs="Arial"/>
        </w:rPr>
        <w:t xml:space="preserve">, puso a disposición de las partes el expediente electrónico </w:t>
      </w:r>
      <w:r w:rsidRPr="00C23C61">
        <w:rPr>
          <w:rFonts w:ascii="Palatino Linotype" w:eastAsia="Calibri" w:hAnsi="Palatino Linotype" w:cs="Arial"/>
          <w:lang w:val="es-ES_tradnl"/>
        </w:rPr>
        <w:t xml:space="preserve">vía </w:t>
      </w:r>
      <w:r w:rsidRPr="00C23C61">
        <w:rPr>
          <w:rFonts w:ascii="Palatino Linotype" w:eastAsia="Calibri" w:hAnsi="Palatino Linotype" w:cs="Arial"/>
        </w:rPr>
        <w:t xml:space="preserve">Sistema de Acceso a la Información Mexiquense </w:t>
      </w:r>
      <w:r w:rsidRPr="00C23C61">
        <w:rPr>
          <w:rFonts w:ascii="Palatino Linotype" w:eastAsia="Calibri" w:hAnsi="Palatino Linotype" w:cs="Arial"/>
          <w:b/>
        </w:rPr>
        <w:t xml:space="preserve">SAIMEX </w:t>
      </w:r>
      <w:r w:rsidRPr="00C23C61">
        <w:rPr>
          <w:rFonts w:ascii="Palatino Linotype" w:eastAsia="Calibri" w:hAnsi="Palatino Linotype" w:cs="Arial"/>
        </w:rPr>
        <w:t xml:space="preserve">a efecto de que en un plazo máximo de siete días manifestaran lo que a su derecho conviniera, ofrecieran pruebas y alegatos según correspondiera a los casos concretos, de esta forma para </w:t>
      </w:r>
      <w:r w:rsidRPr="00C23C61">
        <w:rPr>
          <w:rFonts w:ascii="Palatino Linotype" w:eastAsia="Calibri" w:hAnsi="Palatino Linotype" w:cs="Arial"/>
        </w:rPr>
        <w:lastRenderedPageBreak/>
        <w:t xml:space="preserve">que el </w:t>
      </w:r>
      <w:r w:rsidRPr="00C23C61">
        <w:rPr>
          <w:rFonts w:ascii="Palatino Linotype" w:eastAsia="Calibri" w:hAnsi="Palatino Linotype" w:cs="Arial"/>
          <w:b/>
        </w:rPr>
        <w:t>SUJETO OBLIGADO</w:t>
      </w:r>
      <w:r w:rsidRPr="00C23C61">
        <w:rPr>
          <w:rFonts w:ascii="Palatino Linotype" w:eastAsia="Calibri" w:hAnsi="Palatino Linotype" w:cs="Arial"/>
        </w:rPr>
        <w:t xml:space="preserve"> presentara el</w:t>
      </w:r>
      <w:r w:rsidR="00860698" w:rsidRPr="00C23C61">
        <w:rPr>
          <w:rFonts w:ascii="Palatino Linotype" w:eastAsia="Calibri" w:hAnsi="Palatino Linotype" w:cs="Arial"/>
        </w:rPr>
        <w:t xml:space="preserve"> Informe Justificado procedente, situación que no aconteció por las partes. </w:t>
      </w:r>
    </w:p>
    <w:p w14:paraId="7CC80D91" w14:textId="58E280E8" w:rsidR="006F0D8B" w:rsidRPr="00C23C61" w:rsidRDefault="006F0D8B" w:rsidP="00860698">
      <w:pPr>
        <w:tabs>
          <w:tab w:val="left" w:pos="284"/>
        </w:tabs>
        <w:spacing w:before="240" w:after="240" w:line="360" w:lineRule="auto"/>
        <w:ind w:right="758"/>
        <w:contextualSpacing/>
        <w:jc w:val="both"/>
        <w:rPr>
          <w:rFonts w:ascii="Palatino Linotype" w:eastAsia="Calibri" w:hAnsi="Palatino Linotype" w:cs="Arial"/>
          <w:color w:val="000000" w:themeColor="text1"/>
        </w:rPr>
      </w:pPr>
    </w:p>
    <w:p w14:paraId="20F06D5F" w14:textId="1BB15721" w:rsidR="007F7B11" w:rsidRPr="00C23C61" w:rsidRDefault="00860698" w:rsidP="00CA6269">
      <w:pPr>
        <w:numPr>
          <w:ilvl w:val="0"/>
          <w:numId w:val="17"/>
        </w:numPr>
        <w:tabs>
          <w:tab w:val="left" w:pos="284"/>
        </w:tabs>
        <w:spacing w:before="240" w:after="240" w:line="360" w:lineRule="auto"/>
        <w:ind w:left="0" w:firstLine="0"/>
        <w:contextualSpacing/>
        <w:jc w:val="both"/>
        <w:rPr>
          <w:rFonts w:ascii="Palatino Linotype" w:eastAsia="Calibri" w:hAnsi="Palatino Linotype" w:cs="Arial"/>
          <w:color w:val="000000" w:themeColor="text1"/>
        </w:rPr>
      </w:pPr>
      <w:r w:rsidRPr="00C23C61">
        <w:rPr>
          <w:rFonts w:ascii="Palatino Linotype" w:eastAsia="Calibri" w:hAnsi="Palatino Linotype" w:cs="Arial"/>
        </w:rPr>
        <w:t>El veintiuno (21</w:t>
      </w:r>
      <w:r w:rsidR="007F7B11" w:rsidRPr="00C23C61">
        <w:rPr>
          <w:rFonts w:ascii="Palatino Linotype" w:eastAsia="Calibri" w:hAnsi="Palatino Linotype" w:cs="Arial"/>
        </w:rPr>
        <w:t>) de</w:t>
      </w:r>
      <w:r w:rsidRPr="00C23C61">
        <w:rPr>
          <w:rFonts w:ascii="Palatino Linotype" w:eastAsia="Calibri" w:hAnsi="Palatino Linotype" w:cs="Arial"/>
        </w:rPr>
        <w:t xml:space="preserve"> julio</w:t>
      </w:r>
      <w:r w:rsidR="002B00F6" w:rsidRPr="00C23C61">
        <w:rPr>
          <w:rFonts w:ascii="Palatino Linotype" w:eastAsia="Calibri" w:hAnsi="Palatino Linotype" w:cs="Arial"/>
        </w:rPr>
        <w:t xml:space="preserve"> </w:t>
      </w:r>
      <w:r w:rsidR="00A537B0" w:rsidRPr="00C23C61">
        <w:rPr>
          <w:rFonts w:ascii="Palatino Linotype" w:eastAsia="Calibri" w:hAnsi="Palatino Linotype" w:cs="Arial"/>
        </w:rPr>
        <w:t>de dos mil veintidós</w:t>
      </w:r>
      <w:r w:rsidR="007F7B11" w:rsidRPr="00C23C61">
        <w:rPr>
          <w:rFonts w:ascii="Palatino Linotype" w:eastAsia="Calibri" w:hAnsi="Palatino Linotype" w:cs="Arial"/>
        </w:rPr>
        <w:t xml:space="preserve">, el </w:t>
      </w:r>
      <w:r w:rsidR="007F7B11" w:rsidRPr="00C23C61">
        <w:rPr>
          <w:rFonts w:ascii="Palatino Linotype" w:eastAsia="Calibri" w:hAnsi="Palatino Linotype" w:cs="Arial"/>
          <w:b/>
          <w:bCs/>
        </w:rPr>
        <w:t>RECURRENTE</w:t>
      </w:r>
      <w:r w:rsidR="007F7B11" w:rsidRPr="00C23C61">
        <w:rPr>
          <w:rFonts w:ascii="Palatino Linotype" w:eastAsia="Calibri" w:hAnsi="Palatino Linotype" w:cs="Arial"/>
        </w:rPr>
        <w:t xml:space="preserve"> se desistió del recurso de revisión.</w:t>
      </w:r>
    </w:p>
    <w:p w14:paraId="42A0A6E2" w14:textId="77777777" w:rsidR="007F7B11" w:rsidRPr="00C23C61" w:rsidRDefault="007F7B11" w:rsidP="00CA6269">
      <w:pPr>
        <w:tabs>
          <w:tab w:val="left" w:pos="284"/>
        </w:tabs>
        <w:spacing w:before="240" w:after="240" w:line="360" w:lineRule="auto"/>
        <w:contextualSpacing/>
        <w:jc w:val="both"/>
        <w:rPr>
          <w:rFonts w:ascii="Palatino Linotype" w:eastAsia="Calibri" w:hAnsi="Palatino Linotype" w:cs="Arial"/>
          <w:color w:val="000000" w:themeColor="text1"/>
        </w:rPr>
      </w:pPr>
    </w:p>
    <w:p w14:paraId="29B5CD6F" w14:textId="534D8A93" w:rsidR="00F71F04" w:rsidRPr="00C23C61" w:rsidRDefault="007F7B11" w:rsidP="00CA6269">
      <w:pPr>
        <w:numPr>
          <w:ilvl w:val="0"/>
          <w:numId w:val="17"/>
        </w:numPr>
        <w:tabs>
          <w:tab w:val="left" w:pos="426"/>
        </w:tabs>
        <w:spacing w:line="360" w:lineRule="auto"/>
        <w:ind w:left="0" w:firstLine="0"/>
        <w:contextualSpacing/>
        <w:jc w:val="both"/>
        <w:rPr>
          <w:rFonts w:ascii="Palatino Linotype" w:eastAsiaTheme="minorEastAsia" w:hAnsi="Palatino Linotype" w:cstheme="minorBidi"/>
          <w:lang w:val="es-ES_tradnl"/>
        </w:rPr>
      </w:pPr>
      <w:bookmarkStart w:id="3" w:name="_Toc461555889"/>
      <w:bookmarkStart w:id="4" w:name="_Toc466371858"/>
      <w:r w:rsidRPr="00C23C61">
        <w:rPr>
          <w:rFonts w:ascii="Palatino Linotype" w:eastAsia="Calibri" w:hAnsi="Palatino Linotype" w:cs="Arial"/>
          <w:lang w:val="es-ES_tradnl"/>
        </w:rPr>
        <w:t>La</w:t>
      </w:r>
      <w:r w:rsidRPr="00C23C61">
        <w:rPr>
          <w:rFonts w:ascii="Palatino Linotype" w:eastAsiaTheme="minorEastAsia" w:hAnsi="Palatino Linotype" w:cstheme="minorBidi"/>
          <w:lang w:val="es-ES_tradnl"/>
        </w:rPr>
        <w:t xml:space="preserve"> Comisionada Ponente decretó el cierre del periodo de instrucción</w:t>
      </w:r>
      <w:r w:rsidRPr="00C23C61">
        <w:rPr>
          <w:rFonts w:ascii="Palatino Linotype" w:eastAsiaTheme="minorEastAsia" w:hAnsi="Palatino Linotype" w:cs="Arial"/>
          <w:lang w:val="es-ES_tradnl"/>
        </w:rPr>
        <w:t xml:space="preserve"> </w:t>
      </w:r>
      <w:r w:rsidRPr="00C23C61">
        <w:rPr>
          <w:rFonts w:ascii="Palatino Linotype" w:eastAsiaTheme="minorEastAsia" w:hAnsi="Palatino Linotype" w:cstheme="minorBidi"/>
          <w:lang w:val="es-ES_tradnl"/>
        </w:rPr>
        <w:t xml:space="preserve">mediante acuerdo de </w:t>
      </w:r>
      <w:r w:rsidR="00860698" w:rsidRPr="00C23C61">
        <w:rPr>
          <w:rFonts w:ascii="Palatino Linotype" w:eastAsiaTheme="minorEastAsia" w:hAnsi="Palatino Linotype" w:cstheme="minorBidi"/>
          <w:lang w:val="es-ES_tradnl"/>
        </w:rPr>
        <w:t>diez (10</w:t>
      </w:r>
      <w:r w:rsidRPr="00C23C61">
        <w:rPr>
          <w:rFonts w:ascii="Palatino Linotype" w:eastAsiaTheme="minorEastAsia" w:hAnsi="Palatino Linotype" w:cstheme="minorBidi"/>
          <w:lang w:val="es-ES_tradnl"/>
        </w:rPr>
        <w:t>) de</w:t>
      </w:r>
      <w:r w:rsidR="00860698" w:rsidRPr="00C23C61">
        <w:rPr>
          <w:rFonts w:ascii="Palatino Linotype" w:eastAsiaTheme="minorEastAsia" w:hAnsi="Palatino Linotype" w:cstheme="minorBidi"/>
          <w:lang w:val="es-ES_tradnl"/>
        </w:rPr>
        <w:t xml:space="preserve"> agosto</w:t>
      </w:r>
      <w:r w:rsidR="002B00F6" w:rsidRPr="00C23C61">
        <w:rPr>
          <w:rFonts w:ascii="Palatino Linotype" w:eastAsiaTheme="minorEastAsia" w:hAnsi="Palatino Linotype" w:cstheme="minorBidi"/>
          <w:lang w:val="es-ES_tradnl"/>
        </w:rPr>
        <w:t xml:space="preserve"> </w:t>
      </w:r>
      <w:r w:rsidR="00F71F04" w:rsidRPr="00C23C61">
        <w:rPr>
          <w:rFonts w:ascii="Palatino Linotype" w:eastAsiaTheme="minorEastAsia" w:hAnsi="Palatino Linotype" w:cstheme="minorBidi"/>
          <w:lang w:val="es-ES_tradnl"/>
        </w:rPr>
        <w:t xml:space="preserve">de dos mil veintidós. </w:t>
      </w:r>
    </w:p>
    <w:p w14:paraId="68F618BF" w14:textId="77777777" w:rsidR="00F71F04" w:rsidRPr="00C23C61" w:rsidRDefault="00F71F04" w:rsidP="00CA6269">
      <w:pPr>
        <w:pStyle w:val="Prrafodelista"/>
        <w:spacing w:line="360" w:lineRule="auto"/>
        <w:rPr>
          <w:rFonts w:ascii="Palatino Linotype" w:eastAsiaTheme="minorEastAsia" w:hAnsi="Palatino Linotype" w:cstheme="minorBidi"/>
          <w:color w:val="000000" w:themeColor="text1"/>
          <w:lang w:val="es-MX"/>
        </w:rPr>
      </w:pPr>
    </w:p>
    <w:p w14:paraId="16127B03" w14:textId="7E263205" w:rsidR="00F71F04" w:rsidRPr="00C23C61" w:rsidRDefault="00860698" w:rsidP="00CA6269">
      <w:pPr>
        <w:numPr>
          <w:ilvl w:val="0"/>
          <w:numId w:val="17"/>
        </w:numPr>
        <w:tabs>
          <w:tab w:val="left" w:pos="426"/>
        </w:tabs>
        <w:spacing w:line="360" w:lineRule="auto"/>
        <w:ind w:left="0" w:firstLine="0"/>
        <w:contextualSpacing/>
        <w:jc w:val="both"/>
        <w:rPr>
          <w:rFonts w:ascii="Palatino Linotype" w:eastAsiaTheme="minorEastAsia" w:hAnsi="Palatino Linotype" w:cstheme="minorBidi"/>
          <w:lang w:val="es-ES_tradnl"/>
        </w:rPr>
      </w:pPr>
      <w:r w:rsidRPr="00C23C61">
        <w:rPr>
          <w:rFonts w:ascii="Palatino Linotype" w:eastAsiaTheme="minorEastAsia" w:hAnsi="Palatino Linotype" w:cstheme="minorBidi"/>
          <w:color w:val="000000" w:themeColor="text1"/>
          <w:lang w:val="es-MX"/>
        </w:rPr>
        <w:t>El diez (10</w:t>
      </w:r>
      <w:r w:rsidR="00F71F04" w:rsidRPr="00C23C61">
        <w:rPr>
          <w:rFonts w:ascii="Palatino Linotype" w:eastAsiaTheme="minorEastAsia" w:hAnsi="Palatino Linotype" w:cstheme="minorBidi"/>
          <w:color w:val="000000" w:themeColor="text1"/>
          <w:lang w:val="es-MX"/>
        </w:rPr>
        <w:t>) de</w:t>
      </w:r>
      <w:r w:rsidRPr="00C23C61">
        <w:rPr>
          <w:rFonts w:ascii="Palatino Linotype" w:eastAsiaTheme="minorEastAsia" w:hAnsi="Palatino Linotype" w:cstheme="minorBidi"/>
          <w:color w:val="000000" w:themeColor="text1"/>
          <w:lang w:val="es-MX"/>
        </w:rPr>
        <w:t xml:space="preserve"> agosto </w:t>
      </w:r>
      <w:r w:rsidR="00F71F04" w:rsidRPr="00C23C61">
        <w:rPr>
          <w:rFonts w:ascii="Palatino Linotype" w:eastAsiaTheme="minorEastAsia" w:hAnsi="Palatino Linotype" w:cstheme="minorBidi"/>
          <w:color w:val="000000" w:themeColor="text1"/>
          <w:lang w:val="es-MX"/>
        </w:rPr>
        <w:t>de dos mil veintidós, con fundamento en el artículo 181 tercer párrafo de la Ley de Transparencia y Acceso a la Información Pública del Estado de México y Municipios, se acordó el plazo de treinta (30) días para resolver el recurso de revisión, sería ampliado por un periodo de quince (15) días hábiles adicionales; por lo que no habiendo más que hacer constar, y:----------------------------</w:t>
      </w:r>
    </w:p>
    <w:p w14:paraId="3084EEE5" w14:textId="77777777" w:rsidR="007F7B11" w:rsidRPr="00C23C61" w:rsidRDefault="007F7B11" w:rsidP="00CA6269">
      <w:pPr>
        <w:spacing w:before="240" w:line="360" w:lineRule="auto"/>
        <w:jc w:val="both"/>
        <w:rPr>
          <w:rFonts w:ascii="Palatino Linotype" w:eastAsiaTheme="minorEastAsia" w:hAnsi="Palatino Linotype" w:cstheme="minorBidi"/>
          <w:lang w:val="es-ES_tradnl"/>
        </w:rPr>
      </w:pPr>
    </w:p>
    <w:p w14:paraId="76CD9171" w14:textId="77777777" w:rsidR="007F7B11" w:rsidRPr="00C23C61" w:rsidRDefault="007F7B11" w:rsidP="00CA6269">
      <w:pPr>
        <w:keepNext/>
        <w:keepLines/>
        <w:spacing w:before="40" w:line="360" w:lineRule="auto"/>
        <w:jc w:val="center"/>
        <w:outlineLvl w:val="1"/>
        <w:rPr>
          <w:rFonts w:ascii="Palatino Linotype" w:eastAsiaTheme="majorEastAsia" w:hAnsi="Palatino Linotype" w:cstheme="majorBidi"/>
          <w:b/>
          <w:color w:val="000000" w:themeColor="text1"/>
          <w:lang w:val="es-MX" w:eastAsia="en-US"/>
        </w:rPr>
      </w:pPr>
      <w:bookmarkStart w:id="5" w:name="_Toc110973004"/>
      <w:r w:rsidRPr="00C23C61">
        <w:rPr>
          <w:rFonts w:ascii="Palatino Linotype" w:eastAsiaTheme="majorEastAsia" w:hAnsi="Palatino Linotype" w:cstheme="majorBidi"/>
          <w:b/>
          <w:color w:val="000000" w:themeColor="text1"/>
          <w:lang w:val="es-MX" w:eastAsia="en-US"/>
        </w:rPr>
        <w:t>CONSIDERANDO</w:t>
      </w:r>
      <w:bookmarkEnd w:id="3"/>
      <w:bookmarkEnd w:id="4"/>
      <w:bookmarkEnd w:id="5"/>
    </w:p>
    <w:p w14:paraId="47519C7A" w14:textId="77777777" w:rsidR="007F7B11" w:rsidRPr="00C23C61" w:rsidRDefault="007F7B11" w:rsidP="00CA6269">
      <w:pPr>
        <w:spacing w:line="360" w:lineRule="auto"/>
        <w:rPr>
          <w:rFonts w:ascii="Palatino Linotype" w:eastAsiaTheme="minorEastAsia" w:hAnsi="Palatino Linotype" w:cstheme="minorBidi"/>
          <w:lang w:val="es-MX" w:eastAsia="en-US"/>
        </w:rPr>
      </w:pPr>
    </w:p>
    <w:p w14:paraId="20ECDB0D" w14:textId="77777777" w:rsidR="007F7B11" w:rsidRPr="00C23C61" w:rsidRDefault="007F7B11" w:rsidP="00CA6269">
      <w:pPr>
        <w:keepNext/>
        <w:keepLines/>
        <w:spacing w:before="40" w:line="360" w:lineRule="auto"/>
        <w:outlineLvl w:val="1"/>
        <w:rPr>
          <w:rFonts w:ascii="Palatino Linotype" w:eastAsiaTheme="majorEastAsia" w:hAnsi="Palatino Linotype" w:cstheme="majorBidi"/>
          <w:b/>
          <w:lang w:val="es-MX" w:eastAsia="en-US"/>
        </w:rPr>
      </w:pPr>
      <w:bookmarkStart w:id="6" w:name="_Toc461555890"/>
      <w:bookmarkStart w:id="7" w:name="_Toc466371859"/>
      <w:bookmarkStart w:id="8" w:name="_Toc110973005"/>
      <w:r w:rsidRPr="00C23C61">
        <w:rPr>
          <w:rFonts w:ascii="Palatino Linotype" w:eastAsiaTheme="majorEastAsia" w:hAnsi="Palatino Linotype" w:cstheme="majorBidi"/>
          <w:b/>
          <w:lang w:val="es-MX" w:eastAsia="en-US"/>
        </w:rPr>
        <w:t>PRIMERO. De la competencia</w:t>
      </w:r>
      <w:bookmarkEnd w:id="6"/>
      <w:bookmarkEnd w:id="7"/>
      <w:bookmarkEnd w:id="8"/>
    </w:p>
    <w:p w14:paraId="399C3653" w14:textId="77777777" w:rsidR="007F7B11" w:rsidRPr="00C23C61" w:rsidRDefault="007F7B11" w:rsidP="00CA6269">
      <w:pPr>
        <w:spacing w:line="360" w:lineRule="auto"/>
        <w:rPr>
          <w:rFonts w:ascii="Palatino Linotype" w:eastAsiaTheme="minorEastAsia" w:hAnsi="Palatino Linotype" w:cstheme="minorBidi"/>
          <w:lang w:val="es-MX" w:eastAsia="en-US"/>
        </w:rPr>
      </w:pPr>
    </w:p>
    <w:p w14:paraId="5385D441" w14:textId="1A5D41AE" w:rsidR="00EB08EE" w:rsidRPr="00C23C61" w:rsidRDefault="00EB08EE" w:rsidP="00CA6269">
      <w:pPr>
        <w:pStyle w:val="Prrafodelista"/>
        <w:numPr>
          <w:ilvl w:val="0"/>
          <w:numId w:val="17"/>
        </w:numPr>
        <w:tabs>
          <w:tab w:val="left" w:pos="0"/>
        </w:tabs>
        <w:spacing w:after="160" w:line="360" w:lineRule="auto"/>
        <w:ind w:left="0" w:firstLine="0"/>
        <w:contextualSpacing/>
        <w:jc w:val="both"/>
        <w:rPr>
          <w:rFonts w:ascii="Palatino Linotype" w:eastAsia="MS Mincho" w:hAnsi="Palatino Linotype"/>
          <w:lang w:val="es-ES_tradnl"/>
        </w:rPr>
      </w:pPr>
      <w:r w:rsidRPr="00C23C61">
        <w:rPr>
          <w:rFonts w:ascii="Palatino Linotype" w:eastAsia="Calibri" w:hAnsi="Palatino Linotype"/>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C23C61">
        <w:rPr>
          <w:rFonts w:ascii="Palatino Linotype" w:eastAsia="Calibri" w:hAnsi="Palatino Linotype"/>
          <w:b/>
        </w:rPr>
        <w:t>Constitución Política de los Estados Unidos Mexicanos</w:t>
      </w:r>
      <w:r w:rsidRPr="00C23C61">
        <w:rPr>
          <w:rFonts w:ascii="Palatino Linotype" w:eastAsia="Calibri" w:hAnsi="Palatino Linotype"/>
        </w:rPr>
        <w:t xml:space="preserve">; </w:t>
      </w:r>
      <w:r w:rsidRPr="00C23C61">
        <w:rPr>
          <w:rFonts w:ascii="Palatino Linotype" w:eastAsia="Calibri" w:hAnsi="Palatino Linotype" w:cs="Arial"/>
          <w:bCs/>
          <w:color w:val="222222"/>
          <w:shd w:val="clear" w:color="auto" w:fill="FFFFFF"/>
          <w:lang w:eastAsia="en-US"/>
        </w:rPr>
        <w:t>5, párrafo</w:t>
      </w:r>
      <w:r w:rsidRPr="00C23C61">
        <w:rPr>
          <w:rFonts w:ascii="Palatino Linotype" w:eastAsia="Calibri" w:hAnsi="Palatino Linotype"/>
          <w:lang w:val="es-MX" w:eastAsia="en-US"/>
        </w:rPr>
        <w:t xml:space="preserve"> trigésimo, trigésimo primero y trigésimo segundo, fracciones I, II, III, IV y V</w:t>
      </w:r>
      <w:r w:rsidRPr="00C23C61">
        <w:rPr>
          <w:rFonts w:ascii="Palatino Linotype" w:eastAsia="MS Mincho" w:hAnsi="Palatino Linotype"/>
          <w:lang w:val="es-ES_tradnl"/>
        </w:rPr>
        <w:t xml:space="preserve"> </w:t>
      </w:r>
      <w:r w:rsidRPr="00C23C61">
        <w:rPr>
          <w:rFonts w:ascii="Palatino Linotype" w:eastAsia="Calibri" w:hAnsi="Palatino Linotype"/>
        </w:rPr>
        <w:t xml:space="preserve">de la </w:t>
      </w:r>
      <w:r w:rsidRPr="00C23C61">
        <w:rPr>
          <w:rFonts w:ascii="Palatino Linotype" w:eastAsia="Calibri" w:hAnsi="Palatino Linotype"/>
          <w:b/>
        </w:rPr>
        <w:lastRenderedPageBreak/>
        <w:t>Constitución Política del Estado Libre y Soberano de México</w:t>
      </w:r>
      <w:r w:rsidRPr="00C23C61">
        <w:rPr>
          <w:rFonts w:ascii="Palatino Linotype" w:eastAsia="Calibri" w:hAnsi="Palatino Linotype"/>
        </w:rPr>
        <w:t xml:space="preserve">; artículos 1, 2 fracción II, 13, 29, 36 fracciones I y II, 176, 178, 179, 181 párrafo tercero y 185 </w:t>
      </w:r>
      <w:r w:rsidRPr="00C23C61">
        <w:rPr>
          <w:rFonts w:ascii="Palatino Linotype" w:eastAsia="Calibri" w:hAnsi="Palatino Linotype" w:cs="Arial"/>
        </w:rPr>
        <w:t xml:space="preserve">de la </w:t>
      </w:r>
      <w:r w:rsidRPr="00C23C61">
        <w:rPr>
          <w:rFonts w:ascii="Palatino Linotype" w:eastAsia="Calibri" w:hAnsi="Palatino Linotype" w:cs="Arial"/>
          <w:b/>
        </w:rPr>
        <w:t>Ley de Transparencia y Acceso a la Información Pública del Estado de México y Municipios</w:t>
      </w:r>
      <w:r w:rsidRPr="00C23C61">
        <w:rPr>
          <w:rFonts w:ascii="Palatino Linotype" w:eastAsia="Calibri" w:hAnsi="Palatino Linotype" w:cs="Arial"/>
        </w:rPr>
        <w:t xml:space="preserve">; </w:t>
      </w:r>
      <w:r w:rsidRPr="00C23C61">
        <w:rPr>
          <w:rFonts w:ascii="Palatino Linotype" w:eastAsia="Calibri" w:hAnsi="Palatino Linotype" w:cs="Arial"/>
          <w:b/>
        </w:rPr>
        <w:t>7, 9 fracciones I y XXIV, y 11</w:t>
      </w:r>
      <w:r w:rsidRPr="00C23C61">
        <w:rPr>
          <w:rFonts w:ascii="Palatino Linotype" w:eastAsia="Calibri" w:hAnsi="Palatino Linotype" w:cs="Arial"/>
        </w:rPr>
        <w:t xml:space="preserve"> del </w:t>
      </w:r>
      <w:r w:rsidRPr="00C23C61">
        <w:rPr>
          <w:rFonts w:ascii="Palatino Linotype" w:eastAsia="Calibri" w:hAnsi="Palatino Linotype" w:cs="Arial"/>
          <w:b/>
        </w:rPr>
        <w:t>Reglamento Interior del Instituto de Transparencia, Acceso a la Información Pública y Protección de Datos Personales del Estado de México y Municipios.</w:t>
      </w:r>
    </w:p>
    <w:p w14:paraId="0AEE2D48" w14:textId="77777777" w:rsidR="007F7B11" w:rsidRPr="00C23C61" w:rsidRDefault="007F7B11" w:rsidP="00CA6269">
      <w:pPr>
        <w:tabs>
          <w:tab w:val="left" w:pos="284"/>
          <w:tab w:val="left" w:pos="426"/>
        </w:tabs>
        <w:spacing w:line="360" w:lineRule="auto"/>
        <w:contextualSpacing/>
        <w:jc w:val="both"/>
        <w:rPr>
          <w:rFonts w:ascii="Palatino Linotype" w:eastAsia="Calibri" w:hAnsi="Palatino Linotype"/>
          <w:b/>
          <w:lang w:val="es-ES_tradnl"/>
        </w:rPr>
      </w:pPr>
    </w:p>
    <w:p w14:paraId="6105D78F" w14:textId="66720F82" w:rsidR="00EB08EE" w:rsidRPr="00C23C61" w:rsidRDefault="007F7B11" w:rsidP="00CA6269">
      <w:pPr>
        <w:keepNext/>
        <w:keepLines/>
        <w:tabs>
          <w:tab w:val="left" w:pos="284"/>
          <w:tab w:val="left" w:pos="426"/>
        </w:tabs>
        <w:spacing w:before="40" w:line="360" w:lineRule="auto"/>
        <w:outlineLvl w:val="1"/>
        <w:rPr>
          <w:rFonts w:ascii="Palatino Linotype" w:eastAsiaTheme="majorEastAsia" w:hAnsi="Palatino Linotype" w:cstheme="majorBidi"/>
          <w:b/>
          <w:lang w:val="es-MX" w:eastAsia="en-US"/>
        </w:rPr>
      </w:pPr>
      <w:bookmarkStart w:id="9" w:name="_Toc461555891"/>
      <w:bookmarkStart w:id="10" w:name="_Toc466371860"/>
      <w:bookmarkStart w:id="11" w:name="_Toc110973006"/>
      <w:r w:rsidRPr="00C23C61">
        <w:rPr>
          <w:rFonts w:ascii="Palatino Linotype" w:eastAsiaTheme="majorEastAsia" w:hAnsi="Palatino Linotype" w:cstheme="majorBidi"/>
          <w:b/>
          <w:lang w:val="es-MX" w:eastAsia="en-US"/>
        </w:rPr>
        <w:t>SEGUNDO. De la oportunidad y procedencia.</w:t>
      </w:r>
      <w:bookmarkEnd w:id="9"/>
      <w:bookmarkEnd w:id="10"/>
      <w:bookmarkEnd w:id="11"/>
    </w:p>
    <w:p w14:paraId="033BB462" w14:textId="0E9FFB54" w:rsidR="0099083D" w:rsidRPr="00C23C61" w:rsidRDefault="003A0689" w:rsidP="00CA6269">
      <w:pPr>
        <w:pStyle w:val="Prrafodelista"/>
        <w:keepNext/>
        <w:keepLines/>
        <w:numPr>
          <w:ilvl w:val="0"/>
          <w:numId w:val="30"/>
        </w:numPr>
        <w:tabs>
          <w:tab w:val="left" w:pos="0"/>
        </w:tabs>
        <w:spacing w:before="240" w:line="360" w:lineRule="auto"/>
        <w:ind w:left="0" w:firstLine="0"/>
        <w:outlineLvl w:val="0"/>
        <w:rPr>
          <w:rFonts w:ascii="Palatino Linotype" w:eastAsiaTheme="majorEastAsia" w:hAnsi="Palatino Linotype" w:cstheme="majorBidi"/>
          <w:b/>
          <w:color w:val="000000" w:themeColor="text1"/>
          <w:lang w:val="es-MX" w:eastAsia="en-US"/>
        </w:rPr>
      </w:pPr>
      <w:bookmarkStart w:id="12" w:name="_Toc96549902"/>
      <w:bookmarkStart w:id="13" w:name="_Toc110973007"/>
      <w:r w:rsidRPr="00C23C61">
        <w:rPr>
          <w:rFonts w:ascii="Palatino Linotype" w:eastAsiaTheme="majorEastAsia" w:hAnsi="Palatino Linotype" w:cstheme="majorBidi"/>
          <w:b/>
          <w:color w:val="000000" w:themeColor="text1"/>
          <w:lang w:val="es-MX" w:eastAsia="en-US"/>
        </w:rPr>
        <w:t>D</w:t>
      </w:r>
      <w:r w:rsidR="0099083D" w:rsidRPr="00C23C61">
        <w:rPr>
          <w:rFonts w:ascii="Palatino Linotype" w:eastAsiaTheme="majorEastAsia" w:hAnsi="Palatino Linotype" w:cstheme="majorBidi"/>
          <w:b/>
          <w:color w:val="000000" w:themeColor="text1"/>
          <w:lang w:val="es-MX" w:eastAsia="en-US"/>
        </w:rPr>
        <w:t>e la interposición del recurso.</w:t>
      </w:r>
      <w:bookmarkEnd w:id="12"/>
      <w:bookmarkEnd w:id="13"/>
    </w:p>
    <w:p w14:paraId="2A79819C" w14:textId="77777777" w:rsidR="0099083D" w:rsidRPr="00C23C61" w:rsidRDefault="0099083D" w:rsidP="00CA6269">
      <w:pPr>
        <w:pStyle w:val="Prrafodelista"/>
        <w:keepNext/>
        <w:keepLines/>
        <w:tabs>
          <w:tab w:val="left" w:pos="0"/>
        </w:tabs>
        <w:spacing w:before="240" w:line="360" w:lineRule="auto"/>
        <w:ind w:left="0"/>
        <w:outlineLvl w:val="0"/>
        <w:rPr>
          <w:rFonts w:ascii="Palatino Linotype" w:eastAsiaTheme="majorEastAsia" w:hAnsi="Palatino Linotype" w:cstheme="majorBidi"/>
          <w:b/>
          <w:color w:val="000000" w:themeColor="text1"/>
          <w:lang w:val="es-MX" w:eastAsia="en-US"/>
        </w:rPr>
      </w:pPr>
    </w:p>
    <w:p w14:paraId="6090EE82" w14:textId="640F84E1" w:rsidR="005A0AF9" w:rsidRPr="00C23C61" w:rsidRDefault="003A0689" w:rsidP="00CA6269">
      <w:pPr>
        <w:pStyle w:val="Prrafodelista"/>
        <w:numPr>
          <w:ilvl w:val="0"/>
          <w:numId w:val="17"/>
        </w:numPr>
        <w:spacing w:after="160" w:line="360" w:lineRule="auto"/>
        <w:ind w:left="0" w:right="49" w:firstLine="0"/>
        <w:contextualSpacing/>
        <w:jc w:val="both"/>
        <w:rPr>
          <w:rFonts w:ascii="Palatino Linotype" w:hAnsi="Palatino Linotype"/>
          <w:lang w:val="es-ES_tradnl"/>
        </w:rPr>
      </w:pPr>
      <w:r w:rsidRPr="00C23C61">
        <w:rPr>
          <w:rFonts w:ascii="Palatino Linotype" w:eastAsia="Calibri" w:hAnsi="Palatino Linotype" w:cs="Arial"/>
          <w:lang w:val="es-ES_tradnl"/>
        </w:rPr>
        <w:t xml:space="preserve">El medio de impugnación fue presentado a través del </w:t>
      </w:r>
      <w:r w:rsidRPr="00C23C61">
        <w:rPr>
          <w:rFonts w:ascii="Palatino Linotype" w:eastAsia="Calibri" w:hAnsi="Palatino Linotype" w:cs="Arial"/>
          <w:b/>
          <w:lang w:val="es-ES_tradnl"/>
        </w:rPr>
        <w:t>SAIMEX,</w:t>
      </w:r>
      <w:r w:rsidRPr="00C23C61">
        <w:rPr>
          <w:rFonts w:ascii="Palatino Linotype" w:eastAsia="Calibri" w:hAnsi="Palatino Linotype" w:cs="Arial"/>
          <w:lang w:val="es-ES_tradnl"/>
        </w:rPr>
        <w:t xml:space="preserve"> en el formato previamente aprobado para tal efecto y dentro del plazo legal de quince días hábiles otorgados; para el caso en particular es de señalar que si el </w:t>
      </w:r>
      <w:r w:rsidRPr="00C23C61">
        <w:rPr>
          <w:rFonts w:ascii="Palatino Linotype" w:eastAsia="Calibri" w:hAnsi="Palatino Linotype" w:cs="Arial"/>
          <w:b/>
          <w:lang w:val="es-ES_tradnl"/>
        </w:rPr>
        <w:t>SUJETO OBLIGADO</w:t>
      </w:r>
      <w:r w:rsidR="008D36D2" w:rsidRPr="00C23C61">
        <w:rPr>
          <w:rFonts w:ascii="Palatino Linotype" w:eastAsia="Calibri" w:hAnsi="Palatino Linotype" w:cs="Arial"/>
          <w:lang w:val="es-ES_tradnl"/>
        </w:rPr>
        <w:t xml:space="preserve"> entregó </w:t>
      </w:r>
      <w:r w:rsidR="002B00F6" w:rsidRPr="00C23C61">
        <w:rPr>
          <w:rFonts w:ascii="Palatino Linotype" w:eastAsia="Calibri" w:hAnsi="Palatino Linotype" w:cs="Arial"/>
          <w:lang w:val="es-ES_tradnl"/>
        </w:rPr>
        <w:t xml:space="preserve">respuesta </w:t>
      </w:r>
      <w:r w:rsidR="008D346A" w:rsidRPr="00C23C61">
        <w:rPr>
          <w:rFonts w:ascii="Palatino Linotype" w:eastAsia="Calibri" w:hAnsi="Palatino Linotype" w:cs="Arial"/>
          <w:lang w:val="es-ES_tradnl"/>
        </w:rPr>
        <w:t>el nueve (09</w:t>
      </w:r>
      <w:r w:rsidRPr="00C23C61">
        <w:rPr>
          <w:rFonts w:ascii="Palatino Linotype" w:eastAsia="Calibri" w:hAnsi="Palatino Linotype" w:cs="Arial"/>
          <w:lang w:val="es-ES_tradnl"/>
        </w:rPr>
        <w:t>) de</w:t>
      </w:r>
      <w:r w:rsidR="008D346A" w:rsidRPr="00C23C61">
        <w:rPr>
          <w:rFonts w:ascii="Palatino Linotype" w:eastAsia="Calibri" w:hAnsi="Palatino Linotype" w:cs="Arial"/>
          <w:lang w:val="es-ES_tradnl"/>
        </w:rPr>
        <w:t xml:space="preserve"> mayo</w:t>
      </w:r>
      <w:r w:rsidR="002B00F6" w:rsidRPr="00C23C61">
        <w:rPr>
          <w:rFonts w:ascii="Palatino Linotype" w:eastAsia="Calibri" w:hAnsi="Palatino Linotype" w:cs="Arial"/>
          <w:lang w:val="es-ES_tradnl"/>
        </w:rPr>
        <w:t xml:space="preserve"> </w:t>
      </w:r>
      <w:r w:rsidRPr="00C23C61">
        <w:rPr>
          <w:rFonts w:ascii="Palatino Linotype" w:eastAsia="Calibri" w:hAnsi="Palatino Linotype" w:cs="Arial"/>
          <w:lang w:val="es-ES_tradnl"/>
        </w:rPr>
        <w:t>de dos mil veintiuno</w:t>
      </w:r>
      <w:r w:rsidRPr="00C23C61">
        <w:rPr>
          <w:rFonts w:ascii="Palatino Linotype" w:eastAsia="Calibri" w:hAnsi="Palatino Linotype" w:cs="Arial"/>
          <w:lang w:val="es-MX" w:eastAsia="en-US"/>
        </w:rPr>
        <w:t xml:space="preserve">, el plazo para interponer el recurso de revisión </w:t>
      </w:r>
      <w:r w:rsidR="008D346A" w:rsidRPr="00C23C61">
        <w:rPr>
          <w:rFonts w:ascii="Palatino Linotype" w:eastAsia="Calibri" w:hAnsi="Palatino Linotype" w:cs="Arial"/>
          <w:lang w:val="es-MX" w:eastAsia="en-US"/>
        </w:rPr>
        <w:t>trascurrió del diez (10</w:t>
      </w:r>
      <w:r w:rsidRPr="00C23C61">
        <w:rPr>
          <w:rFonts w:ascii="Palatino Linotype" w:eastAsia="Calibri" w:hAnsi="Palatino Linotype" w:cs="Arial"/>
          <w:lang w:val="es-MX" w:eastAsia="en-US"/>
        </w:rPr>
        <w:t>)</w:t>
      </w:r>
      <w:r w:rsidR="002B00F6" w:rsidRPr="00C23C61">
        <w:rPr>
          <w:rFonts w:ascii="Palatino Linotype" w:eastAsia="Calibri" w:hAnsi="Palatino Linotype" w:cs="Arial"/>
          <w:lang w:val="es-MX" w:eastAsia="en-US"/>
        </w:rPr>
        <w:t xml:space="preserve"> </w:t>
      </w:r>
      <w:r w:rsidR="008D346A" w:rsidRPr="00C23C61">
        <w:rPr>
          <w:rFonts w:ascii="Palatino Linotype" w:eastAsia="Calibri" w:hAnsi="Palatino Linotype" w:cs="Arial"/>
          <w:lang w:val="es-MX" w:eastAsia="en-US"/>
        </w:rPr>
        <w:t>al treinta (30</w:t>
      </w:r>
      <w:r w:rsidR="002B00F6" w:rsidRPr="00C23C61">
        <w:rPr>
          <w:rFonts w:ascii="Palatino Linotype" w:eastAsia="Calibri" w:hAnsi="Palatino Linotype" w:cs="Arial"/>
          <w:lang w:val="es-MX" w:eastAsia="en-US"/>
        </w:rPr>
        <w:t xml:space="preserve">) de mayo </w:t>
      </w:r>
      <w:r w:rsidRPr="00C23C61">
        <w:rPr>
          <w:rFonts w:ascii="Palatino Linotype" w:eastAsia="Calibri" w:hAnsi="Palatino Linotype" w:cs="Arial"/>
          <w:lang w:val="es-MX" w:eastAsia="en-US"/>
        </w:rPr>
        <w:t xml:space="preserve"> de dos mil </w:t>
      </w:r>
      <w:r w:rsidR="008D36D2" w:rsidRPr="00C23C61">
        <w:rPr>
          <w:rFonts w:ascii="Palatino Linotype" w:eastAsia="Calibri" w:hAnsi="Palatino Linotype" w:cs="Arial"/>
          <w:lang w:val="es-MX" w:eastAsia="en-US"/>
        </w:rPr>
        <w:t>veintiuno</w:t>
      </w:r>
      <w:r w:rsidRPr="00C23C61">
        <w:rPr>
          <w:rFonts w:ascii="Palatino Linotype" w:eastAsia="Calibri" w:hAnsi="Palatino Linotype" w:cs="Arial"/>
          <w:lang w:val="es-MX" w:eastAsia="en-US"/>
        </w:rPr>
        <w:t>,</w:t>
      </w:r>
      <w:r w:rsidR="008D36D2" w:rsidRPr="00C23C61">
        <w:rPr>
          <w:rFonts w:ascii="Palatino Linotype" w:eastAsia="Calibri" w:hAnsi="Palatino Linotype" w:cs="Arial"/>
          <w:lang w:val="es-MX" w:eastAsia="en-US"/>
        </w:rPr>
        <w:t xml:space="preserve"> </w:t>
      </w:r>
      <w:r w:rsidRPr="00C23C61">
        <w:rPr>
          <w:rFonts w:ascii="Palatino Linotype" w:eastAsia="Calibri" w:hAnsi="Palatino Linotype" w:cs="Arial"/>
          <w:lang w:val="es-MX" w:eastAsia="en-US"/>
        </w:rPr>
        <w:t xml:space="preserve">por lo que si el particular interpuso recurso de revisión el </w:t>
      </w:r>
      <w:r w:rsidR="008D346A" w:rsidRPr="00C23C61">
        <w:rPr>
          <w:rFonts w:ascii="Palatino Linotype" w:eastAsia="Calibri" w:hAnsi="Palatino Linotype" w:cs="Arial"/>
          <w:lang w:val="es-MX" w:eastAsia="en-US"/>
        </w:rPr>
        <w:t>treinta (30</w:t>
      </w:r>
      <w:r w:rsidRPr="00C23C61">
        <w:rPr>
          <w:rFonts w:ascii="Palatino Linotype" w:eastAsia="Calibri" w:hAnsi="Palatino Linotype" w:cs="Arial"/>
          <w:lang w:val="es-MX" w:eastAsia="en-US"/>
        </w:rPr>
        <w:t>) de</w:t>
      </w:r>
      <w:r w:rsidR="008D346A" w:rsidRPr="00C23C61">
        <w:rPr>
          <w:rFonts w:ascii="Palatino Linotype" w:eastAsia="Calibri" w:hAnsi="Palatino Linotype" w:cs="Arial"/>
          <w:lang w:val="es-MX" w:eastAsia="en-US"/>
        </w:rPr>
        <w:t xml:space="preserve"> mayo </w:t>
      </w:r>
      <w:r w:rsidRPr="00C23C61">
        <w:rPr>
          <w:rFonts w:ascii="Palatino Linotype" w:eastAsia="Calibri" w:hAnsi="Palatino Linotype" w:cs="Arial"/>
          <w:lang w:val="es-MX" w:eastAsia="en-US"/>
        </w:rPr>
        <w:t xml:space="preserve">de dos mil veintiuno, </w:t>
      </w:r>
      <w:r w:rsidRPr="00C23C61">
        <w:rPr>
          <w:rFonts w:ascii="Palatino Linotype" w:hAnsi="Palatino Linotype"/>
          <w:lang w:val="es-ES_tradnl"/>
        </w:rPr>
        <w:t xml:space="preserve">se encuentra dentro del periodo establecido por la Ley. </w:t>
      </w:r>
    </w:p>
    <w:p w14:paraId="7544FD68" w14:textId="77777777" w:rsidR="002B00F6" w:rsidRPr="00C23C61" w:rsidRDefault="002B00F6" w:rsidP="002B00F6">
      <w:pPr>
        <w:pStyle w:val="Prrafodelista"/>
        <w:spacing w:after="160" w:line="360" w:lineRule="auto"/>
        <w:ind w:left="0" w:right="49"/>
        <w:contextualSpacing/>
        <w:jc w:val="both"/>
        <w:rPr>
          <w:rFonts w:ascii="Palatino Linotype" w:hAnsi="Palatino Linotype"/>
          <w:lang w:val="es-ES_tradnl"/>
        </w:rPr>
      </w:pPr>
    </w:p>
    <w:p w14:paraId="4D628ED6" w14:textId="7E451361" w:rsidR="003A0689" w:rsidRPr="00C23C61" w:rsidRDefault="002B00F6" w:rsidP="00CA6269">
      <w:pPr>
        <w:keepNext/>
        <w:keepLines/>
        <w:spacing w:before="240" w:line="360" w:lineRule="auto"/>
        <w:jc w:val="both"/>
        <w:outlineLvl w:val="0"/>
        <w:rPr>
          <w:rFonts w:ascii="Palatino Linotype" w:eastAsiaTheme="majorEastAsia" w:hAnsi="Palatino Linotype" w:cstheme="majorBidi"/>
          <w:b/>
          <w:color w:val="000000" w:themeColor="text1"/>
          <w:lang w:val="es-MX" w:eastAsia="en-US"/>
        </w:rPr>
      </w:pPr>
      <w:bookmarkStart w:id="14" w:name="_Toc103216913"/>
      <w:bookmarkStart w:id="15" w:name="_Toc85627632"/>
      <w:bookmarkStart w:id="16" w:name="_Toc104490253"/>
      <w:bookmarkStart w:id="17" w:name="_Toc110973008"/>
      <w:r w:rsidRPr="00C23C61">
        <w:rPr>
          <w:rFonts w:ascii="Palatino Linotype" w:eastAsia="MS Gothic" w:hAnsi="Palatino Linotype"/>
          <w:b/>
          <w:szCs w:val="32"/>
        </w:rPr>
        <w:t xml:space="preserve">II. </w:t>
      </w:r>
      <w:bookmarkStart w:id="18" w:name="_Toc96549903"/>
      <w:bookmarkStart w:id="19" w:name="_Toc67587987"/>
      <w:bookmarkStart w:id="20" w:name="_Toc68804763"/>
      <w:bookmarkStart w:id="21" w:name="_Toc96526731"/>
      <w:bookmarkEnd w:id="14"/>
      <w:bookmarkEnd w:id="15"/>
      <w:bookmarkEnd w:id="16"/>
      <w:r w:rsidR="003A0689" w:rsidRPr="00C23C61">
        <w:rPr>
          <w:rFonts w:ascii="Palatino Linotype" w:eastAsiaTheme="majorEastAsia" w:hAnsi="Palatino Linotype" w:cstheme="majorBidi"/>
          <w:b/>
          <w:color w:val="000000" w:themeColor="text1"/>
          <w:lang w:val="es-MX" w:eastAsia="en-US"/>
        </w:rPr>
        <w:t>De la determinación sobre la procedibilidad del recurso.</w:t>
      </w:r>
      <w:bookmarkEnd w:id="17"/>
      <w:bookmarkEnd w:id="18"/>
      <w:bookmarkEnd w:id="19"/>
      <w:bookmarkEnd w:id="20"/>
      <w:bookmarkEnd w:id="21"/>
      <w:r w:rsidR="003A0689" w:rsidRPr="00C23C61">
        <w:rPr>
          <w:rFonts w:ascii="Palatino Linotype" w:eastAsiaTheme="majorEastAsia" w:hAnsi="Palatino Linotype" w:cstheme="majorBidi"/>
          <w:b/>
          <w:color w:val="000000" w:themeColor="text1"/>
          <w:lang w:val="es-MX" w:eastAsia="en-US"/>
        </w:rPr>
        <w:t xml:space="preserve"> </w:t>
      </w:r>
    </w:p>
    <w:p w14:paraId="590E79CA" w14:textId="77777777" w:rsidR="003A0689" w:rsidRPr="00C23C61" w:rsidRDefault="003A0689" w:rsidP="00CA6269">
      <w:pPr>
        <w:spacing w:line="360" w:lineRule="auto"/>
        <w:rPr>
          <w:rFonts w:ascii="Palatino Linotype" w:hAnsi="Palatino Linotype"/>
          <w:lang w:val="es-MX" w:eastAsia="en-US"/>
        </w:rPr>
      </w:pPr>
    </w:p>
    <w:p w14:paraId="1B631041" w14:textId="77777777" w:rsidR="003A0689" w:rsidRPr="00C23C61" w:rsidRDefault="003A0689" w:rsidP="00CA6269">
      <w:pPr>
        <w:numPr>
          <w:ilvl w:val="0"/>
          <w:numId w:val="29"/>
        </w:numPr>
        <w:spacing w:after="160" w:line="360" w:lineRule="auto"/>
        <w:ind w:left="0" w:right="49" w:firstLine="0"/>
        <w:contextualSpacing/>
        <w:jc w:val="both"/>
        <w:rPr>
          <w:rFonts w:ascii="Palatino Linotype" w:hAnsi="Palatino Linotype"/>
          <w:lang w:val="es-ES_tradnl"/>
        </w:rPr>
      </w:pPr>
      <w:r w:rsidRPr="00C23C61">
        <w:rPr>
          <w:rFonts w:ascii="Palatino Linotype" w:eastAsia="Calibri" w:hAnsi="Palatino Linotype" w:cs="Arial"/>
          <w:lang w:val="es-ES_tradnl"/>
        </w:rPr>
        <w:t xml:space="preserve">Expuesto lo anterior, el escrito contiene las formalidades previstas por el artículo 180 último párrafo de la Ley de la materia actual, por lo que es procedente </w:t>
      </w:r>
      <w:r w:rsidRPr="00C23C61">
        <w:rPr>
          <w:rFonts w:ascii="Palatino Linotype" w:eastAsia="Calibri" w:hAnsi="Palatino Linotype" w:cs="Arial"/>
          <w:lang w:val="es-ES_tradnl"/>
        </w:rPr>
        <w:lastRenderedPageBreak/>
        <w:t>que este Instituto de Transparencia, Acceso a la Información Pública y Protección de Datos Personales del Estado de México y Municipios, conozca y resuelva el presente recurso.</w:t>
      </w:r>
    </w:p>
    <w:p w14:paraId="63B996C5" w14:textId="372C1D7F" w:rsidR="007F7B11" w:rsidRPr="00C23C61" w:rsidRDefault="007F7B11" w:rsidP="00CA6269">
      <w:pPr>
        <w:tabs>
          <w:tab w:val="left" w:pos="284"/>
          <w:tab w:val="left" w:pos="426"/>
        </w:tabs>
        <w:spacing w:line="360" w:lineRule="auto"/>
        <w:contextualSpacing/>
        <w:rPr>
          <w:rFonts w:ascii="Palatino Linotype" w:eastAsiaTheme="minorEastAsia" w:hAnsi="Palatino Linotype" w:cstheme="minorBidi"/>
          <w:lang w:val="es-ES_tradnl"/>
        </w:rPr>
      </w:pPr>
    </w:p>
    <w:p w14:paraId="7C551078" w14:textId="4894888E" w:rsidR="00771BF2" w:rsidRPr="00C23C61" w:rsidRDefault="007F7B11" w:rsidP="00CA6269">
      <w:pPr>
        <w:keepNext/>
        <w:keepLines/>
        <w:tabs>
          <w:tab w:val="left" w:pos="284"/>
          <w:tab w:val="left" w:pos="426"/>
        </w:tabs>
        <w:spacing w:before="240" w:line="360" w:lineRule="auto"/>
        <w:outlineLvl w:val="0"/>
        <w:rPr>
          <w:rFonts w:ascii="Palatino Linotype" w:eastAsiaTheme="majorEastAsia" w:hAnsi="Palatino Linotype" w:cstheme="majorBidi"/>
          <w:b/>
          <w:lang w:val="es-MX" w:eastAsia="en-US"/>
        </w:rPr>
      </w:pPr>
      <w:bookmarkStart w:id="22" w:name="_Toc500360400"/>
      <w:bookmarkStart w:id="23" w:name="_Toc110973009"/>
      <w:bookmarkStart w:id="24" w:name="_Toc459174366"/>
      <w:bookmarkStart w:id="25" w:name="_Toc459659884"/>
      <w:bookmarkStart w:id="26" w:name="_Toc461687280"/>
      <w:bookmarkStart w:id="27" w:name="_Toc462771051"/>
      <w:bookmarkStart w:id="28" w:name="_Toc464139201"/>
      <w:bookmarkStart w:id="29" w:name="_Toc495427545"/>
      <w:bookmarkStart w:id="30" w:name="_Toc499296549"/>
      <w:r w:rsidRPr="00C23C61">
        <w:rPr>
          <w:rFonts w:ascii="Palatino Linotype" w:eastAsiaTheme="majorEastAsia" w:hAnsi="Palatino Linotype" w:cstheme="majorBidi"/>
          <w:b/>
          <w:color w:val="000000" w:themeColor="text1"/>
          <w:lang w:val="es-MX" w:eastAsia="en-US"/>
        </w:rPr>
        <w:t xml:space="preserve">TERCERO. </w:t>
      </w:r>
      <w:r w:rsidRPr="00C23C61">
        <w:rPr>
          <w:rFonts w:ascii="Palatino Linotype" w:eastAsiaTheme="majorEastAsia" w:hAnsi="Palatino Linotype" w:cstheme="majorBidi"/>
          <w:b/>
          <w:lang w:val="es-MX" w:eastAsia="en-US"/>
        </w:rPr>
        <w:t>De las causales del sobreseimiento.</w:t>
      </w:r>
      <w:bookmarkEnd w:id="22"/>
      <w:bookmarkEnd w:id="23"/>
    </w:p>
    <w:p w14:paraId="53E8FA93" w14:textId="771EE901" w:rsidR="007F7B11" w:rsidRPr="00C23C61" w:rsidRDefault="007F7B11" w:rsidP="00CA6269">
      <w:pPr>
        <w:pStyle w:val="Prrafodelista"/>
        <w:numPr>
          <w:ilvl w:val="0"/>
          <w:numId w:val="29"/>
        </w:numPr>
        <w:tabs>
          <w:tab w:val="left" w:pos="284"/>
          <w:tab w:val="left" w:pos="426"/>
        </w:tabs>
        <w:spacing w:before="240" w:after="240" w:line="360" w:lineRule="auto"/>
        <w:ind w:left="0" w:right="49" w:firstLine="0"/>
        <w:contextualSpacing/>
        <w:jc w:val="both"/>
        <w:rPr>
          <w:rFonts w:ascii="Palatino Linotype" w:eastAsiaTheme="minorEastAsia" w:hAnsi="Palatino Linotype" w:cs="Arial"/>
          <w:lang w:val="es-ES_tradnl"/>
        </w:rPr>
      </w:pPr>
      <w:bookmarkStart w:id="31" w:name="_Toc455991148"/>
      <w:bookmarkStart w:id="32" w:name="_Toc450120669"/>
      <w:bookmarkStart w:id="33" w:name="_Toc461555896"/>
      <w:bookmarkStart w:id="34" w:name="_Toc462154385"/>
      <w:bookmarkStart w:id="35" w:name="_Toc462660376"/>
      <w:bookmarkStart w:id="36" w:name="_Toc462660687"/>
      <w:bookmarkStart w:id="37" w:name="_Toc462660766"/>
      <w:bookmarkStart w:id="38" w:name="_Toc465264624"/>
      <w:bookmarkStart w:id="39" w:name="_Toc465264870"/>
      <w:bookmarkStart w:id="40" w:name="_Toc465266520"/>
      <w:bookmarkStart w:id="41" w:name="_Toc466302258"/>
      <w:bookmarkStart w:id="42" w:name="_Toc466371866"/>
      <w:bookmarkStart w:id="43" w:name="_Toc466371925"/>
      <w:bookmarkStart w:id="44" w:name="_Toc466377654"/>
      <w:bookmarkStart w:id="45" w:name="_Toc478549736"/>
      <w:bookmarkStart w:id="46" w:name="_Toc478572850"/>
      <w:bookmarkStart w:id="47" w:name="_Toc479238537"/>
      <w:bookmarkEnd w:id="24"/>
      <w:bookmarkEnd w:id="25"/>
      <w:bookmarkEnd w:id="26"/>
      <w:bookmarkEnd w:id="27"/>
      <w:bookmarkEnd w:id="28"/>
      <w:bookmarkEnd w:id="29"/>
      <w:bookmarkEnd w:id="30"/>
      <w:r w:rsidRPr="00C23C61">
        <w:rPr>
          <w:rFonts w:ascii="Palatino Linotype" w:eastAsiaTheme="minorEastAsia" w:hAnsi="Palatino Linotype" w:cs="Arial"/>
          <w:lang w:val="es-ES_tradnl"/>
        </w:rPr>
        <w:t xml:space="preserve">El recurso revisión tiene como finalidad reparar cualquier posible afectación al derecho de acceso a la información pública en términos del Título Octavo de la Ley de </w:t>
      </w:r>
      <w:r w:rsidRPr="00C23C61">
        <w:rPr>
          <w:rFonts w:ascii="Palatino Linotype" w:eastAsia="Calibri" w:hAnsi="Palatino Linotype" w:cs="Arial"/>
          <w:lang w:val="es-ES_tradnl"/>
        </w:rPr>
        <w:t>Transparencia, Acceso a la Información Pública del Estado de México y Municipios</w:t>
      </w:r>
      <w:r w:rsidR="00AD1880" w:rsidRPr="00C23C61">
        <w:rPr>
          <w:rFonts w:ascii="Palatino Linotype" w:eastAsiaTheme="minorEastAsia" w:hAnsi="Palatino Linotype" w:cs="Arial"/>
          <w:lang w:val="es-ES_tradnl"/>
        </w:rPr>
        <w:t xml:space="preserve">, y determinar la confirmación; </w:t>
      </w:r>
      <w:r w:rsidRPr="00C23C61">
        <w:rPr>
          <w:rFonts w:ascii="Palatino Linotype" w:eastAsiaTheme="minorEastAsia" w:hAnsi="Palatino Linotype" w:cs="Arial"/>
          <w:lang w:val="es-ES_tradnl"/>
        </w:rPr>
        <w:t xml:space="preserve">revocación o modificación; desechamiento o </w:t>
      </w:r>
      <w:r w:rsidRPr="00C23C61">
        <w:rPr>
          <w:rFonts w:ascii="Palatino Linotype" w:eastAsiaTheme="minorEastAsia" w:hAnsi="Palatino Linotype" w:cs="Arial"/>
          <w:b/>
          <w:u w:val="single"/>
          <w:lang w:val="es-ES_tradnl"/>
        </w:rPr>
        <w:t>sobreseimiento</w:t>
      </w:r>
      <w:r w:rsidRPr="00C23C61">
        <w:rPr>
          <w:rFonts w:ascii="Palatino Linotype" w:eastAsiaTheme="minorEastAsia" w:hAnsi="Palatino Linotype" w:cs="Arial"/>
          <w:lang w:val="es-ES_tradnl"/>
        </w:rPr>
        <w:t xml:space="preserve">; y, en su caso, ordenar la entrega de la información respecto a la respuesta emitida por el </w:t>
      </w:r>
      <w:r w:rsidRPr="00C23C61">
        <w:rPr>
          <w:rFonts w:ascii="Palatino Linotype" w:eastAsiaTheme="minorEastAsia" w:hAnsi="Palatino Linotype" w:cs="Arial"/>
          <w:b/>
          <w:lang w:val="es-ES_tradnl"/>
        </w:rPr>
        <w:t>SUJETO</w:t>
      </w:r>
      <w:r w:rsidRPr="00C23C61">
        <w:rPr>
          <w:rFonts w:ascii="Palatino Linotype" w:eastAsiaTheme="minorEastAsia" w:hAnsi="Palatino Linotype" w:cs="Arial"/>
          <w:lang w:val="es-ES_tradnl"/>
        </w:rPr>
        <w:t xml:space="preserve"> </w:t>
      </w:r>
      <w:r w:rsidRPr="00C23C61">
        <w:rPr>
          <w:rFonts w:ascii="Palatino Linotype" w:eastAsiaTheme="minorEastAsia" w:hAnsi="Palatino Linotype" w:cs="Arial"/>
          <w:b/>
          <w:lang w:val="es-ES_tradnl"/>
        </w:rPr>
        <w:t>OBLIGADO</w:t>
      </w:r>
      <w:r w:rsidRPr="00C23C61">
        <w:rPr>
          <w:rFonts w:ascii="Palatino Linotype" w:eastAsiaTheme="minorEastAsia" w:hAnsi="Palatino Linotype" w:cs="Arial"/>
          <w:lang w:val="es-ES_tradnl"/>
        </w:rPr>
        <w:t>.</w:t>
      </w:r>
    </w:p>
    <w:p w14:paraId="2BE1B32C" w14:textId="5BF3D322" w:rsidR="007F7B11" w:rsidRPr="00C23C61" w:rsidRDefault="007F7B11" w:rsidP="00CA6269">
      <w:pPr>
        <w:numPr>
          <w:ilvl w:val="0"/>
          <w:numId w:val="29"/>
        </w:numPr>
        <w:tabs>
          <w:tab w:val="left" w:pos="284"/>
          <w:tab w:val="left" w:pos="426"/>
        </w:tabs>
        <w:spacing w:before="240" w:after="240" w:line="360" w:lineRule="auto"/>
        <w:ind w:left="0" w:right="49" w:firstLine="0"/>
        <w:contextualSpacing/>
        <w:jc w:val="both"/>
        <w:rPr>
          <w:rFonts w:ascii="Palatino Linotype" w:eastAsia="MS Mincho" w:hAnsi="Palatino Linotype"/>
          <w:color w:val="000000"/>
          <w:lang w:val="es-ES_tradnl"/>
        </w:rPr>
      </w:pPr>
      <w:r w:rsidRPr="00C23C61">
        <w:rPr>
          <w:rFonts w:ascii="Palatino Linotype" w:eastAsia="Calibri" w:hAnsi="Palatino Linotype" w:cs="Arial"/>
          <w:lang w:val="es-MX" w:eastAsia="en-US"/>
        </w:rPr>
        <w:t xml:space="preserve">Asimismo, es de señalar </w:t>
      </w:r>
      <w:r w:rsidR="000A015C" w:rsidRPr="00C23C61">
        <w:rPr>
          <w:rFonts w:ascii="Palatino Linotype" w:eastAsia="Calibri" w:hAnsi="Palatino Linotype" w:cs="Arial"/>
          <w:lang w:val="es-MX" w:eastAsia="en-US"/>
        </w:rPr>
        <w:t>que,</w:t>
      </w:r>
      <w:r w:rsidRPr="00C23C61">
        <w:rPr>
          <w:rFonts w:ascii="Palatino Linotype" w:eastAsia="Calibri" w:hAnsi="Palatino Linotype" w:cs="Arial"/>
          <w:lang w:val="es-MX" w:eastAsia="en-US"/>
        </w:rPr>
        <w:t xml:space="preserve"> </w:t>
      </w:r>
      <w:r w:rsidRPr="00C23C61">
        <w:rPr>
          <w:rFonts w:ascii="Palatino Linotype" w:eastAsia="MS Mincho" w:hAnsi="Palatino Linotype"/>
          <w:lang w:val="es-ES_tradnl"/>
        </w:rPr>
        <w:t xml:space="preserve">para actualizar el sobreseimiento de un recurso de revisión, el </w:t>
      </w:r>
      <w:r w:rsidRPr="00C23C61">
        <w:rPr>
          <w:rFonts w:ascii="Palatino Linotype" w:eastAsia="MS Mincho" w:hAnsi="Palatino Linotype"/>
          <w:b/>
          <w:lang w:val="es-ES_tradnl"/>
        </w:rPr>
        <w:t>SUJETO OBLIGADO</w:t>
      </w:r>
      <w:r w:rsidRPr="00C23C61">
        <w:rPr>
          <w:rFonts w:ascii="Palatino Linotype" w:eastAsia="MS Mincho" w:hAnsi="Palatino Linotype"/>
          <w:lang w:val="es-ES_tradnl"/>
        </w:rPr>
        <w:t xml:space="preserve"> puede entregar o completar la información al momento de rendir su informe justificado o, dentro de los siete días previstos para manifestar lo que a su derecho convenga</w:t>
      </w:r>
      <w:r w:rsidRPr="00C23C61">
        <w:rPr>
          <w:rFonts w:ascii="Palatino Linotype" w:eastAsia="Calibri" w:hAnsi="Palatino Linotype" w:cs="Arial"/>
        </w:rPr>
        <w:t>, ofrecer pruebas y alegatos; como se refiriera en párrafos anteriores.</w:t>
      </w:r>
    </w:p>
    <w:p w14:paraId="0CA35A55" w14:textId="77777777" w:rsidR="007F7B11" w:rsidRPr="00C23C61" w:rsidRDefault="007F7B11" w:rsidP="00CA6269">
      <w:pPr>
        <w:tabs>
          <w:tab w:val="left" w:pos="284"/>
          <w:tab w:val="left" w:pos="426"/>
        </w:tabs>
        <w:spacing w:line="360" w:lineRule="auto"/>
        <w:contextualSpacing/>
        <w:rPr>
          <w:rFonts w:ascii="Palatino Linotype" w:eastAsia="MS Mincho" w:hAnsi="Palatino Linotype"/>
          <w:color w:val="000000"/>
          <w:lang w:val="es-ES_tradnl"/>
        </w:rPr>
      </w:pPr>
    </w:p>
    <w:p w14:paraId="51D05DD1" w14:textId="0DBDD296" w:rsidR="00771BF2" w:rsidRPr="00C23C61" w:rsidRDefault="00771BF2" w:rsidP="008D346A">
      <w:pPr>
        <w:numPr>
          <w:ilvl w:val="0"/>
          <w:numId w:val="22"/>
        </w:numPr>
        <w:tabs>
          <w:tab w:val="left" w:pos="0"/>
        </w:tabs>
        <w:spacing w:before="240" w:after="240" w:line="360" w:lineRule="auto"/>
        <w:ind w:left="0" w:right="49" w:firstLine="0"/>
        <w:contextualSpacing/>
        <w:jc w:val="both"/>
        <w:rPr>
          <w:rFonts w:ascii="Palatino Linotype" w:eastAsia="MS Mincho" w:hAnsi="Palatino Linotype"/>
          <w:color w:val="000000"/>
          <w:lang w:val="es-ES_tradnl"/>
        </w:rPr>
      </w:pPr>
      <w:bookmarkStart w:id="48" w:name="_Toc466371865"/>
      <w:bookmarkStart w:id="49" w:name="_Toc466377653"/>
      <w:bookmarkStart w:id="50" w:name="_Toc495427547"/>
      <w:bookmarkStart w:id="51" w:name="_Toc497905366"/>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r w:rsidRPr="00C23C61">
        <w:rPr>
          <w:rFonts w:ascii="Palatino Linotype" w:eastAsia="MS Mincho" w:hAnsi="Palatino Linotype"/>
          <w:color w:val="000000"/>
          <w:lang w:val="es-ES_tradnl"/>
        </w:rPr>
        <w:t xml:space="preserve">Cabe destacar que la contestación a la solicitud de información </w:t>
      </w:r>
      <w:r w:rsidR="00570000" w:rsidRPr="00C23C61">
        <w:rPr>
          <w:rFonts w:ascii="Palatino Linotype" w:eastAsia="MS Mincho" w:hAnsi="Palatino Linotype"/>
          <w:b/>
          <w:bCs/>
          <w:color w:val="000000"/>
        </w:rPr>
        <w:t> </w:t>
      </w:r>
      <w:r w:rsidR="008D346A" w:rsidRPr="00C23C61">
        <w:rPr>
          <w:rFonts w:ascii="Palatino Linotype" w:eastAsia="MS Mincho" w:hAnsi="Palatino Linotype"/>
          <w:b/>
          <w:bCs/>
          <w:color w:val="000000"/>
        </w:rPr>
        <w:t>00417/TENANCIN/IP/2022</w:t>
      </w:r>
      <w:r w:rsidR="008D346A" w:rsidRPr="00C23C61">
        <w:rPr>
          <w:rFonts w:ascii="Palatino Linotype" w:eastAsia="MS Mincho" w:hAnsi="Palatino Linotype"/>
          <w:color w:val="000000"/>
          <w:lang w:val="es-ES_tradnl"/>
        </w:rPr>
        <w:t xml:space="preserve"> </w:t>
      </w:r>
      <w:r w:rsidRPr="00C23C61">
        <w:rPr>
          <w:rFonts w:ascii="Palatino Linotype" w:eastAsia="MS Mincho" w:hAnsi="Palatino Linotype"/>
          <w:color w:val="000000"/>
          <w:lang w:val="es-ES_tradnl"/>
        </w:rPr>
        <w:t xml:space="preserve">remitida por el </w:t>
      </w:r>
      <w:r w:rsidRPr="00C23C61">
        <w:rPr>
          <w:rFonts w:ascii="Palatino Linotype" w:eastAsia="MS Mincho" w:hAnsi="Palatino Linotype"/>
          <w:b/>
          <w:color w:val="000000"/>
          <w:lang w:val="es-ES_tradnl"/>
        </w:rPr>
        <w:t>SUJETO OBLIGADO</w:t>
      </w:r>
      <w:r w:rsidRPr="00C23C61">
        <w:rPr>
          <w:rFonts w:ascii="Palatino Linotype" w:eastAsia="MS Mincho" w:hAnsi="Palatino Linotype"/>
          <w:color w:val="000000"/>
          <w:lang w:val="es-ES_tradnl"/>
        </w:rPr>
        <w:t xml:space="preserve">, previamente plasmada, </w:t>
      </w:r>
      <w:r w:rsidR="00583E7B" w:rsidRPr="00C23C61">
        <w:rPr>
          <w:rFonts w:ascii="Palatino Linotype" w:eastAsia="MS Mincho" w:hAnsi="Palatino Linotype"/>
          <w:color w:val="000000"/>
          <w:lang w:val="es-ES_tradnl"/>
        </w:rPr>
        <w:t xml:space="preserve">atiende de forma parcial </w:t>
      </w:r>
      <w:r w:rsidRPr="00C23C61">
        <w:rPr>
          <w:rFonts w:ascii="Palatino Linotype" w:eastAsia="MS Mincho" w:hAnsi="Palatino Linotype"/>
          <w:color w:val="000000"/>
          <w:lang w:val="es-ES_tradnl"/>
        </w:rPr>
        <w:t xml:space="preserve">los requerimientos del </w:t>
      </w:r>
      <w:r w:rsidRPr="00C23C61">
        <w:rPr>
          <w:rFonts w:ascii="Palatino Linotype" w:eastAsia="MS Mincho" w:hAnsi="Palatino Linotype"/>
          <w:b/>
          <w:color w:val="000000"/>
          <w:lang w:val="es-ES_tradnl"/>
        </w:rPr>
        <w:t>RECURRENTE</w:t>
      </w:r>
      <w:r w:rsidR="00BE6825" w:rsidRPr="00C23C61">
        <w:rPr>
          <w:rFonts w:ascii="Palatino Linotype" w:eastAsia="MS Mincho" w:hAnsi="Palatino Linotype"/>
          <w:b/>
          <w:color w:val="000000"/>
          <w:lang w:val="es-ES_tradnl"/>
        </w:rPr>
        <w:t xml:space="preserve"> </w:t>
      </w:r>
      <w:r w:rsidR="00BE6825" w:rsidRPr="00C23C61">
        <w:rPr>
          <w:rFonts w:ascii="Palatino Linotype" w:eastAsia="MS Mincho" w:hAnsi="Palatino Linotype"/>
          <w:color w:val="000000"/>
          <w:lang w:val="es-ES_tradnl"/>
        </w:rPr>
        <w:t>ya que no se</w:t>
      </w:r>
      <w:r w:rsidR="00583E7B" w:rsidRPr="00C23C61">
        <w:rPr>
          <w:rFonts w:ascii="Palatino Linotype" w:eastAsia="MS Mincho" w:hAnsi="Palatino Linotype"/>
          <w:color w:val="000000"/>
          <w:lang w:val="es-ES_tradnl"/>
        </w:rPr>
        <w:t xml:space="preserve"> entregó la totalidad de la información solicitada en los términos que establece la Ley</w:t>
      </w:r>
      <w:r w:rsidRPr="00C23C61">
        <w:rPr>
          <w:rFonts w:ascii="Palatino Linotype" w:eastAsia="MS Mincho" w:hAnsi="Palatino Linotype"/>
          <w:color w:val="000000"/>
          <w:lang w:val="es-ES_tradnl"/>
        </w:rPr>
        <w:t xml:space="preserve">; sin embargo, será inminentemente excusado el ingreso al estudio y análisis de la misma, </w:t>
      </w:r>
      <w:r w:rsidR="00BE6825" w:rsidRPr="00C23C61">
        <w:rPr>
          <w:rFonts w:ascii="Palatino Linotype" w:eastAsia="MS Mincho" w:hAnsi="Palatino Linotype"/>
          <w:color w:val="000000"/>
          <w:lang w:val="es-ES_tradnl"/>
        </w:rPr>
        <w:t>en razón</w:t>
      </w:r>
      <w:r w:rsidRPr="00C23C61">
        <w:rPr>
          <w:rFonts w:ascii="Palatino Linotype" w:eastAsia="MS Mincho" w:hAnsi="Palatino Linotype"/>
          <w:color w:val="000000"/>
          <w:lang w:val="es-ES_tradnl"/>
        </w:rPr>
        <w:t xml:space="preserve"> de que, como quedara establecido </w:t>
      </w:r>
      <w:r w:rsidRPr="00C23C61">
        <w:rPr>
          <w:rFonts w:ascii="Palatino Linotype" w:eastAsia="MS Mincho" w:hAnsi="Palatino Linotype"/>
          <w:color w:val="000000"/>
          <w:lang w:val="es-ES_tradnl"/>
        </w:rPr>
        <w:lastRenderedPageBreak/>
        <w:t xml:space="preserve">en el párrafo </w:t>
      </w:r>
      <w:r w:rsidRPr="00C23C61">
        <w:rPr>
          <w:rFonts w:ascii="Palatino Linotype" w:eastAsia="MS Mincho" w:hAnsi="Palatino Linotype"/>
          <w:b/>
          <w:color w:val="000000"/>
          <w:lang w:val="es-ES_tradnl"/>
        </w:rPr>
        <w:t>09</w:t>
      </w:r>
      <w:r w:rsidRPr="00C23C61">
        <w:rPr>
          <w:rFonts w:ascii="Palatino Linotype" w:eastAsia="MS Mincho" w:hAnsi="Palatino Linotype"/>
          <w:color w:val="000000"/>
          <w:lang w:val="es-ES_tradnl"/>
        </w:rPr>
        <w:t xml:space="preserve"> de la presente resolución, </w:t>
      </w:r>
      <w:r w:rsidRPr="00C23C61">
        <w:rPr>
          <w:rFonts w:ascii="Palatino Linotype" w:eastAsia="MS Mincho" w:hAnsi="Palatino Linotype"/>
          <w:b/>
          <w:color w:val="000000"/>
          <w:lang w:val="es-ES_tradnl"/>
        </w:rPr>
        <w:t>el particular, por propio derecho, se desistió del recurso de revisión</w:t>
      </w:r>
      <w:r w:rsidRPr="00C23C61">
        <w:rPr>
          <w:rFonts w:ascii="Palatino Linotype" w:eastAsia="MS Mincho" w:hAnsi="Palatino Linotype"/>
          <w:color w:val="000000"/>
          <w:lang w:val="es-ES_tradnl"/>
        </w:rPr>
        <w:t xml:space="preserve"> que nos ocupa </w:t>
      </w:r>
      <w:r w:rsidR="008D346A" w:rsidRPr="00C23C61">
        <w:rPr>
          <w:rFonts w:ascii="Palatino Linotype" w:eastAsia="MS Mincho" w:hAnsi="Palatino Linotype"/>
          <w:color w:val="000000"/>
          <w:lang w:val="es-ES_tradnl"/>
        </w:rPr>
        <w:t>en fecha veintiuno (21</w:t>
      </w:r>
      <w:r w:rsidRPr="00C23C61">
        <w:rPr>
          <w:rFonts w:ascii="Palatino Linotype" w:eastAsia="MS Mincho" w:hAnsi="Palatino Linotype"/>
          <w:color w:val="000000"/>
          <w:lang w:val="es-ES_tradnl"/>
        </w:rPr>
        <w:t>) de</w:t>
      </w:r>
      <w:r w:rsidR="008D346A" w:rsidRPr="00C23C61">
        <w:rPr>
          <w:rFonts w:ascii="Palatino Linotype" w:eastAsia="MS Mincho" w:hAnsi="Palatino Linotype"/>
          <w:color w:val="000000"/>
          <w:lang w:val="es-ES_tradnl"/>
        </w:rPr>
        <w:t xml:space="preserve"> julio</w:t>
      </w:r>
      <w:r w:rsidR="00BE6825" w:rsidRPr="00C23C61">
        <w:rPr>
          <w:rFonts w:ascii="Palatino Linotype" w:eastAsia="MS Mincho" w:hAnsi="Palatino Linotype"/>
          <w:color w:val="000000"/>
          <w:lang w:val="es-ES_tradnl"/>
        </w:rPr>
        <w:t xml:space="preserve"> </w:t>
      </w:r>
      <w:r w:rsidR="00583E7B" w:rsidRPr="00C23C61">
        <w:rPr>
          <w:rFonts w:ascii="Palatino Linotype" w:eastAsia="MS Mincho" w:hAnsi="Palatino Linotype"/>
          <w:color w:val="000000"/>
          <w:lang w:val="es-ES_tradnl"/>
        </w:rPr>
        <w:t>de dos mil veintidós</w:t>
      </w:r>
      <w:r w:rsidRPr="00C23C61">
        <w:rPr>
          <w:rFonts w:ascii="Palatino Linotype" w:eastAsia="MS Mincho" w:hAnsi="Palatino Linotype"/>
          <w:color w:val="000000"/>
          <w:lang w:val="es-ES_tradnl"/>
        </w:rPr>
        <w:t>, como se ilustra a continuación:</w:t>
      </w:r>
      <w:r w:rsidR="00BE6825" w:rsidRPr="00C23C61">
        <w:rPr>
          <w:rFonts w:ascii="Palatino Linotype" w:hAnsi="Palatino Linotype"/>
          <w:noProof/>
          <w:lang w:val="es-MX" w:eastAsia="en-US"/>
        </w:rPr>
        <w:t xml:space="preserve"> </w:t>
      </w:r>
    </w:p>
    <w:p w14:paraId="41AC0972" w14:textId="77777777" w:rsidR="00771BF2" w:rsidRPr="00C23C61" w:rsidRDefault="00771BF2" w:rsidP="00CA6269">
      <w:pPr>
        <w:spacing w:before="240" w:after="240" w:line="360" w:lineRule="auto"/>
        <w:ind w:left="426" w:right="49"/>
        <w:contextualSpacing/>
        <w:jc w:val="both"/>
        <w:rPr>
          <w:rFonts w:ascii="Palatino Linotype" w:eastAsia="MS Mincho" w:hAnsi="Palatino Linotype"/>
          <w:color w:val="000000"/>
          <w:lang w:val="es-ES_tradnl"/>
        </w:rPr>
      </w:pPr>
    </w:p>
    <w:p w14:paraId="7FF3312D" w14:textId="57A9EC8C" w:rsidR="00771BF2" w:rsidRPr="00C23C61" w:rsidRDefault="00C23C61" w:rsidP="00583E7B">
      <w:pPr>
        <w:spacing w:before="240" w:after="240" w:line="360" w:lineRule="auto"/>
        <w:ind w:left="709" w:right="49" w:hanging="142"/>
        <w:contextualSpacing/>
        <w:jc w:val="center"/>
        <w:rPr>
          <w:rFonts w:ascii="Palatino Linotype" w:eastAsia="MS Mincho" w:hAnsi="Palatino Linotype"/>
          <w:color w:val="000000"/>
          <w:lang w:val="es-ES_tradnl"/>
        </w:rPr>
      </w:pPr>
      <w:r w:rsidRPr="00C23C61">
        <w:rPr>
          <w:noProof/>
          <w:lang w:val="es-MX" w:eastAsia="es-MX"/>
        </w:rPr>
        <w:drawing>
          <wp:inline distT="0" distB="0" distL="0" distR="0" wp14:anchorId="361EF70F" wp14:editId="1D2BBB83">
            <wp:extent cx="5297241" cy="265449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0766" t="30698" r="25316" b="30174"/>
                    <a:stretch/>
                  </pic:blipFill>
                  <pic:spPr bwMode="auto">
                    <a:xfrm>
                      <a:off x="0" y="0"/>
                      <a:ext cx="5328753" cy="2670281"/>
                    </a:xfrm>
                    <a:prstGeom prst="rect">
                      <a:avLst/>
                    </a:prstGeom>
                    <a:ln>
                      <a:noFill/>
                    </a:ln>
                    <a:extLst>
                      <a:ext uri="{53640926-AAD7-44D8-BBD7-CCE9431645EC}">
                        <a14:shadowObscured xmlns:a14="http://schemas.microsoft.com/office/drawing/2010/main"/>
                      </a:ext>
                    </a:extLst>
                  </pic:spPr>
                </pic:pic>
              </a:graphicData>
            </a:graphic>
          </wp:inline>
        </w:drawing>
      </w:r>
    </w:p>
    <w:p w14:paraId="3BF53981" w14:textId="77777777" w:rsidR="008D346A" w:rsidRPr="00C23C61" w:rsidRDefault="008D346A" w:rsidP="00C23C61">
      <w:pPr>
        <w:spacing w:before="240" w:after="240" w:line="360" w:lineRule="auto"/>
        <w:ind w:right="49"/>
        <w:contextualSpacing/>
        <w:rPr>
          <w:rFonts w:ascii="Palatino Linotype" w:eastAsia="MS Mincho" w:hAnsi="Palatino Linotype"/>
          <w:color w:val="000000"/>
          <w:lang w:val="es-ES_tradnl"/>
        </w:rPr>
      </w:pPr>
    </w:p>
    <w:p w14:paraId="2FB29897" w14:textId="45A1F92A" w:rsidR="00771BF2" w:rsidRPr="00C23C61" w:rsidRDefault="00C23C61" w:rsidP="00CA6269">
      <w:pPr>
        <w:spacing w:before="240" w:after="240" w:line="360" w:lineRule="auto"/>
        <w:ind w:left="426" w:right="49"/>
        <w:contextualSpacing/>
        <w:jc w:val="center"/>
        <w:rPr>
          <w:rFonts w:ascii="Palatino Linotype" w:eastAsia="MS Mincho" w:hAnsi="Palatino Linotype"/>
          <w:color w:val="000000"/>
          <w:lang w:val="es-ES_tradnl"/>
        </w:rPr>
      </w:pPr>
      <w:r w:rsidRPr="00C23C61">
        <w:rPr>
          <w:noProof/>
          <w:lang w:val="es-MX" w:eastAsia="es-MX"/>
        </w:rPr>
        <w:drawing>
          <wp:inline distT="0" distB="0" distL="0" distR="0" wp14:anchorId="71E09A8B" wp14:editId="4893EAB1">
            <wp:extent cx="5225554" cy="2115403"/>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1386" t="33516" r="30779" b="39253"/>
                    <a:stretch/>
                  </pic:blipFill>
                  <pic:spPr bwMode="auto">
                    <a:xfrm>
                      <a:off x="0" y="0"/>
                      <a:ext cx="5262515" cy="2130366"/>
                    </a:xfrm>
                    <a:prstGeom prst="rect">
                      <a:avLst/>
                    </a:prstGeom>
                    <a:ln>
                      <a:noFill/>
                    </a:ln>
                    <a:extLst>
                      <a:ext uri="{53640926-AAD7-44D8-BBD7-CCE9431645EC}">
                        <a14:shadowObscured xmlns:a14="http://schemas.microsoft.com/office/drawing/2010/main"/>
                      </a:ext>
                    </a:extLst>
                  </pic:spPr>
                </pic:pic>
              </a:graphicData>
            </a:graphic>
          </wp:inline>
        </w:drawing>
      </w:r>
    </w:p>
    <w:p w14:paraId="5395A438" w14:textId="7FFC77D6" w:rsidR="00BE6825" w:rsidRPr="00C23C61" w:rsidRDefault="00BE6825" w:rsidP="00583E7B">
      <w:pPr>
        <w:spacing w:before="240" w:after="240" w:line="360" w:lineRule="auto"/>
        <w:ind w:left="426" w:right="49"/>
        <w:contextualSpacing/>
        <w:rPr>
          <w:rFonts w:ascii="Palatino Linotype" w:eastAsia="MS Mincho" w:hAnsi="Palatino Linotype"/>
          <w:color w:val="000000"/>
          <w:lang w:val="es-ES_tradnl"/>
        </w:rPr>
      </w:pPr>
    </w:p>
    <w:p w14:paraId="6D1D106D" w14:textId="43EF26A5" w:rsidR="00771BF2" w:rsidRPr="00C23C61" w:rsidRDefault="00771BF2" w:rsidP="00583E7B">
      <w:pPr>
        <w:numPr>
          <w:ilvl w:val="0"/>
          <w:numId w:val="22"/>
        </w:numPr>
        <w:tabs>
          <w:tab w:val="left" w:pos="426"/>
        </w:tabs>
        <w:spacing w:before="240" w:after="240" w:line="360" w:lineRule="auto"/>
        <w:ind w:left="0" w:right="49" w:firstLine="0"/>
        <w:contextualSpacing/>
        <w:jc w:val="both"/>
        <w:rPr>
          <w:rFonts w:ascii="Palatino Linotype" w:eastAsia="MS Mincho" w:hAnsi="Palatino Linotype"/>
          <w:color w:val="000000"/>
          <w:lang w:val="es-ES_tradnl"/>
        </w:rPr>
      </w:pPr>
      <w:r w:rsidRPr="00C23C61">
        <w:rPr>
          <w:rFonts w:ascii="Palatino Linotype" w:eastAsia="MS Mincho" w:hAnsi="Palatino Linotype"/>
          <w:color w:val="000000"/>
          <w:lang w:val="es-ES_tradnl"/>
        </w:rPr>
        <w:t xml:space="preserve">De las imágenes insertas, se advierte que efectivamente el particular hizo uso de la opción </w:t>
      </w:r>
      <w:r w:rsidRPr="00C23C61">
        <w:rPr>
          <w:rFonts w:ascii="Palatino Linotype" w:eastAsia="MS Mincho" w:hAnsi="Palatino Linotype"/>
          <w:b/>
          <w:i/>
          <w:color w:val="000000"/>
          <w:lang w:val="es-ES_tradnl"/>
        </w:rPr>
        <w:t>“Desistir”</w:t>
      </w:r>
      <w:r w:rsidRPr="00C23C61">
        <w:rPr>
          <w:rFonts w:ascii="Palatino Linotype" w:eastAsia="MS Mincho" w:hAnsi="Palatino Linotype"/>
          <w:color w:val="000000"/>
          <w:lang w:val="es-ES_tradnl"/>
        </w:rPr>
        <w:t xml:space="preserve"> al recurso de revisión en el SAIMEX, opción que </w:t>
      </w:r>
      <w:r w:rsidRPr="00C23C61">
        <w:rPr>
          <w:rFonts w:ascii="Palatino Linotype" w:eastAsia="MS Mincho" w:hAnsi="Palatino Linotype"/>
          <w:b/>
          <w:color w:val="000000"/>
          <w:u w:val="single"/>
          <w:lang w:val="es-ES_tradnl"/>
        </w:rPr>
        <w:t>ÚNICAMENTE</w:t>
      </w:r>
      <w:r w:rsidRPr="00C23C61">
        <w:rPr>
          <w:rFonts w:ascii="Palatino Linotype" w:eastAsia="MS Mincho" w:hAnsi="Palatino Linotype"/>
          <w:color w:val="000000"/>
          <w:lang w:val="es-ES_tradnl"/>
        </w:rPr>
        <w:t xml:space="preserve"> </w:t>
      </w:r>
      <w:r w:rsidR="008D346A" w:rsidRPr="00C23C61">
        <w:rPr>
          <w:rFonts w:ascii="Palatino Linotype" w:eastAsia="MS Mincho" w:hAnsi="Palatino Linotype"/>
          <w:color w:val="000000"/>
          <w:lang w:val="es-ES_tradnl"/>
        </w:rPr>
        <w:t>puede hacer uso el usuario titular</w:t>
      </w:r>
      <w:r w:rsidRPr="00C23C61">
        <w:rPr>
          <w:rFonts w:ascii="Palatino Linotype" w:eastAsia="MS Mincho" w:hAnsi="Palatino Linotype"/>
          <w:color w:val="000000"/>
          <w:lang w:val="es-ES_tradnl"/>
        </w:rPr>
        <w:t xml:space="preserve"> de la cuenta, previo ingreso de </w:t>
      </w:r>
      <w:r w:rsidRPr="00C23C61">
        <w:rPr>
          <w:rFonts w:ascii="Palatino Linotype" w:eastAsia="MS Mincho" w:hAnsi="Palatino Linotype"/>
          <w:color w:val="000000"/>
          <w:lang w:val="es-ES_tradnl"/>
        </w:rPr>
        <w:lastRenderedPageBreak/>
        <w:t xml:space="preserve">su nombre de usuario y contraseña; asimismo referir que el </w:t>
      </w:r>
      <w:r w:rsidRPr="00C23C61">
        <w:rPr>
          <w:rFonts w:ascii="Palatino Linotype" w:eastAsia="MS Mincho" w:hAnsi="Palatino Linotype"/>
          <w:b/>
          <w:color w:val="000000"/>
          <w:lang w:val="es-ES_tradnl"/>
        </w:rPr>
        <w:t>SOLICITANTE</w:t>
      </w:r>
      <w:r w:rsidRPr="00C23C61">
        <w:rPr>
          <w:rFonts w:ascii="Palatino Linotype" w:eastAsia="MS Mincho" w:hAnsi="Palatino Linotype"/>
          <w:color w:val="000000"/>
          <w:lang w:val="es-ES_tradnl"/>
        </w:rPr>
        <w:t xml:space="preserve"> manifestó dentro del cuerpo del desistimiento en comento </w:t>
      </w:r>
      <w:r w:rsidRPr="00C23C61">
        <w:rPr>
          <w:rFonts w:ascii="Palatino Linotype" w:eastAsia="MS Mincho" w:hAnsi="Palatino Linotype"/>
          <w:i/>
          <w:color w:val="000000"/>
          <w:lang w:val="es-ES_tradnl"/>
        </w:rPr>
        <w:t>“</w:t>
      </w:r>
      <w:r w:rsidR="008D346A" w:rsidRPr="00C23C61">
        <w:rPr>
          <w:rFonts w:ascii="Palatino Linotype" w:eastAsia="MS Mincho" w:hAnsi="Palatino Linotype"/>
          <w:i/>
          <w:color w:val="000000"/>
        </w:rPr>
        <w:t>Por así convenir a mis intereses personales</w:t>
      </w:r>
      <w:r w:rsidRPr="00C23C61">
        <w:rPr>
          <w:rFonts w:ascii="Palatino Linotype" w:eastAsia="MS Mincho" w:hAnsi="Palatino Linotype"/>
          <w:i/>
          <w:color w:val="000000"/>
          <w:lang w:val="es-ES_tradnl"/>
        </w:rPr>
        <w:t>”</w:t>
      </w:r>
      <w:r w:rsidRPr="00C23C61">
        <w:rPr>
          <w:rFonts w:ascii="Palatino Linotype" w:eastAsia="MS Mincho" w:hAnsi="Palatino Linotype"/>
          <w:color w:val="000000"/>
          <w:lang w:val="es-ES_tradnl"/>
        </w:rPr>
        <w:t xml:space="preserve"> como se puede apreciar en la segunda imagen, lo cual manifiesta la exteriorización de un pronunciamiento personal, imposible de ser escrito de manera automatizada; así las cosas, cabe resaltar de igual manera que, al seleccionar la opción de </w:t>
      </w:r>
      <w:r w:rsidRPr="00C23C61">
        <w:rPr>
          <w:rFonts w:ascii="Palatino Linotype" w:eastAsia="MS Mincho" w:hAnsi="Palatino Linotype"/>
          <w:b/>
          <w:color w:val="000000"/>
          <w:lang w:val="es-ES_tradnl"/>
        </w:rPr>
        <w:t>desistimiento</w:t>
      </w:r>
      <w:r w:rsidRPr="00C23C61">
        <w:rPr>
          <w:rFonts w:ascii="Palatino Linotype" w:eastAsia="MS Mincho" w:hAnsi="Palatino Linotype"/>
          <w:color w:val="000000"/>
          <w:lang w:val="es-ES_tradnl"/>
        </w:rPr>
        <w:t xml:space="preserve">, aparece al usuario una ventana de alerta con el objeto de que confirme que efectivamente es su deseo </w:t>
      </w:r>
      <w:r w:rsidRPr="00C23C61">
        <w:rPr>
          <w:rFonts w:ascii="Palatino Linotype" w:eastAsia="MS Mincho" w:hAnsi="Palatino Linotype"/>
          <w:b/>
          <w:color w:val="000000"/>
          <w:lang w:val="es-ES_tradnl"/>
        </w:rPr>
        <w:t>desistirse</w:t>
      </w:r>
      <w:r w:rsidRPr="00C23C61">
        <w:rPr>
          <w:rFonts w:ascii="Palatino Linotype" w:eastAsia="MS Mincho" w:hAnsi="Palatino Linotype"/>
          <w:color w:val="000000"/>
          <w:lang w:val="es-ES_tradnl"/>
        </w:rPr>
        <w:t xml:space="preserve"> del recurso; </w:t>
      </w:r>
      <w:r w:rsidRPr="00C23C61">
        <w:rPr>
          <w:rFonts w:ascii="Palatino Linotype" w:eastAsia="MS Mincho" w:hAnsi="Palatino Linotype"/>
          <w:b/>
          <w:color w:val="000000"/>
          <w:lang w:val="es-ES_tradnl"/>
        </w:rPr>
        <w:t>luego entonces no ha lugar suponer que fue por error involuntario, lo que se constituye como un desistimiento expreso</w:t>
      </w:r>
      <w:r w:rsidRPr="00C23C61">
        <w:rPr>
          <w:rFonts w:ascii="Palatino Linotype" w:eastAsia="MS Mincho" w:hAnsi="Palatino Linotype"/>
          <w:color w:val="000000"/>
          <w:lang w:val="es-ES_tradnl"/>
        </w:rPr>
        <w:t>.</w:t>
      </w:r>
    </w:p>
    <w:p w14:paraId="0F0C0A88" w14:textId="77777777" w:rsidR="00771BF2" w:rsidRPr="00C23C61" w:rsidRDefault="00771BF2" w:rsidP="00CA6269">
      <w:pPr>
        <w:tabs>
          <w:tab w:val="left" w:pos="426"/>
        </w:tabs>
        <w:spacing w:before="240" w:after="240" w:line="360" w:lineRule="auto"/>
        <w:ind w:right="49"/>
        <w:contextualSpacing/>
        <w:jc w:val="both"/>
        <w:rPr>
          <w:rFonts w:ascii="Palatino Linotype" w:eastAsia="MS Mincho" w:hAnsi="Palatino Linotype"/>
          <w:color w:val="000000"/>
          <w:lang w:val="es-ES_tradnl"/>
        </w:rPr>
      </w:pPr>
    </w:p>
    <w:p w14:paraId="5BFCAA4B" w14:textId="77777777" w:rsidR="00771BF2" w:rsidRPr="00C23C61" w:rsidRDefault="00771BF2" w:rsidP="00CA6269">
      <w:pPr>
        <w:numPr>
          <w:ilvl w:val="0"/>
          <w:numId w:val="22"/>
        </w:numPr>
        <w:tabs>
          <w:tab w:val="left" w:pos="426"/>
        </w:tabs>
        <w:spacing w:before="240" w:after="240" w:line="360" w:lineRule="auto"/>
        <w:ind w:left="0" w:right="49" w:firstLine="0"/>
        <w:contextualSpacing/>
        <w:jc w:val="both"/>
        <w:rPr>
          <w:rFonts w:ascii="Palatino Linotype" w:eastAsia="MS Mincho" w:hAnsi="Palatino Linotype"/>
          <w:color w:val="000000"/>
          <w:lang w:val="es-ES_tradnl"/>
        </w:rPr>
      </w:pPr>
      <w:r w:rsidRPr="00C23C61">
        <w:rPr>
          <w:rFonts w:ascii="Palatino Linotype" w:eastAsia="MS Mincho" w:hAnsi="Palatino Linotype"/>
          <w:color w:val="000000"/>
          <w:lang w:val="es-ES_tradnl"/>
        </w:rPr>
        <w:t>En ese orden de ideas el articulo 192</w:t>
      </w:r>
      <w:r w:rsidRPr="00C23C61">
        <w:rPr>
          <w:rFonts w:ascii="Palatino Linotype" w:eastAsiaTheme="minorEastAsia" w:hAnsi="Palatino Linotype" w:cstheme="minorBidi"/>
          <w:lang w:val="es-ES_tradnl"/>
        </w:rPr>
        <w:t xml:space="preserve"> </w:t>
      </w:r>
      <w:r w:rsidRPr="00C23C61">
        <w:rPr>
          <w:rFonts w:ascii="Palatino Linotype" w:eastAsia="MS Mincho" w:hAnsi="Palatino Linotype"/>
          <w:color w:val="000000"/>
          <w:lang w:val="es-ES_tradnl"/>
        </w:rPr>
        <w:t>Ley de Transparencia y Acceso a la Información Pública del Estado de México y Municipios, establece lo siguiente:</w:t>
      </w:r>
    </w:p>
    <w:p w14:paraId="071DE381" w14:textId="77777777" w:rsidR="00771BF2" w:rsidRPr="00C23C61" w:rsidRDefault="00771BF2" w:rsidP="00CA6269">
      <w:pPr>
        <w:spacing w:line="360" w:lineRule="auto"/>
        <w:ind w:left="720"/>
        <w:contextualSpacing/>
        <w:rPr>
          <w:rFonts w:ascii="Palatino Linotype" w:eastAsia="MS Mincho" w:hAnsi="Palatino Linotype"/>
          <w:color w:val="000000"/>
          <w:lang w:val="es-ES_tradnl"/>
        </w:rPr>
      </w:pPr>
    </w:p>
    <w:p w14:paraId="4C14144F" w14:textId="103370B3" w:rsidR="008D346A" w:rsidRPr="00C23C61" w:rsidRDefault="00771BF2" w:rsidP="001F24A5">
      <w:pPr>
        <w:spacing w:before="240" w:after="240" w:line="360" w:lineRule="auto"/>
        <w:ind w:left="567" w:right="567"/>
        <w:contextualSpacing/>
        <w:jc w:val="both"/>
        <w:rPr>
          <w:rFonts w:ascii="Palatino Linotype" w:eastAsia="MS Mincho" w:hAnsi="Palatino Linotype"/>
          <w:i/>
          <w:color w:val="000000"/>
          <w:lang w:val="es-ES_tradnl"/>
        </w:rPr>
      </w:pPr>
      <w:r w:rsidRPr="00C23C61">
        <w:rPr>
          <w:rFonts w:ascii="Palatino Linotype" w:eastAsia="MS Mincho" w:hAnsi="Palatino Linotype"/>
          <w:i/>
          <w:color w:val="000000"/>
          <w:lang w:val="es-ES_tradnl"/>
        </w:rPr>
        <w:t>“</w:t>
      </w:r>
      <w:r w:rsidRPr="00C23C61">
        <w:rPr>
          <w:rFonts w:ascii="Palatino Linotype" w:eastAsia="MS Mincho" w:hAnsi="Palatino Linotype"/>
          <w:b/>
          <w:i/>
          <w:color w:val="000000"/>
          <w:lang w:val="es-ES_tradnl"/>
        </w:rPr>
        <w:t>Artículo 192.</w:t>
      </w:r>
      <w:r w:rsidRPr="00C23C61">
        <w:rPr>
          <w:rFonts w:ascii="Palatino Linotype" w:eastAsia="MS Mincho" w:hAnsi="Palatino Linotype"/>
          <w:i/>
          <w:color w:val="000000"/>
          <w:lang w:val="es-ES_tradnl"/>
        </w:rPr>
        <w:t xml:space="preserve"> El recurso será sobreseído, en todo o en parte, cuando una vez admitido, se actualicen alguno de los siguientes supuestos:</w:t>
      </w:r>
    </w:p>
    <w:p w14:paraId="3B2EBBF3" w14:textId="77777777" w:rsidR="00771BF2" w:rsidRPr="00C23C61" w:rsidRDefault="00771BF2" w:rsidP="00CA6269">
      <w:pPr>
        <w:spacing w:before="240" w:after="240" w:line="360" w:lineRule="auto"/>
        <w:ind w:left="567" w:right="567"/>
        <w:contextualSpacing/>
        <w:jc w:val="both"/>
        <w:rPr>
          <w:rFonts w:ascii="Palatino Linotype" w:eastAsia="MS Mincho" w:hAnsi="Palatino Linotype"/>
          <w:i/>
          <w:color w:val="000000"/>
          <w:lang w:val="es-ES_tradnl"/>
        </w:rPr>
      </w:pPr>
      <w:r w:rsidRPr="00C23C61">
        <w:rPr>
          <w:rFonts w:ascii="Palatino Linotype" w:eastAsia="MS Mincho" w:hAnsi="Palatino Linotype"/>
          <w:b/>
          <w:i/>
          <w:color w:val="000000"/>
          <w:lang w:val="es-ES_tradnl"/>
        </w:rPr>
        <w:t>I.</w:t>
      </w:r>
      <w:r w:rsidRPr="00C23C61">
        <w:rPr>
          <w:rFonts w:ascii="Palatino Linotype" w:eastAsia="MS Mincho" w:hAnsi="Palatino Linotype"/>
          <w:i/>
          <w:color w:val="000000"/>
          <w:lang w:val="es-ES_tradnl"/>
        </w:rPr>
        <w:t xml:space="preserve"> El recurrente se desista expresamente del recurso;</w:t>
      </w:r>
    </w:p>
    <w:p w14:paraId="0AED3538" w14:textId="77777777" w:rsidR="00771BF2" w:rsidRPr="00C23C61" w:rsidRDefault="00771BF2" w:rsidP="00CA6269">
      <w:pPr>
        <w:spacing w:before="240" w:after="240" w:line="360" w:lineRule="auto"/>
        <w:ind w:left="567" w:right="567"/>
        <w:contextualSpacing/>
        <w:jc w:val="both"/>
        <w:rPr>
          <w:rFonts w:ascii="Palatino Linotype" w:eastAsia="MS Mincho" w:hAnsi="Palatino Linotype"/>
          <w:i/>
          <w:color w:val="000000"/>
          <w:lang w:val="es-ES_tradnl"/>
        </w:rPr>
      </w:pPr>
      <w:r w:rsidRPr="00C23C61">
        <w:rPr>
          <w:rFonts w:ascii="Palatino Linotype" w:eastAsia="MS Mincho" w:hAnsi="Palatino Linotype"/>
          <w:i/>
          <w:color w:val="000000"/>
          <w:lang w:val="es-ES_tradnl"/>
        </w:rPr>
        <w:t>(…)”</w:t>
      </w:r>
    </w:p>
    <w:p w14:paraId="491F53F3" w14:textId="77777777" w:rsidR="00771BF2" w:rsidRPr="00C23C61" w:rsidRDefault="00771BF2" w:rsidP="00CA6269">
      <w:pPr>
        <w:spacing w:before="240" w:after="240" w:line="360" w:lineRule="auto"/>
        <w:ind w:left="426" w:right="49"/>
        <w:contextualSpacing/>
        <w:jc w:val="both"/>
        <w:rPr>
          <w:rFonts w:ascii="Palatino Linotype" w:eastAsia="MS Mincho" w:hAnsi="Palatino Linotype"/>
          <w:color w:val="000000"/>
          <w:lang w:val="es-ES_tradnl"/>
        </w:rPr>
      </w:pPr>
    </w:p>
    <w:p w14:paraId="51E46A5E" w14:textId="77777777" w:rsidR="00771BF2" w:rsidRPr="00C23C61" w:rsidRDefault="00771BF2" w:rsidP="00CA6269">
      <w:pPr>
        <w:numPr>
          <w:ilvl w:val="0"/>
          <w:numId w:val="22"/>
        </w:numPr>
        <w:tabs>
          <w:tab w:val="left" w:pos="426"/>
        </w:tabs>
        <w:spacing w:before="240" w:after="240" w:line="360" w:lineRule="auto"/>
        <w:ind w:left="0" w:right="49" w:firstLine="0"/>
        <w:contextualSpacing/>
        <w:jc w:val="both"/>
        <w:rPr>
          <w:rFonts w:ascii="Palatino Linotype" w:eastAsia="MS Mincho" w:hAnsi="Palatino Linotype"/>
          <w:color w:val="000000"/>
          <w:lang w:val="es-ES_tradnl"/>
        </w:rPr>
      </w:pPr>
      <w:r w:rsidRPr="00C23C61">
        <w:rPr>
          <w:rFonts w:ascii="Palatino Linotype" w:eastAsia="MS Mincho" w:hAnsi="Palatino Linotype"/>
          <w:color w:val="000000"/>
          <w:lang w:val="es-ES_tradnl"/>
        </w:rPr>
        <w:t>Robustece lo anterior la tesis aislada I.15o.T.2 K (10a.), del Décimo Quinto Tribunal Colegiado en Materia de Trabajo del Primer Circuito, misma que se anexa a continuación:</w:t>
      </w:r>
    </w:p>
    <w:p w14:paraId="42D170DD" w14:textId="77777777" w:rsidR="00771BF2" w:rsidRPr="00C23C61" w:rsidRDefault="00771BF2" w:rsidP="00CA6269">
      <w:pPr>
        <w:tabs>
          <w:tab w:val="left" w:pos="426"/>
        </w:tabs>
        <w:spacing w:before="240" w:after="240" w:line="360" w:lineRule="auto"/>
        <w:ind w:right="49"/>
        <w:contextualSpacing/>
        <w:jc w:val="both"/>
        <w:rPr>
          <w:rFonts w:ascii="Palatino Linotype" w:eastAsia="MS Mincho" w:hAnsi="Palatino Linotype"/>
          <w:color w:val="000000"/>
          <w:lang w:val="es-ES_tradnl"/>
        </w:rPr>
      </w:pPr>
    </w:p>
    <w:p w14:paraId="11888AB2" w14:textId="21D19D52" w:rsidR="007F7B11" w:rsidRPr="00C23C61" w:rsidRDefault="00771BF2" w:rsidP="001F24A5">
      <w:pPr>
        <w:spacing w:line="276" w:lineRule="auto"/>
        <w:ind w:left="567" w:right="567"/>
        <w:jc w:val="both"/>
        <w:rPr>
          <w:rFonts w:ascii="Palatino Linotype" w:eastAsiaTheme="minorEastAsia" w:hAnsi="Palatino Linotype" w:cstheme="minorBidi"/>
          <w:i/>
          <w:lang w:val="es-ES_tradnl"/>
        </w:rPr>
      </w:pPr>
      <w:r w:rsidRPr="00C23C61">
        <w:rPr>
          <w:rFonts w:ascii="Palatino Linotype" w:eastAsiaTheme="minorEastAsia" w:hAnsi="Palatino Linotype" w:cstheme="minorBidi"/>
          <w:b/>
          <w:i/>
          <w:lang w:val="es-ES_tradnl"/>
        </w:rPr>
        <w:t xml:space="preserve">DESISTIMIENTO DEL RECURSO DE REVISIÓN EN AMPARO INDIRECTO. ES INNECESARIO QUE SE RATIFIQUE EL ESCRITO CORRESPONDIENTE, CUANDO SU REQUERIMIENTO SE </w:t>
      </w:r>
      <w:r w:rsidRPr="00C23C61">
        <w:rPr>
          <w:rFonts w:ascii="Palatino Linotype" w:eastAsiaTheme="minorEastAsia" w:hAnsi="Palatino Linotype" w:cstheme="minorBidi"/>
          <w:b/>
          <w:i/>
          <w:lang w:val="es-ES_tradnl"/>
        </w:rPr>
        <w:lastRenderedPageBreak/>
        <w:t>NOTIFICÓ PERSONALMENTE.</w:t>
      </w:r>
      <w:r w:rsidRPr="00C23C61">
        <w:rPr>
          <w:rFonts w:ascii="Palatino Linotype" w:eastAsiaTheme="minorEastAsia" w:hAnsi="Palatino Linotype" w:cstheme="minorBidi"/>
          <w:i/>
          <w:lang w:val="es-ES_tradnl"/>
        </w:rPr>
        <w:t xml:space="preserve"> “Si el quejoso en un juicio de amparo indirecto interpone recurso de revisión contra la sentencia dictada por el Juez de Distrito y una vez que el asunto se encuentra radicado ante el Tribunal Colegiado de Circuito competente, se desiste de dicho medio de defensa, es innecesario que ratifique el escrito relativo ante el órgano revisor, siempre y cuando el requerimiento en que se solicitó su presencia a efecto de que lo ratifique, se haya notificado personalmente, pues con ello se cumplió el artículo 26, fracción I, inciso d), de la Ley de Amparo; por lo que si no acudió a ratificar el citado escrito, su voluntad de desistir del recurso interpuesto debe seguir prevaleciendo, pues sólo tiene como consecuencia la firmeza de la sentencia impugnada, máxime si se le apercibió con tenerlo por ratificado en caso de no acudir; además, esa circunstancia no soslaya el artículo 63, fracción I, de la citada ley, toda vez que esa disposición se refiere a la hipótesis en que el quejoso se desiste de la demanda de amparo, entendiéndose tal aspecto como el desistimiento de la acción que originó el juicio constitucional, lo cual conduce a decretar el sobreseimiento.”</w:t>
      </w:r>
    </w:p>
    <w:p w14:paraId="0D495F51" w14:textId="2CACC1AD" w:rsidR="008D346A" w:rsidRPr="00C23C61" w:rsidRDefault="00AC3F44" w:rsidP="00CA6269">
      <w:pPr>
        <w:keepNext/>
        <w:keepLines/>
        <w:suppressAutoHyphens/>
        <w:spacing w:before="240" w:line="360" w:lineRule="auto"/>
        <w:outlineLvl w:val="0"/>
        <w:rPr>
          <w:rFonts w:ascii="Palatino Linotype" w:hAnsi="Palatino Linotype"/>
          <w:b/>
          <w:color w:val="000000"/>
        </w:rPr>
      </w:pPr>
      <w:bookmarkStart w:id="52" w:name="_Toc110973010"/>
      <w:r w:rsidRPr="00C23C61">
        <w:rPr>
          <w:rFonts w:ascii="Palatino Linotype" w:hAnsi="Palatino Linotype"/>
          <w:b/>
          <w:color w:val="000000"/>
        </w:rPr>
        <w:t>CUARTO. De la decisión.</w:t>
      </w:r>
      <w:bookmarkEnd w:id="52"/>
      <w:r w:rsidRPr="00C23C61">
        <w:rPr>
          <w:rFonts w:ascii="Palatino Linotype" w:hAnsi="Palatino Linotype"/>
          <w:b/>
          <w:color w:val="000000"/>
        </w:rPr>
        <w:t xml:space="preserve"> </w:t>
      </w:r>
    </w:p>
    <w:p w14:paraId="2E062B65" w14:textId="4D9713FB" w:rsidR="00AC3F44" w:rsidRPr="00C23C61" w:rsidRDefault="008D346A" w:rsidP="00CA6269">
      <w:pPr>
        <w:pStyle w:val="Prrafodelista"/>
        <w:numPr>
          <w:ilvl w:val="0"/>
          <w:numId w:val="22"/>
        </w:numPr>
        <w:suppressAutoHyphens/>
        <w:spacing w:before="240" w:after="240" w:line="360" w:lineRule="auto"/>
        <w:ind w:left="0" w:right="49" w:firstLine="0"/>
        <w:contextualSpacing/>
        <w:jc w:val="both"/>
        <w:rPr>
          <w:rFonts w:ascii="Palatino Linotype" w:hAnsi="Palatino Linotype" w:cs="Arial"/>
          <w:lang w:val="es-MX" w:eastAsia="es-ES_tradnl"/>
        </w:rPr>
      </w:pPr>
      <w:r w:rsidRPr="00C23C61">
        <w:rPr>
          <w:rFonts w:ascii="Palatino Linotype" w:hAnsi="Palatino Linotype" w:cs="Tahoma"/>
          <w:lang w:val="es-MX"/>
        </w:rPr>
        <w:t>Con base en todo lo expuesto, y</w:t>
      </w:r>
      <w:r w:rsidR="00AC3F44" w:rsidRPr="00C23C61">
        <w:rPr>
          <w:rFonts w:ascii="Palatino Linotype" w:hAnsi="Palatino Linotype" w:cs="Tahoma"/>
          <w:lang w:val="es-MX"/>
        </w:rPr>
        <w:t xml:space="preserve"> con fundamento en el artículo 186, fracción I</w:t>
      </w:r>
      <w:r w:rsidR="001F24A5" w:rsidRPr="00C23C61">
        <w:rPr>
          <w:rStyle w:val="Refdenotaalpie"/>
          <w:rFonts w:ascii="Palatino Linotype" w:hAnsi="Palatino Linotype" w:cs="Tahoma"/>
          <w:lang w:val="es-MX"/>
        </w:rPr>
        <w:footnoteReference w:id="1"/>
      </w:r>
      <w:r w:rsidR="00AC3F44" w:rsidRPr="00C23C61">
        <w:rPr>
          <w:rFonts w:ascii="Palatino Linotype" w:hAnsi="Palatino Linotype" w:cs="Tahoma"/>
          <w:lang w:val="es-MX"/>
        </w:rPr>
        <w:t xml:space="preserve">, en relación con la fracción I del artículo 192 de la Ley de Transparencia y Acceso a la Información Pública del Estado de México y Municipios, este Instituto considera procedente </w:t>
      </w:r>
      <w:r w:rsidR="00AC3F44" w:rsidRPr="00C23C61">
        <w:rPr>
          <w:rFonts w:ascii="Palatino Linotype" w:hAnsi="Palatino Linotype" w:cs="Tahoma"/>
          <w:b/>
          <w:lang w:val="es-MX"/>
        </w:rPr>
        <w:t xml:space="preserve">SOBRESEER </w:t>
      </w:r>
      <w:r w:rsidR="00AC3F44" w:rsidRPr="00C23C61">
        <w:rPr>
          <w:rFonts w:ascii="Palatino Linotype" w:hAnsi="Palatino Linotype" w:cs="Tahoma"/>
          <w:lang w:val="es-MX"/>
        </w:rPr>
        <w:t>el presente recurso de revisión.</w:t>
      </w:r>
      <w:r w:rsidR="00AC3F44" w:rsidRPr="00C23C61">
        <w:rPr>
          <w:rFonts w:ascii="Palatino Linotype" w:hAnsi="Palatino Linotype" w:cs="Tahoma"/>
          <w:b/>
          <w:lang w:val="es-MX"/>
        </w:rPr>
        <w:t xml:space="preserve"> </w:t>
      </w:r>
    </w:p>
    <w:p w14:paraId="4B94FF77" w14:textId="48317E76" w:rsidR="00AC3F44" w:rsidRPr="00C23C61" w:rsidRDefault="00AC3F44" w:rsidP="00CA6269">
      <w:pPr>
        <w:numPr>
          <w:ilvl w:val="0"/>
          <w:numId w:val="22"/>
        </w:numPr>
        <w:tabs>
          <w:tab w:val="left" w:pos="426"/>
        </w:tabs>
        <w:suppressAutoHyphens/>
        <w:spacing w:after="120" w:line="360" w:lineRule="auto"/>
        <w:ind w:left="0" w:right="49" w:firstLine="0"/>
        <w:jc w:val="both"/>
        <w:rPr>
          <w:rFonts w:ascii="Palatino Linotype" w:hAnsi="Palatino Linotype" w:cs="Arial"/>
          <w:color w:val="000000"/>
          <w:lang w:val="es-ES_tradnl"/>
        </w:rPr>
      </w:pPr>
      <w:r w:rsidRPr="00C23C61">
        <w:rPr>
          <w:rFonts w:ascii="Palatino Linotype" w:hAnsi="Palatino Linotype" w:cs="Arial"/>
          <w:color w:val="000000"/>
          <w:lang w:val="es-ES_tradnl"/>
        </w:rPr>
        <w:t xml:space="preserve">Por lo anteriormente expuesto y fundado, este </w:t>
      </w:r>
      <w:r w:rsidRPr="00C23C61">
        <w:rPr>
          <w:rFonts w:ascii="Palatino Linotype" w:hAnsi="Palatino Linotype" w:cs="Arial"/>
          <w:b/>
          <w:color w:val="000000"/>
          <w:lang w:val="es-ES_tradnl"/>
        </w:rPr>
        <w:t>ÓRGANO GARANTE</w:t>
      </w:r>
      <w:r w:rsidRPr="00C23C61">
        <w:rPr>
          <w:rFonts w:ascii="Palatino Linotype" w:hAnsi="Palatino Linotype" w:cs="Arial"/>
          <w:color w:val="000000"/>
          <w:lang w:val="es-ES_tradnl"/>
        </w:rPr>
        <w:t xml:space="preserve"> emite los siguientes: -----------------------------------------------------------------------------------------------</w:t>
      </w:r>
    </w:p>
    <w:p w14:paraId="45E9BD5D" w14:textId="578B6B80" w:rsidR="00AC3F44" w:rsidRPr="00C23C61" w:rsidRDefault="007F7B11" w:rsidP="00CA6269">
      <w:pPr>
        <w:keepNext/>
        <w:keepLines/>
        <w:spacing w:before="240" w:line="360" w:lineRule="auto"/>
        <w:jc w:val="center"/>
        <w:outlineLvl w:val="0"/>
        <w:rPr>
          <w:rFonts w:ascii="Palatino Linotype" w:eastAsiaTheme="majorEastAsia" w:hAnsi="Palatino Linotype" w:cstheme="majorBidi"/>
          <w:b/>
          <w:color w:val="000000" w:themeColor="text1"/>
          <w:lang w:val="es-MX" w:eastAsia="en-US"/>
        </w:rPr>
      </w:pPr>
      <w:bookmarkStart w:id="53" w:name="_Toc110973011"/>
      <w:r w:rsidRPr="00C23C61">
        <w:rPr>
          <w:rFonts w:ascii="Palatino Linotype" w:eastAsiaTheme="majorEastAsia" w:hAnsi="Palatino Linotype" w:cstheme="majorBidi"/>
          <w:b/>
          <w:color w:val="000000" w:themeColor="text1"/>
          <w:lang w:val="es-MX" w:eastAsia="en-US"/>
        </w:rPr>
        <w:lastRenderedPageBreak/>
        <w:t>R E S O L U T I V O S</w:t>
      </w:r>
      <w:bookmarkEnd w:id="48"/>
      <w:bookmarkEnd w:id="49"/>
      <w:bookmarkEnd w:id="50"/>
      <w:bookmarkEnd w:id="51"/>
      <w:bookmarkEnd w:id="53"/>
    </w:p>
    <w:p w14:paraId="1AA7E4A5" w14:textId="77777777" w:rsidR="00AC3F44" w:rsidRPr="00C23C61" w:rsidRDefault="00AC3F44" w:rsidP="00CA6269">
      <w:pPr>
        <w:keepNext/>
        <w:keepLines/>
        <w:spacing w:before="240" w:line="360" w:lineRule="auto"/>
        <w:jc w:val="center"/>
        <w:outlineLvl w:val="0"/>
        <w:rPr>
          <w:rFonts w:ascii="Palatino Linotype" w:eastAsiaTheme="majorEastAsia" w:hAnsi="Palatino Linotype" w:cstheme="majorBidi"/>
          <w:b/>
          <w:color w:val="000000" w:themeColor="text1"/>
          <w:lang w:val="es-MX" w:eastAsia="en-US"/>
        </w:rPr>
      </w:pPr>
    </w:p>
    <w:p w14:paraId="6135095F" w14:textId="27A3E292" w:rsidR="007F7B11" w:rsidRPr="00C23C61" w:rsidRDefault="007F7B11" w:rsidP="00CA6269">
      <w:pPr>
        <w:spacing w:line="360" w:lineRule="auto"/>
        <w:jc w:val="both"/>
        <w:rPr>
          <w:rFonts w:ascii="Palatino Linotype" w:eastAsiaTheme="minorEastAsia" w:hAnsi="Palatino Linotype" w:cstheme="minorBidi"/>
          <w:lang w:val="es-ES_tradnl"/>
        </w:rPr>
      </w:pPr>
      <w:r w:rsidRPr="00C23C61">
        <w:rPr>
          <w:rFonts w:ascii="Palatino Linotype" w:eastAsiaTheme="minorEastAsia" w:hAnsi="Palatino Linotype" w:cstheme="minorBidi"/>
          <w:b/>
          <w:lang w:val="es-ES_tradnl"/>
        </w:rPr>
        <w:t>PRIMERO.</w:t>
      </w:r>
      <w:r w:rsidRPr="00C23C61">
        <w:rPr>
          <w:rFonts w:ascii="Palatino Linotype" w:eastAsiaTheme="minorEastAsia" w:hAnsi="Palatino Linotype" w:cstheme="minorBidi"/>
          <w:lang w:val="es-ES_tradnl"/>
        </w:rPr>
        <w:t xml:space="preserve"> Se </w:t>
      </w:r>
      <w:r w:rsidRPr="00C23C61">
        <w:rPr>
          <w:rFonts w:ascii="Palatino Linotype" w:eastAsiaTheme="minorEastAsia" w:hAnsi="Palatino Linotype" w:cstheme="minorBidi"/>
          <w:b/>
          <w:lang w:val="es-ES_tradnl"/>
        </w:rPr>
        <w:t>SOBRESEE</w:t>
      </w:r>
      <w:r w:rsidRPr="00C23C61">
        <w:rPr>
          <w:rFonts w:ascii="Palatino Linotype" w:eastAsiaTheme="minorEastAsia" w:hAnsi="Palatino Linotype" w:cstheme="minorBidi"/>
          <w:lang w:val="es-ES_tradnl"/>
        </w:rPr>
        <w:t xml:space="preserve"> el recurso de revisión número</w:t>
      </w:r>
      <w:r w:rsidR="00583E7B" w:rsidRPr="00C23C61">
        <w:rPr>
          <w:rFonts w:ascii="Verdana" w:hAnsi="Verdana"/>
          <w:b/>
          <w:bCs/>
          <w:color w:val="FF0000"/>
        </w:rPr>
        <w:t xml:space="preserve"> </w:t>
      </w:r>
      <w:r w:rsidR="008D346A" w:rsidRPr="00C23C61">
        <w:rPr>
          <w:rFonts w:ascii="Palatino Linotype" w:hAnsi="Palatino Linotype"/>
          <w:b/>
          <w:bCs/>
          <w:color w:val="000000" w:themeColor="text1"/>
        </w:rPr>
        <w:t>10308/INFOEM/IP/RR/2022</w:t>
      </w:r>
      <w:r w:rsidRPr="00C23C61">
        <w:rPr>
          <w:rFonts w:ascii="Palatino Linotype" w:eastAsiaTheme="minorEastAsia" w:hAnsi="Palatino Linotype" w:cstheme="minorBidi"/>
          <w:lang w:val="es-ES_tradnl"/>
        </w:rPr>
        <w:t xml:space="preserve">, </w:t>
      </w:r>
      <w:r w:rsidR="00D4460A" w:rsidRPr="00C23C61">
        <w:rPr>
          <w:rFonts w:ascii="Palatino Linotype" w:eastAsiaTheme="minorEastAsia" w:hAnsi="Palatino Linotype" w:cstheme="minorBidi"/>
          <w:lang w:val="es-MX"/>
        </w:rPr>
        <w:t>de</w:t>
      </w:r>
      <w:r w:rsidR="00D4460A" w:rsidRPr="00C23C61">
        <w:rPr>
          <w:rFonts w:ascii="Palatino Linotype" w:eastAsiaTheme="minorEastAsia" w:hAnsi="Palatino Linotype" w:cstheme="minorBidi"/>
          <w:b/>
          <w:lang w:val="es-MX"/>
        </w:rPr>
        <w:t xml:space="preserve"> </w:t>
      </w:r>
      <w:r w:rsidR="00D4460A" w:rsidRPr="00C23C61">
        <w:rPr>
          <w:rFonts w:ascii="Palatino Linotype" w:eastAsiaTheme="minorEastAsia" w:hAnsi="Palatino Linotype" w:cstheme="minorBidi"/>
          <w:lang w:val="es-MX"/>
        </w:rPr>
        <w:t>conformidad con</w:t>
      </w:r>
      <w:r w:rsidR="00D4460A" w:rsidRPr="00C23C61">
        <w:rPr>
          <w:rFonts w:ascii="Palatino Linotype" w:eastAsiaTheme="minorEastAsia" w:hAnsi="Palatino Linotype" w:cstheme="minorBidi"/>
          <w:b/>
          <w:lang w:val="es-MX"/>
        </w:rPr>
        <w:t xml:space="preserve"> </w:t>
      </w:r>
      <w:r w:rsidR="00D4460A" w:rsidRPr="00C23C61">
        <w:rPr>
          <w:rFonts w:ascii="Palatino Linotype" w:eastAsiaTheme="minorEastAsia" w:hAnsi="Palatino Linotype" w:cstheme="minorBidi"/>
          <w:lang w:val="es-MX"/>
        </w:rPr>
        <w:t>al artículo 192 fracción I de la Ley de Transparencia y Acceso a la Información Pública del Estado de México y Municipios</w:t>
      </w:r>
      <w:r w:rsidR="00D4460A" w:rsidRPr="00C23C61">
        <w:rPr>
          <w:rFonts w:ascii="Palatino Linotype" w:eastAsiaTheme="minorEastAsia" w:hAnsi="Palatino Linotype" w:cstheme="minorBidi"/>
          <w:lang w:val="es-ES_tradnl"/>
        </w:rPr>
        <w:t xml:space="preserve"> </w:t>
      </w:r>
      <w:r w:rsidRPr="00C23C61">
        <w:rPr>
          <w:rFonts w:ascii="Palatino Linotype" w:eastAsiaTheme="minorEastAsia" w:hAnsi="Palatino Linotype" w:cstheme="minorBidi"/>
          <w:b/>
          <w:lang w:val="es-ES_tradnl"/>
        </w:rPr>
        <w:t>por haberse desistido expresamente el</w:t>
      </w:r>
      <w:r w:rsidRPr="00C23C61">
        <w:rPr>
          <w:rFonts w:ascii="Palatino Linotype" w:eastAsiaTheme="minorEastAsia" w:hAnsi="Palatino Linotype" w:cstheme="minorBidi"/>
          <w:lang w:val="es-ES_tradnl"/>
        </w:rPr>
        <w:t xml:space="preserve"> </w:t>
      </w:r>
      <w:r w:rsidRPr="00C23C61">
        <w:rPr>
          <w:rFonts w:ascii="Palatino Linotype" w:eastAsiaTheme="minorEastAsia" w:hAnsi="Palatino Linotype" w:cstheme="minorBidi"/>
          <w:b/>
          <w:lang w:val="es-ES_tradnl"/>
        </w:rPr>
        <w:t>RECURRENTE</w:t>
      </w:r>
      <w:r w:rsidRPr="00C23C61">
        <w:rPr>
          <w:rFonts w:ascii="Palatino Linotype" w:eastAsiaTheme="minorEastAsia" w:hAnsi="Palatino Linotype" w:cstheme="minorBidi"/>
          <w:lang w:val="es-ES_tradnl"/>
        </w:rPr>
        <w:t xml:space="preserve">, en términos del </w:t>
      </w:r>
      <w:r w:rsidRPr="00C23C61">
        <w:rPr>
          <w:rFonts w:ascii="Palatino Linotype" w:eastAsiaTheme="minorEastAsia" w:hAnsi="Palatino Linotype" w:cstheme="minorBidi"/>
          <w:b/>
          <w:lang w:val="es-ES_tradnl"/>
        </w:rPr>
        <w:t>Considerando TERCERO</w:t>
      </w:r>
      <w:r w:rsidRPr="00C23C61">
        <w:rPr>
          <w:rFonts w:ascii="Palatino Linotype" w:eastAsiaTheme="minorEastAsia" w:hAnsi="Palatino Linotype" w:cstheme="minorBidi"/>
          <w:lang w:val="es-ES_tradnl"/>
        </w:rPr>
        <w:t xml:space="preserve"> de la presente resolución.</w:t>
      </w:r>
    </w:p>
    <w:p w14:paraId="4AB56B89" w14:textId="77777777" w:rsidR="007F7B11" w:rsidRPr="00C23C61" w:rsidRDefault="007F7B11" w:rsidP="00CA6269">
      <w:pPr>
        <w:spacing w:line="360" w:lineRule="auto"/>
        <w:jc w:val="both"/>
        <w:rPr>
          <w:rFonts w:ascii="Palatino Linotype" w:eastAsiaTheme="minorEastAsia" w:hAnsi="Palatino Linotype" w:cstheme="minorBidi"/>
          <w:lang w:val="es-ES_tradnl"/>
        </w:rPr>
      </w:pPr>
    </w:p>
    <w:p w14:paraId="2CEB416F" w14:textId="77777777" w:rsidR="007F7B11" w:rsidRPr="00C23C61" w:rsidRDefault="007F7B11" w:rsidP="00CA6269">
      <w:pPr>
        <w:spacing w:line="360" w:lineRule="auto"/>
        <w:jc w:val="both"/>
        <w:rPr>
          <w:rFonts w:ascii="Palatino Linotype" w:eastAsia="Calibri" w:hAnsi="Palatino Linotype" w:cs="Arial"/>
          <w:b/>
          <w:bCs/>
        </w:rPr>
      </w:pPr>
      <w:r w:rsidRPr="00C23C61">
        <w:rPr>
          <w:rFonts w:ascii="Palatino Linotype" w:eastAsia="Calibri" w:hAnsi="Palatino Linotype" w:cs="Arial"/>
          <w:b/>
          <w:bCs/>
        </w:rPr>
        <w:t xml:space="preserve">SEGUNDO. Notifíquese </w:t>
      </w:r>
      <w:r w:rsidRPr="00C23C61">
        <w:rPr>
          <w:rFonts w:ascii="Palatino Linotype" w:eastAsia="Calibri" w:hAnsi="Palatino Linotype" w:cs="Arial"/>
          <w:bCs/>
        </w:rPr>
        <w:t xml:space="preserve">a través del Sistema de Acceso a la Información Mexiquense </w:t>
      </w:r>
      <w:r w:rsidRPr="00C23C61">
        <w:rPr>
          <w:rFonts w:ascii="Palatino Linotype" w:eastAsia="Calibri" w:hAnsi="Palatino Linotype" w:cs="Arial"/>
          <w:b/>
          <w:bCs/>
        </w:rPr>
        <w:t xml:space="preserve">(SAIMEX) </w:t>
      </w:r>
      <w:r w:rsidRPr="00C23C61">
        <w:rPr>
          <w:rFonts w:ascii="Palatino Linotype" w:eastAsia="Calibri" w:hAnsi="Palatino Linotype" w:cs="Arial"/>
          <w:bCs/>
        </w:rPr>
        <w:t>la presente resolución a la Titular de la Unidad de Transparencia del</w:t>
      </w:r>
      <w:r w:rsidRPr="00C23C61">
        <w:rPr>
          <w:rFonts w:ascii="Palatino Linotype" w:eastAsia="Calibri" w:hAnsi="Palatino Linotype" w:cs="Arial"/>
          <w:b/>
          <w:bCs/>
        </w:rPr>
        <w:t xml:space="preserve"> SUJETO OBLIGADO. </w:t>
      </w:r>
    </w:p>
    <w:p w14:paraId="583A10EC" w14:textId="77777777" w:rsidR="007F7B11" w:rsidRPr="00C23C61" w:rsidRDefault="007F7B11" w:rsidP="00CA6269">
      <w:pPr>
        <w:spacing w:line="360" w:lineRule="auto"/>
        <w:jc w:val="both"/>
        <w:rPr>
          <w:rFonts w:ascii="Palatino Linotype" w:eastAsia="Calibri" w:hAnsi="Palatino Linotype" w:cs="Arial"/>
          <w:b/>
          <w:bCs/>
        </w:rPr>
      </w:pPr>
    </w:p>
    <w:p w14:paraId="46A80028" w14:textId="77777777" w:rsidR="007F7B11" w:rsidRPr="00C23C61" w:rsidRDefault="007F7B11" w:rsidP="00CA6269">
      <w:pPr>
        <w:spacing w:line="360" w:lineRule="auto"/>
        <w:jc w:val="both"/>
        <w:rPr>
          <w:rFonts w:ascii="Palatino Linotype" w:hAnsi="Palatino Linotype"/>
          <w:color w:val="222222"/>
          <w:lang w:eastAsia="es-MX"/>
        </w:rPr>
      </w:pPr>
      <w:r w:rsidRPr="00C23C61">
        <w:rPr>
          <w:rFonts w:ascii="Palatino Linotype" w:hAnsi="Palatino Linotype" w:cs="Arial"/>
          <w:b/>
          <w:lang w:val="es-ES_tradnl"/>
        </w:rPr>
        <w:t xml:space="preserve">TERCERO. </w:t>
      </w:r>
      <w:r w:rsidRPr="00C23C61">
        <w:rPr>
          <w:rFonts w:ascii="Palatino Linotype" w:hAnsi="Palatino Linotype"/>
          <w:b/>
          <w:bCs/>
          <w:color w:val="222222"/>
        </w:rPr>
        <w:t xml:space="preserve">Notifíquese </w:t>
      </w:r>
      <w:r w:rsidRPr="00C23C61">
        <w:rPr>
          <w:rFonts w:ascii="Palatino Linotype" w:hAnsi="Palatino Linotype"/>
          <w:bCs/>
          <w:color w:val="222222"/>
        </w:rPr>
        <w:t xml:space="preserve">al </w:t>
      </w:r>
      <w:r w:rsidRPr="00C23C61">
        <w:rPr>
          <w:rFonts w:ascii="Palatino Linotype" w:eastAsiaTheme="minorEastAsia" w:hAnsi="Palatino Linotype" w:cstheme="minorBidi"/>
          <w:b/>
          <w:lang w:val="es-ES_tradnl"/>
        </w:rPr>
        <w:t xml:space="preserve">RECURRENTE </w:t>
      </w:r>
      <w:r w:rsidRPr="00C23C61">
        <w:rPr>
          <w:rFonts w:ascii="Palatino Linotype" w:eastAsia="Calibri" w:hAnsi="Palatino Linotype" w:cs="Arial"/>
          <w:bCs/>
        </w:rPr>
        <w:t xml:space="preserve">a través del Sistema de Acceso a la Información Mexiquense </w:t>
      </w:r>
      <w:r w:rsidRPr="00C23C61">
        <w:rPr>
          <w:rFonts w:ascii="Palatino Linotype" w:eastAsia="Calibri" w:hAnsi="Palatino Linotype" w:cs="Arial"/>
          <w:b/>
          <w:bCs/>
        </w:rPr>
        <w:t xml:space="preserve">(SAIMEX) </w:t>
      </w:r>
      <w:r w:rsidRPr="00C23C61">
        <w:rPr>
          <w:rFonts w:ascii="Palatino Linotype" w:hAnsi="Palatino Linotype"/>
          <w:color w:val="222222"/>
          <w:lang w:eastAsia="es-MX"/>
        </w:rPr>
        <w:t>la presente resolución.</w:t>
      </w:r>
    </w:p>
    <w:p w14:paraId="361AD0E1" w14:textId="77777777" w:rsidR="007F7B11" w:rsidRPr="00C23C61" w:rsidRDefault="007F7B11" w:rsidP="00CA6269">
      <w:pPr>
        <w:spacing w:line="360" w:lineRule="auto"/>
        <w:jc w:val="both"/>
        <w:rPr>
          <w:rFonts w:ascii="Palatino Linotype" w:hAnsi="Palatino Linotype"/>
          <w:color w:val="222222"/>
          <w:lang w:eastAsia="es-MX"/>
        </w:rPr>
      </w:pPr>
    </w:p>
    <w:p w14:paraId="02D48F14" w14:textId="77777777" w:rsidR="00AC3F44" w:rsidRPr="00C23C61" w:rsidRDefault="007F7B11" w:rsidP="00CA6269">
      <w:pPr>
        <w:spacing w:line="360" w:lineRule="auto"/>
        <w:contextualSpacing/>
        <w:jc w:val="both"/>
        <w:rPr>
          <w:rFonts w:ascii="Palatino Linotype" w:eastAsiaTheme="minorEastAsia" w:hAnsi="Palatino Linotype" w:cstheme="minorBidi"/>
        </w:rPr>
      </w:pPr>
      <w:r w:rsidRPr="00C23C61">
        <w:rPr>
          <w:rFonts w:ascii="Palatino Linotype" w:eastAsia="MS Mincho" w:hAnsi="Palatino Linotype"/>
          <w:b/>
          <w:lang w:val="es-MX"/>
        </w:rPr>
        <w:t>CUARTO.</w:t>
      </w:r>
      <w:r w:rsidRPr="00C23C61">
        <w:rPr>
          <w:rFonts w:ascii="Palatino Linotype" w:eastAsia="MS Mincho" w:hAnsi="Palatino Linotype"/>
          <w:lang w:val="es-MX"/>
        </w:rPr>
        <w:t xml:space="preserve"> </w:t>
      </w:r>
      <w:r w:rsidRPr="00C23C61">
        <w:rPr>
          <w:rFonts w:ascii="Palatino Linotype" w:eastAsia="MS Mincho" w:hAnsi="Palatino Linotype"/>
        </w:rPr>
        <w:t xml:space="preserve">Se hace del conocimiento del </w:t>
      </w:r>
      <w:r w:rsidRPr="00C23C61">
        <w:rPr>
          <w:rFonts w:ascii="Palatino Linotype" w:eastAsiaTheme="minorEastAsia" w:hAnsi="Palatino Linotype" w:cstheme="minorBidi"/>
          <w:b/>
          <w:lang w:val="es-ES_tradnl"/>
        </w:rPr>
        <w:t xml:space="preserve">RECURRENTE </w:t>
      </w:r>
      <w:r w:rsidRPr="00C23C61">
        <w:rPr>
          <w:rFonts w:ascii="Palatino Linotype" w:eastAsia="MS Mincho" w:hAnsi="Palatino Linotype"/>
        </w:rPr>
        <w:t xml:space="preserve">que, de conformidad con lo establecido en el artículo 196 de la Ley de Transparencia y Acceso a la Información Pública del Estado de México y Municipios, en caso de que considere que la resolución le cause algún perjuicio podrá impugnarla </w:t>
      </w:r>
      <w:r w:rsidRPr="00C23C61">
        <w:rPr>
          <w:rFonts w:ascii="Palatino Linotype" w:eastAsia="MS Mincho" w:hAnsi="Palatino Linotype"/>
          <w:bCs/>
        </w:rPr>
        <w:t xml:space="preserve">vía juicio de amparo </w:t>
      </w:r>
      <w:r w:rsidRPr="00C23C61">
        <w:rPr>
          <w:rFonts w:ascii="Palatino Linotype" w:eastAsia="MS Mincho" w:hAnsi="Palatino Linotype"/>
        </w:rPr>
        <w:t>en los términos de las leyes aplicables.</w:t>
      </w:r>
    </w:p>
    <w:p w14:paraId="7F69DB28" w14:textId="77777777" w:rsidR="00AC3F44" w:rsidRPr="00C23C61" w:rsidRDefault="00AC3F44" w:rsidP="00CA6269">
      <w:pPr>
        <w:spacing w:line="360" w:lineRule="auto"/>
        <w:contextualSpacing/>
        <w:jc w:val="both"/>
        <w:rPr>
          <w:rFonts w:ascii="Palatino Linotype" w:eastAsiaTheme="minorEastAsia" w:hAnsi="Palatino Linotype" w:cstheme="minorBidi"/>
        </w:rPr>
      </w:pPr>
    </w:p>
    <w:p w14:paraId="7ED535B9" w14:textId="77777777" w:rsidR="006A7304" w:rsidRDefault="006A7304" w:rsidP="006A7304">
      <w:pPr>
        <w:spacing w:before="240" w:after="240" w:line="360" w:lineRule="auto"/>
        <w:jc w:val="both"/>
        <w:rPr>
          <w:rFonts w:ascii="Palatino Linotype" w:hAnsi="Palatino Linotype"/>
        </w:rPr>
      </w:pPr>
      <w:r w:rsidRPr="00C23C61">
        <w:rPr>
          <w:rFonts w:ascii="Palatino Linotype" w:hAnsi="Palatino Linotype"/>
        </w:rPr>
        <w:t xml:space="preserve">ASÍ LO RESUELVE, POR UNANIMIDAD DE VOTOS, EL PLENO DEL INSTITUTO DE TRANSPARENCIA, ACCESO A LA INFORMACIÓN PÚBLICA Y PROTECCIÓN DE DATOS PERSONALES DEL ESTADO DE MÉXICO Y </w:t>
      </w:r>
      <w:r w:rsidRPr="00C23C61">
        <w:rPr>
          <w:rFonts w:ascii="Palatino Linotype" w:hAnsi="Palatino Linotype"/>
        </w:rPr>
        <w:lastRenderedPageBreak/>
        <w:t>MUNICIPIOS, CONFORMADO POR LOS COMISIONADOS JOSÉ MARTÍNEZ VILCHIS; MARÍA DEL ROSARIO MEJÍA AYALA; SHARON CRISTINA MORALES MARTÍNEZ; LUIS GUSTAVO PARRA NORIEGA Y GUADALUPE RAMÍREZ PEÑA EN LA VIGÉSIMA NOVENA SESIÓN ORDINARIA CELEBRADA EL DIECISIETE (17) DE AGOSTO DE DOS MIL VEINTIDÓS, ANTE EL SECRETARIO TÉCNICO DEL PLENO ALEXIS TAPIA RAMÍREZ.</w:t>
      </w:r>
      <w:bookmarkStart w:id="54" w:name="_GoBack"/>
      <w:bookmarkEnd w:id="54"/>
      <w:r w:rsidRPr="00624AAD">
        <w:rPr>
          <w:rFonts w:ascii="Palatino Linotype" w:hAnsi="Palatino Linotype"/>
        </w:rPr>
        <w:t xml:space="preserve"> </w:t>
      </w:r>
    </w:p>
    <w:p w14:paraId="25D90C5C" w14:textId="2EE09907" w:rsidR="007F7B11" w:rsidRPr="00CA6269" w:rsidRDefault="007F7B11" w:rsidP="00CA6269">
      <w:pPr>
        <w:spacing w:line="360" w:lineRule="auto"/>
        <w:rPr>
          <w:rFonts w:ascii="Palatino Linotype" w:eastAsiaTheme="minorEastAsia" w:hAnsi="Palatino Linotype" w:cstheme="minorBidi"/>
          <w:lang w:val="es-ES_tradnl"/>
        </w:rPr>
      </w:pPr>
    </w:p>
    <w:p w14:paraId="12BBE650" w14:textId="77777777" w:rsidR="007F7B11" w:rsidRPr="00CA6269" w:rsidRDefault="007F7B11" w:rsidP="00CA6269">
      <w:pPr>
        <w:spacing w:before="240" w:after="240" w:line="360" w:lineRule="auto"/>
        <w:ind w:right="49"/>
        <w:jc w:val="both"/>
        <w:rPr>
          <w:rFonts w:ascii="Palatino Linotype" w:eastAsiaTheme="minorEastAsia" w:hAnsi="Palatino Linotype" w:cstheme="minorBidi"/>
          <w:lang w:val="es-ES_tradnl"/>
        </w:rPr>
      </w:pPr>
    </w:p>
    <w:p w14:paraId="4453F8E6" w14:textId="4987DE0A" w:rsidR="00090DE6" w:rsidRPr="00CA6269" w:rsidRDefault="00090DE6" w:rsidP="00CA6269">
      <w:pPr>
        <w:spacing w:line="360" w:lineRule="auto"/>
        <w:rPr>
          <w:rFonts w:ascii="Palatino Linotype" w:hAnsi="Palatino Linotype"/>
        </w:rPr>
      </w:pPr>
    </w:p>
    <w:sectPr w:rsidR="00090DE6" w:rsidRPr="00CA6269" w:rsidSect="009F07F4">
      <w:headerReference w:type="default" r:id="rId12"/>
      <w:footerReference w:type="default" r:id="rId13"/>
      <w:headerReference w:type="first" r:id="rId14"/>
      <w:footerReference w:type="first" r:id="rId15"/>
      <w:pgSz w:w="12240" w:h="15840" w:code="1"/>
      <w:pgMar w:top="1417" w:right="1701" w:bottom="1417"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3711FA8" w14:textId="77777777" w:rsidR="00F03A51" w:rsidRDefault="00F03A51" w:rsidP="00C80F8C">
      <w:r>
        <w:separator/>
      </w:r>
    </w:p>
  </w:endnote>
  <w:endnote w:type="continuationSeparator" w:id="0">
    <w:p w14:paraId="260F7C41" w14:textId="77777777" w:rsidR="00F03A51" w:rsidRDefault="00F03A51"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4BD0B5" w14:textId="211744F5" w:rsidR="00A74B28" w:rsidRPr="00817AAB" w:rsidRDefault="00A74B28" w:rsidP="00935A0D">
    <w:pPr>
      <w:pStyle w:val="Piedepgina"/>
      <w:jc w:val="right"/>
      <w:rPr>
        <w:rFonts w:ascii="Palatino Linotype" w:hAnsi="Palatino Linotype" w:cs="Arial"/>
        <w:lang w:val="es-ES"/>
      </w:rPr>
    </w:pPr>
    <w:r w:rsidRPr="00817AAB">
      <w:rPr>
        <w:rFonts w:ascii="Palatino Linotype" w:hAnsi="Palatino Linotype" w:cs="Arial"/>
        <w:b/>
        <w:bCs/>
      </w:rPr>
      <w:t xml:space="preserve">Página </w:t>
    </w:r>
    <w:r w:rsidRPr="00817AAB">
      <w:rPr>
        <w:rFonts w:ascii="Palatino Linotype" w:hAnsi="Palatino Linotype" w:cs="Arial"/>
        <w:b/>
        <w:bCs/>
      </w:rPr>
      <w:fldChar w:fldCharType="begin"/>
    </w:r>
    <w:r w:rsidRPr="00817AAB">
      <w:rPr>
        <w:rFonts w:ascii="Palatino Linotype" w:hAnsi="Palatino Linotype" w:cs="Arial"/>
        <w:b/>
        <w:bCs/>
      </w:rPr>
      <w:instrText>PAGE</w:instrText>
    </w:r>
    <w:r w:rsidRPr="00817AAB">
      <w:rPr>
        <w:rFonts w:ascii="Palatino Linotype" w:hAnsi="Palatino Linotype" w:cs="Arial"/>
        <w:b/>
        <w:bCs/>
      </w:rPr>
      <w:fldChar w:fldCharType="separate"/>
    </w:r>
    <w:r w:rsidR="00C23C61">
      <w:rPr>
        <w:rFonts w:ascii="Palatino Linotype" w:hAnsi="Palatino Linotype" w:cs="Arial"/>
        <w:b/>
        <w:bCs/>
        <w:noProof/>
      </w:rPr>
      <w:t>12</w:t>
    </w:r>
    <w:r w:rsidRPr="00817AAB">
      <w:rPr>
        <w:rFonts w:ascii="Palatino Linotype" w:hAnsi="Palatino Linotype" w:cs="Arial"/>
        <w:b/>
        <w:bCs/>
      </w:rPr>
      <w:fldChar w:fldCharType="end"/>
    </w:r>
    <w:r w:rsidRPr="00817AAB">
      <w:rPr>
        <w:rFonts w:ascii="Palatino Linotype" w:hAnsi="Palatino Linotype" w:cs="Arial"/>
      </w:rPr>
      <w:t xml:space="preserve"> de </w:t>
    </w:r>
    <w:r w:rsidRPr="00817AAB">
      <w:rPr>
        <w:rFonts w:ascii="Palatino Linotype" w:hAnsi="Palatino Linotype" w:cs="Arial"/>
        <w:b/>
        <w:bCs/>
      </w:rPr>
      <w:fldChar w:fldCharType="begin"/>
    </w:r>
    <w:r w:rsidRPr="00817AAB">
      <w:rPr>
        <w:rFonts w:ascii="Palatino Linotype" w:hAnsi="Palatino Linotype" w:cs="Arial"/>
        <w:b/>
        <w:bCs/>
      </w:rPr>
      <w:instrText>NUMPAGES</w:instrText>
    </w:r>
    <w:r w:rsidRPr="00817AAB">
      <w:rPr>
        <w:rFonts w:ascii="Palatino Linotype" w:hAnsi="Palatino Linotype" w:cs="Arial"/>
        <w:b/>
        <w:bCs/>
      </w:rPr>
      <w:fldChar w:fldCharType="separate"/>
    </w:r>
    <w:r w:rsidR="00C23C61">
      <w:rPr>
        <w:rFonts w:ascii="Palatino Linotype" w:hAnsi="Palatino Linotype" w:cs="Arial"/>
        <w:b/>
        <w:bCs/>
        <w:noProof/>
      </w:rPr>
      <w:t>13</w:t>
    </w:r>
    <w:r w:rsidRPr="00817AAB">
      <w:rPr>
        <w:rFonts w:ascii="Palatino Linotype" w:hAnsi="Palatino Linotype" w:cs="Arial"/>
        <w:b/>
        <w:bCs/>
      </w:rPr>
      <w:fldChar w:fldCharType="end"/>
    </w:r>
  </w:p>
  <w:p w14:paraId="1192A578" w14:textId="77777777" w:rsidR="00A74B28" w:rsidRDefault="00A74B28" w:rsidP="00935A0D">
    <w:pPr>
      <w:pStyle w:val="Piedepgina"/>
      <w:rPr>
        <w:rFonts w:ascii="Times New Roman" w:hAnsi="Times New Roman" w:cs="Times New Roman"/>
      </w:rPr>
    </w:pPr>
  </w:p>
  <w:p w14:paraId="14A770F8" w14:textId="77777777" w:rsidR="00A74B28" w:rsidRDefault="00A74B28" w:rsidP="006F30F8">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0B0BFC" w14:textId="6D2DBB83" w:rsidR="00A74B28" w:rsidRDefault="00A74B28" w:rsidP="00935A0D">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C23C61">
      <w:rPr>
        <w:rFonts w:ascii="Arial" w:hAnsi="Arial" w:cs="Arial"/>
        <w:b/>
        <w:bCs/>
        <w:noProof/>
        <w:sz w:val="20"/>
        <w:szCs w:val="20"/>
      </w:rPr>
      <w:t>1</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C23C61">
      <w:rPr>
        <w:rFonts w:ascii="Arial" w:hAnsi="Arial" w:cs="Arial"/>
        <w:b/>
        <w:bCs/>
        <w:noProof/>
        <w:sz w:val="20"/>
        <w:szCs w:val="20"/>
      </w:rPr>
      <w:t>13</w:t>
    </w:r>
    <w:r>
      <w:rPr>
        <w:rFonts w:ascii="Arial" w:hAnsi="Arial" w:cs="Arial"/>
        <w:b/>
        <w:bCs/>
        <w:sz w:val="20"/>
        <w:szCs w:val="20"/>
      </w:rPr>
      <w:fldChar w:fldCharType="end"/>
    </w:r>
  </w:p>
  <w:p w14:paraId="5D98ABD5" w14:textId="77777777" w:rsidR="00A74B28" w:rsidRDefault="00A74B2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4737C64" w14:textId="77777777" w:rsidR="00F03A51" w:rsidRDefault="00F03A51" w:rsidP="00C80F8C">
      <w:r>
        <w:separator/>
      </w:r>
    </w:p>
  </w:footnote>
  <w:footnote w:type="continuationSeparator" w:id="0">
    <w:p w14:paraId="3B3D9C85" w14:textId="77777777" w:rsidR="00F03A51" w:rsidRDefault="00F03A51" w:rsidP="00C80F8C">
      <w:r>
        <w:continuationSeparator/>
      </w:r>
    </w:p>
  </w:footnote>
  <w:footnote w:id="1">
    <w:p w14:paraId="73FCD332" w14:textId="77777777" w:rsidR="001F24A5" w:rsidRPr="001F24A5" w:rsidRDefault="001F24A5" w:rsidP="008904D9">
      <w:pPr>
        <w:pStyle w:val="Textonotapie"/>
        <w:jc w:val="both"/>
        <w:rPr>
          <w:rFonts w:ascii="Palatino Linotype" w:hAnsi="Palatino Linotype"/>
          <w:lang w:val="es-ES"/>
        </w:rPr>
      </w:pPr>
      <w:r w:rsidRPr="001F24A5">
        <w:rPr>
          <w:rStyle w:val="Refdenotaalpie"/>
          <w:rFonts w:ascii="Palatino Linotype" w:hAnsi="Palatino Linotype"/>
        </w:rPr>
        <w:footnoteRef/>
      </w:r>
      <w:r w:rsidRPr="001F24A5">
        <w:rPr>
          <w:rFonts w:ascii="Palatino Linotype" w:hAnsi="Palatino Linotype"/>
        </w:rPr>
        <w:t xml:space="preserve"> </w:t>
      </w:r>
      <w:r w:rsidRPr="001F24A5">
        <w:rPr>
          <w:rFonts w:ascii="Palatino Linotype" w:hAnsi="Palatino Linotype"/>
          <w:lang w:val="es-ES"/>
        </w:rPr>
        <w:t xml:space="preserve">Artículo 186. Las resoluciones del Instituto podrán: </w:t>
      </w:r>
    </w:p>
    <w:p w14:paraId="37E66C56" w14:textId="1E5C3475" w:rsidR="001F24A5" w:rsidRPr="001F24A5" w:rsidRDefault="001F24A5" w:rsidP="008904D9">
      <w:pPr>
        <w:pStyle w:val="Textonotapie"/>
        <w:jc w:val="both"/>
        <w:rPr>
          <w:rFonts w:ascii="Palatino Linotype" w:hAnsi="Palatino Linotype"/>
          <w:lang w:val="es-ES"/>
        </w:rPr>
      </w:pPr>
      <w:r w:rsidRPr="001F24A5">
        <w:rPr>
          <w:rFonts w:ascii="Palatino Linotype" w:hAnsi="Palatino Linotype"/>
          <w:lang w:val="es-ES"/>
        </w:rPr>
        <w:t>I. Desechar o sobreseer el recurso</w:t>
      </w:r>
    </w:p>
    <w:p w14:paraId="52552440" w14:textId="42F2356C" w:rsidR="001F24A5" w:rsidRPr="001F24A5" w:rsidRDefault="001F24A5" w:rsidP="008904D9">
      <w:pPr>
        <w:pStyle w:val="Textonotapie"/>
        <w:jc w:val="both"/>
        <w:rPr>
          <w:lang w:val="es-ES"/>
        </w:rPr>
      </w:pPr>
      <w:r w:rsidRPr="001F24A5">
        <w:rPr>
          <w:rFonts w:ascii="Palatino Linotype" w:hAnsi="Palatino Linotype"/>
          <w:lang w:val="es-ES"/>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447" w:type="dxa"/>
      <w:tblInd w:w="2964" w:type="dxa"/>
      <w:tblLayout w:type="fixed"/>
      <w:tblLook w:val="04A0" w:firstRow="1" w:lastRow="0" w:firstColumn="1" w:lastColumn="0" w:noHBand="0" w:noVBand="1"/>
    </w:tblPr>
    <w:tblGrid>
      <w:gridCol w:w="2701"/>
      <w:gridCol w:w="3746"/>
    </w:tblGrid>
    <w:tr w:rsidR="00A74B28" w14:paraId="6B4E3B81" w14:textId="77777777" w:rsidTr="00B4299A">
      <w:tc>
        <w:tcPr>
          <w:tcW w:w="2701" w:type="dxa"/>
          <w:vAlign w:val="center"/>
          <w:hideMark/>
        </w:tcPr>
        <w:p w14:paraId="0ABBC6C0" w14:textId="1226DAAF" w:rsidR="00A74B28" w:rsidRPr="00B4299A" w:rsidRDefault="00A74B28" w:rsidP="009D4854">
          <w:pPr>
            <w:rPr>
              <w:rFonts w:ascii="Palatino Linotype" w:hAnsi="Palatino Linotype"/>
              <w:b/>
              <w:szCs w:val="22"/>
              <w:lang w:val="es-ES_tradnl"/>
            </w:rPr>
          </w:pPr>
          <w:r w:rsidRPr="00B4299A">
            <w:rPr>
              <w:rFonts w:ascii="Palatino Linotype" w:hAnsi="Palatino Linotype"/>
              <w:b/>
              <w:szCs w:val="22"/>
              <w:lang w:val="es-ES_tradnl"/>
            </w:rPr>
            <w:t>Recurso de Revisión:</w:t>
          </w:r>
        </w:p>
      </w:tc>
      <w:tc>
        <w:tcPr>
          <w:tcW w:w="3746" w:type="dxa"/>
          <w:vAlign w:val="center"/>
          <w:hideMark/>
        </w:tcPr>
        <w:p w14:paraId="60C471CA" w14:textId="74D1B111" w:rsidR="00A74B28" w:rsidRPr="00B4299A" w:rsidRDefault="0088474A" w:rsidP="006E011A">
          <w:pPr>
            <w:rPr>
              <w:rFonts w:ascii="Palatino Linotype" w:hAnsi="Palatino Linotype"/>
              <w:b/>
              <w:szCs w:val="22"/>
              <w:lang w:val="es-ES_tradnl"/>
            </w:rPr>
          </w:pPr>
          <w:r>
            <w:rPr>
              <w:rFonts w:ascii="Palatino Linotype" w:hAnsi="Palatino Linotype"/>
              <w:b/>
              <w:bCs/>
              <w:szCs w:val="22"/>
            </w:rPr>
            <w:t>10308/INFOEM/IP/RR/2022</w:t>
          </w:r>
        </w:p>
      </w:tc>
    </w:tr>
    <w:tr w:rsidR="00A74B28" w14:paraId="31CB780F" w14:textId="77777777" w:rsidTr="00B4299A">
      <w:trPr>
        <w:trHeight w:val="228"/>
      </w:trPr>
      <w:tc>
        <w:tcPr>
          <w:tcW w:w="2701" w:type="dxa"/>
          <w:vAlign w:val="center"/>
          <w:hideMark/>
        </w:tcPr>
        <w:p w14:paraId="4F49CB4A" w14:textId="6966D32E" w:rsidR="00A74B28" w:rsidRPr="00B4299A" w:rsidRDefault="00A74B28" w:rsidP="009D4854">
          <w:pPr>
            <w:rPr>
              <w:rFonts w:ascii="Palatino Linotype" w:hAnsi="Palatino Linotype"/>
              <w:b/>
              <w:szCs w:val="22"/>
              <w:lang w:val="es-ES_tradnl"/>
            </w:rPr>
          </w:pPr>
          <w:r w:rsidRPr="00B4299A">
            <w:rPr>
              <w:rFonts w:ascii="Palatino Linotype" w:hAnsi="Palatino Linotype"/>
              <w:b/>
              <w:szCs w:val="22"/>
              <w:lang w:val="es-ES_tradnl"/>
            </w:rPr>
            <w:t>Sujeto Obligado:</w:t>
          </w:r>
        </w:p>
      </w:tc>
      <w:tc>
        <w:tcPr>
          <w:tcW w:w="3746" w:type="dxa"/>
          <w:vAlign w:val="center"/>
          <w:hideMark/>
        </w:tcPr>
        <w:p w14:paraId="5D08B318" w14:textId="7797CE5E" w:rsidR="00A74B28" w:rsidRPr="00B4299A" w:rsidRDefault="0042405F" w:rsidP="00E176F9">
          <w:pPr>
            <w:jc w:val="both"/>
            <w:rPr>
              <w:rFonts w:ascii="Palatino Linotype" w:hAnsi="Palatino Linotype"/>
              <w:b/>
              <w:szCs w:val="22"/>
              <w:lang w:val="es-ES_tradnl"/>
            </w:rPr>
          </w:pPr>
          <w:r w:rsidRPr="009B54B1">
            <w:rPr>
              <w:rFonts w:ascii="Palatino Linotype" w:eastAsia="Calibri" w:hAnsi="Palatino Linotype"/>
              <w:b/>
              <w:szCs w:val="22"/>
              <w:lang w:val="es-MX" w:eastAsia="en-US"/>
            </w:rPr>
            <w:t>Ayuntamiento de Tenancingo</w:t>
          </w:r>
        </w:p>
      </w:tc>
    </w:tr>
    <w:tr w:rsidR="00A74B28" w14:paraId="69050F56" w14:textId="77777777" w:rsidTr="00B4299A">
      <w:tc>
        <w:tcPr>
          <w:tcW w:w="2701" w:type="dxa"/>
          <w:vAlign w:val="center"/>
          <w:hideMark/>
        </w:tcPr>
        <w:p w14:paraId="65C9B735" w14:textId="75C78F81" w:rsidR="00A74B28" w:rsidRPr="00B4299A" w:rsidRDefault="00A74B28" w:rsidP="009D4854">
          <w:pPr>
            <w:rPr>
              <w:rFonts w:ascii="Palatino Linotype" w:hAnsi="Palatino Linotype"/>
              <w:b/>
              <w:szCs w:val="22"/>
              <w:lang w:val="es-ES_tradnl"/>
            </w:rPr>
          </w:pPr>
          <w:r>
            <w:rPr>
              <w:rFonts w:ascii="Palatino Linotype" w:hAnsi="Palatino Linotype"/>
              <w:b/>
              <w:szCs w:val="22"/>
              <w:lang w:val="es-ES_tradnl"/>
            </w:rPr>
            <w:t>Comisionada</w:t>
          </w:r>
          <w:r w:rsidRPr="00B4299A">
            <w:rPr>
              <w:rFonts w:ascii="Palatino Linotype" w:hAnsi="Palatino Linotype"/>
              <w:b/>
              <w:szCs w:val="22"/>
              <w:lang w:val="es-ES_tradnl"/>
            </w:rPr>
            <w:t xml:space="preserve"> ponente:</w:t>
          </w:r>
        </w:p>
      </w:tc>
      <w:tc>
        <w:tcPr>
          <w:tcW w:w="3746" w:type="dxa"/>
          <w:vAlign w:val="center"/>
          <w:hideMark/>
        </w:tcPr>
        <w:p w14:paraId="06864B57" w14:textId="38CF125F" w:rsidR="00A74B28" w:rsidRPr="00B4299A" w:rsidRDefault="00A74B28" w:rsidP="00EA0165">
          <w:pPr>
            <w:ind w:right="-533"/>
            <w:rPr>
              <w:rFonts w:ascii="Palatino Linotype" w:hAnsi="Palatino Linotype"/>
              <w:b/>
              <w:szCs w:val="22"/>
              <w:lang w:val="es-ES_tradnl"/>
            </w:rPr>
          </w:pPr>
          <w:r w:rsidRPr="00B4299A">
            <w:rPr>
              <w:rFonts w:ascii="Palatino Linotype" w:hAnsi="Palatino Linotype"/>
              <w:b/>
              <w:szCs w:val="22"/>
            </w:rPr>
            <w:t xml:space="preserve">María del Rosario Mejía Ayala  </w:t>
          </w:r>
        </w:p>
      </w:tc>
    </w:tr>
  </w:tbl>
  <w:p w14:paraId="0F9141D0" w14:textId="72CC8652" w:rsidR="00A74B28" w:rsidRDefault="00A74B28" w:rsidP="006F30F8">
    <w:pPr>
      <w:pStyle w:val="Encabezado"/>
      <w:tabs>
        <w:tab w:val="clear" w:pos="4252"/>
        <w:tab w:val="clear" w:pos="8504"/>
        <w:tab w:val="left" w:pos="2326"/>
      </w:tabs>
    </w:pPr>
    <w:r>
      <w:rPr>
        <w:noProof/>
        <w:lang w:val="es-MX" w:eastAsia="es-MX"/>
      </w:rPr>
      <w:drawing>
        <wp:anchor distT="0" distB="0" distL="114300" distR="114300" simplePos="0" relativeHeight="251661312" behindDoc="1" locked="0" layoutInCell="1" allowOverlap="1" wp14:anchorId="0F9EF6C9" wp14:editId="388279F5">
          <wp:simplePos x="0" y="0"/>
          <wp:positionH relativeFrom="page">
            <wp:align>left</wp:align>
          </wp:positionH>
          <wp:positionV relativeFrom="paragraph">
            <wp:posOffset>-913130</wp:posOffset>
          </wp:positionV>
          <wp:extent cx="7635875" cy="9943465"/>
          <wp:effectExtent l="0" t="0" r="3175" b="63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875" cy="9943465"/>
                  </a:xfrm>
                  <a:prstGeom prst="rect">
                    <a:avLst/>
                  </a:prstGeom>
                  <a:noFill/>
                </pic:spPr>
              </pic:pic>
            </a:graphicData>
          </a:graphic>
          <wp14:sizeRelH relativeFrom="page">
            <wp14:pctWidth>0</wp14:pctWidth>
          </wp14:sizeRelH>
          <wp14:sizeRelV relativeFrom="page">
            <wp14:pctHeight>0</wp14:pctHeight>
          </wp14:sizeRelV>
        </wp:anchor>
      </w:drawing>
    </w:r>
    <w:r>
      <w:tab/>
    </w:r>
  </w:p>
  <w:p w14:paraId="23403E59" w14:textId="77777777" w:rsidR="00A74B28" w:rsidRDefault="00A74B28" w:rsidP="006F30F8">
    <w:pPr>
      <w:pStyle w:val="Encabezado"/>
      <w:tabs>
        <w:tab w:val="clear" w:pos="4252"/>
        <w:tab w:val="clear" w:pos="8504"/>
        <w:tab w:val="left" w:pos="2326"/>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4E970C" w14:textId="786D2B05" w:rsidR="00A74B28" w:rsidRDefault="00A74B28" w:rsidP="00C47D1B">
    <w:pPr>
      <w:pStyle w:val="Encabezado"/>
      <w:jc w:val="both"/>
    </w:pPr>
    <w:r>
      <w:rPr>
        <w:noProof/>
        <w:lang w:val="es-MX" w:eastAsia="es-MX"/>
      </w:rPr>
      <w:drawing>
        <wp:anchor distT="0" distB="0" distL="114300" distR="114300" simplePos="0" relativeHeight="251659264" behindDoc="1" locked="0" layoutInCell="1" allowOverlap="1" wp14:anchorId="0F18532F" wp14:editId="4127F1E4">
          <wp:simplePos x="0" y="0"/>
          <wp:positionH relativeFrom="page">
            <wp:align>left</wp:align>
          </wp:positionH>
          <wp:positionV relativeFrom="paragraph">
            <wp:posOffset>-375005</wp:posOffset>
          </wp:positionV>
          <wp:extent cx="7635875" cy="9943465"/>
          <wp:effectExtent l="0" t="0" r="3175" b="635"/>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875" cy="9943465"/>
                  </a:xfrm>
                  <a:prstGeom prst="rect">
                    <a:avLst/>
                  </a:prstGeom>
                  <a:noFill/>
                </pic:spPr>
              </pic:pic>
            </a:graphicData>
          </a:graphic>
          <wp14:sizeRelH relativeFrom="page">
            <wp14:pctWidth>0</wp14:pctWidth>
          </wp14:sizeRelH>
          <wp14:sizeRelV relativeFrom="page">
            <wp14:pctHeight>0</wp14:pctHeight>
          </wp14:sizeRelV>
        </wp:anchor>
      </w:drawing>
    </w:r>
    <w:r>
      <w:t xml:space="preserve">                                  </w:t>
    </w:r>
  </w:p>
  <w:tbl>
    <w:tblPr>
      <w:tblW w:w="6669" w:type="dxa"/>
      <w:tblInd w:w="3256" w:type="dxa"/>
      <w:tblLayout w:type="fixed"/>
      <w:tblLook w:val="04A0" w:firstRow="1" w:lastRow="0" w:firstColumn="1" w:lastColumn="0" w:noHBand="0" w:noVBand="1"/>
    </w:tblPr>
    <w:tblGrid>
      <w:gridCol w:w="2693"/>
      <w:gridCol w:w="3976"/>
    </w:tblGrid>
    <w:tr w:rsidR="00A74B28" w14:paraId="477E149B" w14:textId="77777777" w:rsidTr="00CB57FD">
      <w:trPr>
        <w:trHeight w:val="277"/>
      </w:trPr>
      <w:tc>
        <w:tcPr>
          <w:tcW w:w="2693" w:type="dxa"/>
          <w:vAlign w:val="center"/>
          <w:hideMark/>
        </w:tcPr>
        <w:p w14:paraId="5C0586E4" w14:textId="77777777" w:rsidR="00A74B28" w:rsidRPr="009B3353" w:rsidRDefault="00A74B28" w:rsidP="00C47D1B">
          <w:pPr>
            <w:rPr>
              <w:rFonts w:ascii="Palatino Linotype" w:hAnsi="Palatino Linotype"/>
              <w:b/>
              <w:szCs w:val="22"/>
              <w:lang w:val="es-ES_tradnl"/>
            </w:rPr>
          </w:pPr>
          <w:r w:rsidRPr="009B3353">
            <w:rPr>
              <w:rFonts w:ascii="Palatino Linotype" w:hAnsi="Palatino Linotype"/>
              <w:b/>
              <w:szCs w:val="22"/>
              <w:lang w:val="es-ES_tradnl"/>
            </w:rPr>
            <w:t>Recurso de Revisión:</w:t>
          </w:r>
        </w:p>
      </w:tc>
      <w:tc>
        <w:tcPr>
          <w:tcW w:w="3976" w:type="dxa"/>
          <w:vAlign w:val="center"/>
          <w:hideMark/>
        </w:tcPr>
        <w:p w14:paraId="5B14C95E" w14:textId="2B37250C" w:rsidR="00A74B28" w:rsidRPr="009B3353" w:rsidRDefault="009B54B1" w:rsidP="00761460">
          <w:pPr>
            <w:rPr>
              <w:rFonts w:ascii="Palatino Linotype" w:hAnsi="Palatino Linotype"/>
              <w:b/>
              <w:szCs w:val="22"/>
              <w:lang w:val="es-ES_tradnl"/>
            </w:rPr>
          </w:pPr>
          <w:r w:rsidRPr="009B54B1">
            <w:rPr>
              <w:rFonts w:ascii="Palatino Linotype" w:hAnsi="Palatino Linotype"/>
              <w:b/>
              <w:bCs/>
              <w:szCs w:val="22"/>
            </w:rPr>
            <w:t>10308/INFOEM/IP/RR/2022</w:t>
          </w:r>
        </w:p>
      </w:tc>
    </w:tr>
    <w:tr w:rsidR="00A74B28" w14:paraId="5B5BE21C" w14:textId="77777777" w:rsidTr="00CB57FD">
      <w:tc>
        <w:tcPr>
          <w:tcW w:w="2693" w:type="dxa"/>
          <w:vAlign w:val="center"/>
          <w:hideMark/>
        </w:tcPr>
        <w:p w14:paraId="4AE96902" w14:textId="4E063913" w:rsidR="00A74B28" w:rsidRPr="009B3353" w:rsidRDefault="00A74B28" w:rsidP="00C47D1B">
          <w:pPr>
            <w:rPr>
              <w:rFonts w:ascii="Palatino Linotype" w:hAnsi="Palatino Linotype"/>
              <w:b/>
              <w:szCs w:val="22"/>
              <w:lang w:val="es-ES_tradnl"/>
            </w:rPr>
          </w:pPr>
          <w:r w:rsidRPr="009B3353">
            <w:rPr>
              <w:rFonts w:ascii="Palatino Linotype" w:hAnsi="Palatino Linotype"/>
              <w:b/>
              <w:szCs w:val="22"/>
              <w:lang w:val="es-ES_tradnl"/>
            </w:rPr>
            <w:t>Recurrente:</w:t>
          </w:r>
        </w:p>
      </w:tc>
      <w:tc>
        <w:tcPr>
          <w:tcW w:w="3976" w:type="dxa"/>
          <w:vAlign w:val="center"/>
          <w:hideMark/>
        </w:tcPr>
        <w:p w14:paraId="776E3E60" w14:textId="4D8DEBD1" w:rsidR="00A74B28" w:rsidRPr="009B3353" w:rsidRDefault="00167C5F" w:rsidP="002B7BCC">
          <w:pPr>
            <w:rPr>
              <w:rFonts w:ascii="Palatino Linotype" w:hAnsi="Palatino Linotype"/>
              <w:b/>
              <w:szCs w:val="22"/>
              <w:lang w:val="es-ES_tradnl"/>
            </w:rPr>
          </w:pPr>
          <w:r>
            <w:rPr>
              <w:rFonts w:ascii="Palatino Linotype" w:hAnsi="Palatino Linotype"/>
              <w:b/>
              <w:szCs w:val="22"/>
              <w:lang w:val="es-ES_tradnl"/>
            </w:rPr>
            <w:t>XXXX XXXX XXXX</w:t>
          </w:r>
        </w:p>
      </w:tc>
    </w:tr>
    <w:tr w:rsidR="00A74B28" w14:paraId="22601A11" w14:textId="77777777" w:rsidTr="00CB57FD">
      <w:trPr>
        <w:trHeight w:val="228"/>
      </w:trPr>
      <w:tc>
        <w:tcPr>
          <w:tcW w:w="2693" w:type="dxa"/>
          <w:vAlign w:val="center"/>
          <w:hideMark/>
        </w:tcPr>
        <w:p w14:paraId="6EFE221D" w14:textId="49C5F800" w:rsidR="00A74B28" w:rsidRPr="009B3353" w:rsidRDefault="00A74B28" w:rsidP="00C47D1B">
          <w:pPr>
            <w:rPr>
              <w:rFonts w:ascii="Palatino Linotype" w:hAnsi="Palatino Linotype"/>
              <w:b/>
              <w:szCs w:val="22"/>
              <w:lang w:val="es-ES_tradnl"/>
            </w:rPr>
          </w:pPr>
          <w:r w:rsidRPr="009B3353">
            <w:rPr>
              <w:rFonts w:ascii="Palatino Linotype" w:hAnsi="Palatino Linotype"/>
              <w:b/>
              <w:szCs w:val="22"/>
              <w:lang w:val="es-ES_tradnl"/>
            </w:rPr>
            <w:t>Sujeto Obligado:</w:t>
          </w:r>
        </w:p>
      </w:tc>
      <w:tc>
        <w:tcPr>
          <w:tcW w:w="3976" w:type="dxa"/>
          <w:vAlign w:val="center"/>
          <w:hideMark/>
        </w:tcPr>
        <w:p w14:paraId="266F997D" w14:textId="2B99699A" w:rsidR="00A74B28" w:rsidRPr="009B3353" w:rsidRDefault="009B54B1" w:rsidP="007F7B11">
          <w:pPr>
            <w:jc w:val="both"/>
            <w:rPr>
              <w:rFonts w:ascii="Palatino Linotype" w:eastAsia="Calibri" w:hAnsi="Palatino Linotype"/>
              <w:b/>
              <w:szCs w:val="22"/>
              <w:lang w:val="es-MX" w:eastAsia="en-US"/>
            </w:rPr>
          </w:pPr>
          <w:r w:rsidRPr="009B54B1">
            <w:rPr>
              <w:rFonts w:ascii="Palatino Linotype" w:eastAsia="Calibri" w:hAnsi="Palatino Linotype"/>
              <w:b/>
              <w:szCs w:val="22"/>
              <w:lang w:val="es-MX" w:eastAsia="en-US"/>
            </w:rPr>
            <w:t>Ayuntamiento de Tenancingo</w:t>
          </w:r>
        </w:p>
      </w:tc>
    </w:tr>
    <w:tr w:rsidR="00A74B28" w14:paraId="2D6C630E" w14:textId="77777777" w:rsidTr="00CB57FD">
      <w:tc>
        <w:tcPr>
          <w:tcW w:w="2693" w:type="dxa"/>
          <w:vAlign w:val="center"/>
          <w:hideMark/>
        </w:tcPr>
        <w:p w14:paraId="5BD4C6DB" w14:textId="7CF21504" w:rsidR="00A74B28" w:rsidRPr="009B3353" w:rsidRDefault="00A74B28" w:rsidP="00C47D1B">
          <w:pPr>
            <w:rPr>
              <w:rFonts w:ascii="Palatino Linotype" w:hAnsi="Palatino Linotype"/>
              <w:b/>
              <w:szCs w:val="22"/>
              <w:lang w:val="es-ES_tradnl"/>
            </w:rPr>
          </w:pPr>
          <w:r>
            <w:rPr>
              <w:rFonts w:ascii="Palatino Linotype" w:hAnsi="Palatino Linotype"/>
              <w:b/>
              <w:szCs w:val="22"/>
              <w:lang w:val="es-ES_tradnl"/>
            </w:rPr>
            <w:t>Comisionada P</w:t>
          </w:r>
          <w:r w:rsidRPr="009B3353">
            <w:rPr>
              <w:rFonts w:ascii="Palatino Linotype" w:hAnsi="Palatino Linotype"/>
              <w:b/>
              <w:szCs w:val="22"/>
              <w:lang w:val="es-ES_tradnl"/>
            </w:rPr>
            <w:t>onente:</w:t>
          </w:r>
        </w:p>
      </w:tc>
      <w:tc>
        <w:tcPr>
          <w:tcW w:w="3976" w:type="dxa"/>
          <w:vAlign w:val="center"/>
          <w:hideMark/>
        </w:tcPr>
        <w:p w14:paraId="0CDDA0BE" w14:textId="7A79F24D" w:rsidR="00A74B28" w:rsidRPr="009B3353" w:rsidRDefault="00A74B28" w:rsidP="00C47D1B">
          <w:pPr>
            <w:ind w:right="-533"/>
            <w:rPr>
              <w:rFonts w:ascii="Palatino Linotype" w:hAnsi="Palatino Linotype"/>
              <w:b/>
              <w:szCs w:val="22"/>
              <w:lang w:val="es-ES_tradnl"/>
            </w:rPr>
          </w:pPr>
          <w:r>
            <w:rPr>
              <w:rFonts w:ascii="Palatino Linotype" w:hAnsi="Palatino Linotype"/>
              <w:b/>
              <w:szCs w:val="22"/>
            </w:rPr>
            <w:t>María del Rosario Mejía Ayala</w:t>
          </w:r>
        </w:p>
      </w:tc>
    </w:tr>
  </w:tbl>
  <w:p w14:paraId="59DE3767" w14:textId="6FD10F8D" w:rsidR="00A74B28" w:rsidRDefault="00A74B28" w:rsidP="00C47D1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851C42"/>
    <w:multiLevelType w:val="hybridMultilevel"/>
    <w:tmpl w:val="A6E421E2"/>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
    <w:nsid w:val="05CC199D"/>
    <w:multiLevelType w:val="hybridMultilevel"/>
    <w:tmpl w:val="7B1EB1E2"/>
    <w:lvl w:ilvl="0" w:tplc="1EA6362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C037354"/>
    <w:multiLevelType w:val="hybridMultilevel"/>
    <w:tmpl w:val="6B9A4A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051223F"/>
    <w:multiLevelType w:val="hybridMultilevel"/>
    <w:tmpl w:val="69207F6C"/>
    <w:lvl w:ilvl="0" w:tplc="0D2CC0C6">
      <w:start w:val="6"/>
      <w:numFmt w:val="decimal"/>
      <w:lvlText w:val="%1."/>
      <w:lvlJc w:val="left"/>
      <w:pPr>
        <w:ind w:left="720" w:hanging="360"/>
      </w:pPr>
      <w:rPr>
        <w:rFonts w:hint="default"/>
        <w:b/>
        <w:i w:val="0"/>
        <w:color w:val="000000" w:themeColor="text1"/>
        <w:sz w:val="24"/>
      </w:rPr>
    </w:lvl>
    <w:lvl w:ilvl="1" w:tplc="CE0085C6">
      <w:start w:val="1"/>
      <w:numFmt w:val="lowerLetter"/>
      <w:lvlText w:val="%2)"/>
      <w:lvlJc w:val="left"/>
      <w:pPr>
        <w:ind w:left="1440" w:hanging="360"/>
      </w:pPr>
      <w:rPr>
        <w:rFonts w:hint="default"/>
        <w:b/>
      </w:rPr>
    </w:lvl>
    <w:lvl w:ilvl="2" w:tplc="DE447C6C">
      <w:start w:val="1"/>
      <w:numFmt w:val="lowerRoman"/>
      <w:lvlText w:val="%3."/>
      <w:lvlJc w:val="right"/>
      <w:pPr>
        <w:ind w:left="2160" w:hanging="180"/>
      </w:pPr>
      <w:rPr>
        <w:b/>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10EC5B1C"/>
    <w:multiLevelType w:val="hybridMultilevel"/>
    <w:tmpl w:val="39165006"/>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5">
    <w:nsid w:val="1434458C"/>
    <w:multiLevelType w:val="hybridMultilevel"/>
    <w:tmpl w:val="EB2EDE4A"/>
    <w:lvl w:ilvl="0" w:tplc="7124D4A2">
      <w:start w:val="1"/>
      <w:numFmt w:val="lowerLetter"/>
      <w:lvlText w:val="%1)"/>
      <w:lvlJc w:val="left"/>
      <w:pPr>
        <w:ind w:left="900" w:hanging="360"/>
      </w:pPr>
      <w:rPr>
        <w:rFonts w:ascii="Palatino Linotype" w:hAnsi="Palatino Linotype" w:hint="default"/>
        <w:i/>
        <w:sz w:val="24"/>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6">
    <w:nsid w:val="14A527F9"/>
    <w:multiLevelType w:val="hybridMultilevel"/>
    <w:tmpl w:val="89F29E24"/>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7">
    <w:nsid w:val="16B31864"/>
    <w:multiLevelType w:val="hybridMultilevel"/>
    <w:tmpl w:val="782E1EE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1AAD23B6"/>
    <w:multiLevelType w:val="hybridMultilevel"/>
    <w:tmpl w:val="EEE46874"/>
    <w:lvl w:ilvl="0" w:tplc="B7082AA4">
      <w:start w:val="1"/>
      <w:numFmt w:val="lowerLetter"/>
      <w:lvlText w:val="%1)"/>
      <w:lvlJc w:val="left"/>
      <w:pPr>
        <w:ind w:left="900" w:hanging="360"/>
      </w:pPr>
      <w:rPr>
        <w:rFonts w:ascii="Palatino Linotype" w:hAnsi="Palatino Linotype" w:hint="default"/>
        <w:i w:val="0"/>
        <w:sz w:val="24"/>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9">
    <w:nsid w:val="1B5A11A6"/>
    <w:multiLevelType w:val="hybridMultilevel"/>
    <w:tmpl w:val="E4308288"/>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10">
    <w:nsid w:val="1DC722D3"/>
    <w:multiLevelType w:val="hybridMultilevel"/>
    <w:tmpl w:val="0024A8B6"/>
    <w:lvl w:ilvl="0" w:tplc="E35AB3CA">
      <w:start w:val="1"/>
      <w:numFmt w:val="upperRoman"/>
      <w:lvlText w:val="%1."/>
      <w:lvlJc w:val="left"/>
      <w:pPr>
        <w:ind w:left="1080" w:hanging="72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28364FF8"/>
    <w:multiLevelType w:val="hybridMultilevel"/>
    <w:tmpl w:val="4D9CF2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2D927D1D"/>
    <w:multiLevelType w:val="hybridMultilevel"/>
    <w:tmpl w:val="68FACC66"/>
    <w:lvl w:ilvl="0" w:tplc="3A646C4A">
      <w:start w:val="9"/>
      <w:numFmt w:val="decimal"/>
      <w:lvlText w:val="%1."/>
      <w:lvlJc w:val="left"/>
      <w:pPr>
        <w:ind w:left="36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34317490"/>
    <w:multiLevelType w:val="hybridMultilevel"/>
    <w:tmpl w:val="9F30934C"/>
    <w:lvl w:ilvl="0" w:tplc="50A2BCFA">
      <w:start w:val="1"/>
      <w:numFmt w:val="decimal"/>
      <w:lvlText w:val="%1."/>
      <w:lvlJc w:val="left"/>
      <w:pPr>
        <w:ind w:left="360" w:hanging="360"/>
      </w:pPr>
      <w:rPr>
        <w:rFonts w:ascii="Palatino Linotype" w:hAnsi="Palatino Linotype" w:hint="default"/>
        <w:b/>
        <w:i w:val="0"/>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34402D0B"/>
    <w:multiLevelType w:val="multilevel"/>
    <w:tmpl w:val="CB4CB2A2"/>
    <w:lvl w:ilvl="0">
      <w:start w:val="23"/>
      <w:numFmt w:val="decimal"/>
      <w:lvlText w:val="%1."/>
      <w:lvlJc w:val="left"/>
      <w:pPr>
        <w:ind w:left="36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nsid w:val="3F9D2399"/>
    <w:multiLevelType w:val="hybridMultilevel"/>
    <w:tmpl w:val="BD62CF38"/>
    <w:lvl w:ilvl="0" w:tplc="080A0001">
      <w:start w:val="1"/>
      <w:numFmt w:val="bullet"/>
      <w:lvlText w:val=""/>
      <w:lvlJc w:val="left"/>
      <w:pPr>
        <w:ind w:left="1260" w:hanging="360"/>
      </w:pPr>
      <w:rPr>
        <w:rFonts w:ascii="Symbol" w:hAnsi="Symbol" w:hint="default"/>
      </w:rPr>
    </w:lvl>
    <w:lvl w:ilvl="1" w:tplc="080A0003" w:tentative="1">
      <w:start w:val="1"/>
      <w:numFmt w:val="bullet"/>
      <w:lvlText w:val="o"/>
      <w:lvlJc w:val="left"/>
      <w:pPr>
        <w:ind w:left="1980" w:hanging="360"/>
      </w:pPr>
      <w:rPr>
        <w:rFonts w:ascii="Courier New" w:hAnsi="Courier New" w:cs="Courier New" w:hint="default"/>
      </w:rPr>
    </w:lvl>
    <w:lvl w:ilvl="2" w:tplc="080A0005" w:tentative="1">
      <w:start w:val="1"/>
      <w:numFmt w:val="bullet"/>
      <w:lvlText w:val=""/>
      <w:lvlJc w:val="left"/>
      <w:pPr>
        <w:ind w:left="2700" w:hanging="360"/>
      </w:pPr>
      <w:rPr>
        <w:rFonts w:ascii="Wingdings" w:hAnsi="Wingdings" w:hint="default"/>
      </w:rPr>
    </w:lvl>
    <w:lvl w:ilvl="3" w:tplc="080A0001" w:tentative="1">
      <w:start w:val="1"/>
      <w:numFmt w:val="bullet"/>
      <w:lvlText w:val=""/>
      <w:lvlJc w:val="left"/>
      <w:pPr>
        <w:ind w:left="3420" w:hanging="360"/>
      </w:pPr>
      <w:rPr>
        <w:rFonts w:ascii="Symbol" w:hAnsi="Symbol" w:hint="default"/>
      </w:rPr>
    </w:lvl>
    <w:lvl w:ilvl="4" w:tplc="080A0003" w:tentative="1">
      <w:start w:val="1"/>
      <w:numFmt w:val="bullet"/>
      <w:lvlText w:val="o"/>
      <w:lvlJc w:val="left"/>
      <w:pPr>
        <w:ind w:left="4140" w:hanging="360"/>
      </w:pPr>
      <w:rPr>
        <w:rFonts w:ascii="Courier New" w:hAnsi="Courier New" w:cs="Courier New" w:hint="default"/>
      </w:rPr>
    </w:lvl>
    <w:lvl w:ilvl="5" w:tplc="080A0005" w:tentative="1">
      <w:start w:val="1"/>
      <w:numFmt w:val="bullet"/>
      <w:lvlText w:val=""/>
      <w:lvlJc w:val="left"/>
      <w:pPr>
        <w:ind w:left="4860" w:hanging="360"/>
      </w:pPr>
      <w:rPr>
        <w:rFonts w:ascii="Wingdings" w:hAnsi="Wingdings" w:hint="default"/>
      </w:rPr>
    </w:lvl>
    <w:lvl w:ilvl="6" w:tplc="080A0001" w:tentative="1">
      <w:start w:val="1"/>
      <w:numFmt w:val="bullet"/>
      <w:lvlText w:val=""/>
      <w:lvlJc w:val="left"/>
      <w:pPr>
        <w:ind w:left="5580" w:hanging="360"/>
      </w:pPr>
      <w:rPr>
        <w:rFonts w:ascii="Symbol" w:hAnsi="Symbol" w:hint="default"/>
      </w:rPr>
    </w:lvl>
    <w:lvl w:ilvl="7" w:tplc="080A0003" w:tentative="1">
      <w:start w:val="1"/>
      <w:numFmt w:val="bullet"/>
      <w:lvlText w:val="o"/>
      <w:lvlJc w:val="left"/>
      <w:pPr>
        <w:ind w:left="6300" w:hanging="360"/>
      </w:pPr>
      <w:rPr>
        <w:rFonts w:ascii="Courier New" w:hAnsi="Courier New" w:cs="Courier New" w:hint="default"/>
      </w:rPr>
    </w:lvl>
    <w:lvl w:ilvl="8" w:tplc="080A0005" w:tentative="1">
      <w:start w:val="1"/>
      <w:numFmt w:val="bullet"/>
      <w:lvlText w:val=""/>
      <w:lvlJc w:val="left"/>
      <w:pPr>
        <w:ind w:left="7020" w:hanging="360"/>
      </w:pPr>
      <w:rPr>
        <w:rFonts w:ascii="Wingdings" w:hAnsi="Wingdings" w:hint="default"/>
      </w:rPr>
    </w:lvl>
  </w:abstractNum>
  <w:abstractNum w:abstractNumId="16">
    <w:nsid w:val="45977F9D"/>
    <w:multiLevelType w:val="hybridMultilevel"/>
    <w:tmpl w:val="658E9506"/>
    <w:lvl w:ilvl="0" w:tplc="3A646C4A">
      <w:start w:val="10"/>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4DEA3D04"/>
    <w:multiLevelType w:val="hybridMultilevel"/>
    <w:tmpl w:val="C7C2E6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0202F9A"/>
    <w:multiLevelType w:val="hybridMultilevel"/>
    <w:tmpl w:val="D0920F2C"/>
    <w:lvl w:ilvl="0" w:tplc="43FEC28A">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9">
    <w:nsid w:val="50DB3566"/>
    <w:multiLevelType w:val="hybridMultilevel"/>
    <w:tmpl w:val="A7D894D8"/>
    <w:lvl w:ilvl="0" w:tplc="080A000B">
      <w:start w:val="1"/>
      <w:numFmt w:val="bullet"/>
      <w:lvlText w:val=""/>
      <w:lvlJc w:val="left"/>
      <w:pPr>
        <w:ind w:left="1004" w:hanging="360"/>
      </w:pPr>
      <w:rPr>
        <w:rFonts w:ascii="Wingdings" w:hAnsi="Wingdings"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20">
    <w:nsid w:val="519A3C11"/>
    <w:multiLevelType w:val="hybridMultilevel"/>
    <w:tmpl w:val="191E1BC6"/>
    <w:lvl w:ilvl="0" w:tplc="F2A2EEAA">
      <w:start w:val="13"/>
      <w:numFmt w:val="decimal"/>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564F4CEC"/>
    <w:multiLevelType w:val="hybridMultilevel"/>
    <w:tmpl w:val="C47EAE46"/>
    <w:lvl w:ilvl="0" w:tplc="0C44CDE6">
      <w:numFmt w:val="bullet"/>
      <w:lvlText w:val="-"/>
      <w:lvlJc w:val="left"/>
      <w:pPr>
        <w:ind w:left="927" w:hanging="360"/>
      </w:pPr>
      <w:rPr>
        <w:rFonts w:ascii="Palatino Linotype" w:eastAsiaTheme="minorEastAsia" w:hAnsi="Palatino Linotype" w:cstheme="minorBidi"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22">
    <w:nsid w:val="5A3A237C"/>
    <w:multiLevelType w:val="hybridMultilevel"/>
    <w:tmpl w:val="6A2C83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A565B4C"/>
    <w:multiLevelType w:val="hybridMultilevel"/>
    <w:tmpl w:val="843EB94A"/>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4">
    <w:nsid w:val="6A2C5D45"/>
    <w:multiLevelType w:val="hybridMultilevel"/>
    <w:tmpl w:val="68FACC66"/>
    <w:lvl w:ilvl="0" w:tplc="3A646C4A">
      <w:start w:val="9"/>
      <w:numFmt w:val="decimal"/>
      <w:lvlText w:val="%1."/>
      <w:lvlJc w:val="left"/>
      <w:pPr>
        <w:ind w:left="36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6C4C6525"/>
    <w:multiLevelType w:val="hybridMultilevel"/>
    <w:tmpl w:val="B66022E2"/>
    <w:lvl w:ilvl="0" w:tplc="FEFA584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D7D1AA0"/>
    <w:multiLevelType w:val="hybridMultilevel"/>
    <w:tmpl w:val="18EC76D2"/>
    <w:lvl w:ilvl="0" w:tplc="B0AC5F36">
      <w:start w:val="4"/>
      <w:numFmt w:val="bullet"/>
      <w:lvlText w:val="-"/>
      <w:lvlJc w:val="left"/>
      <w:pPr>
        <w:ind w:left="927" w:hanging="360"/>
      </w:pPr>
      <w:rPr>
        <w:rFonts w:ascii="Palatino Linotype" w:eastAsiaTheme="minorEastAsia" w:hAnsi="Palatino Linotype" w:cstheme="minorBidi"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27">
    <w:nsid w:val="72270B05"/>
    <w:multiLevelType w:val="hybridMultilevel"/>
    <w:tmpl w:val="0BE82DC2"/>
    <w:lvl w:ilvl="0" w:tplc="F374348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7282394F"/>
    <w:multiLevelType w:val="hybridMultilevel"/>
    <w:tmpl w:val="B90A6DCA"/>
    <w:lvl w:ilvl="0" w:tplc="7A022C44">
      <w:start w:val="1"/>
      <w:numFmt w:val="upperRoman"/>
      <w:lvlText w:val="%1."/>
      <w:lvlJc w:val="left"/>
      <w:pPr>
        <w:ind w:left="1320" w:hanging="720"/>
      </w:pPr>
      <w:rPr>
        <w:rFonts w:hint="default"/>
      </w:rPr>
    </w:lvl>
    <w:lvl w:ilvl="1" w:tplc="04090019" w:tentative="1">
      <w:start w:val="1"/>
      <w:numFmt w:val="lowerLetter"/>
      <w:lvlText w:val="%2."/>
      <w:lvlJc w:val="left"/>
      <w:pPr>
        <w:ind w:left="1680" w:hanging="360"/>
      </w:pPr>
    </w:lvl>
    <w:lvl w:ilvl="2" w:tplc="0409001B" w:tentative="1">
      <w:start w:val="1"/>
      <w:numFmt w:val="lowerRoman"/>
      <w:lvlText w:val="%3."/>
      <w:lvlJc w:val="right"/>
      <w:pPr>
        <w:ind w:left="2400" w:hanging="180"/>
      </w:pPr>
    </w:lvl>
    <w:lvl w:ilvl="3" w:tplc="0409000F" w:tentative="1">
      <w:start w:val="1"/>
      <w:numFmt w:val="decimal"/>
      <w:lvlText w:val="%4."/>
      <w:lvlJc w:val="left"/>
      <w:pPr>
        <w:ind w:left="3120" w:hanging="360"/>
      </w:pPr>
    </w:lvl>
    <w:lvl w:ilvl="4" w:tplc="04090019" w:tentative="1">
      <w:start w:val="1"/>
      <w:numFmt w:val="lowerLetter"/>
      <w:lvlText w:val="%5."/>
      <w:lvlJc w:val="left"/>
      <w:pPr>
        <w:ind w:left="3840" w:hanging="360"/>
      </w:pPr>
    </w:lvl>
    <w:lvl w:ilvl="5" w:tplc="0409001B" w:tentative="1">
      <w:start w:val="1"/>
      <w:numFmt w:val="lowerRoman"/>
      <w:lvlText w:val="%6."/>
      <w:lvlJc w:val="right"/>
      <w:pPr>
        <w:ind w:left="4560" w:hanging="180"/>
      </w:pPr>
    </w:lvl>
    <w:lvl w:ilvl="6" w:tplc="0409000F" w:tentative="1">
      <w:start w:val="1"/>
      <w:numFmt w:val="decimal"/>
      <w:lvlText w:val="%7."/>
      <w:lvlJc w:val="left"/>
      <w:pPr>
        <w:ind w:left="5280" w:hanging="360"/>
      </w:pPr>
    </w:lvl>
    <w:lvl w:ilvl="7" w:tplc="04090019" w:tentative="1">
      <w:start w:val="1"/>
      <w:numFmt w:val="lowerLetter"/>
      <w:lvlText w:val="%8."/>
      <w:lvlJc w:val="left"/>
      <w:pPr>
        <w:ind w:left="6000" w:hanging="360"/>
      </w:pPr>
    </w:lvl>
    <w:lvl w:ilvl="8" w:tplc="0409001B" w:tentative="1">
      <w:start w:val="1"/>
      <w:numFmt w:val="lowerRoman"/>
      <w:lvlText w:val="%9."/>
      <w:lvlJc w:val="right"/>
      <w:pPr>
        <w:ind w:left="6720" w:hanging="180"/>
      </w:pPr>
    </w:lvl>
  </w:abstractNum>
  <w:abstractNum w:abstractNumId="29">
    <w:nsid w:val="743204EE"/>
    <w:multiLevelType w:val="hybridMultilevel"/>
    <w:tmpl w:val="6128C95A"/>
    <w:lvl w:ilvl="0" w:tplc="4A029FF2">
      <w:start w:val="1"/>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74A94E56"/>
    <w:multiLevelType w:val="hybridMultilevel"/>
    <w:tmpl w:val="10E6A0C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785475B5"/>
    <w:multiLevelType w:val="hybridMultilevel"/>
    <w:tmpl w:val="DD2C9D30"/>
    <w:lvl w:ilvl="0" w:tplc="B452440C">
      <w:start w:val="18"/>
      <w:numFmt w:val="decimal"/>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8732DE1"/>
    <w:multiLevelType w:val="hybridMultilevel"/>
    <w:tmpl w:val="809A16AE"/>
    <w:lvl w:ilvl="0" w:tplc="4A029FF2">
      <w:start w:val="1"/>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9"/>
  </w:num>
  <w:num w:numId="2">
    <w:abstractNumId w:val="7"/>
  </w:num>
  <w:num w:numId="3">
    <w:abstractNumId w:val="30"/>
  </w:num>
  <w:num w:numId="4">
    <w:abstractNumId w:val="29"/>
  </w:num>
  <w:num w:numId="5">
    <w:abstractNumId w:val="27"/>
  </w:num>
  <w:num w:numId="6">
    <w:abstractNumId w:val="6"/>
  </w:num>
  <w:num w:numId="7">
    <w:abstractNumId w:val="10"/>
  </w:num>
  <w:num w:numId="8">
    <w:abstractNumId w:val="21"/>
  </w:num>
  <w:num w:numId="9">
    <w:abstractNumId w:val="18"/>
  </w:num>
  <w:num w:numId="10">
    <w:abstractNumId w:val="4"/>
  </w:num>
  <w:num w:numId="11">
    <w:abstractNumId w:val="2"/>
  </w:num>
  <w:num w:numId="12">
    <w:abstractNumId w:val="12"/>
  </w:num>
  <w:num w:numId="13">
    <w:abstractNumId w:val="16"/>
  </w:num>
  <w:num w:numId="14">
    <w:abstractNumId w:val="0"/>
  </w:num>
  <w:num w:numId="15">
    <w:abstractNumId w:val="8"/>
  </w:num>
  <w:num w:numId="16">
    <w:abstractNumId w:val="5"/>
  </w:num>
  <w:num w:numId="17">
    <w:abstractNumId w:val="13"/>
  </w:num>
  <w:num w:numId="18">
    <w:abstractNumId w:val="3"/>
  </w:num>
  <w:num w:numId="19">
    <w:abstractNumId w:val="32"/>
  </w:num>
  <w:num w:numId="20">
    <w:abstractNumId w:val="24"/>
  </w:num>
  <w:num w:numId="21">
    <w:abstractNumId w:val="28"/>
  </w:num>
  <w:num w:numId="22">
    <w:abstractNumId w:val="14"/>
  </w:num>
  <w:num w:numId="23">
    <w:abstractNumId w:val="19"/>
  </w:num>
  <w:num w:numId="24">
    <w:abstractNumId w:val="17"/>
  </w:num>
  <w:num w:numId="25">
    <w:abstractNumId w:val="22"/>
  </w:num>
  <w:num w:numId="26">
    <w:abstractNumId w:val="25"/>
  </w:num>
  <w:num w:numId="27">
    <w:abstractNumId w:val="11"/>
  </w:num>
  <w:num w:numId="28">
    <w:abstractNumId w:val="26"/>
  </w:num>
  <w:num w:numId="29">
    <w:abstractNumId w:val="31"/>
  </w:num>
  <w:num w:numId="30">
    <w:abstractNumId w:val="1"/>
  </w:num>
  <w:num w:numId="31">
    <w:abstractNumId w:val="23"/>
  </w:num>
  <w:num w:numId="32">
    <w:abstractNumId w:val="15"/>
  </w:num>
  <w:num w:numId="33">
    <w:abstractNumId w:val="20"/>
  </w:num>
  <w:num w:numId="34">
    <w:abstractNumId w:val="20"/>
    <w:lvlOverride w:ilvl="0">
      <w:startOverride w:val="1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activeWritingStyle w:appName="MSWord" w:lang="pt-BR" w:vendorID="64" w:dllVersion="6" w:nlCheck="1" w:checkStyle="0"/>
  <w:activeWritingStyle w:appName="MSWord" w:lang="es-ES" w:vendorID="64" w:dllVersion="6" w:nlCheck="1" w:checkStyle="0"/>
  <w:activeWritingStyle w:appName="MSWord" w:lang="es-ES_tradnl" w:vendorID="64" w:dllVersion="6" w:nlCheck="1" w:checkStyle="0"/>
  <w:activeWritingStyle w:appName="MSWord" w:lang="es-MX" w:vendorID="64" w:dllVersion="6" w:nlCheck="1" w:checkStyle="0"/>
  <w:activeWritingStyle w:appName="MSWord" w:lang="es-AR" w:vendorID="64" w:dllVersion="6" w:nlCheck="1" w:checkStyle="1"/>
  <w:activeWritingStyle w:appName="MSWord" w:lang="es-ES" w:vendorID="64" w:dllVersion="0" w:nlCheck="1" w:checkStyle="0"/>
  <w:activeWritingStyle w:appName="MSWord" w:lang="es-MX" w:vendorID="64" w:dllVersion="0" w:nlCheck="1" w:checkStyle="0"/>
  <w:activeWritingStyle w:appName="MSWord" w:lang="es-ES_tradnl" w:vendorID="64" w:dllVersion="0" w:nlCheck="1" w:checkStyle="0"/>
  <w:activeWritingStyle w:appName="MSWord" w:lang="es-ES_tradnl" w:vendorID="64" w:dllVersion="131078" w:nlCheck="1" w:checkStyle="0"/>
  <w:activeWritingStyle w:appName="MSWord" w:lang="es-MX" w:vendorID="64" w:dllVersion="131078" w:nlCheck="1" w:checkStyle="0"/>
  <w:activeWritingStyle w:appName="MSWord" w:lang="es-ES" w:vendorID="64" w:dllVersion="131078" w:nlCheck="1" w:checkStyle="0"/>
  <w:activeWritingStyle w:appName="MSWord" w:lang="es-AR" w:vendorID="64" w:dllVersion="131078" w:nlCheck="1" w:checkStyle="0"/>
  <w:activeWritingStyle w:appName="MSWord" w:lang="en-US" w:vendorID="64" w:dllVersion="131078" w:nlCheck="1" w:checkStyle="1"/>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938"/>
    <w:rsid w:val="000035AE"/>
    <w:rsid w:val="000045A8"/>
    <w:rsid w:val="000059CF"/>
    <w:rsid w:val="000061F4"/>
    <w:rsid w:val="0000625E"/>
    <w:rsid w:val="000064FC"/>
    <w:rsid w:val="0000746A"/>
    <w:rsid w:val="000115F7"/>
    <w:rsid w:val="00012A5F"/>
    <w:rsid w:val="00012D1B"/>
    <w:rsid w:val="000134A7"/>
    <w:rsid w:val="000147FB"/>
    <w:rsid w:val="00014A65"/>
    <w:rsid w:val="000151E0"/>
    <w:rsid w:val="000155EF"/>
    <w:rsid w:val="000163E2"/>
    <w:rsid w:val="00017BE1"/>
    <w:rsid w:val="00020869"/>
    <w:rsid w:val="00020A18"/>
    <w:rsid w:val="00021E8D"/>
    <w:rsid w:val="000220A1"/>
    <w:rsid w:val="000239D7"/>
    <w:rsid w:val="00023C79"/>
    <w:rsid w:val="00024227"/>
    <w:rsid w:val="0002433F"/>
    <w:rsid w:val="0002434A"/>
    <w:rsid w:val="000243F1"/>
    <w:rsid w:val="00024AE6"/>
    <w:rsid w:val="00024BA6"/>
    <w:rsid w:val="000252E9"/>
    <w:rsid w:val="00025532"/>
    <w:rsid w:val="000260E9"/>
    <w:rsid w:val="00026705"/>
    <w:rsid w:val="00026D94"/>
    <w:rsid w:val="00026F9C"/>
    <w:rsid w:val="0002747D"/>
    <w:rsid w:val="00027E08"/>
    <w:rsid w:val="0003080E"/>
    <w:rsid w:val="00030E35"/>
    <w:rsid w:val="000313AF"/>
    <w:rsid w:val="000314E8"/>
    <w:rsid w:val="00033629"/>
    <w:rsid w:val="0003385D"/>
    <w:rsid w:val="00034D7D"/>
    <w:rsid w:val="00035413"/>
    <w:rsid w:val="000354B7"/>
    <w:rsid w:val="000359D8"/>
    <w:rsid w:val="00035B1B"/>
    <w:rsid w:val="00035F2E"/>
    <w:rsid w:val="00036575"/>
    <w:rsid w:val="00036B8A"/>
    <w:rsid w:val="00040383"/>
    <w:rsid w:val="00041464"/>
    <w:rsid w:val="00041731"/>
    <w:rsid w:val="00041BCD"/>
    <w:rsid w:val="00042233"/>
    <w:rsid w:val="000423C7"/>
    <w:rsid w:val="00044648"/>
    <w:rsid w:val="0004471E"/>
    <w:rsid w:val="00045165"/>
    <w:rsid w:val="00045FD8"/>
    <w:rsid w:val="00047F41"/>
    <w:rsid w:val="00051773"/>
    <w:rsid w:val="0005205E"/>
    <w:rsid w:val="000535B0"/>
    <w:rsid w:val="00053D74"/>
    <w:rsid w:val="00054EFE"/>
    <w:rsid w:val="00055938"/>
    <w:rsid w:val="00055F7A"/>
    <w:rsid w:val="00057073"/>
    <w:rsid w:val="00060CD1"/>
    <w:rsid w:val="0006184D"/>
    <w:rsid w:val="000646E3"/>
    <w:rsid w:val="000667E0"/>
    <w:rsid w:val="00070A81"/>
    <w:rsid w:val="00071462"/>
    <w:rsid w:val="00071A99"/>
    <w:rsid w:val="00072BEF"/>
    <w:rsid w:val="00072D06"/>
    <w:rsid w:val="00074010"/>
    <w:rsid w:val="000752EF"/>
    <w:rsid w:val="00075D7A"/>
    <w:rsid w:val="00076CAF"/>
    <w:rsid w:val="0007730D"/>
    <w:rsid w:val="00077347"/>
    <w:rsid w:val="00077788"/>
    <w:rsid w:val="00077C21"/>
    <w:rsid w:val="00080FA4"/>
    <w:rsid w:val="0008195D"/>
    <w:rsid w:val="000824DB"/>
    <w:rsid w:val="00082C95"/>
    <w:rsid w:val="00083058"/>
    <w:rsid w:val="00084105"/>
    <w:rsid w:val="00084433"/>
    <w:rsid w:val="00085359"/>
    <w:rsid w:val="0008542A"/>
    <w:rsid w:val="00085C91"/>
    <w:rsid w:val="00086E2B"/>
    <w:rsid w:val="00086EAA"/>
    <w:rsid w:val="00087498"/>
    <w:rsid w:val="00087514"/>
    <w:rsid w:val="00090DE6"/>
    <w:rsid w:val="00090EBA"/>
    <w:rsid w:val="00091682"/>
    <w:rsid w:val="0009456A"/>
    <w:rsid w:val="00094E67"/>
    <w:rsid w:val="0009719D"/>
    <w:rsid w:val="00097C05"/>
    <w:rsid w:val="00097EF0"/>
    <w:rsid w:val="000A015C"/>
    <w:rsid w:val="000A05A2"/>
    <w:rsid w:val="000A0D0B"/>
    <w:rsid w:val="000A1C9A"/>
    <w:rsid w:val="000A1E1F"/>
    <w:rsid w:val="000A261A"/>
    <w:rsid w:val="000A351A"/>
    <w:rsid w:val="000A3A51"/>
    <w:rsid w:val="000A4EC4"/>
    <w:rsid w:val="000A515A"/>
    <w:rsid w:val="000A577A"/>
    <w:rsid w:val="000A5B28"/>
    <w:rsid w:val="000A6205"/>
    <w:rsid w:val="000A63B9"/>
    <w:rsid w:val="000A6651"/>
    <w:rsid w:val="000A7C0E"/>
    <w:rsid w:val="000B0BF3"/>
    <w:rsid w:val="000B1236"/>
    <w:rsid w:val="000B1437"/>
    <w:rsid w:val="000B2B61"/>
    <w:rsid w:val="000B2CE3"/>
    <w:rsid w:val="000B2FE2"/>
    <w:rsid w:val="000B3FFD"/>
    <w:rsid w:val="000B4571"/>
    <w:rsid w:val="000B4E3D"/>
    <w:rsid w:val="000B5351"/>
    <w:rsid w:val="000B57CE"/>
    <w:rsid w:val="000B5A30"/>
    <w:rsid w:val="000B6982"/>
    <w:rsid w:val="000B69A8"/>
    <w:rsid w:val="000B7101"/>
    <w:rsid w:val="000B7332"/>
    <w:rsid w:val="000B7B5A"/>
    <w:rsid w:val="000C1184"/>
    <w:rsid w:val="000C11BE"/>
    <w:rsid w:val="000C16AF"/>
    <w:rsid w:val="000C1B34"/>
    <w:rsid w:val="000C3D4F"/>
    <w:rsid w:val="000C4453"/>
    <w:rsid w:val="000C485E"/>
    <w:rsid w:val="000C53E4"/>
    <w:rsid w:val="000C54A3"/>
    <w:rsid w:val="000C5528"/>
    <w:rsid w:val="000C59F1"/>
    <w:rsid w:val="000C6204"/>
    <w:rsid w:val="000C72EB"/>
    <w:rsid w:val="000C7714"/>
    <w:rsid w:val="000C7765"/>
    <w:rsid w:val="000C77C6"/>
    <w:rsid w:val="000C7C04"/>
    <w:rsid w:val="000D0395"/>
    <w:rsid w:val="000D07EC"/>
    <w:rsid w:val="000D0950"/>
    <w:rsid w:val="000D29F9"/>
    <w:rsid w:val="000D4710"/>
    <w:rsid w:val="000D4D96"/>
    <w:rsid w:val="000D5D2D"/>
    <w:rsid w:val="000D6B27"/>
    <w:rsid w:val="000D7676"/>
    <w:rsid w:val="000D7CBE"/>
    <w:rsid w:val="000D7F38"/>
    <w:rsid w:val="000D7F6F"/>
    <w:rsid w:val="000E08B8"/>
    <w:rsid w:val="000E1259"/>
    <w:rsid w:val="000E1C85"/>
    <w:rsid w:val="000E1CA1"/>
    <w:rsid w:val="000E44E3"/>
    <w:rsid w:val="000E462D"/>
    <w:rsid w:val="000E48C2"/>
    <w:rsid w:val="000E5560"/>
    <w:rsid w:val="000E59A1"/>
    <w:rsid w:val="000F1BBF"/>
    <w:rsid w:val="000F219C"/>
    <w:rsid w:val="000F2EB3"/>
    <w:rsid w:val="000F4598"/>
    <w:rsid w:val="000F5B72"/>
    <w:rsid w:val="000F71B5"/>
    <w:rsid w:val="000F7FE2"/>
    <w:rsid w:val="001002A8"/>
    <w:rsid w:val="0010152C"/>
    <w:rsid w:val="00101832"/>
    <w:rsid w:val="00103E4C"/>
    <w:rsid w:val="00104E08"/>
    <w:rsid w:val="00106146"/>
    <w:rsid w:val="00106B32"/>
    <w:rsid w:val="00106EDD"/>
    <w:rsid w:val="00107249"/>
    <w:rsid w:val="001073CC"/>
    <w:rsid w:val="00107584"/>
    <w:rsid w:val="00107A49"/>
    <w:rsid w:val="00107BBC"/>
    <w:rsid w:val="00107FC5"/>
    <w:rsid w:val="00110202"/>
    <w:rsid w:val="00110507"/>
    <w:rsid w:val="001110FC"/>
    <w:rsid w:val="00111A41"/>
    <w:rsid w:val="00111D7F"/>
    <w:rsid w:val="00112892"/>
    <w:rsid w:val="00112B9F"/>
    <w:rsid w:val="00114D4B"/>
    <w:rsid w:val="00114DDF"/>
    <w:rsid w:val="001154D1"/>
    <w:rsid w:val="00115AAD"/>
    <w:rsid w:val="00116064"/>
    <w:rsid w:val="0012062D"/>
    <w:rsid w:val="00120D7C"/>
    <w:rsid w:val="00120FF3"/>
    <w:rsid w:val="001210A4"/>
    <w:rsid w:val="001219E7"/>
    <w:rsid w:val="001227CA"/>
    <w:rsid w:val="00124762"/>
    <w:rsid w:val="00124985"/>
    <w:rsid w:val="00124C77"/>
    <w:rsid w:val="00124D16"/>
    <w:rsid w:val="00126994"/>
    <w:rsid w:val="00126F04"/>
    <w:rsid w:val="00127CCA"/>
    <w:rsid w:val="00130642"/>
    <w:rsid w:val="001306E4"/>
    <w:rsid w:val="00130AA5"/>
    <w:rsid w:val="00130BA7"/>
    <w:rsid w:val="00135800"/>
    <w:rsid w:val="00135D98"/>
    <w:rsid w:val="00136083"/>
    <w:rsid w:val="001362C2"/>
    <w:rsid w:val="0013781E"/>
    <w:rsid w:val="00137C1F"/>
    <w:rsid w:val="00141F78"/>
    <w:rsid w:val="00143012"/>
    <w:rsid w:val="00143967"/>
    <w:rsid w:val="001445AB"/>
    <w:rsid w:val="0014506E"/>
    <w:rsid w:val="00147E1D"/>
    <w:rsid w:val="00150789"/>
    <w:rsid w:val="00150C0D"/>
    <w:rsid w:val="00151A0D"/>
    <w:rsid w:val="00151D19"/>
    <w:rsid w:val="00152866"/>
    <w:rsid w:val="0015311F"/>
    <w:rsid w:val="001539B3"/>
    <w:rsid w:val="00153F8E"/>
    <w:rsid w:val="001543BC"/>
    <w:rsid w:val="00154DA6"/>
    <w:rsid w:val="0015502B"/>
    <w:rsid w:val="0015575F"/>
    <w:rsid w:val="00160E43"/>
    <w:rsid w:val="00161160"/>
    <w:rsid w:val="00161B66"/>
    <w:rsid w:val="00161FC4"/>
    <w:rsid w:val="00162CA1"/>
    <w:rsid w:val="00163B98"/>
    <w:rsid w:val="00164BD1"/>
    <w:rsid w:val="00165138"/>
    <w:rsid w:val="00166139"/>
    <w:rsid w:val="001667F0"/>
    <w:rsid w:val="00167C5F"/>
    <w:rsid w:val="00167E48"/>
    <w:rsid w:val="00167F89"/>
    <w:rsid w:val="00167F8F"/>
    <w:rsid w:val="001701C4"/>
    <w:rsid w:val="001705A5"/>
    <w:rsid w:val="00170979"/>
    <w:rsid w:val="00170D88"/>
    <w:rsid w:val="00170E0A"/>
    <w:rsid w:val="00171D47"/>
    <w:rsid w:val="00171F21"/>
    <w:rsid w:val="00172089"/>
    <w:rsid w:val="001723BF"/>
    <w:rsid w:val="00173627"/>
    <w:rsid w:val="00174E15"/>
    <w:rsid w:val="00175060"/>
    <w:rsid w:val="0017530C"/>
    <w:rsid w:val="0017555E"/>
    <w:rsid w:val="00175974"/>
    <w:rsid w:val="00175A2B"/>
    <w:rsid w:val="00177A27"/>
    <w:rsid w:val="00177B7E"/>
    <w:rsid w:val="00181594"/>
    <w:rsid w:val="00181791"/>
    <w:rsid w:val="00182E55"/>
    <w:rsid w:val="00183275"/>
    <w:rsid w:val="00184443"/>
    <w:rsid w:val="00184BC3"/>
    <w:rsid w:val="00184FBA"/>
    <w:rsid w:val="001852E0"/>
    <w:rsid w:val="0018689B"/>
    <w:rsid w:val="00186B63"/>
    <w:rsid w:val="00186C88"/>
    <w:rsid w:val="001871B2"/>
    <w:rsid w:val="00190A74"/>
    <w:rsid w:val="00190BB9"/>
    <w:rsid w:val="001911CC"/>
    <w:rsid w:val="00191ACE"/>
    <w:rsid w:val="00191DDF"/>
    <w:rsid w:val="00193909"/>
    <w:rsid w:val="00196141"/>
    <w:rsid w:val="00196EF5"/>
    <w:rsid w:val="00197DA4"/>
    <w:rsid w:val="001A0542"/>
    <w:rsid w:val="001A0598"/>
    <w:rsid w:val="001A05BA"/>
    <w:rsid w:val="001A0F86"/>
    <w:rsid w:val="001A1810"/>
    <w:rsid w:val="001A2131"/>
    <w:rsid w:val="001A25D5"/>
    <w:rsid w:val="001A29C5"/>
    <w:rsid w:val="001A2A37"/>
    <w:rsid w:val="001A2FF3"/>
    <w:rsid w:val="001A373A"/>
    <w:rsid w:val="001A466C"/>
    <w:rsid w:val="001A4E38"/>
    <w:rsid w:val="001A4F68"/>
    <w:rsid w:val="001A78F5"/>
    <w:rsid w:val="001A7913"/>
    <w:rsid w:val="001A7DE2"/>
    <w:rsid w:val="001B0C32"/>
    <w:rsid w:val="001B2379"/>
    <w:rsid w:val="001B3256"/>
    <w:rsid w:val="001B3C02"/>
    <w:rsid w:val="001B5099"/>
    <w:rsid w:val="001B6BDC"/>
    <w:rsid w:val="001B6E23"/>
    <w:rsid w:val="001B6EF0"/>
    <w:rsid w:val="001B7B33"/>
    <w:rsid w:val="001C085B"/>
    <w:rsid w:val="001C0C3F"/>
    <w:rsid w:val="001C1B7A"/>
    <w:rsid w:val="001C1CAE"/>
    <w:rsid w:val="001C1DC2"/>
    <w:rsid w:val="001C304B"/>
    <w:rsid w:val="001C51A0"/>
    <w:rsid w:val="001C54E5"/>
    <w:rsid w:val="001C592C"/>
    <w:rsid w:val="001C5CD3"/>
    <w:rsid w:val="001D0631"/>
    <w:rsid w:val="001D064E"/>
    <w:rsid w:val="001D19AB"/>
    <w:rsid w:val="001D2EB5"/>
    <w:rsid w:val="001D54C7"/>
    <w:rsid w:val="001D6064"/>
    <w:rsid w:val="001D60A4"/>
    <w:rsid w:val="001D63C6"/>
    <w:rsid w:val="001E0ACB"/>
    <w:rsid w:val="001E1C02"/>
    <w:rsid w:val="001E39C4"/>
    <w:rsid w:val="001E3CA0"/>
    <w:rsid w:val="001E5309"/>
    <w:rsid w:val="001E54C9"/>
    <w:rsid w:val="001E64BE"/>
    <w:rsid w:val="001E766B"/>
    <w:rsid w:val="001F05C9"/>
    <w:rsid w:val="001F07FA"/>
    <w:rsid w:val="001F1B46"/>
    <w:rsid w:val="001F1F7D"/>
    <w:rsid w:val="001F20AB"/>
    <w:rsid w:val="001F21C4"/>
    <w:rsid w:val="001F24A5"/>
    <w:rsid w:val="001F2CA8"/>
    <w:rsid w:val="001F41FB"/>
    <w:rsid w:val="001F465A"/>
    <w:rsid w:val="001F4E10"/>
    <w:rsid w:val="001F501F"/>
    <w:rsid w:val="001F6D50"/>
    <w:rsid w:val="0020054B"/>
    <w:rsid w:val="002018C2"/>
    <w:rsid w:val="00201E21"/>
    <w:rsid w:val="00201FA9"/>
    <w:rsid w:val="00203E4E"/>
    <w:rsid w:val="00204C2A"/>
    <w:rsid w:val="00205361"/>
    <w:rsid w:val="00205ADF"/>
    <w:rsid w:val="002066DF"/>
    <w:rsid w:val="00206C34"/>
    <w:rsid w:val="002070E6"/>
    <w:rsid w:val="00212FE4"/>
    <w:rsid w:val="00213228"/>
    <w:rsid w:val="0021442C"/>
    <w:rsid w:val="00214F0A"/>
    <w:rsid w:val="002155B0"/>
    <w:rsid w:val="002158CB"/>
    <w:rsid w:val="00215922"/>
    <w:rsid w:val="00220958"/>
    <w:rsid w:val="00221545"/>
    <w:rsid w:val="00221D2C"/>
    <w:rsid w:val="0022285B"/>
    <w:rsid w:val="00222F65"/>
    <w:rsid w:val="00223D0B"/>
    <w:rsid w:val="00224DEB"/>
    <w:rsid w:val="00225FCB"/>
    <w:rsid w:val="002271AA"/>
    <w:rsid w:val="002278E9"/>
    <w:rsid w:val="00231269"/>
    <w:rsid w:val="0023264F"/>
    <w:rsid w:val="00233285"/>
    <w:rsid w:val="00233748"/>
    <w:rsid w:val="0023380E"/>
    <w:rsid w:val="002339A2"/>
    <w:rsid w:val="00233F88"/>
    <w:rsid w:val="00234DEF"/>
    <w:rsid w:val="00235FB4"/>
    <w:rsid w:val="00236540"/>
    <w:rsid w:val="00236E44"/>
    <w:rsid w:val="00241217"/>
    <w:rsid w:val="002423FE"/>
    <w:rsid w:val="00242C4A"/>
    <w:rsid w:val="0024380A"/>
    <w:rsid w:val="0024404E"/>
    <w:rsid w:val="002440EB"/>
    <w:rsid w:val="002441D0"/>
    <w:rsid w:val="00244265"/>
    <w:rsid w:val="00244EEF"/>
    <w:rsid w:val="002500C8"/>
    <w:rsid w:val="00251066"/>
    <w:rsid w:val="00251C63"/>
    <w:rsid w:val="002529ED"/>
    <w:rsid w:val="0025386B"/>
    <w:rsid w:val="00253F03"/>
    <w:rsid w:val="002556CA"/>
    <w:rsid w:val="00255E4E"/>
    <w:rsid w:val="00256193"/>
    <w:rsid w:val="00256BFD"/>
    <w:rsid w:val="00257AA8"/>
    <w:rsid w:val="0026164E"/>
    <w:rsid w:val="0026271B"/>
    <w:rsid w:val="002629E7"/>
    <w:rsid w:val="00265366"/>
    <w:rsid w:val="002657BB"/>
    <w:rsid w:val="00266490"/>
    <w:rsid w:val="0026683E"/>
    <w:rsid w:val="00266A60"/>
    <w:rsid w:val="002677C1"/>
    <w:rsid w:val="00267A6D"/>
    <w:rsid w:val="00270883"/>
    <w:rsid w:val="00271446"/>
    <w:rsid w:val="00271B57"/>
    <w:rsid w:val="00271FC2"/>
    <w:rsid w:val="00273204"/>
    <w:rsid w:val="00275423"/>
    <w:rsid w:val="00275AD6"/>
    <w:rsid w:val="00276D8F"/>
    <w:rsid w:val="00276F2E"/>
    <w:rsid w:val="0027702B"/>
    <w:rsid w:val="00277F70"/>
    <w:rsid w:val="002817BA"/>
    <w:rsid w:val="00281EF2"/>
    <w:rsid w:val="00282135"/>
    <w:rsid w:val="00283308"/>
    <w:rsid w:val="00284224"/>
    <w:rsid w:val="00285306"/>
    <w:rsid w:val="002856DC"/>
    <w:rsid w:val="0028632C"/>
    <w:rsid w:val="002864D4"/>
    <w:rsid w:val="0028674A"/>
    <w:rsid w:val="00286C23"/>
    <w:rsid w:val="00286DC8"/>
    <w:rsid w:val="00290C42"/>
    <w:rsid w:val="00291435"/>
    <w:rsid w:val="00291A1A"/>
    <w:rsid w:val="00292786"/>
    <w:rsid w:val="00293048"/>
    <w:rsid w:val="002937C6"/>
    <w:rsid w:val="00293DE5"/>
    <w:rsid w:val="00293E07"/>
    <w:rsid w:val="00295078"/>
    <w:rsid w:val="00295960"/>
    <w:rsid w:val="00295C72"/>
    <w:rsid w:val="00295D44"/>
    <w:rsid w:val="00295DE7"/>
    <w:rsid w:val="0029670A"/>
    <w:rsid w:val="0029745A"/>
    <w:rsid w:val="00297AB0"/>
    <w:rsid w:val="00297ABF"/>
    <w:rsid w:val="00297C62"/>
    <w:rsid w:val="002A0448"/>
    <w:rsid w:val="002A28FE"/>
    <w:rsid w:val="002A3A7A"/>
    <w:rsid w:val="002A43B0"/>
    <w:rsid w:val="002A5EA5"/>
    <w:rsid w:val="002A6A41"/>
    <w:rsid w:val="002A6CC7"/>
    <w:rsid w:val="002B00F6"/>
    <w:rsid w:val="002B0A1D"/>
    <w:rsid w:val="002B0EF8"/>
    <w:rsid w:val="002B1708"/>
    <w:rsid w:val="002B1960"/>
    <w:rsid w:val="002B2467"/>
    <w:rsid w:val="002B27E7"/>
    <w:rsid w:val="002B2B24"/>
    <w:rsid w:val="002B393B"/>
    <w:rsid w:val="002B3E09"/>
    <w:rsid w:val="002B45EF"/>
    <w:rsid w:val="002B45F2"/>
    <w:rsid w:val="002B4646"/>
    <w:rsid w:val="002B4950"/>
    <w:rsid w:val="002B62AF"/>
    <w:rsid w:val="002B7622"/>
    <w:rsid w:val="002B7A02"/>
    <w:rsid w:val="002B7BCC"/>
    <w:rsid w:val="002B7C06"/>
    <w:rsid w:val="002C053B"/>
    <w:rsid w:val="002C0C63"/>
    <w:rsid w:val="002C0F55"/>
    <w:rsid w:val="002C0F5C"/>
    <w:rsid w:val="002C2743"/>
    <w:rsid w:val="002C4011"/>
    <w:rsid w:val="002C4537"/>
    <w:rsid w:val="002C4BC2"/>
    <w:rsid w:val="002C4CA2"/>
    <w:rsid w:val="002C4EBB"/>
    <w:rsid w:val="002C4F45"/>
    <w:rsid w:val="002C6154"/>
    <w:rsid w:val="002C6432"/>
    <w:rsid w:val="002C75F2"/>
    <w:rsid w:val="002C77E4"/>
    <w:rsid w:val="002C7992"/>
    <w:rsid w:val="002D02DC"/>
    <w:rsid w:val="002D07B6"/>
    <w:rsid w:val="002D21B3"/>
    <w:rsid w:val="002D2486"/>
    <w:rsid w:val="002D46BF"/>
    <w:rsid w:val="002D4C95"/>
    <w:rsid w:val="002D508B"/>
    <w:rsid w:val="002D678A"/>
    <w:rsid w:val="002D6AD2"/>
    <w:rsid w:val="002E03BC"/>
    <w:rsid w:val="002E1D63"/>
    <w:rsid w:val="002E4EC0"/>
    <w:rsid w:val="002E5744"/>
    <w:rsid w:val="002E578A"/>
    <w:rsid w:val="002E6172"/>
    <w:rsid w:val="002E6B74"/>
    <w:rsid w:val="002E76D5"/>
    <w:rsid w:val="002F1C4D"/>
    <w:rsid w:val="002F2653"/>
    <w:rsid w:val="002F2FB4"/>
    <w:rsid w:val="002F3910"/>
    <w:rsid w:val="002F3A84"/>
    <w:rsid w:val="002F411A"/>
    <w:rsid w:val="002F54A4"/>
    <w:rsid w:val="002F5A90"/>
    <w:rsid w:val="002F6977"/>
    <w:rsid w:val="002F700E"/>
    <w:rsid w:val="002F750C"/>
    <w:rsid w:val="002F772C"/>
    <w:rsid w:val="002F78E8"/>
    <w:rsid w:val="003002F7"/>
    <w:rsid w:val="00301F63"/>
    <w:rsid w:val="00302787"/>
    <w:rsid w:val="00302C06"/>
    <w:rsid w:val="00302FBC"/>
    <w:rsid w:val="00303BC7"/>
    <w:rsid w:val="00303BDC"/>
    <w:rsid w:val="00304058"/>
    <w:rsid w:val="00305480"/>
    <w:rsid w:val="00306589"/>
    <w:rsid w:val="00306B09"/>
    <w:rsid w:val="00306D3D"/>
    <w:rsid w:val="0030711C"/>
    <w:rsid w:val="00307186"/>
    <w:rsid w:val="00307275"/>
    <w:rsid w:val="0031046F"/>
    <w:rsid w:val="0031090D"/>
    <w:rsid w:val="003129F4"/>
    <w:rsid w:val="00313023"/>
    <w:rsid w:val="0031395E"/>
    <w:rsid w:val="00313AFB"/>
    <w:rsid w:val="00314023"/>
    <w:rsid w:val="00314587"/>
    <w:rsid w:val="003156AE"/>
    <w:rsid w:val="00315780"/>
    <w:rsid w:val="00315891"/>
    <w:rsid w:val="00316240"/>
    <w:rsid w:val="0031687C"/>
    <w:rsid w:val="00320B63"/>
    <w:rsid w:val="0032180D"/>
    <w:rsid w:val="00321D72"/>
    <w:rsid w:val="003227E4"/>
    <w:rsid w:val="00322AE2"/>
    <w:rsid w:val="003231A8"/>
    <w:rsid w:val="00323623"/>
    <w:rsid w:val="00323995"/>
    <w:rsid w:val="00323CFF"/>
    <w:rsid w:val="00324F98"/>
    <w:rsid w:val="00325874"/>
    <w:rsid w:val="00326AE6"/>
    <w:rsid w:val="00326DF2"/>
    <w:rsid w:val="00327357"/>
    <w:rsid w:val="0033030C"/>
    <w:rsid w:val="003324DF"/>
    <w:rsid w:val="00333422"/>
    <w:rsid w:val="003339C3"/>
    <w:rsid w:val="00333C7C"/>
    <w:rsid w:val="003349F4"/>
    <w:rsid w:val="00335047"/>
    <w:rsid w:val="0033544E"/>
    <w:rsid w:val="003374EB"/>
    <w:rsid w:val="003404F0"/>
    <w:rsid w:val="0034094E"/>
    <w:rsid w:val="00340B86"/>
    <w:rsid w:val="0034164E"/>
    <w:rsid w:val="00342AE7"/>
    <w:rsid w:val="00343A82"/>
    <w:rsid w:val="00345D3E"/>
    <w:rsid w:val="00346090"/>
    <w:rsid w:val="00347274"/>
    <w:rsid w:val="0034736C"/>
    <w:rsid w:val="00347F1F"/>
    <w:rsid w:val="00351CB7"/>
    <w:rsid w:val="003523DE"/>
    <w:rsid w:val="00352703"/>
    <w:rsid w:val="00352FCD"/>
    <w:rsid w:val="003537DE"/>
    <w:rsid w:val="00353940"/>
    <w:rsid w:val="003541CA"/>
    <w:rsid w:val="003543B2"/>
    <w:rsid w:val="00354B10"/>
    <w:rsid w:val="003555AA"/>
    <w:rsid w:val="003557C1"/>
    <w:rsid w:val="00355B75"/>
    <w:rsid w:val="00356202"/>
    <w:rsid w:val="0035716F"/>
    <w:rsid w:val="003579BC"/>
    <w:rsid w:val="0036086E"/>
    <w:rsid w:val="00360A55"/>
    <w:rsid w:val="00361B13"/>
    <w:rsid w:val="003629AE"/>
    <w:rsid w:val="00363278"/>
    <w:rsid w:val="003633DD"/>
    <w:rsid w:val="003655C3"/>
    <w:rsid w:val="003669E8"/>
    <w:rsid w:val="00366C6B"/>
    <w:rsid w:val="00367026"/>
    <w:rsid w:val="003676B6"/>
    <w:rsid w:val="00367BBB"/>
    <w:rsid w:val="00367CE5"/>
    <w:rsid w:val="0037225D"/>
    <w:rsid w:val="003729E8"/>
    <w:rsid w:val="00373299"/>
    <w:rsid w:val="00373579"/>
    <w:rsid w:val="00374C7D"/>
    <w:rsid w:val="00374F4D"/>
    <w:rsid w:val="003756E8"/>
    <w:rsid w:val="00375BB0"/>
    <w:rsid w:val="00376142"/>
    <w:rsid w:val="0037663F"/>
    <w:rsid w:val="003771DD"/>
    <w:rsid w:val="00377B34"/>
    <w:rsid w:val="00382014"/>
    <w:rsid w:val="00384CD8"/>
    <w:rsid w:val="00387128"/>
    <w:rsid w:val="00392E2B"/>
    <w:rsid w:val="003930ED"/>
    <w:rsid w:val="003A0689"/>
    <w:rsid w:val="003A0C73"/>
    <w:rsid w:val="003A11DD"/>
    <w:rsid w:val="003A19EE"/>
    <w:rsid w:val="003A2B96"/>
    <w:rsid w:val="003A3683"/>
    <w:rsid w:val="003A5891"/>
    <w:rsid w:val="003A5A6E"/>
    <w:rsid w:val="003A5E0F"/>
    <w:rsid w:val="003A6186"/>
    <w:rsid w:val="003A6534"/>
    <w:rsid w:val="003A78A7"/>
    <w:rsid w:val="003A7A6D"/>
    <w:rsid w:val="003A7E31"/>
    <w:rsid w:val="003A7F01"/>
    <w:rsid w:val="003B0CCF"/>
    <w:rsid w:val="003B5CA9"/>
    <w:rsid w:val="003B62A2"/>
    <w:rsid w:val="003B6A7C"/>
    <w:rsid w:val="003B72E9"/>
    <w:rsid w:val="003C375A"/>
    <w:rsid w:val="003C4A72"/>
    <w:rsid w:val="003C4A79"/>
    <w:rsid w:val="003C4C4B"/>
    <w:rsid w:val="003C5222"/>
    <w:rsid w:val="003C5460"/>
    <w:rsid w:val="003C55F5"/>
    <w:rsid w:val="003C5A54"/>
    <w:rsid w:val="003C5B34"/>
    <w:rsid w:val="003C5BCA"/>
    <w:rsid w:val="003C689A"/>
    <w:rsid w:val="003C741C"/>
    <w:rsid w:val="003D0889"/>
    <w:rsid w:val="003D1883"/>
    <w:rsid w:val="003D18A4"/>
    <w:rsid w:val="003D1DF9"/>
    <w:rsid w:val="003D1E19"/>
    <w:rsid w:val="003D1ED1"/>
    <w:rsid w:val="003D25A4"/>
    <w:rsid w:val="003D30A5"/>
    <w:rsid w:val="003D489B"/>
    <w:rsid w:val="003D48A3"/>
    <w:rsid w:val="003D5101"/>
    <w:rsid w:val="003D548E"/>
    <w:rsid w:val="003D61B0"/>
    <w:rsid w:val="003E0A67"/>
    <w:rsid w:val="003E0BFB"/>
    <w:rsid w:val="003E132A"/>
    <w:rsid w:val="003E1576"/>
    <w:rsid w:val="003E5DB7"/>
    <w:rsid w:val="003E5F18"/>
    <w:rsid w:val="003E6A2E"/>
    <w:rsid w:val="003E6D0E"/>
    <w:rsid w:val="003F09F0"/>
    <w:rsid w:val="003F0CD4"/>
    <w:rsid w:val="003F13CB"/>
    <w:rsid w:val="003F2BA9"/>
    <w:rsid w:val="003F3041"/>
    <w:rsid w:val="003F3A6C"/>
    <w:rsid w:val="003F52C2"/>
    <w:rsid w:val="003F58C3"/>
    <w:rsid w:val="003F5CBA"/>
    <w:rsid w:val="003F61FF"/>
    <w:rsid w:val="003F6A1E"/>
    <w:rsid w:val="003F733C"/>
    <w:rsid w:val="003F7346"/>
    <w:rsid w:val="0040233B"/>
    <w:rsid w:val="00402A30"/>
    <w:rsid w:val="004030E3"/>
    <w:rsid w:val="00403FAA"/>
    <w:rsid w:val="00404666"/>
    <w:rsid w:val="004053FB"/>
    <w:rsid w:val="004058AB"/>
    <w:rsid w:val="00405A99"/>
    <w:rsid w:val="0040710A"/>
    <w:rsid w:val="00410650"/>
    <w:rsid w:val="004106C1"/>
    <w:rsid w:val="004126F7"/>
    <w:rsid w:val="00413FC2"/>
    <w:rsid w:val="004140B9"/>
    <w:rsid w:val="00414AE6"/>
    <w:rsid w:val="00414EE8"/>
    <w:rsid w:val="00416CFB"/>
    <w:rsid w:val="00417006"/>
    <w:rsid w:val="00417703"/>
    <w:rsid w:val="0042006D"/>
    <w:rsid w:val="0042021B"/>
    <w:rsid w:val="00422DF8"/>
    <w:rsid w:val="00422FA0"/>
    <w:rsid w:val="0042327C"/>
    <w:rsid w:val="004235DA"/>
    <w:rsid w:val="00423786"/>
    <w:rsid w:val="00423D1D"/>
    <w:rsid w:val="0042405F"/>
    <w:rsid w:val="00424241"/>
    <w:rsid w:val="00425620"/>
    <w:rsid w:val="00425AD4"/>
    <w:rsid w:val="004305D2"/>
    <w:rsid w:val="004315B7"/>
    <w:rsid w:val="00431E02"/>
    <w:rsid w:val="0043317E"/>
    <w:rsid w:val="00433345"/>
    <w:rsid w:val="0043373A"/>
    <w:rsid w:val="0043397D"/>
    <w:rsid w:val="00434033"/>
    <w:rsid w:val="00434264"/>
    <w:rsid w:val="0043442A"/>
    <w:rsid w:val="00434D26"/>
    <w:rsid w:val="00435FB9"/>
    <w:rsid w:val="00436503"/>
    <w:rsid w:val="0043669C"/>
    <w:rsid w:val="0043670A"/>
    <w:rsid w:val="0043700B"/>
    <w:rsid w:val="00437337"/>
    <w:rsid w:val="00437D10"/>
    <w:rsid w:val="00441BF3"/>
    <w:rsid w:val="00443306"/>
    <w:rsid w:val="004436A9"/>
    <w:rsid w:val="004436ED"/>
    <w:rsid w:val="00443FE0"/>
    <w:rsid w:val="004440AC"/>
    <w:rsid w:val="004443A2"/>
    <w:rsid w:val="00444919"/>
    <w:rsid w:val="00445454"/>
    <w:rsid w:val="0044547C"/>
    <w:rsid w:val="00446BB3"/>
    <w:rsid w:val="00446C36"/>
    <w:rsid w:val="004471D2"/>
    <w:rsid w:val="00450869"/>
    <w:rsid w:val="00450F57"/>
    <w:rsid w:val="00451E4C"/>
    <w:rsid w:val="00451F5B"/>
    <w:rsid w:val="00452AF2"/>
    <w:rsid w:val="00453028"/>
    <w:rsid w:val="00453918"/>
    <w:rsid w:val="004553D4"/>
    <w:rsid w:val="004556FD"/>
    <w:rsid w:val="00455768"/>
    <w:rsid w:val="00456E2C"/>
    <w:rsid w:val="00457077"/>
    <w:rsid w:val="00457FC7"/>
    <w:rsid w:val="00461796"/>
    <w:rsid w:val="00461A0A"/>
    <w:rsid w:val="00461B3D"/>
    <w:rsid w:val="00462197"/>
    <w:rsid w:val="00462417"/>
    <w:rsid w:val="004645F5"/>
    <w:rsid w:val="00464624"/>
    <w:rsid w:val="00464EB1"/>
    <w:rsid w:val="00465E62"/>
    <w:rsid w:val="00466564"/>
    <w:rsid w:val="004672DA"/>
    <w:rsid w:val="00467700"/>
    <w:rsid w:val="004677F9"/>
    <w:rsid w:val="00467874"/>
    <w:rsid w:val="004716B0"/>
    <w:rsid w:val="004716C4"/>
    <w:rsid w:val="004723A9"/>
    <w:rsid w:val="00472460"/>
    <w:rsid w:val="00473370"/>
    <w:rsid w:val="004754E1"/>
    <w:rsid w:val="004763B5"/>
    <w:rsid w:val="00476A24"/>
    <w:rsid w:val="00476F5F"/>
    <w:rsid w:val="0047775E"/>
    <w:rsid w:val="00481ABD"/>
    <w:rsid w:val="00482683"/>
    <w:rsid w:val="00482731"/>
    <w:rsid w:val="0048286C"/>
    <w:rsid w:val="00483A0F"/>
    <w:rsid w:val="00484625"/>
    <w:rsid w:val="00484B7E"/>
    <w:rsid w:val="0048589D"/>
    <w:rsid w:val="00485992"/>
    <w:rsid w:val="00487218"/>
    <w:rsid w:val="004879E2"/>
    <w:rsid w:val="00487F15"/>
    <w:rsid w:val="0049105B"/>
    <w:rsid w:val="004912A0"/>
    <w:rsid w:val="004928DE"/>
    <w:rsid w:val="00493E2F"/>
    <w:rsid w:val="00494CB5"/>
    <w:rsid w:val="004954D8"/>
    <w:rsid w:val="0049576C"/>
    <w:rsid w:val="00495836"/>
    <w:rsid w:val="004967E8"/>
    <w:rsid w:val="004A0812"/>
    <w:rsid w:val="004A0EA8"/>
    <w:rsid w:val="004A14D9"/>
    <w:rsid w:val="004A21F6"/>
    <w:rsid w:val="004A2680"/>
    <w:rsid w:val="004A4608"/>
    <w:rsid w:val="004A4B61"/>
    <w:rsid w:val="004A6E0B"/>
    <w:rsid w:val="004A6EFE"/>
    <w:rsid w:val="004A70A0"/>
    <w:rsid w:val="004A755A"/>
    <w:rsid w:val="004A79C5"/>
    <w:rsid w:val="004B1858"/>
    <w:rsid w:val="004B1A4B"/>
    <w:rsid w:val="004B2540"/>
    <w:rsid w:val="004B3D11"/>
    <w:rsid w:val="004B455B"/>
    <w:rsid w:val="004B4987"/>
    <w:rsid w:val="004B4DC3"/>
    <w:rsid w:val="004B58C3"/>
    <w:rsid w:val="004B675F"/>
    <w:rsid w:val="004B72C5"/>
    <w:rsid w:val="004B7A1B"/>
    <w:rsid w:val="004C08BF"/>
    <w:rsid w:val="004C223B"/>
    <w:rsid w:val="004C3804"/>
    <w:rsid w:val="004C3F96"/>
    <w:rsid w:val="004C41D8"/>
    <w:rsid w:val="004C45A2"/>
    <w:rsid w:val="004C56DE"/>
    <w:rsid w:val="004C60E6"/>
    <w:rsid w:val="004C6611"/>
    <w:rsid w:val="004C6CFE"/>
    <w:rsid w:val="004C6DF1"/>
    <w:rsid w:val="004C6E58"/>
    <w:rsid w:val="004C7629"/>
    <w:rsid w:val="004C7701"/>
    <w:rsid w:val="004C7EF2"/>
    <w:rsid w:val="004D088F"/>
    <w:rsid w:val="004D0A26"/>
    <w:rsid w:val="004D0EE4"/>
    <w:rsid w:val="004D30E1"/>
    <w:rsid w:val="004D35FC"/>
    <w:rsid w:val="004D3A15"/>
    <w:rsid w:val="004D482C"/>
    <w:rsid w:val="004D5AC0"/>
    <w:rsid w:val="004D5FEF"/>
    <w:rsid w:val="004D764F"/>
    <w:rsid w:val="004D7D33"/>
    <w:rsid w:val="004E1EBF"/>
    <w:rsid w:val="004E27AD"/>
    <w:rsid w:val="004E37B6"/>
    <w:rsid w:val="004E3AFD"/>
    <w:rsid w:val="004E44D0"/>
    <w:rsid w:val="004E4987"/>
    <w:rsid w:val="004E52D1"/>
    <w:rsid w:val="004E585B"/>
    <w:rsid w:val="004F227C"/>
    <w:rsid w:val="004F2CC0"/>
    <w:rsid w:val="004F3B64"/>
    <w:rsid w:val="004F4E3A"/>
    <w:rsid w:val="004F5243"/>
    <w:rsid w:val="004F64AD"/>
    <w:rsid w:val="004F759E"/>
    <w:rsid w:val="004F7AC2"/>
    <w:rsid w:val="00501721"/>
    <w:rsid w:val="00503053"/>
    <w:rsid w:val="00503E5E"/>
    <w:rsid w:val="0050583D"/>
    <w:rsid w:val="00505B26"/>
    <w:rsid w:val="0050606E"/>
    <w:rsid w:val="00506258"/>
    <w:rsid w:val="00507449"/>
    <w:rsid w:val="005079B9"/>
    <w:rsid w:val="00510866"/>
    <w:rsid w:val="00511092"/>
    <w:rsid w:val="00511602"/>
    <w:rsid w:val="005119CD"/>
    <w:rsid w:val="00513EAE"/>
    <w:rsid w:val="005164B6"/>
    <w:rsid w:val="00516E6A"/>
    <w:rsid w:val="00517053"/>
    <w:rsid w:val="005171DE"/>
    <w:rsid w:val="005206C8"/>
    <w:rsid w:val="005218EA"/>
    <w:rsid w:val="00521EE1"/>
    <w:rsid w:val="00522FA4"/>
    <w:rsid w:val="00523390"/>
    <w:rsid w:val="00523435"/>
    <w:rsid w:val="0052414D"/>
    <w:rsid w:val="00525A5B"/>
    <w:rsid w:val="0052638D"/>
    <w:rsid w:val="0053002A"/>
    <w:rsid w:val="0053153A"/>
    <w:rsid w:val="00531811"/>
    <w:rsid w:val="00531ABD"/>
    <w:rsid w:val="00535560"/>
    <w:rsid w:val="005356D8"/>
    <w:rsid w:val="00537427"/>
    <w:rsid w:val="00541397"/>
    <w:rsid w:val="005413A9"/>
    <w:rsid w:val="00541C7E"/>
    <w:rsid w:val="00542386"/>
    <w:rsid w:val="00542D8A"/>
    <w:rsid w:val="00543427"/>
    <w:rsid w:val="00543BF9"/>
    <w:rsid w:val="00544117"/>
    <w:rsid w:val="00544E0A"/>
    <w:rsid w:val="00550CA5"/>
    <w:rsid w:val="00551BA4"/>
    <w:rsid w:val="00552D59"/>
    <w:rsid w:val="00553835"/>
    <w:rsid w:val="005553D7"/>
    <w:rsid w:val="00555595"/>
    <w:rsid w:val="005556E4"/>
    <w:rsid w:val="0055597D"/>
    <w:rsid w:val="00557314"/>
    <w:rsid w:val="005603D9"/>
    <w:rsid w:val="0056136A"/>
    <w:rsid w:val="00561A82"/>
    <w:rsid w:val="00561B6E"/>
    <w:rsid w:val="005624EC"/>
    <w:rsid w:val="00562ACE"/>
    <w:rsid w:val="0056316F"/>
    <w:rsid w:val="00564598"/>
    <w:rsid w:val="00564711"/>
    <w:rsid w:val="00565483"/>
    <w:rsid w:val="0056588E"/>
    <w:rsid w:val="00570000"/>
    <w:rsid w:val="0057098B"/>
    <w:rsid w:val="00571391"/>
    <w:rsid w:val="005726F4"/>
    <w:rsid w:val="00572DA9"/>
    <w:rsid w:val="00573949"/>
    <w:rsid w:val="00573ECF"/>
    <w:rsid w:val="00574A4F"/>
    <w:rsid w:val="00576A50"/>
    <w:rsid w:val="005771B8"/>
    <w:rsid w:val="00577287"/>
    <w:rsid w:val="00577553"/>
    <w:rsid w:val="005777E0"/>
    <w:rsid w:val="00581562"/>
    <w:rsid w:val="0058269D"/>
    <w:rsid w:val="00583795"/>
    <w:rsid w:val="00583E7B"/>
    <w:rsid w:val="0058439D"/>
    <w:rsid w:val="00585149"/>
    <w:rsid w:val="00585C24"/>
    <w:rsid w:val="00585F8F"/>
    <w:rsid w:val="0058743A"/>
    <w:rsid w:val="005875A9"/>
    <w:rsid w:val="00590D33"/>
    <w:rsid w:val="005921E5"/>
    <w:rsid w:val="00592755"/>
    <w:rsid w:val="00593401"/>
    <w:rsid w:val="00593DB7"/>
    <w:rsid w:val="00594366"/>
    <w:rsid w:val="00594BC5"/>
    <w:rsid w:val="005954A5"/>
    <w:rsid w:val="005954E9"/>
    <w:rsid w:val="005A0040"/>
    <w:rsid w:val="005A0AF9"/>
    <w:rsid w:val="005A119B"/>
    <w:rsid w:val="005A1564"/>
    <w:rsid w:val="005A2252"/>
    <w:rsid w:val="005A232E"/>
    <w:rsid w:val="005A2689"/>
    <w:rsid w:val="005A3328"/>
    <w:rsid w:val="005A52D3"/>
    <w:rsid w:val="005A6845"/>
    <w:rsid w:val="005A7138"/>
    <w:rsid w:val="005A7C3F"/>
    <w:rsid w:val="005B00B6"/>
    <w:rsid w:val="005B087C"/>
    <w:rsid w:val="005B112F"/>
    <w:rsid w:val="005B1FED"/>
    <w:rsid w:val="005B2F33"/>
    <w:rsid w:val="005B334D"/>
    <w:rsid w:val="005B3671"/>
    <w:rsid w:val="005B3B62"/>
    <w:rsid w:val="005B3D93"/>
    <w:rsid w:val="005B52FE"/>
    <w:rsid w:val="005B6938"/>
    <w:rsid w:val="005B6F32"/>
    <w:rsid w:val="005B7350"/>
    <w:rsid w:val="005C0E6F"/>
    <w:rsid w:val="005C222C"/>
    <w:rsid w:val="005C299A"/>
    <w:rsid w:val="005C3943"/>
    <w:rsid w:val="005C3D2C"/>
    <w:rsid w:val="005C404B"/>
    <w:rsid w:val="005C4DFA"/>
    <w:rsid w:val="005C50CB"/>
    <w:rsid w:val="005C5799"/>
    <w:rsid w:val="005C5929"/>
    <w:rsid w:val="005C6B17"/>
    <w:rsid w:val="005D19E4"/>
    <w:rsid w:val="005D1DF5"/>
    <w:rsid w:val="005D45A0"/>
    <w:rsid w:val="005D6415"/>
    <w:rsid w:val="005D6831"/>
    <w:rsid w:val="005D7248"/>
    <w:rsid w:val="005D77BD"/>
    <w:rsid w:val="005D7B7C"/>
    <w:rsid w:val="005E0300"/>
    <w:rsid w:val="005E0424"/>
    <w:rsid w:val="005E1009"/>
    <w:rsid w:val="005E10E6"/>
    <w:rsid w:val="005E15A3"/>
    <w:rsid w:val="005E3346"/>
    <w:rsid w:val="005E35A0"/>
    <w:rsid w:val="005E3C0B"/>
    <w:rsid w:val="005E3CD0"/>
    <w:rsid w:val="005E4975"/>
    <w:rsid w:val="005E4A3D"/>
    <w:rsid w:val="005E4F05"/>
    <w:rsid w:val="005E5502"/>
    <w:rsid w:val="005E5859"/>
    <w:rsid w:val="005E5DC1"/>
    <w:rsid w:val="005E5FD3"/>
    <w:rsid w:val="005E6282"/>
    <w:rsid w:val="005E67EC"/>
    <w:rsid w:val="005F15E7"/>
    <w:rsid w:val="005F178D"/>
    <w:rsid w:val="005F1FCF"/>
    <w:rsid w:val="005F2060"/>
    <w:rsid w:val="005F2E9B"/>
    <w:rsid w:val="005F4281"/>
    <w:rsid w:val="005F4C5D"/>
    <w:rsid w:val="005F4DCE"/>
    <w:rsid w:val="005F557E"/>
    <w:rsid w:val="005F5725"/>
    <w:rsid w:val="005F666A"/>
    <w:rsid w:val="005F684F"/>
    <w:rsid w:val="005F7AD4"/>
    <w:rsid w:val="0060001F"/>
    <w:rsid w:val="0060026F"/>
    <w:rsid w:val="00600733"/>
    <w:rsid w:val="006010BF"/>
    <w:rsid w:val="00601222"/>
    <w:rsid w:val="0060127F"/>
    <w:rsid w:val="00601296"/>
    <w:rsid w:val="00601A09"/>
    <w:rsid w:val="00601B42"/>
    <w:rsid w:val="006031FE"/>
    <w:rsid w:val="00603E10"/>
    <w:rsid w:val="006047FC"/>
    <w:rsid w:val="006048D2"/>
    <w:rsid w:val="00605233"/>
    <w:rsid w:val="006056EF"/>
    <w:rsid w:val="00607550"/>
    <w:rsid w:val="00607726"/>
    <w:rsid w:val="006077EB"/>
    <w:rsid w:val="006079C9"/>
    <w:rsid w:val="006100A1"/>
    <w:rsid w:val="006104BE"/>
    <w:rsid w:val="0061110A"/>
    <w:rsid w:val="006112E3"/>
    <w:rsid w:val="00611F9E"/>
    <w:rsid w:val="00613D29"/>
    <w:rsid w:val="0061488D"/>
    <w:rsid w:val="0061663A"/>
    <w:rsid w:val="0062111F"/>
    <w:rsid w:val="00621380"/>
    <w:rsid w:val="00621BE7"/>
    <w:rsid w:val="00621D3A"/>
    <w:rsid w:val="00622073"/>
    <w:rsid w:val="00622C25"/>
    <w:rsid w:val="00623DDC"/>
    <w:rsid w:val="00623EA3"/>
    <w:rsid w:val="00624BDB"/>
    <w:rsid w:val="00625AFD"/>
    <w:rsid w:val="00625E1B"/>
    <w:rsid w:val="006274A1"/>
    <w:rsid w:val="00627B5D"/>
    <w:rsid w:val="00627B60"/>
    <w:rsid w:val="006302FD"/>
    <w:rsid w:val="00631490"/>
    <w:rsid w:val="00631C13"/>
    <w:rsid w:val="00631E44"/>
    <w:rsid w:val="00632401"/>
    <w:rsid w:val="006325BF"/>
    <w:rsid w:val="00633134"/>
    <w:rsid w:val="0063373B"/>
    <w:rsid w:val="00633AB7"/>
    <w:rsid w:val="00634485"/>
    <w:rsid w:val="006345A0"/>
    <w:rsid w:val="00634EDF"/>
    <w:rsid w:val="006354DC"/>
    <w:rsid w:val="00635EAF"/>
    <w:rsid w:val="00636313"/>
    <w:rsid w:val="00637407"/>
    <w:rsid w:val="00637C16"/>
    <w:rsid w:val="00637FDB"/>
    <w:rsid w:val="00640D71"/>
    <w:rsid w:val="00640FB3"/>
    <w:rsid w:val="00641BB7"/>
    <w:rsid w:val="00642DC5"/>
    <w:rsid w:val="00643D6C"/>
    <w:rsid w:val="006443ED"/>
    <w:rsid w:val="006445D2"/>
    <w:rsid w:val="00645887"/>
    <w:rsid w:val="0064661F"/>
    <w:rsid w:val="00647094"/>
    <w:rsid w:val="006505D9"/>
    <w:rsid w:val="00650880"/>
    <w:rsid w:val="00653030"/>
    <w:rsid w:val="0065578F"/>
    <w:rsid w:val="00655B83"/>
    <w:rsid w:val="00655F33"/>
    <w:rsid w:val="00656241"/>
    <w:rsid w:val="00656AB0"/>
    <w:rsid w:val="00656C59"/>
    <w:rsid w:val="006578C2"/>
    <w:rsid w:val="00661AC2"/>
    <w:rsid w:val="00661B36"/>
    <w:rsid w:val="00663207"/>
    <w:rsid w:val="00663F26"/>
    <w:rsid w:val="00666655"/>
    <w:rsid w:val="00666C54"/>
    <w:rsid w:val="00667C8B"/>
    <w:rsid w:val="00667D3E"/>
    <w:rsid w:val="00670657"/>
    <w:rsid w:val="006742F8"/>
    <w:rsid w:val="006747B5"/>
    <w:rsid w:val="00675974"/>
    <w:rsid w:val="00676566"/>
    <w:rsid w:val="006803E8"/>
    <w:rsid w:val="006804B2"/>
    <w:rsid w:val="00681481"/>
    <w:rsid w:val="00682656"/>
    <w:rsid w:val="00683617"/>
    <w:rsid w:val="00683EAC"/>
    <w:rsid w:val="00684313"/>
    <w:rsid w:val="006846B0"/>
    <w:rsid w:val="00684EF6"/>
    <w:rsid w:val="00686279"/>
    <w:rsid w:val="00686A8A"/>
    <w:rsid w:val="006870C8"/>
    <w:rsid w:val="006871B3"/>
    <w:rsid w:val="006878A4"/>
    <w:rsid w:val="00690415"/>
    <w:rsid w:val="0069305F"/>
    <w:rsid w:val="006937F3"/>
    <w:rsid w:val="00694CB5"/>
    <w:rsid w:val="006954F2"/>
    <w:rsid w:val="006957B8"/>
    <w:rsid w:val="00697E9E"/>
    <w:rsid w:val="006A03CD"/>
    <w:rsid w:val="006A06FE"/>
    <w:rsid w:val="006A28EE"/>
    <w:rsid w:val="006A3AA6"/>
    <w:rsid w:val="006A3BCF"/>
    <w:rsid w:val="006A42D4"/>
    <w:rsid w:val="006A48CE"/>
    <w:rsid w:val="006A4E98"/>
    <w:rsid w:val="006A7304"/>
    <w:rsid w:val="006A737B"/>
    <w:rsid w:val="006A77F3"/>
    <w:rsid w:val="006A7829"/>
    <w:rsid w:val="006A7D53"/>
    <w:rsid w:val="006B0405"/>
    <w:rsid w:val="006B1BF1"/>
    <w:rsid w:val="006B2A9B"/>
    <w:rsid w:val="006B2BA6"/>
    <w:rsid w:val="006B3762"/>
    <w:rsid w:val="006B3E26"/>
    <w:rsid w:val="006B432D"/>
    <w:rsid w:val="006B4844"/>
    <w:rsid w:val="006B497B"/>
    <w:rsid w:val="006B4A50"/>
    <w:rsid w:val="006B4B65"/>
    <w:rsid w:val="006B537E"/>
    <w:rsid w:val="006B7AA1"/>
    <w:rsid w:val="006C1330"/>
    <w:rsid w:val="006C1711"/>
    <w:rsid w:val="006C24A5"/>
    <w:rsid w:val="006C24CD"/>
    <w:rsid w:val="006C3292"/>
    <w:rsid w:val="006C5263"/>
    <w:rsid w:val="006C5282"/>
    <w:rsid w:val="006C60B5"/>
    <w:rsid w:val="006C693D"/>
    <w:rsid w:val="006C7D68"/>
    <w:rsid w:val="006D07EA"/>
    <w:rsid w:val="006D153C"/>
    <w:rsid w:val="006D16CB"/>
    <w:rsid w:val="006D1A5E"/>
    <w:rsid w:val="006D25FC"/>
    <w:rsid w:val="006D396A"/>
    <w:rsid w:val="006D3F2C"/>
    <w:rsid w:val="006D4834"/>
    <w:rsid w:val="006D64F9"/>
    <w:rsid w:val="006D6E15"/>
    <w:rsid w:val="006D7A2C"/>
    <w:rsid w:val="006E011A"/>
    <w:rsid w:val="006E0C23"/>
    <w:rsid w:val="006E13E8"/>
    <w:rsid w:val="006E1421"/>
    <w:rsid w:val="006E2585"/>
    <w:rsid w:val="006E2EDE"/>
    <w:rsid w:val="006E307D"/>
    <w:rsid w:val="006E34B6"/>
    <w:rsid w:val="006E3ED4"/>
    <w:rsid w:val="006E5B3F"/>
    <w:rsid w:val="006E5FB5"/>
    <w:rsid w:val="006E60D7"/>
    <w:rsid w:val="006E6278"/>
    <w:rsid w:val="006E6389"/>
    <w:rsid w:val="006E65F1"/>
    <w:rsid w:val="006E662E"/>
    <w:rsid w:val="006E682E"/>
    <w:rsid w:val="006E69AA"/>
    <w:rsid w:val="006E6EAC"/>
    <w:rsid w:val="006F0D8B"/>
    <w:rsid w:val="006F1806"/>
    <w:rsid w:val="006F1C74"/>
    <w:rsid w:val="006F1E16"/>
    <w:rsid w:val="006F29C3"/>
    <w:rsid w:val="006F2C9D"/>
    <w:rsid w:val="006F30F8"/>
    <w:rsid w:val="006F3131"/>
    <w:rsid w:val="006F3144"/>
    <w:rsid w:val="006F363E"/>
    <w:rsid w:val="006F3CA9"/>
    <w:rsid w:val="006F48B0"/>
    <w:rsid w:val="006F5B9E"/>
    <w:rsid w:val="006F6E1B"/>
    <w:rsid w:val="006F733F"/>
    <w:rsid w:val="00700C41"/>
    <w:rsid w:val="00700D26"/>
    <w:rsid w:val="007020A1"/>
    <w:rsid w:val="00702B26"/>
    <w:rsid w:val="00702CB3"/>
    <w:rsid w:val="00703E92"/>
    <w:rsid w:val="007061DF"/>
    <w:rsid w:val="007112A9"/>
    <w:rsid w:val="00711B09"/>
    <w:rsid w:val="00711C22"/>
    <w:rsid w:val="00711D4D"/>
    <w:rsid w:val="00711DD6"/>
    <w:rsid w:val="00711E97"/>
    <w:rsid w:val="00712516"/>
    <w:rsid w:val="00713A6B"/>
    <w:rsid w:val="0071427E"/>
    <w:rsid w:val="0071646D"/>
    <w:rsid w:val="00716CE1"/>
    <w:rsid w:val="0072562F"/>
    <w:rsid w:val="00725913"/>
    <w:rsid w:val="0072655F"/>
    <w:rsid w:val="00726DD1"/>
    <w:rsid w:val="00726FA5"/>
    <w:rsid w:val="00727F24"/>
    <w:rsid w:val="007300F7"/>
    <w:rsid w:val="00730313"/>
    <w:rsid w:val="00730BC4"/>
    <w:rsid w:val="00731D9B"/>
    <w:rsid w:val="00731DAB"/>
    <w:rsid w:val="00731F23"/>
    <w:rsid w:val="00732AE5"/>
    <w:rsid w:val="00733CB7"/>
    <w:rsid w:val="00734371"/>
    <w:rsid w:val="007347B0"/>
    <w:rsid w:val="00734A8B"/>
    <w:rsid w:val="00735210"/>
    <w:rsid w:val="00735B0D"/>
    <w:rsid w:val="00735DCB"/>
    <w:rsid w:val="00736C06"/>
    <w:rsid w:val="007401BB"/>
    <w:rsid w:val="00740BCB"/>
    <w:rsid w:val="00740E5C"/>
    <w:rsid w:val="0074195B"/>
    <w:rsid w:val="00741FEA"/>
    <w:rsid w:val="0074244D"/>
    <w:rsid w:val="007446D8"/>
    <w:rsid w:val="00744736"/>
    <w:rsid w:val="00745E5B"/>
    <w:rsid w:val="00747AD7"/>
    <w:rsid w:val="00747F78"/>
    <w:rsid w:val="007503D5"/>
    <w:rsid w:val="00750F05"/>
    <w:rsid w:val="00751311"/>
    <w:rsid w:val="00751330"/>
    <w:rsid w:val="00751627"/>
    <w:rsid w:val="00751E19"/>
    <w:rsid w:val="0075239A"/>
    <w:rsid w:val="00754866"/>
    <w:rsid w:val="00755299"/>
    <w:rsid w:val="00755944"/>
    <w:rsid w:val="00757444"/>
    <w:rsid w:val="00757D2A"/>
    <w:rsid w:val="00757F23"/>
    <w:rsid w:val="00761460"/>
    <w:rsid w:val="007624E7"/>
    <w:rsid w:val="00762E51"/>
    <w:rsid w:val="00764B6A"/>
    <w:rsid w:val="00766B6B"/>
    <w:rsid w:val="00766D4A"/>
    <w:rsid w:val="00766D7A"/>
    <w:rsid w:val="00767857"/>
    <w:rsid w:val="00767912"/>
    <w:rsid w:val="00770E29"/>
    <w:rsid w:val="0077107A"/>
    <w:rsid w:val="007710A6"/>
    <w:rsid w:val="007714A8"/>
    <w:rsid w:val="00771B98"/>
    <w:rsid w:val="00771BF2"/>
    <w:rsid w:val="00771F5E"/>
    <w:rsid w:val="0077203A"/>
    <w:rsid w:val="0077266E"/>
    <w:rsid w:val="00773601"/>
    <w:rsid w:val="007738D8"/>
    <w:rsid w:val="007738EC"/>
    <w:rsid w:val="00773EA1"/>
    <w:rsid w:val="007753ED"/>
    <w:rsid w:val="00775CB2"/>
    <w:rsid w:val="0077600B"/>
    <w:rsid w:val="0077689F"/>
    <w:rsid w:val="0078030F"/>
    <w:rsid w:val="00780906"/>
    <w:rsid w:val="00780D17"/>
    <w:rsid w:val="00782370"/>
    <w:rsid w:val="00782DD9"/>
    <w:rsid w:val="007830E3"/>
    <w:rsid w:val="00787DB5"/>
    <w:rsid w:val="0079298A"/>
    <w:rsid w:val="00793368"/>
    <w:rsid w:val="0079361A"/>
    <w:rsid w:val="00793A7B"/>
    <w:rsid w:val="00794261"/>
    <w:rsid w:val="00794305"/>
    <w:rsid w:val="00794323"/>
    <w:rsid w:val="007966AC"/>
    <w:rsid w:val="007A02EB"/>
    <w:rsid w:val="007A0327"/>
    <w:rsid w:val="007A11F1"/>
    <w:rsid w:val="007A1A5F"/>
    <w:rsid w:val="007A2132"/>
    <w:rsid w:val="007A32BE"/>
    <w:rsid w:val="007A33E2"/>
    <w:rsid w:val="007A35F6"/>
    <w:rsid w:val="007A4E83"/>
    <w:rsid w:val="007A5F1A"/>
    <w:rsid w:val="007A7693"/>
    <w:rsid w:val="007B0AA4"/>
    <w:rsid w:val="007B15EA"/>
    <w:rsid w:val="007B33CC"/>
    <w:rsid w:val="007B5B76"/>
    <w:rsid w:val="007B6CA0"/>
    <w:rsid w:val="007B70B3"/>
    <w:rsid w:val="007B7166"/>
    <w:rsid w:val="007B755C"/>
    <w:rsid w:val="007B78B1"/>
    <w:rsid w:val="007C025F"/>
    <w:rsid w:val="007C09AA"/>
    <w:rsid w:val="007C0AFD"/>
    <w:rsid w:val="007C20AF"/>
    <w:rsid w:val="007C37F3"/>
    <w:rsid w:val="007C3D29"/>
    <w:rsid w:val="007C3E67"/>
    <w:rsid w:val="007C46DC"/>
    <w:rsid w:val="007C4965"/>
    <w:rsid w:val="007C52B5"/>
    <w:rsid w:val="007C567D"/>
    <w:rsid w:val="007C6783"/>
    <w:rsid w:val="007C68C7"/>
    <w:rsid w:val="007C6937"/>
    <w:rsid w:val="007C6CAB"/>
    <w:rsid w:val="007C78A6"/>
    <w:rsid w:val="007C7C3E"/>
    <w:rsid w:val="007C7E5A"/>
    <w:rsid w:val="007D0C6E"/>
    <w:rsid w:val="007D0DD5"/>
    <w:rsid w:val="007D112D"/>
    <w:rsid w:val="007D1598"/>
    <w:rsid w:val="007D1AB2"/>
    <w:rsid w:val="007D210F"/>
    <w:rsid w:val="007D336B"/>
    <w:rsid w:val="007D5575"/>
    <w:rsid w:val="007D5B23"/>
    <w:rsid w:val="007D71E1"/>
    <w:rsid w:val="007D7334"/>
    <w:rsid w:val="007D7AF8"/>
    <w:rsid w:val="007D7BC8"/>
    <w:rsid w:val="007E07A7"/>
    <w:rsid w:val="007E16B7"/>
    <w:rsid w:val="007E24F8"/>
    <w:rsid w:val="007E2BC3"/>
    <w:rsid w:val="007E2D8C"/>
    <w:rsid w:val="007E3963"/>
    <w:rsid w:val="007E5CB2"/>
    <w:rsid w:val="007E64E0"/>
    <w:rsid w:val="007E6A21"/>
    <w:rsid w:val="007F0999"/>
    <w:rsid w:val="007F18A3"/>
    <w:rsid w:val="007F18DF"/>
    <w:rsid w:val="007F36DE"/>
    <w:rsid w:val="007F4425"/>
    <w:rsid w:val="007F4FC6"/>
    <w:rsid w:val="007F528B"/>
    <w:rsid w:val="007F53E3"/>
    <w:rsid w:val="007F5901"/>
    <w:rsid w:val="007F5936"/>
    <w:rsid w:val="007F5E7A"/>
    <w:rsid w:val="007F60E9"/>
    <w:rsid w:val="007F61DA"/>
    <w:rsid w:val="007F62D5"/>
    <w:rsid w:val="007F6B8E"/>
    <w:rsid w:val="007F6BF7"/>
    <w:rsid w:val="007F7203"/>
    <w:rsid w:val="007F7B11"/>
    <w:rsid w:val="007F7CB2"/>
    <w:rsid w:val="00800061"/>
    <w:rsid w:val="00800475"/>
    <w:rsid w:val="00800DDC"/>
    <w:rsid w:val="0080152B"/>
    <w:rsid w:val="00801983"/>
    <w:rsid w:val="00801D34"/>
    <w:rsid w:val="008026F6"/>
    <w:rsid w:val="00803D2B"/>
    <w:rsid w:val="00804137"/>
    <w:rsid w:val="00805A48"/>
    <w:rsid w:val="008063E2"/>
    <w:rsid w:val="00806A83"/>
    <w:rsid w:val="00807739"/>
    <w:rsid w:val="0080791A"/>
    <w:rsid w:val="008100C2"/>
    <w:rsid w:val="00810A48"/>
    <w:rsid w:val="00811637"/>
    <w:rsid w:val="00814930"/>
    <w:rsid w:val="008150C8"/>
    <w:rsid w:val="00815752"/>
    <w:rsid w:val="00816985"/>
    <w:rsid w:val="00816C3B"/>
    <w:rsid w:val="00817AAB"/>
    <w:rsid w:val="008207CA"/>
    <w:rsid w:val="008223A5"/>
    <w:rsid w:val="008228A2"/>
    <w:rsid w:val="008235DE"/>
    <w:rsid w:val="008246C9"/>
    <w:rsid w:val="008254D3"/>
    <w:rsid w:val="00825CA4"/>
    <w:rsid w:val="00826018"/>
    <w:rsid w:val="008266BC"/>
    <w:rsid w:val="008308C3"/>
    <w:rsid w:val="00832DF8"/>
    <w:rsid w:val="008331EF"/>
    <w:rsid w:val="00833271"/>
    <w:rsid w:val="0083379F"/>
    <w:rsid w:val="0083402A"/>
    <w:rsid w:val="00834C20"/>
    <w:rsid w:val="00835546"/>
    <w:rsid w:val="00835741"/>
    <w:rsid w:val="008367D9"/>
    <w:rsid w:val="00836AD8"/>
    <w:rsid w:val="00836EA1"/>
    <w:rsid w:val="00837520"/>
    <w:rsid w:val="00840982"/>
    <w:rsid w:val="00841B13"/>
    <w:rsid w:val="00842100"/>
    <w:rsid w:val="008422A0"/>
    <w:rsid w:val="008426D8"/>
    <w:rsid w:val="0084270E"/>
    <w:rsid w:val="00842C37"/>
    <w:rsid w:val="008437F2"/>
    <w:rsid w:val="00843AB9"/>
    <w:rsid w:val="00843C46"/>
    <w:rsid w:val="008442E6"/>
    <w:rsid w:val="00844F92"/>
    <w:rsid w:val="00845A90"/>
    <w:rsid w:val="00846339"/>
    <w:rsid w:val="00846E76"/>
    <w:rsid w:val="00850422"/>
    <w:rsid w:val="00850491"/>
    <w:rsid w:val="00851F8C"/>
    <w:rsid w:val="00852759"/>
    <w:rsid w:val="008531B2"/>
    <w:rsid w:val="00854949"/>
    <w:rsid w:val="0085526B"/>
    <w:rsid w:val="00856585"/>
    <w:rsid w:val="00856E3C"/>
    <w:rsid w:val="00856F7A"/>
    <w:rsid w:val="00857279"/>
    <w:rsid w:val="0085736B"/>
    <w:rsid w:val="00857958"/>
    <w:rsid w:val="0085795F"/>
    <w:rsid w:val="00857B52"/>
    <w:rsid w:val="00860698"/>
    <w:rsid w:val="00861B32"/>
    <w:rsid w:val="00861DD8"/>
    <w:rsid w:val="008665F8"/>
    <w:rsid w:val="00867111"/>
    <w:rsid w:val="00867C9A"/>
    <w:rsid w:val="00867F1E"/>
    <w:rsid w:val="008701A1"/>
    <w:rsid w:val="008712EF"/>
    <w:rsid w:val="0087173E"/>
    <w:rsid w:val="008718F3"/>
    <w:rsid w:val="0087246B"/>
    <w:rsid w:val="00872487"/>
    <w:rsid w:val="00872D3B"/>
    <w:rsid w:val="00873B3E"/>
    <w:rsid w:val="00874685"/>
    <w:rsid w:val="00874DC9"/>
    <w:rsid w:val="0087561C"/>
    <w:rsid w:val="00876615"/>
    <w:rsid w:val="00876F20"/>
    <w:rsid w:val="00877094"/>
    <w:rsid w:val="0088137B"/>
    <w:rsid w:val="008813ED"/>
    <w:rsid w:val="00882131"/>
    <w:rsid w:val="0088217A"/>
    <w:rsid w:val="008846F1"/>
    <w:rsid w:val="0088474A"/>
    <w:rsid w:val="00884E7E"/>
    <w:rsid w:val="0088510A"/>
    <w:rsid w:val="0088524F"/>
    <w:rsid w:val="00885CAF"/>
    <w:rsid w:val="00885CB3"/>
    <w:rsid w:val="008860BB"/>
    <w:rsid w:val="00886BFC"/>
    <w:rsid w:val="00887493"/>
    <w:rsid w:val="008900BC"/>
    <w:rsid w:val="008904D9"/>
    <w:rsid w:val="00890965"/>
    <w:rsid w:val="0089164B"/>
    <w:rsid w:val="00891989"/>
    <w:rsid w:val="00891BF9"/>
    <w:rsid w:val="0089236D"/>
    <w:rsid w:val="00892AFC"/>
    <w:rsid w:val="00892B4E"/>
    <w:rsid w:val="00892BC4"/>
    <w:rsid w:val="008936CC"/>
    <w:rsid w:val="00893CC5"/>
    <w:rsid w:val="00893DB2"/>
    <w:rsid w:val="0089436A"/>
    <w:rsid w:val="00894491"/>
    <w:rsid w:val="0089482C"/>
    <w:rsid w:val="00895379"/>
    <w:rsid w:val="008956BD"/>
    <w:rsid w:val="00895C62"/>
    <w:rsid w:val="008964F4"/>
    <w:rsid w:val="008A0C05"/>
    <w:rsid w:val="008A0CFD"/>
    <w:rsid w:val="008A1F9B"/>
    <w:rsid w:val="008A2018"/>
    <w:rsid w:val="008A37D4"/>
    <w:rsid w:val="008A42B0"/>
    <w:rsid w:val="008A4982"/>
    <w:rsid w:val="008A5672"/>
    <w:rsid w:val="008A6085"/>
    <w:rsid w:val="008A663F"/>
    <w:rsid w:val="008A734C"/>
    <w:rsid w:val="008A7C97"/>
    <w:rsid w:val="008A7EBE"/>
    <w:rsid w:val="008B0803"/>
    <w:rsid w:val="008B1154"/>
    <w:rsid w:val="008B1273"/>
    <w:rsid w:val="008B18BC"/>
    <w:rsid w:val="008B1D10"/>
    <w:rsid w:val="008B2258"/>
    <w:rsid w:val="008B36C5"/>
    <w:rsid w:val="008B542E"/>
    <w:rsid w:val="008B590E"/>
    <w:rsid w:val="008B5BE2"/>
    <w:rsid w:val="008B5C38"/>
    <w:rsid w:val="008B6E93"/>
    <w:rsid w:val="008B73E6"/>
    <w:rsid w:val="008C04B3"/>
    <w:rsid w:val="008C0694"/>
    <w:rsid w:val="008C06D5"/>
    <w:rsid w:val="008C1208"/>
    <w:rsid w:val="008C3158"/>
    <w:rsid w:val="008C3963"/>
    <w:rsid w:val="008C4415"/>
    <w:rsid w:val="008C4CFE"/>
    <w:rsid w:val="008C5D8E"/>
    <w:rsid w:val="008D033C"/>
    <w:rsid w:val="008D0725"/>
    <w:rsid w:val="008D0B33"/>
    <w:rsid w:val="008D0B48"/>
    <w:rsid w:val="008D0D25"/>
    <w:rsid w:val="008D1526"/>
    <w:rsid w:val="008D2273"/>
    <w:rsid w:val="008D346A"/>
    <w:rsid w:val="008D36D2"/>
    <w:rsid w:val="008D38EE"/>
    <w:rsid w:val="008D4B2A"/>
    <w:rsid w:val="008D75E7"/>
    <w:rsid w:val="008E094D"/>
    <w:rsid w:val="008E0D06"/>
    <w:rsid w:val="008E152A"/>
    <w:rsid w:val="008E176A"/>
    <w:rsid w:val="008E1A76"/>
    <w:rsid w:val="008E2822"/>
    <w:rsid w:val="008E2982"/>
    <w:rsid w:val="008E3357"/>
    <w:rsid w:val="008E4713"/>
    <w:rsid w:val="008E4F15"/>
    <w:rsid w:val="008E537E"/>
    <w:rsid w:val="008E5BC1"/>
    <w:rsid w:val="008E7698"/>
    <w:rsid w:val="008E7709"/>
    <w:rsid w:val="008E7D11"/>
    <w:rsid w:val="008E7D60"/>
    <w:rsid w:val="008F0A0A"/>
    <w:rsid w:val="008F0F17"/>
    <w:rsid w:val="008F1049"/>
    <w:rsid w:val="008F10DA"/>
    <w:rsid w:val="008F148D"/>
    <w:rsid w:val="008F355E"/>
    <w:rsid w:val="008F4C62"/>
    <w:rsid w:val="008F5E3B"/>
    <w:rsid w:val="008F6B38"/>
    <w:rsid w:val="008F72A6"/>
    <w:rsid w:val="008F7CEB"/>
    <w:rsid w:val="008F7D25"/>
    <w:rsid w:val="00900226"/>
    <w:rsid w:val="00900C8D"/>
    <w:rsid w:val="009012C6"/>
    <w:rsid w:val="009015DD"/>
    <w:rsid w:val="009028DF"/>
    <w:rsid w:val="00902A1D"/>
    <w:rsid w:val="0090362D"/>
    <w:rsid w:val="00903ED1"/>
    <w:rsid w:val="009052E1"/>
    <w:rsid w:val="00905508"/>
    <w:rsid w:val="009057A0"/>
    <w:rsid w:val="0090585F"/>
    <w:rsid w:val="00905A0D"/>
    <w:rsid w:val="0090665D"/>
    <w:rsid w:val="00911559"/>
    <w:rsid w:val="00912A8A"/>
    <w:rsid w:val="00913103"/>
    <w:rsid w:val="0091329D"/>
    <w:rsid w:val="00914FCF"/>
    <w:rsid w:val="00914FDF"/>
    <w:rsid w:val="0091599A"/>
    <w:rsid w:val="00916B08"/>
    <w:rsid w:val="00917B8D"/>
    <w:rsid w:val="00917EB1"/>
    <w:rsid w:val="00921109"/>
    <w:rsid w:val="00921436"/>
    <w:rsid w:val="009224C5"/>
    <w:rsid w:val="00923433"/>
    <w:rsid w:val="00923961"/>
    <w:rsid w:val="009239BB"/>
    <w:rsid w:val="0092433B"/>
    <w:rsid w:val="00925CD5"/>
    <w:rsid w:val="00926B57"/>
    <w:rsid w:val="009305F2"/>
    <w:rsid w:val="00930F79"/>
    <w:rsid w:val="0093143C"/>
    <w:rsid w:val="00931559"/>
    <w:rsid w:val="00931A26"/>
    <w:rsid w:val="00931EE5"/>
    <w:rsid w:val="00931EF0"/>
    <w:rsid w:val="00932CFF"/>
    <w:rsid w:val="00932F08"/>
    <w:rsid w:val="00932FB2"/>
    <w:rsid w:val="009346F9"/>
    <w:rsid w:val="00934A24"/>
    <w:rsid w:val="009354B9"/>
    <w:rsid w:val="00935A0D"/>
    <w:rsid w:val="00936419"/>
    <w:rsid w:val="00937737"/>
    <w:rsid w:val="00940803"/>
    <w:rsid w:val="00940FFE"/>
    <w:rsid w:val="009411A0"/>
    <w:rsid w:val="00942B6C"/>
    <w:rsid w:val="00943B74"/>
    <w:rsid w:val="0094486F"/>
    <w:rsid w:val="00944CA2"/>
    <w:rsid w:val="009458C7"/>
    <w:rsid w:val="0094714C"/>
    <w:rsid w:val="009472B3"/>
    <w:rsid w:val="00947905"/>
    <w:rsid w:val="00947F35"/>
    <w:rsid w:val="009500DD"/>
    <w:rsid w:val="00951598"/>
    <w:rsid w:val="00952919"/>
    <w:rsid w:val="00954A59"/>
    <w:rsid w:val="00955327"/>
    <w:rsid w:val="00955ADE"/>
    <w:rsid w:val="009573BD"/>
    <w:rsid w:val="0095790B"/>
    <w:rsid w:val="0096079C"/>
    <w:rsid w:val="0096089C"/>
    <w:rsid w:val="0096146C"/>
    <w:rsid w:val="00962E4E"/>
    <w:rsid w:val="00963342"/>
    <w:rsid w:val="00964C60"/>
    <w:rsid w:val="00964E79"/>
    <w:rsid w:val="00964F37"/>
    <w:rsid w:val="00965322"/>
    <w:rsid w:val="0096576D"/>
    <w:rsid w:val="00966926"/>
    <w:rsid w:val="00966C2B"/>
    <w:rsid w:val="00966FEC"/>
    <w:rsid w:val="00967C2E"/>
    <w:rsid w:val="00971134"/>
    <w:rsid w:val="009711D4"/>
    <w:rsid w:val="00971262"/>
    <w:rsid w:val="00971434"/>
    <w:rsid w:val="00972ECB"/>
    <w:rsid w:val="009737A5"/>
    <w:rsid w:val="00974437"/>
    <w:rsid w:val="00974C3A"/>
    <w:rsid w:val="00974FA3"/>
    <w:rsid w:val="009752BA"/>
    <w:rsid w:val="00975A2A"/>
    <w:rsid w:val="00975D23"/>
    <w:rsid w:val="00975EB9"/>
    <w:rsid w:val="009763B8"/>
    <w:rsid w:val="00976A12"/>
    <w:rsid w:val="00977454"/>
    <w:rsid w:val="009816F9"/>
    <w:rsid w:val="00981F51"/>
    <w:rsid w:val="009822DE"/>
    <w:rsid w:val="0098269C"/>
    <w:rsid w:val="009837CB"/>
    <w:rsid w:val="00985240"/>
    <w:rsid w:val="009858EF"/>
    <w:rsid w:val="00985D90"/>
    <w:rsid w:val="00986B3C"/>
    <w:rsid w:val="009872E2"/>
    <w:rsid w:val="0099065F"/>
    <w:rsid w:val="0099075B"/>
    <w:rsid w:val="0099083D"/>
    <w:rsid w:val="00990860"/>
    <w:rsid w:val="00990E7A"/>
    <w:rsid w:val="00991EC7"/>
    <w:rsid w:val="00992009"/>
    <w:rsid w:val="009925EC"/>
    <w:rsid w:val="00992BC7"/>
    <w:rsid w:val="00993AD0"/>
    <w:rsid w:val="00994602"/>
    <w:rsid w:val="00995953"/>
    <w:rsid w:val="009969DF"/>
    <w:rsid w:val="009A00BC"/>
    <w:rsid w:val="009A07EA"/>
    <w:rsid w:val="009A0F6D"/>
    <w:rsid w:val="009A13F2"/>
    <w:rsid w:val="009A1902"/>
    <w:rsid w:val="009A1A3F"/>
    <w:rsid w:val="009A1E3F"/>
    <w:rsid w:val="009A2CB8"/>
    <w:rsid w:val="009A34EE"/>
    <w:rsid w:val="009A3ADA"/>
    <w:rsid w:val="009A491B"/>
    <w:rsid w:val="009A4BD3"/>
    <w:rsid w:val="009A52D1"/>
    <w:rsid w:val="009A6863"/>
    <w:rsid w:val="009A6A8A"/>
    <w:rsid w:val="009A78A9"/>
    <w:rsid w:val="009A78F0"/>
    <w:rsid w:val="009A7C52"/>
    <w:rsid w:val="009B08DD"/>
    <w:rsid w:val="009B299F"/>
    <w:rsid w:val="009B29BB"/>
    <w:rsid w:val="009B3353"/>
    <w:rsid w:val="009B3BD2"/>
    <w:rsid w:val="009B40B2"/>
    <w:rsid w:val="009B498E"/>
    <w:rsid w:val="009B5319"/>
    <w:rsid w:val="009B54B1"/>
    <w:rsid w:val="009B55C4"/>
    <w:rsid w:val="009B6C33"/>
    <w:rsid w:val="009B6C5A"/>
    <w:rsid w:val="009B6EF8"/>
    <w:rsid w:val="009B7B7A"/>
    <w:rsid w:val="009C0368"/>
    <w:rsid w:val="009C3731"/>
    <w:rsid w:val="009C4F62"/>
    <w:rsid w:val="009C4FE0"/>
    <w:rsid w:val="009C5252"/>
    <w:rsid w:val="009C6175"/>
    <w:rsid w:val="009C61F1"/>
    <w:rsid w:val="009C64B7"/>
    <w:rsid w:val="009C6A35"/>
    <w:rsid w:val="009D00D1"/>
    <w:rsid w:val="009D00FC"/>
    <w:rsid w:val="009D0123"/>
    <w:rsid w:val="009D023A"/>
    <w:rsid w:val="009D1C6B"/>
    <w:rsid w:val="009D21FF"/>
    <w:rsid w:val="009D2860"/>
    <w:rsid w:val="009D3D61"/>
    <w:rsid w:val="009D4854"/>
    <w:rsid w:val="009D502B"/>
    <w:rsid w:val="009D5847"/>
    <w:rsid w:val="009D605C"/>
    <w:rsid w:val="009D674D"/>
    <w:rsid w:val="009D6900"/>
    <w:rsid w:val="009D7015"/>
    <w:rsid w:val="009D7497"/>
    <w:rsid w:val="009E03BE"/>
    <w:rsid w:val="009E0480"/>
    <w:rsid w:val="009E0526"/>
    <w:rsid w:val="009E108B"/>
    <w:rsid w:val="009E11BB"/>
    <w:rsid w:val="009E1E5F"/>
    <w:rsid w:val="009E2222"/>
    <w:rsid w:val="009E2235"/>
    <w:rsid w:val="009E240F"/>
    <w:rsid w:val="009E25E5"/>
    <w:rsid w:val="009E2747"/>
    <w:rsid w:val="009E2EEE"/>
    <w:rsid w:val="009E30D5"/>
    <w:rsid w:val="009E321C"/>
    <w:rsid w:val="009E32EE"/>
    <w:rsid w:val="009E4D74"/>
    <w:rsid w:val="009E5076"/>
    <w:rsid w:val="009E68BB"/>
    <w:rsid w:val="009E7036"/>
    <w:rsid w:val="009E7593"/>
    <w:rsid w:val="009F07F4"/>
    <w:rsid w:val="009F19E6"/>
    <w:rsid w:val="009F1F2E"/>
    <w:rsid w:val="009F1F62"/>
    <w:rsid w:val="009F3947"/>
    <w:rsid w:val="009F4D23"/>
    <w:rsid w:val="009F5C19"/>
    <w:rsid w:val="009F69BA"/>
    <w:rsid w:val="009F704F"/>
    <w:rsid w:val="00A00110"/>
    <w:rsid w:val="00A00BC6"/>
    <w:rsid w:val="00A014EE"/>
    <w:rsid w:val="00A01821"/>
    <w:rsid w:val="00A020EA"/>
    <w:rsid w:val="00A037CB"/>
    <w:rsid w:val="00A0469A"/>
    <w:rsid w:val="00A04B89"/>
    <w:rsid w:val="00A04EB0"/>
    <w:rsid w:val="00A05063"/>
    <w:rsid w:val="00A075F7"/>
    <w:rsid w:val="00A076B7"/>
    <w:rsid w:val="00A076B8"/>
    <w:rsid w:val="00A11324"/>
    <w:rsid w:val="00A13008"/>
    <w:rsid w:val="00A138DC"/>
    <w:rsid w:val="00A14237"/>
    <w:rsid w:val="00A1430D"/>
    <w:rsid w:val="00A14429"/>
    <w:rsid w:val="00A15FFD"/>
    <w:rsid w:val="00A16207"/>
    <w:rsid w:val="00A17823"/>
    <w:rsid w:val="00A17875"/>
    <w:rsid w:val="00A17D0D"/>
    <w:rsid w:val="00A20C97"/>
    <w:rsid w:val="00A20F7B"/>
    <w:rsid w:val="00A22365"/>
    <w:rsid w:val="00A2300C"/>
    <w:rsid w:val="00A2340B"/>
    <w:rsid w:val="00A234AD"/>
    <w:rsid w:val="00A25070"/>
    <w:rsid w:val="00A25AF8"/>
    <w:rsid w:val="00A27150"/>
    <w:rsid w:val="00A27728"/>
    <w:rsid w:val="00A31605"/>
    <w:rsid w:val="00A31EDE"/>
    <w:rsid w:val="00A31F2A"/>
    <w:rsid w:val="00A32A88"/>
    <w:rsid w:val="00A32DE9"/>
    <w:rsid w:val="00A35622"/>
    <w:rsid w:val="00A36ED5"/>
    <w:rsid w:val="00A41054"/>
    <w:rsid w:val="00A415DB"/>
    <w:rsid w:val="00A4197A"/>
    <w:rsid w:val="00A41E44"/>
    <w:rsid w:val="00A42D27"/>
    <w:rsid w:val="00A43472"/>
    <w:rsid w:val="00A43B64"/>
    <w:rsid w:val="00A4679F"/>
    <w:rsid w:val="00A47246"/>
    <w:rsid w:val="00A47C9E"/>
    <w:rsid w:val="00A50C74"/>
    <w:rsid w:val="00A51357"/>
    <w:rsid w:val="00A51D2C"/>
    <w:rsid w:val="00A52C18"/>
    <w:rsid w:val="00A536A0"/>
    <w:rsid w:val="00A537B0"/>
    <w:rsid w:val="00A53CB1"/>
    <w:rsid w:val="00A5404F"/>
    <w:rsid w:val="00A55D42"/>
    <w:rsid w:val="00A55E21"/>
    <w:rsid w:val="00A56EC5"/>
    <w:rsid w:val="00A57AFC"/>
    <w:rsid w:val="00A6004F"/>
    <w:rsid w:val="00A6220A"/>
    <w:rsid w:val="00A64A07"/>
    <w:rsid w:val="00A650DC"/>
    <w:rsid w:val="00A654F7"/>
    <w:rsid w:val="00A67754"/>
    <w:rsid w:val="00A67ED9"/>
    <w:rsid w:val="00A717E4"/>
    <w:rsid w:val="00A744CF"/>
    <w:rsid w:val="00A74B28"/>
    <w:rsid w:val="00A757D4"/>
    <w:rsid w:val="00A7641B"/>
    <w:rsid w:val="00A767EF"/>
    <w:rsid w:val="00A76FB1"/>
    <w:rsid w:val="00A77111"/>
    <w:rsid w:val="00A81037"/>
    <w:rsid w:val="00A81140"/>
    <w:rsid w:val="00A82448"/>
    <w:rsid w:val="00A84D45"/>
    <w:rsid w:val="00A8620C"/>
    <w:rsid w:val="00A8711C"/>
    <w:rsid w:val="00A900E2"/>
    <w:rsid w:val="00A90703"/>
    <w:rsid w:val="00A917E6"/>
    <w:rsid w:val="00A92027"/>
    <w:rsid w:val="00A923D1"/>
    <w:rsid w:val="00A933EF"/>
    <w:rsid w:val="00A93B3D"/>
    <w:rsid w:val="00A94713"/>
    <w:rsid w:val="00A949F0"/>
    <w:rsid w:val="00A95947"/>
    <w:rsid w:val="00A96BC3"/>
    <w:rsid w:val="00A96EE6"/>
    <w:rsid w:val="00A96FD2"/>
    <w:rsid w:val="00A97959"/>
    <w:rsid w:val="00A97EAD"/>
    <w:rsid w:val="00AA09B3"/>
    <w:rsid w:val="00AA1733"/>
    <w:rsid w:val="00AA19A7"/>
    <w:rsid w:val="00AA2C2B"/>
    <w:rsid w:val="00AA37FC"/>
    <w:rsid w:val="00AA44B0"/>
    <w:rsid w:val="00AA4B65"/>
    <w:rsid w:val="00AA57EF"/>
    <w:rsid w:val="00AA5F5D"/>
    <w:rsid w:val="00AB3F5E"/>
    <w:rsid w:val="00AB4396"/>
    <w:rsid w:val="00AB6036"/>
    <w:rsid w:val="00AB61CC"/>
    <w:rsid w:val="00AB66F0"/>
    <w:rsid w:val="00AB7491"/>
    <w:rsid w:val="00AC161D"/>
    <w:rsid w:val="00AC17F2"/>
    <w:rsid w:val="00AC20D8"/>
    <w:rsid w:val="00AC2374"/>
    <w:rsid w:val="00AC2D4B"/>
    <w:rsid w:val="00AC3EA4"/>
    <w:rsid w:val="00AC3EC5"/>
    <w:rsid w:val="00AC3F44"/>
    <w:rsid w:val="00AC46E5"/>
    <w:rsid w:val="00AC5B93"/>
    <w:rsid w:val="00AC6028"/>
    <w:rsid w:val="00AC6E31"/>
    <w:rsid w:val="00AC74AC"/>
    <w:rsid w:val="00AC7ABC"/>
    <w:rsid w:val="00AD0232"/>
    <w:rsid w:val="00AD1880"/>
    <w:rsid w:val="00AD1C3D"/>
    <w:rsid w:val="00AD1D3D"/>
    <w:rsid w:val="00AD2277"/>
    <w:rsid w:val="00AD5C04"/>
    <w:rsid w:val="00AE013D"/>
    <w:rsid w:val="00AE125E"/>
    <w:rsid w:val="00AE328D"/>
    <w:rsid w:val="00AE34E5"/>
    <w:rsid w:val="00AE4286"/>
    <w:rsid w:val="00AE45EA"/>
    <w:rsid w:val="00AE56E2"/>
    <w:rsid w:val="00AE5719"/>
    <w:rsid w:val="00AE59FD"/>
    <w:rsid w:val="00AE5B7C"/>
    <w:rsid w:val="00AE6B73"/>
    <w:rsid w:val="00AE6EC3"/>
    <w:rsid w:val="00AE73E2"/>
    <w:rsid w:val="00AF02C2"/>
    <w:rsid w:val="00AF0927"/>
    <w:rsid w:val="00AF16F8"/>
    <w:rsid w:val="00AF197C"/>
    <w:rsid w:val="00AF1B2B"/>
    <w:rsid w:val="00AF200E"/>
    <w:rsid w:val="00AF203D"/>
    <w:rsid w:val="00AF299E"/>
    <w:rsid w:val="00AF2AD6"/>
    <w:rsid w:val="00AF2ADD"/>
    <w:rsid w:val="00AF3B9F"/>
    <w:rsid w:val="00AF4BD7"/>
    <w:rsid w:val="00AF55A6"/>
    <w:rsid w:val="00AF621D"/>
    <w:rsid w:val="00AF65A0"/>
    <w:rsid w:val="00B0060F"/>
    <w:rsid w:val="00B0148A"/>
    <w:rsid w:val="00B01E0D"/>
    <w:rsid w:val="00B03459"/>
    <w:rsid w:val="00B03CE2"/>
    <w:rsid w:val="00B04842"/>
    <w:rsid w:val="00B05E33"/>
    <w:rsid w:val="00B06BA1"/>
    <w:rsid w:val="00B10510"/>
    <w:rsid w:val="00B10802"/>
    <w:rsid w:val="00B11C77"/>
    <w:rsid w:val="00B11E6A"/>
    <w:rsid w:val="00B125CC"/>
    <w:rsid w:val="00B13EF8"/>
    <w:rsid w:val="00B13F95"/>
    <w:rsid w:val="00B14E65"/>
    <w:rsid w:val="00B1522A"/>
    <w:rsid w:val="00B153AD"/>
    <w:rsid w:val="00B15C4F"/>
    <w:rsid w:val="00B169F5"/>
    <w:rsid w:val="00B16FF2"/>
    <w:rsid w:val="00B172A1"/>
    <w:rsid w:val="00B17A5B"/>
    <w:rsid w:val="00B21982"/>
    <w:rsid w:val="00B2362A"/>
    <w:rsid w:val="00B25866"/>
    <w:rsid w:val="00B25A6F"/>
    <w:rsid w:val="00B25BC6"/>
    <w:rsid w:val="00B2670A"/>
    <w:rsid w:val="00B270F3"/>
    <w:rsid w:val="00B316E2"/>
    <w:rsid w:val="00B322FC"/>
    <w:rsid w:val="00B33C2F"/>
    <w:rsid w:val="00B34D6D"/>
    <w:rsid w:val="00B35432"/>
    <w:rsid w:val="00B373AD"/>
    <w:rsid w:val="00B41343"/>
    <w:rsid w:val="00B4134E"/>
    <w:rsid w:val="00B4137E"/>
    <w:rsid w:val="00B41BE7"/>
    <w:rsid w:val="00B41C79"/>
    <w:rsid w:val="00B42775"/>
    <w:rsid w:val="00B4299A"/>
    <w:rsid w:val="00B42B2D"/>
    <w:rsid w:val="00B441CE"/>
    <w:rsid w:val="00B44DA3"/>
    <w:rsid w:val="00B47862"/>
    <w:rsid w:val="00B5061D"/>
    <w:rsid w:val="00B5114C"/>
    <w:rsid w:val="00B518F7"/>
    <w:rsid w:val="00B51A2C"/>
    <w:rsid w:val="00B52026"/>
    <w:rsid w:val="00B5328A"/>
    <w:rsid w:val="00B537D4"/>
    <w:rsid w:val="00B5510F"/>
    <w:rsid w:val="00B57587"/>
    <w:rsid w:val="00B61DD1"/>
    <w:rsid w:val="00B623CE"/>
    <w:rsid w:val="00B626C6"/>
    <w:rsid w:val="00B62CE7"/>
    <w:rsid w:val="00B63124"/>
    <w:rsid w:val="00B63188"/>
    <w:rsid w:val="00B64BF6"/>
    <w:rsid w:val="00B662AD"/>
    <w:rsid w:val="00B67E89"/>
    <w:rsid w:val="00B70AD5"/>
    <w:rsid w:val="00B71DAA"/>
    <w:rsid w:val="00B722A7"/>
    <w:rsid w:val="00B728D6"/>
    <w:rsid w:val="00B72ACE"/>
    <w:rsid w:val="00B7332C"/>
    <w:rsid w:val="00B73BC0"/>
    <w:rsid w:val="00B76233"/>
    <w:rsid w:val="00B76358"/>
    <w:rsid w:val="00B778AA"/>
    <w:rsid w:val="00B81C55"/>
    <w:rsid w:val="00B82000"/>
    <w:rsid w:val="00B82E36"/>
    <w:rsid w:val="00B84265"/>
    <w:rsid w:val="00B842F0"/>
    <w:rsid w:val="00B8497B"/>
    <w:rsid w:val="00B856D0"/>
    <w:rsid w:val="00B85D36"/>
    <w:rsid w:val="00B86A4A"/>
    <w:rsid w:val="00B86DC2"/>
    <w:rsid w:val="00B86E05"/>
    <w:rsid w:val="00B90397"/>
    <w:rsid w:val="00B90CBE"/>
    <w:rsid w:val="00B91560"/>
    <w:rsid w:val="00B91A02"/>
    <w:rsid w:val="00B91C28"/>
    <w:rsid w:val="00B91F2F"/>
    <w:rsid w:val="00B92B46"/>
    <w:rsid w:val="00B92E1C"/>
    <w:rsid w:val="00B93760"/>
    <w:rsid w:val="00B95A00"/>
    <w:rsid w:val="00B96729"/>
    <w:rsid w:val="00BA00A9"/>
    <w:rsid w:val="00BA0426"/>
    <w:rsid w:val="00BA1854"/>
    <w:rsid w:val="00BA1B7A"/>
    <w:rsid w:val="00BA2EE9"/>
    <w:rsid w:val="00BA363C"/>
    <w:rsid w:val="00BA3674"/>
    <w:rsid w:val="00BA36A5"/>
    <w:rsid w:val="00BA3CDE"/>
    <w:rsid w:val="00BA4B2C"/>
    <w:rsid w:val="00BA56BB"/>
    <w:rsid w:val="00BA6968"/>
    <w:rsid w:val="00BA69F4"/>
    <w:rsid w:val="00BA7F80"/>
    <w:rsid w:val="00BB0CC2"/>
    <w:rsid w:val="00BB1A72"/>
    <w:rsid w:val="00BB2701"/>
    <w:rsid w:val="00BB2E4E"/>
    <w:rsid w:val="00BB3344"/>
    <w:rsid w:val="00BB37FC"/>
    <w:rsid w:val="00BB4B26"/>
    <w:rsid w:val="00BB50A5"/>
    <w:rsid w:val="00BB6202"/>
    <w:rsid w:val="00BB7698"/>
    <w:rsid w:val="00BB78FC"/>
    <w:rsid w:val="00BB7C68"/>
    <w:rsid w:val="00BC15AB"/>
    <w:rsid w:val="00BC250E"/>
    <w:rsid w:val="00BC30AA"/>
    <w:rsid w:val="00BC3FE1"/>
    <w:rsid w:val="00BC5040"/>
    <w:rsid w:val="00BC63BC"/>
    <w:rsid w:val="00BC6602"/>
    <w:rsid w:val="00BC6991"/>
    <w:rsid w:val="00BC7267"/>
    <w:rsid w:val="00BD000E"/>
    <w:rsid w:val="00BD0947"/>
    <w:rsid w:val="00BD1191"/>
    <w:rsid w:val="00BD1625"/>
    <w:rsid w:val="00BD1943"/>
    <w:rsid w:val="00BD1BDB"/>
    <w:rsid w:val="00BD24F0"/>
    <w:rsid w:val="00BD2E7D"/>
    <w:rsid w:val="00BD3667"/>
    <w:rsid w:val="00BD3AD2"/>
    <w:rsid w:val="00BD428D"/>
    <w:rsid w:val="00BD4B1F"/>
    <w:rsid w:val="00BD5EA7"/>
    <w:rsid w:val="00BD6857"/>
    <w:rsid w:val="00BD6BED"/>
    <w:rsid w:val="00BD7483"/>
    <w:rsid w:val="00BE097D"/>
    <w:rsid w:val="00BE0E74"/>
    <w:rsid w:val="00BE1DBF"/>
    <w:rsid w:val="00BE226E"/>
    <w:rsid w:val="00BE3B2F"/>
    <w:rsid w:val="00BE66D6"/>
    <w:rsid w:val="00BE67A1"/>
    <w:rsid w:val="00BE6825"/>
    <w:rsid w:val="00BE732D"/>
    <w:rsid w:val="00BF0540"/>
    <w:rsid w:val="00BF0748"/>
    <w:rsid w:val="00BF212E"/>
    <w:rsid w:val="00BF330A"/>
    <w:rsid w:val="00BF3B3C"/>
    <w:rsid w:val="00BF42CF"/>
    <w:rsid w:val="00BF469C"/>
    <w:rsid w:val="00BF685A"/>
    <w:rsid w:val="00BF6B39"/>
    <w:rsid w:val="00C0076A"/>
    <w:rsid w:val="00C0130F"/>
    <w:rsid w:val="00C0590E"/>
    <w:rsid w:val="00C05950"/>
    <w:rsid w:val="00C06929"/>
    <w:rsid w:val="00C06EF4"/>
    <w:rsid w:val="00C07FA9"/>
    <w:rsid w:val="00C10AEE"/>
    <w:rsid w:val="00C10DD6"/>
    <w:rsid w:val="00C10DEC"/>
    <w:rsid w:val="00C1122F"/>
    <w:rsid w:val="00C11F89"/>
    <w:rsid w:val="00C120C6"/>
    <w:rsid w:val="00C12C0F"/>
    <w:rsid w:val="00C134E5"/>
    <w:rsid w:val="00C13832"/>
    <w:rsid w:val="00C1424D"/>
    <w:rsid w:val="00C143AE"/>
    <w:rsid w:val="00C16490"/>
    <w:rsid w:val="00C1697D"/>
    <w:rsid w:val="00C16ECF"/>
    <w:rsid w:val="00C17535"/>
    <w:rsid w:val="00C1778D"/>
    <w:rsid w:val="00C20E42"/>
    <w:rsid w:val="00C22635"/>
    <w:rsid w:val="00C22842"/>
    <w:rsid w:val="00C23048"/>
    <w:rsid w:val="00C23621"/>
    <w:rsid w:val="00C23792"/>
    <w:rsid w:val="00C23C61"/>
    <w:rsid w:val="00C24F5E"/>
    <w:rsid w:val="00C265CC"/>
    <w:rsid w:val="00C265FB"/>
    <w:rsid w:val="00C26973"/>
    <w:rsid w:val="00C273AE"/>
    <w:rsid w:val="00C27C1C"/>
    <w:rsid w:val="00C27C61"/>
    <w:rsid w:val="00C3109F"/>
    <w:rsid w:val="00C32280"/>
    <w:rsid w:val="00C330CA"/>
    <w:rsid w:val="00C3479E"/>
    <w:rsid w:val="00C34A6D"/>
    <w:rsid w:val="00C3500A"/>
    <w:rsid w:val="00C400E5"/>
    <w:rsid w:val="00C4201F"/>
    <w:rsid w:val="00C4284F"/>
    <w:rsid w:val="00C42ACD"/>
    <w:rsid w:val="00C4317A"/>
    <w:rsid w:val="00C45222"/>
    <w:rsid w:val="00C4591F"/>
    <w:rsid w:val="00C4622D"/>
    <w:rsid w:val="00C46263"/>
    <w:rsid w:val="00C4650F"/>
    <w:rsid w:val="00C46981"/>
    <w:rsid w:val="00C470AF"/>
    <w:rsid w:val="00C472F7"/>
    <w:rsid w:val="00C47877"/>
    <w:rsid w:val="00C47D1B"/>
    <w:rsid w:val="00C503FF"/>
    <w:rsid w:val="00C505E8"/>
    <w:rsid w:val="00C51140"/>
    <w:rsid w:val="00C51346"/>
    <w:rsid w:val="00C515D8"/>
    <w:rsid w:val="00C51B23"/>
    <w:rsid w:val="00C51E4F"/>
    <w:rsid w:val="00C52805"/>
    <w:rsid w:val="00C53782"/>
    <w:rsid w:val="00C53985"/>
    <w:rsid w:val="00C53E72"/>
    <w:rsid w:val="00C546A6"/>
    <w:rsid w:val="00C548CF"/>
    <w:rsid w:val="00C54BE5"/>
    <w:rsid w:val="00C5658B"/>
    <w:rsid w:val="00C56625"/>
    <w:rsid w:val="00C56912"/>
    <w:rsid w:val="00C56A45"/>
    <w:rsid w:val="00C57553"/>
    <w:rsid w:val="00C57670"/>
    <w:rsid w:val="00C6012D"/>
    <w:rsid w:val="00C61018"/>
    <w:rsid w:val="00C61355"/>
    <w:rsid w:val="00C636D0"/>
    <w:rsid w:val="00C66549"/>
    <w:rsid w:val="00C66C9E"/>
    <w:rsid w:val="00C66CFB"/>
    <w:rsid w:val="00C673D1"/>
    <w:rsid w:val="00C71059"/>
    <w:rsid w:val="00C716E5"/>
    <w:rsid w:val="00C7186E"/>
    <w:rsid w:val="00C71A66"/>
    <w:rsid w:val="00C71FD4"/>
    <w:rsid w:val="00C731DC"/>
    <w:rsid w:val="00C7372B"/>
    <w:rsid w:val="00C73907"/>
    <w:rsid w:val="00C748A4"/>
    <w:rsid w:val="00C74C5A"/>
    <w:rsid w:val="00C76800"/>
    <w:rsid w:val="00C77CD0"/>
    <w:rsid w:val="00C77FCC"/>
    <w:rsid w:val="00C80153"/>
    <w:rsid w:val="00C8083C"/>
    <w:rsid w:val="00C80F64"/>
    <w:rsid w:val="00C80F8C"/>
    <w:rsid w:val="00C8162E"/>
    <w:rsid w:val="00C81D68"/>
    <w:rsid w:val="00C828BE"/>
    <w:rsid w:val="00C82BDA"/>
    <w:rsid w:val="00C82C57"/>
    <w:rsid w:val="00C8343C"/>
    <w:rsid w:val="00C83B36"/>
    <w:rsid w:val="00C84585"/>
    <w:rsid w:val="00C8497C"/>
    <w:rsid w:val="00C84A04"/>
    <w:rsid w:val="00C866A8"/>
    <w:rsid w:val="00C87926"/>
    <w:rsid w:val="00C90A72"/>
    <w:rsid w:val="00C91A3F"/>
    <w:rsid w:val="00C92091"/>
    <w:rsid w:val="00C92FA3"/>
    <w:rsid w:val="00C9414E"/>
    <w:rsid w:val="00C94EA7"/>
    <w:rsid w:val="00C94EEE"/>
    <w:rsid w:val="00C95E47"/>
    <w:rsid w:val="00C963A0"/>
    <w:rsid w:val="00C9699D"/>
    <w:rsid w:val="00C9775A"/>
    <w:rsid w:val="00C97E22"/>
    <w:rsid w:val="00CA07FF"/>
    <w:rsid w:val="00CA0F7D"/>
    <w:rsid w:val="00CA30DF"/>
    <w:rsid w:val="00CA456C"/>
    <w:rsid w:val="00CA460D"/>
    <w:rsid w:val="00CA6269"/>
    <w:rsid w:val="00CA666E"/>
    <w:rsid w:val="00CA66DF"/>
    <w:rsid w:val="00CA7476"/>
    <w:rsid w:val="00CA7C1E"/>
    <w:rsid w:val="00CA7FE3"/>
    <w:rsid w:val="00CB0565"/>
    <w:rsid w:val="00CB258D"/>
    <w:rsid w:val="00CB2A57"/>
    <w:rsid w:val="00CB57FD"/>
    <w:rsid w:val="00CB63FB"/>
    <w:rsid w:val="00CB6D69"/>
    <w:rsid w:val="00CB703A"/>
    <w:rsid w:val="00CB7E67"/>
    <w:rsid w:val="00CC0C5D"/>
    <w:rsid w:val="00CC0EE1"/>
    <w:rsid w:val="00CC1F04"/>
    <w:rsid w:val="00CC22DD"/>
    <w:rsid w:val="00CC2BF2"/>
    <w:rsid w:val="00CC30A8"/>
    <w:rsid w:val="00CC3C9F"/>
    <w:rsid w:val="00CC4A8B"/>
    <w:rsid w:val="00CC5E23"/>
    <w:rsid w:val="00CC77E3"/>
    <w:rsid w:val="00CD0985"/>
    <w:rsid w:val="00CD2AE3"/>
    <w:rsid w:val="00CD4A97"/>
    <w:rsid w:val="00CD4D23"/>
    <w:rsid w:val="00CD50FB"/>
    <w:rsid w:val="00CD55AE"/>
    <w:rsid w:val="00CD57CA"/>
    <w:rsid w:val="00CD6519"/>
    <w:rsid w:val="00CD707C"/>
    <w:rsid w:val="00CD737C"/>
    <w:rsid w:val="00CD7BC3"/>
    <w:rsid w:val="00CD7C46"/>
    <w:rsid w:val="00CD7DA9"/>
    <w:rsid w:val="00CD7E25"/>
    <w:rsid w:val="00CE05D4"/>
    <w:rsid w:val="00CE0EE6"/>
    <w:rsid w:val="00CE1592"/>
    <w:rsid w:val="00CE234D"/>
    <w:rsid w:val="00CE40D0"/>
    <w:rsid w:val="00CE4301"/>
    <w:rsid w:val="00CE468E"/>
    <w:rsid w:val="00CE46FC"/>
    <w:rsid w:val="00CE481E"/>
    <w:rsid w:val="00CE4AA8"/>
    <w:rsid w:val="00CE657B"/>
    <w:rsid w:val="00CF3292"/>
    <w:rsid w:val="00CF3A3D"/>
    <w:rsid w:val="00CF3D6B"/>
    <w:rsid w:val="00CF58CF"/>
    <w:rsid w:val="00CF67F8"/>
    <w:rsid w:val="00CF6971"/>
    <w:rsid w:val="00CF6B0F"/>
    <w:rsid w:val="00CF78DB"/>
    <w:rsid w:val="00CF7D1F"/>
    <w:rsid w:val="00D01EDC"/>
    <w:rsid w:val="00D0248E"/>
    <w:rsid w:val="00D027E3"/>
    <w:rsid w:val="00D035FA"/>
    <w:rsid w:val="00D03E56"/>
    <w:rsid w:val="00D049A0"/>
    <w:rsid w:val="00D07F0D"/>
    <w:rsid w:val="00D11533"/>
    <w:rsid w:val="00D11F5B"/>
    <w:rsid w:val="00D12E08"/>
    <w:rsid w:val="00D13A6B"/>
    <w:rsid w:val="00D14D6E"/>
    <w:rsid w:val="00D15398"/>
    <w:rsid w:val="00D1585E"/>
    <w:rsid w:val="00D15EDB"/>
    <w:rsid w:val="00D16EAC"/>
    <w:rsid w:val="00D17DCA"/>
    <w:rsid w:val="00D21482"/>
    <w:rsid w:val="00D217A4"/>
    <w:rsid w:val="00D236C3"/>
    <w:rsid w:val="00D24316"/>
    <w:rsid w:val="00D24764"/>
    <w:rsid w:val="00D24A5F"/>
    <w:rsid w:val="00D25ADE"/>
    <w:rsid w:val="00D269B7"/>
    <w:rsid w:val="00D2728D"/>
    <w:rsid w:val="00D278A7"/>
    <w:rsid w:val="00D31B06"/>
    <w:rsid w:val="00D31BFC"/>
    <w:rsid w:val="00D31F2E"/>
    <w:rsid w:val="00D32B38"/>
    <w:rsid w:val="00D33B5C"/>
    <w:rsid w:val="00D35C16"/>
    <w:rsid w:val="00D36C80"/>
    <w:rsid w:val="00D371C6"/>
    <w:rsid w:val="00D372B2"/>
    <w:rsid w:val="00D407D5"/>
    <w:rsid w:val="00D4136B"/>
    <w:rsid w:val="00D41D70"/>
    <w:rsid w:val="00D42123"/>
    <w:rsid w:val="00D42175"/>
    <w:rsid w:val="00D42497"/>
    <w:rsid w:val="00D443AF"/>
    <w:rsid w:val="00D4460A"/>
    <w:rsid w:val="00D47351"/>
    <w:rsid w:val="00D473CC"/>
    <w:rsid w:val="00D47643"/>
    <w:rsid w:val="00D47A9E"/>
    <w:rsid w:val="00D50580"/>
    <w:rsid w:val="00D50CDF"/>
    <w:rsid w:val="00D518E8"/>
    <w:rsid w:val="00D5257F"/>
    <w:rsid w:val="00D5288E"/>
    <w:rsid w:val="00D53645"/>
    <w:rsid w:val="00D547F7"/>
    <w:rsid w:val="00D553E6"/>
    <w:rsid w:val="00D562E7"/>
    <w:rsid w:val="00D5723A"/>
    <w:rsid w:val="00D61B15"/>
    <w:rsid w:val="00D63904"/>
    <w:rsid w:val="00D64514"/>
    <w:rsid w:val="00D649B8"/>
    <w:rsid w:val="00D64A87"/>
    <w:rsid w:val="00D65DA3"/>
    <w:rsid w:val="00D666F3"/>
    <w:rsid w:val="00D66740"/>
    <w:rsid w:val="00D66BD4"/>
    <w:rsid w:val="00D66FEB"/>
    <w:rsid w:val="00D7015C"/>
    <w:rsid w:val="00D70B6F"/>
    <w:rsid w:val="00D71102"/>
    <w:rsid w:val="00D71585"/>
    <w:rsid w:val="00D72B26"/>
    <w:rsid w:val="00D7492A"/>
    <w:rsid w:val="00D75214"/>
    <w:rsid w:val="00D75922"/>
    <w:rsid w:val="00D77B71"/>
    <w:rsid w:val="00D804E1"/>
    <w:rsid w:val="00D83994"/>
    <w:rsid w:val="00D83CE5"/>
    <w:rsid w:val="00D85008"/>
    <w:rsid w:val="00D87A49"/>
    <w:rsid w:val="00D90475"/>
    <w:rsid w:val="00D9148A"/>
    <w:rsid w:val="00D91C33"/>
    <w:rsid w:val="00D91FB9"/>
    <w:rsid w:val="00D943C5"/>
    <w:rsid w:val="00D94DEE"/>
    <w:rsid w:val="00D950A6"/>
    <w:rsid w:val="00D950EC"/>
    <w:rsid w:val="00D956AA"/>
    <w:rsid w:val="00D95EF8"/>
    <w:rsid w:val="00DA0B14"/>
    <w:rsid w:val="00DA0B77"/>
    <w:rsid w:val="00DA1064"/>
    <w:rsid w:val="00DA13FD"/>
    <w:rsid w:val="00DA1851"/>
    <w:rsid w:val="00DA205C"/>
    <w:rsid w:val="00DA2450"/>
    <w:rsid w:val="00DA299A"/>
    <w:rsid w:val="00DA31C0"/>
    <w:rsid w:val="00DA3DBD"/>
    <w:rsid w:val="00DA4C11"/>
    <w:rsid w:val="00DA5781"/>
    <w:rsid w:val="00DA5868"/>
    <w:rsid w:val="00DA63C9"/>
    <w:rsid w:val="00DA6B83"/>
    <w:rsid w:val="00DA6E68"/>
    <w:rsid w:val="00DB19E6"/>
    <w:rsid w:val="00DB25BC"/>
    <w:rsid w:val="00DB2606"/>
    <w:rsid w:val="00DB26C3"/>
    <w:rsid w:val="00DB436D"/>
    <w:rsid w:val="00DB5812"/>
    <w:rsid w:val="00DB5868"/>
    <w:rsid w:val="00DB7C2A"/>
    <w:rsid w:val="00DC057B"/>
    <w:rsid w:val="00DC0595"/>
    <w:rsid w:val="00DC10E2"/>
    <w:rsid w:val="00DC215D"/>
    <w:rsid w:val="00DC241A"/>
    <w:rsid w:val="00DC2975"/>
    <w:rsid w:val="00DC3E83"/>
    <w:rsid w:val="00DC4A66"/>
    <w:rsid w:val="00DC5B57"/>
    <w:rsid w:val="00DC60C7"/>
    <w:rsid w:val="00DC6415"/>
    <w:rsid w:val="00DC7022"/>
    <w:rsid w:val="00DC752F"/>
    <w:rsid w:val="00DC7C00"/>
    <w:rsid w:val="00DD0174"/>
    <w:rsid w:val="00DD04AD"/>
    <w:rsid w:val="00DD0B9B"/>
    <w:rsid w:val="00DD0DA2"/>
    <w:rsid w:val="00DD0FEA"/>
    <w:rsid w:val="00DD1B85"/>
    <w:rsid w:val="00DD238A"/>
    <w:rsid w:val="00DD2460"/>
    <w:rsid w:val="00DD24BD"/>
    <w:rsid w:val="00DD295D"/>
    <w:rsid w:val="00DD324F"/>
    <w:rsid w:val="00DD36E9"/>
    <w:rsid w:val="00DD43B7"/>
    <w:rsid w:val="00DD4779"/>
    <w:rsid w:val="00DD4EA2"/>
    <w:rsid w:val="00DD502A"/>
    <w:rsid w:val="00DD5F20"/>
    <w:rsid w:val="00DD625F"/>
    <w:rsid w:val="00DD65CC"/>
    <w:rsid w:val="00DD6C50"/>
    <w:rsid w:val="00DD747F"/>
    <w:rsid w:val="00DE015D"/>
    <w:rsid w:val="00DE03DC"/>
    <w:rsid w:val="00DE0BC1"/>
    <w:rsid w:val="00DE1D18"/>
    <w:rsid w:val="00DE3118"/>
    <w:rsid w:val="00DE37CF"/>
    <w:rsid w:val="00DE3D5F"/>
    <w:rsid w:val="00DE3FBD"/>
    <w:rsid w:val="00DE5725"/>
    <w:rsid w:val="00DE71E4"/>
    <w:rsid w:val="00DE74D7"/>
    <w:rsid w:val="00DE7834"/>
    <w:rsid w:val="00DE7F9A"/>
    <w:rsid w:val="00DF0690"/>
    <w:rsid w:val="00DF0AB0"/>
    <w:rsid w:val="00DF0B40"/>
    <w:rsid w:val="00DF0B8A"/>
    <w:rsid w:val="00DF0D44"/>
    <w:rsid w:val="00DF10AC"/>
    <w:rsid w:val="00DF10C0"/>
    <w:rsid w:val="00DF1223"/>
    <w:rsid w:val="00DF134A"/>
    <w:rsid w:val="00DF13C0"/>
    <w:rsid w:val="00DF1658"/>
    <w:rsid w:val="00DF20A4"/>
    <w:rsid w:val="00DF20D1"/>
    <w:rsid w:val="00DF29FB"/>
    <w:rsid w:val="00DF3014"/>
    <w:rsid w:val="00DF3CE0"/>
    <w:rsid w:val="00DF450A"/>
    <w:rsid w:val="00DF578F"/>
    <w:rsid w:val="00E00BFD"/>
    <w:rsid w:val="00E01862"/>
    <w:rsid w:val="00E0197E"/>
    <w:rsid w:val="00E020A1"/>
    <w:rsid w:val="00E023C9"/>
    <w:rsid w:val="00E02A38"/>
    <w:rsid w:val="00E02B90"/>
    <w:rsid w:val="00E02C5A"/>
    <w:rsid w:val="00E03758"/>
    <w:rsid w:val="00E04B3C"/>
    <w:rsid w:val="00E05C70"/>
    <w:rsid w:val="00E05C8E"/>
    <w:rsid w:val="00E07911"/>
    <w:rsid w:val="00E10D95"/>
    <w:rsid w:val="00E1303E"/>
    <w:rsid w:val="00E136DD"/>
    <w:rsid w:val="00E13E29"/>
    <w:rsid w:val="00E143B4"/>
    <w:rsid w:val="00E16244"/>
    <w:rsid w:val="00E162C7"/>
    <w:rsid w:val="00E16369"/>
    <w:rsid w:val="00E16AC1"/>
    <w:rsid w:val="00E176F9"/>
    <w:rsid w:val="00E2007F"/>
    <w:rsid w:val="00E20329"/>
    <w:rsid w:val="00E207FE"/>
    <w:rsid w:val="00E209C5"/>
    <w:rsid w:val="00E20B6F"/>
    <w:rsid w:val="00E21052"/>
    <w:rsid w:val="00E21313"/>
    <w:rsid w:val="00E2306B"/>
    <w:rsid w:val="00E24F10"/>
    <w:rsid w:val="00E2538E"/>
    <w:rsid w:val="00E30119"/>
    <w:rsid w:val="00E3149E"/>
    <w:rsid w:val="00E3163B"/>
    <w:rsid w:val="00E31DB5"/>
    <w:rsid w:val="00E31FC0"/>
    <w:rsid w:val="00E324A7"/>
    <w:rsid w:val="00E32EF4"/>
    <w:rsid w:val="00E33369"/>
    <w:rsid w:val="00E3370D"/>
    <w:rsid w:val="00E34890"/>
    <w:rsid w:val="00E35635"/>
    <w:rsid w:val="00E36E31"/>
    <w:rsid w:val="00E36F5E"/>
    <w:rsid w:val="00E372AC"/>
    <w:rsid w:val="00E4041D"/>
    <w:rsid w:val="00E41A85"/>
    <w:rsid w:val="00E423B1"/>
    <w:rsid w:val="00E42620"/>
    <w:rsid w:val="00E42F9F"/>
    <w:rsid w:val="00E430A9"/>
    <w:rsid w:val="00E43301"/>
    <w:rsid w:val="00E43B4A"/>
    <w:rsid w:val="00E45F6B"/>
    <w:rsid w:val="00E468BA"/>
    <w:rsid w:val="00E46C97"/>
    <w:rsid w:val="00E46FEC"/>
    <w:rsid w:val="00E47425"/>
    <w:rsid w:val="00E50233"/>
    <w:rsid w:val="00E523BC"/>
    <w:rsid w:val="00E52878"/>
    <w:rsid w:val="00E5288E"/>
    <w:rsid w:val="00E52A5F"/>
    <w:rsid w:val="00E53A19"/>
    <w:rsid w:val="00E5452C"/>
    <w:rsid w:val="00E54E16"/>
    <w:rsid w:val="00E54F16"/>
    <w:rsid w:val="00E5532F"/>
    <w:rsid w:val="00E55E95"/>
    <w:rsid w:val="00E56BC5"/>
    <w:rsid w:val="00E56D08"/>
    <w:rsid w:val="00E56D19"/>
    <w:rsid w:val="00E619AC"/>
    <w:rsid w:val="00E61E9D"/>
    <w:rsid w:val="00E625A0"/>
    <w:rsid w:val="00E62DB9"/>
    <w:rsid w:val="00E62DC6"/>
    <w:rsid w:val="00E640ED"/>
    <w:rsid w:val="00E64143"/>
    <w:rsid w:val="00E642A3"/>
    <w:rsid w:val="00E64976"/>
    <w:rsid w:val="00E6514E"/>
    <w:rsid w:val="00E65A1F"/>
    <w:rsid w:val="00E65C80"/>
    <w:rsid w:val="00E66AC9"/>
    <w:rsid w:val="00E66CA0"/>
    <w:rsid w:val="00E70091"/>
    <w:rsid w:val="00E70E38"/>
    <w:rsid w:val="00E70F66"/>
    <w:rsid w:val="00E71476"/>
    <w:rsid w:val="00E72D30"/>
    <w:rsid w:val="00E733A6"/>
    <w:rsid w:val="00E7373D"/>
    <w:rsid w:val="00E747D5"/>
    <w:rsid w:val="00E74EB3"/>
    <w:rsid w:val="00E75D14"/>
    <w:rsid w:val="00E8003A"/>
    <w:rsid w:val="00E805C5"/>
    <w:rsid w:val="00E8080E"/>
    <w:rsid w:val="00E81221"/>
    <w:rsid w:val="00E8169E"/>
    <w:rsid w:val="00E81DB5"/>
    <w:rsid w:val="00E82030"/>
    <w:rsid w:val="00E82A53"/>
    <w:rsid w:val="00E8397B"/>
    <w:rsid w:val="00E83AF0"/>
    <w:rsid w:val="00E85072"/>
    <w:rsid w:val="00E85228"/>
    <w:rsid w:val="00E856D8"/>
    <w:rsid w:val="00E85BA8"/>
    <w:rsid w:val="00E86E4F"/>
    <w:rsid w:val="00E86EA4"/>
    <w:rsid w:val="00E87ACA"/>
    <w:rsid w:val="00E87F59"/>
    <w:rsid w:val="00E905A0"/>
    <w:rsid w:val="00E906D5"/>
    <w:rsid w:val="00E92E98"/>
    <w:rsid w:val="00E94560"/>
    <w:rsid w:val="00E94E45"/>
    <w:rsid w:val="00E954B7"/>
    <w:rsid w:val="00E95D22"/>
    <w:rsid w:val="00E96435"/>
    <w:rsid w:val="00EA0165"/>
    <w:rsid w:val="00EA392E"/>
    <w:rsid w:val="00EA4173"/>
    <w:rsid w:val="00EA4CD3"/>
    <w:rsid w:val="00EA56D6"/>
    <w:rsid w:val="00EA5B36"/>
    <w:rsid w:val="00EA5FD5"/>
    <w:rsid w:val="00EA6925"/>
    <w:rsid w:val="00EA6D71"/>
    <w:rsid w:val="00EA713A"/>
    <w:rsid w:val="00EA756E"/>
    <w:rsid w:val="00EB08EE"/>
    <w:rsid w:val="00EB1551"/>
    <w:rsid w:val="00EB1938"/>
    <w:rsid w:val="00EB1965"/>
    <w:rsid w:val="00EB1A69"/>
    <w:rsid w:val="00EB1BC0"/>
    <w:rsid w:val="00EB23EF"/>
    <w:rsid w:val="00EB29D3"/>
    <w:rsid w:val="00EB32A5"/>
    <w:rsid w:val="00EB3E96"/>
    <w:rsid w:val="00EB4AF6"/>
    <w:rsid w:val="00EB4B80"/>
    <w:rsid w:val="00EB57EC"/>
    <w:rsid w:val="00EB5BD5"/>
    <w:rsid w:val="00EB648C"/>
    <w:rsid w:val="00EC0103"/>
    <w:rsid w:val="00EC088B"/>
    <w:rsid w:val="00EC26EF"/>
    <w:rsid w:val="00EC35B4"/>
    <w:rsid w:val="00EC3643"/>
    <w:rsid w:val="00EC5949"/>
    <w:rsid w:val="00EC6134"/>
    <w:rsid w:val="00EC692E"/>
    <w:rsid w:val="00ED05A8"/>
    <w:rsid w:val="00ED12AE"/>
    <w:rsid w:val="00ED3020"/>
    <w:rsid w:val="00ED34BE"/>
    <w:rsid w:val="00ED4629"/>
    <w:rsid w:val="00ED4E84"/>
    <w:rsid w:val="00ED6699"/>
    <w:rsid w:val="00ED6A67"/>
    <w:rsid w:val="00ED7CAF"/>
    <w:rsid w:val="00ED7D9E"/>
    <w:rsid w:val="00EE03B1"/>
    <w:rsid w:val="00EE16E2"/>
    <w:rsid w:val="00EE2C63"/>
    <w:rsid w:val="00EE3DDA"/>
    <w:rsid w:val="00EE4B0B"/>
    <w:rsid w:val="00EE4D23"/>
    <w:rsid w:val="00EE5B01"/>
    <w:rsid w:val="00EE6B49"/>
    <w:rsid w:val="00EF00D9"/>
    <w:rsid w:val="00EF079E"/>
    <w:rsid w:val="00EF07E6"/>
    <w:rsid w:val="00EF0E89"/>
    <w:rsid w:val="00EF35FA"/>
    <w:rsid w:val="00EF3FA7"/>
    <w:rsid w:val="00EF4435"/>
    <w:rsid w:val="00EF507D"/>
    <w:rsid w:val="00EF5E29"/>
    <w:rsid w:val="00EF6D71"/>
    <w:rsid w:val="00EF71A8"/>
    <w:rsid w:val="00F00AB6"/>
    <w:rsid w:val="00F00CD5"/>
    <w:rsid w:val="00F00D29"/>
    <w:rsid w:val="00F00FF2"/>
    <w:rsid w:val="00F01081"/>
    <w:rsid w:val="00F01C7E"/>
    <w:rsid w:val="00F02049"/>
    <w:rsid w:val="00F0338A"/>
    <w:rsid w:val="00F0373D"/>
    <w:rsid w:val="00F03747"/>
    <w:rsid w:val="00F03A51"/>
    <w:rsid w:val="00F03AFC"/>
    <w:rsid w:val="00F041CF"/>
    <w:rsid w:val="00F04F66"/>
    <w:rsid w:val="00F05283"/>
    <w:rsid w:val="00F05DBF"/>
    <w:rsid w:val="00F05E09"/>
    <w:rsid w:val="00F06568"/>
    <w:rsid w:val="00F069F1"/>
    <w:rsid w:val="00F11950"/>
    <w:rsid w:val="00F11AAF"/>
    <w:rsid w:val="00F12151"/>
    <w:rsid w:val="00F12A0E"/>
    <w:rsid w:val="00F134AC"/>
    <w:rsid w:val="00F13EA4"/>
    <w:rsid w:val="00F157B0"/>
    <w:rsid w:val="00F16720"/>
    <w:rsid w:val="00F16E2F"/>
    <w:rsid w:val="00F172EE"/>
    <w:rsid w:val="00F179D8"/>
    <w:rsid w:val="00F17D6C"/>
    <w:rsid w:val="00F20045"/>
    <w:rsid w:val="00F20655"/>
    <w:rsid w:val="00F2098F"/>
    <w:rsid w:val="00F216D7"/>
    <w:rsid w:val="00F21EBC"/>
    <w:rsid w:val="00F22397"/>
    <w:rsid w:val="00F23DD7"/>
    <w:rsid w:val="00F240EA"/>
    <w:rsid w:val="00F2483D"/>
    <w:rsid w:val="00F2496F"/>
    <w:rsid w:val="00F252AC"/>
    <w:rsid w:val="00F25D1F"/>
    <w:rsid w:val="00F25EC1"/>
    <w:rsid w:val="00F26185"/>
    <w:rsid w:val="00F26DC3"/>
    <w:rsid w:val="00F300EF"/>
    <w:rsid w:val="00F301C6"/>
    <w:rsid w:val="00F30549"/>
    <w:rsid w:val="00F30F7B"/>
    <w:rsid w:val="00F31C27"/>
    <w:rsid w:val="00F322EA"/>
    <w:rsid w:val="00F32BCB"/>
    <w:rsid w:val="00F32EA8"/>
    <w:rsid w:val="00F3329C"/>
    <w:rsid w:val="00F34C64"/>
    <w:rsid w:val="00F35F1D"/>
    <w:rsid w:val="00F36631"/>
    <w:rsid w:val="00F3676C"/>
    <w:rsid w:val="00F37C44"/>
    <w:rsid w:val="00F37F40"/>
    <w:rsid w:val="00F403FD"/>
    <w:rsid w:val="00F41380"/>
    <w:rsid w:val="00F414B3"/>
    <w:rsid w:val="00F4347B"/>
    <w:rsid w:val="00F43FEC"/>
    <w:rsid w:val="00F45839"/>
    <w:rsid w:val="00F4715B"/>
    <w:rsid w:val="00F47385"/>
    <w:rsid w:val="00F47EF8"/>
    <w:rsid w:val="00F5164C"/>
    <w:rsid w:val="00F533A1"/>
    <w:rsid w:val="00F552FA"/>
    <w:rsid w:val="00F567A8"/>
    <w:rsid w:val="00F572C0"/>
    <w:rsid w:val="00F574F8"/>
    <w:rsid w:val="00F576E4"/>
    <w:rsid w:val="00F600F2"/>
    <w:rsid w:val="00F6065B"/>
    <w:rsid w:val="00F60A09"/>
    <w:rsid w:val="00F62E09"/>
    <w:rsid w:val="00F635F7"/>
    <w:rsid w:val="00F63C1F"/>
    <w:rsid w:val="00F6662F"/>
    <w:rsid w:val="00F675BD"/>
    <w:rsid w:val="00F70118"/>
    <w:rsid w:val="00F702B4"/>
    <w:rsid w:val="00F706F1"/>
    <w:rsid w:val="00F70E4A"/>
    <w:rsid w:val="00F71F04"/>
    <w:rsid w:val="00F743AF"/>
    <w:rsid w:val="00F75810"/>
    <w:rsid w:val="00F76A55"/>
    <w:rsid w:val="00F80496"/>
    <w:rsid w:val="00F80729"/>
    <w:rsid w:val="00F80996"/>
    <w:rsid w:val="00F81DCD"/>
    <w:rsid w:val="00F82380"/>
    <w:rsid w:val="00F84BAA"/>
    <w:rsid w:val="00F84D35"/>
    <w:rsid w:val="00F85DBC"/>
    <w:rsid w:val="00F8725D"/>
    <w:rsid w:val="00F87384"/>
    <w:rsid w:val="00F907B2"/>
    <w:rsid w:val="00F90BD9"/>
    <w:rsid w:val="00F90DE0"/>
    <w:rsid w:val="00F92058"/>
    <w:rsid w:val="00F923A7"/>
    <w:rsid w:val="00F944D7"/>
    <w:rsid w:val="00F97F78"/>
    <w:rsid w:val="00FA17C7"/>
    <w:rsid w:val="00FA2526"/>
    <w:rsid w:val="00FA4006"/>
    <w:rsid w:val="00FA43A4"/>
    <w:rsid w:val="00FA499D"/>
    <w:rsid w:val="00FA5129"/>
    <w:rsid w:val="00FA62D8"/>
    <w:rsid w:val="00FA7275"/>
    <w:rsid w:val="00FA7B5A"/>
    <w:rsid w:val="00FA7FCA"/>
    <w:rsid w:val="00FA7FF8"/>
    <w:rsid w:val="00FB1D01"/>
    <w:rsid w:val="00FB1D39"/>
    <w:rsid w:val="00FB3A38"/>
    <w:rsid w:val="00FB48D6"/>
    <w:rsid w:val="00FB52E0"/>
    <w:rsid w:val="00FB53E4"/>
    <w:rsid w:val="00FB59B6"/>
    <w:rsid w:val="00FB75C0"/>
    <w:rsid w:val="00FC0D3F"/>
    <w:rsid w:val="00FC12AD"/>
    <w:rsid w:val="00FC17E0"/>
    <w:rsid w:val="00FC21B4"/>
    <w:rsid w:val="00FC2A80"/>
    <w:rsid w:val="00FC3122"/>
    <w:rsid w:val="00FC3695"/>
    <w:rsid w:val="00FC3A1C"/>
    <w:rsid w:val="00FC43ED"/>
    <w:rsid w:val="00FC5F9B"/>
    <w:rsid w:val="00FC687B"/>
    <w:rsid w:val="00FC698F"/>
    <w:rsid w:val="00FC6B59"/>
    <w:rsid w:val="00FD0471"/>
    <w:rsid w:val="00FD0A75"/>
    <w:rsid w:val="00FD168C"/>
    <w:rsid w:val="00FD1A19"/>
    <w:rsid w:val="00FD1A93"/>
    <w:rsid w:val="00FD1DE6"/>
    <w:rsid w:val="00FD2092"/>
    <w:rsid w:val="00FD344E"/>
    <w:rsid w:val="00FD34DD"/>
    <w:rsid w:val="00FD45A6"/>
    <w:rsid w:val="00FD66EF"/>
    <w:rsid w:val="00FD6ADE"/>
    <w:rsid w:val="00FD6EAB"/>
    <w:rsid w:val="00FD7CD2"/>
    <w:rsid w:val="00FE021A"/>
    <w:rsid w:val="00FE1A69"/>
    <w:rsid w:val="00FE1B57"/>
    <w:rsid w:val="00FE1F79"/>
    <w:rsid w:val="00FE2DB0"/>
    <w:rsid w:val="00FE43BA"/>
    <w:rsid w:val="00FE5006"/>
    <w:rsid w:val="00FE517E"/>
    <w:rsid w:val="00FE51BD"/>
    <w:rsid w:val="00FE5219"/>
    <w:rsid w:val="00FE5747"/>
    <w:rsid w:val="00FE612F"/>
    <w:rsid w:val="00FE65CC"/>
    <w:rsid w:val="00FE6822"/>
    <w:rsid w:val="00FE6C02"/>
    <w:rsid w:val="00FE71F9"/>
    <w:rsid w:val="00FE7FBB"/>
    <w:rsid w:val="00FF0383"/>
    <w:rsid w:val="00FF0BCB"/>
    <w:rsid w:val="00FF0FB1"/>
    <w:rsid w:val="00FF4376"/>
    <w:rsid w:val="00FF49E6"/>
    <w:rsid w:val="00FF5669"/>
    <w:rsid w:val="00FF5688"/>
    <w:rsid w:val="00FF607A"/>
    <w:rsid w:val="00FF64F7"/>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E8CC70D"/>
  <w15:docId w15:val="{7533085E-3301-4B53-A19F-373254E197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F0D8B"/>
    <w:rPr>
      <w:rFonts w:ascii="Times New Roman" w:eastAsia="Times New Roman" w:hAnsi="Times New Roman" w:cs="Times New Roman"/>
      <w:lang w:val="es-ES"/>
    </w:rPr>
  </w:style>
  <w:style w:type="paragraph" w:styleId="Ttulo1">
    <w:name w:val="heading 1"/>
    <w:basedOn w:val="Normal"/>
    <w:next w:val="Normal"/>
    <w:link w:val="Ttulo1Car"/>
    <w:uiPriority w:val="9"/>
    <w:qFormat/>
    <w:rsid w:val="007F61DA"/>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4A6EFE"/>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9D4854"/>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9D4854"/>
    <w:pPr>
      <w:ind w:left="708"/>
    </w:pPr>
  </w:style>
  <w:style w:type="table" w:styleId="Tablaconcuadrcula">
    <w:name w:val="Table Grid"/>
    <w:basedOn w:val="Tablanormal"/>
    <w:uiPriority w:val="59"/>
    <w:rsid w:val="00AB3F5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AB3F5E"/>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qFormat/>
    <w:rsid w:val="00AB3F5E"/>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AB3F5E"/>
    <w:rPr>
      <w:vertAlign w:val="superscript"/>
    </w:rPr>
  </w:style>
  <w:style w:type="character" w:customStyle="1" w:styleId="Ttulo2Car">
    <w:name w:val="Título 2 Car"/>
    <w:basedOn w:val="Fuentedeprrafopredeter"/>
    <w:link w:val="Ttulo2"/>
    <w:uiPriority w:val="9"/>
    <w:rsid w:val="004A6EFE"/>
    <w:rPr>
      <w:rFonts w:asciiTheme="majorHAnsi" w:eastAsiaTheme="majorEastAsia" w:hAnsiTheme="majorHAnsi" w:cstheme="majorBidi"/>
      <w:color w:val="365F91" w:themeColor="accent1" w:themeShade="BF"/>
      <w:sz w:val="26"/>
      <w:szCs w:val="26"/>
      <w:lang w:val="es-ES"/>
    </w:rPr>
  </w:style>
  <w:style w:type="character" w:customStyle="1" w:styleId="apple-converted-space">
    <w:name w:val="apple-converted-space"/>
    <w:basedOn w:val="Fuentedeprrafopredeter"/>
    <w:rsid w:val="00A5404F"/>
  </w:style>
  <w:style w:type="character" w:customStyle="1" w:styleId="normaltextrun">
    <w:name w:val="normaltextrun"/>
    <w:basedOn w:val="Fuentedeprrafopredeter"/>
    <w:rsid w:val="00355B75"/>
  </w:style>
  <w:style w:type="paragraph" w:customStyle="1" w:styleId="paragraph">
    <w:name w:val="paragraph"/>
    <w:basedOn w:val="Normal"/>
    <w:rsid w:val="00355B75"/>
    <w:pPr>
      <w:spacing w:before="100" w:beforeAutospacing="1" w:after="100" w:afterAutospacing="1"/>
    </w:pPr>
    <w:rPr>
      <w:lang w:val="es-MX" w:eastAsia="es-MX"/>
    </w:rPr>
  </w:style>
  <w:style w:type="character" w:customStyle="1" w:styleId="eop">
    <w:name w:val="eop"/>
    <w:basedOn w:val="Fuentedeprrafopredeter"/>
    <w:rsid w:val="00355B75"/>
  </w:style>
  <w:style w:type="character" w:styleId="Hipervnculo">
    <w:name w:val="Hyperlink"/>
    <w:aliases w:val="Hipervínculo1,Hipervínculo11,Hipervínculo12,Hipervínculo13,Hipervínculo14,Hipervínculo15"/>
    <w:basedOn w:val="Fuentedeprrafopredeter"/>
    <w:uiPriority w:val="99"/>
    <w:unhideWhenUsed/>
    <w:rsid w:val="00623EA3"/>
    <w:rPr>
      <w:color w:val="0000FF" w:themeColor="hyperlink"/>
      <w:u w:val="single"/>
    </w:rPr>
  </w:style>
  <w:style w:type="character" w:customStyle="1" w:styleId="nacep">
    <w:name w:val="n_acep"/>
    <w:basedOn w:val="Fuentedeprrafopredeter"/>
    <w:rsid w:val="00585C24"/>
  </w:style>
  <w:style w:type="paragraph" w:customStyle="1" w:styleId="Texto">
    <w:name w:val="Texto"/>
    <w:basedOn w:val="Normal"/>
    <w:link w:val="TextoCar"/>
    <w:qFormat/>
    <w:rsid w:val="009573BD"/>
    <w:pPr>
      <w:spacing w:after="101" w:line="216" w:lineRule="exact"/>
      <w:ind w:firstLine="288"/>
      <w:jc w:val="both"/>
    </w:pPr>
    <w:rPr>
      <w:rFonts w:ascii="Arial" w:hAnsi="Arial" w:cs="Arial"/>
      <w:sz w:val="18"/>
      <w:szCs w:val="20"/>
    </w:rPr>
  </w:style>
  <w:style w:type="character" w:customStyle="1" w:styleId="TextoCar">
    <w:name w:val="Texto Car"/>
    <w:link w:val="Texto"/>
    <w:locked/>
    <w:rsid w:val="009573BD"/>
    <w:rPr>
      <w:rFonts w:ascii="Arial" w:eastAsia="Times New Roman" w:hAnsi="Arial" w:cs="Arial"/>
      <w:sz w:val="18"/>
      <w:szCs w:val="20"/>
      <w:lang w:val="es-ES"/>
    </w:rPr>
  </w:style>
  <w:style w:type="character" w:customStyle="1" w:styleId="Ttulo1Car">
    <w:name w:val="Título 1 Car"/>
    <w:basedOn w:val="Fuentedeprrafopredeter"/>
    <w:link w:val="Ttulo1"/>
    <w:uiPriority w:val="9"/>
    <w:rsid w:val="007F61DA"/>
    <w:rPr>
      <w:rFonts w:asciiTheme="majorHAnsi" w:eastAsiaTheme="majorEastAsia" w:hAnsiTheme="majorHAnsi" w:cstheme="majorBidi"/>
      <w:color w:val="365F91" w:themeColor="accent1" w:themeShade="BF"/>
      <w:sz w:val="32"/>
      <w:szCs w:val="32"/>
      <w:lang w:val="es-ES"/>
    </w:rPr>
  </w:style>
  <w:style w:type="paragraph" w:customStyle="1" w:styleId="Default">
    <w:name w:val="Default"/>
    <w:rsid w:val="00DF0D44"/>
    <w:pPr>
      <w:autoSpaceDE w:val="0"/>
      <w:autoSpaceDN w:val="0"/>
      <w:adjustRightInd w:val="0"/>
    </w:pPr>
    <w:rPr>
      <w:rFonts w:ascii="Arial" w:hAnsi="Arial" w:cs="Arial"/>
      <w:color w:val="000000"/>
      <w:lang w:val="es-MX"/>
    </w:rPr>
  </w:style>
  <w:style w:type="paragraph" w:styleId="Sinespaciado">
    <w:name w:val="No Spacing"/>
    <w:aliases w:val="Francesa"/>
    <w:link w:val="SinespaciadoCar"/>
    <w:uiPriority w:val="1"/>
    <w:qFormat/>
    <w:rsid w:val="00932CFF"/>
    <w:rPr>
      <w:rFonts w:ascii="Times New Roman" w:eastAsia="Times New Roman" w:hAnsi="Times New Roman" w:cs="Times New Roman"/>
      <w:lang w:val="es-MX"/>
    </w:rPr>
  </w:style>
  <w:style w:type="character" w:styleId="Textoennegrita">
    <w:name w:val="Strong"/>
    <w:uiPriority w:val="22"/>
    <w:qFormat/>
    <w:rsid w:val="00932CFF"/>
    <w:rPr>
      <w:b/>
      <w:bCs/>
    </w:rPr>
  </w:style>
  <w:style w:type="character" w:customStyle="1" w:styleId="SinespaciadoCar">
    <w:name w:val="Sin espaciado Car"/>
    <w:aliases w:val="Francesa Car"/>
    <w:link w:val="Sinespaciado"/>
    <w:uiPriority w:val="1"/>
    <w:locked/>
    <w:rsid w:val="00932CFF"/>
    <w:rPr>
      <w:rFonts w:ascii="Times New Roman" w:eastAsia="Times New Roman" w:hAnsi="Times New Roman" w:cs="Times New Roman"/>
      <w:lang w:val="es-MX"/>
    </w:rPr>
  </w:style>
  <w:style w:type="paragraph" w:styleId="NormalWeb">
    <w:name w:val="Normal (Web)"/>
    <w:basedOn w:val="Normal"/>
    <w:uiPriority w:val="99"/>
    <w:semiHidden/>
    <w:unhideWhenUsed/>
    <w:rsid w:val="00444919"/>
    <w:pPr>
      <w:spacing w:before="100" w:beforeAutospacing="1" w:after="100" w:afterAutospacing="1"/>
    </w:pPr>
    <w:rPr>
      <w:lang w:val="es-MX" w:eastAsia="es-MX"/>
    </w:rPr>
  </w:style>
  <w:style w:type="paragraph" w:styleId="Textoindependiente">
    <w:name w:val="Body Text"/>
    <w:basedOn w:val="Normal"/>
    <w:link w:val="TextoindependienteCar"/>
    <w:uiPriority w:val="1"/>
    <w:qFormat/>
    <w:rsid w:val="00446C36"/>
    <w:pPr>
      <w:widowControl w:val="0"/>
      <w:autoSpaceDE w:val="0"/>
      <w:autoSpaceDN w:val="0"/>
      <w:adjustRightInd w:val="0"/>
      <w:ind w:left="112"/>
    </w:pPr>
    <w:rPr>
      <w:rFonts w:eastAsiaTheme="minorEastAsia"/>
      <w:sz w:val="25"/>
      <w:szCs w:val="25"/>
      <w:lang w:val="es-MX" w:eastAsia="es-MX"/>
    </w:rPr>
  </w:style>
  <w:style w:type="character" w:customStyle="1" w:styleId="TextoindependienteCar">
    <w:name w:val="Texto independiente Car"/>
    <w:basedOn w:val="Fuentedeprrafopredeter"/>
    <w:link w:val="Textoindependiente"/>
    <w:uiPriority w:val="1"/>
    <w:rsid w:val="00446C36"/>
    <w:rPr>
      <w:rFonts w:ascii="Times New Roman" w:hAnsi="Times New Roman" w:cs="Times New Roman"/>
      <w:sz w:val="25"/>
      <w:szCs w:val="25"/>
      <w:lang w:val="es-MX" w:eastAsia="es-MX"/>
    </w:rPr>
  </w:style>
  <w:style w:type="paragraph" w:styleId="Textosinformato">
    <w:name w:val="Plain Text"/>
    <w:basedOn w:val="Normal"/>
    <w:link w:val="TextosinformatoCar"/>
    <w:unhideWhenUsed/>
    <w:rsid w:val="006F1806"/>
    <w:rPr>
      <w:rFonts w:ascii="Courier New" w:hAnsi="Courier New"/>
      <w:sz w:val="20"/>
      <w:szCs w:val="20"/>
    </w:rPr>
  </w:style>
  <w:style w:type="character" w:customStyle="1" w:styleId="TextosinformatoCar">
    <w:name w:val="Texto sin formato Car"/>
    <w:basedOn w:val="Fuentedeprrafopredeter"/>
    <w:link w:val="Textosinformato"/>
    <w:rsid w:val="006F1806"/>
    <w:rPr>
      <w:rFonts w:ascii="Courier New" w:eastAsia="Times New Roman" w:hAnsi="Courier New" w:cs="Times New Roman"/>
      <w:sz w:val="20"/>
      <w:szCs w:val="20"/>
      <w:lang w:val="es-ES"/>
    </w:rPr>
  </w:style>
  <w:style w:type="table" w:styleId="Tabladelista1clara-nfasis1">
    <w:name w:val="List Table 1 Light Accent 1"/>
    <w:basedOn w:val="Tablanormal"/>
    <w:uiPriority w:val="46"/>
    <w:rsid w:val="007B70B3"/>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aconcuadrcula211">
    <w:name w:val="Tabla con cuadrícula211"/>
    <w:basedOn w:val="Tablanormal"/>
    <w:next w:val="Tablaconcuadrcula"/>
    <w:uiPriority w:val="39"/>
    <w:rsid w:val="006E011A"/>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fasis">
    <w:name w:val="Emphasis"/>
    <w:basedOn w:val="Fuentedeprrafopredeter"/>
    <w:uiPriority w:val="20"/>
    <w:qFormat/>
    <w:rsid w:val="00CB703A"/>
    <w:rPr>
      <w:i/>
      <w:iCs/>
    </w:rPr>
  </w:style>
  <w:style w:type="table" w:customStyle="1" w:styleId="Tablaconcuadrcula2111">
    <w:name w:val="Tabla con cuadrícula2111"/>
    <w:basedOn w:val="Tablanormal"/>
    <w:next w:val="Tablaconcuadrcula"/>
    <w:uiPriority w:val="39"/>
    <w:rsid w:val="00EA0165"/>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
    <w:name w:val="Tabla con cuadrícula111"/>
    <w:basedOn w:val="Tablanormal"/>
    <w:next w:val="Tablaconcuadrcula"/>
    <w:uiPriority w:val="59"/>
    <w:rsid w:val="00EA016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DC1">
    <w:name w:val="toc 1"/>
    <w:basedOn w:val="Normal"/>
    <w:next w:val="Normal"/>
    <w:autoRedefine/>
    <w:uiPriority w:val="39"/>
    <w:unhideWhenUsed/>
    <w:rsid w:val="00EB23EF"/>
    <w:pPr>
      <w:spacing w:after="100"/>
    </w:pPr>
  </w:style>
  <w:style w:type="paragraph" w:styleId="TDC2">
    <w:name w:val="toc 2"/>
    <w:basedOn w:val="Normal"/>
    <w:next w:val="Normal"/>
    <w:autoRedefine/>
    <w:uiPriority w:val="39"/>
    <w:unhideWhenUsed/>
    <w:rsid w:val="00EB23EF"/>
    <w:pPr>
      <w:spacing w:after="100"/>
      <w:ind w:left="240"/>
    </w:pPr>
  </w:style>
  <w:style w:type="paragraph" w:styleId="TDC3">
    <w:name w:val="toc 3"/>
    <w:basedOn w:val="Normal"/>
    <w:next w:val="Normal"/>
    <w:autoRedefine/>
    <w:uiPriority w:val="39"/>
    <w:unhideWhenUsed/>
    <w:rsid w:val="00CC1F04"/>
    <w:pPr>
      <w:tabs>
        <w:tab w:val="left" w:pos="880"/>
        <w:tab w:val="right" w:leader="dot" w:pos="8828"/>
      </w:tabs>
      <w:spacing w:after="100"/>
      <w:ind w:left="180" w:hanging="180"/>
    </w:pPr>
  </w:style>
  <w:style w:type="paragraph" w:customStyle="1" w:styleId="rtejustify">
    <w:name w:val="rtejustify"/>
    <w:basedOn w:val="Normal"/>
    <w:rsid w:val="00AE328D"/>
    <w:pPr>
      <w:spacing w:before="100" w:beforeAutospacing="1" w:after="100" w:afterAutospacing="1"/>
    </w:pPr>
    <w:rPr>
      <w:lang w:val="en-US" w:eastAsia="en-US"/>
    </w:rPr>
  </w:style>
  <w:style w:type="paragraph" w:styleId="TtulodeTDC">
    <w:name w:val="TOC Heading"/>
    <w:basedOn w:val="Ttulo1"/>
    <w:next w:val="Normal"/>
    <w:uiPriority w:val="39"/>
    <w:semiHidden/>
    <w:unhideWhenUsed/>
    <w:qFormat/>
    <w:rsid w:val="007F7B11"/>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890041">
      <w:bodyDiv w:val="1"/>
      <w:marLeft w:val="0"/>
      <w:marRight w:val="0"/>
      <w:marTop w:val="0"/>
      <w:marBottom w:val="0"/>
      <w:divBdr>
        <w:top w:val="none" w:sz="0" w:space="0" w:color="auto"/>
        <w:left w:val="none" w:sz="0" w:space="0" w:color="auto"/>
        <w:bottom w:val="none" w:sz="0" w:space="0" w:color="auto"/>
        <w:right w:val="none" w:sz="0" w:space="0" w:color="auto"/>
      </w:divBdr>
    </w:div>
    <w:div w:id="27223872">
      <w:bodyDiv w:val="1"/>
      <w:marLeft w:val="0"/>
      <w:marRight w:val="0"/>
      <w:marTop w:val="0"/>
      <w:marBottom w:val="0"/>
      <w:divBdr>
        <w:top w:val="none" w:sz="0" w:space="0" w:color="auto"/>
        <w:left w:val="none" w:sz="0" w:space="0" w:color="auto"/>
        <w:bottom w:val="none" w:sz="0" w:space="0" w:color="auto"/>
        <w:right w:val="none" w:sz="0" w:space="0" w:color="auto"/>
      </w:divBdr>
    </w:div>
    <w:div w:id="56322925">
      <w:bodyDiv w:val="1"/>
      <w:marLeft w:val="0"/>
      <w:marRight w:val="0"/>
      <w:marTop w:val="0"/>
      <w:marBottom w:val="0"/>
      <w:divBdr>
        <w:top w:val="none" w:sz="0" w:space="0" w:color="auto"/>
        <w:left w:val="none" w:sz="0" w:space="0" w:color="auto"/>
        <w:bottom w:val="none" w:sz="0" w:space="0" w:color="auto"/>
        <w:right w:val="none" w:sz="0" w:space="0" w:color="auto"/>
      </w:divBdr>
    </w:div>
    <w:div w:id="86849608">
      <w:bodyDiv w:val="1"/>
      <w:marLeft w:val="0"/>
      <w:marRight w:val="0"/>
      <w:marTop w:val="0"/>
      <w:marBottom w:val="0"/>
      <w:divBdr>
        <w:top w:val="none" w:sz="0" w:space="0" w:color="auto"/>
        <w:left w:val="none" w:sz="0" w:space="0" w:color="auto"/>
        <w:bottom w:val="none" w:sz="0" w:space="0" w:color="auto"/>
        <w:right w:val="none" w:sz="0" w:space="0" w:color="auto"/>
      </w:divBdr>
    </w:div>
    <w:div w:id="95905401">
      <w:bodyDiv w:val="1"/>
      <w:marLeft w:val="0"/>
      <w:marRight w:val="0"/>
      <w:marTop w:val="0"/>
      <w:marBottom w:val="0"/>
      <w:divBdr>
        <w:top w:val="none" w:sz="0" w:space="0" w:color="auto"/>
        <w:left w:val="none" w:sz="0" w:space="0" w:color="auto"/>
        <w:bottom w:val="none" w:sz="0" w:space="0" w:color="auto"/>
        <w:right w:val="none" w:sz="0" w:space="0" w:color="auto"/>
      </w:divBdr>
    </w:div>
    <w:div w:id="100153958">
      <w:bodyDiv w:val="1"/>
      <w:marLeft w:val="0"/>
      <w:marRight w:val="0"/>
      <w:marTop w:val="0"/>
      <w:marBottom w:val="0"/>
      <w:divBdr>
        <w:top w:val="none" w:sz="0" w:space="0" w:color="auto"/>
        <w:left w:val="none" w:sz="0" w:space="0" w:color="auto"/>
        <w:bottom w:val="none" w:sz="0" w:space="0" w:color="auto"/>
        <w:right w:val="none" w:sz="0" w:space="0" w:color="auto"/>
      </w:divBdr>
    </w:div>
    <w:div w:id="113183635">
      <w:bodyDiv w:val="1"/>
      <w:marLeft w:val="0"/>
      <w:marRight w:val="0"/>
      <w:marTop w:val="0"/>
      <w:marBottom w:val="0"/>
      <w:divBdr>
        <w:top w:val="none" w:sz="0" w:space="0" w:color="auto"/>
        <w:left w:val="none" w:sz="0" w:space="0" w:color="auto"/>
        <w:bottom w:val="none" w:sz="0" w:space="0" w:color="auto"/>
        <w:right w:val="none" w:sz="0" w:space="0" w:color="auto"/>
      </w:divBdr>
    </w:div>
    <w:div w:id="132522224">
      <w:bodyDiv w:val="1"/>
      <w:marLeft w:val="0"/>
      <w:marRight w:val="0"/>
      <w:marTop w:val="0"/>
      <w:marBottom w:val="0"/>
      <w:divBdr>
        <w:top w:val="none" w:sz="0" w:space="0" w:color="auto"/>
        <w:left w:val="none" w:sz="0" w:space="0" w:color="auto"/>
        <w:bottom w:val="none" w:sz="0" w:space="0" w:color="auto"/>
        <w:right w:val="none" w:sz="0" w:space="0" w:color="auto"/>
      </w:divBdr>
    </w:div>
    <w:div w:id="136607946">
      <w:bodyDiv w:val="1"/>
      <w:marLeft w:val="0"/>
      <w:marRight w:val="0"/>
      <w:marTop w:val="0"/>
      <w:marBottom w:val="0"/>
      <w:divBdr>
        <w:top w:val="none" w:sz="0" w:space="0" w:color="auto"/>
        <w:left w:val="none" w:sz="0" w:space="0" w:color="auto"/>
        <w:bottom w:val="none" w:sz="0" w:space="0" w:color="auto"/>
        <w:right w:val="none" w:sz="0" w:space="0" w:color="auto"/>
      </w:divBdr>
    </w:div>
    <w:div w:id="188758197">
      <w:bodyDiv w:val="1"/>
      <w:marLeft w:val="0"/>
      <w:marRight w:val="0"/>
      <w:marTop w:val="0"/>
      <w:marBottom w:val="0"/>
      <w:divBdr>
        <w:top w:val="none" w:sz="0" w:space="0" w:color="auto"/>
        <w:left w:val="none" w:sz="0" w:space="0" w:color="auto"/>
        <w:bottom w:val="none" w:sz="0" w:space="0" w:color="auto"/>
        <w:right w:val="none" w:sz="0" w:space="0" w:color="auto"/>
      </w:divBdr>
    </w:div>
    <w:div w:id="271325150">
      <w:bodyDiv w:val="1"/>
      <w:marLeft w:val="0"/>
      <w:marRight w:val="0"/>
      <w:marTop w:val="0"/>
      <w:marBottom w:val="0"/>
      <w:divBdr>
        <w:top w:val="none" w:sz="0" w:space="0" w:color="auto"/>
        <w:left w:val="none" w:sz="0" w:space="0" w:color="auto"/>
        <w:bottom w:val="none" w:sz="0" w:space="0" w:color="auto"/>
        <w:right w:val="none" w:sz="0" w:space="0" w:color="auto"/>
      </w:divBdr>
    </w:div>
    <w:div w:id="283535765">
      <w:bodyDiv w:val="1"/>
      <w:marLeft w:val="0"/>
      <w:marRight w:val="0"/>
      <w:marTop w:val="0"/>
      <w:marBottom w:val="0"/>
      <w:divBdr>
        <w:top w:val="none" w:sz="0" w:space="0" w:color="auto"/>
        <w:left w:val="none" w:sz="0" w:space="0" w:color="auto"/>
        <w:bottom w:val="none" w:sz="0" w:space="0" w:color="auto"/>
        <w:right w:val="none" w:sz="0" w:space="0" w:color="auto"/>
      </w:divBdr>
    </w:div>
    <w:div w:id="285504980">
      <w:bodyDiv w:val="1"/>
      <w:marLeft w:val="0"/>
      <w:marRight w:val="0"/>
      <w:marTop w:val="0"/>
      <w:marBottom w:val="0"/>
      <w:divBdr>
        <w:top w:val="none" w:sz="0" w:space="0" w:color="auto"/>
        <w:left w:val="none" w:sz="0" w:space="0" w:color="auto"/>
        <w:bottom w:val="none" w:sz="0" w:space="0" w:color="auto"/>
        <w:right w:val="none" w:sz="0" w:space="0" w:color="auto"/>
      </w:divBdr>
    </w:div>
    <w:div w:id="319770551">
      <w:bodyDiv w:val="1"/>
      <w:marLeft w:val="0"/>
      <w:marRight w:val="0"/>
      <w:marTop w:val="0"/>
      <w:marBottom w:val="0"/>
      <w:divBdr>
        <w:top w:val="none" w:sz="0" w:space="0" w:color="auto"/>
        <w:left w:val="none" w:sz="0" w:space="0" w:color="auto"/>
        <w:bottom w:val="none" w:sz="0" w:space="0" w:color="auto"/>
        <w:right w:val="none" w:sz="0" w:space="0" w:color="auto"/>
      </w:divBdr>
    </w:div>
    <w:div w:id="320738556">
      <w:bodyDiv w:val="1"/>
      <w:marLeft w:val="0"/>
      <w:marRight w:val="0"/>
      <w:marTop w:val="0"/>
      <w:marBottom w:val="0"/>
      <w:divBdr>
        <w:top w:val="none" w:sz="0" w:space="0" w:color="auto"/>
        <w:left w:val="none" w:sz="0" w:space="0" w:color="auto"/>
        <w:bottom w:val="none" w:sz="0" w:space="0" w:color="auto"/>
        <w:right w:val="none" w:sz="0" w:space="0" w:color="auto"/>
      </w:divBdr>
    </w:div>
    <w:div w:id="358093108">
      <w:bodyDiv w:val="1"/>
      <w:marLeft w:val="0"/>
      <w:marRight w:val="0"/>
      <w:marTop w:val="0"/>
      <w:marBottom w:val="0"/>
      <w:divBdr>
        <w:top w:val="none" w:sz="0" w:space="0" w:color="auto"/>
        <w:left w:val="none" w:sz="0" w:space="0" w:color="auto"/>
        <w:bottom w:val="none" w:sz="0" w:space="0" w:color="auto"/>
        <w:right w:val="none" w:sz="0" w:space="0" w:color="auto"/>
      </w:divBdr>
    </w:div>
    <w:div w:id="361248420">
      <w:bodyDiv w:val="1"/>
      <w:marLeft w:val="0"/>
      <w:marRight w:val="0"/>
      <w:marTop w:val="0"/>
      <w:marBottom w:val="0"/>
      <w:divBdr>
        <w:top w:val="none" w:sz="0" w:space="0" w:color="auto"/>
        <w:left w:val="none" w:sz="0" w:space="0" w:color="auto"/>
        <w:bottom w:val="none" w:sz="0" w:space="0" w:color="auto"/>
        <w:right w:val="none" w:sz="0" w:space="0" w:color="auto"/>
      </w:divBdr>
    </w:div>
    <w:div w:id="381246491">
      <w:bodyDiv w:val="1"/>
      <w:marLeft w:val="0"/>
      <w:marRight w:val="0"/>
      <w:marTop w:val="0"/>
      <w:marBottom w:val="0"/>
      <w:divBdr>
        <w:top w:val="none" w:sz="0" w:space="0" w:color="auto"/>
        <w:left w:val="none" w:sz="0" w:space="0" w:color="auto"/>
        <w:bottom w:val="none" w:sz="0" w:space="0" w:color="auto"/>
        <w:right w:val="none" w:sz="0" w:space="0" w:color="auto"/>
      </w:divBdr>
    </w:div>
    <w:div w:id="454755402">
      <w:bodyDiv w:val="1"/>
      <w:marLeft w:val="0"/>
      <w:marRight w:val="0"/>
      <w:marTop w:val="0"/>
      <w:marBottom w:val="0"/>
      <w:divBdr>
        <w:top w:val="none" w:sz="0" w:space="0" w:color="auto"/>
        <w:left w:val="none" w:sz="0" w:space="0" w:color="auto"/>
        <w:bottom w:val="none" w:sz="0" w:space="0" w:color="auto"/>
        <w:right w:val="none" w:sz="0" w:space="0" w:color="auto"/>
      </w:divBdr>
    </w:div>
    <w:div w:id="496698662">
      <w:bodyDiv w:val="1"/>
      <w:marLeft w:val="0"/>
      <w:marRight w:val="0"/>
      <w:marTop w:val="0"/>
      <w:marBottom w:val="0"/>
      <w:divBdr>
        <w:top w:val="none" w:sz="0" w:space="0" w:color="auto"/>
        <w:left w:val="none" w:sz="0" w:space="0" w:color="auto"/>
        <w:bottom w:val="none" w:sz="0" w:space="0" w:color="auto"/>
        <w:right w:val="none" w:sz="0" w:space="0" w:color="auto"/>
      </w:divBdr>
    </w:div>
    <w:div w:id="507184253">
      <w:bodyDiv w:val="1"/>
      <w:marLeft w:val="0"/>
      <w:marRight w:val="0"/>
      <w:marTop w:val="0"/>
      <w:marBottom w:val="0"/>
      <w:divBdr>
        <w:top w:val="none" w:sz="0" w:space="0" w:color="auto"/>
        <w:left w:val="none" w:sz="0" w:space="0" w:color="auto"/>
        <w:bottom w:val="none" w:sz="0" w:space="0" w:color="auto"/>
        <w:right w:val="none" w:sz="0" w:space="0" w:color="auto"/>
      </w:divBdr>
    </w:div>
    <w:div w:id="526140367">
      <w:bodyDiv w:val="1"/>
      <w:marLeft w:val="0"/>
      <w:marRight w:val="0"/>
      <w:marTop w:val="0"/>
      <w:marBottom w:val="0"/>
      <w:divBdr>
        <w:top w:val="none" w:sz="0" w:space="0" w:color="auto"/>
        <w:left w:val="none" w:sz="0" w:space="0" w:color="auto"/>
        <w:bottom w:val="none" w:sz="0" w:space="0" w:color="auto"/>
        <w:right w:val="none" w:sz="0" w:space="0" w:color="auto"/>
      </w:divBdr>
      <w:divsChild>
        <w:div w:id="72239116">
          <w:marLeft w:val="0"/>
          <w:marRight w:val="0"/>
          <w:marTop w:val="0"/>
          <w:marBottom w:val="0"/>
          <w:divBdr>
            <w:top w:val="none" w:sz="0" w:space="0" w:color="auto"/>
            <w:left w:val="none" w:sz="0" w:space="0" w:color="auto"/>
            <w:bottom w:val="none" w:sz="0" w:space="0" w:color="auto"/>
            <w:right w:val="none" w:sz="0" w:space="0" w:color="auto"/>
          </w:divBdr>
          <w:divsChild>
            <w:div w:id="875191895">
              <w:marLeft w:val="0"/>
              <w:marRight w:val="0"/>
              <w:marTop w:val="0"/>
              <w:marBottom w:val="0"/>
              <w:divBdr>
                <w:top w:val="none" w:sz="0" w:space="0" w:color="auto"/>
                <w:left w:val="none" w:sz="0" w:space="0" w:color="auto"/>
                <w:bottom w:val="none" w:sz="0" w:space="0" w:color="auto"/>
                <w:right w:val="none" w:sz="0" w:space="0" w:color="auto"/>
              </w:divBdr>
            </w:div>
            <w:div w:id="1282036551">
              <w:marLeft w:val="0"/>
              <w:marRight w:val="0"/>
              <w:marTop w:val="0"/>
              <w:marBottom w:val="0"/>
              <w:divBdr>
                <w:top w:val="none" w:sz="0" w:space="0" w:color="auto"/>
                <w:left w:val="none" w:sz="0" w:space="0" w:color="auto"/>
                <w:bottom w:val="none" w:sz="0" w:space="0" w:color="auto"/>
                <w:right w:val="none" w:sz="0" w:space="0" w:color="auto"/>
              </w:divBdr>
            </w:div>
            <w:div w:id="1621567824">
              <w:marLeft w:val="0"/>
              <w:marRight w:val="0"/>
              <w:marTop w:val="0"/>
              <w:marBottom w:val="0"/>
              <w:divBdr>
                <w:top w:val="none" w:sz="0" w:space="0" w:color="auto"/>
                <w:left w:val="none" w:sz="0" w:space="0" w:color="auto"/>
                <w:bottom w:val="none" w:sz="0" w:space="0" w:color="auto"/>
                <w:right w:val="none" w:sz="0" w:space="0" w:color="auto"/>
              </w:divBdr>
            </w:div>
            <w:div w:id="1913348112">
              <w:marLeft w:val="0"/>
              <w:marRight w:val="0"/>
              <w:marTop w:val="0"/>
              <w:marBottom w:val="0"/>
              <w:divBdr>
                <w:top w:val="none" w:sz="0" w:space="0" w:color="auto"/>
                <w:left w:val="none" w:sz="0" w:space="0" w:color="auto"/>
                <w:bottom w:val="none" w:sz="0" w:space="0" w:color="auto"/>
                <w:right w:val="none" w:sz="0" w:space="0" w:color="auto"/>
              </w:divBdr>
            </w:div>
            <w:div w:id="2071806496">
              <w:marLeft w:val="0"/>
              <w:marRight w:val="0"/>
              <w:marTop w:val="0"/>
              <w:marBottom w:val="0"/>
              <w:divBdr>
                <w:top w:val="none" w:sz="0" w:space="0" w:color="auto"/>
                <w:left w:val="none" w:sz="0" w:space="0" w:color="auto"/>
                <w:bottom w:val="none" w:sz="0" w:space="0" w:color="auto"/>
                <w:right w:val="none" w:sz="0" w:space="0" w:color="auto"/>
              </w:divBdr>
            </w:div>
          </w:divsChild>
        </w:div>
        <w:div w:id="373502370">
          <w:marLeft w:val="0"/>
          <w:marRight w:val="0"/>
          <w:marTop w:val="0"/>
          <w:marBottom w:val="0"/>
          <w:divBdr>
            <w:top w:val="none" w:sz="0" w:space="0" w:color="auto"/>
            <w:left w:val="none" w:sz="0" w:space="0" w:color="auto"/>
            <w:bottom w:val="none" w:sz="0" w:space="0" w:color="auto"/>
            <w:right w:val="none" w:sz="0" w:space="0" w:color="auto"/>
          </w:divBdr>
        </w:div>
        <w:div w:id="1896617816">
          <w:marLeft w:val="0"/>
          <w:marRight w:val="0"/>
          <w:marTop w:val="0"/>
          <w:marBottom w:val="0"/>
          <w:divBdr>
            <w:top w:val="none" w:sz="0" w:space="0" w:color="auto"/>
            <w:left w:val="none" w:sz="0" w:space="0" w:color="auto"/>
            <w:bottom w:val="none" w:sz="0" w:space="0" w:color="auto"/>
            <w:right w:val="none" w:sz="0" w:space="0" w:color="auto"/>
          </w:divBdr>
        </w:div>
      </w:divsChild>
    </w:div>
    <w:div w:id="527260290">
      <w:bodyDiv w:val="1"/>
      <w:marLeft w:val="0"/>
      <w:marRight w:val="0"/>
      <w:marTop w:val="0"/>
      <w:marBottom w:val="0"/>
      <w:divBdr>
        <w:top w:val="none" w:sz="0" w:space="0" w:color="auto"/>
        <w:left w:val="none" w:sz="0" w:space="0" w:color="auto"/>
        <w:bottom w:val="none" w:sz="0" w:space="0" w:color="auto"/>
        <w:right w:val="none" w:sz="0" w:space="0" w:color="auto"/>
      </w:divBdr>
    </w:div>
    <w:div w:id="531578168">
      <w:bodyDiv w:val="1"/>
      <w:marLeft w:val="0"/>
      <w:marRight w:val="0"/>
      <w:marTop w:val="0"/>
      <w:marBottom w:val="0"/>
      <w:divBdr>
        <w:top w:val="none" w:sz="0" w:space="0" w:color="auto"/>
        <w:left w:val="none" w:sz="0" w:space="0" w:color="auto"/>
        <w:bottom w:val="none" w:sz="0" w:space="0" w:color="auto"/>
        <w:right w:val="none" w:sz="0" w:space="0" w:color="auto"/>
      </w:divBdr>
    </w:div>
    <w:div w:id="540174017">
      <w:bodyDiv w:val="1"/>
      <w:marLeft w:val="0"/>
      <w:marRight w:val="0"/>
      <w:marTop w:val="0"/>
      <w:marBottom w:val="0"/>
      <w:divBdr>
        <w:top w:val="none" w:sz="0" w:space="0" w:color="auto"/>
        <w:left w:val="none" w:sz="0" w:space="0" w:color="auto"/>
        <w:bottom w:val="none" w:sz="0" w:space="0" w:color="auto"/>
        <w:right w:val="none" w:sz="0" w:space="0" w:color="auto"/>
      </w:divBdr>
    </w:div>
    <w:div w:id="557132270">
      <w:bodyDiv w:val="1"/>
      <w:marLeft w:val="0"/>
      <w:marRight w:val="0"/>
      <w:marTop w:val="0"/>
      <w:marBottom w:val="0"/>
      <w:divBdr>
        <w:top w:val="none" w:sz="0" w:space="0" w:color="auto"/>
        <w:left w:val="none" w:sz="0" w:space="0" w:color="auto"/>
        <w:bottom w:val="none" w:sz="0" w:space="0" w:color="auto"/>
        <w:right w:val="none" w:sz="0" w:space="0" w:color="auto"/>
      </w:divBdr>
    </w:div>
    <w:div w:id="569273065">
      <w:bodyDiv w:val="1"/>
      <w:marLeft w:val="0"/>
      <w:marRight w:val="0"/>
      <w:marTop w:val="0"/>
      <w:marBottom w:val="0"/>
      <w:divBdr>
        <w:top w:val="none" w:sz="0" w:space="0" w:color="auto"/>
        <w:left w:val="none" w:sz="0" w:space="0" w:color="auto"/>
        <w:bottom w:val="none" w:sz="0" w:space="0" w:color="auto"/>
        <w:right w:val="none" w:sz="0" w:space="0" w:color="auto"/>
      </w:divBdr>
    </w:div>
    <w:div w:id="572279491">
      <w:bodyDiv w:val="1"/>
      <w:marLeft w:val="0"/>
      <w:marRight w:val="0"/>
      <w:marTop w:val="0"/>
      <w:marBottom w:val="0"/>
      <w:divBdr>
        <w:top w:val="none" w:sz="0" w:space="0" w:color="auto"/>
        <w:left w:val="none" w:sz="0" w:space="0" w:color="auto"/>
        <w:bottom w:val="none" w:sz="0" w:space="0" w:color="auto"/>
        <w:right w:val="none" w:sz="0" w:space="0" w:color="auto"/>
      </w:divBdr>
    </w:div>
    <w:div w:id="600529398">
      <w:bodyDiv w:val="1"/>
      <w:marLeft w:val="0"/>
      <w:marRight w:val="0"/>
      <w:marTop w:val="0"/>
      <w:marBottom w:val="0"/>
      <w:divBdr>
        <w:top w:val="none" w:sz="0" w:space="0" w:color="auto"/>
        <w:left w:val="none" w:sz="0" w:space="0" w:color="auto"/>
        <w:bottom w:val="none" w:sz="0" w:space="0" w:color="auto"/>
        <w:right w:val="none" w:sz="0" w:space="0" w:color="auto"/>
      </w:divBdr>
    </w:div>
    <w:div w:id="612400742">
      <w:bodyDiv w:val="1"/>
      <w:marLeft w:val="0"/>
      <w:marRight w:val="0"/>
      <w:marTop w:val="0"/>
      <w:marBottom w:val="0"/>
      <w:divBdr>
        <w:top w:val="none" w:sz="0" w:space="0" w:color="auto"/>
        <w:left w:val="none" w:sz="0" w:space="0" w:color="auto"/>
        <w:bottom w:val="none" w:sz="0" w:space="0" w:color="auto"/>
        <w:right w:val="none" w:sz="0" w:space="0" w:color="auto"/>
      </w:divBdr>
    </w:div>
    <w:div w:id="660550014">
      <w:bodyDiv w:val="1"/>
      <w:marLeft w:val="0"/>
      <w:marRight w:val="0"/>
      <w:marTop w:val="0"/>
      <w:marBottom w:val="0"/>
      <w:divBdr>
        <w:top w:val="none" w:sz="0" w:space="0" w:color="auto"/>
        <w:left w:val="none" w:sz="0" w:space="0" w:color="auto"/>
        <w:bottom w:val="none" w:sz="0" w:space="0" w:color="auto"/>
        <w:right w:val="none" w:sz="0" w:space="0" w:color="auto"/>
      </w:divBdr>
    </w:div>
    <w:div w:id="696277987">
      <w:bodyDiv w:val="1"/>
      <w:marLeft w:val="0"/>
      <w:marRight w:val="0"/>
      <w:marTop w:val="0"/>
      <w:marBottom w:val="0"/>
      <w:divBdr>
        <w:top w:val="none" w:sz="0" w:space="0" w:color="auto"/>
        <w:left w:val="none" w:sz="0" w:space="0" w:color="auto"/>
        <w:bottom w:val="none" w:sz="0" w:space="0" w:color="auto"/>
        <w:right w:val="none" w:sz="0" w:space="0" w:color="auto"/>
      </w:divBdr>
    </w:div>
    <w:div w:id="725950946">
      <w:bodyDiv w:val="1"/>
      <w:marLeft w:val="0"/>
      <w:marRight w:val="0"/>
      <w:marTop w:val="0"/>
      <w:marBottom w:val="0"/>
      <w:divBdr>
        <w:top w:val="none" w:sz="0" w:space="0" w:color="auto"/>
        <w:left w:val="none" w:sz="0" w:space="0" w:color="auto"/>
        <w:bottom w:val="none" w:sz="0" w:space="0" w:color="auto"/>
        <w:right w:val="none" w:sz="0" w:space="0" w:color="auto"/>
      </w:divBdr>
    </w:div>
    <w:div w:id="739795668">
      <w:bodyDiv w:val="1"/>
      <w:marLeft w:val="0"/>
      <w:marRight w:val="0"/>
      <w:marTop w:val="0"/>
      <w:marBottom w:val="0"/>
      <w:divBdr>
        <w:top w:val="none" w:sz="0" w:space="0" w:color="auto"/>
        <w:left w:val="none" w:sz="0" w:space="0" w:color="auto"/>
        <w:bottom w:val="none" w:sz="0" w:space="0" w:color="auto"/>
        <w:right w:val="none" w:sz="0" w:space="0" w:color="auto"/>
      </w:divBdr>
    </w:div>
    <w:div w:id="782652029">
      <w:bodyDiv w:val="1"/>
      <w:marLeft w:val="0"/>
      <w:marRight w:val="0"/>
      <w:marTop w:val="0"/>
      <w:marBottom w:val="0"/>
      <w:divBdr>
        <w:top w:val="none" w:sz="0" w:space="0" w:color="auto"/>
        <w:left w:val="none" w:sz="0" w:space="0" w:color="auto"/>
        <w:bottom w:val="none" w:sz="0" w:space="0" w:color="auto"/>
        <w:right w:val="none" w:sz="0" w:space="0" w:color="auto"/>
      </w:divBdr>
    </w:div>
    <w:div w:id="834762471">
      <w:bodyDiv w:val="1"/>
      <w:marLeft w:val="0"/>
      <w:marRight w:val="0"/>
      <w:marTop w:val="0"/>
      <w:marBottom w:val="0"/>
      <w:divBdr>
        <w:top w:val="none" w:sz="0" w:space="0" w:color="auto"/>
        <w:left w:val="none" w:sz="0" w:space="0" w:color="auto"/>
        <w:bottom w:val="none" w:sz="0" w:space="0" w:color="auto"/>
        <w:right w:val="none" w:sz="0" w:space="0" w:color="auto"/>
      </w:divBdr>
    </w:div>
    <w:div w:id="874348528">
      <w:bodyDiv w:val="1"/>
      <w:marLeft w:val="0"/>
      <w:marRight w:val="0"/>
      <w:marTop w:val="0"/>
      <w:marBottom w:val="0"/>
      <w:divBdr>
        <w:top w:val="none" w:sz="0" w:space="0" w:color="auto"/>
        <w:left w:val="none" w:sz="0" w:space="0" w:color="auto"/>
        <w:bottom w:val="none" w:sz="0" w:space="0" w:color="auto"/>
        <w:right w:val="none" w:sz="0" w:space="0" w:color="auto"/>
      </w:divBdr>
    </w:div>
    <w:div w:id="885990257">
      <w:bodyDiv w:val="1"/>
      <w:marLeft w:val="0"/>
      <w:marRight w:val="0"/>
      <w:marTop w:val="0"/>
      <w:marBottom w:val="0"/>
      <w:divBdr>
        <w:top w:val="none" w:sz="0" w:space="0" w:color="auto"/>
        <w:left w:val="none" w:sz="0" w:space="0" w:color="auto"/>
        <w:bottom w:val="none" w:sz="0" w:space="0" w:color="auto"/>
        <w:right w:val="none" w:sz="0" w:space="0" w:color="auto"/>
      </w:divBdr>
    </w:div>
    <w:div w:id="886797973">
      <w:bodyDiv w:val="1"/>
      <w:marLeft w:val="0"/>
      <w:marRight w:val="0"/>
      <w:marTop w:val="0"/>
      <w:marBottom w:val="0"/>
      <w:divBdr>
        <w:top w:val="none" w:sz="0" w:space="0" w:color="auto"/>
        <w:left w:val="none" w:sz="0" w:space="0" w:color="auto"/>
        <w:bottom w:val="none" w:sz="0" w:space="0" w:color="auto"/>
        <w:right w:val="none" w:sz="0" w:space="0" w:color="auto"/>
      </w:divBdr>
    </w:div>
    <w:div w:id="928587711">
      <w:bodyDiv w:val="1"/>
      <w:marLeft w:val="0"/>
      <w:marRight w:val="0"/>
      <w:marTop w:val="0"/>
      <w:marBottom w:val="0"/>
      <w:divBdr>
        <w:top w:val="none" w:sz="0" w:space="0" w:color="auto"/>
        <w:left w:val="none" w:sz="0" w:space="0" w:color="auto"/>
        <w:bottom w:val="none" w:sz="0" w:space="0" w:color="auto"/>
        <w:right w:val="none" w:sz="0" w:space="0" w:color="auto"/>
      </w:divBdr>
    </w:div>
    <w:div w:id="960265669">
      <w:bodyDiv w:val="1"/>
      <w:marLeft w:val="0"/>
      <w:marRight w:val="0"/>
      <w:marTop w:val="0"/>
      <w:marBottom w:val="0"/>
      <w:divBdr>
        <w:top w:val="none" w:sz="0" w:space="0" w:color="auto"/>
        <w:left w:val="none" w:sz="0" w:space="0" w:color="auto"/>
        <w:bottom w:val="none" w:sz="0" w:space="0" w:color="auto"/>
        <w:right w:val="none" w:sz="0" w:space="0" w:color="auto"/>
      </w:divBdr>
      <w:divsChild>
        <w:div w:id="157699650">
          <w:marLeft w:val="0"/>
          <w:marRight w:val="0"/>
          <w:marTop w:val="0"/>
          <w:marBottom w:val="0"/>
          <w:divBdr>
            <w:top w:val="none" w:sz="0" w:space="0" w:color="auto"/>
            <w:left w:val="none" w:sz="0" w:space="0" w:color="auto"/>
            <w:bottom w:val="none" w:sz="0" w:space="0" w:color="auto"/>
            <w:right w:val="none" w:sz="0" w:space="0" w:color="auto"/>
          </w:divBdr>
          <w:divsChild>
            <w:div w:id="143794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615117">
      <w:bodyDiv w:val="1"/>
      <w:marLeft w:val="0"/>
      <w:marRight w:val="0"/>
      <w:marTop w:val="0"/>
      <w:marBottom w:val="0"/>
      <w:divBdr>
        <w:top w:val="none" w:sz="0" w:space="0" w:color="auto"/>
        <w:left w:val="none" w:sz="0" w:space="0" w:color="auto"/>
        <w:bottom w:val="none" w:sz="0" w:space="0" w:color="auto"/>
        <w:right w:val="none" w:sz="0" w:space="0" w:color="auto"/>
      </w:divBdr>
    </w:div>
    <w:div w:id="967391089">
      <w:bodyDiv w:val="1"/>
      <w:marLeft w:val="0"/>
      <w:marRight w:val="0"/>
      <w:marTop w:val="0"/>
      <w:marBottom w:val="0"/>
      <w:divBdr>
        <w:top w:val="none" w:sz="0" w:space="0" w:color="auto"/>
        <w:left w:val="none" w:sz="0" w:space="0" w:color="auto"/>
        <w:bottom w:val="none" w:sz="0" w:space="0" w:color="auto"/>
        <w:right w:val="none" w:sz="0" w:space="0" w:color="auto"/>
      </w:divBdr>
    </w:div>
    <w:div w:id="1005862872">
      <w:bodyDiv w:val="1"/>
      <w:marLeft w:val="0"/>
      <w:marRight w:val="0"/>
      <w:marTop w:val="0"/>
      <w:marBottom w:val="0"/>
      <w:divBdr>
        <w:top w:val="none" w:sz="0" w:space="0" w:color="auto"/>
        <w:left w:val="none" w:sz="0" w:space="0" w:color="auto"/>
        <w:bottom w:val="none" w:sz="0" w:space="0" w:color="auto"/>
        <w:right w:val="none" w:sz="0" w:space="0" w:color="auto"/>
      </w:divBdr>
    </w:div>
    <w:div w:id="1008599725">
      <w:bodyDiv w:val="1"/>
      <w:marLeft w:val="0"/>
      <w:marRight w:val="0"/>
      <w:marTop w:val="0"/>
      <w:marBottom w:val="0"/>
      <w:divBdr>
        <w:top w:val="none" w:sz="0" w:space="0" w:color="auto"/>
        <w:left w:val="none" w:sz="0" w:space="0" w:color="auto"/>
        <w:bottom w:val="none" w:sz="0" w:space="0" w:color="auto"/>
        <w:right w:val="none" w:sz="0" w:space="0" w:color="auto"/>
      </w:divBdr>
    </w:div>
    <w:div w:id="1039889826">
      <w:bodyDiv w:val="1"/>
      <w:marLeft w:val="0"/>
      <w:marRight w:val="0"/>
      <w:marTop w:val="0"/>
      <w:marBottom w:val="0"/>
      <w:divBdr>
        <w:top w:val="none" w:sz="0" w:space="0" w:color="auto"/>
        <w:left w:val="none" w:sz="0" w:space="0" w:color="auto"/>
        <w:bottom w:val="none" w:sz="0" w:space="0" w:color="auto"/>
        <w:right w:val="none" w:sz="0" w:space="0" w:color="auto"/>
      </w:divBdr>
    </w:div>
    <w:div w:id="1044906637">
      <w:bodyDiv w:val="1"/>
      <w:marLeft w:val="0"/>
      <w:marRight w:val="0"/>
      <w:marTop w:val="0"/>
      <w:marBottom w:val="0"/>
      <w:divBdr>
        <w:top w:val="none" w:sz="0" w:space="0" w:color="auto"/>
        <w:left w:val="none" w:sz="0" w:space="0" w:color="auto"/>
        <w:bottom w:val="none" w:sz="0" w:space="0" w:color="auto"/>
        <w:right w:val="none" w:sz="0" w:space="0" w:color="auto"/>
      </w:divBdr>
    </w:div>
    <w:div w:id="1047993166">
      <w:bodyDiv w:val="1"/>
      <w:marLeft w:val="0"/>
      <w:marRight w:val="0"/>
      <w:marTop w:val="0"/>
      <w:marBottom w:val="0"/>
      <w:divBdr>
        <w:top w:val="none" w:sz="0" w:space="0" w:color="auto"/>
        <w:left w:val="none" w:sz="0" w:space="0" w:color="auto"/>
        <w:bottom w:val="none" w:sz="0" w:space="0" w:color="auto"/>
        <w:right w:val="none" w:sz="0" w:space="0" w:color="auto"/>
      </w:divBdr>
    </w:div>
    <w:div w:id="1050612787">
      <w:bodyDiv w:val="1"/>
      <w:marLeft w:val="0"/>
      <w:marRight w:val="0"/>
      <w:marTop w:val="0"/>
      <w:marBottom w:val="0"/>
      <w:divBdr>
        <w:top w:val="none" w:sz="0" w:space="0" w:color="auto"/>
        <w:left w:val="none" w:sz="0" w:space="0" w:color="auto"/>
        <w:bottom w:val="none" w:sz="0" w:space="0" w:color="auto"/>
        <w:right w:val="none" w:sz="0" w:space="0" w:color="auto"/>
      </w:divBdr>
    </w:div>
    <w:div w:id="1064327722">
      <w:bodyDiv w:val="1"/>
      <w:marLeft w:val="0"/>
      <w:marRight w:val="0"/>
      <w:marTop w:val="0"/>
      <w:marBottom w:val="0"/>
      <w:divBdr>
        <w:top w:val="none" w:sz="0" w:space="0" w:color="auto"/>
        <w:left w:val="none" w:sz="0" w:space="0" w:color="auto"/>
        <w:bottom w:val="none" w:sz="0" w:space="0" w:color="auto"/>
        <w:right w:val="none" w:sz="0" w:space="0" w:color="auto"/>
      </w:divBdr>
    </w:div>
    <w:div w:id="1077824684">
      <w:bodyDiv w:val="1"/>
      <w:marLeft w:val="0"/>
      <w:marRight w:val="0"/>
      <w:marTop w:val="0"/>
      <w:marBottom w:val="0"/>
      <w:divBdr>
        <w:top w:val="none" w:sz="0" w:space="0" w:color="auto"/>
        <w:left w:val="none" w:sz="0" w:space="0" w:color="auto"/>
        <w:bottom w:val="none" w:sz="0" w:space="0" w:color="auto"/>
        <w:right w:val="none" w:sz="0" w:space="0" w:color="auto"/>
      </w:divBdr>
    </w:div>
    <w:div w:id="1100641845">
      <w:bodyDiv w:val="1"/>
      <w:marLeft w:val="0"/>
      <w:marRight w:val="0"/>
      <w:marTop w:val="0"/>
      <w:marBottom w:val="0"/>
      <w:divBdr>
        <w:top w:val="none" w:sz="0" w:space="0" w:color="auto"/>
        <w:left w:val="none" w:sz="0" w:space="0" w:color="auto"/>
        <w:bottom w:val="none" w:sz="0" w:space="0" w:color="auto"/>
        <w:right w:val="none" w:sz="0" w:space="0" w:color="auto"/>
      </w:divBdr>
    </w:div>
    <w:div w:id="1129739555">
      <w:bodyDiv w:val="1"/>
      <w:marLeft w:val="0"/>
      <w:marRight w:val="0"/>
      <w:marTop w:val="0"/>
      <w:marBottom w:val="0"/>
      <w:divBdr>
        <w:top w:val="none" w:sz="0" w:space="0" w:color="auto"/>
        <w:left w:val="none" w:sz="0" w:space="0" w:color="auto"/>
        <w:bottom w:val="none" w:sz="0" w:space="0" w:color="auto"/>
        <w:right w:val="none" w:sz="0" w:space="0" w:color="auto"/>
      </w:divBdr>
    </w:div>
    <w:div w:id="1155997180">
      <w:bodyDiv w:val="1"/>
      <w:marLeft w:val="0"/>
      <w:marRight w:val="0"/>
      <w:marTop w:val="0"/>
      <w:marBottom w:val="0"/>
      <w:divBdr>
        <w:top w:val="none" w:sz="0" w:space="0" w:color="auto"/>
        <w:left w:val="none" w:sz="0" w:space="0" w:color="auto"/>
        <w:bottom w:val="none" w:sz="0" w:space="0" w:color="auto"/>
        <w:right w:val="none" w:sz="0" w:space="0" w:color="auto"/>
      </w:divBdr>
    </w:div>
    <w:div w:id="1193956612">
      <w:bodyDiv w:val="1"/>
      <w:marLeft w:val="0"/>
      <w:marRight w:val="0"/>
      <w:marTop w:val="0"/>
      <w:marBottom w:val="0"/>
      <w:divBdr>
        <w:top w:val="none" w:sz="0" w:space="0" w:color="auto"/>
        <w:left w:val="none" w:sz="0" w:space="0" w:color="auto"/>
        <w:bottom w:val="none" w:sz="0" w:space="0" w:color="auto"/>
        <w:right w:val="none" w:sz="0" w:space="0" w:color="auto"/>
      </w:divBdr>
    </w:div>
    <w:div w:id="1194808878">
      <w:bodyDiv w:val="1"/>
      <w:marLeft w:val="0"/>
      <w:marRight w:val="0"/>
      <w:marTop w:val="0"/>
      <w:marBottom w:val="0"/>
      <w:divBdr>
        <w:top w:val="none" w:sz="0" w:space="0" w:color="auto"/>
        <w:left w:val="none" w:sz="0" w:space="0" w:color="auto"/>
        <w:bottom w:val="none" w:sz="0" w:space="0" w:color="auto"/>
        <w:right w:val="none" w:sz="0" w:space="0" w:color="auto"/>
      </w:divBdr>
    </w:div>
    <w:div w:id="1222250180">
      <w:bodyDiv w:val="1"/>
      <w:marLeft w:val="0"/>
      <w:marRight w:val="0"/>
      <w:marTop w:val="0"/>
      <w:marBottom w:val="0"/>
      <w:divBdr>
        <w:top w:val="none" w:sz="0" w:space="0" w:color="auto"/>
        <w:left w:val="none" w:sz="0" w:space="0" w:color="auto"/>
        <w:bottom w:val="none" w:sz="0" w:space="0" w:color="auto"/>
        <w:right w:val="none" w:sz="0" w:space="0" w:color="auto"/>
      </w:divBdr>
    </w:div>
    <w:div w:id="1229803364">
      <w:bodyDiv w:val="1"/>
      <w:marLeft w:val="0"/>
      <w:marRight w:val="0"/>
      <w:marTop w:val="0"/>
      <w:marBottom w:val="0"/>
      <w:divBdr>
        <w:top w:val="none" w:sz="0" w:space="0" w:color="auto"/>
        <w:left w:val="none" w:sz="0" w:space="0" w:color="auto"/>
        <w:bottom w:val="none" w:sz="0" w:space="0" w:color="auto"/>
        <w:right w:val="none" w:sz="0" w:space="0" w:color="auto"/>
      </w:divBdr>
    </w:div>
    <w:div w:id="1246845314">
      <w:bodyDiv w:val="1"/>
      <w:marLeft w:val="0"/>
      <w:marRight w:val="0"/>
      <w:marTop w:val="0"/>
      <w:marBottom w:val="0"/>
      <w:divBdr>
        <w:top w:val="none" w:sz="0" w:space="0" w:color="auto"/>
        <w:left w:val="none" w:sz="0" w:space="0" w:color="auto"/>
        <w:bottom w:val="none" w:sz="0" w:space="0" w:color="auto"/>
        <w:right w:val="none" w:sz="0" w:space="0" w:color="auto"/>
      </w:divBdr>
    </w:div>
    <w:div w:id="1256551066">
      <w:bodyDiv w:val="1"/>
      <w:marLeft w:val="0"/>
      <w:marRight w:val="0"/>
      <w:marTop w:val="0"/>
      <w:marBottom w:val="0"/>
      <w:divBdr>
        <w:top w:val="none" w:sz="0" w:space="0" w:color="auto"/>
        <w:left w:val="none" w:sz="0" w:space="0" w:color="auto"/>
        <w:bottom w:val="none" w:sz="0" w:space="0" w:color="auto"/>
        <w:right w:val="none" w:sz="0" w:space="0" w:color="auto"/>
      </w:divBdr>
    </w:div>
    <w:div w:id="1273394555">
      <w:bodyDiv w:val="1"/>
      <w:marLeft w:val="0"/>
      <w:marRight w:val="0"/>
      <w:marTop w:val="0"/>
      <w:marBottom w:val="0"/>
      <w:divBdr>
        <w:top w:val="none" w:sz="0" w:space="0" w:color="auto"/>
        <w:left w:val="none" w:sz="0" w:space="0" w:color="auto"/>
        <w:bottom w:val="none" w:sz="0" w:space="0" w:color="auto"/>
        <w:right w:val="none" w:sz="0" w:space="0" w:color="auto"/>
      </w:divBdr>
    </w:div>
    <w:div w:id="1309941774">
      <w:bodyDiv w:val="1"/>
      <w:marLeft w:val="0"/>
      <w:marRight w:val="0"/>
      <w:marTop w:val="0"/>
      <w:marBottom w:val="0"/>
      <w:divBdr>
        <w:top w:val="none" w:sz="0" w:space="0" w:color="auto"/>
        <w:left w:val="none" w:sz="0" w:space="0" w:color="auto"/>
        <w:bottom w:val="none" w:sz="0" w:space="0" w:color="auto"/>
        <w:right w:val="none" w:sz="0" w:space="0" w:color="auto"/>
      </w:divBdr>
    </w:div>
    <w:div w:id="1319069367">
      <w:bodyDiv w:val="1"/>
      <w:marLeft w:val="0"/>
      <w:marRight w:val="0"/>
      <w:marTop w:val="0"/>
      <w:marBottom w:val="0"/>
      <w:divBdr>
        <w:top w:val="none" w:sz="0" w:space="0" w:color="auto"/>
        <w:left w:val="none" w:sz="0" w:space="0" w:color="auto"/>
        <w:bottom w:val="none" w:sz="0" w:space="0" w:color="auto"/>
        <w:right w:val="none" w:sz="0" w:space="0" w:color="auto"/>
      </w:divBdr>
    </w:div>
    <w:div w:id="1336497469">
      <w:bodyDiv w:val="1"/>
      <w:marLeft w:val="0"/>
      <w:marRight w:val="0"/>
      <w:marTop w:val="0"/>
      <w:marBottom w:val="0"/>
      <w:divBdr>
        <w:top w:val="none" w:sz="0" w:space="0" w:color="auto"/>
        <w:left w:val="none" w:sz="0" w:space="0" w:color="auto"/>
        <w:bottom w:val="none" w:sz="0" w:space="0" w:color="auto"/>
        <w:right w:val="none" w:sz="0" w:space="0" w:color="auto"/>
      </w:divBdr>
    </w:div>
    <w:div w:id="1352028698">
      <w:bodyDiv w:val="1"/>
      <w:marLeft w:val="0"/>
      <w:marRight w:val="0"/>
      <w:marTop w:val="0"/>
      <w:marBottom w:val="0"/>
      <w:divBdr>
        <w:top w:val="none" w:sz="0" w:space="0" w:color="auto"/>
        <w:left w:val="none" w:sz="0" w:space="0" w:color="auto"/>
        <w:bottom w:val="none" w:sz="0" w:space="0" w:color="auto"/>
        <w:right w:val="none" w:sz="0" w:space="0" w:color="auto"/>
      </w:divBdr>
    </w:div>
    <w:div w:id="1367605553">
      <w:bodyDiv w:val="1"/>
      <w:marLeft w:val="0"/>
      <w:marRight w:val="0"/>
      <w:marTop w:val="0"/>
      <w:marBottom w:val="0"/>
      <w:divBdr>
        <w:top w:val="none" w:sz="0" w:space="0" w:color="auto"/>
        <w:left w:val="none" w:sz="0" w:space="0" w:color="auto"/>
        <w:bottom w:val="none" w:sz="0" w:space="0" w:color="auto"/>
        <w:right w:val="none" w:sz="0" w:space="0" w:color="auto"/>
      </w:divBdr>
    </w:div>
    <w:div w:id="1377698766">
      <w:bodyDiv w:val="1"/>
      <w:marLeft w:val="0"/>
      <w:marRight w:val="0"/>
      <w:marTop w:val="0"/>
      <w:marBottom w:val="0"/>
      <w:divBdr>
        <w:top w:val="none" w:sz="0" w:space="0" w:color="auto"/>
        <w:left w:val="none" w:sz="0" w:space="0" w:color="auto"/>
        <w:bottom w:val="none" w:sz="0" w:space="0" w:color="auto"/>
        <w:right w:val="none" w:sz="0" w:space="0" w:color="auto"/>
      </w:divBdr>
    </w:div>
    <w:div w:id="1420177192">
      <w:bodyDiv w:val="1"/>
      <w:marLeft w:val="0"/>
      <w:marRight w:val="0"/>
      <w:marTop w:val="0"/>
      <w:marBottom w:val="0"/>
      <w:divBdr>
        <w:top w:val="none" w:sz="0" w:space="0" w:color="auto"/>
        <w:left w:val="none" w:sz="0" w:space="0" w:color="auto"/>
        <w:bottom w:val="none" w:sz="0" w:space="0" w:color="auto"/>
        <w:right w:val="none" w:sz="0" w:space="0" w:color="auto"/>
      </w:divBdr>
    </w:div>
    <w:div w:id="1466124211">
      <w:bodyDiv w:val="1"/>
      <w:marLeft w:val="0"/>
      <w:marRight w:val="0"/>
      <w:marTop w:val="0"/>
      <w:marBottom w:val="0"/>
      <w:divBdr>
        <w:top w:val="none" w:sz="0" w:space="0" w:color="auto"/>
        <w:left w:val="none" w:sz="0" w:space="0" w:color="auto"/>
        <w:bottom w:val="none" w:sz="0" w:space="0" w:color="auto"/>
        <w:right w:val="none" w:sz="0" w:space="0" w:color="auto"/>
      </w:divBdr>
    </w:div>
    <w:div w:id="1473446181">
      <w:bodyDiv w:val="1"/>
      <w:marLeft w:val="0"/>
      <w:marRight w:val="0"/>
      <w:marTop w:val="0"/>
      <w:marBottom w:val="0"/>
      <w:divBdr>
        <w:top w:val="none" w:sz="0" w:space="0" w:color="auto"/>
        <w:left w:val="none" w:sz="0" w:space="0" w:color="auto"/>
        <w:bottom w:val="none" w:sz="0" w:space="0" w:color="auto"/>
        <w:right w:val="none" w:sz="0" w:space="0" w:color="auto"/>
      </w:divBdr>
    </w:div>
    <w:div w:id="1499928079">
      <w:bodyDiv w:val="1"/>
      <w:marLeft w:val="0"/>
      <w:marRight w:val="0"/>
      <w:marTop w:val="0"/>
      <w:marBottom w:val="0"/>
      <w:divBdr>
        <w:top w:val="none" w:sz="0" w:space="0" w:color="auto"/>
        <w:left w:val="none" w:sz="0" w:space="0" w:color="auto"/>
        <w:bottom w:val="none" w:sz="0" w:space="0" w:color="auto"/>
        <w:right w:val="none" w:sz="0" w:space="0" w:color="auto"/>
      </w:divBdr>
    </w:div>
    <w:div w:id="1529442372">
      <w:bodyDiv w:val="1"/>
      <w:marLeft w:val="0"/>
      <w:marRight w:val="0"/>
      <w:marTop w:val="0"/>
      <w:marBottom w:val="0"/>
      <w:divBdr>
        <w:top w:val="none" w:sz="0" w:space="0" w:color="auto"/>
        <w:left w:val="none" w:sz="0" w:space="0" w:color="auto"/>
        <w:bottom w:val="none" w:sz="0" w:space="0" w:color="auto"/>
        <w:right w:val="none" w:sz="0" w:space="0" w:color="auto"/>
      </w:divBdr>
    </w:div>
    <w:div w:id="1537965943">
      <w:bodyDiv w:val="1"/>
      <w:marLeft w:val="0"/>
      <w:marRight w:val="0"/>
      <w:marTop w:val="0"/>
      <w:marBottom w:val="0"/>
      <w:divBdr>
        <w:top w:val="none" w:sz="0" w:space="0" w:color="auto"/>
        <w:left w:val="none" w:sz="0" w:space="0" w:color="auto"/>
        <w:bottom w:val="none" w:sz="0" w:space="0" w:color="auto"/>
        <w:right w:val="none" w:sz="0" w:space="0" w:color="auto"/>
      </w:divBdr>
    </w:div>
    <w:div w:id="1556433658">
      <w:bodyDiv w:val="1"/>
      <w:marLeft w:val="0"/>
      <w:marRight w:val="0"/>
      <w:marTop w:val="0"/>
      <w:marBottom w:val="0"/>
      <w:divBdr>
        <w:top w:val="none" w:sz="0" w:space="0" w:color="auto"/>
        <w:left w:val="none" w:sz="0" w:space="0" w:color="auto"/>
        <w:bottom w:val="none" w:sz="0" w:space="0" w:color="auto"/>
        <w:right w:val="none" w:sz="0" w:space="0" w:color="auto"/>
      </w:divBdr>
    </w:div>
    <w:div w:id="1597637457">
      <w:bodyDiv w:val="1"/>
      <w:marLeft w:val="0"/>
      <w:marRight w:val="0"/>
      <w:marTop w:val="0"/>
      <w:marBottom w:val="0"/>
      <w:divBdr>
        <w:top w:val="none" w:sz="0" w:space="0" w:color="auto"/>
        <w:left w:val="none" w:sz="0" w:space="0" w:color="auto"/>
        <w:bottom w:val="none" w:sz="0" w:space="0" w:color="auto"/>
        <w:right w:val="none" w:sz="0" w:space="0" w:color="auto"/>
      </w:divBdr>
    </w:div>
    <w:div w:id="1600604473">
      <w:bodyDiv w:val="1"/>
      <w:marLeft w:val="0"/>
      <w:marRight w:val="0"/>
      <w:marTop w:val="0"/>
      <w:marBottom w:val="0"/>
      <w:divBdr>
        <w:top w:val="none" w:sz="0" w:space="0" w:color="auto"/>
        <w:left w:val="none" w:sz="0" w:space="0" w:color="auto"/>
        <w:bottom w:val="none" w:sz="0" w:space="0" w:color="auto"/>
        <w:right w:val="none" w:sz="0" w:space="0" w:color="auto"/>
      </w:divBdr>
    </w:div>
    <w:div w:id="1633560925">
      <w:bodyDiv w:val="1"/>
      <w:marLeft w:val="0"/>
      <w:marRight w:val="0"/>
      <w:marTop w:val="0"/>
      <w:marBottom w:val="0"/>
      <w:divBdr>
        <w:top w:val="none" w:sz="0" w:space="0" w:color="auto"/>
        <w:left w:val="none" w:sz="0" w:space="0" w:color="auto"/>
        <w:bottom w:val="none" w:sz="0" w:space="0" w:color="auto"/>
        <w:right w:val="none" w:sz="0" w:space="0" w:color="auto"/>
      </w:divBdr>
      <w:divsChild>
        <w:div w:id="35735610">
          <w:marLeft w:val="0"/>
          <w:marRight w:val="0"/>
          <w:marTop w:val="0"/>
          <w:marBottom w:val="0"/>
          <w:divBdr>
            <w:top w:val="none" w:sz="0" w:space="0" w:color="auto"/>
            <w:left w:val="none" w:sz="0" w:space="0" w:color="auto"/>
            <w:bottom w:val="none" w:sz="0" w:space="0" w:color="auto"/>
            <w:right w:val="none" w:sz="0" w:space="0" w:color="auto"/>
          </w:divBdr>
        </w:div>
        <w:div w:id="51000756">
          <w:marLeft w:val="0"/>
          <w:marRight w:val="0"/>
          <w:marTop w:val="0"/>
          <w:marBottom w:val="0"/>
          <w:divBdr>
            <w:top w:val="none" w:sz="0" w:space="0" w:color="auto"/>
            <w:left w:val="none" w:sz="0" w:space="0" w:color="auto"/>
            <w:bottom w:val="none" w:sz="0" w:space="0" w:color="auto"/>
            <w:right w:val="none" w:sz="0" w:space="0" w:color="auto"/>
          </w:divBdr>
        </w:div>
        <w:div w:id="52045169">
          <w:marLeft w:val="0"/>
          <w:marRight w:val="0"/>
          <w:marTop w:val="0"/>
          <w:marBottom w:val="0"/>
          <w:divBdr>
            <w:top w:val="none" w:sz="0" w:space="0" w:color="auto"/>
            <w:left w:val="none" w:sz="0" w:space="0" w:color="auto"/>
            <w:bottom w:val="none" w:sz="0" w:space="0" w:color="auto"/>
            <w:right w:val="none" w:sz="0" w:space="0" w:color="auto"/>
          </w:divBdr>
        </w:div>
        <w:div w:id="155001549">
          <w:marLeft w:val="0"/>
          <w:marRight w:val="0"/>
          <w:marTop w:val="0"/>
          <w:marBottom w:val="0"/>
          <w:divBdr>
            <w:top w:val="none" w:sz="0" w:space="0" w:color="auto"/>
            <w:left w:val="none" w:sz="0" w:space="0" w:color="auto"/>
            <w:bottom w:val="none" w:sz="0" w:space="0" w:color="auto"/>
            <w:right w:val="none" w:sz="0" w:space="0" w:color="auto"/>
          </w:divBdr>
        </w:div>
        <w:div w:id="162281827">
          <w:marLeft w:val="0"/>
          <w:marRight w:val="0"/>
          <w:marTop w:val="0"/>
          <w:marBottom w:val="0"/>
          <w:divBdr>
            <w:top w:val="none" w:sz="0" w:space="0" w:color="auto"/>
            <w:left w:val="none" w:sz="0" w:space="0" w:color="auto"/>
            <w:bottom w:val="none" w:sz="0" w:space="0" w:color="auto"/>
            <w:right w:val="none" w:sz="0" w:space="0" w:color="auto"/>
          </w:divBdr>
        </w:div>
        <w:div w:id="176700899">
          <w:marLeft w:val="0"/>
          <w:marRight w:val="0"/>
          <w:marTop w:val="0"/>
          <w:marBottom w:val="0"/>
          <w:divBdr>
            <w:top w:val="none" w:sz="0" w:space="0" w:color="auto"/>
            <w:left w:val="none" w:sz="0" w:space="0" w:color="auto"/>
            <w:bottom w:val="none" w:sz="0" w:space="0" w:color="auto"/>
            <w:right w:val="none" w:sz="0" w:space="0" w:color="auto"/>
          </w:divBdr>
        </w:div>
        <w:div w:id="278689046">
          <w:marLeft w:val="0"/>
          <w:marRight w:val="0"/>
          <w:marTop w:val="0"/>
          <w:marBottom w:val="0"/>
          <w:divBdr>
            <w:top w:val="none" w:sz="0" w:space="0" w:color="auto"/>
            <w:left w:val="none" w:sz="0" w:space="0" w:color="auto"/>
            <w:bottom w:val="none" w:sz="0" w:space="0" w:color="auto"/>
            <w:right w:val="none" w:sz="0" w:space="0" w:color="auto"/>
          </w:divBdr>
        </w:div>
        <w:div w:id="339084675">
          <w:marLeft w:val="0"/>
          <w:marRight w:val="0"/>
          <w:marTop w:val="0"/>
          <w:marBottom w:val="0"/>
          <w:divBdr>
            <w:top w:val="none" w:sz="0" w:space="0" w:color="auto"/>
            <w:left w:val="none" w:sz="0" w:space="0" w:color="auto"/>
            <w:bottom w:val="none" w:sz="0" w:space="0" w:color="auto"/>
            <w:right w:val="none" w:sz="0" w:space="0" w:color="auto"/>
          </w:divBdr>
        </w:div>
        <w:div w:id="426001545">
          <w:marLeft w:val="0"/>
          <w:marRight w:val="0"/>
          <w:marTop w:val="0"/>
          <w:marBottom w:val="0"/>
          <w:divBdr>
            <w:top w:val="none" w:sz="0" w:space="0" w:color="auto"/>
            <w:left w:val="none" w:sz="0" w:space="0" w:color="auto"/>
            <w:bottom w:val="none" w:sz="0" w:space="0" w:color="auto"/>
            <w:right w:val="none" w:sz="0" w:space="0" w:color="auto"/>
          </w:divBdr>
        </w:div>
        <w:div w:id="438913445">
          <w:marLeft w:val="0"/>
          <w:marRight w:val="0"/>
          <w:marTop w:val="0"/>
          <w:marBottom w:val="0"/>
          <w:divBdr>
            <w:top w:val="none" w:sz="0" w:space="0" w:color="auto"/>
            <w:left w:val="none" w:sz="0" w:space="0" w:color="auto"/>
            <w:bottom w:val="none" w:sz="0" w:space="0" w:color="auto"/>
            <w:right w:val="none" w:sz="0" w:space="0" w:color="auto"/>
          </w:divBdr>
        </w:div>
        <w:div w:id="468516918">
          <w:marLeft w:val="0"/>
          <w:marRight w:val="0"/>
          <w:marTop w:val="0"/>
          <w:marBottom w:val="0"/>
          <w:divBdr>
            <w:top w:val="none" w:sz="0" w:space="0" w:color="auto"/>
            <w:left w:val="none" w:sz="0" w:space="0" w:color="auto"/>
            <w:bottom w:val="none" w:sz="0" w:space="0" w:color="auto"/>
            <w:right w:val="none" w:sz="0" w:space="0" w:color="auto"/>
          </w:divBdr>
        </w:div>
        <w:div w:id="540021934">
          <w:marLeft w:val="0"/>
          <w:marRight w:val="0"/>
          <w:marTop w:val="0"/>
          <w:marBottom w:val="0"/>
          <w:divBdr>
            <w:top w:val="none" w:sz="0" w:space="0" w:color="auto"/>
            <w:left w:val="none" w:sz="0" w:space="0" w:color="auto"/>
            <w:bottom w:val="none" w:sz="0" w:space="0" w:color="auto"/>
            <w:right w:val="none" w:sz="0" w:space="0" w:color="auto"/>
          </w:divBdr>
        </w:div>
        <w:div w:id="567351727">
          <w:marLeft w:val="0"/>
          <w:marRight w:val="0"/>
          <w:marTop w:val="0"/>
          <w:marBottom w:val="0"/>
          <w:divBdr>
            <w:top w:val="none" w:sz="0" w:space="0" w:color="auto"/>
            <w:left w:val="none" w:sz="0" w:space="0" w:color="auto"/>
            <w:bottom w:val="none" w:sz="0" w:space="0" w:color="auto"/>
            <w:right w:val="none" w:sz="0" w:space="0" w:color="auto"/>
          </w:divBdr>
        </w:div>
        <w:div w:id="654070716">
          <w:marLeft w:val="0"/>
          <w:marRight w:val="0"/>
          <w:marTop w:val="0"/>
          <w:marBottom w:val="0"/>
          <w:divBdr>
            <w:top w:val="none" w:sz="0" w:space="0" w:color="auto"/>
            <w:left w:val="none" w:sz="0" w:space="0" w:color="auto"/>
            <w:bottom w:val="none" w:sz="0" w:space="0" w:color="auto"/>
            <w:right w:val="none" w:sz="0" w:space="0" w:color="auto"/>
          </w:divBdr>
        </w:div>
        <w:div w:id="692655151">
          <w:marLeft w:val="0"/>
          <w:marRight w:val="0"/>
          <w:marTop w:val="0"/>
          <w:marBottom w:val="0"/>
          <w:divBdr>
            <w:top w:val="none" w:sz="0" w:space="0" w:color="auto"/>
            <w:left w:val="none" w:sz="0" w:space="0" w:color="auto"/>
            <w:bottom w:val="none" w:sz="0" w:space="0" w:color="auto"/>
            <w:right w:val="none" w:sz="0" w:space="0" w:color="auto"/>
          </w:divBdr>
        </w:div>
        <w:div w:id="775831420">
          <w:marLeft w:val="0"/>
          <w:marRight w:val="0"/>
          <w:marTop w:val="0"/>
          <w:marBottom w:val="0"/>
          <w:divBdr>
            <w:top w:val="none" w:sz="0" w:space="0" w:color="auto"/>
            <w:left w:val="none" w:sz="0" w:space="0" w:color="auto"/>
            <w:bottom w:val="none" w:sz="0" w:space="0" w:color="auto"/>
            <w:right w:val="none" w:sz="0" w:space="0" w:color="auto"/>
          </w:divBdr>
        </w:div>
        <w:div w:id="1051802951">
          <w:marLeft w:val="0"/>
          <w:marRight w:val="0"/>
          <w:marTop w:val="0"/>
          <w:marBottom w:val="0"/>
          <w:divBdr>
            <w:top w:val="none" w:sz="0" w:space="0" w:color="auto"/>
            <w:left w:val="none" w:sz="0" w:space="0" w:color="auto"/>
            <w:bottom w:val="none" w:sz="0" w:space="0" w:color="auto"/>
            <w:right w:val="none" w:sz="0" w:space="0" w:color="auto"/>
          </w:divBdr>
        </w:div>
        <w:div w:id="1113861018">
          <w:marLeft w:val="0"/>
          <w:marRight w:val="0"/>
          <w:marTop w:val="0"/>
          <w:marBottom w:val="0"/>
          <w:divBdr>
            <w:top w:val="none" w:sz="0" w:space="0" w:color="auto"/>
            <w:left w:val="none" w:sz="0" w:space="0" w:color="auto"/>
            <w:bottom w:val="none" w:sz="0" w:space="0" w:color="auto"/>
            <w:right w:val="none" w:sz="0" w:space="0" w:color="auto"/>
          </w:divBdr>
        </w:div>
        <w:div w:id="1190874535">
          <w:marLeft w:val="0"/>
          <w:marRight w:val="0"/>
          <w:marTop w:val="0"/>
          <w:marBottom w:val="0"/>
          <w:divBdr>
            <w:top w:val="none" w:sz="0" w:space="0" w:color="auto"/>
            <w:left w:val="none" w:sz="0" w:space="0" w:color="auto"/>
            <w:bottom w:val="none" w:sz="0" w:space="0" w:color="auto"/>
            <w:right w:val="none" w:sz="0" w:space="0" w:color="auto"/>
          </w:divBdr>
        </w:div>
        <w:div w:id="1254826766">
          <w:marLeft w:val="0"/>
          <w:marRight w:val="0"/>
          <w:marTop w:val="0"/>
          <w:marBottom w:val="0"/>
          <w:divBdr>
            <w:top w:val="none" w:sz="0" w:space="0" w:color="auto"/>
            <w:left w:val="none" w:sz="0" w:space="0" w:color="auto"/>
            <w:bottom w:val="none" w:sz="0" w:space="0" w:color="auto"/>
            <w:right w:val="none" w:sz="0" w:space="0" w:color="auto"/>
          </w:divBdr>
        </w:div>
        <w:div w:id="1381319880">
          <w:marLeft w:val="0"/>
          <w:marRight w:val="0"/>
          <w:marTop w:val="0"/>
          <w:marBottom w:val="0"/>
          <w:divBdr>
            <w:top w:val="none" w:sz="0" w:space="0" w:color="auto"/>
            <w:left w:val="none" w:sz="0" w:space="0" w:color="auto"/>
            <w:bottom w:val="none" w:sz="0" w:space="0" w:color="auto"/>
            <w:right w:val="none" w:sz="0" w:space="0" w:color="auto"/>
          </w:divBdr>
        </w:div>
        <w:div w:id="1392575605">
          <w:marLeft w:val="0"/>
          <w:marRight w:val="0"/>
          <w:marTop w:val="0"/>
          <w:marBottom w:val="0"/>
          <w:divBdr>
            <w:top w:val="none" w:sz="0" w:space="0" w:color="auto"/>
            <w:left w:val="none" w:sz="0" w:space="0" w:color="auto"/>
            <w:bottom w:val="none" w:sz="0" w:space="0" w:color="auto"/>
            <w:right w:val="none" w:sz="0" w:space="0" w:color="auto"/>
          </w:divBdr>
        </w:div>
        <w:div w:id="1418596425">
          <w:marLeft w:val="0"/>
          <w:marRight w:val="0"/>
          <w:marTop w:val="0"/>
          <w:marBottom w:val="0"/>
          <w:divBdr>
            <w:top w:val="none" w:sz="0" w:space="0" w:color="auto"/>
            <w:left w:val="none" w:sz="0" w:space="0" w:color="auto"/>
            <w:bottom w:val="none" w:sz="0" w:space="0" w:color="auto"/>
            <w:right w:val="none" w:sz="0" w:space="0" w:color="auto"/>
          </w:divBdr>
        </w:div>
        <w:div w:id="1423376545">
          <w:marLeft w:val="0"/>
          <w:marRight w:val="0"/>
          <w:marTop w:val="0"/>
          <w:marBottom w:val="0"/>
          <w:divBdr>
            <w:top w:val="none" w:sz="0" w:space="0" w:color="auto"/>
            <w:left w:val="none" w:sz="0" w:space="0" w:color="auto"/>
            <w:bottom w:val="none" w:sz="0" w:space="0" w:color="auto"/>
            <w:right w:val="none" w:sz="0" w:space="0" w:color="auto"/>
          </w:divBdr>
        </w:div>
        <w:div w:id="1513179274">
          <w:marLeft w:val="0"/>
          <w:marRight w:val="0"/>
          <w:marTop w:val="0"/>
          <w:marBottom w:val="0"/>
          <w:divBdr>
            <w:top w:val="none" w:sz="0" w:space="0" w:color="auto"/>
            <w:left w:val="none" w:sz="0" w:space="0" w:color="auto"/>
            <w:bottom w:val="none" w:sz="0" w:space="0" w:color="auto"/>
            <w:right w:val="none" w:sz="0" w:space="0" w:color="auto"/>
          </w:divBdr>
        </w:div>
        <w:div w:id="1516925100">
          <w:marLeft w:val="0"/>
          <w:marRight w:val="0"/>
          <w:marTop w:val="0"/>
          <w:marBottom w:val="0"/>
          <w:divBdr>
            <w:top w:val="none" w:sz="0" w:space="0" w:color="auto"/>
            <w:left w:val="none" w:sz="0" w:space="0" w:color="auto"/>
            <w:bottom w:val="none" w:sz="0" w:space="0" w:color="auto"/>
            <w:right w:val="none" w:sz="0" w:space="0" w:color="auto"/>
          </w:divBdr>
        </w:div>
        <w:div w:id="1597246579">
          <w:marLeft w:val="0"/>
          <w:marRight w:val="0"/>
          <w:marTop w:val="0"/>
          <w:marBottom w:val="0"/>
          <w:divBdr>
            <w:top w:val="none" w:sz="0" w:space="0" w:color="auto"/>
            <w:left w:val="none" w:sz="0" w:space="0" w:color="auto"/>
            <w:bottom w:val="none" w:sz="0" w:space="0" w:color="auto"/>
            <w:right w:val="none" w:sz="0" w:space="0" w:color="auto"/>
          </w:divBdr>
        </w:div>
        <w:div w:id="1650087698">
          <w:marLeft w:val="0"/>
          <w:marRight w:val="0"/>
          <w:marTop w:val="0"/>
          <w:marBottom w:val="0"/>
          <w:divBdr>
            <w:top w:val="none" w:sz="0" w:space="0" w:color="auto"/>
            <w:left w:val="none" w:sz="0" w:space="0" w:color="auto"/>
            <w:bottom w:val="none" w:sz="0" w:space="0" w:color="auto"/>
            <w:right w:val="none" w:sz="0" w:space="0" w:color="auto"/>
          </w:divBdr>
        </w:div>
        <w:div w:id="1651640564">
          <w:marLeft w:val="0"/>
          <w:marRight w:val="0"/>
          <w:marTop w:val="0"/>
          <w:marBottom w:val="0"/>
          <w:divBdr>
            <w:top w:val="none" w:sz="0" w:space="0" w:color="auto"/>
            <w:left w:val="none" w:sz="0" w:space="0" w:color="auto"/>
            <w:bottom w:val="none" w:sz="0" w:space="0" w:color="auto"/>
            <w:right w:val="none" w:sz="0" w:space="0" w:color="auto"/>
          </w:divBdr>
        </w:div>
        <w:div w:id="1689213103">
          <w:marLeft w:val="0"/>
          <w:marRight w:val="0"/>
          <w:marTop w:val="0"/>
          <w:marBottom w:val="0"/>
          <w:divBdr>
            <w:top w:val="none" w:sz="0" w:space="0" w:color="auto"/>
            <w:left w:val="none" w:sz="0" w:space="0" w:color="auto"/>
            <w:bottom w:val="none" w:sz="0" w:space="0" w:color="auto"/>
            <w:right w:val="none" w:sz="0" w:space="0" w:color="auto"/>
          </w:divBdr>
        </w:div>
        <w:div w:id="1700817170">
          <w:marLeft w:val="0"/>
          <w:marRight w:val="0"/>
          <w:marTop w:val="0"/>
          <w:marBottom w:val="0"/>
          <w:divBdr>
            <w:top w:val="none" w:sz="0" w:space="0" w:color="auto"/>
            <w:left w:val="none" w:sz="0" w:space="0" w:color="auto"/>
            <w:bottom w:val="none" w:sz="0" w:space="0" w:color="auto"/>
            <w:right w:val="none" w:sz="0" w:space="0" w:color="auto"/>
          </w:divBdr>
        </w:div>
        <w:div w:id="1709915801">
          <w:marLeft w:val="0"/>
          <w:marRight w:val="0"/>
          <w:marTop w:val="0"/>
          <w:marBottom w:val="0"/>
          <w:divBdr>
            <w:top w:val="none" w:sz="0" w:space="0" w:color="auto"/>
            <w:left w:val="none" w:sz="0" w:space="0" w:color="auto"/>
            <w:bottom w:val="none" w:sz="0" w:space="0" w:color="auto"/>
            <w:right w:val="none" w:sz="0" w:space="0" w:color="auto"/>
          </w:divBdr>
        </w:div>
        <w:div w:id="1744601012">
          <w:marLeft w:val="0"/>
          <w:marRight w:val="0"/>
          <w:marTop w:val="0"/>
          <w:marBottom w:val="0"/>
          <w:divBdr>
            <w:top w:val="none" w:sz="0" w:space="0" w:color="auto"/>
            <w:left w:val="none" w:sz="0" w:space="0" w:color="auto"/>
            <w:bottom w:val="none" w:sz="0" w:space="0" w:color="auto"/>
            <w:right w:val="none" w:sz="0" w:space="0" w:color="auto"/>
          </w:divBdr>
        </w:div>
        <w:div w:id="1768769615">
          <w:marLeft w:val="0"/>
          <w:marRight w:val="0"/>
          <w:marTop w:val="0"/>
          <w:marBottom w:val="0"/>
          <w:divBdr>
            <w:top w:val="none" w:sz="0" w:space="0" w:color="auto"/>
            <w:left w:val="none" w:sz="0" w:space="0" w:color="auto"/>
            <w:bottom w:val="none" w:sz="0" w:space="0" w:color="auto"/>
            <w:right w:val="none" w:sz="0" w:space="0" w:color="auto"/>
          </w:divBdr>
        </w:div>
        <w:div w:id="1885020086">
          <w:marLeft w:val="0"/>
          <w:marRight w:val="0"/>
          <w:marTop w:val="0"/>
          <w:marBottom w:val="0"/>
          <w:divBdr>
            <w:top w:val="none" w:sz="0" w:space="0" w:color="auto"/>
            <w:left w:val="none" w:sz="0" w:space="0" w:color="auto"/>
            <w:bottom w:val="none" w:sz="0" w:space="0" w:color="auto"/>
            <w:right w:val="none" w:sz="0" w:space="0" w:color="auto"/>
          </w:divBdr>
        </w:div>
        <w:div w:id="2006322400">
          <w:marLeft w:val="0"/>
          <w:marRight w:val="0"/>
          <w:marTop w:val="0"/>
          <w:marBottom w:val="0"/>
          <w:divBdr>
            <w:top w:val="none" w:sz="0" w:space="0" w:color="auto"/>
            <w:left w:val="none" w:sz="0" w:space="0" w:color="auto"/>
            <w:bottom w:val="none" w:sz="0" w:space="0" w:color="auto"/>
            <w:right w:val="none" w:sz="0" w:space="0" w:color="auto"/>
          </w:divBdr>
        </w:div>
        <w:div w:id="2034576461">
          <w:marLeft w:val="0"/>
          <w:marRight w:val="0"/>
          <w:marTop w:val="0"/>
          <w:marBottom w:val="0"/>
          <w:divBdr>
            <w:top w:val="none" w:sz="0" w:space="0" w:color="auto"/>
            <w:left w:val="none" w:sz="0" w:space="0" w:color="auto"/>
            <w:bottom w:val="none" w:sz="0" w:space="0" w:color="auto"/>
            <w:right w:val="none" w:sz="0" w:space="0" w:color="auto"/>
          </w:divBdr>
        </w:div>
        <w:div w:id="2104840687">
          <w:marLeft w:val="0"/>
          <w:marRight w:val="0"/>
          <w:marTop w:val="0"/>
          <w:marBottom w:val="0"/>
          <w:divBdr>
            <w:top w:val="none" w:sz="0" w:space="0" w:color="auto"/>
            <w:left w:val="none" w:sz="0" w:space="0" w:color="auto"/>
            <w:bottom w:val="none" w:sz="0" w:space="0" w:color="auto"/>
            <w:right w:val="none" w:sz="0" w:space="0" w:color="auto"/>
          </w:divBdr>
        </w:div>
        <w:div w:id="2117940093">
          <w:marLeft w:val="0"/>
          <w:marRight w:val="0"/>
          <w:marTop w:val="0"/>
          <w:marBottom w:val="0"/>
          <w:divBdr>
            <w:top w:val="none" w:sz="0" w:space="0" w:color="auto"/>
            <w:left w:val="none" w:sz="0" w:space="0" w:color="auto"/>
            <w:bottom w:val="none" w:sz="0" w:space="0" w:color="auto"/>
            <w:right w:val="none" w:sz="0" w:space="0" w:color="auto"/>
          </w:divBdr>
        </w:div>
        <w:div w:id="2143231968">
          <w:marLeft w:val="0"/>
          <w:marRight w:val="0"/>
          <w:marTop w:val="0"/>
          <w:marBottom w:val="0"/>
          <w:divBdr>
            <w:top w:val="none" w:sz="0" w:space="0" w:color="auto"/>
            <w:left w:val="none" w:sz="0" w:space="0" w:color="auto"/>
            <w:bottom w:val="none" w:sz="0" w:space="0" w:color="auto"/>
            <w:right w:val="none" w:sz="0" w:space="0" w:color="auto"/>
          </w:divBdr>
        </w:div>
      </w:divsChild>
    </w:div>
    <w:div w:id="1645426652">
      <w:bodyDiv w:val="1"/>
      <w:marLeft w:val="0"/>
      <w:marRight w:val="0"/>
      <w:marTop w:val="0"/>
      <w:marBottom w:val="0"/>
      <w:divBdr>
        <w:top w:val="none" w:sz="0" w:space="0" w:color="auto"/>
        <w:left w:val="none" w:sz="0" w:space="0" w:color="auto"/>
        <w:bottom w:val="none" w:sz="0" w:space="0" w:color="auto"/>
        <w:right w:val="none" w:sz="0" w:space="0" w:color="auto"/>
      </w:divBdr>
    </w:div>
    <w:div w:id="1654026568">
      <w:bodyDiv w:val="1"/>
      <w:marLeft w:val="0"/>
      <w:marRight w:val="0"/>
      <w:marTop w:val="0"/>
      <w:marBottom w:val="0"/>
      <w:divBdr>
        <w:top w:val="none" w:sz="0" w:space="0" w:color="auto"/>
        <w:left w:val="none" w:sz="0" w:space="0" w:color="auto"/>
        <w:bottom w:val="none" w:sz="0" w:space="0" w:color="auto"/>
        <w:right w:val="none" w:sz="0" w:space="0" w:color="auto"/>
      </w:divBdr>
    </w:div>
    <w:div w:id="1672833611">
      <w:bodyDiv w:val="1"/>
      <w:marLeft w:val="0"/>
      <w:marRight w:val="0"/>
      <w:marTop w:val="0"/>
      <w:marBottom w:val="0"/>
      <w:divBdr>
        <w:top w:val="none" w:sz="0" w:space="0" w:color="auto"/>
        <w:left w:val="none" w:sz="0" w:space="0" w:color="auto"/>
        <w:bottom w:val="none" w:sz="0" w:space="0" w:color="auto"/>
        <w:right w:val="none" w:sz="0" w:space="0" w:color="auto"/>
      </w:divBdr>
    </w:div>
    <w:div w:id="1688873419">
      <w:bodyDiv w:val="1"/>
      <w:marLeft w:val="0"/>
      <w:marRight w:val="0"/>
      <w:marTop w:val="0"/>
      <w:marBottom w:val="0"/>
      <w:divBdr>
        <w:top w:val="none" w:sz="0" w:space="0" w:color="auto"/>
        <w:left w:val="none" w:sz="0" w:space="0" w:color="auto"/>
        <w:bottom w:val="none" w:sz="0" w:space="0" w:color="auto"/>
        <w:right w:val="none" w:sz="0" w:space="0" w:color="auto"/>
      </w:divBdr>
    </w:div>
    <w:div w:id="1695692546">
      <w:bodyDiv w:val="1"/>
      <w:marLeft w:val="0"/>
      <w:marRight w:val="0"/>
      <w:marTop w:val="0"/>
      <w:marBottom w:val="0"/>
      <w:divBdr>
        <w:top w:val="none" w:sz="0" w:space="0" w:color="auto"/>
        <w:left w:val="none" w:sz="0" w:space="0" w:color="auto"/>
        <w:bottom w:val="none" w:sz="0" w:space="0" w:color="auto"/>
        <w:right w:val="none" w:sz="0" w:space="0" w:color="auto"/>
      </w:divBdr>
    </w:div>
    <w:div w:id="1701008147">
      <w:bodyDiv w:val="1"/>
      <w:marLeft w:val="0"/>
      <w:marRight w:val="0"/>
      <w:marTop w:val="0"/>
      <w:marBottom w:val="0"/>
      <w:divBdr>
        <w:top w:val="none" w:sz="0" w:space="0" w:color="auto"/>
        <w:left w:val="none" w:sz="0" w:space="0" w:color="auto"/>
        <w:bottom w:val="none" w:sz="0" w:space="0" w:color="auto"/>
        <w:right w:val="none" w:sz="0" w:space="0" w:color="auto"/>
      </w:divBdr>
    </w:div>
    <w:div w:id="1704012175">
      <w:bodyDiv w:val="1"/>
      <w:marLeft w:val="0"/>
      <w:marRight w:val="0"/>
      <w:marTop w:val="0"/>
      <w:marBottom w:val="0"/>
      <w:divBdr>
        <w:top w:val="none" w:sz="0" w:space="0" w:color="auto"/>
        <w:left w:val="none" w:sz="0" w:space="0" w:color="auto"/>
        <w:bottom w:val="none" w:sz="0" w:space="0" w:color="auto"/>
        <w:right w:val="none" w:sz="0" w:space="0" w:color="auto"/>
      </w:divBdr>
    </w:div>
    <w:div w:id="1721123801">
      <w:bodyDiv w:val="1"/>
      <w:marLeft w:val="0"/>
      <w:marRight w:val="0"/>
      <w:marTop w:val="0"/>
      <w:marBottom w:val="0"/>
      <w:divBdr>
        <w:top w:val="none" w:sz="0" w:space="0" w:color="auto"/>
        <w:left w:val="none" w:sz="0" w:space="0" w:color="auto"/>
        <w:bottom w:val="none" w:sz="0" w:space="0" w:color="auto"/>
        <w:right w:val="none" w:sz="0" w:space="0" w:color="auto"/>
      </w:divBdr>
    </w:div>
    <w:div w:id="1722166375">
      <w:bodyDiv w:val="1"/>
      <w:marLeft w:val="0"/>
      <w:marRight w:val="0"/>
      <w:marTop w:val="0"/>
      <w:marBottom w:val="0"/>
      <w:divBdr>
        <w:top w:val="none" w:sz="0" w:space="0" w:color="auto"/>
        <w:left w:val="none" w:sz="0" w:space="0" w:color="auto"/>
        <w:bottom w:val="none" w:sz="0" w:space="0" w:color="auto"/>
        <w:right w:val="none" w:sz="0" w:space="0" w:color="auto"/>
      </w:divBdr>
    </w:div>
    <w:div w:id="1756241379">
      <w:bodyDiv w:val="1"/>
      <w:marLeft w:val="0"/>
      <w:marRight w:val="0"/>
      <w:marTop w:val="0"/>
      <w:marBottom w:val="0"/>
      <w:divBdr>
        <w:top w:val="none" w:sz="0" w:space="0" w:color="auto"/>
        <w:left w:val="none" w:sz="0" w:space="0" w:color="auto"/>
        <w:bottom w:val="none" w:sz="0" w:space="0" w:color="auto"/>
        <w:right w:val="none" w:sz="0" w:space="0" w:color="auto"/>
      </w:divBdr>
    </w:div>
    <w:div w:id="1762797160">
      <w:bodyDiv w:val="1"/>
      <w:marLeft w:val="0"/>
      <w:marRight w:val="0"/>
      <w:marTop w:val="0"/>
      <w:marBottom w:val="0"/>
      <w:divBdr>
        <w:top w:val="none" w:sz="0" w:space="0" w:color="auto"/>
        <w:left w:val="none" w:sz="0" w:space="0" w:color="auto"/>
        <w:bottom w:val="none" w:sz="0" w:space="0" w:color="auto"/>
        <w:right w:val="none" w:sz="0" w:space="0" w:color="auto"/>
      </w:divBdr>
    </w:div>
    <w:div w:id="1827017740">
      <w:bodyDiv w:val="1"/>
      <w:marLeft w:val="0"/>
      <w:marRight w:val="0"/>
      <w:marTop w:val="0"/>
      <w:marBottom w:val="0"/>
      <w:divBdr>
        <w:top w:val="none" w:sz="0" w:space="0" w:color="auto"/>
        <w:left w:val="none" w:sz="0" w:space="0" w:color="auto"/>
        <w:bottom w:val="none" w:sz="0" w:space="0" w:color="auto"/>
        <w:right w:val="none" w:sz="0" w:space="0" w:color="auto"/>
      </w:divBdr>
    </w:div>
    <w:div w:id="1884094926">
      <w:bodyDiv w:val="1"/>
      <w:marLeft w:val="0"/>
      <w:marRight w:val="0"/>
      <w:marTop w:val="0"/>
      <w:marBottom w:val="0"/>
      <w:divBdr>
        <w:top w:val="none" w:sz="0" w:space="0" w:color="auto"/>
        <w:left w:val="none" w:sz="0" w:space="0" w:color="auto"/>
        <w:bottom w:val="none" w:sz="0" w:space="0" w:color="auto"/>
        <w:right w:val="none" w:sz="0" w:space="0" w:color="auto"/>
      </w:divBdr>
    </w:div>
    <w:div w:id="1922716293">
      <w:bodyDiv w:val="1"/>
      <w:marLeft w:val="0"/>
      <w:marRight w:val="0"/>
      <w:marTop w:val="0"/>
      <w:marBottom w:val="0"/>
      <w:divBdr>
        <w:top w:val="none" w:sz="0" w:space="0" w:color="auto"/>
        <w:left w:val="none" w:sz="0" w:space="0" w:color="auto"/>
        <w:bottom w:val="none" w:sz="0" w:space="0" w:color="auto"/>
        <w:right w:val="none" w:sz="0" w:space="0" w:color="auto"/>
      </w:divBdr>
    </w:div>
    <w:div w:id="1923025851">
      <w:bodyDiv w:val="1"/>
      <w:marLeft w:val="0"/>
      <w:marRight w:val="0"/>
      <w:marTop w:val="0"/>
      <w:marBottom w:val="0"/>
      <w:divBdr>
        <w:top w:val="none" w:sz="0" w:space="0" w:color="auto"/>
        <w:left w:val="none" w:sz="0" w:space="0" w:color="auto"/>
        <w:bottom w:val="none" w:sz="0" w:space="0" w:color="auto"/>
        <w:right w:val="none" w:sz="0" w:space="0" w:color="auto"/>
      </w:divBdr>
    </w:div>
    <w:div w:id="1957251488">
      <w:bodyDiv w:val="1"/>
      <w:marLeft w:val="0"/>
      <w:marRight w:val="0"/>
      <w:marTop w:val="0"/>
      <w:marBottom w:val="0"/>
      <w:divBdr>
        <w:top w:val="none" w:sz="0" w:space="0" w:color="auto"/>
        <w:left w:val="none" w:sz="0" w:space="0" w:color="auto"/>
        <w:bottom w:val="none" w:sz="0" w:space="0" w:color="auto"/>
        <w:right w:val="none" w:sz="0" w:space="0" w:color="auto"/>
      </w:divBdr>
    </w:div>
    <w:div w:id="1974165360">
      <w:bodyDiv w:val="1"/>
      <w:marLeft w:val="0"/>
      <w:marRight w:val="0"/>
      <w:marTop w:val="0"/>
      <w:marBottom w:val="0"/>
      <w:divBdr>
        <w:top w:val="none" w:sz="0" w:space="0" w:color="auto"/>
        <w:left w:val="none" w:sz="0" w:space="0" w:color="auto"/>
        <w:bottom w:val="none" w:sz="0" w:space="0" w:color="auto"/>
        <w:right w:val="none" w:sz="0" w:space="0" w:color="auto"/>
      </w:divBdr>
    </w:div>
    <w:div w:id="1989675273">
      <w:bodyDiv w:val="1"/>
      <w:marLeft w:val="0"/>
      <w:marRight w:val="0"/>
      <w:marTop w:val="0"/>
      <w:marBottom w:val="0"/>
      <w:divBdr>
        <w:top w:val="none" w:sz="0" w:space="0" w:color="auto"/>
        <w:left w:val="none" w:sz="0" w:space="0" w:color="auto"/>
        <w:bottom w:val="none" w:sz="0" w:space="0" w:color="auto"/>
        <w:right w:val="none" w:sz="0" w:space="0" w:color="auto"/>
      </w:divBdr>
    </w:div>
    <w:div w:id="2005084795">
      <w:bodyDiv w:val="1"/>
      <w:marLeft w:val="0"/>
      <w:marRight w:val="0"/>
      <w:marTop w:val="0"/>
      <w:marBottom w:val="0"/>
      <w:divBdr>
        <w:top w:val="none" w:sz="0" w:space="0" w:color="auto"/>
        <w:left w:val="none" w:sz="0" w:space="0" w:color="auto"/>
        <w:bottom w:val="none" w:sz="0" w:space="0" w:color="auto"/>
        <w:right w:val="none" w:sz="0" w:space="0" w:color="auto"/>
      </w:divBdr>
    </w:div>
    <w:div w:id="2010791337">
      <w:bodyDiv w:val="1"/>
      <w:marLeft w:val="0"/>
      <w:marRight w:val="0"/>
      <w:marTop w:val="0"/>
      <w:marBottom w:val="0"/>
      <w:divBdr>
        <w:top w:val="none" w:sz="0" w:space="0" w:color="auto"/>
        <w:left w:val="none" w:sz="0" w:space="0" w:color="auto"/>
        <w:bottom w:val="none" w:sz="0" w:space="0" w:color="auto"/>
        <w:right w:val="none" w:sz="0" w:space="0" w:color="auto"/>
      </w:divBdr>
    </w:div>
    <w:div w:id="2020885561">
      <w:bodyDiv w:val="1"/>
      <w:marLeft w:val="0"/>
      <w:marRight w:val="0"/>
      <w:marTop w:val="0"/>
      <w:marBottom w:val="0"/>
      <w:divBdr>
        <w:top w:val="none" w:sz="0" w:space="0" w:color="auto"/>
        <w:left w:val="none" w:sz="0" w:space="0" w:color="auto"/>
        <w:bottom w:val="none" w:sz="0" w:space="0" w:color="auto"/>
        <w:right w:val="none" w:sz="0" w:space="0" w:color="auto"/>
      </w:divBdr>
    </w:div>
    <w:div w:id="2033678109">
      <w:bodyDiv w:val="1"/>
      <w:marLeft w:val="0"/>
      <w:marRight w:val="0"/>
      <w:marTop w:val="0"/>
      <w:marBottom w:val="0"/>
      <w:divBdr>
        <w:top w:val="none" w:sz="0" w:space="0" w:color="auto"/>
        <w:left w:val="none" w:sz="0" w:space="0" w:color="auto"/>
        <w:bottom w:val="none" w:sz="0" w:space="0" w:color="auto"/>
        <w:right w:val="none" w:sz="0" w:space="0" w:color="auto"/>
      </w:divBdr>
    </w:div>
    <w:div w:id="2048680405">
      <w:bodyDiv w:val="1"/>
      <w:marLeft w:val="0"/>
      <w:marRight w:val="0"/>
      <w:marTop w:val="0"/>
      <w:marBottom w:val="0"/>
      <w:divBdr>
        <w:top w:val="none" w:sz="0" w:space="0" w:color="auto"/>
        <w:left w:val="none" w:sz="0" w:space="0" w:color="auto"/>
        <w:bottom w:val="none" w:sz="0" w:space="0" w:color="auto"/>
        <w:right w:val="none" w:sz="0" w:space="0" w:color="auto"/>
      </w:divBdr>
    </w:div>
    <w:div w:id="2075658601">
      <w:bodyDiv w:val="1"/>
      <w:marLeft w:val="0"/>
      <w:marRight w:val="0"/>
      <w:marTop w:val="0"/>
      <w:marBottom w:val="0"/>
      <w:divBdr>
        <w:top w:val="none" w:sz="0" w:space="0" w:color="auto"/>
        <w:left w:val="none" w:sz="0" w:space="0" w:color="auto"/>
        <w:bottom w:val="none" w:sz="0" w:space="0" w:color="auto"/>
        <w:right w:val="none" w:sz="0" w:space="0" w:color="auto"/>
      </w:divBdr>
    </w:div>
    <w:div w:id="2078239838">
      <w:bodyDiv w:val="1"/>
      <w:marLeft w:val="0"/>
      <w:marRight w:val="0"/>
      <w:marTop w:val="0"/>
      <w:marBottom w:val="0"/>
      <w:divBdr>
        <w:top w:val="none" w:sz="0" w:space="0" w:color="auto"/>
        <w:left w:val="none" w:sz="0" w:space="0" w:color="auto"/>
        <w:bottom w:val="none" w:sz="0" w:space="0" w:color="auto"/>
        <w:right w:val="none" w:sz="0" w:space="0" w:color="auto"/>
      </w:divBdr>
    </w:div>
    <w:div w:id="2088184187">
      <w:bodyDiv w:val="1"/>
      <w:marLeft w:val="0"/>
      <w:marRight w:val="0"/>
      <w:marTop w:val="0"/>
      <w:marBottom w:val="0"/>
      <w:divBdr>
        <w:top w:val="none" w:sz="0" w:space="0" w:color="auto"/>
        <w:left w:val="none" w:sz="0" w:space="0" w:color="auto"/>
        <w:bottom w:val="none" w:sz="0" w:space="0" w:color="auto"/>
        <w:right w:val="none" w:sz="0" w:space="0" w:color="auto"/>
      </w:divBdr>
    </w:div>
    <w:div w:id="2095199972">
      <w:bodyDiv w:val="1"/>
      <w:marLeft w:val="0"/>
      <w:marRight w:val="0"/>
      <w:marTop w:val="0"/>
      <w:marBottom w:val="0"/>
      <w:divBdr>
        <w:top w:val="none" w:sz="0" w:space="0" w:color="auto"/>
        <w:left w:val="none" w:sz="0" w:space="0" w:color="auto"/>
        <w:bottom w:val="none" w:sz="0" w:space="0" w:color="auto"/>
        <w:right w:val="none" w:sz="0" w:space="0" w:color="auto"/>
      </w:divBdr>
    </w:div>
    <w:div w:id="2106606776">
      <w:bodyDiv w:val="1"/>
      <w:marLeft w:val="0"/>
      <w:marRight w:val="0"/>
      <w:marTop w:val="0"/>
      <w:marBottom w:val="0"/>
      <w:divBdr>
        <w:top w:val="none" w:sz="0" w:space="0" w:color="auto"/>
        <w:left w:val="none" w:sz="0" w:space="0" w:color="auto"/>
        <w:bottom w:val="none" w:sz="0" w:space="0" w:color="auto"/>
        <w:right w:val="none" w:sz="0" w:space="0" w:color="auto"/>
      </w:divBdr>
    </w:div>
    <w:div w:id="2113478281">
      <w:bodyDiv w:val="1"/>
      <w:marLeft w:val="0"/>
      <w:marRight w:val="0"/>
      <w:marTop w:val="0"/>
      <w:marBottom w:val="0"/>
      <w:divBdr>
        <w:top w:val="none" w:sz="0" w:space="0" w:color="auto"/>
        <w:left w:val="none" w:sz="0" w:space="0" w:color="auto"/>
        <w:bottom w:val="none" w:sz="0" w:space="0" w:color="auto"/>
        <w:right w:val="none" w:sz="0" w:space="0" w:color="auto"/>
      </w:divBdr>
    </w:div>
    <w:div w:id="2126777179">
      <w:bodyDiv w:val="1"/>
      <w:marLeft w:val="0"/>
      <w:marRight w:val="0"/>
      <w:marTop w:val="0"/>
      <w:marBottom w:val="0"/>
      <w:divBdr>
        <w:top w:val="none" w:sz="0" w:space="0" w:color="auto"/>
        <w:left w:val="none" w:sz="0" w:space="0" w:color="auto"/>
        <w:bottom w:val="none" w:sz="0" w:space="0" w:color="auto"/>
        <w:right w:val="none" w:sz="0" w:space="0" w:color="auto"/>
      </w:divBdr>
    </w:div>
    <w:div w:id="21337423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aimex.org.mx/saimex/solicitud/downloadAttach/1430282.page"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s://www.saimex.org.mx/saimex/solicitud/downloadAttach/1193286.page" TargetMode="Externa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DE12E8-FF36-43A5-8315-A281563782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13</Pages>
  <Words>2508</Words>
  <Characters>13797</Characters>
  <Application>Microsoft Office Word</Application>
  <DocSecurity>0</DocSecurity>
  <Lines>114</Lines>
  <Paragraphs>32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16273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14</cp:revision>
  <cp:lastPrinted>2021-10-06T19:46:00Z</cp:lastPrinted>
  <dcterms:created xsi:type="dcterms:W3CDTF">2022-08-10T02:17:00Z</dcterms:created>
  <dcterms:modified xsi:type="dcterms:W3CDTF">2022-09-08T19:29:00Z</dcterms:modified>
</cp:coreProperties>
</file>