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C1B6B0" w14:textId="77777777" w:rsidR="006F16B0" w:rsidRDefault="00AD0B8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Palatino Linotype" w:hAnsi="Palatino Linotype" w:cs="Palatino Linotype"/>
          <w:b/>
        </w:rPr>
        <w:t>diez de agosto de dos mil veintidós</w:t>
      </w:r>
      <w:r>
        <w:rPr>
          <w:rFonts w:ascii="Palatino Linotype" w:eastAsia="Palatino Linotype" w:hAnsi="Palatino Linotype" w:cs="Palatino Linotype"/>
        </w:rPr>
        <w:t xml:space="preserve">. </w:t>
      </w:r>
    </w:p>
    <w:p w14:paraId="4D8A480B" w14:textId="77777777" w:rsidR="006F16B0" w:rsidRDefault="00AD0B8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Vistos</w:t>
      </w:r>
      <w:r>
        <w:rPr>
          <w:rFonts w:ascii="Palatino Linotype" w:eastAsia="Palatino Linotype" w:hAnsi="Palatino Linotype" w:cs="Palatino Linotype"/>
        </w:rPr>
        <w:t xml:space="preserve"> los expedientes formados con motivo de los recursos de revisión </w:t>
      </w:r>
      <w:r>
        <w:rPr>
          <w:rFonts w:ascii="Palatino Linotype" w:eastAsia="Palatino Linotype" w:hAnsi="Palatino Linotype" w:cs="Palatino Linotype"/>
          <w:b/>
        </w:rPr>
        <w:t xml:space="preserve">05044/INFOEM/IP/RR/2022, 05045/INFOEM/IP/RR/2022 y 05046/INFOEM/IP/RR/2022 acumulados, </w:t>
      </w:r>
      <w:r>
        <w:rPr>
          <w:rFonts w:ascii="Palatino Linotype" w:eastAsia="Palatino Linotype" w:hAnsi="Palatino Linotype" w:cs="Palatino Linotype"/>
        </w:rPr>
        <w:t>interpuestos por</w:t>
      </w:r>
      <w:r>
        <w:rPr>
          <w:rFonts w:ascii="Palatino Linotype" w:eastAsia="Palatino Linotype" w:hAnsi="Palatino Linotype" w:cs="Palatino Linotype"/>
          <w:b/>
        </w:rPr>
        <w:t xml:space="preserve"> un particular de manera anónima, </w:t>
      </w:r>
      <w:r>
        <w:rPr>
          <w:rFonts w:ascii="Palatino Linotype" w:eastAsia="Palatino Linotype" w:hAnsi="Palatino Linotype" w:cs="Palatino Linotype"/>
        </w:rPr>
        <w:t>quien 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será identificado como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en contra de las respuestas en las solicitudes de información con número de folio </w:t>
      </w:r>
      <w:r>
        <w:rPr>
          <w:rFonts w:ascii="Palatino Linotype" w:eastAsia="Palatino Linotype" w:hAnsi="Palatino Linotype" w:cs="Palatino Linotype"/>
          <w:b/>
        </w:rPr>
        <w:t>00112/TENANCIN/IP/2022, 00113/TENANCIN/IP/2022 y 00115/TENANCIN/IP/2022</w:t>
      </w:r>
      <w:r>
        <w:rPr>
          <w:rFonts w:ascii="Palatino Linotype" w:eastAsia="Palatino Linotype" w:hAnsi="Palatino Linotype" w:cs="Palatino Linotype"/>
          <w:b/>
        </w:rPr>
        <w:tab/>
      </w:r>
      <w:r>
        <w:rPr>
          <w:rFonts w:ascii="Palatino Linotype" w:eastAsia="Palatino Linotype" w:hAnsi="Palatino Linotype" w:cs="Palatino Linotype"/>
        </w:rPr>
        <w:t>por parte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del </w:t>
      </w:r>
      <w:r>
        <w:rPr>
          <w:rFonts w:ascii="Palatino Linotype" w:eastAsia="Palatino Linotype" w:hAnsi="Palatino Linotype" w:cs="Palatino Linotype"/>
          <w:b/>
        </w:rPr>
        <w:t xml:space="preserve">Ayuntamiento de Tenancingo,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4CFA9A1F" w14:textId="77777777" w:rsidR="006F16B0" w:rsidRDefault="00AD0B82">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14:paraId="44F78615" w14:textId="77777777" w:rsidR="006F16B0" w:rsidRDefault="00AD0B82">
      <w:pPr>
        <w:spacing w:before="240" w:after="240" w:line="360" w:lineRule="auto"/>
        <w:jc w:val="both"/>
        <w:rPr>
          <w:rFonts w:ascii="Palatino Linotype" w:eastAsia="Palatino Linotype" w:hAnsi="Palatino Linotype" w:cs="Palatino Linotype"/>
        </w:rPr>
      </w:pPr>
      <w:bookmarkStart w:id="0" w:name="_heading=h.gjdgxs" w:colFirst="0" w:colLast="0"/>
      <w:bookmarkEnd w:id="0"/>
      <w:r>
        <w:rPr>
          <w:rFonts w:ascii="Palatino Linotype" w:eastAsia="Palatino Linotype" w:hAnsi="Palatino Linotype" w:cs="Palatino Linotype"/>
          <w:b/>
        </w:rPr>
        <w:t>1. Solicitudes de acceso a la información.</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tres de marzo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formuló solicitudes de acceso a información pública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en las que requirió lo siguiente:</w:t>
      </w:r>
    </w:p>
    <w:p w14:paraId="66DF9FE7" w14:textId="77777777" w:rsidR="006F16B0" w:rsidRDefault="006F16B0">
      <w:pPr>
        <w:spacing w:before="240" w:after="240" w:line="360" w:lineRule="auto"/>
        <w:jc w:val="both"/>
        <w:rPr>
          <w:rFonts w:ascii="Palatino Linotype" w:eastAsia="Palatino Linotype" w:hAnsi="Palatino Linotype" w:cs="Palatino Linotype"/>
        </w:rPr>
      </w:pPr>
    </w:p>
    <w:p w14:paraId="2C065DAD" w14:textId="77777777" w:rsidR="006F16B0" w:rsidRDefault="006F16B0">
      <w:pPr>
        <w:spacing w:before="240" w:after="240" w:line="360" w:lineRule="auto"/>
        <w:jc w:val="both"/>
        <w:rPr>
          <w:rFonts w:ascii="Palatino Linotype" w:eastAsia="Palatino Linotype" w:hAnsi="Palatino Linotype" w:cs="Palatino Linotype"/>
        </w:rPr>
      </w:pPr>
    </w:p>
    <w:tbl>
      <w:tblPr>
        <w:tblStyle w:val="afb"/>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6F16B0" w14:paraId="1703EFE2" w14:textId="77777777">
        <w:tc>
          <w:tcPr>
            <w:tcW w:w="4460" w:type="dxa"/>
            <w:shd w:val="clear" w:color="auto" w:fill="2F5496"/>
          </w:tcPr>
          <w:p w14:paraId="0B4479E3" w14:textId="77777777" w:rsidR="006F16B0" w:rsidRDefault="00AD0B82">
            <w:pPr>
              <w:spacing w:before="240" w:after="240" w:line="360" w:lineRule="auto"/>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lastRenderedPageBreak/>
              <w:t>Número de solicitud</w:t>
            </w:r>
          </w:p>
        </w:tc>
        <w:tc>
          <w:tcPr>
            <w:tcW w:w="4461" w:type="dxa"/>
            <w:shd w:val="clear" w:color="auto" w:fill="2F5496"/>
          </w:tcPr>
          <w:p w14:paraId="5D04AA3E" w14:textId="77777777" w:rsidR="006F16B0" w:rsidRDefault="00AD0B82">
            <w:pPr>
              <w:spacing w:before="240" w:after="240" w:line="360" w:lineRule="auto"/>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Requerimientos</w:t>
            </w:r>
          </w:p>
        </w:tc>
      </w:tr>
      <w:tr w:rsidR="006F16B0" w14:paraId="32BC2D2B" w14:textId="77777777">
        <w:tc>
          <w:tcPr>
            <w:tcW w:w="4460" w:type="dxa"/>
          </w:tcPr>
          <w:p w14:paraId="0D165F09" w14:textId="77777777" w:rsidR="006F16B0" w:rsidRDefault="00AD0B82">
            <w:pPr>
              <w:spacing w:before="240" w:after="24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00112/TENANCIN/IP/2022,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05044/INFOEM/IP/RR/2022</w:t>
            </w:r>
          </w:p>
        </w:tc>
        <w:tc>
          <w:tcPr>
            <w:tcW w:w="4461" w:type="dxa"/>
          </w:tcPr>
          <w:p w14:paraId="2E489D02" w14:textId="77777777" w:rsidR="006F16B0" w:rsidRDefault="00AD0B82">
            <w:pPr>
              <w:jc w:val="center"/>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todos </w:t>
            </w:r>
            <w:r>
              <w:rPr>
                <w:rFonts w:ascii="Palatino Linotype" w:eastAsia="Palatino Linotype" w:hAnsi="Palatino Linotype" w:cs="Palatino Linotype"/>
                <w:b/>
                <w:i/>
                <w:sz w:val="20"/>
                <w:szCs w:val="20"/>
              </w:rPr>
              <w:t xml:space="preserve">los </w:t>
            </w:r>
            <w:proofErr w:type="spellStart"/>
            <w:r>
              <w:rPr>
                <w:rFonts w:ascii="Palatino Linotype" w:eastAsia="Palatino Linotype" w:hAnsi="Palatino Linotype" w:cs="Palatino Linotype"/>
                <w:b/>
                <w:i/>
                <w:sz w:val="20"/>
                <w:szCs w:val="20"/>
              </w:rPr>
              <w:t>pbrm</w:t>
            </w:r>
            <w:proofErr w:type="spellEnd"/>
            <w:r>
              <w:rPr>
                <w:rFonts w:ascii="Palatino Linotype" w:eastAsia="Palatino Linotype" w:hAnsi="Palatino Linotype" w:cs="Palatino Linotype"/>
                <w:b/>
                <w:i/>
                <w:sz w:val="20"/>
                <w:szCs w:val="20"/>
              </w:rPr>
              <w:t xml:space="preserve"> del 2018</w:t>
            </w:r>
            <w:r>
              <w:rPr>
                <w:rFonts w:ascii="Palatino Linotype" w:eastAsia="Palatino Linotype" w:hAnsi="Palatino Linotype" w:cs="Palatino Linotype"/>
                <w:i/>
                <w:sz w:val="20"/>
                <w:szCs w:val="20"/>
              </w:rPr>
              <w:t>” (Sic)</w:t>
            </w:r>
          </w:p>
        </w:tc>
      </w:tr>
      <w:tr w:rsidR="006F16B0" w14:paraId="6FFC6B04" w14:textId="77777777">
        <w:tc>
          <w:tcPr>
            <w:tcW w:w="4460" w:type="dxa"/>
          </w:tcPr>
          <w:p w14:paraId="781DA37C" w14:textId="77777777" w:rsidR="006F16B0" w:rsidRDefault="00AD0B82">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 xml:space="preserve">00113/TENANCIN/IP/2022, </w:t>
            </w:r>
            <w:r>
              <w:rPr>
                <w:rFonts w:ascii="Palatino Linotype" w:eastAsia="Palatino Linotype" w:hAnsi="Palatino Linotype" w:cs="Palatino Linotype"/>
                <w:sz w:val="20"/>
                <w:szCs w:val="20"/>
              </w:rPr>
              <w:t xml:space="preserve">correspondiente al Recurso de </w:t>
            </w:r>
            <w:proofErr w:type="gramStart"/>
            <w:r>
              <w:rPr>
                <w:rFonts w:ascii="Palatino Linotype" w:eastAsia="Palatino Linotype" w:hAnsi="Palatino Linotype" w:cs="Palatino Linotype"/>
                <w:sz w:val="20"/>
                <w:szCs w:val="20"/>
              </w:rPr>
              <w:t>Revisión</w:t>
            </w:r>
            <w:r>
              <w:rPr>
                <w:rFonts w:ascii="Palatino Linotype" w:eastAsia="Palatino Linotype" w:hAnsi="Palatino Linotype" w:cs="Palatino Linotype"/>
                <w:b/>
                <w:sz w:val="20"/>
                <w:szCs w:val="20"/>
              </w:rPr>
              <w:t xml:space="preserve">  05045</w:t>
            </w:r>
            <w:proofErr w:type="gramEnd"/>
            <w:r>
              <w:rPr>
                <w:rFonts w:ascii="Palatino Linotype" w:eastAsia="Palatino Linotype" w:hAnsi="Palatino Linotype" w:cs="Palatino Linotype"/>
                <w:b/>
                <w:sz w:val="20"/>
                <w:szCs w:val="20"/>
              </w:rPr>
              <w:t>/INFOEM/IP/RR/2022</w:t>
            </w:r>
          </w:p>
        </w:tc>
        <w:tc>
          <w:tcPr>
            <w:tcW w:w="4461" w:type="dxa"/>
          </w:tcPr>
          <w:p w14:paraId="2415B639" w14:textId="77777777" w:rsidR="006F16B0" w:rsidRDefault="00AD0B82">
            <w:pPr>
              <w:spacing w:before="240" w:after="240"/>
              <w:jc w:val="center"/>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todos </w:t>
            </w:r>
            <w:r>
              <w:rPr>
                <w:rFonts w:ascii="Palatino Linotype" w:eastAsia="Palatino Linotype" w:hAnsi="Palatino Linotype" w:cs="Palatino Linotype"/>
                <w:b/>
                <w:i/>
                <w:sz w:val="20"/>
                <w:szCs w:val="20"/>
              </w:rPr>
              <w:t xml:space="preserve">los </w:t>
            </w:r>
            <w:proofErr w:type="spellStart"/>
            <w:r>
              <w:rPr>
                <w:rFonts w:ascii="Palatino Linotype" w:eastAsia="Palatino Linotype" w:hAnsi="Palatino Linotype" w:cs="Palatino Linotype"/>
                <w:b/>
                <w:i/>
                <w:sz w:val="20"/>
                <w:szCs w:val="20"/>
              </w:rPr>
              <w:t>pbrm</w:t>
            </w:r>
            <w:proofErr w:type="spellEnd"/>
            <w:r>
              <w:rPr>
                <w:rFonts w:ascii="Palatino Linotype" w:eastAsia="Palatino Linotype" w:hAnsi="Palatino Linotype" w:cs="Palatino Linotype"/>
                <w:b/>
                <w:i/>
                <w:sz w:val="20"/>
                <w:szCs w:val="20"/>
              </w:rPr>
              <w:t xml:space="preserve"> del 2019</w:t>
            </w:r>
            <w:r>
              <w:rPr>
                <w:rFonts w:ascii="Palatino Linotype" w:eastAsia="Palatino Linotype" w:hAnsi="Palatino Linotype" w:cs="Palatino Linotype"/>
                <w:i/>
                <w:sz w:val="20"/>
                <w:szCs w:val="20"/>
              </w:rPr>
              <w:t>” (Sic)</w:t>
            </w:r>
          </w:p>
        </w:tc>
      </w:tr>
      <w:tr w:rsidR="006F16B0" w14:paraId="69E2C8AA" w14:textId="77777777">
        <w:tc>
          <w:tcPr>
            <w:tcW w:w="4460" w:type="dxa"/>
          </w:tcPr>
          <w:p w14:paraId="41A26F24" w14:textId="77777777" w:rsidR="006F16B0" w:rsidRDefault="00AD0B82">
            <w:pPr>
              <w:spacing w:before="240" w:after="240"/>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 xml:space="preserve">00115/TENANCIN/IP/2022, </w:t>
            </w:r>
            <w:r>
              <w:rPr>
                <w:rFonts w:ascii="Palatino Linotype" w:eastAsia="Palatino Linotype" w:hAnsi="Palatino Linotype" w:cs="Palatino Linotype"/>
                <w:sz w:val="20"/>
                <w:szCs w:val="20"/>
              </w:rPr>
              <w:t>correspondiente al Recurso de Revisión</w:t>
            </w:r>
            <w:r>
              <w:rPr>
                <w:rFonts w:ascii="Palatino Linotype" w:eastAsia="Palatino Linotype" w:hAnsi="Palatino Linotype" w:cs="Palatino Linotype"/>
                <w:b/>
                <w:sz w:val="20"/>
                <w:szCs w:val="20"/>
              </w:rPr>
              <w:t xml:space="preserve"> 05046/INFOEM/IP/RR/2022</w:t>
            </w:r>
          </w:p>
        </w:tc>
        <w:tc>
          <w:tcPr>
            <w:tcW w:w="4461" w:type="dxa"/>
          </w:tcPr>
          <w:p w14:paraId="0F8E8721" w14:textId="77777777" w:rsidR="006F16B0" w:rsidRDefault="00AD0B82">
            <w:pPr>
              <w:spacing w:before="240" w:after="240"/>
              <w:jc w:val="center"/>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“solicito todos </w:t>
            </w:r>
            <w:r>
              <w:rPr>
                <w:rFonts w:ascii="Palatino Linotype" w:eastAsia="Palatino Linotype" w:hAnsi="Palatino Linotype" w:cs="Palatino Linotype"/>
                <w:b/>
                <w:i/>
                <w:sz w:val="20"/>
                <w:szCs w:val="20"/>
              </w:rPr>
              <w:t xml:space="preserve">los </w:t>
            </w:r>
            <w:proofErr w:type="spellStart"/>
            <w:r>
              <w:rPr>
                <w:rFonts w:ascii="Palatino Linotype" w:eastAsia="Palatino Linotype" w:hAnsi="Palatino Linotype" w:cs="Palatino Linotype"/>
                <w:b/>
                <w:i/>
                <w:sz w:val="20"/>
                <w:szCs w:val="20"/>
              </w:rPr>
              <w:t>pbrm</w:t>
            </w:r>
            <w:proofErr w:type="spellEnd"/>
            <w:r>
              <w:rPr>
                <w:rFonts w:ascii="Palatino Linotype" w:eastAsia="Palatino Linotype" w:hAnsi="Palatino Linotype" w:cs="Palatino Linotype"/>
                <w:b/>
                <w:i/>
                <w:sz w:val="20"/>
                <w:szCs w:val="20"/>
              </w:rPr>
              <w:t xml:space="preserve"> de 2021</w:t>
            </w:r>
            <w:r>
              <w:rPr>
                <w:rFonts w:ascii="Palatino Linotype" w:eastAsia="Palatino Linotype" w:hAnsi="Palatino Linotype" w:cs="Palatino Linotype"/>
                <w:i/>
                <w:sz w:val="20"/>
                <w:szCs w:val="20"/>
              </w:rPr>
              <w:t>” (Sic)</w:t>
            </w:r>
          </w:p>
        </w:tc>
      </w:tr>
    </w:tbl>
    <w:p w14:paraId="3C390D21" w14:textId="77777777" w:rsidR="006F16B0" w:rsidRDefault="00AD0B8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14:paraId="73B98FFD" w14:textId="77777777" w:rsidR="006F16B0" w:rsidRDefault="00AD0B82">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2. Respuestas. </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veinticinco de marzo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notificó a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la totalidad de los expedientes, las respuestas a sus solicitudes en los términos siguientes: </w:t>
      </w:r>
    </w:p>
    <w:p w14:paraId="30D5D76B" w14:textId="77777777" w:rsidR="006F16B0" w:rsidRDefault="00AD0B82">
      <w:pPr>
        <w:spacing w:before="240" w:after="240"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 05044/INFOEM/IP/RR/2022:</w:t>
      </w:r>
    </w:p>
    <w:p w14:paraId="16B5FD1D" w14:textId="77777777" w:rsidR="006F16B0" w:rsidRDefault="00AD0B82">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EBC01D2" w14:textId="77777777" w:rsidR="006F16B0" w:rsidRDefault="00AD0B82">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ENVIA RESPUESTA A LA SOLICITUD</w:t>
      </w:r>
    </w:p>
    <w:p w14:paraId="6D9ECFA5" w14:textId="77777777" w:rsidR="006F16B0" w:rsidRDefault="00AD0B82">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0090DE89" w14:textId="77777777" w:rsidR="006F16B0" w:rsidRDefault="00AD0B82">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 en D. OSCAR MANUEL MARTINEZ RODRIGUEZ”</w:t>
      </w:r>
    </w:p>
    <w:p w14:paraId="50B5EF55" w14:textId="77777777" w:rsidR="006F16B0" w:rsidRDefault="006F16B0">
      <w:pPr>
        <w:spacing w:before="240" w:after="240" w:line="276" w:lineRule="auto"/>
        <w:ind w:left="567" w:right="758"/>
        <w:jc w:val="both"/>
        <w:rPr>
          <w:rFonts w:ascii="Palatino Linotype" w:eastAsia="Palatino Linotype" w:hAnsi="Palatino Linotype" w:cs="Palatino Linotype"/>
          <w:i/>
          <w:sz w:val="22"/>
          <w:szCs w:val="22"/>
        </w:rPr>
      </w:pPr>
    </w:p>
    <w:p w14:paraId="6EAB673E" w14:textId="77777777" w:rsidR="006F16B0" w:rsidRDefault="00AD0B82">
      <w:pPr>
        <w:spacing w:before="240" w:after="240" w:line="360" w:lineRule="auto"/>
        <w:ind w:left="567" w:right="758"/>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Archivos adjuntos: “</w:t>
      </w:r>
      <w:r>
        <w:rPr>
          <w:rFonts w:ascii="Palatino Linotype" w:eastAsia="Palatino Linotype" w:hAnsi="Palatino Linotype" w:cs="Palatino Linotype"/>
          <w:b/>
          <w:i/>
          <w:sz w:val="22"/>
          <w:szCs w:val="22"/>
        </w:rPr>
        <w:t xml:space="preserve">112-RESP-UIIPE.pdf”: </w:t>
      </w:r>
      <w:r>
        <w:rPr>
          <w:rFonts w:ascii="Palatino Linotype" w:eastAsia="Palatino Linotype" w:hAnsi="Palatino Linotype" w:cs="Palatino Linotype"/>
          <w:sz w:val="22"/>
          <w:szCs w:val="22"/>
        </w:rPr>
        <w:t xml:space="preserve">Oficio signado por el Coordinador de la UIPPE, en el que manifiesta no contar con algún soporte documental del PBRM anual 2018. </w:t>
      </w:r>
    </w:p>
    <w:p w14:paraId="40A4B93F" w14:textId="77777777" w:rsidR="006F16B0" w:rsidRDefault="00AD0B82">
      <w:pPr>
        <w:spacing w:before="240" w:after="240" w:line="276" w:lineRule="auto"/>
        <w:ind w:left="567" w:right="758"/>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drawing>
          <wp:inline distT="0" distB="0" distL="0" distR="0" wp14:anchorId="73575BEB" wp14:editId="796E4260">
            <wp:extent cx="5003001" cy="5845612"/>
            <wp:effectExtent l="0" t="0" r="0" b="0"/>
            <wp:docPr id="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003001" cy="5845612"/>
                    </a:xfrm>
                    <a:prstGeom prst="rect">
                      <a:avLst/>
                    </a:prstGeom>
                    <a:ln/>
                  </pic:spPr>
                </pic:pic>
              </a:graphicData>
            </a:graphic>
          </wp:inline>
        </w:drawing>
      </w:r>
    </w:p>
    <w:p w14:paraId="0A638C51" w14:textId="77777777" w:rsidR="006F16B0" w:rsidRDefault="00AD0B82">
      <w:pPr>
        <w:spacing w:before="240" w:after="240" w:line="276" w:lineRule="auto"/>
        <w:ind w:right="75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lastRenderedPageBreak/>
        <w:t xml:space="preserve">Recurso de Revisión 05045/INFOEM/IP/RR/2022: </w:t>
      </w:r>
    </w:p>
    <w:p w14:paraId="280ABE84" w14:textId="77777777" w:rsidR="006F16B0" w:rsidRDefault="00AD0B82">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F3BA58B" w14:textId="77777777" w:rsidR="006F16B0" w:rsidRDefault="00AD0B82">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REMITE LA INFORMACIÓN EN LA SIGUIENTE LIGA ELECTRONICA https://mega.nz/file/jvJXnZ7C#zMqHmP5nI_dYE_APB2FiHzNQolg2vDfY66uPJSuxLeM</w:t>
      </w:r>
    </w:p>
    <w:p w14:paraId="6E4AAC4C" w14:textId="77777777" w:rsidR="006F16B0" w:rsidRDefault="00AD0B82">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41C0C18A" w14:textId="77777777" w:rsidR="006F16B0" w:rsidRDefault="00AD0B82">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 en D. OSCAR MANUEL MARTINEZ RODRIGUEZ” </w:t>
      </w:r>
    </w:p>
    <w:p w14:paraId="1ACDB48F" w14:textId="77777777" w:rsidR="006F16B0" w:rsidRDefault="00AD0B82">
      <w:pPr>
        <w:spacing w:before="240" w:after="240" w:line="276" w:lineRule="auto"/>
        <w:ind w:left="567" w:right="90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Archivos adjuntos: </w:t>
      </w:r>
    </w:p>
    <w:p w14:paraId="60949B3A" w14:textId="77777777" w:rsidR="006F16B0" w:rsidRDefault="00AD0B82">
      <w:pPr>
        <w:spacing w:before="240" w:after="240" w:line="276"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“113-REP-UIIPE.pdf”: </w:t>
      </w:r>
      <w:r>
        <w:rPr>
          <w:rFonts w:ascii="Palatino Linotype" w:eastAsia="Palatino Linotype" w:hAnsi="Palatino Linotype" w:cs="Palatino Linotype"/>
          <w:sz w:val="22"/>
          <w:szCs w:val="22"/>
        </w:rPr>
        <w:t xml:space="preserve">Oficio signado por el Coordinador de la UIPPE, en el que manifiesta remitir PBRM del </w:t>
      </w:r>
      <w:r>
        <w:rPr>
          <w:rFonts w:ascii="Palatino Linotype" w:eastAsia="Palatino Linotype" w:hAnsi="Palatino Linotype" w:cs="Palatino Linotype"/>
          <w:color w:val="000000"/>
          <w:sz w:val="22"/>
          <w:szCs w:val="22"/>
        </w:rPr>
        <w:t>año 2020.</w:t>
      </w:r>
    </w:p>
    <w:p w14:paraId="4013F2A3" w14:textId="77777777" w:rsidR="006F16B0" w:rsidRDefault="00AD0B82">
      <w:pPr>
        <w:spacing w:before="240" w:after="240" w:line="276"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lastRenderedPageBreak/>
        <w:drawing>
          <wp:inline distT="0" distB="0" distL="0" distR="0" wp14:anchorId="15F54E65" wp14:editId="7ECD335B">
            <wp:extent cx="5610225" cy="6219825"/>
            <wp:effectExtent l="0" t="0" r="0" b="0"/>
            <wp:docPr id="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610225" cy="6219825"/>
                    </a:xfrm>
                    <a:prstGeom prst="rect">
                      <a:avLst/>
                    </a:prstGeom>
                    <a:ln/>
                  </pic:spPr>
                </pic:pic>
              </a:graphicData>
            </a:graphic>
          </wp:inline>
        </w:drawing>
      </w:r>
    </w:p>
    <w:p w14:paraId="585026A3" w14:textId="77777777" w:rsidR="006F16B0" w:rsidRDefault="00AD0B82">
      <w:pPr>
        <w:spacing w:before="240" w:after="240" w:line="360"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“2019.docx”: </w:t>
      </w:r>
      <w:r>
        <w:rPr>
          <w:rFonts w:ascii="Palatino Linotype" w:eastAsia="Palatino Linotype" w:hAnsi="Palatino Linotype" w:cs="Palatino Linotype"/>
          <w:sz w:val="22"/>
          <w:szCs w:val="22"/>
        </w:rPr>
        <w:t xml:space="preserve">Documento electrónico de una foja en el que remite a una liga en el portal MEGA, mediante el cual podrán descargarse los PBRM del año 2019. </w:t>
      </w:r>
    </w:p>
    <w:p w14:paraId="15E729BD" w14:textId="77777777" w:rsidR="006F16B0" w:rsidRDefault="00AD0B82">
      <w:pPr>
        <w:spacing w:before="240" w:after="240" w:line="360" w:lineRule="auto"/>
        <w:ind w:right="90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lastRenderedPageBreak/>
        <w:t xml:space="preserve">Recurso de </w:t>
      </w:r>
      <w:proofErr w:type="gramStart"/>
      <w:r>
        <w:rPr>
          <w:rFonts w:ascii="Palatino Linotype" w:eastAsia="Palatino Linotype" w:hAnsi="Palatino Linotype" w:cs="Palatino Linotype"/>
          <w:b/>
          <w:sz w:val="22"/>
          <w:szCs w:val="22"/>
        </w:rPr>
        <w:t>Revisión  05046</w:t>
      </w:r>
      <w:proofErr w:type="gramEnd"/>
      <w:r>
        <w:rPr>
          <w:rFonts w:ascii="Palatino Linotype" w:eastAsia="Palatino Linotype" w:hAnsi="Palatino Linotype" w:cs="Palatino Linotype"/>
          <w:b/>
          <w:sz w:val="22"/>
          <w:szCs w:val="22"/>
        </w:rPr>
        <w:t xml:space="preserve">/INFOEM/IP/RR/2022: </w:t>
      </w:r>
      <w:r>
        <w:rPr>
          <w:noProof/>
          <w:lang w:val="es-MX"/>
        </w:rPr>
        <w:drawing>
          <wp:anchor distT="0" distB="0" distL="114300" distR="114300" simplePos="0" relativeHeight="251658240" behindDoc="0" locked="0" layoutInCell="1" hidden="0" allowOverlap="1" wp14:anchorId="213832E1" wp14:editId="0404AF4B">
            <wp:simplePos x="0" y="0"/>
            <wp:positionH relativeFrom="column">
              <wp:posOffset>-222884</wp:posOffset>
            </wp:positionH>
            <wp:positionV relativeFrom="paragraph">
              <wp:posOffset>635</wp:posOffset>
            </wp:positionV>
            <wp:extent cx="5610225" cy="1371600"/>
            <wp:effectExtent l="0" t="0" r="0" b="0"/>
            <wp:wrapTopAndBottom distT="0" distB="0"/>
            <wp:docPr id="4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5610225" cy="1371600"/>
                    </a:xfrm>
                    <a:prstGeom prst="rect">
                      <a:avLst/>
                    </a:prstGeom>
                    <a:ln/>
                  </pic:spPr>
                </pic:pic>
              </a:graphicData>
            </a:graphic>
          </wp:anchor>
        </w:drawing>
      </w:r>
    </w:p>
    <w:p w14:paraId="6038E810" w14:textId="77777777" w:rsidR="006F16B0" w:rsidRDefault="00AD0B82">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22B94B1" w14:textId="77777777" w:rsidR="006F16B0" w:rsidRDefault="00AD0B82">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INFORMAICIÓN PUEDE SER DESCARGADA EN LA SIGUIENTE LIGA ELECTRONICA https://mega.nz/file/KmQUAQyI#kUTszu9UdKl4jXUs6e1NxUhi0ivDAL_TjuUt4vbTNzE</w:t>
      </w:r>
    </w:p>
    <w:p w14:paraId="5CF40CD6" w14:textId="77777777" w:rsidR="006F16B0" w:rsidRDefault="00AD0B82">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199D52FA" w14:textId="77777777" w:rsidR="006F16B0" w:rsidRDefault="00AD0B82">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 en D. OSCAR MANUEL MARTINEZ RODRIGUEZ”</w:t>
      </w:r>
    </w:p>
    <w:p w14:paraId="4384F425" w14:textId="77777777" w:rsidR="006F16B0" w:rsidRDefault="00AD0B82">
      <w:pPr>
        <w:spacing w:before="240" w:after="240" w:line="276" w:lineRule="auto"/>
        <w:ind w:left="567" w:right="90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Archivos adjuntos: </w:t>
      </w:r>
    </w:p>
    <w:p w14:paraId="5E97198A" w14:textId="77777777" w:rsidR="006F16B0" w:rsidRDefault="00AD0B82">
      <w:pPr>
        <w:spacing w:before="240" w:after="240" w:line="276" w:lineRule="auto"/>
        <w:ind w:left="567" w:right="900"/>
        <w:jc w:val="both"/>
      </w:pPr>
      <w:r>
        <w:rPr>
          <w:rFonts w:ascii="Palatino Linotype" w:eastAsia="Palatino Linotype" w:hAnsi="Palatino Linotype" w:cs="Palatino Linotype"/>
          <w:b/>
          <w:i/>
          <w:sz w:val="22"/>
          <w:szCs w:val="22"/>
        </w:rPr>
        <w:t xml:space="preserve">“115-RESP-UIIPE.pdf”: </w:t>
      </w:r>
      <w:r>
        <w:rPr>
          <w:rFonts w:ascii="Palatino Linotype" w:eastAsia="Palatino Linotype" w:hAnsi="Palatino Linotype" w:cs="Palatino Linotype"/>
          <w:sz w:val="22"/>
          <w:szCs w:val="22"/>
        </w:rPr>
        <w:t>Oficio signado por el Coordinador de la UIPPE, en el que manifiesta remitir PBRM del año 2021.</w:t>
      </w:r>
    </w:p>
    <w:p w14:paraId="65BBA4C3" w14:textId="77777777" w:rsidR="006F16B0" w:rsidRDefault="00AD0B82">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noProof/>
          <w:sz w:val="22"/>
          <w:szCs w:val="22"/>
          <w:lang w:val="es-MX"/>
        </w:rPr>
        <w:lastRenderedPageBreak/>
        <w:drawing>
          <wp:inline distT="0" distB="0" distL="0" distR="0" wp14:anchorId="42C583A6" wp14:editId="2E584202">
            <wp:extent cx="5610225" cy="6638925"/>
            <wp:effectExtent l="0" t="0" r="0" b="0"/>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610225" cy="6638925"/>
                    </a:xfrm>
                    <a:prstGeom prst="rect">
                      <a:avLst/>
                    </a:prstGeom>
                    <a:ln/>
                  </pic:spPr>
                </pic:pic>
              </a:graphicData>
            </a:graphic>
          </wp:inline>
        </w:drawing>
      </w:r>
    </w:p>
    <w:p w14:paraId="6AACC0AD" w14:textId="77777777" w:rsidR="006F16B0" w:rsidRDefault="006F16B0">
      <w:pPr>
        <w:ind w:left="567" w:right="900"/>
        <w:jc w:val="both"/>
        <w:rPr>
          <w:rFonts w:ascii="Palatino Linotype" w:eastAsia="Palatino Linotype" w:hAnsi="Palatino Linotype" w:cs="Palatino Linotype"/>
          <w:sz w:val="22"/>
          <w:szCs w:val="22"/>
        </w:rPr>
      </w:pPr>
    </w:p>
    <w:p w14:paraId="0068A603" w14:textId="77777777" w:rsidR="006F16B0" w:rsidRDefault="006F16B0">
      <w:pPr>
        <w:ind w:left="567" w:right="900"/>
        <w:jc w:val="both"/>
        <w:rPr>
          <w:rFonts w:ascii="Palatino Linotype" w:eastAsia="Palatino Linotype" w:hAnsi="Palatino Linotype" w:cs="Palatino Linotype"/>
          <w:b/>
          <w:i/>
          <w:sz w:val="22"/>
          <w:szCs w:val="22"/>
        </w:rPr>
      </w:pPr>
    </w:p>
    <w:p w14:paraId="49B5698D" w14:textId="77777777" w:rsidR="006F16B0" w:rsidRDefault="006F16B0">
      <w:pPr>
        <w:ind w:left="567" w:right="900"/>
        <w:jc w:val="both"/>
        <w:rPr>
          <w:rFonts w:ascii="Palatino Linotype" w:eastAsia="Palatino Linotype" w:hAnsi="Palatino Linotype" w:cs="Palatino Linotype"/>
          <w:b/>
          <w:i/>
          <w:sz w:val="22"/>
          <w:szCs w:val="22"/>
        </w:rPr>
      </w:pPr>
    </w:p>
    <w:p w14:paraId="4F9F235C" w14:textId="77777777" w:rsidR="006F16B0" w:rsidRDefault="00AD0B8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3. Interposición de los recursos de revisión.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veintiocho de marzo</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de dos mil veintidós, el Recurrente, </w:t>
      </w:r>
      <w:r>
        <w:rPr>
          <w:rFonts w:ascii="Palatino Linotype" w:eastAsia="Palatino Linotype" w:hAnsi="Palatino Linotype" w:cs="Palatino Linotype"/>
        </w:rPr>
        <w:t>inconforme con las respuestas, interpuso los recursos de revisión que nos ocupan, expresando las siguientes manifestaciones:</w:t>
      </w:r>
    </w:p>
    <w:p w14:paraId="271C602F" w14:textId="77777777" w:rsidR="006F16B0" w:rsidRDefault="00AD0B82">
      <w:pPr>
        <w:spacing w:before="240" w:after="240" w:line="360" w:lineRule="auto"/>
        <w:ind w:right="49"/>
        <w:jc w:val="both"/>
        <w:rPr>
          <w:rFonts w:ascii="Palatino Linotype" w:eastAsia="Palatino Linotype" w:hAnsi="Palatino Linotype" w:cs="Palatino Linotype"/>
          <w:i/>
          <w:sz w:val="2"/>
          <w:szCs w:val="2"/>
        </w:rPr>
      </w:pPr>
      <w:r>
        <w:rPr>
          <w:rFonts w:ascii="Palatino Linotype" w:eastAsia="Palatino Linotype" w:hAnsi="Palatino Linotype" w:cs="Palatino Linotype"/>
          <w:b/>
          <w:sz w:val="22"/>
          <w:szCs w:val="22"/>
        </w:rPr>
        <w:t>Recurso de Revisión 05044/INFOEM/IP/RR/2022:</w:t>
      </w:r>
      <w:r>
        <w:rPr>
          <w:rFonts w:ascii="Palatino Linotype" w:eastAsia="Palatino Linotype" w:hAnsi="Palatino Linotype" w:cs="Palatino Linotype"/>
          <w:sz w:val="22"/>
          <w:szCs w:val="22"/>
        </w:rPr>
        <w:t xml:space="preserve">  </w:t>
      </w:r>
    </w:p>
    <w:p w14:paraId="06A2A3CC" w14:textId="77777777" w:rsidR="006F16B0" w:rsidRDefault="00AD0B82">
      <w:pPr>
        <w:spacing w:line="360" w:lineRule="auto"/>
        <w:ind w:left="567"/>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28728FD8" w14:textId="77777777" w:rsidR="006F16B0" w:rsidRDefault="00AD0B82">
      <w:pPr>
        <w:spacing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respuesta a la solicitud” (Sic)</w:t>
      </w:r>
    </w:p>
    <w:p w14:paraId="4E0516ED" w14:textId="77777777" w:rsidR="006F16B0" w:rsidRDefault="00AD0B82">
      <w:pPr>
        <w:spacing w:line="360" w:lineRule="auto"/>
        <w:ind w:left="567"/>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14:paraId="344D6A8C" w14:textId="77777777" w:rsidR="006F16B0" w:rsidRDefault="00AD0B82">
      <w:pPr>
        <w:spacing w:line="276" w:lineRule="auto"/>
        <w:ind w:left="567" w:right="900"/>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 xml:space="preserve"> “donde se declara la inexistencia de la información” (Sic)</w:t>
      </w:r>
    </w:p>
    <w:p w14:paraId="18FD5EA5" w14:textId="77777777" w:rsidR="006F16B0" w:rsidRDefault="006F16B0">
      <w:pPr>
        <w:spacing w:line="360" w:lineRule="auto"/>
        <w:jc w:val="both"/>
        <w:rPr>
          <w:rFonts w:ascii="Palatino Linotype" w:eastAsia="Palatino Linotype" w:hAnsi="Palatino Linotype" w:cs="Palatino Linotype"/>
          <w:sz w:val="2"/>
          <w:szCs w:val="2"/>
        </w:rPr>
      </w:pPr>
    </w:p>
    <w:p w14:paraId="4B2494FE" w14:textId="77777777" w:rsidR="006F16B0" w:rsidRDefault="006F16B0">
      <w:pPr>
        <w:spacing w:line="360" w:lineRule="auto"/>
        <w:jc w:val="both"/>
        <w:rPr>
          <w:rFonts w:ascii="Palatino Linotype" w:eastAsia="Palatino Linotype" w:hAnsi="Palatino Linotype" w:cs="Palatino Linotype"/>
          <w:sz w:val="2"/>
          <w:szCs w:val="2"/>
        </w:rPr>
      </w:pPr>
    </w:p>
    <w:p w14:paraId="55749ED3" w14:textId="77777777" w:rsidR="006F16B0" w:rsidRDefault="006F16B0">
      <w:pPr>
        <w:spacing w:line="360" w:lineRule="auto"/>
        <w:jc w:val="both"/>
        <w:rPr>
          <w:rFonts w:ascii="Palatino Linotype" w:eastAsia="Palatino Linotype" w:hAnsi="Palatino Linotype" w:cs="Palatino Linotype"/>
          <w:sz w:val="2"/>
          <w:szCs w:val="2"/>
        </w:rPr>
      </w:pPr>
    </w:p>
    <w:p w14:paraId="75FDFA96" w14:textId="77777777" w:rsidR="006F16B0" w:rsidRDefault="00AD0B82">
      <w:pPr>
        <w:spacing w:before="240" w:after="240"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Recurso de Revisión 05045/INFOEM/IP/RR/2022: </w:t>
      </w:r>
    </w:p>
    <w:p w14:paraId="2B8348F3" w14:textId="77777777" w:rsidR="006F16B0" w:rsidRDefault="00AD0B82">
      <w:pPr>
        <w:spacing w:line="360" w:lineRule="auto"/>
        <w:ind w:left="567"/>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669260E0" w14:textId="77777777" w:rsidR="006F16B0" w:rsidRDefault="00AD0B82">
      <w:pPr>
        <w:spacing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 entrega de </w:t>
      </w:r>
      <w:proofErr w:type="spellStart"/>
      <w:r>
        <w:rPr>
          <w:rFonts w:ascii="Palatino Linotype" w:eastAsia="Palatino Linotype" w:hAnsi="Palatino Linotype" w:cs="Palatino Linotype"/>
          <w:i/>
          <w:color w:val="000000"/>
          <w:sz w:val="22"/>
          <w:szCs w:val="22"/>
        </w:rPr>
        <w:t>informacion</w:t>
      </w:r>
      <w:proofErr w:type="spellEnd"/>
      <w:r>
        <w:rPr>
          <w:rFonts w:ascii="Palatino Linotype" w:eastAsia="Palatino Linotype" w:hAnsi="Palatino Linotype" w:cs="Palatino Linotype"/>
          <w:i/>
          <w:color w:val="000000"/>
          <w:sz w:val="22"/>
          <w:szCs w:val="22"/>
        </w:rPr>
        <w:t xml:space="preserve"> es incompleta y no es del año solicitado” (Sic)</w:t>
      </w:r>
    </w:p>
    <w:p w14:paraId="189B5FF9" w14:textId="77777777" w:rsidR="006F16B0" w:rsidRDefault="00AD0B82">
      <w:pPr>
        <w:spacing w:line="360" w:lineRule="auto"/>
        <w:ind w:left="567"/>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14:paraId="1BBD8AD5" w14:textId="77777777" w:rsidR="006F16B0" w:rsidRDefault="00AD0B82">
      <w:pPr>
        <w:spacing w:line="276" w:lineRule="auto"/>
        <w:ind w:left="567" w:right="900"/>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 xml:space="preserve"> “Artículo 222. Son causas de responsabilidad administrativa de los servidores públicos de los sujetos obligados, por incumplimiento de las obligaciones establecidas en la materia de la presente Ley, las siguientes: I. Cualquier acto u omisión que provoque la suspensión o deficiencia en la atención de las solicitudes de información; II. La falta de respuesta a las solicitudes de información en los plazos señalados en la normatividad aplicable; III. Actuar con negligencia, dolo o mala fe en la clasificación o desclasificación de la información, así como durante la sustanciación de las solicitudes en materia de acceso a la información o bien, al no difundir la información relativa a las obligaciones de transparencia prevista en la presente Ley; IV. Entregar información clasificada como reservada; V. Entregar información clasificada como confidencial fuera de los casos previstos por esta Ley; VI. Vender, sustraer o publicitar la información reservada; VII. Hacer caso omiso de los requerimientos y resoluciones del Instituto; VIII. Incumplir los plazos de atención previstos en la presente Ley; IX. Usar, sustraer, divulgar, ocultar, alterar, mutilar, destruir o </w:t>
      </w:r>
      <w:r>
        <w:rPr>
          <w:rFonts w:ascii="Palatino Linotype" w:eastAsia="Palatino Linotype" w:hAnsi="Palatino Linotype" w:cs="Palatino Linotype"/>
          <w:i/>
          <w:sz w:val="22"/>
          <w:szCs w:val="22"/>
        </w:rPr>
        <w:lastRenderedPageBreak/>
        <w:t xml:space="preserve">inutilizar, total o parcialmente, sin causa legítima, conforme a las facultades correspondientes, la información que se encuentre bajo la custodia de los sujetos obligados y de sus servidores públicos o a la cual tengan acceso o conocimiento con motivo de su empleo, cargo o comisión; X. Entregar información incomprensible, incompleta, en un formato no accesible, una modalidad de envío o de entrega diferente a la solicitada previamente por el usuario en su solicitud de acceso a la información, al responder sin la debida motivación y fundamentación establecidas en esta Ley; XI. No actualizar la información correspondiente a las obligaciones de transparencia en los plazos previstos en la presente Ley; XII. Declarar con dolo o negligencia la inexistencia de información cuando el sujeto obligado deba generarla, derivado del ejercicio de sus facultades, competencias o funciones; XIII. Declarar la inexistencia de la información cuando exista total o parcialmente en sus archivos; XIV. No documentar, el ejercicio de sus facultades, competencias, funciones o actos de autoridad, de conformidad con las disposiciones jurídicas aplicables; XV. Realizar actos para intimidar a los solicitantes de información o inhibir el ejercicio del derecho; XVI. Denegar intencionalmente información que no se encuentre clasificada como reservada o confidencial; XVII. Clasificar como reservada, con dolo o negligencia, la información sin que se cumplan las características señaladas en la presente Ley. La sanción procederá cuando exista una resolución previa del Instituto, que haya quedado firme; </w:t>
      </w:r>
      <w:proofErr w:type="spellStart"/>
      <w:r>
        <w:rPr>
          <w:rFonts w:ascii="Palatino Linotype" w:eastAsia="Palatino Linotype" w:hAnsi="Palatino Linotype" w:cs="Palatino Linotype"/>
          <w:i/>
          <w:sz w:val="22"/>
          <w:szCs w:val="22"/>
        </w:rPr>
        <w:t>XVIII.No</w:t>
      </w:r>
      <w:proofErr w:type="spellEnd"/>
      <w:r>
        <w:rPr>
          <w:rFonts w:ascii="Palatino Linotype" w:eastAsia="Palatino Linotype" w:hAnsi="Palatino Linotype" w:cs="Palatino Linotype"/>
          <w:i/>
          <w:sz w:val="22"/>
          <w:szCs w:val="22"/>
        </w:rPr>
        <w:t xml:space="preserve"> desclasificar la información como reservada cuando los motivos que le dieron origen ya no existan o haya fenecido el plazo, cuando el Instituto determine que existe una causa de interés público que persiste o no se solicite la prórroga al Comité de Transparencia; XIX. No atender los requerimientos establecidos en la presente Ley, emitidos por el Instituto; XX. No acatar las resoluciones emitidas por el Instituto, en ejercicio de sus funciones; y XXI. En general, dejar de cumplir con las disposiciones de esta Ley. Las sanciones se deberán aplicar atendiendo a la gravedad de la falta y, en su caso, las condiciones económicas del presunto responsable.” (Sic)</w:t>
      </w:r>
    </w:p>
    <w:p w14:paraId="5183C9C5" w14:textId="77777777" w:rsidR="006F16B0" w:rsidRDefault="00AD0B82">
      <w:pPr>
        <w:spacing w:before="240" w:after="240"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Recurso de </w:t>
      </w:r>
      <w:proofErr w:type="gramStart"/>
      <w:r>
        <w:rPr>
          <w:rFonts w:ascii="Palatino Linotype" w:eastAsia="Palatino Linotype" w:hAnsi="Palatino Linotype" w:cs="Palatino Linotype"/>
          <w:b/>
          <w:sz w:val="22"/>
          <w:szCs w:val="22"/>
        </w:rPr>
        <w:t>Revisión  05046</w:t>
      </w:r>
      <w:proofErr w:type="gramEnd"/>
      <w:r>
        <w:rPr>
          <w:rFonts w:ascii="Palatino Linotype" w:eastAsia="Palatino Linotype" w:hAnsi="Palatino Linotype" w:cs="Palatino Linotype"/>
          <w:b/>
          <w:sz w:val="22"/>
          <w:szCs w:val="22"/>
        </w:rPr>
        <w:t xml:space="preserve">/INFOEM/IP/RR/2022 </w:t>
      </w:r>
    </w:p>
    <w:p w14:paraId="47E073D7" w14:textId="77777777" w:rsidR="006F16B0" w:rsidRDefault="00AD0B82">
      <w:pPr>
        <w:spacing w:line="360" w:lineRule="auto"/>
        <w:ind w:left="567"/>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08C8E0D1" w14:textId="77777777" w:rsidR="006F16B0" w:rsidRDefault="00AD0B82">
      <w:pPr>
        <w:spacing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“no agrega respuesta” (Sic)</w:t>
      </w:r>
    </w:p>
    <w:p w14:paraId="1D656002" w14:textId="77777777" w:rsidR="006F16B0" w:rsidRDefault="00AD0B82">
      <w:pPr>
        <w:spacing w:line="360" w:lineRule="auto"/>
        <w:ind w:left="567"/>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b) Motivos de inconformidad.</w:t>
      </w:r>
    </w:p>
    <w:p w14:paraId="5520FB66" w14:textId="77777777" w:rsidR="006F16B0" w:rsidRDefault="00AD0B82">
      <w:pPr>
        <w:spacing w:line="276" w:lineRule="auto"/>
        <w:ind w:left="567" w:right="900"/>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 xml:space="preserve"> “De las Responsabilidades y Sanciones Artículo 222. Son causas de responsabilidad administrativa de los servidores públicos de los sujetos obligados, por incumplimiento de las obligaciones establecidas en la materia de la presente Ley, las siguientes: I. Cualquier acto u omisión que provoque la suspensión o deficiencia en la atención de las solicitudes de información; II. La falta de respuesta a las solicitudes de información en los plazos señalados en la normatividad aplicable; III. Actuar con negligencia, dolo o mala fe en la clasificación o desclasificación de la información, así como durante la sustanciación de las solicitudes en materia de acceso a la información o bien, al no difundir la información relativa a las obligaciones de transparencia prevista en la presente </w:t>
      </w:r>
      <w:proofErr w:type="spellStart"/>
      <w:proofErr w:type="gramStart"/>
      <w:r>
        <w:rPr>
          <w:rFonts w:ascii="Palatino Linotype" w:eastAsia="Palatino Linotype" w:hAnsi="Palatino Linotype" w:cs="Palatino Linotype"/>
          <w:i/>
          <w:sz w:val="22"/>
          <w:szCs w:val="22"/>
        </w:rPr>
        <w:t>Ley;IV</w:t>
      </w:r>
      <w:proofErr w:type="spellEnd"/>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 xml:space="preserve"> Entregar información clasificada como reservada; V. Entregar información clasificada como confidencial fuera de los casos previstos por esta Ley; VI. Vender, sustraer o publicitar la información reservada; VII. Hacer caso omiso de los requerimientos y resoluciones del Instituto; VIII. Incumplir los plazos de atención previstos en la presente Ley; IX. Usar, sustraer, divulgar, ocultar, alterar, mutilar, destruir o inutilizar, total o parcialmente, sin causa legítima, conforme a las facultades correspondientes, la información que se encuentre bajo la custodia de los sujetos obligados y de sus servidores públicos o a la cual tengan acceso o conocimiento con motivo de su empleo, cargo o comisión; X. Entregar información incomprensible, incompleta, en un formato no accesible, una modalidad de envío o de entrega diferente a la solicitada previamente por el usuario en su solicitud de acceso a la información, al responder sin la debida motivación y fundamentación establecidas en esta Ley; XI. No actualizar la información correspondiente a las obligaciones de transparencia en los plazos previstos en la presente Ley; XII. Declarar con dolo o negligencia la inexistencia de información cuando el sujeto obligado deba generarla, derivado del ejercicio de sus facultades, competencias o funciones; XIII. Declarar la inexistencia de la información cuando exista total o parcialmente en sus archivos; XIV. No documentar, el ejercicio de sus facultades, competencias, funciones o actos de autoridad, de conformidad con las disposiciones jurídicas aplicables; XV. Realizar actos para intimidar a los solicitantes de información o inhibir el ejercicio del derecho; XVI. Denegar intencionalmente información que no se encuentre clasificada como reservada o confidencial; XVII. Clasificar como reservada, con dolo o negligencia, la información sin que se cumplan </w:t>
      </w:r>
      <w:r>
        <w:rPr>
          <w:rFonts w:ascii="Palatino Linotype" w:eastAsia="Palatino Linotype" w:hAnsi="Palatino Linotype" w:cs="Palatino Linotype"/>
          <w:i/>
          <w:sz w:val="22"/>
          <w:szCs w:val="22"/>
        </w:rPr>
        <w:lastRenderedPageBreak/>
        <w:t xml:space="preserve">las características señaladas en la presente Ley. La sanción procederá cuando exista una resolución previa del Instituto, que haya quedado firme; </w:t>
      </w:r>
      <w:proofErr w:type="spellStart"/>
      <w:r>
        <w:rPr>
          <w:rFonts w:ascii="Palatino Linotype" w:eastAsia="Palatino Linotype" w:hAnsi="Palatino Linotype" w:cs="Palatino Linotype"/>
          <w:i/>
          <w:sz w:val="22"/>
          <w:szCs w:val="22"/>
        </w:rPr>
        <w:t>XVIII.No</w:t>
      </w:r>
      <w:proofErr w:type="spellEnd"/>
      <w:r>
        <w:rPr>
          <w:rFonts w:ascii="Palatino Linotype" w:eastAsia="Palatino Linotype" w:hAnsi="Palatino Linotype" w:cs="Palatino Linotype"/>
          <w:i/>
          <w:sz w:val="22"/>
          <w:szCs w:val="22"/>
        </w:rPr>
        <w:t xml:space="preserve"> desclasificar la información como reservada cuando los motivos que le dieron origen ya no existan o haya fenecido el plazo, cuando el Instituto determine que existe una causa de interés público que persiste o no se solicite la prórroga al Comité de Transparencia; XIX. No atender los requerimientos establecidos en la presente Ley, emitidos por el Instituto; XX. No acatar las resoluciones emitidas por el Instituto, en ejercicio de sus funciones; y XXI. En general, dejar de cumplir con las disposiciones de esta Ley. Las sanciones se deberán aplicar atendiendo a la gravedad de la falta y, en su caso, las condiciones económicas del presunto responsable.” (Sic)</w:t>
      </w:r>
    </w:p>
    <w:p w14:paraId="6D596D9D" w14:textId="77777777" w:rsidR="006F16B0" w:rsidRDefault="00AD0B8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De conformidad con el artículo 185 fracción I de la Ley Transparencia y Acceso a la Información Pública, los recursos de revisión fueron</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turnados de la siguiente manera a efecto de presentar al Pleno los proyectos de resolución correspondientes: </w:t>
      </w:r>
    </w:p>
    <w:tbl>
      <w:tblPr>
        <w:tblStyle w:val="afc"/>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6F16B0" w14:paraId="40F1A819" w14:textId="77777777">
        <w:tc>
          <w:tcPr>
            <w:tcW w:w="4460" w:type="dxa"/>
            <w:shd w:val="clear" w:color="auto" w:fill="2F5496"/>
          </w:tcPr>
          <w:p w14:paraId="1ACF2004" w14:textId="77777777" w:rsidR="006F16B0" w:rsidRDefault="00AD0B82">
            <w:pPr>
              <w:spacing w:before="240" w:after="240" w:line="360" w:lineRule="auto"/>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Recurso de Revisión</w:t>
            </w:r>
          </w:p>
        </w:tc>
        <w:tc>
          <w:tcPr>
            <w:tcW w:w="4461" w:type="dxa"/>
            <w:shd w:val="clear" w:color="auto" w:fill="2F5496"/>
          </w:tcPr>
          <w:p w14:paraId="170BF639" w14:textId="77777777" w:rsidR="006F16B0" w:rsidRDefault="00AD0B82">
            <w:pPr>
              <w:spacing w:before="240" w:after="240" w:line="360" w:lineRule="auto"/>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Comisionada/o</w:t>
            </w:r>
          </w:p>
        </w:tc>
      </w:tr>
      <w:tr w:rsidR="006F16B0" w14:paraId="580CD0C2" w14:textId="77777777">
        <w:tc>
          <w:tcPr>
            <w:tcW w:w="4460" w:type="dxa"/>
          </w:tcPr>
          <w:p w14:paraId="11CA9430" w14:textId="77777777" w:rsidR="006F16B0" w:rsidRDefault="00AD0B82">
            <w:pPr>
              <w:spacing w:before="240" w:after="240" w:line="276" w:lineRule="auto"/>
              <w:jc w:val="center"/>
              <w:rPr>
                <w:rFonts w:ascii="Palatino Linotype" w:eastAsia="Palatino Linotype" w:hAnsi="Palatino Linotype" w:cs="Palatino Linotype"/>
                <w:b/>
              </w:rPr>
            </w:pPr>
            <w:r>
              <w:rPr>
                <w:rFonts w:ascii="Palatino Linotype" w:eastAsia="Palatino Linotype" w:hAnsi="Palatino Linotype" w:cs="Palatino Linotype"/>
                <w:b/>
                <w:sz w:val="20"/>
                <w:szCs w:val="20"/>
              </w:rPr>
              <w:t xml:space="preserve">05044/INFOEM/IP/RR/2022 </w:t>
            </w:r>
          </w:p>
        </w:tc>
        <w:tc>
          <w:tcPr>
            <w:tcW w:w="4461" w:type="dxa"/>
          </w:tcPr>
          <w:p w14:paraId="23A3A565" w14:textId="77777777" w:rsidR="006F16B0" w:rsidRDefault="00AD0B82">
            <w:pPr>
              <w:spacing w:before="240" w:after="240"/>
              <w:jc w:val="center"/>
              <w:rPr>
                <w:rFonts w:ascii="Palatino Linotype" w:eastAsia="Palatino Linotype" w:hAnsi="Palatino Linotype" w:cs="Palatino Linotype"/>
              </w:rPr>
            </w:pPr>
            <w:r>
              <w:rPr>
                <w:rFonts w:ascii="Palatino Linotype" w:eastAsia="Palatino Linotype" w:hAnsi="Palatino Linotype" w:cs="Palatino Linotype"/>
              </w:rPr>
              <w:t>Comisionada Guadalupe Ramírez Peña</w:t>
            </w:r>
          </w:p>
        </w:tc>
      </w:tr>
      <w:tr w:rsidR="006F16B0" w14:paraId="5C9FD178" w14:textId="77777777">
        <w:tc>
          <w:tcPr>
            <w:tcW w:w="4460" w:type="dxa"/>
          </w:tcPr>
          <w:p w14:paraId="7EB17DBC" w14:textId="77777777" w:rsidR="006F16B0" w:rsidRDefault="00AD0B82">
            <w:pPr>
              <w:spacing w:before="240" w:after="240" w:line="276"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05045/INFOEM/IP/RR/2022</w:t>
            </w:r>
          </w:p>
        </w:tc>
        <w:tc>
          <w:tcPr>
            <w:tcW w:w="4461" w:type="dxa"/>
          </w:tcPr>
          <w:p w14:paraId="7A319EA3" w14:textId="77777777" w:rsidR="006F16B0" w:rsidRDefault="00AD0B82">
            <w:pPr>
              <w:spacing w:before="240" w:after="240"/>
              <w:jc w:val="center"/>
              <w:rPr>
                <w:rFonts w:ascii="Palatino Linotype" w:eastAsia="Palatino Linotype" w:hAnsi="Palatino Linotype" w:cs="Palatino Linotype"/>
              </w:rPr>
            </w:pPr>
            <w:r>
              <w:rPr>
                <w:rFonts w:ascii="Palatino Linotype" w:eastAsia="Palatino Linotype" w:hAnsi="Palatino Linotype" w:cs="Palatino Linotype"/>
              </w:rPr>
              <w:t xml:space="preserve">Comisionado </w:t>
            </w:r>
            <w:proofErr w:type="gramStart"/>
            <w:r>
              <w:rPr>
                <w:rFonts w:ascii="Palatino Linotype" w:eastAsia="Palatino Linotype" w:hAnsi="Palatino Linotype" w:cs="Palatino Linotype"/>
              </w:rPr>
              <w:t>Presidente</w:t>
            </w:r>
            <w:proofErr w:type="gramEnd"/>
            <w:r>
              <w:rPr>
                <w:rFonts w:ascii="Palatino Linotype" w:eastAsia="Palatino Linotype" w:hAnsi="Palatino Linotype" w:cs="Palatino Linotype"/>
              </w:rPr>
              <w:t xml:space="preserve"> José Martínez Vilchis</w:t>
            </w:r>
          </w:p>
        </w:tc>
      </w:tr>
      <w:tr w:rsidR="006F16B0" w14:paraId="602F394F" w14:textId="77777777">
        <w:tc>
          <w:tcPr>
            <w:tcW w:w="4460" w:type="dxa"/>
          </w:tcPr>
          <w:p w14:paraId="7A33C4FA" w14:textId="77777777" w:rsidR="006F16B0" w:rsidRDefault="005C1331">
            <w:pPr>
              <w:spacing w:before="240" w:after="240" w:line="276" w:lineRule="auto"/>
              <w:jc w:val="center"/>
              <w:rPr>
                <w:rFonts w:ascii="Palatino Linotype" w:eastAsia="Palatino Linotype" w:hAnsi="Palatino Linotype" w:cs="Palatino Linotype"/>
                <w:b/>
                <w:sz w:val="20"/>
                <w:szCs w:val="20"/>
                <w:highlight w:val="red"/>
              </w:rPr>
            </w:pPr>
            <w:r>
              <w:rPr>
                <w:rFonts w:ascii="Palatino Linotype" w:eastAsia="Palatino Linotype" w:hAnsi="Palatino Linotype" w:cs="Palatino Linotype"/>
                <w:b/>
                <w:sz w:val="20"/>
                <w:szCs w:val="20"/>
              </w:rPr>
              <w:t>0504</w:t>
            </w:r>
            <w:r w:rsidR="00AD0B82">
              <w:rPr>
                <w:rFonts w:ascii="Palatino Linotype" w:eastAsia="Palatino Linotype" w:hAnsi="Palatino Linotype" w:cs="Palatino Linotype"/>
                <w:b/>
                <w:sz w:val="20"/>
                <w:szCs w:val="20"/>
              </w:rPr>
              <w:t>6/INFOEM/IP/RR/2022</w:t>
            </w:r>
          </w:p>
        </w:tc>
        <w:tc>
          <w:tcPr>
            <w:tcW w:w="4461" w:type="dxa"/>
          </w:tcPr>
          <w:p w14:paraId="2F18A99A" w14:textId="77777777" w:rsidR="006F16B0" w:rsidRDefault="00AD0B82">
            <w:pPr>
              <w:spacing w:before="240" w:after="240"/>
              <w:jc w:val="center"/>
              <w:rPr>
                <w:rFonts w:ascii="Palatino Linotype" w:eastAsia="Palatino Linotype" w:hAnsi="Palatino Linotype" w:cs="Palatino Linotype"/>
              </w:rPr>
            </w:pPr>
            <w:r>
              <w:rPr>
                <w:rFonts w:ascii="Palatino Linotype" w:eastAsia="Palatino Linotype" w:hAnsi="Palatino Linotype" w:cs="Palatino Linotype"/>
              </w:rPr>
              <w:t>Comisionado Luis Gustavo Parra Noriega</w:t>
            </w:r>
          </w:p>
        </w:tc>
      </w:tr>
    </w:tbl>
    <w:p w14:paraId="0EB666AA" w14:textId="77777777" w:rsidR="006F16B0" w:rsidRDefault="00AD0B8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w:t>
      </w:r>
      <w:r>
        <w:rPr>
          <w:rFonts w:ascii="Palatino Linotype" w:eastAsia="Palatino Linotype" w:hAnsi="Palatino Linotype" w:cs="Palatino Linotype"/>
        </w:rPr>
        <w:t xml:space="preserve">En fechas, </w:t>
      </w:r>
      <w:r>
        <w:rPr>
          <w:rFonts w:ascii="Palatino Linotype" w:eastAsia="Palatino Linotype" w:hAnsi="Palatino Linotype" w:cs="Palatino Linotype"/>
          <w:b/>
        </w:rPr>
        <w:t>treinta y uno de marzo y</w:t>
      </w:r>
      <w:r>
        <w:rPr>
          <w:rFonts w:ascii="Palatino Linotype" w:eastAsia="Palatino Linotype" w:hAnsi="Palatino Linotype" w:cs="Palatino Linotype"/>
        </w:rPr>
        <w:t xml:space="preserve"> </w:t>
      </w:r>
      <w:r>
        <w:rPr>
          <w:rFonts w:ascii="Palatino Linotype" w:eastAsia="Palatino Linotype" w:hAnsi="Palatino Linotype" w:cs="Palatino Linotype"/>
          <w:b/>
        </w:rPr>
        <w:t>uno de abril de dos mil veintidós,</w:t>
      </w:r>
      <w:r>
        <w:rPr>
          <w:rFonts w:ascii="Palatino Linotype" w:eastAsia="Palatino Linotype" w:hAnsi="Palatino Linotype" w:cs="Palatino Linotype"/>
        </w:rPr>
        <w:t xml:space="preserve"> en términos de lo dispuesto en el artículo 185 fracciones I, II y IV de la Ley de Transparencia y Acceso a la Información Pública del Estado de México y Municipios, se admitieron a trámite los recursos de revisión.</w:t>
      </w:r>
    </w:p>
    <w:p w14:paraId="068D4EDE" w14:textId="77777777" w:rsidR="006F16B0" w:rsidRDefault="00AD0B8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6. Acumulación. </w:t>
      </w:r>
      <w:r>
        <w:rPr>
          <w:rFonts w:ascii="Palatino Linotype" w:eastAsia="Palatino Linotype" w:hAnsi="Palatino Linotype" w:cs="Palatino Linotype"/>
        </w:rPr>
        <w:t xml:space="preserve">En la </w:t>
      </w:r>
      <w:r>
        <w:rPr>
          <w:rFonts w:ascii="Palatino Linotype" w:eastAsia="Palatino Linotype" w:hAnsi="Palatino Linotype" w:cs="Palatino Linotype"/>
          <w:b/>
        </w:rPr>
        <w:t>Décima Tercera Sesión Ordinaria</w:t>
      </w:r>
      <w:r>
        <w:rPr>
          <w:rFonts w:ascii="Palatino Linotype" w:eastAsia="Palatino Linotype" w:hAnsi="Palatino Linotype" w:cs="Palatino Linotype"/>
        </w:rPr>
        <w:t xml:space="preserve"> celebrada el </w:t>
      </w:r>
      <w:r>
        <w:rPr>
          <w:rFonts w:ascii="Palatino Linotype" w:eastAsia="Palatino Linotype" w:hAnsi="Palatino Linotype" w:cs="Palatino Linotype"/>
          <w:b/>
        </w:rPr>
        <w:t>siete de abril de dos mil veintidós</w:t>
      </w:r>
      <w:r>
        <w:rPr>
          <w:rFonts w:ascii="Palatino Linotype" w:eastAsia="Palatino Linotype" w:hAnsi="Palatino Linotype" w:cs="Palatino Linotype"/>
        </w:rPr>
        <w:t xml:space="preserve">, 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que mediante acuerdo se notificó a las partes vía SAIMEX. </w:t>
      </w:r>
    </w:p>
    <w:p w14:paraId="76175C95" w14:textId="77777777" w:rsidR="006F16B0" w:rsidRDefault="00AD0B82">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7. Manifestaciones. </w:t>
      </w:r>
      <w:r>
        <w:rPr>
          <w:rFonts w:ascii="Palatino Linotype" w:eastAsia="Palatino Linotype" w:hAnsi="Palatino Linotype" w:cs="Palatino Linotype"/>
        </w:rPr>
        <w:t xml:space="preserve">De las constancias que obran en los expedientes electrónicos del SAIMEX se desprende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omiso en rendir informes justificados, asimismo resulta pertinente apuntar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por su parte, </w:t>
      </w:r>
      <w:r>
        <w:rPr>
          <w:rFonts w:ascii="Palatino Linotype" w:eastAsia="Palatino Linotype" w:hAnsi="Palatino Linotype" w:cs="Palatino Linotype"/>
          <w:b/>
        </w:rPr>
        <w:t>la</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parte Recurrente </w:t>
      </w:r>
      <w:r>
        <w:rPr>
          <w:rFonts w:ascii="Palatino Linotype" w:eastAsia="Palatino Linotype" w:hAnsi="Palatino Linotype" w:cs="Palatino Linotype"/>
        </w:rPr>
        <w:t xml:space="preserve">omitió realizar manifestaciones, formular alegatos y ofrecer algún medio de prueba. </w:t>
      </w:r>
    </w:p>
    <w:p w14:paraId="7947BA55" w14:textId="77777777" w:rsidR="006F16B0" w:rsidRDefault="00AD0B8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8.- Ampliaciones del plazo para emitir resolución.</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uno de agosto de dos mil veintidós</w:t>
      </w:r>
      <w:r>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4FC458F9" w14:textId="77777777" w:rsidR="006F16B0" w:rsidRDefault="00AD0B8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w:t>
      </w:r>
      <w:r>
        <w:rPr>
          <w:rFonts w:ascii="Palatino Linotype" w:eastAsia="Palatino Linotype" w:hAnsi="Palatino Linotype" w:cs="Palatino Linotype"/>
        </w:rPr>
        <w:lastRenderedPageBreak/>
        <w:t>ha incrementado aproximadamente un 400%, circunstancia atípica que ha rebasado las capacidades técnicas y humanas del personal encargado de la proyección de las resoluciones a dichos medios de impugnación.</w:t>
      </w:r>
    </w:p>
    <w:p w14:paraId="3A96194E" w14:textId="77777777" w:rsidR="006F16B0" w:rsidRDefault="00AD0B8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ello, es menester precisar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B559ECD" w14:textId="77777777" w:rsidR="006F16B0" w:rsidRDefault="00AD0B8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EB9F3AB" w14:textId="77777777" w:rsidR="006F16B0" w:rsidRDefault="00AD0B8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EC5AEC2" w14:textId="77777777" w:rsidR="006F16B0" w:rsidRDefault="00AD0B8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 </w:t>
      </w:r>
    </w:p>
    <w:p w14:paraId="50CDEE77" w14:textId="77777777" w:rsidR="006F16B0" w:rsidRDefault="00AD0B82">
      <w:pPr>
        <w:numPr>
          <w:ilvl w:val="0"/>
          <w:numId w:val="2"/>
        </w:numPr>
        <w:spacing w:before="240" w:after="240" w:line="360" w:lineRule="auto"/>
        <w:ind w:left="567" w:right="1183" w:hanging="283"/>
        <w:jc w:val="both"/>
        <w:rPr>
          <w:rFonts w:ascii="Palatino Linotype" w:eastAsia="Palatino Linotype" w:hAnsi="Palatino Linotype" w:cs="Palatino Linotype"/>
        </w:rPr>
      </w:pPr>
      <w:r>
        <w:rPr>
          <w:rFonts w:ascii="Palatino Linotype" w:eastAsia="Palatino Linotype" w:hAnsi="Palatino Linotype" w:cs="Palatino Linotype"/>
        </w:rPr>
        <w:lastRenderedPageBreak/>
        <w:t>Complejidad del Asunto: La complejidad de la prueba, la pluralidad de sujetos procesales, el tiempo transcurrido, las características y contexto del recurso. </w:t>
      </w:r>
    </w:p>
    <w:p w14:paraId="07422898" w14:textId="77777777" w:rsidR="006F16B0" w:rsidRDefault="00AD0B82">
      <w:pPr>
        <w:numPr>
          <w:ilvl w:val="0"/>
          <w:numId w:val="2"/>
        </w:numPr>
        <w:spacing w:before="240" w:after="240" w:line="360" w:lineRule="auto"/>
        <w:ind w:left="567" w:right="1183" w:hanging="283"/>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14:paraId="101C0F23" w14:textId="77777777" w:rsidR="006F16B0" w:rsidRDefault="00AD0B82">
      <w:pPr>
        <w:numPr>
          <w:ilvl w:val="0"/>
          <w:numId w:val="3"/>
        </w:numPr>
        <w:spacing w:before="240" w:after="240" w:line="360" w:lineRule="auto"/>
        <w:ind w:left="567" w:right="1183" w:hanging="283"/>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14:paraId="1F7D62DF" w14:textId="77777777" w:rsidR="006F16B0" w:rsidRDefault="00AD0B82">
      <w:pPr>
        <w:spacing w:before="240" w:after="240" w:line="360" w:lineRule="auto"/>
        <w:ind w:left="567" w:right="1183" w:hanging="283"/>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14:paraId="2846BE7C" w14:textId="77777777" w:rsidR="006F16B0" w:rsidRDefault="00AD0B8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D065ABD" w14:textId="77777777" w:rsidR="006F16B0" w:rsidRDefault="00AD0B8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Pr>
          <w:rFonts w:ascii="Palatino Linotype" w:eastAsia="Palatino Linotype" w:hAnsi="Palatino Linotype" w:cs="Palatino Linotype"/>
          <w:i/>
        </w:rPr>
        <w:lastRenderedPageBreak/>
        <w:t>CARACTERÍSTICAS DEL CASO.”</w:t>
      </w:r>
      <w:r>
        <w:rPr>
          <w:rFonts w:ascii="Palatino Linotype" w:eastAsia="Palatino Linotype" w:hAnsi="Palatino Linotype" w:cs="Palatino Linotype"/>
        </w:rPr>
        <w:t>, visible en la Gaceta del Seminario Judicial de la Federación con el registro digital 205635.</w:t>
      </w:r>
    </w:p>
    <w:p w14:paraId="37D3C746" w14:textId="77777777" w:rsidR="006F16B0" w:rsidRDefault="00AD0B8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2908E43" w14:textId="77777777" w:rsidR="006F16B0" w:rsidRDefault="00AD0B8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EAE8546" w14:textId="77777777" w:rsidR="006F16B0" w:rsidRDefault="00AD0B8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583B753E" w14:textId="77777777" w:rsidR="006F16B0" w:rsidRDefault="00AD0B8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14:paraId="7C0DA8CE" w14:textId="77777777" w:rsidR="006F16B0" w:rsidRDefault="00AD0B8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ello, este organismo garante comprometido con la tutela de los derechos humanos confiados, señala que este exceso del plazo legal para resolver el presente asunto, resulta de carácter excepcional.</w:t>
      </w:r>
    </w:p>
    <w:p w14:paraId="3311EC82" w14:textId="77777777" w:rsidR="006F16B0" w:rsidRDefault="00AD0B8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9. Cierres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Pr>
          <w:rFonts w:ascii="Palatino Linotype" w:eastAsia="Palatino Linotype" w:hAnsi="Palatino Linotype" w:cs="Palatino Linotype"/>
          <w:b/>
          <w:color w:val="000000"/>
        </w:rPr>
        <w:t xml:space="preserve">uno de agosto </w:t>
      </w:r>
      <w:r>
        <w:rPr>
          <w:rFonts w:ascii="Palatino Linotype" w:eastAsia="Palatino Linotype" w:hAnsi="Palatino Linotype" w:cs="Palatino Linotype"/>
          <w:b/>
        </w:rPr>
        <w:t>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51AB12DD" w14:textId="77777777" w:rsidR="006F16B0" w:rsidRDefault="00AD0B8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fueron debidamente sustanciados los expedientes electrónicos y no existe diligencia pendiente de desahogo, se emite la Resolución que conforme a Derecho proceda, de acuerdo con los siguientes: </w:t>
      </w:r>
    </w:p>
    <w:p w14:paraId="2AFF87BF" w14:textId="77777777" w:rsidR="006F16B0" w:rsidRDefault="00AD0B82">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w:t>
      </w:r>
    </w:p>
    <w:p w14:paraId="28076D99" w14:textId="77777777" w:rsidR="006F16B0" w:rsidRDefault="00AD0B8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los presentes recursos de revisión interpuestos por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w:t>
      </w:r>
      <w:r>
        <w:rPr>
          <w:rFonts w:ascii="Palatino Linotype" w:eastAsia="Palatino Linotype" w:hAnsi="Palatino Linotype" w:cs="Palatino Linotype"/>
        </w:rPr>
        <w:lastRenderedPageBreak/>
        <w:t>Reglamento Interior del Instituto de Transparencia, Acceso a la Información Pública y Protección de Datos Personales del Estado de México y Municipios.</w:t>
      </w:r>
    </w:p>
    <w:p w14:paraId="40045DCD" w14:textId="77777777" w:rsidR="006F16B0" w:rsidRDefault="00AD0B82">
      <w:pPr>
        <w:spacing w:before="240" w:after="240" w:line="360" w:lineRule="auto"/>
        <w:jc w:val="both"/>
        <w:rPr>
          <w:rFonts w:ascii="Palatino Linotype" w:eastAsia="Palatino Linotype" w:hAnsi="Palatino Linotype" w:cs="Palatino Linotype"/>
        </w:rPr>
      </w:pPr>
      <w:bookmarkStart w:id="1" w:name="_heading=h.30j0zll" w:colFirst="0" w:colLast="0"/>
      <w:bookmarkEnd w:id="1"/>
      <w:r>
        <w:rPr>
          <w:rFonts w:ascii="Palatino Linotype" w:eastAsia="Palatino Linotype" w:hAnsi="Palatino Linotype" w:cs="Palatino Linotype"/>
          <w:b/>
        </w:rPr>
        <w:t>Segundo. Oportunidad y Procedibilidad de los Recursos de Revisión</w:t>
      </w:r>
      <w:r>
        <w:rPr>
          <w:rFonts w:ascii="Palatino Linotype" w:eastAsia="Palatino Linotype" w:hAnsi="Palatino Linotype" w:cs="Palatino Linotype"/>
        </w:rPr>
        <w:t>.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028F4570" w14:textId="77777777" w:rsidR="006F16B0" w:rsidRDefault="00AD0B8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a las solicitudes de información el día </w:t>
      </w:r>
      <w:r>
        <w:rPr>
          <w:rFonts w:ascii="Palatino Linotype" w:eastAsia="Palatino Linotype" w:hAnsi="Palatino Linotype" w:cs="Palatino Linotype"/>
          <w:b/>
        </w:rPr>
        <w:t>veinticinco de marzo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de dos mil veintidós</w:t>
      </w:r>
      <w:r>
        <w:rPr>
          <w:rFonts w:ascii="Palatino Linotype" w:eastAsia="Palatino Linotype" w:hAnsi="Palatino Linotype" w:cs="Palatino Linotype"/>
        </w:rPr>
        <w:t xml:space="preserve">, sin embargo, los recursos de revisión se interpusieron el día </w:t>
      </w:r>
      <w:r>
        <w:rPr>
          <w:rFonts w:ascii="Palatino Linotype" w:eastAsia="Palatino Linotype" w:hAnsi="Palatino Linotype" w:cs="Palatino Linotype"/>
          <w:b/>
        </w:rPr>
        <w:t>veintiocho de marzo de dos mil veintidós</w:t>
      </w:r>
      <w:r>
        <w:rPr>
          <w:rFonts w:ascii="Palatino Linotype" w:eastAsia="Palatino Linotype" w:hAnsi="Palatino Linotype" w:cs="Palatino Linotype"/>
        </w:rPr>
        <w:t xml:space="preserve">, esto es al </w:t>
      </w:r>
      <w:r>
        <w:rPr>
          <w:rFonts w:ascii="Palatino Linotype" w:eastAsia="Palatino Linotype" w:hAnsi="Palatino Linotype" w:cs="Palatino Linotype"/>
          <w:b/>
        </w:rPr>
        <w:t>primer día hábil después de conocerse las respuestas</w:t>
      </w:r>
      <w:r>
        <w:rPr>
          <w:rFonts w:ascii="Palatino Linotype" w:eastAsia="Palatino Linotype" w:hAnsi="Palatino Linotype" w:cs="Palatino Linotype"/>
        </w:rPr>
        <w:t xml:space="preserve"> por lo que se encuentran dentro de los márgenes temporales establecidos por la Ley en la materia.</w:t>
      </w:r>
    </w:p>
    <w:p w14:paraId="4D67837F" w14:textId="77777777" w:rsidR="006F16B0" w:rsidRDefault="00AD0B82">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por cuanto hace a la procedibilidad de los recursos de revisión, es de suma importancia señalar que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no señaló nombre con el cual desee ser identificado,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72C869E" w14:textId="77777777" w:rsidR="006F16B0" w:rsidRDefault="00AD0B82">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"Las solicitudes anónimas, con nombre incompleto o seudónimo serán procedentes para su trámite por parte del sujeto obligado ante quien se presente. No podrá requerirse información adicional con motivo del nombre proporcionado por el solicitante."</w:t>
      </w:r>
    </w:p>
    <w:p w14:paraId="22351FF6" w14:textId="77777777" w:rsidR="006F16B0" w:rsidRDefault="00AD0B8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6B17DB8F" w14:textId="77777777" w:rsidR="006F16B0" w:rsidRDefault="00AD0B8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 los recursos, según lo manifestado por el recurrente en sus motivos de inconformidad, de acuerdo al artículo 179, fracciones I, III, V y VI del ordenamiento legal citado, que a la letra dice: </w:t>
      </w:r>
    </w:p>
    <w:p w14:paraId="0D4EE9D3" w14:textId="77777777" w:rsidR="006F16B0" w:rsidRDefault="00AD0B82">
      <w:pPr>
        <w:tabs>
          <w:tab w:val="left" w:pos="7088"/>
        </w:tabs>
        <w:spacing w:before="120"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276CF448" w14:textId="77777777" w:rsidR="006F16B0" w:rsidRDefault="00AD0B82">
      <w:pPr>
        <w:tabs>
          <w:tab w:val="left" w:pos="7088"/>
        </w:tabs>
        <w:spacing w:before="120" w:after="120"/>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 La negativa a la información solicitada; </w:t>
      </w:r>
    </w:p>
    <w:p w14:paraId="19E44394" w14:textId="77777777" w:rsidR="006F16B0" w:rsidRDefault="00AD0B82">
      <w:pPr>
        <w:tabs>
          <w:tab w:val="left" w:pos="7088"/>
        </w:tabs>
        <w:spacing w:before="120" w:after="120"/>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65013AF0" w14:textId="77777777" w:rsidR="006F16B0" w:rsidRDefault="00AD0B82">
      <w:pPr>
        <w:tabs>
          <w:tab w:val="left" w:pos="7088"/>
        </w:tabs>
        <w:spacing w:before="120" w:after="120"/>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III. La declaración de inexistencia de la información; </w:t>
      </w:r>
    </w:p>
    <w:p w14:paraId="7B3EEF89" w14:textId="77777777" w:rsidR="006F16B0" w:rsidRDefault="00AD0B82">
      <w:pPr>
        <w:tabs>
          <w:tab w:val="left" w:pos="7088"/>
        </w:tabs>
        <w:spacing w:before="120" w:after="120"/>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38785F9E" w14:textId="77777777" w:rsidR="006F16B0" w:rsidRDefault="00AD0B82">
      <w:pPr>
        <w:tabs>
          <w:tab w:val="left" w:pos="7088"/>
        </w:tabs>
        <w:spacing w:before="120" w:after="120"/>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V. La entrega de información incompleta; </w:t>
      </w:r>
    </w:p>
    <w:p w14:paraId="7CF90C2F" w14:textId="77777777" w:rsidR="006F16B0" w:rsidRDefault="00AD0B82">
      <w:pPr>
        <w:tabs>
          <w:tab w:val="left" w:pos="7088"/>
        </w:tabs>
        <w:spacing w:before="120" w:after="120"/>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VI. La entrega de información que no corresponda con lo solicitado;</w:t>
      </w:r>
      <w:r>
        <w:rPr>
          <w:rFonts w:ascii="Palatino Linotype" w:eastAsia="Palatino Linotype" w:hAnsi="Palatino Linotype" w:cs="Palatino Linotype"/>
          <w:i/>
          <w:sz w:val="22"/>
          <w:szCs w:val="22"/>
        </w:rPr>
        <w:t>”</w:t>
      </w:r>
    </w:p>
    <w:p w14:paraId="79555477" w14:textId="77777777" w:rsidR="006F16B0" w:rsidRDefault="00AD0B82">
      <w:pPr>
        <w:tabs>
          <w:tab w:val="left" w:pos="7088"/>
        </w:tabs>
        <w:spacing w:before="120"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599660ED" w14:textId="77777777" w:rsidR="006F16B0" w:rsidRDefault="00AD0B82">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los expedientes electrónicos se advierte, que el tema sobre el que este Organismo Garante de Transparencia y Acceso a la Información se pronunciará será: </w:t>
      </w:r>
      <w:r>
        <w:rPr>
          <w:rFonts w:ascii="Palatino Linotype" w:eastAsia="Palatino Linotype" w:hAnsi="Palatino Linotype" w:cs="Palatino Linotype"/>
          <w:b/>
        </w:rPr>
        <w:lastRenderedPageBreak/>
        <w:t xml:space="preserve">verificar si las respuestas otorgadas por el Sujeto Obligado son adecuadas y suficientes para satisfacer el derecho de acceso a la información pública </w:t>
      </w:r>
      <w:r>
        <w:rPr>
          <w:rFonts w:ascii="Palatino Linotype" w:eastAsia="Palatino Linotype" w:hAnsi="Palatino Linotype" w:cs="Palatino Linotype"/>
        </w:rPr>
        <w:t xml:space="preserve">de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14:paraId="79113C23" w14:textId="77777777" w:rsidR="006F16B0" w:rsidRDefault="00AD0B8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253CF4F7" w14:textId="77777777" w:rsidR="006F16B0" w:rsidRDefault="00AD0B82">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2E8E7116" w14:textId="77777777" w:rsidR="006F16B0" w:rsidRDefault="00AD0B82">
      <w:pPr>
        <w:tabs>
          <w:tab w:val="left" w:pos="709"/>
        </w:tabs>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29952C2A" w14:textId="77777777" w:rsidR="006F16B0" w:rsidRDefault="00AD0B82">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5ACC128F" w14:textId="77777777" w:rsidR="006F16B0" w:rsidRDefault="00AD0B82">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1F0E6D7" w14:textId="77777777" w:rsidR="006F16B0" w:rsidRDefault="00AD0B82">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14:paraId="71D4BFB6" w14:textId="77777777" w:rsidR="006F16B0" w:rsidRDefault="00AD0B82">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9CBA1C1" w14:textId="77777777" w:rsidR="006F16B0" w:rsidRDefault="00AD0B8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14:paraId="64092DAC" w14:textId="77777777" w:rsidR="006F16B0" w:rsidRDefault="00AD0B8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4F2A010A" w14:textId="77777777" w:rsidR="006F16B0" w:rsidRDefault="00AD0B8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976C982" w14:textId="77777777" w:rsidR="006F16B0" w:rsidRDefault="00AD0B8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7D1D30C7" w14:textId="77777777" w:rsidR="006F16B0" w:rsidRDefault="00AD0B82">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63E5371B" w14:textId="77777777" w:rsidR="006F16B0" w:rsidRDefault="00AD0B8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6B7FE78A" w14:textId="77777777" w:rsidR="006F16B0" w:rsidRDefault="00AD0B8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14:paraId="24E28615" w14:textId="77777777" w:rsidR="006F16B0" w:rsidRDefault="00AD0B8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213E8B4E" w14:textId="77777777" w:rsidR="006F16B0" w:rsidRDefault="00AD0B8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7772E13C" w14:textId="77777777" w:rsidR="006F16B0" w:rsidRDefault="006F16B0">
      <w:pPr>
        <w:ind w:left="851" w:right="851"/>
        <w:jc w:val="both"/>
        <w:rPr>
          <w:rFonts w:ascii="Palatino Linotype" w:eastAsia="Palatino Linotype" w:hAnsi="Palatino Linotype" w:cs="Palatino Linotype"/>
          <w:i/>
          <w:sz w:val="22"/>
          <w:szCs w:val="22"/>
        </w:rPr>
      </w:pPr>
    </w:p>
    <w:p w14:paraId="0D37B9F4" w14:textId="77777777" w:rsidR="006F16B0" w:rsidRDefault="00AD0B8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DE5828F" w14:textId="77777777" w:rsidR="006F16B0" w:rsidRDefault="00AD0B8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58CE7546" w14:textId="77777777" w:rsidR="006F16B0" w:rsidRDefault="00AD0B8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0375E9A8" w14:textId="77777777" w:rsidR="006F16B0" w:rsidRDefault="00AD0B8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5D9182BC" w14:textId="77777777" w:rsidR="006F16B0" w:rsidRDefault="00AD0B8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325142AF" w14:textId="77777777" w:rsidR="006F16B0" w:rsidRDefault="006F16B0">
      <w:pPr>
        <w:ind w:right="851"/>
        <w:jc w:val="both"/>
        <w:rPr>
          <w:rFonts w:ascii="Palatino Linotype" w:eastAsia="Palatino Linotype" w:hAnsi="Palatino Linotype" w:cs="Palatino Linotype"/>
          <w:i/>
          <w:sz w:val="22"/>
          <w:szCs w:val="22"/>
        </w:rPr>
      </w:pPr>
    </w:p>
    <w:p w14:paraId="72780BFD" w14:textId="77777777" w:rsidR="006F16B0" w:rsidRDefault="00AD0B82">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dichos dispositivos legales.</w:t>
      </w:r>
    </w:p>
    <w:p w14:paraId="0270CFA4" w14:textId="77777777" w:rsidR="006F16B0" w:rsidRDefault="00AD0B8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CDA7B41" w14:textId="77777777" w:rsidR="006F16B0" w:rsidRDefault="00AD0B82">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4B73AB1" w14:textId="77777777" w:rsidR="006F16B0" w:rsidRDefault="00AD0B82">
      <w:pPr>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w:t>
      </w:r>
      <w:r>
        <w:rPr>
          <w:rFonts w:ascii="Palatino Linotype" w:eastAsia="Palatino Linotype" w:hAnsi="Palatino Linotype" w:cs="Palatino Linotype"/>
          <w:b/>
          <w:i/>
          <w:sz w:val="22"/>
          <w:szCs w:val="22"/>
        </w:rPr>
        <w:lastRenderedPageBreak/>
        <w:t>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4536D1F" w14:textId="77777777" w:rsidR="006F16B0" w:rsidRDefault="00AD0B82">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14:paraId="2F8E096B" w14:textId="77777777" w:rsidR="006F16B0" w:rsidRDefault="00AD0B8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Pr>
          <w:rFonts w:ascii="Palatino Linotype" w:eastAsia="Palatino Linotype" w:hAnsi="Palatino Linotype" w:cs="Palatino Linotype"/>
          <w:b/>
        </w:rPr>
        <w:t>artículo 12</w:t>
      </w:r>
      <w:r>
        <w:rPr>
          <w:rFonts w:ascii="Palatino Linotype" w:eastAsia="Palatino Linotype" w:hAnsi="Palatino Linotype" w:cs="Palatino Linotype"/>
        </w:rPr>
        <w:t xml:space="preserve"> de la Ley de Transparencia y Acceso a la Información Pública del Estado de México y Municipios, el cual a la letra dice:</w:t>
      </w:r>
    </w:p>
    <w:p w14:paraId="770C0876" w14:textId="77777777" w:rsidR="006F16B0" w:rsidRDefault="006F16B0">
      <w:pPr>
        <w:spacing w:line="360" w:lineRule="auto"/>
        <w:jc w:val="both"/>
        <w:rPr>
          <w:rFonts w:ascii="Palatino Linotype" w:eastAsia="Palatino Linotype" w:hAnsi="Palatino Linotype" w:cs="Palatino Linotype"/>
        </w:rPr>
      </w:pPr>
    </w:p>
    <w:p w14:paraId="23AD98B8" w14:textId="77777777" w:rsidR="006F16B0" w:rsidRDefault="00AD0B8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5C89C71" w14:textId="77777777" w:rsidR="006F16B0" w:rsidRDefault="006F16B0">
      <w:pPr>
        <w:ind w:left="851" w:right="851"/>
        <w:jc w:val="both"/>
        <w:rPr>
          <w:rFonts w:ascii="Palatino Linotype" w:eastAsia="Palatino Linotype" w:hAnsi="Palatino Linotype" w:cs="Palatino Linotype"/>
          <w:i/>
          <w:sz w:val="22"/>
          <w:szCs w:val="22"/>
        </w:rPr>
      </w:pPr>
    </w:p>
    <w:p w14:paraId="0C266D7A" w14:textId="77777777" w:rsidR="006F16B0" w:rsidRDefault="00AD0B8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39428D4E" w14:textId="77777777" w:rsidR="006F16B0" w:rsidRDefault="006F16B0">
      <w:pPr>
        <w:spacing w:line="360" w:lineRule="auto"/>
        <w:jc w:val="both"/>
        <w:rPr>
          <w:rFonts w:ascii="Palatino Linotype" w:eastAsia="Palatino Linotype" w:hAnsi="Palatino Linotype" w:cs="Palatino Linotype"/>
        </w:rPr>
      </w:pPr>
    </w:p>
    <w:p w14:paraId="4933B4B7" w14:textId="77777777" w:rsidR="006F16B0" w:rsidRDefault="00AD0B8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rPr>
        <w:t>ad hoc</w:t>
      </w:r>
      <w:r>
        <w:rPr>
          <w:rFonts w:ascii="Palatino Linotype" w:eastAsia="Palatino Linotype" w:hAnsi="Palatino Linotype" w:cs="Palatino Linotype"/>
        </w:rPr>
        <w:t xml:space="preserve">, para satisfacer el derecho de acceso a la información pública, como así lo establece el criterio 03/17 emitidos por el Instituto </w:t>
      </w:r>
      <w:r>
        <w:rPr>
          <w:rFonts w:ascii="Palatino Linotype" w:eastAsia="Palatino Linotype" w:hAnsi="Palatino Linotype" w:cs="Palatino Linotype"/>
        </w:rPr>
        <w:lastRenderedPageBreak/>
        <w:t>Nacional de Transparencia, Acceso a la Información Pública y Protección de Datos Personales, los cuales señalan lo siguiente:</w:t>
      </w:r>
    </w:p>
    <w:p w14:paraId="5FA89FFA" w14:textId="77777777" w:rsidR="006F16B0" w:rsidRDefault="006F16B0">
      <w:pPr>
        <w:ind w:left="851" w:right="851"/>
        <w:jc w:val="both"/>
        <w:rPr>
          <w:rFonts w:ascii="Palatino Linotype" w:eastAsia="Palatino Linotype" w:hAnsi="Palatino Linotype" w:cs="Palatino Linotype"/>
          <w:b/>
          <w:i/>
          <w:sz w:val="22"/>
          <w:szCs w:val="22"/>
        </w:rPr>
      </w:pPr>
    </w:p>
    <w:p w14:paraId="630E2F4E" w14:textId="77777777" w:rsidR="006F16B0" w:rsidRDefault="00AD0B82">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03/17</w:t>
      </w:r>
    </w:p>
    <w:p w14:paraId="3239BC59" w14:textId="77777777" w:rsidR="006F16B0" w:rsidRDefault="00AD0B82">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“NO EXISTE OBLIGACIÓN DE ELABORAR DOCUMENTOS AD HOC PARA ATENDER LAS SOLICITUDES DE ACCESO A LA INFORM ACIÓN.</w:t>
      </w:r>
    </w:p>
    <w:p w14:paraId="6BFB6338" w14:textId="77777777" w:rsidR="006F16B0" w:rsidRDefault="00AD0B8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261A40B9" w14:textId="77777777" w:rsidR="006F16B0" w:rsidRDefault="006F16B0">
      <w:pPr>
        <w:spacing w:line="360" w:lineRule="auto"/>
        <w:jc w:val="both"/>
        <w:rPr>
          <w:rFonts w:ascii="Palatino Linotype" w:eastAsia="Palatino Linotype" w:hAnsi="Palatino Linotype" w:cs="Palatino Linotype"/>
        </w:rPr>
      </w:pPr>
    </w:p>
    <w:p w14:paraId="5831C9E7" w14:textId="77777777" w:rsidR="006F16B0" w:rsidRDefault="00AD0B8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conviene mencionar que la Ley de Transparencia vigente en el Estado de México refiere: </w:t>
      </w:r>
    </w:p>
    <w:p w14:paraId="091B94D0" w14:textId="77777777" w:rsidR="006F16B0" w:rsidRDefault="006F16B0">
      <w:pPr>
        <w:spacing w:line="360" w:lineRule="auto"/>
        <w:jc w:val="both"/>
        <w:rPr>
          <w:rFonts w:ascii="Palatino Linotype" w:eastAsia="Palatino Linotype" w:hAnsi="Palatino Linotype" w:cs="Palatino Linotype"/>
        </w:rPr>
      </w:pPr>
    </w:p>
    <w:p w14:paraId="0228A6A4" w14:textId="77777777" w:rsidR="006F16B0" w:rsidRDefault="00AD0B8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Pr>
          <w:rFonts w:ascii="Palatino Linotype" w:eastAsia="Palatino Linotype" w:hAnsi="Palatino Linotype" w:cs="Palatino Linotype"/>
          <w:i/>
          <w:sz w:val="22"/>
          <w:szCs w:val="22"/>
        </w:rPr>
        <w:t xml:space="preserve"> y reutilización de la información que generen.</w:t>
      </w:r>
    </w:p>
    <w:p w14:paraId="6C8D8218" w14:textId="77777777" w:rsidR="006F16B0" w:rsidRDefault="006F16B0">
      <w:pPr>
        <w:ind w:left="851" w:right="851"/>
        <w:jc w:val="both"/>
        <w:rPr>
          <w:rFonts w:ascii="Palatino Linotype" w:eastAsia="Palatino Linotype" w:hAnsi="Palatino Linotype" w:cs="Palatino Linotype"/>
          <w:b/>
          <w:i/>
          <w:sz w:val="22"/>
          <w:szCs w:val="22"/>
        </w:rPr>
      </w:pPr>
    </w:p>
    <w:p w14:paraId="0BC4CC7C" w14:textId="77777777" w:rsidR="006F16B0" w:rsidRDefault="00AD0B8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 </w:t>
      </w:r>
      <w:r>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Pr>
          <w:rFonts w:ascii="Palatino Linotype" w:eastAsia="Palatino Linotype" w:hAnsi="Palatino Linotype" w:cs="Palatino Linotype"/>
          <w:i/>
          <w:sz w:val="22"/>
          <w:szCs w:val="22"/>
        </w:rPr>
        <w:t>.</w:t>
      </w:r>
    </w:p>
    <w:p w14:paraId="17E55B89" w14:textId="77777777" w:rsidR="006F16B0" w:rsidRDefault="006F16B0">
      <w:pPr>
        <w:ind w:left="851" w:right="851"/>
        <w:jc w:val="both"/>
        <w:rPr>
          <w:rFonts w:ascii="Palatino Linotype" w:eastAsia="Palatino Linotype" w:hAnsi="Palatino Linotype" w:cs="Palatino Linotype"/>
          <w:i/>
          <w:sz w:val="22"/>
          <w:szCs w:val="22"/>
        </w:rPr>
      </w:pPr>
    </w:p>
    <w:p w14:paraId="54F549DF" w14:textId="77777777" w:rsidR="006F16B0" w:rsidRDefault="00AD0B8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611FC534" w14:textId="77777777" w:rsidR="006F16B0" w:rsidRDefault="006F16B0">
      <w:pPr>
        <w:ind w:left="851" w:right="851"/>
        <w:jc w:val="both"/>
        <w:rPr>
          <w:rFonts w:ascii="Palatino Linotype" w:eastAsia="Palatino Linotype" w:hAnsi="Palatino Linotype" w:cs="Palatino Linotype"/>
          <w:i/>
          <w:sz w:val="22"/>
          <w:szCs w:val="22"/>
        </w:rPr>
      </w:pPr>
    </w:p>
    <w:p w14:paraId="1ADD49E3" w14:textId="77777777" w:rsidR="006F16B0" w:rsidRDefault="00AD0B8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366855D1" w14:textId="77777777" w:rsidR="006F16B0" w:rsidRDefault="006F16B0">
      <w:pPr>
        <w:ind w:left="851" w:right="851"/>
        <w:jc w:val="both"/>
        <w:rPr>
          <w:rFonts w:ascii="Palatino Linotype" w:eastAsia="Palatino Linotype" w:hAnsi="Palatino Linotype" w:cs="Palatino Linotype"/>
          <w:i/>
          <w:sz w:val="22"/>
          <w:szCs w:val="22"/>
        </w:rPr>
      </w:pPr>
    </w:p>
    <w:p w14:paraId="5BB11049" w14:textId="77777777" w:rsidR="006F16B0" w:rsidRDefault="00AD0B8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32CAA6CC" w14:textId="77777777" w:rsidR="006F16B0" w:rsidRDefault="00AD0B8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236DB7A1" w14:textId="77777777" w:rsidR="006F16B0" w:rsidRDefault="00AD0B8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Pr>
          <w:rFonts w:ascii="Palatino Linotype" w:eastAsia="Palatino Linotype" w:hAnsi="Palatino Linotype" w:cs="Palatino Linotype"/>
          <w:b/>
        </w:rPr>
        <w:t>cualquier otro registro que documente el ejercicio de las facultades, funciones, obligaciones y competencias de los Sujetos Obligados</w:t>
      </w:r>
      <w:r>
        <w:rPr>
          <w:rFonts w:ascii="Palatino Linotype" w:eastAsia="Palatino Linotype" w:hAnsi="Palatino Linotype" w:cs="Palatino Linotype"/>
        </w:rPr>
        <w:t xml:space="preserve">; </w:t>
      </w:r>
      <w:r>
        <w:rPr>
          <w:rFonts w:ascii="Palatino Linotype" w:eastAsia="Palatino Linotype" w:hAnsi="Palatino Linotype" w:cs="Palatino Linotype"/>
          <w:b/>
        </w:rPr>
        <w:t>los que, podrán estar en cualquier medio</w:t>
      </w:r>
      <w:r>
        <w:rPr>
          <w:rFonts w:ascii="Palatino Linotype" w:eastAsia="Palatino Linotype" w:hAnsi="Palatino Linotype" w:cs="Palatino Linotype"/>
        </w:rPr>
        <w:t xml:space="preserve">, sea escrito, impreso, sonoro, visual, </w:t>
      </w:r>
      <w:r>
        <w:rPr>
          <w:rFonts w:ascii="Palatino Linotype" w:eastAsia="Palatino Linotype" w:hAnsi="Palatino Linotype" w:cs="Palatino Linotype"/>
          <w:b/>
        </w:rPr>
        <w:t>electrónico</w:t>
      </w:r>
      <w:r>
        <w:rPr>
          <w:rFonts w:ascii="Palatino Linotype" w:eastAsia="Palatino Linotype" w:hAnsi="Palatino Linotype" w:cs="Palatino Linotype"/>
        </w:rPr>
        <w:t xml:space="preserve">, informático u holográfico, esto es, </w:t>
      </w:r>
      <w:r>
        <w:rPr>
          <w:rFonts w:ascii="Palatino Linotype" w:eastAsia="Palatino Linotype" w:hAnsi="Palatino Linotype" w:cs="Palatino Linotype"/>
          <w:b/>
        </w:rPr>
        <w:t xml:space="preserve">el derecho de acceso a la información pública, se define en cuanto a su alcance y resultado material, el acceso a los archivos, registros y documentos públicos, administrados, generados </w:t>
      </w:r>
      <w:r>
        <w:rPr>
          <w:rFonts w:ascii="Palatino Linotype" w:eastAsia="Palatino Linotype" w:hAnsi="Palatino Linotype" w:cs="Palatino Linotype"/>
          <w:b/>
        </w:rPr>
        <w:lastRenderedPageBreak/>
        <w:t>o en posesión de los órganos u organismos públicos, en virtud del ejercicio de sus funciones de derecho público, sin importar su fuente, soporte o fecha de elaboración.</w:t>
      </w:r>
    </w:p>
    <w:p w14:paraId="432A54F5" w14:textId="77777777" w:rsidR="006F16B0" w:rsidRDefault="00AD0B82">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4A0A210E" w14:textId="77777777" w:rsidR="006F16B0" w:rsidRDefault="00AD0B82">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cabe reiterar que el particular solicitó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lo siguiente: </w:t>
      </w:r>
    </w:p>
    <w:p w14:paraId="01A2FF11" w14:textId="77777777" w:rsidR="006F16B0" w:rsidRDefault="00AD0B82">
      <w:pPr>
        <w:numPr>
          <w:ilvl w:val="0"/>
          <w:numId w:val="4"/>
        </w:numPr>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Todos los </w:t>
      </w:r>
      <w:proofErr w:type="spellStart"/>
      <w:r>
        <w:rPr>
          <w:rFonts w:ascii="Palatino Linotype" w:eastAsia="Palatino Linotype" w:hAnsi="Palatino Linotype" w:cs="Palatino Linotype"/>
          <w:color w:val="000000"/>
        </w:rPr>
        <w:t>pbrm</w:t>
      </w:r>
      <w:proofErr w:type="spellEnd"/>
      <w:r>
        <w:rPr>
          <w:rFonts w:ascii="Palatino Linotype" w:eastAsia="Palatino Linotype" w:hAnsi="Palatino Linotype" w:cs="Palatino Linotype"/>
          <w:color w:val="000000"/>
        </w:rPr>
        <w:t xml:space="preserve"> de los </w:t>
      </w:r>
      <w:proofErr w:type="gramStart"/>
      <w:r>
        <w:rPr>
          <w:rFonts w:ascii="Palatino Linotype" w:eastAsia="Palatino Linotype" w:hAnsi="Palatino Linotype" w:cs="Palatino Linotype"/>
          <w:color w:val="000000"/>
        </w:rPr>
        <w:t>años  2018</w:t>
      </w:r>
      <w:proofErr w:type="gramEnd"/>
      <w:r>
        <w:rPr>
          <w:rFonts w:ascii="Palatino Linotype" w:eastAsia="Palatino Linotype" w:hAnsi="Palatino Linotype" w:cs="Palatino Linotype"/>
          <w:color w:val="000000"/>
        </w:rPr>
        <w:t>, 2019 y 2021</w:t>
      </w:r>
    </w:p>
    <w:p w14:paraId="651FCEA5" w14:textId="77777777" w:rsidR="006F16B0" w:rsidRDefault="00AD0B82">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Al otorgar respuesta, se tiene que se actualizaron tres supuestos con los pronunciamientos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p>
    <w:p w14:paraId="104774E0" w14:textId="77777777" w:rsidR="006F16B0" w:rsidRDefault="00AD0B82">
      <w:pPr>
        <w:numPr>
          <w:ilvl w:val="0"/>
          <w:numId w:val="5"/>
        </w:numPr>
        <w:pBdr>
          <w:top w:val="nil"/>
          <w:left w:val="nil"/>
          <w:bottom w:val="nil"/>
          <w:right w:val="nil"/>
          <w:between w:val="nil"/>
        </w:pBdr>
        <w:tabs>
          <w:tab w:val="left" w:pos="709"/>
        </w:tabs>
        <w:spacing w:before="240" w:line="360" w:lineRule="auto"/>
        <w:ind w:right="900"/>
        <w:jc w:val="both"/>
        <w:rPr>
          <w:rFonts w:ascii="Calibri" w:eastAsia="Calibri" w:hAnsi="Calibri" w:cs="Calibri"/>
          <w:b/>
          <w:color w:val="000000"/>
          <w:sz w:val="22"/>
          <w:szCs w:val="22"/>
          <w:u w:val="single"/>
        </w:rPr>
      </w:pPr>
      <w:r>
        <w:rPr>
          <w:rFonts w:ascii="Palatino Linotype" w:eastAsia="Palatino Linotype" w:hAnsi="Palatino Linotype" w:cs="Palatino Linotype"/>
          <w:b/>
          <w:color w:val="000000"/>
          <w:sz w:val="22"/>
          <w:szCs w:val="22"/>
        </w:rPr>
        <w:t xml:space="preserve">Recurso de Revisión 05044/INFOEM/IP/RR/2022: </w:t>
      </w:r>
      <w:r>
        <w:rPr>
          <w:rFonts w:ascii="Palatino Linotype" w:eastAsia="Palatino Linotype" w:hAnsi="Palatino Linotype" w:cs="Palatino Linotype"/>
          <w:color w:val="000000"/>
          <w:sz w:val="22"/>
          <w:szCs w:val="22"/>
        </w:rPr>
        <w:t xml:space="preserve">El Coordinador de la UIPPE, manifestó que derivado de una búsqueda exhaustiva en los archivos de la Secretaría Técnica, </w:t>
      </w:r>
      <w:r>
        <w:rPr>
          <w:rFonts w:ascii="Palatino Linotype" w:eastAsia="Palatino Linotype" w:hAnsi="Palatino Linotype" w:cs="Palatino Linotype"/>
          <w:b/>
          <w:color w:val="000000"/>
          <w:sz w:val="22"/>
          <w:szCs w:val="22"/>
          <w:u w:val="single"/>
        </w:rPr>
        <w:t xml:space="preserve">no se cuenta con algún soporte documental del PBRM anual 2018. </w:t>
      </w:r>
    </w:p>
    <w:p w14:paraId="205B67A7" w14:textId="77777777" w:rsidR="006F16B0" w:rsidRDefault="00AD0B82">
      <w:pPr>
        <w:numPr>
          <w:ilvl w:val="0"/>
          <w:numId w:val="5"/>
        </w:numPr>
        <w:pBdr>
          <w:top w:val="nil"/>
          <w:left w:val="nil"/>
          <w:bottom w:val="nil"/>
          <w:right w:val="nil"/>
          <w:between w:val="nil"/>
        </w:pBdr>
        <w:tabs>
          <w:tab w:val="left" w:pos="709"/>
        </w:tabs>
        <w:spacing w:line="360" w:lineRule="auto"/>
        <w:ind w:right="900"/>
        <w:jc w:val="both"/>
        <w:rPr>
          <w:rFonts w:ascii="Calibri" w:eastAsia="Calibri" w:hAnsi="Calibri" w:cs="Calibri"/>
          <w:b/>
          <w:color w:val="000000"/>
          <w:sz w:val="22"/>
          <w:szCs w:val="22"/>
          <w:u w:val="single"/>
        </w:rPr>
      </w:pPr>
      <w:r>
        <w:rPr>
          <w:rFonts w:ascii="Palatino Linotype" w:eastAsia="Palatino Linotype" w:hAnsi="Palatino Linotype" w:cs="Palatino Linotype"/>
          <w:b/>
          <w:color w:val="000000"/>
          <w:sz w:val="22"/>
          <w:szCs w:val="22"/>
        </w:rPr>
        <w:t xml:space="preserve">Recurso de Revisión 05045/INFOEM/IP/RR/2022: </w:t>
      </w:r>
      <w:r>
        <w:rPr>
          <w:rFonts w:ascii="Palatino Linotype" w:eastAsia="Palatino Linotype" w:hAnsi="Palatino Linotype" w:cs="Palatino Linotype"/>
          <w:color w:val="000000"/>
          <w:sz w:val="22"/>
          <w:szCs w:val="22"/>
        </w:rPr>
        <w:t xml:space="preserve">El Coordinador de la UIPPE, </w:t>
      </w:r>
      <w:r>
        <w:rPr>
          <w:rFonts w:ascii="Palatino Linotype" w:eastAsia="Palatino Linotype" w:hAnsi="Palatino Linotype" w:cs="Palatino Linotype"/>
          <w:b/>
          <w:color w:val="000000"/>
          <w:sz w:val="22"/>
          <w:szCs w:val="22"/>
          <w:u w:val="single"/>
        </w:rPr>
        <w:t xml:space="preserve">manifestó que envía los PBRM del año 2020, asimismo remitió una liga electrónica para que el particular estuviera en posibilidad de descargarlos y corresponden a los </w:t>
      </w:r>
      <w:proofErr w:type="spellStart"/>
      <w:r>
        <w:rPr>
          <w:rFonts w:ascii="Palatino Linotype" w:eastAsia="Palatino Linotype" w:hAnsi="Palatino Linotype" w:cs="Palatino Linotype"/>
          <w:b/>
          <w:color w:val="000000"/>
          <w:sz w:val="22"/>
          <w:szCs w:val="22"/>
          <w:u w:val="single"/>
        </w:rPr>
        <w:t>pbRM</w:t>
      </w:r>
      <w:proofErr w:type="spellEnd"/>
      <w:r>
        <w:rPr>
          <w:rFonts w:ascii="Palatino Linotype" w:eastAsia="Palatino Linotype" w:hAnsi="Palatino Linotype" w:cs="Palatino Linotype"/>
          <w:b/>
          <w:color w:val="000000"/>
          <w:sz w:val="22"/>
          <w:szCs w:val="22"/>
          <w:u w:val="single"/>
        </w:rPr>
        <w:t xml:space="preserve"> del año 2019. </w:t>
      </w:r>
    </w:p>
    <w:p w14:paraId="6DA446EF" w14:textId="77777777" w:rsidR="006F16B0" w:rsidRDefault="00AD0B82">
      <w:pPr>
        <w:numPr>
          <w:ilvl w:val="0"/>
          <w:numId w:val="5"/>
        </w:numPr>
        <w:pBdr>
          <w:top w:val="nil"/>
          <w:left w:val="nil"/>
          <w:bottom w:val="nil"/>
          <w:right w:val="nil"/>
          <w:between w:val="nil"/>
        </w:pBdr>
        <w:spacing w:line="360" w:lineRule="auto"/>
        <w:ind w:right="900"/>
        <w:jc w:val="both"/>
        <w:rPr>
          <w:rFonts w:ascii="Palatino Linotype" w:eastAsia="Palatino Linotype" w:hAnsi="Palatino Linotype" w:cs="Palatino Linotype"/>
          <w:b/>
          <w:color w:val="000000"/>
          <w:sz w:val="22"/>
          <w:szCs w:val="22"/>
          <w:u w:val="single"/>
        </w:rPr>
      </w:pPr>
      <w:r>
        <w:rPr>
          <w:rFonts w:ascii="Palatino Linotype" w:eastAsia="Palatino Linotype" w:hAnsi="Palatino Linotype" w:cs="Palatino Linotype"/>
          <w:b/>
          <w:color w:val="000000"/>
          <w:sz w:val="22"/>
          <w:szCs w:val="22"/>
        </w:rPr>
        <w:t xml:space="preserve">Recurso de </w:t>
      </w:r>
      <w:proofErr w:type="gramStart"/>
      <w:r>
        <w:rPr>
          <w:rFonts w:ascii="Palatino Linotype" w:eastAsia="Palatino Linotype" w:hAnsi="Palatino Linotype" w:cs="Palatino Linotype"/>
          <w:b/>
          <w:color w:val="000000"/>
          <w:sz w:val="22"/>
          <w:szCs w:val="22"/>
        </w:rPr>
        <w:t>Revisión  05046</w:t>
      </w:r>
      <w:proofErr w:type="gramEnd"/>
      <w:r>
        <w:rPr>
          <w:rFonts w:ascii="Palatino Linotype" w:eastAsia="Palatino Linotype" w:hAnsi="Palatino Linotype" w:cs="Palatino Linotype"/>
          <w:b/>
          <w:color w:val="000000"/>
          <w:sz w:val="22"/>
          <w:szCs w:val="22"/>
        </w:rPr>
        <w:t xml:space="preserve">/INFOEM/IP/RR/2022: </w:t>
      </w:r>
      <w:r>
        <w:rPr>
          <w:rFonts w:ascii="Palatino Linotype" w:eastAsia="Palatino Linotype" w:hAnsi="Palatino Linotype" w:cs="Palatino Linotype"/>
          <w:color w:val="000000"/>
          <w:sz w:val="22"/>
          <w:szCs w:val="22"/>
        </w:rPr>
        <w:t xml:space="preserve">El Coordinador de la UIPPE, </w:t>
      </w:r>
      <w:r>
        <w:rPr>
          <w:rFonts w:ascii="Palatino Linotype" w:eastAsia="Palatino Linotype" w:hAnsi="Palatino Linotype" w:cs="Palatino Linotype"/>
          <w:b/>
          <w:color w:val="000000"/>
          <w:sz w:val="22"/>
          <w:szCs w:val="22"/>
          <w:u w:val="single"/>
        </w:rPr>
        <w:t xml:space="preserve">manifestó que envía los PBRM del año 2021, asimismo remitió una liga electrónica para que el particular estuviera en posibilidad de descargarlos. </w:t>
      </w:r>
    </w:p>
    <w:p w14:paraId="524233C9" w14:textId="77777777" w:rsidR="006F16B0" w:rsidRDefault="00AD0B82">
      <w:pPr>
        <w:tabs>
          <w:tab w:val="left" w:pos="709"/>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Una vez precisados estos puntos, el análisis versará sobre las constancias vertidas en los expedientes electrónicos a efecto de tutelar el derecho de acceso a la información pública de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por lo que conviene analizar los soportes documentales y el marco normativo a efecto de determinar si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observó las disposiciones normativas o de ser el caso, ordenar la entrega de las expresiones documentales que se estimen pertinentes para colmar las solicitudes de información:</w:t>
      </w:r>
    </w:p>
    <w:p w14:paraId="50C994B0" w14:textId="77777777" w:rsidR="006F16B0" w:rsidRDefault="00AD0B82">
      <w:pPr>
        <w:tabs>
          <w:tab w:val="left" w:pos="709"/>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primera instancia, debe definirse al Presupuesto Basado en Resultados Municipal, el cual de conformidad con los Lineamientos para la Entrega del Presupuesto de Egresos Municipal 2022, se define de la siguiente manera: </w:t>
      </w:r>
    </w:p>
    <w:p w14:paraId="605A08A4" w14:textId="77777777" w:rsidR="006F16B0" w:rsidRDefault="00AD0B82">
      <w:pPr>
        <w:tabs>
          <w:tab w:val="left" w:pos="709"/>
        </w:tabs>
        <w:spacing w:before="240" w:after="240" w:line="276" w:lineRule="auto"/>
        <w:ind w:left="567" w:right="900"/>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u w:val="single"/>
        </w:rPr>
        <w:t>Para las administraciones municipales, el Presupuesto basado en Resultados (</w:t>
      </w:r>
      <w:proofErr w:type="spellStart"/>
      <w:r>
        <w:rPr>
          <w:rFonts w:ascii="Palatino Linotype" w:eastAsia="Palatino Linotype" w:hAnsi="Palatino Linotype" w:cs="Palatino Linotype"/>
          <w:b/>
          <w:i/>
          <w:sz w:val="22"/>
          <w:szCs w:val="22"/>
          <w:u w:val="single"/>
        </w:rPr>
        <w:t>PbR</w:t>
      </w:r>
      <w:proofErr w:type="spellEnd"/>
      <w:r>
        <w:rPr>
          <w:rFonts w:ascii="Palatino Linotype" w:eastAsia="Palatino Linotype" w:hAnsi="Palatino Linotype" w:cs="Palatino Linotype"/>
          <w:b/>
          <w:i/>
          <w:sz w:val="22"/>
          <w:szCs w:val="22"/>
          <w:u w:val="single"/>
        </w:rPr>
        <w:t xml:space="preserve">),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a fin de optimizar la calidad del gasto público. </w:t>
      </w:r>
    </w:p>
    <w:p w14:paraId="790A5A36" w14:textId="77777777" w:rsidR="006F16B0" w:rsidRDefault="00AD0B82">
      <w:pPr>
        <w:tabs>
          <w:tab w:val="left" w:pos="709"/>
        </w:tabs>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El </w:t>
      </w:r>
      <w:proofErr w:type="spellStart"/>
      <w:r>
        <w:rPr>
          <w:rFonts w:ascii="Palatino Linotype" w:eastAsia="Palatino Linotype" w:hAnsi="Palatino Linotype" w:cs="Palatino Linotype"/>
          <w:b/>
          <w:i/>
          <w:sz w:val="22"/>
          <w:szCs w:val="22"/>
        </w:rPr>
        <w:t>PbR</w:t>
      </w:r>
      <w:proofErr w:type="spellEnd"/>
      <w:r>
        <w:rPr>
          <w:rFonts w:ascii="Palatino Linotype" w:eastAsia="Palatino Linotype" w:hAnsi="Palatino Linotype" w:cs="Palatino Linotype"/>
          <w:b/>
          <w:i/>
          <w:sz w:val="22"/>
          <w:szCs w:val="22"/>
        </w:rPr>
        <w:t xml:space="preserve"> apoya la asignación objetiva de los recursos públicos para fortalecer las políticas, programas y proyectos para el desempeño gubernamental, a fin de que aporten mejoras sustantivas a las condiciones de vida de la sociedad. Por ello, fomenta la optimización de los recursos para brindar mayor cantidad y calidad de bienes y servicios públicos. </w:t>
      </w:r>
    </w:p>
    <w:p w14:paraId="1D33B345" w14:textId="77777777" w:rsidR="006F16B0" w:rsidRDefault="00AD0B82">
      <w:pPr>
        <w:tabs>
          <w:tab w:val="left" w:pos="709"/>
        </w:tabs>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El </w:t>
      </w:r>
      <w:proofErr w:type="spellStart"/>
      <w:r>
        <w:rPr>
          <w:rFonts w:ascii="Palatino Linotype" w:eastAsia="Palatino Linotype" w:hAnsi="Palatino Linotype" w:cs="Palatino Linotype"/>
          <w:b/>
          <w:i/>
          <w:sz w:val="22"/>
          <w:szCs w:val="22"/>
        </w:rPr>
        <w:t>PbR</w:t>
      </w:r>
      <w:proofErr w:type="spellEnd"/>
      <w:r>
        <w:rPr>
          <w:rFonts w:ascii="Palatino Linotype" w:eastAsia="Palatino Linotype" w:hAnsi="Palatino Linotype" w:cs="Palatino Linotype"/>
          <w:b/>
          <w:i/>
          <w:sz w:val="22"/>
          <w:szCs w:val="22"/>
        </w:rPr>
        <w:t xml:space="preserve"> pretende que la definición de los programas presupuestarios se derive de un proceso secuencial, alineado con la planeación – asignación presupuestal, estableciendo objetivos, metas e indicadores, a efecto de hacer más eficiente la asignación de recursos, considerando la evaluación de los resultados alcanzados y la manera en que las Dependencias y Entidades de la Administración Pública Municipal ejercen los recursos públicos. </w:t>
      </w:r>
    </w:p>
    <w:p w14:paraId="63711609" w14:textId="77777777" w:rsidR="006F16B0" w:rsidRDefault="00AD0B82">
      <w:pPr>
        <w:tabs>
          <w:tab w:val="left" w:pos="709"/>
        </w:tabs>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Con la adopción del </w:t>
      </w:r>
      <w:proofErr w:type="spellStart"/>
      <w:r>
        <w:rPr>
          <w:rFonts w:ascii="Palatino Linotype" w:eastAsia="Palatino Linotype" w:hAnsi="Palatino Linotype" w:cs="Palatino Linotype"/>
          <w:i/>
          <w:sz w:val="22"/>
          <w:szCs w:val="22"/>
        </w:rPr>
        <w:t>PbR</w:t>
      </w:r>
      <w:proofErr w:type="spellEnd"/>
      <w:r>
        <w:rPr>
          <w:rFonts w:ascii="Palatino Linotype" w:eastAsia="Palatino Linotype" w:hAnsi="Palatino Linotype" w:cs="Palatino Linotype"/>
          <w:i/>
          <w:sz w:val="22"/>
          <w:szCs w:val="22"/>
        </w:rPr>
        <w:t xml:space="preserve"> se apoyarán los procesos de: </w:t>
      </w:r>
    </w:p>
    <w:p w14:paraId="04674B6A" w14:textId="77777777" w:rsidR="006F16B0" w:rsidRDefault="00AD0B82">
      <w:pPr>
        <w:tabs>
          <w:tab w:val="left" w:pos="709"/>
        </w:tabs>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Coordinación</w:t>
      </w:r>
      <w:r>
        <w:rPr>
          <w:rFonts w:ascii="Palatino Linotype" w:eastAsia="Palatino Linotype" w:hAnsi="Palatino Linotype" w:cs="Palatino Linotype"/>
          <w:i/>
          <w:sz w:val="22"/>
          <w:szCs w:val="22"/>
        </w:rPr>
        <w:t xml:space="preserve">: Establecer mecanismos de relación entre el presupuesto con el PDM, así como de conexión y difusión con las dependencias e instituciones involucradas en la ejecución de acciones que permitan entregar los resultados que la población espera. </w:t>
      </w:r>
    </w:p>
    <w:p w14:paraId="09C4C374" w14:textId="77777777" w:rsidR="006F16B0" w:rsidRDefault="00AD0B82">
      <w:pPr>
        <w:tabs>
          <w:tab w:val="left" w:pos="709"/>
        </w:tabs>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Evaluación</w:t>
      </w:r>
      <w:r>
        <w:rPr>
          <w:rFonts w:ascii="Palatino Linotype" w:eastAsia="Palatino Linotype" w:hAnsi="Palatino Linotype" w:cs="Palatino Linotype"/>
          <w:i/>
          <w:sz w:val="22"/>
          <w:szCs w:val="22"/>
        </w:rPr>
        <w:t xml:space="preserve">: Vincular la planeación, programación, presupuestación, seguimiento, ejercicio y control de los recursos con la evaluación de las políticas públicas de los </w:t>
      </w:r>
      <w:r>
        <w:rPr>
          <w:rFonts w:ascii="Palatino Linotype" w:eastAsia="Palatino Linotype" w:hAnsi="Palatino Linotype" w:cs="Palatino Linotype"/>
          <w:i/>
          <w:sz w:val="22"/>
          <w:szCs w:val="22"/>
        </w:rPr>
        <w:lastRenderedPageBreak/>
        <w:t xml:space="preserve">Programas presupuestarios y programas del desempeño institucional, con el objetivo de impulsar el logro de los resultados y la aplicación del gasto público. </w:t>
      </w:r>
    </w:p>
    <w:p w14:paraId="5C8AF77B" w14:textId="77777777" w:rsidR="006F16B0" w:rsidRDefault="00AD0B82">
      <w:pPr>
        <w:tabs>
          <w:tab w:val="left" w:pos="709"/>
        </w:tabs>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Modernización y Mejoramiento de Mediano Plazo</w:t>
      </w:r>
      <w:r>
        <w:rPr>
          <w:rFonts w:ascii="Palatino Linotype" w:eastAsia="Palatino Linotype" w:hAnsi="Palatino Linotype" w:cs="Palatino Linotype"/>
          <w:i/>
          <w:sz w:val="22"/>
          <w:szCs w:val="22"/>
        </w:rPr>
        <w:t>: Tiene como objetivo alinear las estrategias del Plan de Desarrollo Municipal con el mejoramiento de la gestión de las dependencias de la administración pública, lo que permitirá a través de la evaluación la implantación de políticas y medidas Sistema de Coordinación Hacendaría del Estado de México con sus Municipios que apoyen mejoras de eficiencia y eficacia en la aplicación de los recursos, tales como la política de austeridad del gasto público.”</w:t>
      </w:r>
    </w:p>
    <w:p w14:paraId="5A450851" w14:textId="77777777" w:rsidR="006F16B0" w:rsidRDefault="00AD0B8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Expuesto lo anterior, resulta importante señalar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en la totalidad de los expedientes, el Coordinador de la Unidad de Información, Planeación, Programación y Evaluación (UIPPE) se pronunció sobre los requerimientos de información, al respecto, la Ley de Planeación del Estado de México y Municipios, así como el Código Reglamentario para el Municipio de Tenancingo, Estado de México, delegan en esta Unidad, las siguientes funciones: </w:t>
      </w:r>
    </w:p>
    <w:p w14:paraId="255CF514" w14:textId="77777777" w:rsidR="006F16B0" w:rsidRDefault="006F16B0">
      <w:pPr>
        <w:spacing w:line="360" w:lineRule="auto"/>
        <w:ind w:right="49"/>
        <w:jc w:val="both"/>
        <w:rPr>
          <w:rFonts w:ascii="Palatino Linotype" w:eastAsia="Palatino Linotype" w:hAnsi="Palatino Linotype" w:cs="Palatino Linotype"/>
        </w:rPr>
      </w:pPr>
    </w:p>
    <w:p w14:paraId="7A32B815" w14:textId="77777777" w:rsidR="006F16B0" w:rsidRDefault="00AD0B82">
      <w:pPr>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 xml:space="preserve">Ley de Planeación del Estado de México y Municipios: </w:t>
      </w:r>
    </w:p>
    <w:p w14:paraId="06CD0A33" w14:textId="77777777" w:rsidR="006F16B0" w:rsidRDefault="006F16B0">
      <w:pPr>
        <w:spacing w:line="360" w:lineRule="auto"/>
        <w:ind w:right="49"/>
        <w:jc w:val="both"/>
        <w:rPr>
          <w:rFonts w:ascii="Palatino Linotype" w:eastAsia="Palatino Linotype" w:hAnsi="Palatino Linotype" w:cs="Palatino Linotype"/>
        </w:rPr>
      </w:pPr>
    </w:p>
    <w:p w14:paraId="030CF0B7" w14:textId="77777777" w:rsidR="006F16B0" w:rsidRDefault="00AD0B82">
      <w:pPr>
        <w:spacing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20.-</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Compete a las unidades de información, planeación, programación y evaluación, de las dependencias, organismos y entidades públicas estatales y a las unidades administrativas o de los servidores públicos de los municipios, en materia de planeación democrática para el desarrollo: </w:t>
      </w:r>
    </w:p>
    <w:p w14:paraId="227B5A13" w14:textId="77777777" w:rsidR="006F16B0" w:rsidRDefault="00AD0B82">
      <w:pPr>
        <w:numPr>
          <w:ilvl w:val="1"/>
          <w:numId w:val="2"/>
        </w:numPr>
        <w:pBdr>
          <w:top w:val="nil"/>
          <w:left w:val="nil"/>
          <w:bottom w:val="nil"/>
          <w:right w:val="nil"/>
          <w:between w:val="nil"/>
        </w:pBdr>
        <w:spacing w:line="276" w:lineRule="auto"/>
        <w:ind w:left="567" w:right="900" w:hanging="14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Garantizar el cumplimiento de las etapas del proceso de planeación para el desarrollo en el ámbito de su competencia; </w:t>
      </w:r>
    </w:p>
    <w:p w14:paraId="713B4A37" w14:textId="77777777" w:rsidR="006F16B0" w:rsidRDefault="00AD0B82">
      <w:pPr>
        <w:numPr>
          <w:ilvl w:val="1"/>
          <w:numId w:val="2"/>
        </w:numPr>
        <w:pBdr>
          <w:top w:val="nil"/>
          <w:left w:val="nil"/>
          <w:bottom w:val="nil"/>
          <w:right w:val="nil"/>
          <w:between w:val="nil"/>
        </w:pBdr>
        <w:spacing w:line="276" w:lineRule="auto"/>
        <w:ind w:left="567" w:right="900" w:hanging="14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Utilizar, generar, recopilar, procesar y proporcionar la información que en materia de planeación para el desarrollo sea de su competencia; </w:t>
      </w:r>
    </w:p>
    <w:p w14:paraId="0A9B237C" w14:textId="77777777" w:rsidR="006F16B0" w:rsidRDefault="00AD0B82">
      <w:pPr>
        <w:numPr>
          <w:ilvl w:val="1"/>
          <w:numId w:val="2"/>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lastRenderedPageBreak/>
        <w:t xml:space="preserve">Coadyuvar en la elaboración del presupuesto por programas en concordancia con la estrategia contenida en el plan de desarrollo en la materia de su competencia; </w:t>
      </w:r>
    </w:p>
    <w:p w14:paraId="7CACF721" w14:textId="77777777" w:rsidR="006F16B0" w:rsidRDefault="00AD0B82">
      <w:pPr>
        <w:numPr>
          <w:ilvl w:val="1"/>
          <w:numId w:val="2"/>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Verificar que los programas y la asignación de recursos guarden relación con los objetivos, metas y prioridades de los planes y programas y la evaluación de su ejecución; </w:t>
      </w:r>
    </w:p>
    <w:p w14:paraId="129197D7" w14:textId="77777777" w:rsidR="006F16B0" w:rsidRDefault="00AD0B82">
      <w:pPr>
        <w:numPr>
          <w:ilvl w:val="1"/>
          <w:numId w:val="2"/>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Vigilar que las actividades en materia de planeación de las áreas a las que están adscritas, se conduzcan conforme a los planes de desarrollo y sus programas; </w:t>
      </w:r>
    </w:p>
    <w:p w14:paraId="767AC77A" w14:textId="77777777" w:rsidR="006F16B0" w:rsidRDefault="00AD0B82">
      <w:pPr>
        <w:numPr>
          <w:ilvl w:val="1"/>
          <w:numId w:val="2"/>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Evaluar y dar seguimiento al cumplimiento de los convenios de coordinación y de participación, respecto de las obligaciones a su cargo; </w:t>
      </w:r>
    </w:p>
    <w:p w14:paraId="5F43923F" w14:textId="77777777" w:rsidR="006F16B0" w:rsidRDefault="00AD0B82">
      <w:pPr>
        <w:numPr>
          <w:ilvl w:val="1"/>
          <w:numId w:val="2"/>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Cumplir con el Plan Nacional de Desarrollo, el Plan de Desarrollo del Estado de México, la Agenda Digital, el Plan de Desarrollo Municipal y los programas que de éstos se deriven;</w:t>
      </w:r>
    </w:p>
    <w:p w14:paraId="3E4E6FB3" w14:textId="77777777" w:rsidR="006F16B0" w:rsidRDefault="00AD0B82">
      <w:pPr>
        <w:numPr>
          <w:ilvl w:val="1"/>
          <w:numId w:val="2"/>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Reportar periódicamente los resultados de la ejecución de los planes y programas al Comité de Planeación para el Desarrollo del Estado de México, con base en la coordinación establecida en el Sistema de Planeación Democrática para el Desarrollo del Estado de México y Municipios. </w:t>
      </w:r>
    </w:p>
    <w:p w14:paraId="622006AF" w14:textId="77777777" w:rsidR="006F16B0" w:rsidRDefault="00AD0B82">
      <w:pPr>
        <w:numPr>
          <w:ilvl w:val="1"/>
          <w:numId w:val="2"/>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demás que se establezcan en otros ordenamientos.</w:t>
      </w:r>
    </w:p>
    <w:p w14:paraId="01AD4D8E" w14:textId="77777777" w:rsidR="006F16B0" w:rsidRDefault="006F16B0">
      <w:pPr>
        <w:spacing w:line="276" w:lineRule="auto"/>
        <w:ind w:right="900"/>
        <w:jc w:val="both"/>
        <w:rPr>
          <w:rFonts w:ascii="Palatino Linotype" w:eastAsia="Palatino Linotype" w:hAnsi="Palatino Linotype" w:cs="Palatino Linotype"/>
          <w:i/>
          <w:sz w:val="22"/>
          <w:szCs w:val="22"/>
        </w:rPr>
      </w:pPr>
    </w:p>
    <w:p w14:paraId="7084FC3A" w14:textId="77777777" w:rsidR="006F16B0" w:rsidRDefault="006F16B0">
      <w:pPr>
        <w:spacing w:line="276" w:lineRule="auto"/>
        <w:ind w:right="900"/>
        <w:jc w:val="both"/>
        <w:rPr>
          <w:rFonts w:ascii="Palatino Linotype" w:eastAsia="Palatino Linotype" w:hAnsi="Palatino Linotype" w:cs="Palatino Linotype"/>
          <w:i/>
          <w:sz w:val="22"/>
          <w:szCs w:val="22"/>
        </w:rPr>
      </w:pPr>
    </w:p>
    <w:p w14:paraId="38CD2D64" w14:textId="77777777" w:rsidR="006F16B0" w:rsidRDefault="00AD0B82">
      <w:pPr>
        <w:spacing w:line="276" w:lineRule="auto"/>
        <w:ind w:right="4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Código Reglamentario para el Municipio de Tenancingo, Estado de México: </w:t>
      </w:r>
    </w:p>
    <w:p w14:paraId="32532A86" w14:textId="77777777" w:rsidR="006F16B0" w:rsidRDefault="006F16B0">
      <w:pPr>
        <w:spacing w:line="276" w:lineRule="auto"/>
        <w:ind w:right="49"/>
        <w:jc w:val="both"/>
        <w:rPr>
          <w:rFonts w:ascii="Palatino Linotype" w:eastAsia="Palatino Linotype" w:hAnsi="Palatino Linotype" w:cs="Palatino Linotype"/>
          <w:b/>
          <w:sz w:val="22"/>
          <w:szCs w:val="22"/>
        </w:rPr>
      </w:pPr>
    </w:p>
    <w:p w14:paraId="3B931E50" w14:textId="77777777" w:rsidR="006F16B0" w:rsidRDefault="00AD0B82">
      <w:pPr>
        <w:spacing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“Artículo 8.25.- De conformidad con lo establecido en el Artículo 20 de la Ley de Planeación, del Estado de México y Municipios, </w:t>
      </w:r>
      <w:r>
        <w:rPr>
          <w:rFonts w:ascii="Palatino Linotype" w:eastAsia="Palatino Linotype" w:hAnsi="Palatino Linotype" w:cs="Palatino Linotype"/>
          <w:b/>
          <w:i/>
          <w:sz w:val="22"/>
          <w:szCs w:val="22"/>
          <w:u w:val="single"/>
        </w:rPr>
        <w:t xml:space="preserve">Compete a las unidades de información, planeación, programación y evaluación UIPPE de las dependencias, organismos y entidades públicas y a las unidades administrativas o los servidores públicos de los municipios, en materia de planeación democrática para el desarrollo: </w:t>
      </w:r>
    </w:p>
    <w:p w14:paraId="15FEAF6B" w14:textId="77777777" w:rsidR="006F16B0" w:rsidRDefault="00AD0B82">
      <w:pPr>
        <w:numPr>
          <w:ilvl w:val="0"/>
          <w:numId w:val="8"/>
        </w:numPr>
        <w:pBdr>
          <w:top w:val="nil"/>
          <w:left w:val="nil"/>
          <w:bottom w:val="nil"/>
          <w:right w:val="nil"/>
          <w:between w:val="nil"/>
        </w:pBdr>
        <w:spacing w:line="276" w:lineRule="auto"/>
        <w:ind w:left="567" w:right="900" w:hanging="141"/>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b/>
          <w:i/>
          <w:color w:val="000000"/>
          <w:sz w:val="22"/>
          <w:szCs w:val="22"/>
        </w:rPr>
        <w:t xml:space="preserve">Garantizar el cumplimiento de las etapas del proceso de planeación para el desarrollo en el ámbito de su competencia; </w:t>
      </w:r>
    </w:p>
    <w:p w14:paraId="669C52DE" w14:textId="77777777" w:rsidR="006F16B0" w:rsidRDefault="00AD0B82">
      <w:pPr>
        <w:numPr>
          <w:ilvl w:val="0"/>
          <w:numId w:val="8"/>
        </w:numPr>
        <w:pBdr>
          <w:top w:val="nil"/>
          <w:left w:val="nil"/>
          <w:bottom w:val="nil"/>
          <w:right w:val="nil"/>
          <w:between w:val="nil"/>
        </w:pBdr>
        <w:spacing w:line="276" w:lineRule="auto"/>
        <w:ind w:left="567" w:right="900" w:hanging="141"/>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b/>
          <w:i/>
          <w:color w:val="000000"/>
          <w:sz w:val="22"/>
          <w:szCs w:val="22"/>
        </w:rPr>
        <w:t xml:space="preserve">Utilizar, generar, recopilar, procesar y proporcionar la información que en materia de planeación para el desarrollo sea de su competencia; </w:t>
      </w:r>
    </w:p>
    <w:p w14:paraId="1623F4EE" w14:textId="77777777" w:rsidR="006F16B0" w:rsidRDefault="00AD0B82">
      <w:pPr>
        <w:numPr>
          <w:ilvl w:val="0"/>
          <w:numId w:val="8"/>
        </w:numPr>
        <w:pBdr>
          <w:top w:val="nil"/>
          <w:left w:val="nil"/>
          <w:bottom w:val="nil"/>
          <w:right w:val="nil"/>
          <w:between w:val="nil"/>
        </w:pBdr>
        <w:spacing w:line="276" w:lineRule="auto"/>
        <w:ind w:left="567" w:right="900" w:hanging="141"/>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b/>
          <w:i/>
          <w:color w:val="000000"/>
          <w:sz w:val="22"/>
          <w:szCs w:val="22"/>
        </w:rPr>
        <w:lastRenderedPageBreak/>
        <w:t>Coadyuvar en la elaboración del presupuesto por programas en concordancia con la estrategia contenida en el plan de desarrollo en la materia de su competencia;</w:t>
      </w:r>
    </w:p>
    <w:p w14:paraId="7C77FF9C" w14:textId="77777777" w:rsidR="006F16B0" w:rsidRDefault="00AD0B82">
      <w:pPr>
        <w:numPr>
          <w:ilvl w:val="0"/>
          <w:numId w:val="8"/>
        </w:numPr>
        <w:pBdr>
          <w:top w:val="nil"/>
          <w:left w:val="nil"/>
          <w:bottom w:val="nil"/>
          <w:right w:val="nil"/>
          <w:between w:val="nil"/>
        </w:pBdr>
        <w:spacing w:line="276" w:lineRule="auto"/>
        <w:ind w:left="567" w:right="900" w:hanging="141"/>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i/>
          <w:color w:val="000000"/>
          <w:sz w:val="22"/>
          <w:szCs w:val="22"/>
        </w:rPr>
        <w:t xml:space="preserve">Verificar que los programas y la asignación de recursos guarden relación con los objetivos, metas y prioridades de los planes y programas y la evaluación de su ejecución; </w:t>
      </w:r>
    </w:p>
    <w:p w14:paraId="229609DF" w14:textId="77777777" w:rsidR="006F16B0" w:rsidRDefault="00AD0B82">
      <w:pPr>
        <w:numPr>
          <w:ilvl w:val="0"/>
          <w:numId w:val="8"/>
        </w:numPr>
        <w:pBdr>
          <w:top w:val="nil"/>
          <w:left w:val="nil"/>
          <w:bottom w:val="nil"/>
          <w:right w:val="nil"/>
          <w:between w:val="nil"/>
        </w:pBdr>
        <w:spacing w:line="276" w:lineRule="auto"/>
        <w:ind w:left="567" w:right="900" w:hanging="141"/>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i/>
          <w:color w:val="000000"/>
          <w:sz w:val="22"/>
          <w:szCs w:val="22"/>
        </w:rPr>
        <w:t xml:space="preserve">Vigilar que las actividades en materia de planeación de las áreas a las que están adscritas, se conduzcan conforme a los planes de desarrollo y sus programas; </w:t>
      </w:r>
    </w:p>
    <w:p w14:paraId="71056FC6" w14:textId="77777777" w:rsidR="006F16B0" w:rsidRDefault="00AD0B82">
      <w:pPr>
        <w:numPr>
          <w:ilvl w:val="0"/>
          <w:numId w:val="8"/>
        </w:numPr>
        <w:pBdr>
          <w:top w:val="nil"/>
          <w:left w:val="nil"/>
          <w:bottom w:val="nil"/>
          <w:right w:val="nil"/>
          <w:between w:val="nil"/>
        </w:pBdr>
        <w:spacing w:line="276" w:lineRule="auto"/>
        <w:ind w:left="567" w:right="900" w:hanging="141"/>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i/>
          <w:color w:val="000000"/>
          <w:sz w:val="22"/>
          <w:szCs w:val="22"/>
        </w:rPr>
        <w:t xml:space="preserve">Evaluar y dar seguimiento al cumplimiento de los convenios de coordinación y de participación, respecto de las obligaciones a su cargo; </w:t>
      </w:r>
    </w:p>
    <w:p w14:paraId="789DEEDF" w14:textId="77777777" w:rsidR="006F16B0" w:rsidRDefault="00AD0B82">
      <w:pPr>
        <w:numPr>
          <w:ilvl w:val="0"/>
          <w:numId w:val="8"/>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i/>
          <w:color w:val="000000"/>
          <w:sz w:val="22"/>
          <w:szCs w:val="22"/>
        </w:rPr>
        <w:t>Cumplir con el Plan Nacional de Desarrollo, el Plan de Desarrollo del Estado de México, el Plan de Desarrollo Municipal y los programas que de éstos se deriven;</w:t>
      </w:r>
    </w:p>
    <w:p w14:paraId="5DE1C93C" w14:textId="77777777" w:rsidR="006F16B0" w:rsidRDefault="00AD0B82">
      <w:pPr>
        <w:spacing w:line="276" w:lineRule="auto"/>
        <w:ind w:left="567" w:right="900" w:hanging="28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VIII. Reportar periódicamente los resultados de la ejecución de los planes y programas al Comité de Planeación para el Desarrollo del Estado de México, con base en la coordinación establecida en el Sistema de Planeación Democrática para el Desarrollo del Estado de México y Municipios, en el abeto municipal el secretario técnico será el titular de la Unidad de Información, planeación, Programación y evaluación.”</w:t>
      </w:r>
    </w:p>
    <w:p w14:paraId="39F1F61D" w14:textId="77777777" w:rsidR="006F16B0" w:rsidRDefault="006F16B0">
      <w:pPr>
        <w:spacing w:line="276" w:lineRule="auto"/>
        <w:ind w:right="900"/>
        <w:jc w:val="both"/>
        <w:rPr>
          <w:rFonts w:ascii="Palatino Linotype" w:eastAsia="Palatino Linotype" w:hAnsi="Palatino Linotype" w:cs="Palatino Linotype"/>
          <w:i/>
          <w:sz w:val="22"/>
          <w:szCs w:val="22"/>
        </w:rPr>
      </w:pPr>
    </w:p>
    <w:p w14:paraId="127B7EEB" w14:textId="77777777" w:rsidR="006F16B0" w:rsidRDefault="00AD0B8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 manera que con lo citado anteriormente, se colige que los pronunciamientos emitidos en respuesta fueron realizados por el servidor público habilitado competente, en razón de que es la unidad encargada de verificar que los programas y la asignación de recursos guarden relación con los objetivos, metas y prioridades de los planes y programas y la evaluación de su ejecución, así como de vigilar que las actividades en materia de planeación de las áreas a las que están adscritas, se conduzcan conforme a los planes de desarrollo y sus programas, entre otras funciones realizadas con la materia de planeación.</w:t>
      </w:r>
    </w:p>
    <w:p w14:paraId="26C0C2AE" w14:textId="77777777" w:rsidR="006F16B0" w:rsidRDefault="006F16B0">
      <w:pPr>
        <w:spacing w:line="360" w:lineRule="auto"/>
        <w:ind w:right="49"/>
        <w:jc w:val="both"/>
        <w:rPr>
          <w:rFonts w:ascii="Palatino Linotype" w:eastAsia="Palatino Linotype" w:hAnsi="Palatino Linotype" w:cs="Palatino Linotype"/>
        </w:rPr>
      </w:pPr>
    </w:p>
    <w:p w14:paraId="4BF967B9" w14:textId="77777777" w:rsidR="006F16B0" w:rsidRDefault="00AD0B8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No obstante, para desempeñar la búsqueda exhaustiva y razonable prevista por el artículo 162 de la Ley de Transparencia vigente en la entidad, resulta importante </w:t>
      </w:r>
      <w:r>
        <w:rPr>
          <w:rFonts w:ascii="Palatino Linotype" w:eastAsia="Palatino Linotype" w:hAnsi="Palatino Linotype" w:cs="Palatino Linotype"/>
        </w:rPr>
        <w:lastRenderedPageBreak/>
        <w:t xml:space="preserve">señalar que dicha información es conocida por la Tesorería Municipal y por la temporalidad requerida, pudiera obrar en el archivo municipal, por lo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para reforzar esta argumentación, se insertan los siguientes preceptos del Código Reglamentario en análisis:  </w:t>
      </w:r>
    </w:p>
    <w:p w14:paraId="3A0D0E3B" w14:textId="77777777" w:rsidR="006F16B0" w:rsidRDefault="006F16B0">
      <w:pPr>
        <w:spacing w:line="360" w:lineRule="auto"/>
        <w:ind w:right="49"/>
        <w:jc w:val="both"/>
        <w:rPr>
          <w:rFonts w:ascii="Palatino Linotype" w:eastAsia="Palatino Linotype" w:hAnsi="Palatino Linotype" w:cs="Palatino Linotype"/>
        </w:rPr>
      </w:pPr>
    </w:p>
    <w:p w14:paraId="21E7C819" w14:textId="77777777" w:rsidR="006F16B0" w:rsidRDefault="00AD0B82">
      <w:pPr>
        <w:spacing w:line="276" w:lineRule="auto"/>
        <w:ind w:right="4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Código Reglamentario para el Municipio de Tenancingo, Estado de México: </w:t>
      </w:r>
    </w:p>
    <w:p w14:paraId="53F438AE" w14:textId="77777777" w:rsidR="006F16B0" w:rsidRDefault="006F16B0">
      <w:pPr>
        <w:spacing w:line="276" w:lineRule="auto"/>
        <w:ind w:right="49"/>
        <w:jc w:val="both"/>
        <w:rPr>
          <w:rFonts w:ascii="Palatino Linotype" w:eastAsia="Palatino Linotype" w:hAnsi="Palatino Linotype" w:cs="Palatino Linotype"/>
          <w:b/>
          <w:sz w:val="22"/>
          <w:szCs w:val="22"/>
        </w:rPr>
      </w:pPr>
    </w:p>
    <w:p w14:paraId="5B2F3DA1" w14:textId="77777777" w:rsidR="006F16B0" w:rsidRDefault="00AD0B82">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3.34.- Al titular de la Tesorería Municipal corresponde, además de las atribuciones que le confieren la Ley Orgánica Municipal y el Código Financiero, el despacho de los siguientes asuntos:</w:t>
      </w:r>
    </w:p>
    <w:p w14:paraId="3E5C4233" w14:textId="77777777" w:rsidR="006F16B0" w:rsidRDefault="00AD0B82">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46469E7" w14:textId="77777777" w:rsidR="006F16B0" w:rsidRDefault="00AD0B82">
      <w:pPr>
        <w:spacing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VIII. Emitir las políticas que en materia de ejercicio presupuestal sean de observancia por las dependencias municipales; </w:t>
      </w:r>
    </w:p>
    <w:p w14:paraId="4B3FB8C8" w14:textId="77777777" w:rsidR="006F16B0" w:rsidRDefault="00AD0B82">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6A09FDA" w14:textId="77777777" w:rsidR="006F16B0" w:rsidRDefault="00AD0B82">
      <w:pPr>
        <w:spacing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XI. Vigilar que la cuenta pública y los informes mensuales del Ayuntamiento y de los organismos auxiliares se lleven a cabo de manera oportuna y con apego a los lineamientos establecidos por el Órgano Superior de Fiscalización del Poder Legislativo del Estado.</w:t>
      </w:r>
    </w:p>
    <w:p w14:paraId="3B216E2C" w14:textId="77777777" w:rsidR="006F16B0" w:rsidRDefault="006F16B0">
      <w:pPr>
        <w:spacing w:line="276" w:lineRule="auto"/>
        <w:ind w:left="567" w:right="900"/>
        <w:jc w:val="both"/>
        <w:rPr>
          <w:rFonts w:ascii="Palatino Linotype" w:eastAsia="Palatino Linotype" w:hAnsi="Palatino Linotype" w:cs="Palatino Linotype"/>
          <w:b/>
          <w:i/>
          <w:sz w:val="22"/>
          <w:szCs w:val="22"/>
        </w:rPr>
      </w:pPr>
    </w:p>
    <w:p w14:paraId="0C8C711E" w14:textId="77777777" w:rsidR="006F16B0" w:rsidRDefault="00AD0B82">
      <w:pPr>
        <w:spacing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02DC4B4B" w14:textId="77777777" w:rsidR="006F16B0" w:rsidRDefault="00AD0B82">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TÍTULO SEXTO DE LA ADMINISTRACIÓN DE DOCUMENTOS MUNICIPALES CAPÍTULO PRIMERO DE LAS DISPOSICIONES GENERALES </w:t>
      </w:r>
    </w:p>
    <w:p w14:paraId="584122FC" w14:textId="77777777" w:rsidR="006F16B0" w:rsidRDefault="00AD0B82">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8.46.- La administración de documentos administrativos e históricos del Municipio y sus organismos auxiliares, se regirá por la Ley de Documentos Administrativos e Históricos del Estado, el presente capítulo y demás disposiciones. </w:t>
      </w:r>
    </w:p>
    <w:p w14:paraId="55E7F3DE" w14:textId="77777777" w:rsidR="006F16B0" w:rsidRDefault="006F16B0">
      <w:pPr>
        <w:spacing w:line="276" w:lineRule="auto"/>
        <w:ind w:left="567" w:right="900"/>
        <w:jc w:val="both"/>
        <w:rPr>
          <w:rFonts w:ascii="Palatino Linotype" w:eastAsia="Palatino Linotype" w:hAnsi="Palatino Linotype" w:cs="Palatino Linotype"/>
          <w:i/>
          <w:sz w:val="22"/>
          <w:szCs w:val="22"/>
        </w:rPr>
      </w:pPr>
    </w:p>
    <w:p w14:paraId="3E835FB8" w14:textId="77777777" w:rsidR="006F16B0" w:rsidRDefault="00AD0B82">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8.47.- </w:t>
      </w:r>
      <w:r>
        <w:rPr>
          <w:rFonts w:ascii="Palatino Linotype" w:eastAsia="Palatino Linotype" w:hAnsi="Palatino Linotype" w:cs="Palatino Linotype"/>
          <w:b/>
          <w:i/>
          <w:sz w:val="22"/>
          <w:szCs w:val="22"/>
        </w:rPr>
        <w:t>Para la administración de los documentos municipales existirán el Archivo Administrativo y el Archivo Histórico coordinado por la Secretaría del Ayuntamiento.</w:t>
      </w:r>
      <w:r>
        <w:rPr>
          <w:rFonts w:ascii="Palatino Linotype" w:eastAsia="Palatino Linotype" w:hAnsi="Palatino Linotype" w:cs="Palatino Linotype"/>
          <w:i/>
          <w:sz w:val="22"/>
          <w:szCs w:val="22"/>
        </w:rPr>
        <w:t xml:space="preserve"> El Cronista Municipal será el encargado del Archivo Histórico Municipal. En cada dependencia municipal y organismo auxiliar existirá un archivo de trámite. </w:t>
      </w:r>
    </w:p>
    <w:p w14:paraId="50FBE80A" w14:textId="77777777" w:rsidR="006F16B0" w:rsidRDefault="00AD0B82">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CAPÍTULO SEGUNDO </w:t>
      </w:r>
    </w:p>
    <w:p w14:paraId="6B01AB6F" w14:textId="77777777" w:rsidR="006F16B0" w:rsidRDefault="00AD0B82">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DEL ARCHIVO ADMINISTRATIVO </w:t>
      </w:r>
    </w:p>
    <w:p w14:paraId="3A1ABF6E" w14:textId="77777777" w:rsidR="006F16B0" w:rsidRDefault="00AD0B82">
      <w:pPr>
        <w:spacing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Artículo 8.48.- </w:t>
      </w:r>
      <w:r>
        <w:rPr>
          <w:rFonts w:ascii="Palatino Linotype" w:eastAsia="Palatino Linotype" w:hAnsi="Palatino Linotype" w:cs="Palatino Linotype"/>
          <w:b/>
          <w:i/>
          <w:sz w:val="22"/>
          <w:szCs w:val="22"/>
        </w:rPr>
        <w:t xml:space="preserve">El Archivo Administrativo se encargará de la recepción y resguardo de los expedientes de trámite concluido, bibliográficos, hemerográficos y no convencionales, que sean generados por las dependencias municipales y organismos auxiliares, cuya utilidad administrativa haya terminado, pero </w:t>
      </w:r>
      <w:proofErr w:type="spellStart"/>
      <w:r>
        <w:rPr>
          <w:rFonts w:ascii="Palatino Linotype" w:eastAsia="Palatino Linotype" w:hAnsi="Palatino Linotype" w:cs="Palatino Linotype"/>
          <w:b/>
          <w:i/>
          <w:sz w:val="22"/>
          <w:szCs w:val="22"/>
        </w:rPr>
        <w:t>aun</w:t>
      </w:r>
      <w:proofErr w:type="spellEnd"/>
      <w:r>
        <w:rPr>
          <w:rFonts w:ascii="Palatino Linotype" w:eastAsia="Palatino Linotype" w:hAnsi="Palatino Linotype" w:cs="Palatino Linotype"/>
          <w:b/>
          <w:i/>
          <w:sz w:val="22"/>
          <w:szCs w:val="22"/>
        </w:rPr>
        <w:t xml:space="preserve"> no cumplen el período de conservación que establece la ley de la materia, para ser considerados como históricos.</w:t>
      </w:r>
    </w:p>
    <w:p w14:paraId="2F2EAD6A" w14:textId="77777777" w:rsidR="006F16B0" w:rsidRDefault="00AD0B82">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8.49.- El Archivo Administrativo ejercerá las siguientes atribuciones: </w:t>
      </w:r>
    </w:p>
    <w:p w14:paraId="2CBF75CE" w14:textId="77777777" w:rsidR="006F16B0" w:rsidRDefault="00AD0B82">
      <w:pPr>
        <w:spacing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 Recibir y conservar la documentación generada por las dependencias municipales y organismos auxiliares; </w:t>
      </w:r>
    </w:p>
    <w:p w14:paraId="48171F73" w14:textId="77777777" w:rsidR="006F16B0" w:rsidRDefault="00AD0B82">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Custodiar, catalogar y clasificar los documentos que le sean transferidos; </w:t>
      </w:r>
    </w:p>
    <w:p w14:paraId="3A1E60C9" w14:textId="77777777" w:rsidR="006F16B0" w:rsidRDefault="00AD0B82">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Brindar el servicio de consulta del acervo documental a las dependencias municipales y organismos auxiliares, en las instalaciones del Archivo; </w:t>
      </w:r>
    </w:p>
    <w:p w14:paraId="3A73C8F9" w14:textId="77777777" w:rsidR="006F16B0" w:rsidRDefault="00AD0B82">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Realizar el préstamo externo de documentos de trámite concluido a las dependencias municipales y organismos auxiliares que los hayan generado, por un plazo no mayor de diez días hábiles; </w:t>
      </w:r>
    </w:p>
    <w:p w14:paraId="06F1DD04" w14:textId="77777777" w:rsidR="006F16B0" w:rsidRDefault="00AD0B82">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Mantener al corriente la clasificación, catalogación y ordenación física de documentos; </w:t>
      </w:r>
    </w:p>
    <w:p w14:paraId="07B88CCB" w14:textId="77777777" w:rsidR="006F16B0" w:rsidRDefault="00AD0B82">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Brindar asesoría técnica para el buen funcionamiento de los archivos de trámite de las dependencias municipales y organismos auxiliares; </w:t>
      </w:r>
    </w:p>
    <w:p w14:paraId="4DFDECE9" w14:textId="77777777" w:rsidR="006F16B0" w:rsidRDefault="00AD0B82">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 Seleccionar los documentos susceptibles de ser analizados por la autoridad competente del Gobierno del Estado, para determinar su conservación o destrucción definitiva; </w:t>
      </w:r>
    </w:p>
    <w:p w14:paraId="21768415" w14:textId="77777777" w:rsidR="006F16B0" w:rsidRDefault="00AD0B82">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VIII. Destruir los documentos analizados y aprobados por la autoridad estatal competente, de acuerdo a los dictámenes emitidos por la misma; </w:t>
      </w:r>
    </w:p>
    <w:p w14:paraId="5AB5E083" w14:textId="77777777" w:rsidR="006F16B0" w:rsidRDefault="00AD0B82">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IX. Transferir la documentación al Archivo Histórico, una vez que la vida administrativa de los mismos haya concluido; </w:t>
      </w:r>
    </w:p>
    <w:p w14:paraId="0E72D4FD" w14:textId="77777777" w:rsidR="006F16B0" w:rsidRDefault="00AD0B82">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 Diseñar los formatos necesarios para la operación adecuada de las tareas a su cargo; y </w:t>
      </w:r>
    </w:p>
    <w:p w14:paraId="6661A7C1" w14:textId="77777777" w:rsidR="006F16B0" w:rsidRDefault="00AD0B82">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 Las demás que señalen otras disposiciones.” (Sic) (Énfasis añadido)</w:t>
      </w:r>
    </w:p>
    <w:p w14:paraId="4B6D79A5" w14:textId="77777777" w:rsidR="006F16B0" w:rsidRDefault="006F16B0">
      <w:pPr>
        <w:spacing w:line="360" w:lineRule="auto"/>
        <w:ind w:right="49"/>
        <w:jc w:val="both"/>
        <w:rPr>
          <w:rFonts w:ascii="Palatino Linotype" w:eastAsia="Palatino Linotype" w:hAnsi="Palatino Linotype" w:cs="Palatino Linotype"/>
        </w:rPr>
      </w:pPr>
    </w:p>
    <w:p w14:paraId="41E08350" w14:textId="77777777" w:rsidR="006F16B0" w:rsidRDefault="00AD0B8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Es por lo anteriormente citado, que se advierte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si bien es cierto, se pronunció uno de los servidores públicos habilitados, no menos cierto es que la información materia de los recursos de revisión que nos ocupan pudieran obrar en los archivos de las unidades administrativas como son la tesorería municipal y la unidad encargada del archivo municipal, esto derivado de la temporalidad que se está requiriendo que son los años de 2018, 2019 y 2021. </w:t>
      </w:r>
    </w:p>
    <w:p w14:paraId="5D1A5BC4" w14:textId="77777777" w:rsidR="006F16B0" w:rsidRDefault="006F16B0">
      <w:pPr>
        <w:spacing w:line="360" w:lineRule="auto"/>
        <w:ind w:right="49"/>
        <w:jc w:val="both"/>
        <w:rPr>
          <w:rFonts w:ascii="Palatino Linotype" w:eastAsia="Palatino Linotype" w:hAnsi="Palatino Linotype" w:cs="Palatino Linotype"/>
        </w:rPr>
      </w:pPr>
    </w:p>
    <w:p w14:paraId="573F67E3" w14:textId="77777777" w:rsidR="006F16B0" w:rsidRDefault="00AD0B8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Teniendo estos argumentos expuestos, se procede a analizar los tres supuestos que se actualizaron con las respuestas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determinar la procedencia de la entrega de información, de ser el caso.</w:t>
      </w:r>
    </w:p>
    <w:p w14:paraId="368148B5" w14:textId="77777777" w:rsidR="006F16B0" w:rsidRDefault="006F16B0">
      <w:pPr>
        <w:spacing w:line="276" w:lineRule="auto"/>
        <w:ind w:right="49"/>
        <w:jc w:val="both"/>
        <w:rPr>
          <w:rFonts w:ascii="Palatino Linotype" w:eastAsia="Palatino Linotype" w:hAnsi="Palatino Linotype" w:cs="Palatino Linotype"/>
          <w:i/>
          <w:sz w:val="22"/>
          <w:szCs w:val="22"/>
        </w:rPr>
      </w:pPr>
    </w:p>
    <w:p w14:paraId="18CF080C" w14:textId="77777777" w:rsidR="006F16B0" w:rsidRDefault="00AD0B82">
      <w:pPr>
        <w:numPr>
          <w:ilvl w:val="2"/>
          <w:numId w:val="2"/>
        </w:numPr>
        <w:pBdr>
          <w:top w:val="nil"/>
          <w:left w:val="nil"/>
          <w:bottom w:val="nil"/>
          <w:right w:val="nil"/>
          <w:between w:val="nil"/>
        </w:pBdr>
        <w:ind w:left="0" w:right="900" w:hanging="28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Recurso de Revisión 05044/INFOEM/IP/RR/2022: </w:t>
      </w:r>
    </w:p>
    <w:p w14:paraId="597461FD" w14:textId="77777777" w:rsidR="006F16B0" w:rsidRDefault="006F16B0">
      <w:pPr>
        <w:pBdr>
          <w:top w:val="nil"/>
          <w:left w:val="nil"/>
          <w:bottom w:val="nil"/>
          <w:right w:val="nil"/>
          <w:between w:val="nil"/>
        </w:pBdr>
        <w:spacing w:line="360" w:lineRule="auto"/>
        <w:ind w:right="900"/>
        <w:jc w:val="both"/>
        <w:rPr>
          <w:rFonts w:ascii="Palatino Linotype" w:eastAsia="Palatino Linotype" w:hAnsi="Palatino Linotype" w:cs="Palatino Linotype"/>
          <w:b/>
          <w:color w:val="000000"/>
          <w:sz w:val="22"/>
          <w:szCs w:val="22"/>
        </w:rPr>
      </w:pPr>
    </w:p>
    <w:p w14:paraId="60E01880" w14:textId="77777777" w:rsidR="006F16B0" w:rsidRDefault="00AD0B82">
      <w:pP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Respecto de este punto, no pasa desapercibido para este Organismo Garante que por cuanto hace a los formatos PBRM del 2018, el </w:t>
      </w:r>
      <w:r>
        <w:rPr>
          <w:rFonts w:ascii="Palatino Linotype" w:eastAsia="Palatino Linotype" w:hAnsi="Palatino Linotype" w:cs="Palatino Linotype"/>
          <w:b/>
          <w:color w:val="000000"/>
        </w:rPr>
        <w:t>Coordinador de la Unidad de Información, Planeación, Programación y Evaluación (UIPPE)</w:t>
      </w:r>
      <w:r>
        <w:rPr>
          <w:rFonts w:ascii="Palatino Linotype" w:eastAsia="Palatino Linotype" w:hAnsi="Palatino Linotype" w:cs="Palatino Linotype"/>
          <w:color w:val="000000"/>
        </w:rPr>
        <w:t xml:space="preserve">, únicamente refirió que derivado de una búsqueda exhaustiva en los archivos de la Secretaría Técnica, </w:t>
      </w:r>
      <w:r>
        <w:rPr>
          <w:rFonts w:ascii="Palatino Linotype" w:eastAsia="Palatino Linotype" w:hAnsi="Palatino Linotype" w:cs="Palatino Linotype"/>
          <w:b/>
          <w:color w:val="000000"/>
        </w:rPr>
        <w:t>no se cuenta con algún soporte documental del PBRM anual 2018</w:t>
      </w:r>
      <w:r>
        <w:rPr>
          <w:rFonts w:ascii="Palatino Linotype" w:eastAsia="Palatino Linotype" w:hAnsi="Palatino Linotype" w:cs="Palatino Linotype"/>
          <w:color w:val="000000"/>
        </w:rPr>
        <w:t xml:space="preserve">, sin embargo, el Manual Para la Planeación, Programación y Presupuesto de Egresos Municipal Para el Ejercicio Fiscal 2018, dispone que dichos formatos deberán generarse para integrar el anteproyecto de presupuesto de egresos para el ejercicio correspondiente, así como su ejercicio, control y evaluación, una vez que se haya aprobado:  </w:t>
      </w:r>
    </w:p>
    <w:p w14:paraId="1018CE6E"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sz w:val="22"/>
          <w:szCs w:val="22"/>
        </w:rPr>
        <w:lastRenderedPageBreak/>
        <w:t xml:space="preserve">“Formatos </w:t>
      </w:r>
      <w:proofErr w:type="spellStart"/>
      <w:r>
        <w:rPr>
          <w:rFonts w:ascii="Palatino Linotype" w:eastAsia="Palatino Linotype" w:hAnsi="Palatino Linotype" w:cs="Palatino Linotype"/>
          <w:i/>
          <w:color w:val="000000"/>
          <w:sz w:val="22"/>
          <w:szCs w:val="22"/>
        </w:rPr>
        <w:t>PbRM</w:t>
      </w:r>
      <w:proofErr w:type="spellEnd"/>
      <w:r>
        <w:rPr>
          <w:rFonts w:ascii="Palatino Linotype" w:eastAsia="Palatino Linotype" w:hAnsi="Palatino Linotype" w:cs="Palatino Linotype"/>
          <w:i/>
          <w:color w:val="000000"/>
          <w:sz w:val="22"/>
          <w:szCs w:val="22"/>
        </w:rPr>
        <w:t>: Documentos diseñados por la Secretaría para anotar sistemáticamente la información de los programas a cargo de las dependencias generales y auxiliares y su correspondiente cuantificación en términos físicos y presupuestarios, lo que permite integrar el anteproyecto de presupuesto de egresos para el ejercicio correspondiente y la mecánica para su ejercicio, control y evaluación una vez que ha sido autorizado por las instancias correspondientes.”</w:t>
      </w:r>
    </w:p>
    <w:p w14:paraId="22B402F7" w14:textId="77777777" w:rsidR="006F16B0" w:rsidRDefault="00AD0B82">
      <w:pP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anterior, se reitera que dichos formatos deben generarse de manera anual para efecto de la integración del anteproyecto del presupuesto de egresos y por ello debían obrar en los archivos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w:t>
      </w:r>
    </w:p>
    <w:p w14:paraId="6EE28FA0" w14:textId="77777777" w:rsidR="006F16B0" w:rsidRDefault="00AD0B82">
      <w:pP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ahí que se estime que su respuesta careció de los principios de congruencia y exhaustividad, como refuerzo de lo anterior</w:t>
      </w:r>
      <w:r>
        <w:rPr>
          <w:rFonts w:ascii="Palatino Linotype" w:eastAsia="Palatino Linotype" w:hAnsi="Palatino Linotype" w:cs="Palatino Linotype"/>
          <w:color w:val="000000"/>
          <w:u w:val="single"/>
        </w:rPr>
        <w:t xml:space="preserve">, resulta crucial el Criterio 02/17, emitido por el Pleno del </w:t>
      </w:r>
      <w:r>
        <w:rPr>
          <w:rFonts w:ascii="Palatino Linotype" w:eastAsia="Palatino Linotype" w:hAnsi="Palatino Linotype" w:cs="Palatino Linotype"/>
          <w:color w:val="000000"/>
        </w:rPr>
        <w:t>Instituto Nacional de Transparencia y Acceso a la Información y Protección de Datos Personales, de título y texto siguientes:</w:t>
      </w:r>
    </w:p>
    <w:p w14:paraId="04ACDB6C" w14:textId="77777777" w:rsidR="006F16B0" w:rsidRDefault="00AD0B82">
      <w:pPr>
        <w:spacing w:before="240" w:after="240"/>
        <w:ind w:left="567" w:right="900"/>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sz w:val="22"/>
          <w:szCs w:val="22"/>
        </w:rPr>
        <w:t xml:space="preserve">“Congruencia y exhaustividad. Sus alcances para garantizar el derecho de acceso a la información. </w:t>
      </w:r>
      <w:r>
        <w:rPr>
          <w:rFonts w:ascii="Palatino Linotype" w:eastAsia="Palatino Linotype" w:hAnsi="Palatino Linotype" w:cs="Palatino Linotype"/>
          <w:i/>
          <w:color w:val="000000"/>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w:t>
      </w:r>
      <w:r>
        <w:rPr>
          <w:rFonts w:ascii="Palatino Linotype" w:eastAsia="Palatino Linotype" w:hAnsi="Palatino Linotype" w:cs="Palatino Linotype"/>
          <w:i/>
          <w:color w:val="000000"/>
        </w:rPr>
        <w:t xml:space="preserve">con los principios de congruencia y exhaustividad. Para el efectivo ejercicio del derecho de acceso a la información, </w:t>
      </w:r>
      <w:r>
        <w:rPr>
          <w:rFonts w:ascii="Palatino Linotype" w:eastAsia="Palatino Linotype" w:hAnsi="Palatino Linotype" w:cs="Palatino Linotype"/>
          <w:b/>
          <w:i/>
          <w:color w:val="000000"/>
        </w:rPr>
        <w:t>la congruencia implica que exista concordancia entre el requerimiento formulado por el particular y la respuesta proporcionada por el sujeto obligado</w:t>
      </w:r>
      <w:r>
        <w:rPr>
          <w:rFonts w:ascii="Palatino Linotype" w:eastAsia="Palatino Linotype" w:hAnsi="Palatino Linotype" w:cs="Palatino Linotype"/>
          <w:i/>
          <w:color w:val="000000"/>
        </w:rPr>
        <w:t xml:space="preserve">; mientras que </w:t>
      </w:r>
      <w:r>
        <w:rPr>
          <w:rFonts w:ascii="Palatino Linotype" w:eastAsia="Palatino Linotype" w:hAnsi="Palatino Linotype" w:cs="Palatino Linotype"/>
          <w:b/>
          <w:i/>
          <w:color w:val="000000"/>
        </w:rPr>
        <w:t>la exhaustividad significa que dicha respuesta se refiera expresamente a cada uno de los puntos solicitados</w:t>
      </w:r>
      <w:r>
        <w:rPr>
          <w:rFonts w:ascii="Palatino Linotype" w:eastAsia="Palatino Linotype" w:hAnsi="Palatino Linotype" w:cs="Palatino Linotype"/>
          <w:i/>
          <w:color w:val="000000"/>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766A8018" w14:textId="77777777" w:rsidR="006F16B0" w:rsidRDefault="00AD0B82">
      <w:pPr>
        <w:spacing w:before="240" w:after="240"/>
        <w:ind w:left="567"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(Énfasis añadido)</w:t>
      </w:r>
    </w:p>
    <w:p w14:paraId="6EC10BF5" w14:textId="77777777" w:rsidR="006F16B0" w:rsidRDefault="00AD0B8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lo que en el presente asunto, es dable </w:t>
      </w:r>
      <w:r>
        <w:rPr>
          <w:rFonts w:ascii="Palatino Linotype" w:eastAsia="Palatino Linotype" w:hAnsi="Palatino Linotype" w:cs="Palatino Linotype"/>
          <w:b/>
        </w:rPr>
        <w:t>ordenar</w:t>
      </w:r>
      <w:r>
        <w:rPr>
          <w:rFonts w:ascii="Palatino Linotype" w:eastAsia="Palatino Linotype" w:hAnsi="Palatino Linotype" w:cs="Palatino Linotype"/>
        </w:rPr>
        <w:t xml:space="preserve">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realice una búsqueda exhaustiva y razonable en sus archivos para efecto de localizar la información correspondiente a los formatos PBRM  generados durante el 2018, de ser el caso en que si obre la información en sus archivos, procederá la entrega de la información, sin embargo, en el supuesto de que derivado de una búsqueda exhaustiva y razonable, por alguna razón, la información solicitada no obre en sus archivos, tendrá que realizar un Acuerdo de Inexistencia de la Información y notificárselo a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p>
    <w:p w14:paraId="7EF49DED" w14:textId="77777777" w:rsidR="006F16B0" w:rsidRDefault="006F16B0">
      <w:pPr>
        <w:spacing w:line="360" w:lineRule="auto"/>
        <w:jc w:val="both"/>
        <w:rPr>
          <w:rFonts w:ascii="Palatino Linotype" w:eastAsia="Palatino Linotype" w:hAnsi="Palatino Linotype" w:cs="Palatino Linotype"/>
        </w:rPr>
      </w:pPr>
    </w:p>
    <w:p w14:paraId="095B8AE8" w14:textId="77777777" w:rsidR="006F16B0" w:rsidRDefault="00AD0B8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w:t>
      </w:r>
      <w:proofErr w:type="gramStart"/>
      <w:r>
        <w:rPr>
          <w:rFonts w:ascii="Palatino Linotype" w:eastAsia="Palatino Linotype" w:hAnsi="Palatino Linotype" w:cs="Palatino Linotype"/>
        </w:rPr>
        <w:t>aquéllas</w:t>
      </w:r>
      <w:proofErr w:type="gramEnd"/>
      <w:r>
        <w:rPr>
          <w:rFonts w:ascii="Palatino Linotype" w:eastAsia="Palatino Linotype" w:hAnsi="Palatino Linotype" w:cs="Palatino Linotype"/>
        </w:rPr>
        <w:t xml:space="preserve">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correspondiente, de acuerdo a los artículos 47 y 49, fracciones II y III, de la Ley de Transparencia y Acceso a la Información Pública del Estado de México y Municipios:</w:t>
      </w:r>
    </w:p>
    <w:p w14:paraId="17EC98DC" w14:textId="77777777" w:rsidR="006F16B0" w:rsidRDefault="00AD0B82">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47.</w:t>
      </w:r>
      <w:r>
        <w:rPr>
          <w:rFonts w:ascii="Palatino Linotype" w:eastAsia="Palatino Linotype" w:hAnsi="Palatino Linotype" w:cs="Palatino Linotype"/>
          <w:i/>
          <w:sz w:val="22"/>
          <w:szCs w:val="22"/>
        </w:rPr>
        <w:t xml:space="preserve"> El Comité de Transparencia será la autoridad máxima al interior del sujeto obligado en materia del derecho de acceso a la información.</w:t>
      </w:r>
    </w:p>
    <w:p w14:paraId="6AB0FAB3" w14:textId="77777777" w:rsidR="006F16B0" w:rsidRDefault="006F16B0">
      <w:pPr>
        <w:ind w:left="567" w:right="567"/>
        <w:jc w:val="both"/>
        <w:rPr>
          <w:rFonts w:ascii="Palatino Linotype" w:eastAsia="Palatino Linotype" w:hAnsi="Palatino Linotype" w:cs="Palatino Linotype"/>
          <w:i/>
          <w:sz w:val="22"/>
          <w:szCs w:val="22"/>
        </w:rPr>
      </w:pPr>
    </w:p>
    <w:p w14:paraId="228E8982" w14:textId="77777777" w:rsidR="006F16B0" w:rsidRDefault="00AD0B82">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Comité de Transparencia adoptará sus resoluciones por mayoría de votos. En caso de empate, la o el </w:t>
      </w:r>
      <w:proofErr w:type="gramStart"/>
      <w:r>
        <w:rPr>
          <w:rFonts w:ascii="Palatino Linotype" w:eastAsia="Palatino Linotype" w:hAnsi="Palatino Linotype" w:cs="Palatino Linotype"/>
          <w:i/>
          <w:sz w:val="22"/>
          <w:szCs w:val="22"/>
        </w:rPr>
        <w:t>Presidente</w:t>
      </w:r>
      <w:proofErr w:type="gramEnd"/>
      <w:r>
        <w:rPr>
          <w:rFonts w:ascii="Palatino Linotype" w:eastAsia="Palatino Linotype" w:hAnsi="Palatino Linotype" w:cs="Palatino Linotype"/>
          <w:i/>
          <w:sz w:val="22"/>
          <w:szCs w:val="22"/>
        </w:rPr>
        <w:t xml:space="preserve"> tendrá voto de calidad. A sus sesiones podrán asistir como invitados aquellos que sus integrantes consideren necesarios, quienes tendrán </w:t>
      </w:r>
      <w:proofErr w:type="gramStart"/>
      <w:r>
        <w:rPr>
          <w:rFonts w:ascii="Palatino Linotype" w:eastAsia="Palatino Linotype" w:hAnsi="Palatino Linotype" w:cs="Palatino Linotype"/>
          <w:i/>
          <w:sz w:val="22"/>
          <w:szCs w:val="22"/>
        </w:rPr>
        <w:t>voz</w:t>
      </w:r>
      <w:proofErr w:type="gramEnd"/>
      <w:r>
        <w:rPr>
          <w:rFonts w:ascii="Palatino Linotype" w:eastAsia="Palatino Linotype" w:hAnsi="Palatino Linotype" w:cs="Palatino Linotype"/>
          <w:i/>
          <w:sz w:val="22"/>
          <w:szCs w:val="22"/>
        </w:rPr>
        <w:t xml:space="preserve"> pero no voto.</w:t>
      </w:r>
    </w:p>
    <w:p w14:paraId="513E09F5" w14:textId="77777777" w:rsidR="006F16B0" w:rsidRDefault="006F16B0">
      <w:pPr>
        <w:ind w:left="567" w:right="567"/>
        <w:jc w:val="both"/>
        <w:rPr>
          <w:rFonts w:ascii="Palatino Linotype" w:eastAsia="Palatino Linotype" w:hAnsi="Palatino Linotype" w:cs="Palatino Linotype"/>
          <w:i/>
          <w:sz w:val="22"/>
          <w:szCs w:val="22"/>
        </w:rPr>
      </w:pPr>
    </w:p>
    <w:p w14:paraId="5410CBA7" w14:textId="77777777" w:rsidR="006F16B0" w:rsidRDefault="00AD0B82">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Comité se reunirá en sesión ordinaria o extraordinaria las veces que estime necesario. El tipo de sesión se precisará en la convocatoria emitida.</w:t>
      </w:r>
    </w:p>
    <w:p w14:paraId="2361A2BB" w14:textId="77777777" w:rsidR="006F16B0" w:rsidRDefault="006F16B0">
      <w:pPr>
        <w:ind w:left="567" w:right="567"/>
        <w:jc w:val="both"/>
        <w:rPr>
          <w:rFonts w:ascii="Palatino Linotype" w:eastAsia="Palatino Linotype" w:hAnsi="Palatino Linotype" w:cs="Palatino Linotype"/>
          <w:i/>
          <w:sz w:val="22"/>
          <w:szCs w:val="22"/>
        </w:rPr>
      </w:pPr>
    </w:p>
    <w:p w14:paraId="73ACAA56" w14:textId="77777777" w:rsidR="006F16B0" w:rsidRDefault="00AD0B82">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14:paraId="420F8D3E" w14:textId="77777777" w:rsidR="006F16B0" w:rsidRDefault="006F16B0">
      <w:pPr>
        <w:ind w:left="567" w:right="567"/>
        <w:jc w:val="both"/>
        <w:rPr>
          <w:rFonts w:ascii="Palatino Linotype" w:eastAsia="Palatino Linotype" w:hAnsi="Palatino Linotype" w:cs="Palatino Linotype"/>
          <w:i/>
          <w:sz w:val="22"/>
          <w:szCs w:val="22"/>
        </w:rPr>
      </w:pPr>
    </w:p>
    <w:p w14:paraId="69AA61DB" w14:textId="77777777" w:rsidR="006F16B0" w:rsidRDefault="00AD0B82">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las sesiones y trabajos del Comité, podrán participar como invitados permanentes, los representantes de las áreas que decida el Comité, y contará con derecho de voz, pero no voto.</w:t>
      </w:r>
    </w:p>
    <w:p w14:paraId="487902B2" w14:textId="77777777" w:rsidR="006F16B0" w:rsidRDefault="006F16B0">
      <w:pPr>
        <w:ind w:left="567" w:right="567"/>
        <w:jc w:val="both"/>
        <w:rPr>
          <w:rFonts w:ascii="Palatino Linotype" w:eastAsia="Palatino Linotype" w:hAnsi="Palatino Linotype" w:cs="Palatino Linotype"/>
          <w:i/>
          <w:sz w:val="22"/>
          <w:szCs w:val="22"/>
        </w:rPr>
      </w:pPr>
    </w:p>
    <w:p w14:paraId="65695555" w14:textId="77777777" w:rsidR="006F16B0" w:rsidRDefault="00AD0B82">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titulares de las unidades administrativas que propongan la reserva, confidencialidad o declaren la </w:t>
      </w:r>
      <w:r>
        <w:rPr>
          <w:rFonts w:ascii="Palatino Linotype" w:eastAsia="Palatino Linotype" w:hAnsi="Palatino Linotype" w:cs="Palatino Linotype"/>
          <w:i/>
          <w:sz w:val="22"/>
          <w:szCs w:val="22"/>
          <w:u w:val="single"/>
        </w:rPr>
        <w:t>inexistencia</w:t>
      </w:r>
      <w:r>
        <w:rPr>
          <w:rFonts w:ascii="Palatino Linotype" w:eastAsia="Palatino Linotype" w:hAnsi="Palatino Linotype" w:cs="Palatino Linotype"/>
          <w:i/>
          <w:sz w:val="22"/>
          <w:szCs w:val="22"/>
        </w:rPr>
        <w:t xml:space="preserve"> de información, acudirán a las sesiones de dicho Comité donde se discuta la propuesta correspondiente.”</w:t>
      </w:r>
    </w:p>
    <w:p w14:paraId="14FB8296" w14:textId="77777777" w:rsidR="006F16B0" w:rsidRDefault="006F16B0">
      <w:pPr>
        <w:ind w:left="567" w:right="567"/>
        <w:jc w:val="both"/>
        <w:rPr>
          <w:rFonts w:ascii="Palatino Linotype" w:eastAsia="Palatino Linotype" w:hAnsi="Palatino Linotype" w:cs="Palatino Linotype"/>
          <w:i/>
          <w:sz w:val="22"/>
          <w:szCs w:val="22"/>
        </w:rPr>
      </w:pPr>
    </w:p>
    <w:p w14:paraId="0FCD6CC4" w14:textId="77777777" w:rsidR="006F16B0" w:rsidRDefault="00AD0B82">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Los Comités de Transparencia tendrán las siguientes atribuciones:</w:t>
      </w:r>
    </w:p>
    <w:p w14:paraId="56D25E7D" w14:textId="77777777" w:rsidR="006F16B0" w:rsidRDefault="00AD0B82">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F7FBF98" w14:textId="77777777" w:rsidR="006F16B0" w:rsidRDefault="00AD0B82">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Confirmar, modificar o revocar las determinaciones </w:t>
      </w:r>
      <w:proofErr w:type="gramStart"/>
      <w:r>
        <w:rPr>
          <w:rFonts w:ascii="Palatino Linotype" w:eastAsia="Palatino Linotype" w:hAnsi="Palatino Linotype" w:cs="Palatino Linotype"/>
          <w:i/>
          <w:sz w:val="22"/>
          <w:szCs w:val="22"/>
        </w:rPr>
        <w:t>que</w:t>
      </w:r>
      <w:proofErr w:type="gramEnd"/>
      <w:r>
        <w:rPr>
          <w:rFonts w:ascii="Palatino Linotype" w:eastAsia="Palatino Linotype" w:hAnsi="Palatino Linotype" w:cs="Palatino Linotype"/>
          <w:i/>
          <w:sz w:val="22"/>
          <w:szCs w:val="22"/>
        </w:rPr>
        <w:t xml:space="preserve"> en materia de ampliación del plazo de respuesta, clasificación de la información y </w:t>
      </w:r>
      <w:r>
        <w:rPr>
          <w:rFonts w:ascii="Palatino Linotype" w:eastAsia="Palatino Linotype" w:hAnsi="Palatino Linotype" w:cs="Palatino Linotype"/>
          <w:i/>
          <w:sz w:val="22"/>
          <w:szCs w:val="22"/>
          <w:u w:val="single"/>
        </w:rPr>
        <w:t xml:space="preserve">declaración de inexistencia </w:t>
      </w:r>
      <w:r>
        <w:rPr>
          <w:rFonts w:ascii="Palatino Linotype" w:eastAsia="Palatino Linotype" w:hAnsi="Palatino Linotype" w:cs="Palatino Linotype"/>
          <w:i/>
          <w:sz w:val="22"/>
          <w:szCs w:val="22"/>
        </w:rPr>
        <w:t>o de incompetencia realicen los titulares de las áreas de los sujetos obligados;</w:t>
      </w:r>
    </w:p>
    <w:p w14:paraId="42E6106C" w14:textId="77777777" w:rsidR="006F16B0" w:rsidRDefault="00AD0B82">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F10CFC9" w14:textId="77777777" w:rsidR="006F16B0" w:rsidRDefault="00AD0B82">
      <w:pPr>
        <w:ind w:left="567" w:right="567"/>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XIII. Dictaminar las declaratorias de inexistencia de la información que les remitan las unidades administrativas y resolver en consecuencia;</w:t>
      </w:r>
    </w:p>
    <w:p w14:paraId="13000F9D" w14:textId="77777777" w:rsidR="006F16B0" w:rsidRDefault="006F16B0">
      <w:pPr>
        <w:spacing w:line="360" w:lineRule="auto"/>
        <w:jc w:val="both"/>
        <w:rPr>
          <w:rFonts w:ascii="Palatino Linotype" w:eastAsia="Palatino Linotype" w:hAnsi="Palatino Linotype" w:cs="Palatino Linotype"/>
          <w:i/>
        </w:rPr>
      </w:pPr>
    </w:p>
    <w:p w14:paraId="0463B95B" w14:textId="77777777" w:rsidR="006F16B0" w:rsidRDefault="00AD0B8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el acuerdo de inexistencia deberá apegarse a lo dispuesto por los artículos 169 y 170, de la Ley de la materia que ordenan: </w:t>
      </w:r>
    </w:p>
    <w:p w14:paraId="00CA77D5" w14:textId="77777777" w:rsidR="006F16B0" w:rsidRDefault="006F16B0">
      <w:pPr>
        <w:spacing w:line="360" w:lineRule="auto"/>
        <w:jc w:val="both"/>
        <w:rPr>
          <w:rFonts w:ascii="Palatino Linotype" w:eastAsia="Palatino Linotype" w:hAnsi="Palatino Linotype" w:cs="Palatino Linotype"/>
        </w:rPr>
      </w:pPr>
    </w:p>
    <w:p w14:paraId="7263DA74" w14:textId="77777777" w:rsidR="006F16B0" w:rsidRDefault="00AD0B82">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169.</w:t>
      </w:r>
      <w:r>
        <w:rPr>
          <w:rFonts w:ascii="Palatino Linotype" w:eastAsia="Palatino Linotype" w:hAnsi="Palatino Linotype" w:cs="Palatino Linotype"/>
          <w:i/>
          <w:sz w:val="22"/>
          <w:szCs w:val="22"/>
        </w:rPr>
        <w:t xml:space="preserve"> Cuando la información no se encuentre en los archivos del sujeto obligado, el Comité de Transparencia:</w:t>
      </w:r>
    </w:p>
    <w:p w14:paraId="7BC07732" w14:textId="77777777" w:rsidR="006F16B0" w:rsidRDefault="006F16B0">
      <w:pPr>
        <w:ind w:left="567" w:right="567"/>
        <w:jc w:val="both"/>
        <w:rPr>
          <w:rFonts w:ascii="Palatino Linotype" w:eastAsia="Palatino Linotype" w:hAnsi="Palatino Linotype" w:cs="Palatino Linotype"/>
          <w:i/>
          <w:sz w:val="22"/>
          <w:szCs w:val="22"/>
        </w:rPr>
      </w:pPr>
    </w:p>
    <w:p w14:paraId="21A9A37D" w14:textId="77777777" w:rsidR="006F16B0" w:rsidRDefault="00AD0B82">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Analizará el caso y tomará las medidas necesarias para localizar la información;</w:t>
      </w:r>
    </w:p>
    <w:p w14:paraId="03F1C2AA" w14:textId="77777777" w:rsidR="006F16B0" w:rsidRDefault="006F16B0">
      <w:pPr>
        <w:ind w:left="567" w:right="567"/>
        <w:jc w:val="both"/>
        <w:rPr>
          <w:rFonts w:ascii="Palatino Linotype" w:eastAsia="Palatino Linotype" w:hAnsi="Palatino Linotype" w:cs="Palatino Linotype"/>
          <w:i/>
          <w:sz w:val="22"/>
          <w:szCs w:val="22"/>
        </w:rPr>
      </w:pPr>
    </w:p>
    <w:p w14:paraId="6CC59579" w14:textId="77777777" w:rsidR="006F16B0" w:rsidRDefault="00AD0B82">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Expedirá una resolución que confirme la inexistencia del documento;</w:t>
      </w:r>
    </w:p>
    <w:p w14:paraId="7304391E" w14:textId="77777777" w:rsidR="006F16B0" w:rsidRDefault="006F16B0">
      <w:pPr>
        <w:ind w:left="567" w:right="567"/>
        <w:jc w:val="both"/>
        <w:rPr>
          <w:rFonts w:ascii="Palatino Linotype" w:eastAsia="Palatino Linotype" w:hAnsi="Palatino Linotype" w:cs="Palatino Linotype"/>
          <w:i/>
          <w:sz w:val="22"/>
          <w:szCs w:val="22"/>
        </w:rPr>
      </w:pPr>
    </w:p>
    <w:p w14:paraId="04101EFA" w14:textId="77777777" w:rsidR="006F16B0" w:rsidRDefault="00AD0B82">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7980FFA9" w14:textId="77777777" w:rsidR="006F16B0" w:rsidRDefault="006F16B0">
      <w:pPr>
        <w:ind w:left="567" w:right="567"/>
        <w:jc w:val="both"/>
        <w:rPr>
          <w:rFonts w:ascii="Palatino Linotype" w:eastAsia="Palatino Linotype" w:hAnsi="Palatino Linotype" w:cs="Palatino Linotype"/>
          <w:i/>
          <w:sz w:val="22"/>
          <w:szCs w:val="22"/>
        </w:rPr>
      </w:pPr>
    </w:p>
    <w:p w14:paraId="64DCE1FD" w14:textId="77777777" w:rsidR="006F16B0" w:rsidRDefault="00AD0B82">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 Notificará al órgano interno de control o equivalente del sujeto obligado quien, en su caso, deberá iniciar el procedimiento de responsabilidad administrativa que corresponda</w:t>
      </w:r>
      <w:r>
        <w:rPr>
          <w:rFonts w:ascii="Palatino Linotype" w:eastAsia="Palatino Linotype" w:hAnsi="Palatino Linotype" w:cs="Palatino Linotype"/>
          <w:i/>
          <w:sz w:val="22"/>
          <w:szCs w:val="22"/>
        </w:rPr>
        <w:t>.</w:t>
      </w:r>
    </w:p>
    <w:p w14:paraId="08D6A0D2" w14:textId="77777777" w:rsidR="006F16B0" w:rsidRDefault="006F16B0">
      <w:pPr>
        <w:ind w:left="567" w:right="567"/>
        <w:jc w:val="both"/>
        <w:rPr>
          <w:rFonts w:ascii="Palatino Linotype" w:eastAsia="Palatino Linotype" w:hAnsi="Palatino Linotype" w:cs="Palatino Linotype"/>
          <w:i/>
          <w:sz w:val="22"/>
          <w:szCs w:val="22"/>
        </w:rPr>
      </w:pPr>
    </w:p>
    <w:p w14:paraId="2CE46012" w14:textId="77777777" w:rsidR="006F16B0" w:rsidRDefault="00AD0B82">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14:paraId="50466CD4" w14:textId="77777777" w:rsidR="006F16B0" w:rsidRDefault="006F16B0">
      <w:pPr>
        <w:ind w:left="567" w:right="567"/>
        <w:jc w:val="both"/>
        <w:rPr>
          <w:rFonts w:ascii="Palatino Linotype" w:eastAsia="Palatino Linotype" w:hAnsi="Palatino Linotype" w:cs="Palatino Linotype"/>
          <w:i/>
          <w:sz w:val="22"/>
          <w:szCs w:val="22"/>
        </w:rPr>
      </w:pPr>
    </w:p>
    <w:p w14:paraId="38C9D623" w14:textId="77777777" w:rsidR="006F16B0" w:rsidRDefault="00AD0B82">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3228BD61" w14:textId="77777777" w:rsidR="006F16B0" w:rsidRDefault="006F16B0">
      <w:pPr>
        <w:ind w:left="567" w:right="567"/>
        <w:jc w:val="both"/>
        <w:rPr>
          <w:rFonts w:ascii="Palatino Linotype" w:eastAsia="Palatino Linotype" w:hAnsi="Palatino Linotype" w:cs="Palatino Linotype"/>
          <w:i/>
          <w:sz w:val="22"/>
          <w:szCs w:val="22"/>
        </w:rPr>
      </w:pPr>
    </w:p>
    <w:p w14:paraId="5FF602B6" w14:textId="77777777" w:rsidR="006F16B0" w:rsidRDefault="00AD0B82">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170.</w:t>
      </w:r>
      <w:r>
        <w:rPr>
          <w:rFonts w:ascii="Palatino Linotype" w:eastAsia="Palatino Linotype" w:hAnsi="Palatino Linotype" w:cs="Palatino Linotype"/>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w:t>
      </w:r>
    </w:p>
    <w:p w14:paraId="7BD2DD1A" w14:textId="77777777" w:rsidR="006F16B0" w:rsidRDefault="006F16B0">
      <w:pPr>
        <w:ind w:left="567" w:right="567"/>
        <w:jc w:val="both"/>
        <w:rPr>
          <w:rFonts w:ascii="Palatino Linotype" w:eastAsia="Palatino Linotype" w:hAnsi="Palatino Linotype" w:cs="Palatino Linotype"/>
        </w:rPr>
      </w:pPr>
    </w:p>
    <w:p w14:paraId="6379183E" w14:textId="77777777" w:rsidR="006F16B0" w:rsidRDefault="00AD0B8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37A3EEA5" w14:textId="77777777" w:rsidR="006F16B0" w:rsidRDefault="006F16B0">
      <w:pPr>
        <w:spacing w:line="360" w:lineRule="auto"/>
        <w:jc w:val="both"/>
        <w:rPr>
          <w:rFonts w:ascii="Palatino Linotype" w:eastAsia="Palatino Linotype" w:hAnsi="Palatino Linotype" w:cs="Palatino Linotype"/>
        </w:rPr>
      </w:pPr>
    </w:p>
    <w:p w14:paraId="27070DE7" w14:textId="77777777" w:rsidR="006F16B0" w:rsidRDefault="00AD0B8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ese contexto, de conformidad con los </w:t>
      </w:r>
      <w:r>
        <w:rPr>
          <w:rFonts w:ascii="Palatino Linotype" w:eastAsia="Palatino Linotype" w:hAnsi="Palatino Linotype" w:cs="Palatino Linotype"/>
          <w:b/>
        </w:rPr>
        <w:t>criterios 12/10 y 04/19</w:t>
      </w:r>
      <w:r>
        <w:rPr>
          <w:rFonts w:ascii="Palatino Linotype" w:eastAsia="Palatino Linotype" w:hAnsi="Palatino Linotype" w:cs="Palatino Linotype"/>
        </w:rPr>
        <w:t>,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54AD2837" w14:textId="77777777" w:rsidR="006F16B0" w:rsidRDefault="00AD0B82">
      <w:pPr>
        <w:numPr>
          <w:ilvl w:val="0"/>
          <w:numId w:val="7"/>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Motivación por las que se buscó la información, en determinadas unidades administrativas;</w:t>
      </w:r>
    </w:p>
    <w:p w14:paraId="11ECA2E5" w14:textId="77777777" w:rsidR="006F16B0" w:rsidRDefault="00AD0B82">
      <w:pPr>
        <w:numPr>
          <w:ilvl w:val="0"/>
          <w:numId w:val="7"/>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Los criterios de búsqueda utilizados, y</w:t>
      </w:r>
    </w:p>
    <w:p w14:paraId="3E31E7A9" w14:textId="77777777" w:rsidR="006F16B0" w:rsidRDefault="00AD0B82">
      <w:pPr>
        <w:numPr>
          <w:ilvl w:val="0"/>
          <w:numId w:val="7"/>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Las circunstancias que fueron tomadas en cuenta.</w:t>
      </w:r>
    </w:p>
    <w:p w14:paraId="1B910847" w14:textId="77777777" w:rsidR="006F16B0" w:rsidRDefault="006F16B0">
      <w:pPr>
        <w:pBdr>
          <w:top w:val="nil"/>
          <w:left w:val="nil"/>
          <w:bottom w:val="nil"/>
          <w:right w:val="nil"/>
          <w:between w:val="nil"/>
        </w:pBdr>
        <w:rPr>
          <w:color w:val="000000"/>
        </w:rPr>
      </w:pPr>
    </w:p>
    <w:p w14:paraId="25F74304" w14:textId="77777777" w:rsidR="006F16B0" w:rsidRDefault="00AD0B82">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De tales circunstancias, se considera que para que los Sujetos Obligados justifiquen que realizaron una búsqueda exhaustiva y razonable, deben indicar de manera clara, lo siguiente:</w:t>
      </w:r>
    </w:p>
    <w:p w14:paraId="19D2C546" w14:textId="77777777" w:rsidR="006F16B0" w:rsidRDefault="00AD0B82">
      <w:pPr>
        <w:numPr>
          <w:ilvl w:val="0"/>
          <w:numId w:val="6"/>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Las áreas donde se buscó la información;</w:t>
      </w:r>
    </w:p>
    <w:p w14:paraId="45E6D995" w14:textId="77777777" w:rsidR="006F16B0" w:rsidRDefault="00AD0B82">
      <w:pPr>
        <w:numPr>
          <w:ilvl w:val="0"/>
          <w:numId w:val="6"/>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Tipo de archivos buscados (físicos o electrónicos);</w:t>
      </w:r>
    </w:p>
    <w:p w14:paraId="44360A16" w14:textId="77777777" w:rsidR="006F16B0" w:rsidRDefault="00AD0B82">
      <w:pPr>
        <w:numPr>
          <w:ilvl w:val="0"/>
          <w:numId w:val="6"/>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Los criterios de búsqueda utilizados, y </w:t>
      </w:r>
    </w:p>
    <w:p w14:paraId="682DC97A" w14:textId="77777777" w:rsidR="006F16B0" w:rsidRDefault="00AD0B82">
      <w:pPr>
        <w:numPr>
          <w:ilvl w:val="0"/>
          <w:numId w:val="6"/>
        </w:num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Las circunstancias que fueron tomadas en cuenta.</w:t>
      </w:r>
    </w:p>
    <w:p w14:paraId="3F974535" w14:textId="77777777" w:rsidR="006F16B0" w:rsidRDefault="00AD0B82">
      <w:pPr>
        <w:numPr>
          <w:ilvl w:val="2"/>
          <w:numId w:val="2"/>
        </w:numPr>
        <w:pBdr>
          <w:top w:val="nil"/>
          <w:left w:val="nil"/>
          <w:bottom w:val="nil"/>
          <w:right w:val="nil"/>
          <w:between w:val="nil"/>
        </w:pBdr>
        <w:ind w:left="0"/>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Recurso de Revisión 05045/INFOEM/IP/RR/2022: </w:t>
      </w:r>
    </w:p>
    <w:p w14:paraId="2946CDB5" w14:textId="77777777" w:rsidR="006F16B0" w:rsidRDefault="006F16B0">
      <w:pPr>
        <w:pBdr>
          <w:top w:val="nil"/>
          <w:left w:val="nil"/>
          <w:bottom w:val="nil"/>
          <w:right w:val="nil"/>
          <w:between w:val="nil"/>
        </w:pBdr>
        <w:rPr>
          <w:rFonts w:ascii="Palatino Linotype" w:eastAsia="Palatino Linotype" w:hAnsi="Palatino Linotype" w:cs="Palatino Linotype"/>
          <w:b/>
          <w:color w:val="000000"/>
        </w:rPr>
      </w:pPr>
    </w:p>
    <w:p w14:paraId="1C4E6F39" w14:textId="77777777" w:rsidR="006F16B0" w:rsidRDefault="006F16B0">
      <w:pPr>
        <w:pBdr>
          <w:top w:val="nil"/>
          <w:left w:val="nil"/>
          <w:bottom w:val="nil"/>
          <w:right w:val="nil"/>
          <w:between w:val="nil"/>
        </w:pBdr>
        <w:rPr>
          <w:rFonts w:ascii="Palatino Linotype" w:eastAsia="Palatino Linotype" w:hAnsi="Palatino Linotype" w:cs="Palatino Linotype"/>
          <w:color w:val="000000"/>
        </w:rPr>
      </w:pPr>
    </w:p>
    <w:p w14:paraId="080DA8B7" w14:textId="77777777" w:rsidR="006F16B0" w:rsidRDefault="00AD0B82">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Debemos iniciar el estudio del presente apartado, recordando que el particular requiere todos los formatos PBRM del año 2019, al respecto el </w:t>
      </w:r>
      <w:r>
        <w:rPr>
          <w:rFonts w:ascii="Palatino Linotype" w:eastAsia="Palatino Linotype" w:hAnsi="Palatino Linotype" w:cs="Palatino Linotype"/>
          <w:b/>
          <w:color w:val="000000"/>
        </w:rPr>
        <w:t xml:space="preserve">Coordinador de la </w:t>
      </w:r>
      <w:r>
        <w:rPr>
          <w:rFonts w:ascii="Palatino Linotype" w:eastAsia="Palatino Linotype" w:hAnsi="Palatino Linotype" w:cs="Palatino Linotype"/>
          <w:b/>
          <w:color w:val="000000"/>
        </w:rPr>
        <w:lastRenderedPageBreak/>
        <w:t xml:space="preserve">Unidad de Información, Planeación, Programación y Evaluación (UIPPE), </w:t>
      </w:r>
      <w:r>
        <w:rPr>
          <w:rFonts w:ascii="Palatino Linotype" w:eastAsia="Palatino Linotype" w:hAnsi="Palatino Linotype" w:cs="Palatino Linotype"/>
          <w:color w:val="000000"/>
          <w:u w:val="single"/>
        </w:rPr>
        <w:t xml:space="preserve">manifestó </w:t>
      </w:r>
      <w:r>
        <w:rPr>
          <w:rFonts w:ascii="Palatino Linotype" w:eastAsia="Palatino Linotype" w:hAnsi="Palatino Linotype" w:cs="Palatino Linotype"/>
          <w:b/>
          <w:color w:val="000000"/>
          <w:u w:val="single"/>
        </w:rPr>
        <w:t>que enviaba los PBRM del año 2020</w:t>
      </w:r>
      <w:r>
        <w:rPr>
          <w:rFonts w:ascii="Palatino Linotype" w:eastAsia="Palatino Linotype" w:hAnsi="Palatino Linotype" w:cs="Palatino Linotype"/>
          <w:b/>
          <w:color w:val="000000"/>
        </w:rPr>
        <w:t>, asimismo remitió una liga electrónica para que el particular estuviera en posibilidad de descargarlos.</w:t>
      </w:r>
    </w:p>
    <w:p w14:paraId="0F0E2124" w14:textId="77777777" w:rsidR="006F16B0" w:rsidRDefault="006F16B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C1A1F72" w14:textId="77777777" w:rsidR="006F16B0" w:rsidRDefault="00AD0B82">
      <w:pPr>
        <w:pBdr>
          <w:top w:val="nil"/>
          <w:left w:val="nil"/>
          <w:bottom w:val="nil"/>
          <w:right w:val="nil"/>
          <w:between w:val="nil"/>
        </w:pBdr>
        <w:spacing w:line="360" w:lineRule="auto"/>
        <w:jc w:val="both"/>
        <w:rPr>
          <w:rFonts w:ascii="Palatino Linotype" w:eastAsia="Palatino Linotype" w:hAnsi="Palatino Linotype" w:cs="Palatino Linotype"/>
          <w:b/>
          <w:color w:val="000000"/>
          <w:u w:val="single"/>
        </w:rPr>
      </w:pPr>
      <w:r>
        <w:rPr>
          <w:rFonts w:ascii="Palatino Linotype" w:eastAsia="Palatino Linotype" w:hAnsi="Palatino Linotype" w:cs="Palatino Linotype"/>
          <w:color w:val="000000"/>
        </w:rPr>
        <w:t>De la revisión practicada por este Organismo Garante a la liga electrónica señalada por el Sujeto Obligado, se pudo observar que en ella se localiza una carpeta comprimida denominada “</w:t>
      </w:r>
      <w:r>
        <w:rPr>
          <w:rFonts w:ascii="Palatino Linotype" w:eastAsia="Palatino Linotype" w:hAnsi="Palatino Linotype" w:cs="Palatino Linotype"/>
          <w:b/>
          <w:i/>
          <w:color w:val="000000"/>
        </w:rPr>
        <w:t xml:space="preserve">PBRM  ANUAL  TODAS LAS AREAS 2019 DIGITALIZADOS”, </w:t>
      </w:r>
      <w:r>
        <w:rPr>
          <w:rFonts w:ascii="Palatino Linotype" w:eastAsia="Palatino Linotype" w:hAnsi="Palatino Linotype" w:cs="Palatino Linotype"/>
          <w:color w:val="000000"/>
        </w:rPr>
        <w:t xml:space="preserve">en dicha carpeta se encuentran los formatos </w:t>
      </w:r>
      <w:r>
        <w:rPr>
          <w:rFonts w:ascii="Palatino Linotype" w:eastAsia="Palatino Linotype" w:hAnsi="Palatino Linotype" w:cs="Palatino Linotype"/>
          <w:b/>
          <w:color w:val="000000"/>
          <w:u w:val="single"/>
        </w:rPr>
        <w:t xml:space="preserve"> PbRM-01a; PbRM-01b; PbRM-01c; PbRM-01dy PbRM-01e del año 2019 por las áreas de Dirección de Desarrollo Económico, Consejería Jurídica, Contraloría Interna Municipal, Coordinación Municipal de Protección Civil, Seguridad Pública y Tránsito, Defensoría de Derechos Humanos y Dirección de Desarrollo Agropecuario. </w:t>
      </w:r>
    </w:p>
    <w:p w14:paraId="01352931" w14:textId="77777777" w:rsidR="006F16B0" w:rsidRDefault="006F16B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F79E8EE" w14:textId="77777777" w:rsidR="006F16B0" w:rsidRDefault="00AD0B82">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sobre el tema, </w:t>
      </w:r>
      <w:proofErr w:type="gramStart"/>
      <w:r>
        <w:rPr>
          <w:rFonts w:ascii="Palatino Linotype" w:eastAsia="Palatino Linotype" w:hAnsi="Palatino Linotype" w:cs="Palatino Linotype"/>
          <w:color w:val="000000"/>
        </w:rPr>
        <w:t>el  Manual</w:t>
      </w:r>
      <w:proofErr w:type="gramEnd"/>
      <w:r>
        <w:rPr>
          <w:rFonts w:ascii="Palatino Linotype" w:eastAsia="Palatino Linotype" w:hAnsi="Palatino Linotype" w:cs="Palatino Linotype"/>
          <w:color w:val="000000"/>
        </w:rPr>
        <w:t xml:space="preserve"> para la Planeación, Programación y Presupuesto de Egresos Municipal para el Ejercicio Fiscal </w:t>
      </w:r>
      <w:r>
        <w:rPr>
          <w:rFonts w:ascii="Palatino Linotype" w:eastAsia="Palatino Linotype" w:hAnsi="Palatino Linotype" w:cs="Palatino Linotype"/>
        </w:rPr>
        <w:t>2019</w:t>
      </w:r>
      <w:r>
        <w:rPr>
          <w:rFonts w:ascii="Palatino Linotype" w:eastAsia="Palatino Linotype" w:hAnsi="Palatino Linotype" w:cs="Palatino Linotype"/>
          <w:color w:val="000000"/>
        </w:rPr>
        <w:t xml:space="preserve">, prevé lo siguiente:  </w:t>
      </w:r>
    </w:p>
    <w:p w14:paraId="32E9F224"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“El proceso de implementación y adopción del Presupuesto basado en Resultados demanda el fortalecimiento de los mecanismos de coordinación entre las áreas de planeación y presupuesto, con los ejecutores del gasto responsables de materializar las actividades de los diferentes Programas presupuestarios, con el propósito de fortalecer el marco institucional municipal que incremente la certidumbre y transparencia en el destino de los recursos y haga transparente el proceso generación de valor público. </w:t>
      </w:r>
    </w:p>
    <w:p w14:paraId="53FB21DF"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Una tarea importante de la Tesorería y la UIPPE, consiste en definir conjuntamente a cada una de las Dependencias Generales y Auxiliares las responsabilidades en cuanto a la ejecución de Programas presupuestarios y </w:t>
      </w:r>
      <w:r>
        <w:rPr>
          <w:rFonts w:ascii="Palatino Linotype" w:eastAsia="Palatino Linotype" w:hAnsi="Palatino Linotype" w:cs="Palatino Linotype"/>
          <w:b/>
          <w:i/>
          <w:color w:val="000000"/>
          <w:sz w:val="22"/>
          <w:szCs w:val="22"/>
        </w:rPr>
        <w:lastRenderedPageBreak/>
        <w:t>proyectos por dependencia municipal; para apoyar este proceso, en este manual se encuentra el formato denominado “Dimensión administrativa del gasto” (PbRM-01a)</w:t>
      </w:r>
      <w:r>
        <w:rPr>
          <w:rFonts w:ascii="Palatino Linotype" w:eastAsia="Palatino Linotype" w:hAnsi="Palatino Linotype" w:cs="Palatino Linotype"/>
          <w:i/>
          <w:color w:val="000000"/>
          <w:sz w:val="22"/>
          <w:szCs w:val="22"/>
        </w:rPr>
        <w:t xml:space="preserve">; el cual permite identificar la asignación de recursos por Programa presupuestario, proyecto y Dependencia que realiza las acciones que permiten dar cumplimiento a objetivos definidos, asimismo asumir el compromiso y responsabilidad de cada unidad administrativa municipal en la entrega de resultados que beneficien a la población o área de enfoque que atienden. </w:t>
      </w:r>
    </w:p>
    <w:p w14:paraId="644F5D33"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El Presupuesto de Egresos Municipal ocurre en tres fases o etapas para su integración, revisión y autorización final, las cuales tienen las siguientes fechas límite: </w:t>
      </w:r>
    </w:p>
    <w:p w14:paraId="53B74AAA"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 Anteproyecto de Presupuesto de Egresos Municipal. </w:t>
      </w:r>
    </w:p>
    <w:p w14:paraId="39B82D21" w14:textId="77777777" w:rsidR="006F16B0" w:rsidRDefault="00AD0B82">
      <w:pPr>
        <w:spacing w:before="240"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-Las Unidades Administrativas de los Municipios presentan a la Tesorería y a la UIPPE municipal el último día hábil anterior al 15 de agosto en términos de artículo 298 del Código Financiero del Estado de México y Municipios; </w:t>
      </w:r>
    </w:p>
    <w:p w14:paraId="69A82EDE"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2. Proyecto de Presupuesto de Egresos Municipal.</w:t>
      </w:r>
    </w:p>
    <w:p w14:paraId="741AD95B" w14:textId="77777777" w:rsidR="006F16B0" w:rsidRDefault="00AD0B82">
      <w:pPr>
        <w:spacing w:before="240"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 - El </w:t>
      </w:r>
      <w:proofErr w:type="gramStart"/>
      <w:r>
        <w:rPr>
          <w:rFonts w:ascii="Palatino Linotype" w:eastAsia="Palatino Linotype" w:hAnsi="Palatino Linotype" w:cs="Palatino Linotype"/>
          <w:b/>
          <w:i/>
          <w:color w:val="000000"/>
          <w:sz w:val="22"/>
          <w:szCs w:val="22"/>
        </w:rPr>
        <w:t>Presidente</w:t>
      </w:r>
      <w:proofErr w:type="gramEnd"/>
      <w:r>
        <w:rPr>
          <w:rFonts w:ascii="Palatino Linotype" w:eastAsia="Palatino Linotype" w:hAnsi="Palatino Linotype" w:cs="Palatino Linotype"/>
          <w:b/>
          <w:i/>
          <w:color w:val="000000"/>
          <w:sz w:val="22"/>
          <w:szCs w:val="22"/>
        </w:rPr>
        <w:t xml:space="preserve"> Municipal lo presenta al Ayuntamiento a más tardar el día 20 de diciembre en términos del artículo 302 del Código Financiero del Estado de México y Municipios; y </w:t>
      </w:r>
    </w:p>
    <w:p w14:paraId="451168AD"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3. Publicación del Presupuesto de Egresos Municipal. - Los Ayuntamientos deberán publicar en la “Gaceta Municipal” a más tardar el 25 de febrero del año para el cual habrá de aplicar dicho presupuesto. </w:t>
      </w:r>
    </w:p>
    <w:p w14:paraId="47E98EFC" w14:textId="77777777" w:rsidR="006F16B0" w:rsidRDefault="00AD0B82">
      <w:pPr>
        <w:spacing w:before="240"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III.2 Anteproyecto de Presupuesto de Egresos (primera etapa) El Anteproyecto de Presupuesto de Egresos es la recopilación de la información de Dependencias Generales, Auxiliares y Organismos por la Tesorería y la UIPPE en el ámbito de sus responsabilidades para ser revisado e integrar el proyecto de presupuesto, lo anterior se encuentra normado en los artículos 296 y 298 del Código Financiero del Estado de México y Municipios; donde se establece la competencia de las Unidades Administrativas de los </w:t>
      </w:r>
      <w:r>
        <w:rPr>
          <w:rFonts w:ascii="Palatino Linotype" w:eastAsia="Palatino Linotype" w:hAnsi="Palatino Linotype" w:cs="Palatino Linotype"/>
          <w:b/>
          <w:i/>
          <w:color w:val="000000"/>
          <w:sz w:val="22"/>
          <w:szCs w:val="22"/>
        </w:rPr>
        <w:lastRenderedPageBreak/>
        <w:t>municipios quienes formularán su Anteproyecto de Presupuesto de Egresos de acuerdo a las normas presupuestales vigentes y con base en sus Programas presupuestarios y proyectos, mismos que se enviaran a más tardar el último día hábil anterior al 15 de agosto a la Tesorería para su revisión.</w:t>
      </w:r>
    </w:p>
    <w:p w14:paraId="661F4717"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Para atender a lo anterior se debe considerar lo siguiente: </w:t>
      </w:r>
    </w:p>
    <w:p w14:paraId="58F72C9F"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III.2.1 Lineamientos para la integración del Programa Anual </w:t>
      </w:r>
    </w:p>
    <w:p w14:paraId="1D77C5DA" w14:textId="77777777" w:rsidR="006F16B0" w:rsidRDefault="00AD0B82">
      <w:pPr>
        <w:spacing w:before="240"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El Programa Anual, constituye un componente del Presupuesto basado en Resultados (</w:t>
      </w:r>
      <w:proofErr w:type="spellStart"/>
      <w:r>
        <w:rPr>
          <w:rFonts w:ascii="Palatino Linotype" w:eastAsia="Palatino Linotype" w:hAnsi="Palatino Linotype" w:cs="Palatino Linotype"/>
          <w:b/>
          <w:i/>
          <w:color w:val="000000"/>
          <w:sz w:val="22"/>
          <w:szCs w:val="22"/>
        </w:rPr>
        <w:t>PbR</w:t>
      </w:r>
      <w:proofErr w:type="spellEnd"/>
      <w:r>
        <w:rPr>
          <w:rFonts w:ascii="Palatino Linotype" w:eastAsia="Palatino Linotype" w:hAnsi="Palatino Linotype" w:cs="Palatino Linotype"/>
          <w:b/>
          <w:i/>
          <w:color w:val="000000"/>
          <w:sz w:val="22"/>
          <w:szCs w:val="22"/>
        </w:rPr>
        <w:t xml:space="preserve">), en el cual se plasman los objetivos, estrategias, metas de actividad, indicadores y proyectos, de acuerdo a las prioridades del Plan de Desarrollo Municipal y las demandas de la sociedad, para ser traducidas en resultados concretos a visualizarse en el período presupuestal determinado, lo que nos permite conocer con certeza acerca de: ¿qué se va a hacer?, ¿para lograr qué? y ¿cómo y cuándo se </w:t>
      </w:r>
      <w:proofErr w:type="gramStart"/>
      <w:r>
        <w:rPr>
          <w:rFonts w:ascii="Palatino Linotype" w:eastAsia="Palatino Linotype" w:hAnsi="Palatino Linotype" w:cs="Palatino Linotype"/>
          <w:b/>
          <w:i/>
          <w:color w:val="000000"/>
          <w:sz w:val="22"/>
          <w:szCs w:val="22"/>
        </w:rPr>
        <w:t>realizará?.</w:t>
      </w:r>
      <w:proofErr w:type="gramEnd"/>
      <w:r>
        <w:rPr>
          <w:rFonts w:ascii="Palatino Linotype" w:eastAsia="Palatino Linotype" w:hAnsi="Palatino Linotype" w:cs="Palatino Linotype"/>
          <w:b/>
          <w:i/>
          <w:color w:val="000000"/>
          <w:sz w:val="22"/>
          <w:szCs w:val="22"/>
        </w:rPr>
        <w:t xml:space="preserve"> </w:t>
      </w:r>
    </w:p>
    <w:p w14:paraId="16EDF9DD" w14:textId="77777777" w:rsidR="006F16B0" w:rsidRDefault="00AD0B82">
      <w:pPr>
        <w:spacing w:before="240"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La integración del Programa Anual deberá partir del techo financiero que la Tesorería asigne a cada unidad administrativa de los municipios en cada Programa presupuestario y proyecto, lo que servirá de base para la programación y el </w:t>
      </w:r>
      <w:proofErr w:type="spellStart"/>
      <w:r>
        <w:rPr>
          <w:rFonts w:ascii="Palatino Linotype" w:eastAsia="Palatino Linotype" w:hAnsi="Palatino Linotype" w:cs="Palatino Linotype"/>
          <w:b/>
          <w:i/>
          <w:color w:val="000000"/>
          <w:sz w:val="22"/>
          <w:szCs w:val="22"/>
        </w:rPr>
        <w:t>costeo</w:t>
      </w:r>
      <w:proofErr w:type="spellEnd"/>
      <w:r>
        <w:rPr>
          <w:rFonts w:ascii="Palatino Linotype" w:eastAsia="Palatino Linotype" w:hAnsi="Palatino Linotype" w:cs="Palatino Linotype"/>
          <w:b/>
          <w:i/>
          <w:color w:val="000000"/>
          <w:sz w:val="22"/>
          <w:szCs w:val="22"/>
        </w:rPr>
        <w:t xml:space="preserve"> de las actividades a desarrollar del Anteproyecto de Presupuesto de Egresos; dicha asignación se tendrá que llevar a cabo identificando la información plasmada en los formatos PbRM-01a y PbRM01b. </w:t>
      </w:r>
    </w:p>
    <w:p w14:paraId="42975991"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Para fijar y dar a conocer a las Dependencias y Organismos Municipales los techos financieros tal como lo establece el Artículo 295 del Código Financiero del Estado de México y Municipios, la Tesorería una vez estimando los ingresos e identificando los costos irreductibles (servicios personales + materiales y suministros necesarios + servicios generales necesarios + gastos de deuda + pasivos), fijará los techos financieros para cada Dependencia General. El Programa Anual deberá permitir la evaluación programática y presupuestal del ejercicio del gasto, en términos de resultados, tanto cuantitativos como cualitativos. </w:t>
      </w:r>
    </w:p>
    <w:p w14:paraId="4353F80D"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lastRenderedPageBreak/>
        <w:t>Para la formulación del Programa Anual deberán ser llenados los formatos: PbRM-01a; PbRM-01b; PbRM-01c; PbRM-01dy PbRM-01e</w:t>
      </w:r>
      <w:r>
        <w:rPr>
          <w:rFonts w:ascii="Palatino Linotype" w:eastAsia="Palatino Linotype" w:hAnsi="Palatino Linotype" w:cs="Palatino Linotype"/>
          <w:i/>
          <w:color w:val="000000"/>
          <w:sz w:val="22"/>
          <w:szCs w:val="22"/>
        </w:rPr>
        <w:t>.” (Sic) (Énfasis añadido)</w:t>
      </w:r>
    </w:p>
    <w:p w14:paraId="075FE58A" w14:textId="77777777" w:rsidR="006F16B0" w:rsidRDefault="00AD0B82">
      <w:pP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citado con anterioridad, se colige que los formatos enviados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al particular con la intención de satisfacer el derecho de acceso a la información pública que le asiste, corresponden a aquellos que se entregan para la integración del programa anual, sin embargo, conviene resaltar que la parte Recurrente manifestó que requería todos los formatos </w:t>
      </w:r>
      <w:proofErr w:type="spellStart"/>
      <w:r>
        <w:rPr>
          <w:rFonts w:ascii="Palatino Linotype" w:eastAsia="Palatino Linotype" w:hAnsi="Palatino Linotype" w:cs="Palatino Linotype"/>
          <w:color w:val="000000"/>
        </w:rPr>
        <w:t>pbRM</w:t>
      </w:r>
      <w:proofErr w:type="spellEnd"/>
      <w:r>
        <w:rPr>
          <w:rFonts w:ascii="Palatino Linotype" w:eastAsia="Palatino Linotype" w:hAnsi="Palatino Linotype" w:cs="Palatino Linotype"/>
          <w:color w:val="000000"/>
        </w:rPr>
        <w:t xml:space="preserve"> correspondientes al año 2019, es decir, no sólo con los que las Dependencias Administrativas reportan sus programas y posteriormente se formula el Anteproyecto de Presupuesto de Egresos, pues es sólo un componente para la elaboración del Proyecto de Presupuesto de Egresos y que en caso de aprobarse, se considera Presupuesto de Egresos, al respecto el multicitado Manual mandata a las entidades públicas, el uso de los siguientes formatos </w:t>
      </w:r>
      <w:proofErr w:type="spellStart"/>
      <w:r>
        <w:rPr>
          <w:rFonts w:ascii="Palatino Linotype" w:eastAsia="Palatino Linotype" w:hAnsi="Palatino Linotype" w:cs="Palatino Linotype"/>
          <w:color w:val="000000"/>
        </w:rPr>
        <w:t>pbRM</w:t>
      </w:r>
      <w:proofErr w:type="spellEnd"/>
      <w:r>
        <w:rPr>
          <w:rFonts w:ascii="Palatino Linotype" w:eastAsia="Palatino Linotype" w:hAnsi="Palatino Linotype" w:cs="Palatino Linotype"/>
          <w:color w:val="000000"/>
        </w:rPr>
        <w:t xml:space="preserve">: </w:t>
      </w:r>
    </w:p>
    <w:p w14:paraId="04F5984F"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“III.3.2 Formatos que integran el Proyecto de Presupuesto de Egresos </w:t>
      </w:r>
    </w:p>
    <w:p w14:paraId="5CE0B283"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Para determinar el proyecto de presupuesto de egresos se debe conocer la estimación de ingresos que serán captados por el Ayuntamiento por lo que para este fin se deberá integrar el Proyecto de Presupuesto de Ingresos, para lo cual, servirá de apoyo el formato de Presupuesto de ingresos para el ejercicio fiscal 2019 (Presupuesto de Ingresos Detallado) (PbRM-03a), el cual fue llenado durante la etapa del anteproyecto y en el que se deberán registrar los ingresos estimados a nivel concepto y distribuirlos por mes, del mismo modo se incluirá la Carátula de Presupuesto de Ingresos (PbRM-03b). </w:t>
      </w:r>
    </w:p>
    <w:p w14:paraId="332D450D"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Una vez recopilada la información del Anteproyecto de Presupuesto de Egresos por la Tesorería y la UIPPE o su equivalente, mediante los formatos del Programa Anual </w:t>
      </w:r>
      <w:r>
        <w:rPr>
          <w:rFonts w:ascii="Palatino Linotype" w:eastAsia="Palatino Linotype" w:hAnsi="Palatino Linotype" w:cs="Palatino Linotype"/>
          <w:i/>
          <w:color w:val="000000"/>
          <w:sz w:val="22"/>
          <w:szCs w:val="22"/>
        </w:rPr>
        <w:lastRenderedPageBreak/>
        <w:t xml:space="preserve">(PbRM-01 en todas sus series), así como del Presupuesto de Egresos Detallado (PbRM-04a), se integrará el Proyecto de Presupuesto de Egresos. </w:t>
      </w:r>
    </w:p>
    <w:p w14:paraId="6ABEC80E"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El primer apartado del Presupuesto basado en Resultados Municipal, lo integrará el Programa Anual del Municipio. El responsable del área de planeación, con base en la información proporcionada por cada una de las Dependencias Generales y Organismos, será quien integre este documento, que será la base para sustentar la asignación de los recursos, para su presentación y aprobación por el Ayuntamiento en sesión de Cabildo; para ello se deberá integrar al proyecto de presupuesto lo siguiente: </w:t>
      </w:r>
    </w:p>
    <w:p w14:paraId="340DB41A"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Formatos del Programa Anual (PbRM-01 en todas sus series), así como el PbRM-02a “Calendarización de Metas de actividad”</w:t>
      </w:r>
      <w:r>
        <w:rPr>
          <w:rFonts w:ascii="Palatino Linotype" w:eastAsia="Palatino Linotype" w:hAnsi="Palatino Linotype" w:cs="Palatino Linotype"/>
          <w:i/>
          <w:color w:val="000000"/>
          <w:sz w:val="22"/>
          <w:szCs w:val="22"/>
        </w:rPr>
        <w:t xml:space="preserve">, el cual tiene por objeto identificar trimestralmente la ejecución de la meta anual, la cual proviene del formato PbRM-01c. </w:t>
      </w:r>
    </w:p>
    <w:p w14:paraId="0CC31C52" w14:textId="77777777" w:rsidR="006F16B0" w:rsidRDefault="00AD0B82">
      <w:pPr>
        <w:spacing w:before="240"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Presupuesto de Egresos Detallado (PbRM-04a).</w:t>
      </w:r>
      <w:r>
        <w:rPr>
          <w:rFonts w:ascii="Palatino Linotype" w:eastAsia="Palatino Linotype" w:hAnsi="Palatino Linotype" w:cs="Palatino Linotype"/>
          <w:i/>
          <w:color w:val="000000"/>
          <w:sz w:val="22"/>
          <w:szCs w:val="22"/>
        </w:rPr>
        <w:t xml:space="preserve"> Este formato deberá registrar los proyectos por partida de gasto, identificando los montos por Partida Específica, Partida Genérica, Concepto y Capítulo del Gasto, de cada proyecto a nivel de Dependencia General y Auxiliar, </w:t>
      </w:r>
      <w:r>
        <w:rPr>
          <w:rFonts w:ascii="Palatino Linotype" w:eastAsia="Palatino Linotype" w:hAnsi="Palatino Linotype" w:cs="Palatino Linotype"/>
          <w:b/>
          <w:i/>
          <w:color w:val="000000"/>
          <w:sz w:val="22"/>
          <w:szCs w:val="22"/>
        </w:rPr>
        <w:t xml:space="preserve">los cuales tendrán que coincidir con los formatos del Programa Anual PbRM-01a y PbRM-01c. </w:t>
      </w:r>
    </w:p>
    <w:p w14:paraId="34222538"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Presupuesto de Egresos por Objeto del Gasto y Dependencia General (PbRM-04b).</w:t>
      </w:r>
      <w:r>
        <w:rPr>
          <w:rFonts w:ascii="Palatino Linotype" w:eastAsia="Palatino Linotype" w:hAnsi="Palatino Linotype" w:cs="Palatino Linotype"/>
          <w:i/>
          <w:color w:val="000000"/>
          <w:sz w:val="22"/>
          <w:szCs w:val="22"/>
        </w:rPr>
        <w:t xml:space="preserve"> En este formato se integran los conceptos por partida específica, y concentra la suma de los formatos de Presupuesto de Egresos detallado (PbRM-04a) a nivel de Dependencia General. </w:t>
      </w:r>
    </w:p>
    <w:p w14:paraId="1CFAAE5C"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Egreso Global Calendarizado (PbRM-04c).</w:t>
      </w:r>
      <w:r>
        <w:rPr>
          <w:rFonts w:ascii="Palatino Linotype" w:eastAsia="Palatino Linotype" w:hAnsi="Palatino Linotype" w:cs="Palatino Linotype"/>
          <w:i/>
          <w:color w:val="000000"/>
          <w:sz w:val="22"/>
          <w:szCs w:val="22"/>
        </w:rPr>
        <w:t xml:space="preserve"> Este formato deberá contener la suma de los formatos por Partida Específica, Partida Genérica, Concepto y Capítulo del Gasto (PbRM-04b), de todas las Dependencias Generales. </w:t>
      </w:r>
    </w:p>
    <w:p w14:paraId="57FFD12B"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Carátula de Presupuesto de Egresos (PbRM-04d).</w:t>
      </w:r>
      <w:r>
        <w:rPr>
          <w:rFonts w:ascii="Palatino Linotype" w:eastAsia="Palatino Linotype" w:hAnsi="Palatino Linotype" w:cs="Palatino Linotype"/>
          <w:i/>
          <w:color w:val="000000"/>
          <w:sz w:val="22"/>
          <w:szCs w:val="22"/>
        </w:rPr>
        <w:t xml:space="preserve"> Este formato deberá registrar los importes del formato por Capítulo de Gasto (</w:t>
      </w:r>
      <w:proofErr w:type="spellStart"/>
      <w:r>
        <w:rPr>
          <w:rFonts w:ascii="Palatino Linotype" w:eastAsia="Palatino Linotype" w:hAnsi="Palatino Linotype" w:cs="Palatino Linotype"/>
          <w:i/>
          <w:color w:val="000000"/>
          <w:sz w:val="22"/>
          <w:szCs w:val="22"/>
        </w:rPr>
        <w:t>PbRM</w:t>
      </w:r>
      <w:proofErr w:type="spellEnd"/>
      <w:r>
        <w:rPr>
          <w:rFonts w:ascii="Palatino Linotype" w:eastAsia="Palatino Linotype" w:hAnsi="Palatino Linotype" w:cs="Palatino Linotype"/>
          <w:i/>
          <w:color w:val="000000"/>
          <w:sz w:val="22"/>
          <w:szCs w:val="22"/>
        </w:rPr>
        <w:t xml:space="preserve"> E-04c). </w:t>
      </w:r>
    </w:p>
    <w:p w14:paraId="0C083EFB" w14:textId="77777777" w:rsidR="006F16B0" w:rsidRDefault="00AD0B82">
      <w:pPr>
        <w:spacing w:before="240"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Información Vinculada al Proyecto de Presupuesto de Egresos. </w:t>
      </w:r>
    </w:p>
    <w:p w14:paraId="3364ED4A"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lastRenderedPageBreak/>
        <w:t>Tabulador de Sueldos (PbRM-05).</w:t>
      </w:r>
      <w:r>
        <w:rPr>
          <w:rFonts w:ascii="Palatino Linotype" w:eastAsia="Palatino Linotype" w:hAnsi="Palatino Linotype" w:cs="Palatino Linotype"/>
          <w:i/>
          <w:color w:val="000000"/>
          <w:sz w:val="22"/>
          <w:szCs w:val="22"/>
        </w:rPr>
        <w:t xml:space="preserve"> El monto total de este formato debe coincidir con el Capítulo 1000 contenido en la Carátula de Presupuesto de Egresos (</w:t>
      </w:r>
      <w:proofErr w:type="spellStart"/>
      <w:r>
        <w:rPr>
          <w:rFonts w:ascii="Palatino Linotype" w:eastAsia="Palatino Linotype" w:hAnsi="Palatino Linotype" w:cs="Palatino Linotype"/>
          <w:i/>
          <w:color w:val="000000"/>
          <w:sz w:val="22"/>
          <w:szCs w:val="22"/>
        </w:rPr>
        <w:t>PbRM</w:t>
      </w:r>
      <w:proofErr w:type="spellEnd"/>
      <w:r>
        <w:rPr>
          <w:rFonts w:ascii="Palatino Linotype" w:eastAsia="Palatino Linotype" w:hAnsi="Palatino Linotype" w:cs="Palatino Linotype"/>
          <w:i/>
          <w:color w:val="000000"/>
          <w:sz w:val="22"/>
          <w:szCs w:val="22"/>
        </w:rPr>
        <w:t xml:space="preserve"> 04d). </w:t>
      </w:r>
    </w:p>
    <w:p w14:paraId="41EFFC03"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El Programa Anual de Obra (</w:t>
      </w:r>
      <w:proofErr w:type="spellStart"/>
      <w:r>
        <w:rPr>
          <w:rFonts w:ascii="Palatino Linotype" w:eastAsia="Palatino Linotype" w:hAnsi="Palatino Linotype" w:cs="Palatino Linotype"/>
          <w:b/>
          <w:i/>
          <w:color w:val="000000"/>
          <w:sz w:val="22"/>
          <w:szCs w:val="22"/>
        </w:rPr>
        <w:t>PbRM</w:t>
      </w:r>
      <w:proofErr w:type="spellEnd"/>
      <w:r>
        <w:rPr>
          <w:rFonts w:ascii="Palatino Linotype" w:eastAsia="Palatino Linotype" w:hAnsi="Palatino Linotype" w:cs="Palatino Linotype"/>
          <w:b/>
          <w:i/>
          <w:color w:val="000000"/>
          <w:sz w:val="22"/>
          <w:szCs w:val="22"/>
        </w:rPr>
        <w:t xml:space="preserve"> E-07a) y el Programa Anual de Reparaciones y Mantenimiento (</w:t>
      </w:r>
      <w:proofErr w:type="spellStart"/>
      <w:r>
        <w:rPr>
          <w:rFonts w:ascii="Palatino Linotype" w:eastAsia="Palatino Linotype" w:hAnsi="Palatino Linotype" w:cs="Palatino Linotype"/>
          <w:b/>
          <w:i/>
          <w:color w:val="000000"/>
          <w:sz w:val="22"/>
          <w:szCs w:val="22"/>
        </w:rPr>
        <w:t>PbRM</w:t>
      </w:r>
      <w:proofErr w:type="spellEnd"/>
      <w:r>
        <w:rPr>
          <w:rFonts w:ascii="Palatino Linotype" w:eastAsia="Palatino Linotype" w:hAnsi="Palatino Linotype" w:cs="Palatino Linotype"/>
          <w:b/>
          <w:i/>
          <w:color w:val="000000"/>
          <w:sz w:val="22"/>
          <w:szCs w:val="22"/>
        </w:rPr>
        <w:t xml:space="preserve"> E-07b).</w:t>
      </w:r>
      <w:r>
        <w:rPr>
          <w:rFonts w:ascii="Palatino Linotype" w:eastAsia="Palatino Linotype" w:hAnsi="Palatino Linotype" w:cs="Palatino Linotype"/>
          <w:i/>
          <w:color w:val="000000"/>
          <w:sz w:val="22"/>
          <w:szCs w:val="22"/>
        </w:rPr>
        <w:t xml:space="preserve"> - Deberán corresponder al importe del Capítulo 6000 Inversión Pública contenido en la Carátula de Presupuesto de Egresos (</w:t>
      </w:r>
      <w:proofErr w:type="spellStart"/>
      <w:r>
        <w:rPr>
          <w:rFonts w:ascii="Palatino Linotype" w:eastAsia="Palatino Linotype" w:hAnsi="Palatino Linotype" w:cs="Palatino Linotype"/>
          <w:i/>
          <w:color w:val="000000"/>
          <w:sz w:val="22"/>
          <w:szCs w:val="22"/>
        </w:rPr>
        <w:t>PbRM</w:t>
      </w:r>
      <w:proofErr w:type="spellEnd"/>
      <w:r>
        <w:rPr>
          <w:rFonts w:ascii="Palatino Linotype" w:eastAsia="Palatino Linotype" w:hAnsi="Palatino Linotype" w:cs="Palatino Linotype"/>
          <w:i/>
          <w:color w:val="000000"/>
          <w:sz w:val="22"/>
          <w:szCs w:val="22"/>
        </w:rPr>
        <w:t xml:space="preserve">- 04d). </w:t>
      </w:r>
    </w:p>
    <w:p w14:paraId="2EA3C78C"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El Programa Anual de Adquisiciones (PbRM-06).</w:t>
      </w:r>
      <w:r>
        <w:rPr>
          <w:rFonts w:ascii="Palatino Linotype" w:eastAsia="Palatino Linotype" w:hAnsi="Palatino Linotype" w:cs="Palatino Linotype"/>
          <w:i/>
          <w:color w:val="000000"/>
          <w:sz w:val="22"/>
          <w:szCs w:val="22"/>
        </w:rPr>
        <w:t xml:space="preserve"> - Este formato considera las adquisiciones de bienes y servicios de los proyectos, reflejadas en los capítulos 2000, 3000 y 5000. </w:t>
      </w:r>
    </w:p>
    <w:p w14:paraId="5C2B1223" w14:textId="77777777" w:rsidR="006F16B0" w:rsidRDefault="00AD0B82">
      <w:pP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drawing>
          <wp:inline distT="0" distB="0" distL="0" distR="0" wp14:anchorId="0AE9243E" wp14:editId="2D200603">
            <wp:extent cx="5610225" cy="3562350"/>
            <wp:effectExtent l="0" t="0" r="0" b="0"/>
            <wp:docPr id="3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5610225" cy="3562350"/>
                    </a:xfrm>
                    <a:prstGeom prst="rect">
                      <a:avLst/>
                    </a:prstGeom>
                    <a:ln/>
                  </pic:spPr>
                </pic:pic>
              </a:graphicData>
            </a:graphic>
          </wp:inline>
        </w:drawing>
      </w:r>
    </w:p>
    <w:p w14:paraId="7B639F1B" w14:textId="77777777" w:rsidR="006F16B0" w:rsidRDefault="00AD0B82">
      <w:pP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Finalmente, el Manual en referencia dispone </w:t>
      </w:r>
      <w:proofErr w:type="gramStart"/>
      <w:r>
        <w:rPr>
          <w:rFonts w:ascii="Palatino Linotype" w:eastAsia="Palatino Linotype" w:hAnsi="Palatino Linotype" w:cs="Palatino Linotype"/>
          <w:color w:val="000000"/>
        </w:rPr>
        <w:t>que</w:t>
      </w:r>
      <w:proofErr w:type="gramEnd"/>
      <w:r>
        <w:rPr>
          <w:rFonts w:ascii="Palatino Linotype" w:eastAsia="Palatino Linotype" w:hAnsi="Palatino Linotype" w:cs="Palatino Linotype"/>
          <w:color w:val="000000"/>
        </w:rPr>
        <w:t xml:space="preserve"> al hacer referencia a las dependencias generales obligadas a generar estos formatos, se vislumbra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por conducto de sus unidades administrativas: </w:t>
      </w:r>
    </w:p>
    <w:p w14:paraId="37DBB935" w14:textId="77777777" w:rsidR="006F16B0" w:rsidRDefault="00AD0B82">
      <w:pP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lastRenderedPageBreak/>
        <w:drawing>
          <wp:inline distT="0" distB="0" distL="0" distR="0" wp14:anchorId="4093705D" wp14:editId="734A805D">
            <wp:extent cx="5610225" cy="5514975"/>
            <wp:effectExtent l="0" t="0" r="0" b="0"/>
            <wp:docPr id="4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610225" cy="5514975"/>
                    </a:xfrm>
                    <a:prstGeom prst="rect">
                      <a:avLst/>
                    </a:prstGeom>
                    <a:ln/>
                  </pic:spPr>
                </pic:pic>
              </a:graphicData>
            </a:graphic>
          </wp:inline>
        </w:drawing>
      </w:r>
      <w:r>
        <w:rPr>
          <w:noProof/>
          <w:lang w:val="es-MX"/>
        </w:rPr>
        <mc:AlternateContent>
          <mc:Choice Requires="wpg">
            <w:drawing>
              <wp:anchor distT="0" distB="0" distL="114300" distR="114300" simplePos="0" relativeHeight="251659264" behindDoc="0" locked="0" layoutInCell="1" hidden="0" allowOverlap="1" wp14:anchorId="0C2B7529" wp14:editId="7A3A65A8">
                <wp:simplePos x="0" y="0"/>
                <wp:positionH relativeFrom="column">
                  <wp:posOffset>3022600</wp:posOffset>
                </wp:positionH>
                <wp:positionV relativeFrom="paragraph">
                  <wp:posOffset>3517900</wp:posOffset>
                </wp:positionV>
                <wp:extent cx="2543175" cy="142875"/>
                <wp:effectExtent l="0" t="0" r="0" b="0"/>
                <wp:wrapNone/>
                <wp:docPr id="33" name="Rectángulo 33"/>
                <wp:cNvGraphicFramePr/>
                <a:graphic xmlns:a="http://schemas.openxmlformats.org/drawingml/2006/main">
                  <a:graphicData uri="http://schemas.microsoft.com/office/word/2010/wordprocessingShape">
                    <wps:wsp>
                      <wps:cNvSpPr/>
                      <wps:spPr>
                        <a:xfrm>
                          <a:off x="4088700" y="3722850"/>
                          <a:ext cx="2514600" cy="114300"/>
                        </a:xfrm>
                        <a:prstGeom prst="rect">
                          <a:avLst/>
                        </a:prstGeom>
                        <a:noFill/>
                        <a:ln w="28575" cap="flat" cmpd="sng">
                          <a:solidFill>
                            <a:srgbClr val="002060"/>
                          </a:solidFill>
                          <a:prstDash val="solid"/>
                          <a:round/>
                          <a:headEnd type="none" w="sm" len="sm"/>
                          <a:tailEnd type="none" w="sm" len="sm"/>
                        </a:ln>
                      </wps:spPr>
                      <wps:txbx>
                        <w:txbxContent>
                          <w:p w14:paraId="5785DE2F" w14:textId="77777777" w:rsidR="006F16B0" w:rsidRDefault="006F16B0">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3022600</wp:posOffset>
                </wp:positionH>
                <wp:positionV relativeFrom="paragraph">
                  <wp:posOffset>3517900</wp:posOffset>
                </wp:positionV>
                <wp:extent cx="2543175" cy="142875"/>
                <wp:effectExtent b="0" l="0" r="0" t="0"/>
                <wp:wrapNone/>
                <wp:docPr id="33" name="image13.png"/>
                <a:graphic>
                  <a:graphicData uri="http://schemas.openxmlformats.org/drawingml/2006/picture">
                    <pic:pic>
                      <pic:nvPicPr>
                        <pic:cNvPr id="0" name="image13.png"/>
                        <pic:cNvPicPr preferRelativeResize="0"/>
                      </pic:nvPicPr>
                      <pic:blipFill>
                        <a:blip r:embed="rId14"/>
                        <a:srcRect/>
                        <a:stretch>
                          <a:fillRect/>
                        </a:stretch>
                      </pic:blipFill>
                      <pic:spPr>
                        <a:xfrm>
                          <a:off x="0" y="0"/>
                          <a:ext cx="2543175" cy="142875"/>
                        </a:xfrm>
                        <a:prstGeom prst="rect"/>
                        <a:ln/>
                      </pic:spPr>
                    </pic:pic>
                  </a:graphicData>
                </a:graphic>
              </wp:anchor>
            </w:drawing>
          </mc:Fallback>
        </mc:AlternateContent>
      </w:r>
    </w:p>
    <w:p w14:paraId="035CFD66" w14:textId="77777777" w:rsidR="006F16B0" w:rsidRDefault="00AD0B82">
      <w:pP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lastRenderedPageBreak/>
        <w:drawing>
          <wp:inline distT="0" distB="0" distL="0" distR="0" wp14:anchorId="2D5ACDFA" wp14:editId="0F9CB1B0">
            <wp:extent cx="5610225" cy="3543300"/>
            <wp:effectExtent l="0" t="0" r="0" b="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610225" cy="3543300"/>
                    </a:xfrm>
                    <a:prstGeom prst="rect">
                      <a:avLst/>
                    </a:prstGeom>
                    <a:ln/>
                  </pic:spPr>
                </pic:pic>
              </a:graphicData>
            </a:graphic>
          </wp:inline>
        </w:drawing>
      </w:r>
    </w:p>
    <w:p w14:paraId="2171EF0C" w14:textId="77777777" w:rsidR="006F16B0" w:rsidRDefault="00AD0B82">
      <w:pP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lastRenderedPageBreak/>
        <w:drawing>
          <wp:inline distT="0" distB="0" distL="0" distR="0" wp14:anchorId="09595374" wp14:editId="42E34A8E">
            <wp:extent cx="5610225" cy="5924550"/>
            <wp:effectExtent l="0" t="0" r="0" b="0"/>
            <wp:docPr id="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610225" cy="5924550"/>
                    </a:xfrm>
                    <a:prstGeom prst="rect">
                      <a:avLst/>
                    </a:prstGeom>
                    <a:ln/>
                  </pic:spPr>
                </pic:pic>
              </a:graphicData>
            </a:graphic>
          </wp:inline>
        </w:drawing>
      </w:r>
    </w:p>
    <w:p w14:paraId="2AEC73A8" w14:textId="77777777" w:rsidR="006F16B0" w:rsidRDefault="00AD0B82">
      <w:pP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tal suerte </w:t>
      </w:r>
      <w:proofErr w:type="gramStart"/>
      <w:r>
        <w:rPr>
          <w:rFonts w:ascii="Palatino Linotype" w:eastAsia="Palatino Linotype" w:hAnsi="Palatino Linotype" w:cs="Palatino Linotype"/>
          <w:color w:val="000000"/>
        </w:rPr>
        <w:t>que</w:t>
      </w:r>
      <w:proofErr w:type="gramEnd"/>
      <w:r>
        <w:rPr>
          <w:rFonts w:ascii="Palatino Linotype" w:eastAsia="Palatino Linotype" w:hAnsi="Palatino Linotype" w:cs="Palatino Linotype"/>
          <w:color w:val="000000"/>
        </w:rPr>
        <w:t xml:space="preserve"> si el Sujeto Obligado únicamente envió información de la </w:t>
      </w:r>
      <w:r>
        <w:rPr>
          <w:rFonts w:ascii="Palatino Linotype" w:eastAsia="Palatino Linotype" w:hAnsi="Palatino Linotype" w:cs="Palatino Linotype"/>
          <w:b/>
          <w:color w:val="000000"/>
          <w:u w:val="single"/>
        </w:rPr>
        <w:t xml:space="preserve">Dirección de Desarrollo Económico, Consejería Jurídica, Contraloría Interna Municipal, Coordinación Municipal de Protección Civil, Seguridad Pública y Tránsito, Defensoría de Derechos Humanos y Dirección de Desarrollo </w:t>
      </w:r>
      <w:r>
        <w:rPr>
          <w:rFonts w:ascii="Palatino Linotype" w:eastAsia="Palatino Linotype" w:hAnsi="Palatino Linotype" w:cs="Palatino Linotype"/>
          <w:b/>
          <w:color w:val="000000"/>
          <w:u w:val="single"/>
        </w:rPr>
        <w:lastRenderedPageBreak/>
        <w:t>Agropecuario,</w:t>
      </w:r>
      <w:r>
        <w:rPr>
          <w:rFonts w:ascii="Palatino Linotype" w:eastAsia="Palatino Linotype" w:hAnsi="Palatino Linotype" w:cs="Palatino Linotype"/>
          <w:color w:val="000000"/>
        </w:rPr>
        <w:t xml:space="preserve"> aún faltarían unidades sobre las cuales no entregó información, lo anterior encuentra sustento en el artículo 3.2 del Código Reglamentario para el Municipio de Tenancingo, Estado de México: </w:t>
      </w:r>
    </w:p>
    <w:p w14:paraId="4C1DB4C5"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3.2.- El </w:t>
      </w:r>
      <w:proofErr w:type="gramStart"/>
      <w:r>
        <w:rPr>
          <w:rFonts w:ascii="Palatino Linotype" w:eastAsia="Palatino Linotype" w:hAnsi="Palatino Linotype" w:cs="Palatino Linotype"/>
          <w:i/>
          <w:color w:val="000000"/>
          <w:sz w:val="22"/>
          <w:szCs w:val="22"/>
        </w:rPr>
        <w:t>Presidente</w:t>
      </w:r>
      <w:proofErr w:type="gramEnd"/>
      <w:r>
        <w:rPr>
          <w:rFonts w:ascii="Palatino Linotype" w:eastAsia="Palatino Linotype" w:hAnsi="Palatino Linotype" w:cs="Palatino Linotype"/>
          <w:i/>
          <w:color w:val="000000"/>
          <w:sz w:val="22"/>
          <w:szCs w:val="22"/>
        </w:rPr>
        <w:t xml:space="preserve"> Municipal para el despacho de los asuntos, se auxiliará en el desempeño de sus funciones, con las Dependencias, Entidades y áreas que considere necesarias, las cuales estarán subordinadas a aquel servidor público y serán las siguientes: </w:t>
      </w:r>
    </w:p>
    <w:p w14:paraId="2AACC102"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 Presidencia municipal. </w:t>
      </w:r>
    </w:p>
    <w:p w14:paraId="40754298"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1.1. Secretaría Particular. </w:t>
      </w:r>
    </w:p>
    <w:p w14:paraId="6D888507"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1.1.1. Oficialía de partes. </w:t>
      </w:r>
    </w:p>
    <w:p w14:paraId="29644625"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1.2. Secretaría Técnica. </w:t>
      </w:r>
    </w:p>
    <w:p w14:paraId="06E3C2CD"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1.2.1 Unidad de Información, Planeación, Programación y Evaluación (UIPPE). </w:t>
      </w:r>
    </w:p>
    <w:p w14:paraId="6AB4DF47"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1.2.2 Unidad de Transparencia. </w:t>
      </w:r>
    </w:p>
    <w:p w14:paraId="37E69876"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1.2.3 Unidad de Gobierno Digital. </w:t>
      </w:r>
    </w:p>
    <w:p w14:paraId="2473AF66"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1.2.4 Coordinación de Mejora Regulatoria </w:t>
      </w:r>
    </w:p>
    <w:p w14:paraId="051CAF4E"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1.3 Coordinación Jurídica. </w:t>
      </w:r>
    </w:p>
    <w:p w14:paraId="387DEF3F"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1.4 Coordinación de Comunicación Social. </w:t>
      </w:r>
    </w:p>
    <w:p w14:paraId="5250084C"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1.5 Coordinación de Eventos Especiales. </w:t>
      </w:r>
    </w:p>
    <w:p w14:paraId="635B1F3A"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1.6 Coordinación de Enlace Institucional. </w:t>
      </w:r>
    </w:p>
    <w:p w14:paraId="39C9E92F"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1.7 Coordinación de Giras. </w:t>
      </w:r>
    </w:p>
    <w:p w14:paraId="1203863F"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1.8. Oficialía Mediadora-Conciliadora. </w:t>
      </w:r>
    </w:p>
    <w:p w14:paraId="2C41CE05"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1.9. Oficialía Calificadora. </w:t>
      </w:r>
    </w:p>
    <w:p w14:paraId="738952F4"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1.1.0. Oficina de enlace con la Secretaría de Relaciones Exteriores. </w:t>
      </w:r>
    </w:p>
    <w:p w14:paraId="7640633B"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2. Secretaría del Ayuntamiento. </w:t>
      </w:r>
    </w:p>
    <w:p w14:paraId="1F2BD3BC"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2.1 Archivo Municipal. </w:t>
      </w:r>
    </w:p>
    <w:p w14:paraId="6F668C2A"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2.2 Oficina de la Junta Municipal de Reclutamiento. </w:t>
      </w:r>
    </w:p>
    <w:p w14:paraId="4C1C224A"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2.3 Oficina del Cronista Municipal. </w:t>
      </w:r>
    </w:p>
    <w:p w14:paraId="6E5C549C"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2.4 Departamento de Control Patrimonial. </w:t>
      </w:r>
    </w:p>
    <w:p w14:paraId="6726DBCE"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3. Tesorería Municipal. </w:t>
      </w:r>
    </w:p>
    <w:p w14:paraId="58CB66D8"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3.1 Subdirección de Catastro. </w:t>
      </w:r>
    </w:p>
    <w:p w14:paraId="0E3553B9"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3.2 Subdirección de Contabilidad y Presupuesto.</w:t>
      </w:r>
    </w:p>
    <w:p w14:paraId="2ED99F39"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3.3 Subdirección de Egresos. </w:t>
      </w:r>
    </w:p>
    <w:p w14:paraId="6DBE1E54"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3.4 Subdirección de Ingresos. </w:t>
      </w:r>
    </w:p>
    <w:p w14:paraId="319E6771" w14:textId="77777777" w:rsidR="006F16B0" w:rsidRDefault="00AD0B82">
      <w:pPr>
        <w:spacing w:before="240"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4. Contraloría Municipal. </w:t>
      </w:r>
    </w:p>
    <w:p w14:paraId="24F31552" w14:textId="77777777" w:rsidR="006F16B0" w:rsidRDefault="00AD0B82">
      <w:pPr>
        <w:spacing w:before="240"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5. Dirección de Desarrollo Económico. </w:t>
      </w:r>
    </w:p>
    <w:p w14:paraId="1C85B844"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5.1 Administración del Mercado Municipal “Riva Palacio”; </w:t>
      </w:r>
    </w:p>
    <w:p w14:paraId="50FADB80"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5.2 Administración del Mercado Municipal de Flores “</w:t>
      </w:r>
      <w:proofErr w:type="spellStart"/>
      <w:r>
        <w:rPr>
          <w:rFonts w:ascii="Palatino Linotype" w:eastAsia="Palatino Linotype" w:hAnsi="Palatino Linotype" w:cs="Palatino Linotype"/>
          <w:i/>
          <w:color w:val="000000"/>
          <w:sz w:val="22"/>
          <w:szCs w:val="22"/>
        </w:rPr>
        <w:t>Xochiquetzal</w:t>
      </w:r>
      <w:proofErr w:type="spellEnd"/>
      <w:r>
        <w:rPr>
          <w:rFonts w:ascii="Palatino Linotype" w:eastAsia="Palatino Linotype" w:hAnsi="Palatino Linotype" w:cs="Palatino Linotype"/>
          <w:i/>
          <w:color w:val="000000"/>
          <w:sz w:val="22"/>
          <w:szCs w:val="22"/>
        </w:rPr>
        <w:t xml:space="preserve">”; </w:t>
      </w:r>
    </w:p>
    <w:p w14:paraId="42C38C53"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5.3 Administración del Mercado de Ganado. </w:t>
      </w:r>
    </w:p>
    <w:p w14:paraId="62EB2949"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5.4 Administración del Rastro Municipal </w:t>
      </w:r>
    </w:p>
    <w:p w14:paraId="729BCD41"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5.5 Coordinación de Empleo </w:t>
      </w:r>
    </w:p>
    <w:p w14:paraId="5E1E1A7E"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6. Dirección de Turismo. </w:t>
      </w:r>
    </w:p>
    <w:p w14:paraId="43EB328F"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6.1 Coordinación de Turismo </w:t>
      </w:r>
    </w:p>
    <w:p w14:paraId="30FF692C" w14:textId="77777777" w:rsidR="006F16B0" w:rsidRDefault="00AD0B82">
      <w:pPr>
        <w:spacing w:before="240"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7. Dirección de Fomento Agropecuario. </w:t>
      </w:r>
    </w:p>
    <w:p w14:paraId="517292ED" w14:textId="77777777" w:rsidR="006F16B0" w:rsidRDefault="00AD0B82">
      <w:pPr>
        <w:spacing w:before="240"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7.1 Subdirección de Fomento Agropecuario </w:t>
      </w:r>
    </w:p>
    <w:p w14:paraId="337B750D" w14:textId="77777777" w:rsidR="006F16B0" w:rsidRDefault="00AD0B82">
      <w:pPr>
        <w:spacing w:before="240"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7.2 Departamento Agropecuario; </w:t>
      </w:r>
    </w:p>
    <w:p w14:paraId="22463D3B"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7.3 Departamento Forestal; </w:t>
      </w:r>
    </w:p>
    <w:p w14:paraId="7BA7BB2D"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8. Dirección de Obras Públicas. </w:t>
      </w:r>
    </w:p>
    <w:p w14:paraId="6CC496C5"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8.1 Subdirección de Obras; </w:t>
      </w:r>
    </w:p>
    <w:p w14:paraId="4CD8F349"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8.2 Coordinación de Supervisión y Control de Obras; </w:t>
      </w:r>
    </w:p>
    <w:p w14:paraId="39FA0AC4"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8.3 Coordinación Administrativa </w:t>
      </w:r>
    </w:p>
    <w:p w14:paraId="487BD379"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8.4 Unidad de Maquinaria y Equipo</w:t>
      </w:r>
    </w:p>
    <w:p w14:paraId="516CB3BB"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9. Dirección de Ecología y Servicios Públicos. </w:t>
      </w:r>
    </w:p>
    <w:p w14:paraId="5237E08E"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9.1 Coordinación de Ecología; </w:t>
      </w:r>
    </w:p>
    <w:p w14:paraId="44AE7656"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9.2 Coordinación de Limpia; </w:t>
      </w:r>
    </w:p>
    <w:p w14:paraId="73FE9768"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9.3 Coordinación de Parques y Jardines; </w:t>
      </w:r>
    </w:p>
    <w:p w14:paraId="09036CA4"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9.4 Coordinación de Panteones; y la </w:t>
      </w:r>
    </w:p>
    <w:p w14:paraId="636B8CCB"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9.5 Coordinación de Alumbrado Público. </w:t>
      </w:r>
    </w:p>
    <w:p w14:paraId="300530F2"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10. Dirección de Desarrollo Urbano. </w:t>
      </w:r>
    </w:p>
    <w:p w14:paraId="52338EA7" w14:textId="77777777" w:rsidR="006F16B0" w:rsidRDefault="00AD0B82">
      <w:pPr>
        <w:spacing w:before="240"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11. Dirección de Seguridad Pública, Protección Civil y Bomberos.</w:t>
      </w:r>
    </w:p>
    <w:p w14:paraId="1EF4753C"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11.1 Subdirección de Seguridad Pública, de quien dependerán los </w:t>
      </w:r>
      <w:proofErr w:type="gramStart"/>
      <w:r>
        <w:rPr>
          <w:rFonts w:ascii="Palatino Linotype" w:eastAsia="Palatino Linotype" w:hAnsi="Palatino Linotype" w:cs="Palatino Linotype"/>
          <w:i/>
          <w:color w:val="000000"/>
          <w:sz w:val="22"/>
          <w:szCs w:val="22"/>
        </w:rPr>
        <w:t>Jefes</w:t>
      </w:r>
      <w:proofErr w:type="gramEnd"/>
      <w:r>
        <w:rPr>
          <w:rFonts w:ascii="Palatino Linotype" w:eastAsia="Palatino Linotype" w:hAnsi="Palatino Linotype" w:cs="Palatino Linotype"/>
          <w:i/>
          <w:color w:val="000000"/>
          <w:sz w:val="22"/>
          <w:szCs w:val="22"/>
        </w:rPr>
        <w:t xml:space="preserve"> de Turno, los Jefes de Servicio </w:t>
      </w:r>
    </w:p>
    <w:p w14:paraId="23424D19"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11.2 Subdirección Administrativa, de quien dependerá la Unidad de Análisis de la Policía Municipal; </w:t>
      </w:r>
    </w:p>
    <w:p w14:paraId="41948ACE"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11.3 Subdirección de Protección Civil y Bomberos, de quien dependerán los </w:t>
      </w:r>
      <w:proofErr w:type="gramStart"/>
      <w:r>
        <w:rPr>
          <w:rFonts w:ascii="Palatino Linotype" w:eastAsia="Palatino Linotype" w:hAnsi="Palatino Linotype" w:cs="Palatino Linotype"/>
          <w:i/>
          <w:color w:val="000000"/>
          <w:sz w:val="22"/>
          <w:szCs w:val="22"/>
        </w:rPr>
        <w:t>Jefes</w:t>
      </w:r>
      <w:proofErr w:type="gramEnd"/>
      <w:r>
        <w:rPr>
          <w:rFonts w:ascii="Palatino Linotype" w:eastAsia="Palatino Linotype" w:hAnsi="Palatino Linotype" w:cs="Palatino Linotype"/>
          <w:i/>
          <w:color w:val="000000"/>
          <w:sz w:val="22"/>
          <w:szCs w:val="22"/>
        </w:rPr>
        <w:t xml:space="preserve"> de Turno, y los siguientes departamentos; </w:t>
      </w:r>
    </w:p>
    <w:p w14:paraId="7A9DC8B0"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11.3.1 Departamento de Capacitación y Difusión </w:t>
      </w:r>
    </w:p>
    <w:p w14:paraId="12290F90"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11.3.2 Departamento de Verificación y; </w:t>
      </w:r>
    </w:p>
    <w:p w14:paraId="4C46B219"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11.3.3 Departamento de Atlas de Riesgo; </w:t>
      </w:r>
    </w:p>
    <w:p w14:paraId="4F2B380E"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11.4 Coordinación Municipal de Prevención Social de la Violencia y el Delito, la cual estará integrada y tendrá bajo su responsabilidad los siguientes servicios: </w:t>
      </w:r>
    </w:p>
    <w:p w14:paraId="48125C29"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 Área Jurídica </w:t>
      </w:r>
    </w:p>
    <w:p w14:paraId="03665A07"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b) Área de Trabajo Social. </w:t>
      </w:r>
    </w:p>
    <w:p w14:paraId="08987CD0"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 Área Psicológica. </w:t>
      </w:r>
    </w:p>
    <w:p w14:paraId="5CF8E8DD"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b) Área Crimino-Victimo lógica. </w:t>
      </w:r>
    </w:p>
    <w:p w14:paraId="540A540E"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12. Dirección de Administración. </w:t>
      </w:r>
    </w:p>
    <w:p w14:paraId="2B477AE6"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12.1 Coordinación de Recursos Humanos, </w:t>
      </w:r>
    </w:p>
    <w:p w14:paraId="70428CEA"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12.2 Coordinación de Recursos Materiales </w:t>
      </w:r>
    </w:p>
    <w:p w14:paraId="4424D229"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12.3 Departamento de Control y Mantenimiento Vehicular. </w:t>
      </w:r>
    </w:p>
    <w:p w14:paraId="539F5120"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13. Dirección de Gobernación. </w:t>
      </w:r>
    </w:p>
    <w:p w14:paraId="21F8177D"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13.1 Subdirección Administrativa; </w:t>
      </w:r>
    </w:p>
    <w:p w14:paraId="45A9C83D"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13.2 Subdirección Operativa. </w:t>
      </w:r>
    </w:p>
    <w:p w14:paraId="1D739DFC"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14. Dirección de Educación y Cultura. </w:t>
      </w:r>
    </w:p>
    <w:p w14:paraId="77808D82"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14.1 Centro de Educación a Distancia de Tenancingo-Universidad Digital del Estado de México. </w:t>
      </w:r>
    </w:p>
    <w:p w14:paraId="19C1A093"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14.2 Coordinación de Cultura. </w:t>
      </w:r>
    </w:p>
    <w:p w14:paraId="3439F40E"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14.3 Coordinación de Bibliotecas. </w:t>
      </w:r>
    </w:p>
    <w:p w14:paraId="2E548FF5"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15. Dirección de Desarrollo Social y Salud. </w:t>
      </w:r>
    </w:p>
    <w:p w14:paraId="7D237FCB"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15.1 Coordinación de Salud; </w:t>
      </w:r>
    </w:p>
    <w:p w14:paraId="55EA8E20"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15.2 Enlace del Programa de Inclusión Social PROSPERA; </w:t>
      </w:r>
    </w:p>
    <w:p w14:paraId="225B3360"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15.3 Coordinación de Población; </w:t>
      </w:r>
    </w:p>
    <w:p w14:paraId="1FCEA3DF"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15.4 Coordinación de Vivienda; </w:t>
      </w:r>
    </w:p>
    <w:p w14:paraId="55716C1D"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15.5 Enlace de IMEVIS; </w:t>
      </w:r>
    </w:p>
    <w:p w14:paraId="7B4D8706"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15.6 Coordinación del Programa Federal Pensión para Adultos Mayores +65; </w:t>
      </w:r>
    </w:p>
    <w:p w14:paraId="6841DFFF"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16. Dirección del Instituto Municipal de Atención a la Juventud. </w:t>
      </w:r>
    </w:p>
    <w:p w14:paraId="423B2C5A"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17. Dirección del Instituto Municipal de la Mujer”</w:t>
      </w:r>
    </w:p>
    <w:p w14:paraId="7321560E" w14:textId="77777777" w:rsidR="006F16B0" w:rsidRDefault="00AD0B82">
      <w:pP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por todo lo anteriormente expuesto, que este Organismo Garante considera que el derecho de acceso a la información solamente puede tenerse por satisfecho en el momento </w:t>
      </w:r>
      <w:r w:rsidRPr="005C1331">
        <w:rPr>
          <w:rFonts w:ascii="Palatino Linotype" w:eastAsia="Palatino Linotype" w:hAnsi="Palatino Linotype" w:cs="Palatino Linotype"/>
          <w:color w:val="000000"/>
        </w:rPr>
        <w:t xml:space="preserve">en que el particular tenga en su poder los formatos </w:t>
      </w:r>
      <w:proofErr w:type="spellStart"/>
      <w:r w:rsidRPr="005C1331">
        <w:rPr>
          <w:rFonts w:ascii="Palatino Linotype" w:eastAsia="Palatino Linotype" w:hAnsi="Palatino Linotype" w:cs="Palatino Linotype"/>
          <w:color w:val="000000"/>
        </w:rPr>
        <w:t>pbRM</w:t>
      </w:r>
      <w:proofErr w:type="spellEnd"/>
      <w:r w:rsidRPr="005C1331">
        <w:rPr>
          <w:rFonts w:ascii="Palatino Linotype" w:eastAsia="Palatino Linotype" w:hAnsi="Palatino Linotype" w:cs="Palatino Linotype"/>
          <w:color w:val="000000"/>
        </w:rPr>
        <w:t xml:space="preserve"> faltantes del año 2019, </w:t>
      </w:r>
      <w:r w:rsidR="00C612CD" w:rsidRPr="005C1331">
        <w:rPr>
          <w:rFonts w:ascii="Palatino Linotype" w:eastAsia="Palatino Linotype" w:hAnsi="Palatino Linotype" w:cs="Palatino Linotype"/>
          <w:color w:val="000000"/>
        </w:rPr>
        <w:t xml:space="preserve">es decir, los formatos (Presupuesto de Ingresos Detallado) (PbRM-03a), Carátula de Presupuesto de Ingresos (PbRM-03b), los formatos del Programa Anual (PbRM-01 en todas sus series), así como del Presupuesto de Egresos Detallado (PbRM-04a), se integrará el Proyecto de Presupuesto de Egresos, PbRM-02a “Calendarización de Metas de actividad”, Presupuesto de Egresos Detallado (PbRM-04a), Presupuesto de Egresos por Objeto del Gasto y Dependencia General </w:t>
      </w:r>
      <w:r w:rsidR="00C612CD" w:rsidRPr="005C1331">
        <w:rPr>
          <w:rFonts w:ascii="Palatino Linotype" w:eastAsia="Palatino Linotype" w:hAnsi="Palatino Linotype" w:cs="Palatino Linotype"/>
          <w:color w:val="000000"/>
        </w:rPr>
        <w:lastRenderedPageBreak/>
        <w:t>(PbRM-04b), Presupuesto de Egresos detallado (PbRM-04a) a nivel de Dependencia General, Egreso Global Calendarizado (PbRM-04c), Carátula de Presupuesto de Egresos (PbRM-04d), formato por Capítulo de Gasto (</w:t>
      </w:r>
      <w:proofErr w:type="spellStart"/>
      <w:r w:rsidR="00C612CD" w:rsidRPr="005C1331">
        <w:rPr>
          <w:rFonts w:ascii="Palatino Linotype" w:eastAsia="Palatino Linotype" w:hAnsi="Palatino Linotype" w:cs="Palatino Linotype"/>
          <w:color w:val="000000"/>
        </w:rPr>
        <w:t>PbRM</w:t>
      </w:r>
      <w:proofErr w:type="spellEnd"/>
      <w:r w:rsidR="00C612CD" w:rsidRPr="005C1331">
        <w:rPr>
          <w:rFonts w:ascii="Palatino Linotype" w:eastAsia="Palatino Linotype" w:hAnsi="Palatino Linotype" w:cs="Palatino Linotype"/>
          <w:color w:val="000000"/>
        </w:rPr>
        <w:t xml:space="preserve"> E-04c), Tabulador de Sueldos (PbRM-05), El Programa Anual de Obra (</w:t>
      </w:r>
      <w:proofErr w:type="spellStart"/>
      <w:r w:rsidR="00C612CD" w:rsidRPr="005C1331">
        <w:rPr>
          <w:rFonts w:ascii="Palatino Linotype" w:eastAsia="Palatino Linotype" w:hAnsi="Palatino Linotype" w:cs="Palatino Linotype"/>
          <w:color w:val="000000"/>
        </w:rPr>
        <w:t>PbRM</w:t>
      </w:r>
      <w:proofErr w:type="spellEnd"/>
      <w:r w:rsidR="00C612CD" w:rsidRPr="005C1331">
        <w:rPr>
          <w:rFonts w:ascii="Palatino Linotype" w:eastAsia="Palatino Linotype" w:hAnsi="Palatino Linotype" w:cs="Palatino Linotype"/>
          <w:color w:val="000000"/>
        </w:rPr>
        <w:t xml:space="preserve"> E-07a) y el Programa Anual de Reparaciones y Mantenimiento (</w:t>
      </w:r>
      <w:proofErr w:type="spellStart"/>
      <w:r w:rsidR="00C612CD" w:rsidRPr="005C1331">
        <w:rPr>
          <w:rFonts w:ascii="Palatino Linotype" w:eastAsia="Palatino Linotype" w:hAnsi="Palatino Linotype" w:cs="Palatino Linotype"/>
          <w:color w:val="000000"/>
        </w:rPr>
        <w:t>PbRM</w:t>
      </w:r>
      <w:proofErr w:type="spellEnd"/>
      <w:r w:rsidR="00C612CD" w:rsidRPr="005C1331">
        <w:rPr>
          <w:rFonts w:ascii="Palatino Linotype" w:eastAsia="Palatino Linotype" w:hAnsi="Palatino Linotype" w:cs="Palatino Linotype"/>
          <w:color w:val="000000"/>
        </w:rPr>
        <w:t xml:space="preserve"> E-07b), El Programa Anual de Adquisiciones (PbRM-06),</w:t>
      </w:r>
      <w:r w:rsidR="00C612CD">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 xml:space="preserve">por ello se determina ordenar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previa búsqueda exhaustiva y razonable, la entrega de la información a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w:t>
      </w:r>
    </w:p>
    <w:p w14:paraId="60EF3D5D" w14:textId="77777777" w:rsidR="006F16B0" w:rsidRDefault="00AD0B82">
      <w:pPr>
        <w:pBdr>
          <w:top w:val="nil"/>
          <w:left w:val="nil"/>
          <w:bottom w:val="nil"/>
          <w:right w:val="nil"/>
          <w:between w:val="nil"/>
        </w:pBdr>
        <w:ind w:right="900"/>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rPr>
        <w:t>c) Recurso de Revisión 05046/INFOEM/IP/RR/2022:</w:t>
      </w:r>
    </w:p>
    <w:p w14:paraId="5511F060" w14:textId="77777777" w:rsidR="006F16B0" w:rsidRDefault="006F16B0">
      <w:pPr>
        <w:ind w:left="567" w:right="900"/>
        <w:jc w:val="both"/>
        <w:rPr>
          <w:rFonts w:ascii="Palatino Linotype" w:eastAsia="Palatino Linotype" w:hAnsi="Palatino Linotype" w:cs="Palatino Linotype"/>
          <w:b/>
          <w:i/>
          <w:sz w:val="22"/>
          <w:szCs w:val="22"/>
        </w:rPr>
      </w:pPr>
    </w:p>
    <w:p w14:paraId="2C3F79AE" w14:textId="77777777" w:rsidR="006F16B0" w:rsidRDefault="006F16B0">
      <w:pPr>
        <w:ind w:left="567" w:right="900"/>
        <w:jc w:val="both"/>
        <w:rPr>
          <w:rFonts w:ascii="Palatino Linotype" w:eastAsia="Palatino Linotype" w:hAnsi="Palatino Linotype" w:cs="Palatino Linotype"/>
          <w:b/>
          <w:i/>
          <w:sz w:val="22"/>
          <w:szCs w:val="22"/>
        </w:rPr>
      </w:pPr>
    </w:p>
    <w:p w14:paraId="1A2BC3C8" w14:textId="77777777" w:rsidR="006F16B0" w:rsidRDefault="00AD0B82">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Debemos iniciar el estudio del presente apartado, recordando que el particular requiere todos los formatos PBRM del año 2021, al respecto el </w:t>
      </w:r>
      <w:r>
        <w:rPr>
          <w:rFonts w:ascii="Palatino Linotype" w:eastAsia="Palatino Linotype" w:hAnsi="Palatino Linotype" w:cs="Palatino Linotype"/>
          <w:b/>
          <w:color w:val="000000"/>
        </w:rPr>
        <w:t xml:space="preserve">Coordinador de la Unidad de Información, Planeación, Programación y Evaluación (UIPPE), </w:t>
      </w:r>
      <w:r>
        <w:rPr>
          <w:rFonts w:ascii="Palatino Linotype" w:eastAsia="Palatino Linotype" w:hAnsi="Palatino Linotype" w:cs="Palatino Linotype"/>
          <w:color w:val="000000"/>
        </w:rPr>
        <w:t xml:space="preserve">manifestó </w:t>
      </w:r>
      <w:r>
        <w:rPr>
          <w:rFonts w:ascii="Palatino Linotype" w:eastAsia="Palatino Linotype" w:hAnsi="Palatino Linotype" w:cs="Palatino Linotype"/>
          <w:b/>
          <w:color w:val="000000"/>
        </w:rPr>
        <w:t>que enviaba los PBRM del año 2021, asimismo remitió una liga electrónica para que el particular estuviera en posibilidad de descargarlos.</w:t>
      </w:r>
    </w:p>
    <w:p w14:paraId="1C0292A5" w14:textId="77777777" w:rsidR="006F16B0" w:rsidRDefault="006F16B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9C08641" w14:textId="77777777" w:rsidR="006F16B0" w:rsidRDefault="00AD0B82">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la revisión practicada por este Organismo Garante a los documentos electrónicos que obran en la carpeta comprimida denominada “</w:t>
      </w:r>
      <w:r>
        <w:rPr>
          <w:rFonts w:ascii="Palatino Linotype" w:eastAsia="Palatino Linotype" w:hAnsi="Palatino Linotype" w:cs="Palatino Linotype"/>
          <w:b/>
          <w:i/>
          <w:color w:val="000000"/>
        </w:rPr>
        <w:t xml:space="preserve">CORRECTOS DEFINITIVOS  2021 PBRM ANUAL 2021 TODAS LAS AREAS”, </w:t>
      </w:r>
      <w:r>
        <w:rPr>
          <w:rFonts w:ascii="Palatino Linotype" w:eastAsia="Palatino Linotype" w:hAnsi="Palatino Linotype" w:cs="Palatino Linotype"/>
          <w:color w:val="000000"/>
        </w:rPr>
        <w:t xml:space="preserve">se advierte que </w:t>
      </w:r>
      <w:r>
        <w:rPr>
          <w:rFonts w:ascii="Palatino Linotype" w:eastAsia="Palatino Linotype" w:hAnsi="Palatino Linotype" w:cs="Palatino Linotype"/>
          <w:b/>
          <w:color w:val="000000"/>
          <w:u w:val="single"/>
        </w:rPr>
        <w:t xml:space="preserve">corresponden a los formatos PbRM-01a; PbRM-01b; PbRM-01c; PbRM-01dy PbRM-01e del año 2021 </w:t>
      </w:r>
      <w:r>
        <w:rPr>
          <w:rFonts w:ascii="Palatino Linotype" w:eastAsia="Palatino Linotype" w:hAnsi="Palatino Linotype" w:cs="Palatino Linotype"/>
          <w:color w:val="000000"/>
        </w:rPr>
        <w:t xml:space="preserve">por las áreas de Secretaría Particular, Sindicatura, Segunda Regiduría, Cuarta Regiduría, Quinta Regiduría, Sexta Regiduría, Séptima Regiduría, Novena Regiduría, Dirección de Desarrollo Económico, Consejería Jurídica, Contraloría </w:t>
      </w:r>
      <w:r>
        <w:rPr>
          <w:rFonts w:ascii="Palatino Linotype" w:eastAsia="Palatino Linotype" w:hAnsi="Palatino Linotype" w:cs="Palatino Linotype"/>
          <w:color w:val="000000"/>
        </w:rPr>
        <w:lastRenderedPageBreak/>
        <w:t xml:space="preserve">Interna Municipal, Coordinación Municipal de Protección Civil, Seguridad Pública y Tránsito, Defensoría de Derechos Humanos y Dirección de Desarrollo Agropecuario, Dirección de Desarrollo Urbano, Dirección de Administración, Dirección de Bienestar, Dirección de Educación, Tesorería Municipal, Registro Civil, Presidencia, Secretaría del Ayuntamiento, Secretaría Técnica y Dirección de Ecología. </w:t>
      </w:r>
    </w:p>
    <w:p w14:paraId="59EB3BEF" w14:textId="77777777" w:rsidR="006F16B0" w:rsidRDefault="006F16B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067353D" w14:textId="77777777" w:rsidR="006F16B0" w:rsidRDefault="00AD0B82">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remitió una hoja de cálculo de Excel en el que se vislumbra el formato pbRM-04 a, correspondiente al presupuesto de egresos detallado, correspondiente al ejercicio fiscal </w:t>
      </w:r>
      <w:r>
        <w:rPr>
          <w:rFonts w:ascii="Palatino Linotype" w:eastAsia="Palatino Linotype" w:hAnsi="Palatino Linotype" w:cs="Palatino Linotype"/>
          <w:b/>
          <w:color w:val="000000"/>
          <w:u w:val="single"/>
        </w:rPr>
        <w:t>2022,</w:t>
      </w:r>
      <w:r>
        <w:rPr>
          <w:rFonts w:ascii="Palatino Linotype" w:eastAsia="Palatino Linotype" w:hAnsi="Palatino Linotype" w:cs="Palatino Linotype"/>
          <w:color w:val="000000"/>
        </w:rPr>
        <w:t xml:space="preserve"> el cual no guarda relación con lo solicitado.</w:t>
      </w:r>
    </w:p>
    <w:p w14:paraId="027230D8" w14:textId="77777777" w:rsidR="006F16B0" w:rsidRDefault="006F16B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1C86D1D" w14:textId="77777777" w:rsidR="006F16B0" w:rsidRDefault="00AD0B82">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sobre el tema, </w:t>
      </w:r>
      <w:proofErr w:type="gramStart"/>
      <w:r>
        <w:rPr>
          <w:rFonts w:ascii="Palatino Linotype" w:eastAsia="Palatino Linotype" w:hAnsi="Palatino Linotype" w:cs="Palatino Linotype"/>
          <w:color w:val="000000"/>
        </w:rPr>
        <w:t>el  Manual</w:t>
      </w:r>
      <w:proofErr w:type="gramEnd"/>
      <w:r>
        <w:rPr>
          <w:rFonts w:ascii="Palatino Linotype" w:eastAsia="Palatino Linotype" w:hAnsi="Palatino Linotype" w:cs="Palatino Linotype"/>
          <w:color w:val="000000"/>
        </w:rPr>
        <w:t xml:space="preserve"> para la Planeación, Programación y Presupuesto de Egresos Municipal para el Ejercicio Fiscal 2021, prevé lo siguiente:  </w:t>
      </w:r>
    </w:p>
    <w:p w14:paraId="310ED68B"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“El proceso de implementación y adopción del Presupuesto basado en Resultados demanda el fortalecimiento de los mecanismos de coordinación entre las áreas de planeación y presupuesto, con los ejecutores del gasto responsables de materializar las actividades de los diferentes Programas presupuestarios, con el propósito de fortalecer el marco institucional municipal que incremente la certidumbre y transparencia en el destino de los recursos y haga transparente el proceso generación de valor público. </w:t>
      </w:r>
    </w:p>
    <w:p w14:paraId="2149575B"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Una tarea importante de la Tesorería y la UIPPE, consiste en definir conjuntamente a cada una de las Dependencias Generales y Auxiliares las responsabilidades en cuanto a la ejecución de Programas presupuestarios y proyectos por dependencia municipal; para apoyar este proceso, en este manual se encuentra el formato denominado “Dimensión administrativa del gasto” (PbRM-01a)</w:t>
      </w:r>
      <w:r>
        <w:rPr>
          <w:rFonts w:ascii="Palatino Linotype" w:eastAsia="Palatino Linotype" w:hAnsi="Palatino Linotype" w:cs="Palatino Linotype"/>
          <w:i/>
          <w:color w:val="000000"/>
          <w:sz w:val="22"/>
          <w:szCs w:val="22"/>
        </w:rPr>
        <w:t xml:space="preserve">; el cual permite identificar la asignación de recursos por Programa presupuestario, proyecto y Dependencia que realiza las acciones que </w:t>
      </w:r>
      <w:r>
        <w:rPr>
          <w:rFonts w:ascii="Palatino Linotype" w:eastAsia="Palatino Linotype" w:hAnsi="Palatino Linotype" w:cs="Palatino Linotype"/>
          <w:i/>
          <w:color w:val="000000"/>
          <w:sz w:val="22"/>
          <w:szCs w:val="22"/>
        </w:rPr>
        <w:lastRenderedPageBreak/>
        <w:t xml:space="preserve">permiten dar cumplimiento a objetivos definidos, asimismo asumir el compromiso y responsabilidad de cada unidad administrativa municipal en la entrega de resultados que beneficien a la población o área de enfoque que atienden. </w:t>
      </w:r>
    </w:p>
    <w:p w14:paraId="15A91521"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El Presupuesto de Egresos Municipal ocurre en tres fases o etapas para su integración, revisión y autorización final, las cuales tienen las siguientes fechas límite: </w:t>
      </w:r>
    </w:p>
    <w:p w14:paraId="129C4904"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 Anteproyecto de Presupuesto de Egresos Municipal. </w:t>
      </w:r>
    </w:p>
    <w:p w14:paraId="10A9D082" w14:textId="77777777" w:rsidR="006F16B0" w:rsidRDefault="00AD0B82">
      <w:pPr>
        <w:spacing w:before="240"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-Las Unidades Administrativas de los Municipios presentan a la Tesorería y a la UIPPE municipal el último día hábil anterior al 15 de agosto en términos de artículo 298 del Código Financiero del Estado de México y Municipios; </w:t>
      </w:r>
    </w:p>
    <w:p w14:paraId="5DB0CB97"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2. Proyecto de Presupuesto de Egresos Municipal.</w:t>
      </w:r>
    </w:p>
    <w:p w14:paraId="627F3AD1" w14:textId="77777777" w:rsidR="006F16B0" w:rsidRDefault="00AD0B82">
      <w:pPr>
        <w:spacing w:before="240"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 - El </w:t>
      </w:r>
      <w:proofErr w:type="gramStart"/>
      <w:r>
        <w:rPr>
          <w:rFonts w:ascii="Palatino Linotype" w:eastAsia="Palatino Linotype" w:hAnsi="Palatino Linotype" w:cs="Palatino Linotype"/>
          <w:b/>
          <w:i/>
          <w:color w:val="000000"/>
          <w:sz w:val="22"/>
          <w:szCs w:val="22"/>
        </w:rPr>
        <w:t>Presidente</w:t>
      </w:r>
      <w:proofErr w:type="gramEnd"/>
      <w:r>
        <w:rPr>
          <w:rFonts w:ascii="Palatino Linotype" w:eastAsia="Palatino Linotype" w:hAnsi="Palatino Linotype" w:cs="Palatino Linotype"/>
          <w:b/>
          <w:i/>
          <w:color w:val="000000"/>
          <w:sz w:val="22"/>
          <w:szCs w:val="22"/>
        </w:rPr>
        <w:t xml:space="preserve"> Municipal lo presenta al Ayuntamiento a más tardar el día 20 de diciembre en términos del artículo 302 del Código Financiero del Estado de México y Municipios; y </w:t>
      </w:r>
    </w:p>
    <w:p w14:paraId="46005165"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3. Publicación del Presupuesto de Egresos Municipal. - Los Ayuntamientos deberán publicar en la “Gaceta Municipal” a más tardar el 25 de febrero del año para el cual habrá de aplicar dicho presupuesto. </w:t>
      </w:r>
    </w:p>
    <w:p w14:paraId="153F77FF" w14:textId="77777777" w:rsidR="006F16B0" w:rsidRDefault="00AD0B82">
      <w:pPr>
        <w:spacing w:before="240"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III.2 Anteproyecto de Presupuesto de Egresos (primera etapa) El Anteproyecto de Presupuesto de Egresos es la recopilación de la información de Dependencias Generales, Auxiliares y Organismos por la Tesorería y la UIPPE en el ámbito de sus responsabilidades para ser revisado e integrar el proyecto de presupuesto, lo anterior se encuentra normado en los artículos 296 y 298 del Código Financiero del Estado de México y Municipios; donde se establece la competencia de las Unidades Administrativas de los municipios quienes formularán su Anteproyecto de Presupuesto de Egresos de acuerdo a las normas presupuestales vigentes y con base en sus Programas presupuestarios y proyectos, mismos que se enviaran a más </w:t>
      </w:r>
      <w:r>
        <w:rPr>
          <w:rFonts w:ascii="Palatino Linotype" w:eastAsia="Palatino Linotype" w:hAnsi="Palatino Linotype" w:cs="Palatino Linotype"/>
          <w:b/>
          <w:i/>
          <w:color w:val="000000"/>
          <w:sz w:val="22"/>
          <w:szCs w:val="22"/>
        </w:rPr>
        <w:lastRenderedPageBreak/>
        <w:t>tardar el último día hábil anterior al 15 de agosto a la Tesorería para su revisión.</w:t>
      </w:r>
    </w:p>
    <w:p w14:paraId="3EEB1F1E"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Para atender a lo anterior se debe considerar lo siguiente: </w:t>
      </w:r>
    </w:p>
    <w:p w14:paraId="5D15A58D"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III.2.1 Lineamientos para la integración del Programa Anual </w:t>
      </w:r>
    </w:p>
    <w:p w14:paraId="227D0264" w14:textId="77777777" w:rsidR="006F16B0" w:rsidRDefault="00AD0B82">
      <w:pPr>
        <w:spacing w:before="240"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El Programa Anual, constituye un componente del Presupuesto basado en Resultados (</w:t>
      </w:r>
      <w:proofErr w:type="spellStart"/>
      <w:r>
        <w:rPr>
          <w:rFonts w:ascii="Palatino Linotype" w:eastAsia="Palatino Linotype" w:hAnsi="Palatino Linotype" w:cs="Palatino Linotype"/>
          <w:b/>
          <w:i/>
          <w:color w:val="000000"/>
          <w:sz w:val="22"/>
          <w:szCs w:val="22"/>
        </w:rPr>
        <w:t>PbR</w:t>
      </w:r>
      <w:proofErr w:type="spellEnd"/>
      <w:r>
        <w:rPr>
          <w:rFonts w:ascii="Palatino Linotype" w:eastAsia="Palatino Linotype" w:hAnsi="Palatino Linotype" w:cs="Palatino Linotype"/>
          <w:b/>
          <w:i/>
          <w:color w:val="000000"/>
          <w:sz w:val="22"/>
          <w:szCs w:val="22"/>
        </w:rPr>
        <w:t xml:space="preserve">), en el cual se plasman los objetivos, estrategias, metas de actividad, indicadores y proyectos, de acuerdo a las prioridades del Plan de Desarrollo Municipal y las demandas de la sociedad, para ser traducidas en resultados concretos a visualizarse en el período presupuestal determinado, lo que nos permite conocer con certeza acerca de: ¿qué se va a hacer?, ¿para lograr qué? y ¿cómo y cuándo se </w:t>
      </w:r>
      <w:proofErr w:type="gramStart"/>
      <w:r>
        <w:rPr>
          <w:rFonts w:ascii="Palatino Linotype" w:eastAsia="Palatino Linotype" w:hAnsi="Palatino Linotype" w:cs="Palatino Linotype"/>
          <w:b/>
          <w:i/>
          <w:color w:val="000000"/>
          <w:sz w:val="22"/>
          <w:szCs w:val="22"/>
        </w:rPr>
        <w:t>realizará?.</w:t>
      </w:r>
      <w:proofErr w:type="gramEnd"/>
      <w:r>
        <w:rPr>
          <w:rFonts w:ascii="Palatino Linotype" w:eastAsia="Palatino Linotype" w:hAnsi="Palatino Linotype" w:cs="Palatino Linotype"/>
          <w:b/>
          <w:i/>
          <w:color w:val="000000"/>
          <w:sz w:val="22"/>
          <w:szCs w:val="22"/>
        </w:rPr>
        <w:t xml:space="preserve"> </w:t>
      </w:r>
    </w:p>
    <w:p w14:paraId="30D18CF2" w14:textId="77777777" w:rsidR="006F16B0" w:rsidRDefault="00AD0B82">
      <w:pPr>
        <w:spacing w:before="240"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La integración del Programa Anual deberá partir del techo financiero que la Tesorería asigne a cada unidad administrativa de los municipios en cada Programa presupuestario y proyecto, lo que servirá de base para la programación y el </w:t>
      </w:r>
      <w:proofErr w:type="spellStart"/>
      <w:r>
        <w:rPr>
          <w:rFonts w:ascii="Palatino Linotype" w:eastAsia="Palatino Linotype" w:hAnsi="Palatino Linotype" w:cs="Palatino Linotype"/>
          <w:b/>
          <w:i/>
          <w:color w:val="000000"/>
          <w:sz w:val="22"/>
          <w:szCs w:val="22"/>
        </w:rPr>
        <w:t>costeo</w:t>
      </w:r>
      <w:proofErr w:type="spellEnd"/>
      <w:r>
        <w:rPr>
          <w:rFonts w:ascii="Palatino Linotype" w:eastAsia="Palatino Linotype" w:hAnsi="Palatino Linotype" w:cs="Palatino Linotype"/>
          <w:b/>
          <w:i/>
          <w:color w:val="000000"/>
          <w:sz w:val="22"/>
          <w:szCs w:val="22"/>
        </w:rPr>
        <w:t xml:space="preserve"> de las actividades a desarrollar del Anteproyecto de Presupuesto de Egresos; dicha asignación se tendrá que llevar a cabo identificando la información plasmada en los formatos PbRM-01a y PbRM01b. </w:t>
      </w:r>
    </w:p>
    <w:p w14:paraId="7218F8DA"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Para fijar y dar a conocer a las Dependencias y Organismos Municipales los techos financieros tal como lo establece el Artículo 295 del Código Financiero del Estado de México y Municipios, la Tesorería una vez estimando los ingresos e identificando los costos irreductibles (servicios personales + materiales y suministros necesarios + servicios generales necesarios + gastos de deuda + pasivos), fijará los techos financieros para cada Dependencia General. El Programa Anual deberá permitir la evaluación programática y presupuestal del ejercicio del gasto, en términos de resultados, tanto cuantitativos como cualitativos. </w:t>
      </w:r>
    </w:p>
    <w:p w14:paraId="430FB456"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Para la formulación del Programa Anual deberán ser llenados los formatos: PbRM-01a; PbRM-01b; PbRM-01c; PbRM-01dy PbRM-01e</w:t>
      </w:r>
      <w:r>
        <w:rPr>
          <w:rFonts w:ascii="Palatino Linotype" w:eastAsia="Palatino Linotype" w:hAnsi="Palatino Linotype" w:cs="Palatino Linotype"/>
          <w:i/>
          <w:color w:val="000000"/>
          <w:sz w:val="22"/>
          <w:szCs w:val="22"/>
        </w:rPr>
        <w:t>.” (Sic) (Énfasis añadido)</w:t>
      </w:r>
    </w:p>
    <w:p w14:paraId="4C862BDF" w14:textId="77777777" w:rsidR="006F16B0" w:rsidRDefault="00AD0B82">
      <w:pP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De lo citado con anterioridad, se colige que los formatos enviados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al particular con la intención de satisfacer el derecho de acceso a la información pública que le asiste, corresponden a aquellos que se entregan para la integración del programa anual, sin embargo, conviene resaltar que la parte Recurrente manifestó que requería todos los formatos </w:t>
      </w:r>
      <w:proofErr w:type="spellStart"/>
      <w:r>
        <w:rPr>
          <w:rFonts w:ascii="Palatino Linotype" w:eastAsia="Palatino Linotype" w:hAnsi="Palatino Linotype" w:cs="Palatino Linotype"/>
          <w:color w:val="000000"/>
        </w:rPr>
        <w:t>pbRM</w:t>
      </w:r>
      <w:proofErr w:type="spellEnd"/>
      <w:r>
        <w:rPr>
          <w:rFonts w:ascii="Palatino Linotype" w:eastAsia="Palatino Linotype" w:hAnsi="Palatino Linotype" w:cs="Palatino Linotype"/>
          <w:color w:val="000000"/>
        </w:rPr>
        <w:t xml:space="preserve"> correspondientes al año 2021, es decir, no sólo con los que las Dependencias Administrativas reportan sus programas y posteriormente se formula el Anteproyecto de Presupuesto de Egresos, pues es sólo un componente para la elaboración del Proyecto de Presupuesto de Egresos y que en caso de aprobarse, se considera Presupuesto de Egresos, al respecto el multicitado Manual mandata a las entidades públicas, el uso de los siguientes formatos </w:t>
      </w:r>
      <w:proofErr w:type="spellStart"/>
      <w:r>
        <w:rPr>
          <w:rFonts w:ascii="Palatino Linotype" w:eastAsia="Palatino Linotype" w:hAnsi="Palatino Linotype" w:cs="Palatino Linotype"/>
          <w:color w:val="000000"/>
        </w:rPr>
        <w:t>pbRM</w:t>
      </w:r>
      <w:proofErr w:type="spellEnd"/>
      <w:r>
        <w:rPr>
          <w:rFonts w:ascii="Palatino Linotype" w:eastAsia="Palatino Linotype" w:hAnsi="Palatino Linotype" w:cs="Palatino Linotype"/>
          <w:color w:val="000000"/>
        </w:rPr>
        <w:t xml:space="preserve">: </w:t>
      </w:r>
    </w:p>
    <w:p w14:paraId="524DE1AD"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“III.3.2 Formatos que integran el Proyecto de Presupuesto de Egresos </w:t>
      </w:r>
    </w:p>
    <w:p w14:paraId="10D7979F"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Para determinar el proyecto de presupuesto de egresos se debe conocer la estimación de ingresos que serán captados por el Ayuntamiento por lo que para este fin se deberá integrar el Proyecto de Presupuesto de Ingresos, para lo cual, servirá de apoyo el formato de Presupuesto de ingresos para el ejercicio fiscal 2019 (Presupuesto de Ingresos Detallado) (PbRM-03a), el cual fue llenado durante la etapa del anteproyecto y en el que se deberán registrar los ingresos estimados a nivel concepto y distribuirlos por mes, del mismo modo se incluirá la Carátula de Presupuesto de Ingresos (PbRM-03b). </w:t>
      </w:r>
    </w:p>
    <w:p w14:paraId="39E06636"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Una vez recopilada la información del Anteproyecto de Presupuesto de Egresos por la Tesorería y la UIPPE o su equivalente, mediante los formatos del Programa Anual (PbRM-01 en todas sus series), así como del Presupuesto de Egresos Detallado (PbRM-04a), se integrará el Proyecto de Presupuesto de Egresos. </w:t>
      </w:r>
    </w:p>
    <w:p w14:paraId="70BDE8FA"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El primer apartado del Presupuesto basado en Resultados Municipal, lo integrará el Programa Anual del Municipio. El responsable del área de planeación, con base en </w:t>
      </w:r>
      <w:r>
        <w:rPr>
          <w:rFonts w:ascii="Palatino Linotype" w:eastAsia="Palatino Linotype" w:hAnsi="Palatino Linotype" w:cs="Palatino Linotype"/>
          <w:i/>
          <w:color w:val="000000"/>
          <w:sz w:val="22"/>
          <w:szCs w:val="22"/>
        </w:rPr>
        <w:lastRenderedPageBreak/>
        <w:t xml:space="preserve">la información proporcionada por cada una de las Dependencias Generales y Organismos, será quien integre este documento, que será la base para sustentar la asignación de los recursos, para su presentación y aprobación por el Ayuntamiento en sesión de Cabildo; para ello se deberá integrar al proyecto de presupuesto lo siguiente: </w:t>
      </w:r>
    </w:p>
    <w:p w14:paraId="409FA3F9"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Formatos del Programa Anual (PbRM-01 en todas sus series), así como el PbRM-02a “Calendarización de Metas de actividad”</w:t>
      </w:r>
      <w:r>
        <w:rPr>
          <w:rFonts w:ascii="Palatino Linotype" w:eastAsia="Palatino Linotype" w:hAnsi="Palatino Linotype" w:cs="Palatino Linotype"/>
          <w:i/>
          <w:color w:val="000000"/>
          <w:sz w:val="22"/>
          <w:szCs w:val="22"/>
        </w:rPr>
        <w:t xml:space="preserve">, el cual tiene por objeto identificar trimestralmente la ejecución de la meta anual, la cual proviene del formato PbRM-01c. </w:t>
      </w:r>
    </w:p>
    <w:p w14:paraId="476269B0" w14:textId="77777777" w:rsidR="006F16B0" w:rsidRDefault="00AD0B82">
      <w:pPr>
        <w:spacing w:before="240"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Presupuesto de Egresos Detallado (PbRM-04a).</w:t>
      </w:r>
      <w:r>
        <w:rPr>
          <w:rFonts w:ascii="Palatino Linotype" w:eastAsia="Palatino Linotype" w:hAnsi="Palatino Linotype" w:cs="Palatino Linotype"/>
          <w:i/>
          <w:color w:val="000000"/>
          <w:sz w:val="22"/>
          <w:szCs w:val="22"/>
        </w:rPr>
        <w:t xml:space="preserve"> Este formato deberá registrar los proyectos por partida de gasto, identificando los montos por Partida Específica, Partida Genérica, Concepto y Capítulo del Gasto, de cada proyecto a nivel de Dependencia General y Auxiliar, </w:t>
      </w:r>
      <w:r>
        <w:rPr>
          <w:rFonts w:ascii="Palatino Linotype" w:eastAsia="Palatino Linotype" w:hAnsi="Palatino Linotype" w:cs="Palatino Linotype"/>
          <w:b/>
          <w:i/>
          <w:color w:val="000000"/>
          <w:sz w:val="22"/>
          <w:szCs w:val="22"/>
        </w:rPr>
        <w:t xml:space="preserve">los cuales tendrán que coincidir con los formatos del Programa Anual PbRM-01a y PbRM-01c. </w:t>
      </w:r>
    </w:p>
    <w:p w14:paraId="257D63CC"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Presupuesto de Egresos por Objeto del Gasto y Dependencia General (PbRM-04b).</w:t>
      </w:r>
      <w:r>
        <w:rPr>
          <w:rFonts w:ascii="Palatino Linotype" w:eastAsia="Palatino Linotype" w:hAnsi="Palatino Linotype" w:cs="Palatino Linotype"/>
          <w:i/>
          <w:color w:val="000000"/>
          <w:sz w:val="22"/>
          <w:szCs w:val="22"/>
        </w:rPr>
        <w:t xml:space="preserve"> En este formato se integran los conceptos por partida específica, y concentra la suma de los formatos de Presupuesto de Egresos detallado (PbRM-04a) a nivel de Dependencia General. </w:t>
      </w:r>
    </w:p>
    <w:p w14:paraId="566A614D"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Egreso Global Calendarizado (PbRM-04c).</w:t>
      </w:r>
      <w:r>
        <w:rPr>
          <w:rFonts w:ascii="Palatino Linotype" w:eastAsia="Palatino Linotype" w:hAnsi="Palatino Linotype" w:cs="Palatino Linotype"/>
          <w:i/>
          <w:color w:val="000000"/>
          <w:sz w:val="22"/>
          <w:szCs w:val="22"/>
        </w:rPr>
        <w:t xml:space="preserve"> Este formato deberá contener la suma de los formatos por Partida Específica, Partida Genérica, Concepto y Capítulo del Gasto (PbRM-04b), de todas las Dependencias Generales. </w:t>
      </w:r>
    </w:p>
    <w:p w14:paraId="4A2398CB"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Carátula de Presupuesto de Egresos (PbRM-04d).</w:t>
      </w:r>
      <w:r>
        <w:rPr>
          <w:rFonts w:ascii="Palatino Linotype" w:eastAsia="Palatino Linotype" w:hAnsi="Palatino Linotype" w:cs="Palatino Linotype"/>
          <w:i/>
          <w:color w:val="000000"/>
          <w:sz w:val="22"/>
          <w:szCs w:val="22"/>
        </w:rPr>
        <w:t xml:space="preserve"> Este formato deberá registrar los importes del formato por Capítulo de Gasto (</w:t>
      </w:r>
      <w:proofErr w:type="spellStart"/>
      <w:r>
        <w:rPr>
          <w:rFonts w:ascii="Palatino Linotype" w:eastAsia="Palatino Linotype" w:hAnsi="Palatino Linotype" w:cs="Palatino Linotype"/>
          <w:i/>
          <w:color w:val="000000"/>
          <w:sz w:val="22"/>
          <w:szCs w:val="22"/>
        </w:rPr>
        <w:t>PbRM</w:t>
      </w:r>
      <w:proofErr w:type="spellEnd"/>
      <w:r>
        <w:rPr>
          <w:rFonts w:ascii="Palatino Linotype" w:eastAsia="Palatino Linotype" w:hAnsi="Palatino Linotype" w:cs="Palatino Linotype"/>
          <w:i/>
          <w:color w:val="000000"/>
          <w:sz w:val="22"/>
          <w:szCs w:val="22"/>
        </w:rPr>
        <w:t xml:space="preserve"> E-04c). </w:t>
      </w:r>
    </w:p>
    <w:p w14:paraId="52A98B12" w14:textId="77777777" w:rsidR="006F16B0" w:rsidRDefault="00AD0B82">
      <w:pPr>
        <w:spacing w:before="240"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Información Vinculada al Proyecto de Presupuesto de Egresos. </w:t>
      </w:r>
    </w:p>
    <w:p w14:paraId="4D491DE3"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Tabulador de Sueldos (PbRM-05).</w:t>
      </w:r>
      <w:r>
        <w:rPr>
          <w:rFonts w:ascii="Palatino Linotype" w:eastAsia="Palatino Linotype" w:hAnsi="Palatino Linotype" w:cs="Palatino Linotype"/>
          <w:i/>
          <w:color w:val="000000"/>
          <w:sz w:val="22"/>
          <w:szCs w:val="22"/>
        </w:rPr>
        <w:t xml:space="preserve"> El monto total de este formato debe coincidir con el Capítulo 1000 contenido en la Carátula de Presupuesto de Egresos (</w:t>
      </w:r>
      <w:proofErr w:type="spellStart"/>
      <w:r>
        <w:rPr>
          <w:rFonts w:ascii="Palatino Linotype" w:eastAsia="Palatino Linotype" w:hAnsi="Palatino Linotype" w:cs="Palatino Linotype"/>
          <w:i/>
          <w:color w:val="000000"/>
          <w:sz w:val="22"/>
          <w:szCs w:val="22"/>
        </w:rPr>
        <w:t>PbRM</w:t>
      </w:r>
      <w:proofErr w:type="spellEnd"/>
      <w:r>
        <w:rPr>
          <w:rFonts w:ascii="Palatino Linotype" w:eastAsia="Palatino Linotype" w:hAnsi="Palatino Linotype" w:cs="Palatino Linotype"/>
          <w:i/>
          <w:color w:val="000000"/>
          <w:sz w:val="22"/>
          <w:szCs w:val="22"/>
        </w:rPr>
        <w:t xml:space="preserve"> 04d). </w:t>
      </w:r>
    </w:p>
    <w:p w14:paraId="090C59F8"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lastRenderedPageBreak/>
        <w:t>El Programa Anual de Obra (</w:t>
      </w:r>
      <w:proofErr w:type="spellStart"/>
      <w:r>
        <w:rPr>
          <w:rFonts w:ascii="Palatino Linotype" w:eastAsia="Palatino Linotype" w:hAnsi="Palatino Linotype" w:cs="Palatino Linotype"/>
          <w:b/>
          <w:i/>
          <w:color w:val="000000"/>
          <w:sz w:val="22"/>
          <w:szCs w:val="22"/>
        </w:rPr>
        <w:t>PbRM</w:t>
      </w:r>
      <w:proofErr w:type="spellEnd"/>
      <w:r>
        <w:rPr>
          <w:rFonts w:ascii="Palatino Linotype" w:eastAsia="Palatino Linotype" w:hAnsi="Palatino Linotype" w:cs="Palatino Linotype"/>
          <w:b/>
          <w:i/>
          <w:color w:val="000000"/>
          <w:sz w:val="22"/>
          <w:szCs w:val="22"/>
        </w:rPr>
        <w:t xml:space="preserve"> E-07a) y el Programa Anual de Reparaciones y Mantenimiento (</w:t>
      </w:r>
      <w:proofErr w:type="spellStart"/>
      <w:r>
        <w:rPr>
          <w:rFonts w:ascii="Palatino Linotype" w:eastAsia="Palatino Linotype" w:hAnsi="Palatino Linotype" w:cs="Palatino Linotype"/>
          <w:b/>
          <w:i/>
          <w:color w:val="000000"/>
          <w:sz w:val="22"/>
          <w:szCs w:val="22"/>
        </w:rPr>
        <w:t>PbRM</w:t>
      </w:r>
      <w:proofErr w:type="spellEnd"/>
      <w:r>
        <w:rPr>
          <w:rFonts w:ascii="Palatino Linotype" w:eastAsia="Palatino Linotype" w:hAnsi="Palatino Linotype" w:cs="Palatino Linotype"/>
          <w:b/>
          <w:i/>
          <w:color w:val="000000"/>
          <w:sz w:val="22"/>
          <w:szCs w:val="22"/>
        </w:rPr>
        <w:t xml:space="preserve"> E-07b).</w:t>
      </w:r>
      <w:r>
        <w:rPr>
          <w:rFonts w:ascii="Palatino Linotype" w:eastAsia="Palatino Linotype" w:hAnsi="Palatino Linotype" w:cs="Palatino Linotype"/>
          <w:i/>
          <w:color w:val="000000"/>
          <w:sz w:val="22"/>
          <w:szCs w:val="22"/>
        </w:rPr>
        <w:t xml:space="preserve"> - Deberán corresponder al importe del Capítulo 6000 Inversión Pública contenido en la Carátula de Presupuesto de Egresos (</w:t>
      </w:r>
      <w:proofErr w:type="spellStart"/>
      <w:r>
        <w:rPr>
          <w:rFonts w:ascii="Palatino Linotype" w:eastAsia="Palatino Linotype" w:hAnsi="Palatino Linotype" w:cs="Palatino Linotype"/>
          <w:i/>
          <w:color w:val="000000"/>
          <w:sz w:val="22"/>
          <w:szCs w:val="22"/>
        </w:rPr>
        <w:t>PbRM</w:t>
      </w:r>
      <w:proofErr w:type="spellEnd"/>
      <w:r>
        <w:rPr>
          <w:rFonts w:ascii="Palatino Linotype" w:eastAsia="Palatino Linotype" w:hAnsi="Palatino Linotype" w:cs="Palatino Linotype"/>
          <w:i/>
          <w:color w:val="000000"/>
          <w:sz w:val="22"/>
          <w:szCs w:val="22"/>
        </w:rPr>
        <w:t xml:space="preserve">- 04d). </w:t>
      </w:r>
    </w:p>
    <w:p w14:paraId="39E44407"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El Programa Anual de Adquisiciones (PbRM-06).</w:t>
      </w:r>
      <w:r>
        <w:rPr>
          <w:rFonts w:ascii="Palatino Linotype" w:eastAsia="Palatino Linotype" w:hAnsi="Palatino Linotype" w:cs="Palatino Linotype"/>
          <w:i/>
          <w:color w:val="000000"/>
          <w:sz w:val="22"/>
          <w:szCs w:val="22"/>
        </w:rPr>
        <w:t xml:space="preserve"> - Este formato considera las adquisiciones de bienes y servicios de los proyectos, reflejadas en los capítulos 2000, 3000 y 5000. </w:t>
      </w:r>
    </w:p>
    <w:p w14:paraId="05129E95" w14:textId="77777777" w:rsidR="006F16B0" w:rsidRDefault="006F16B0">
      <w:pPr>
        <w:spacing w:before="240" w:after="240" w:line="360" w:lineRule="auto"/>
        <w:ind w:right="51"/>
        <w:jc w:val="both"/>
        <w:rPr>
          <w:rFonts w:ascii="Palatino Linotype" w:eastAsia="Palatino Linotype" w:hAnsi="Palatino Linotype" w:cs="Palatino Linotype"/>
          <w:color w:val="000000"/>
        </w:rPr>
      </w:pPr>
    </w:p>
    <w:p w14:paraId="365A6C08" w14:textId="77777777" w:rsidR="006F16B0" w:rsidRDefault="006F16B0">
      <w:pPr>
        <w:spacing w:before="240" w:after="240" w:line="360" w:lineRule="auto"/>
        <w:ind w:right="51"/>
        <w:jc w:val="both"/>
        <w:rPr>
          <w:rFonts w:ascii="Palatino Linotype" w:eastAsia="Palatino Linotype" w:hAnsi="Palatino Linotype" w:cs="Palatino Linotype"/>
          <w:color w:val="000000"/>
        </w:rPr>
      </w:pPr>
    </w:p>
    <w:p w14:paraId="45EF47B2" w14:textId="77777777" w:rsidR="006F16B0" w:rsidRDefault="00AD0B82">
      <w:pP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drawing>
          <wp:inline distT="0" distB="0" distL="0" distR="0" wp14:anchorId="24AFF305" wp14:editId="0D0ABA98">
            <wp:extent cx="4838700" cy="3048000"/>
            <wp:effectExtent l="0" t="0" r="0" b="0"/>
            <wp:docPr id="4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4838700" cy="3048000"/>
                    </a:xfrm>
                    <a:prstGeom prst="rect">
                      <a:avLst/>
                    </a:prstGeom>
                    <a:ln/>
                  </pic:spPr>
                </pic:pic>
              </a:graphicData>
            </a:graphic>
          </wp:inline>
        </w:drawing>
      </w:r>
    </w:p>
    <w:p w14:paraId="079E5ADF" w14:textId="77777777" w:rsidR="006F16B0" w:rsidRDefault="006F16B0">
      <w:pPr>
        <w:spacing w:before="240" w:after="240" w:line="360" w:lineRule="auto"/>
        <w:ind w:right="51"/>
        <w:jc w:val="both"/>
        <w:rPr>
          <w:rFonts w:ascii="Palatino Linotype" w:eastAsia="Palatino Linotype" w:hAnsi="Palatino Linotype" w:cs="Palatino Linotype"/>
          <w:color w:val="000000"/>
        </w:rPr>
      </w:pPr>
    </w:p>
    <w:p w14:paraId="6110E35E" w14:textId="77777777" w:rsidR="006F16B0" w:rsidRDefault="00AD0B82">
      <w:pP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Finalmente, el Manual en referencia dispone </w:t>
      </w:r>
      <w:proofErr w:type="gramStart"/>
      <w:r>
        <w:rPr>
          <w:rFonts w:ascii="Palatino Linotype" w:eastAsia="Palatino Linotype" w:hAnsi="Palatino Linotype" w:cs="Palatino Linotype"/>
          <w:color w:val="000000"/>
        </w:rPr>
        <w:t>que</w:t>
      </w:r>
      <w:proofErr w:type="gramEnd"/>
      <w:r>
        <w:rPr>
          <w:rFonts w:ascii="Palatino Linotype" w:eastAsia="Palatino Linotype" w:hAnsi="Palatino Linotype" w:cs="Palatino Linotype"/>
          <w:color w:val="000000"/>
        </w:rPr>
        <w:t xml:space="preserve"> al hacer referencia a las dependencias generales obligadas a generar estos formatos, se vislumbra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por conducto de sus unidades administrativas: </w:t>
      </w:r>
    </w:p>
    <w:p w14:paraId="5FEF7C7E" w14:textId="77777777" w:rsidR="006F16B0" w:rsidRDefault="00AD0B82">
      <w:pP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lastRenderedPageBreak/>
        <w:drawing>
          <wp:inline distT="0" distB="0" distL="0" distR="0" wp14:anchorId="6FA52066" wp14:editId="2CD8D853">
            <wp:extent cx="5610225" cy="5514975"/>
            <wp:effectExtent l="0" t="0" r="0" b="0"/>
            <wp:docPr id="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610225" cy="5514975"/>
                    </a:xfrm>
                    <a:prstGeom prst="rect">
                      <a:avLst/>
                    </a:prstGeom>
                    <a:ln/>
                  </pic:spPr>
                </pic:pic>
              </a:graphicData>
            </a:graphic>
          </wp:inline>
        </w:drawing>
      </w:r>
      <w:r>
        <w:rPr>
          <w:noProof/>
          <w:lang w:val="es-MX"/>
        </w:rPr>
        <mc:AlternateContent>
          <mc:Choice Requires="wpg">
            <w:drawing>
              <wp:anchor distT="0" distB="0" distL="114300" distR="114300" simplePos="0" relativeHeight="251660288" behindDoc="0" locked="0" layoutInCell="1" hidden="0" allowOverlap="1" wp14:anchorId="15EFB7F4" wp14:editId="2870D047">
                <wp:simplePos x="0" y="0"/>
                <wp:positionH relativeFrom="column">
                  <wp:posOffset>3022600</wp:posOffset>
                </wp:positionH>
                <wp:positionV relativeFrom="paragraph">
                  <wp:posOffset>3517900</wp:posOffset>
                </wp:positionV>
                <wp:extent cx="2543175" cy="142875"/>
                <wp:effectExtent l="0" t="0" r="0" b="0"/>
                <wp:wrapNone/>
                <wp:docPr id="34" name="Rectángulo 34"/>
                <wp:cNvGraphicFramePr/>
                <a:graphic xmlns:a="http://schemas.openxmlformats.org/drawingml/2006/main">
                  <a:graphicData uri="http://schemas.microsoft.com/office/word/2010/wordprocessingShape">
                    <wps:wsp>
                      <wps:cNvSpPr/>
                      <wps:spPr>
                        <a:xfrm>
                          <a:off x="4088700" y="3722850"/>
                          <a:ext cx="2514600" cy="114300"/>
                        </a:xfrm>
                        <a:prstGeom prst="rect">
                          <a:avLst/>
                        </a:prstGeom>
                        <a:noFill/>
                        <a:ln w="28575" cap="flat" cmpd="sng">
                          <a:solidFill>
                            <a:srgbClr val="002060"/>
                          </a:solidFill>
                          <a:prstDash val="solid"/>
                          <a:round/>
                          <a:headEnd type="none" w="sm" len="sm"/>
                          <a:tailEnd type="none" w="sm" len="sm"/>
                        </a:ln>
                        <a:effectLst>
                          <a:outerShdw blurRad="40000" dist="23000" dir="5400000" rotWithShape="0">
                            <a:srgbClr val="000000">
                              <a:alpha val="34901"/>
                            </a:srgbClr>
                          </a:outerShdw>
                        </a:effectLst>
                      </wps:spPr>
                      <wps:txbx>
                        <w:txbxContent>
                          <w:p w14:paraId="15C4335A" w14:textId="77777777" w:rsidR="006F16B0" w:rsidRDefault="006F16B0">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3022600</wp:posOffset>
                </wp:positionH>
                <wp:positionV relativeFrom="paragraph">
                  <wp:posOffset>3517900</wp:posOffset>
                </wp:positionV>
                <wp:extent cx="2543175" cy="142875"/>
                <wp:effectExtent b="0" l="0" r="0" t="0"/>
                <wp:wrapNone/>
                <wp:docPr id="34" name="image14.png"/>
                <a:graphic>
                  <a:graphicData uri="http://schemas.openxmlformats.org/drawingml/2006/picture">
                    <pic:pic>
                      <pic:nvPicPr>
                        <pic:cNvPr id="0" name="image14.png"/>
                        <pic:cNvPicPr preferRelativeResize="0"/>
                      </pic:nvPicPr>
                      <pic:blipFill>
                        <a:blip r:embed="rId18"/>
                        <a:srcRect/>
                        <a:stretch>
                          <a:fillRect/>
                        </a:stretch>
                      </pic:blipFill>
                      <pic:spPr>
                        <a:xfrm>
                          <a:off x="0" y="0"/>
                          <a:ext cx="2543175" cy="142875"/>
                        </a:xfrm>
                        <a:prstGeom prst="rect"/>
                        <a:ln/>
                      </pic:spPr>
                    </pic:pic>
                  </a:graphicData>
                </a:graphic>
              </wp:anchor>
            </w:drawing>
          </mc:Fallback>
        </mc:AlternateContent>
      </w:r>
    </w:p>
    <w:p w14:paraId="0187C478" w14:textId="77777777" w:rsidR="006F16B0" w:rsidRDefault="00AD0B82">
      <w:pP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lastRenderedPageBreak/>
        <w:drawing>
          <wp:inline distT="0" distB="0" distL="0" distR="0" wp14:anchorId="0AF2F5F5" wp14:editId="25D27A64">
            <wp:extent cx="5610225" cy="6667500"/>
            <wp:effectExtent l="0" t="0" r="0" b="0"/>
            <wp:docPr id="4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5610225" cy="6667500"/>
                    </a:xfrm>
                    <a:prstGeom prst="rect">
                      <a:avLst/>
                    </a:prstGeom>
                    <a:ln/>
                  </pic:spPr>
                </pic:pic>
              </a:graphicData>
            </a:graphic>
          </wp:inline>
        </w:drawing>
      </w:r>
    </w:p>
    <w:p w14:paraId="5088E923" w14:textId="77777777" w:rsidR="006F16B0" w:rsidRDefault="00AD0B82">
      <w:pP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lastRenderedPageBreak/>
        <w:drawing>
          <wp:inline distT="0" distB="0" distL="0" distR="0" wp14:anchorId="16AE259F" wp14:editId="31E60FB1">
            <wp:extent cx="5610225" cy="4572000"/>
            <wp:effectExtent l="0" t="0" r="0" b="0"/>
            <wp:docPr id="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5610225" cy="4572000"/>
                    </a:xfrm>
                    <a:prstGeom prst="rect">
                      <a:avLst/>
                    </a:prstGeom>
                    <a:ln/>
                  </pic:spPr>
                </pic:pic>
              </a:graphicData>
            </a:graphic>
          </wp:inline>
        </w:drawing>
      </w:r>
    </w:p>
    <w:p w14:paraId="2F64D0BD" w14:textId="77777777" w:rsidR="006F16B0" w:rsidRDefault="00AD0B82">
      <w:pP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por todo lo anteriormente expuesto, que este Organismo Garante considera que el derecho de acceso a la información solamente puede tenerse por satisfecho en el momento en que el particular tenga en su poder los formatos </w:t>
      </w:r>
      <w:proofErr w:type="spellStart"/>
      <w:r>
        <w:rPr>
          <w:rFonts w:ascii="Palatino Linotype" w:eastAsia="Palatino Linotype" w:hAnsi="Palatino Linotype" w:cs="Palatino Linotype"/>
          <w:color w:val="000000"/>
        </w:rPr>
        <w:t>pbRM</w:t>
      </w:r>
      <w:proofErr w:type="spellEnd"/>
      <w:r>
        <w:rPr>
          <w:rFonts w:ascii="Palatino Linotype" w:eastAsia="Palatino Linotype" w:hAnsi="Palatino Linotype" w:cs="Palatino Linotype"/>
          <w:color w:val="000000"/>
        </w:rPr>
        <w:t xml:space="preserve"> faltantes del año 2021,</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color w:val="000000"/>
        </w:rPr>
        <w:t xml:space="preserve">por ello se determina ordenar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previa búsqueda exhaustiva y razonable, la entrega de la información a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w:t>
      </w:r>
    </w:p>
    <w:p w14:paraId="49A8AC9D" w14:textId="77777777" w:rsidR="006F16B0" w:rsidRDefault="00AD0B8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con todo lo anteriormente expuesto,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no garantizó el derecho de acceso a la información del particular, toda vez que, en términos del marco normativo planteado, el </w:t>
      </w:r>
      <w:r>
        <w:rPr>
          <w:rFonts w:ascii="Palatino Linotype" w:eastAsia="Palatino Linotype" w:hAnsi="Palatino Linotype" w:cs="Palatino Linotype"/>
          <w:b/>
        </w:rPr>
        <w:t>Ayuntamiento de Tenancingo</w:t>
      </w:r>
      <w:r>
        <w:rPr>
          <w:rFonts w:ascii="Palatino Linotype" w:eastAsia="Palatino Linotype" w:hAnsi="Palatino Linotype" w:cs="Palatino Linotype"/>
        </w:rPr>
        <w:t xml:space="preserve"> genera, posee y </w:t>
      </w:r>
      <w:r>
        <w:rPr>
          <w:rFonts w:ascii="Palatino Linotype" w:eastAsia="Palatino Linotype" w:hAnsi="Palatino Linotype" w:cs="Palatino Linotype"/>
        </w:rPr>
        <w:lastRenderedPageBreak/>
        <w:t xml:space="preserve">administra la información consistente en los formatos </w:t>
      </w:r>
      <w:proofErr w:type="spellStart"/>
      <w:r>
        <w:rPr>
          <w:rFonts w:ascii="Palatino Linotype" w:eastAsia="Palatino Linotype" w:hAnsi="Palatino Linotype" w:cs="Palatino Linotype"/>
        </w:rPr>
        <w:t>pbRM</w:t>
      </w:r>
      <w:proofErr w:type="spellEnd"/>
      <w:r>
        <w:rPr>
          <w:rFonts w:ascii="Palatino Linotype" w:eastAsia="Palatino Linotype" w:hAnsi="Palatino Linotype" w:cs="Palatino Linotype"/>
        </w:rPr>
        <w:t xml:space="preserve"> requeridos, por ello se determina ordenar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entrega de los documentos requeridos por la parte </w:t>
      </w:r>
      <w:r>
        <w:rPr>
          <w:rFonts w:ascii="Palatino Linotype" w:eastAsia="Palatino Linotype" w:hAnsi="Palatino Linotype" w:cs="Palatino Linotype"/>
          <w:b/>
        </w:rPr>
        <w:t>Recurrente</w:t>
      </w:r>
      <w:r>
        <w:rPr>
          <w:rFonts w:ascii="Palatino Linotype" w:eastAsia="Palatino Linotype" w:hAnsi="Palatino Linotype" w:cs="Palatino Linotype"/>
        </w:rPr>
        <w:t>.</w:t>
      </w:r>
    </w:p>
    <w:p w14:paraId="66F2E796" w14:textId="77777777" w:rsidR="006F16B0" w:rsidRDefault="00AD0B82">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tal suerte que si el Sujeto Obligado únicamente envió información de la Secretaría Particular, Sindicatura, Segunda Regiduría, Cuarta Regiduría, Quinta Regiduría, Sexta Regiduría, Séptima Regiduría, Novena Regiduría, Dirección de Desarrollo Económico, Consejería Jurídica, Contraloría Interna Municipal, Coordinación Municipal de Protección Civil, Seguridad Pública y Tránsito, Defensoría de Derechos Humanos y Dirección de Desarrollo Agropecuario, Dirección de Desarrollo Urbano, Dirección de Administración, Dirección de Bienestar, Dirección de Educación, Tesorería Municipal, Registro Civil, Presidencia, Secretaría del Ayuntamiento, Secretaría Técnica y Dirección de Ecología</w:t>
      </w:r>
      <w:r>
        <w:rPr>
          <w:rFonts w:ascii="Palatino Linotype" w:eastAsia="Palatino Linotype" w:hAnsi="Palatino Linotype" w:cs="Palatino Linotype"/>
          <w:b/>
          <w:color w:val="000000"/>
          <w:u w:val="single"/>
        </w:rPr>
        <w:t>,</w:t>
      </w:r>
      <w:r>
        <w:rPr>
          <w:rFonts w:ascii="Palatino Linotype" w:eastAsia="Palatino Linotype" w:hAnsi="Palatino Linotype" w:cs="Palatino Linotype"/>
          <w:color w:val="000000"/>
        </w:rPr>
        <w:t xml:space="preserve"> por lo que aún faltarían unidades sobre las cuales no entregó información, lo anterior encuentra sustento en el artículo 3.2 del Código Reglamentario para el Municipio de Tenancingo, Estado de México: </w:t>
      </w:r>
    </w:p>
    <w:p w14:paraId="0FAB5C8E"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3.2.- El </w:t>
      </w:r>
      <w:proofErr w:type="gramStart"/>
      <w:r>
        <w:rPr>
          <w:rFonts w:ascii="Palatino Linotype" w:eastAsia="Palatino Linotype" w:hAnsi="Palatino Linotype" w:cs="Palatino Linotype"/>
          <w:i/>
          <w:color w:val="000000"/>
          <w:sz w:val="22"/>
          <w:szCs w:val="22"/>
        </w:rPr>
        <w:t>Presidente</w:t>
      </w:r>
      <w:proofErr w:type="gramEnd"/>
      <w:r>
        <w:rPr>
          <w:rFonts w:ascii="Palatino Linotype" w:eastAsia="Palatino Linotype" w:hAnsi="Palatino Linotype" w:cs="Palatino Linotype"/>
          <w:i/>
          <w:color w:val="000000"/>
          <w:sz w:val="22"/>
          <w:szCs w:val="22"/>
        </w:rPr>
        <w:t xml:space="preserve"> Municipal para el despacho de los asuntos, se auxiliará en el desempeño de sus funciones, con las Dependencias, Entidades y áreas que considere necesarias, las cuales estarán subordinadas a aquel servidor público y serán las siguientes: </w:t>
      </w:r>
    </w:p>
    <w:p w14:paraId="3C0A7F1D"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 Presidencia municipal. </w:t>
      </w:r>
    </w:p>
    <w:p w14:paraId="79BB58F8" w14:textId="77777777" w:rsidR="006F16B0" w:rsidRDefault="00AD0B82">
      <w:pPr>
        <w:spacing w:before="240"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1.1. Secretaría Particular. </w:t>
      </w:r>
    </w:p>
    <w:p w14:paraId="23510F57"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1.1.1. Oficialía de partes. </w:t>
      </w:r>
    </w:p>
    <w:p w14:paraId="77C65026" w14:textId="77777777" w:rsidR="006F16B0" w:rsidRDefault="00AD0B82">
      <w:pPr>
        <w:spacing w:before="240"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1.2. Secretaría Técnica. </w:t>
      </w:r>
    </w:p>
    <w:p w14:paraId="0DFDAFF4"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1.2.1 Unidad de Información, Planeación, Programación y Evaluación (UIPPE). </w:t>
      </w:r>
    </w:p>
    <w:p w14:paraId="5853D7B7"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1.2.2 Unidad de Transparencia. </w:t>
      </w:r>
    </w:p>
    <w:p w14:paraId="23876A8A"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1.2.3 Unidad de Gobierno Digital. </w:t>
      </w:r>
    </w:p>
    <w:p w14:paraId="1D0EE88E"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1.2.4 Coordinación de Mejora Regulatoria </w:t>
      </w:r>
    </w:p>
    <w:p w14:paraId="5FFC60CE"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1.3 Coordinación Jurídica. </w:t>
      </w:r>
    </w:p>
    <w:p w14:paraId="701ABB24"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1.4 Coordinación de Comunicación Social. </w:t>
      </w:r>
    </w:p>
    <w:p w14:paraId="4C8A3B07"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1.5 Coordinación de Eventos Especiales. </w:t>
      </w:r>
    </w:p>
    <w:p w14:paraId="6E076B8F"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1.6 Coordinación de Enlace Institucional. </w:t>
      </w:r>
    </w:p>
    <w:p w14:paraId="2DB63BFF"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1.7 Coordinación de Giras. </w:t>
      </w:r>
    </w:p>
    <w:p w14:paraId="4328609B"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1.8. Oficialía Mediadora-Conciliadora. </w:t>
      </w:r>
    </w:p>
    <w:p w14:paraId="7F0EF245"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1.9. Oficialía Calificadora. </w:t>
      </w:r>
    </w:p>
    <w:p w14:paraId="7B714AB5"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1.1.0. Oficina de enlace con la Secretaría de Relaciones Exteriores. </w:t>
      </w:r>
    </w:p>
    <w:p w14:paraId="444BF585" w14:textId="77777777" w:rsidR="006F16B0" w:rsidRDefault="00AD0B82">
      <w:pPr>
        <w:spacing w:before="240"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2. Secretaría del Ayuntamiento. </w:t>
      </w:r>
    </w:p>
    <w:p w14:paraId="3116BB38"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2.1 Archivo Municipal. </w:t>
      </w:r>
    </w:p>
    <w:p w14:paraId="50192D42"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2.2 Oficina de la Junta Municipal de Reclutamiento. </w:t>
      </w:r>
    </w:p>
    <w:p w14:paraId="70EA159D"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2.3 Oficina del Cronista Municipal. </w:t>
      </w:r>
    </w:p>
    <w:p w14:paraId="5F4C23AA"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2.4 Departamento de Control Patrimonial. </w:t>
      </w:r>
    </w:p>
    <w:p w14:paraId="070125E0" w14:textId="77777777" w:rsidR="006F16B0" w:rsidRDefault="00AD0B82">
      <w:pPr>
        <w:spacing w:before="240"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3. Tesorería Municipal. </w:t>
      </w:r>
    </w:p>
    <w:p w14:paraId="5216B22E"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3.1 Subdirección de Catastro. </w:t>
      </w:r>
    </w:p>
    <w:p w14:paraId="4BBE6434"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3.2 Subdirección de Contabilidad y Presupuesto.</w:t>
      </w:r>
    </w:p>
    <w:p w14:paraId="62170265"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 3.3 Subdirección de Egresos. </w:t>
      </w:r>
    </w:p>
    <w:p w14:paraId="27C3BEED" w14:textId="77777777" w:rsidR="006F16B0" w:rsidRDefault="00AD0B82">
      <w:pPr>
        <w:spacing w:before="240"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3.4 Subdirección de Ingresos. </w:t>
      </w:r>
    </w:p>
    <w:p w14:paraId="1B804299" w14:textId="77777777" w:rsidR="006F16B0" w:rsidRDefault="00AD0B82">
      <w:pPr>
        <w:spacing w:before="240"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4. Contraloría Municipal. </w:t>
      </w:r>
    </w:p>
    <w:p w14:paraId="22879969" w14:textId="77777777" w:rsidR="006F16B0" w:rsidRDefault="00AD0B82">
      <w:pPr>
        <w:spacing w:before="240"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5. Dirección de Desarrollo Económico. </w:t>
      </w:r>
    </w:p>
    <w:p w14:paraId="471522F7"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5.1 Administración del Mercado Municipal “Riva Palacio”; </w:t>
      </w:r>
    </w:p>
    <w:p w14:paraId="10EB450F"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5.2 Administración del Mercado Municipal de Flores “</w:t>
      </w:r>
      <w:proofErr w:type="spellStart"/>
      <w:r>
        <w:rPr>
          <w:rFonts w:ascii="Palatino Linotype" w:eastAsia="Palatino Linotype" w:hAnsi="Palatino Linotype" w:cs="Palatino Linotype"/>
          <w:i/>
          <w:color w:val="000000"/>
          <w:sz w:val="22"/>
          <w:szCs w:val="22"/>
        </w:rPr>
        <w:t>Xochiquetzal</w:t>
      </w:r>
      <w:proofErr w:type="spellEnd"/>
      <w:r>
        <w:rPr>
          <w:rFonts w:ascii="Palatino Linotype" w:eastAsia="Palatino Linotype" w:hAnsi="Palatino Linotype" w:cs="Palatino Linotype"/>
          <w:i/>
          <w:color w:val="000000"/>
          <w:sz w:val="22"/>
          <w:szCs w:val="22"/>
        </w:rPr>
        <w:t xml:space="preserve">”; </w:t>
      </w:r>
    </w:p>
    <w:p w14:paraId="2CC5166F"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5.3 Administración del Mercado de Ganado. </w:t>
      </w:r>
    </w:p>
    <w:p w14:paraId="1FFA6CD4"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5.4 Administración del Rastro Municipal </w:t>
      </w:r>
    </w:p>
    <w:p w14:paraId="652DC5F3"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5.5 Coordinación de Empleo </w:t>
      </w:r>
    </w:p>
    <w:p w14:paraId="280FD950"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6. Dirección de Turismo. </w:t>
      </w:r>
    </w:p>
    <w:p w14:paraId="0310AA55"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6.1 Coordinación de Turismo </w:t>
      </w:r>
    </w:p>
    <w:p w14:paraId="3163314F" w14:textId="77777777" w:rsidR="006F16B0" w:rsidRDefault="00AD0B82">
      <w:pPr>
        <w:spacing w:before="240"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7. Dirección de Fomento Agropecuario. </w:t>
      </w:r>
    </w:p>
    <w:p w14:paraId="4567608B" w14:textId="77777777" w:rsidR="006F16B0" w:rsidRDefault="00AD0B82">
      <w:pPr>
        <w:spacing w:before="240"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7.1 Subdirección de Fomento Agropecuario </w:t>
      </w:r>
    </w:p>
    <w:p w14:paraId="29EF91DC" w14:textId="77777777" w:rsidR="006F16B0" w:rsidRDefault="00AD0B82">
      <w:pPr>
        <w:spacing w:before="240"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7.2 Departamento Agropecuario; </w:t>
      </w:r>
    </w:p>
    <w:p w14:paraId="66BB64D5"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7.3 Departamento Forestal; </w:t>
      </w:r>
    </w:p>
    <w:p w14:paraId="3E183D42"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8. Dirección de Obras Públicas. </w:t>
      </w:r>
    </w:p>
    <w:p w14:paraId="42F2ECCF"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8.1 Subdirección de Obras; </w:t>
      </w:r>
    </w:p>
    <w:p w14:paraId="7C73A740"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8.2 Coordinación de Supervisión y Control de Obras; </w:t>
      </w:r>
    </w:p>
    <w:p w14:paraId="7BE42B39"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8.3 Coordinación Administrativa </w:t>
      </w:r>
    </w:p>
    <w:p w14:paraId="7B5B15FA"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8.4 Unidad de Maquinaria y Equipo</w:t>
      </w:r>
    </w:p>
    <w:p w14:paraId="706703CA" w14:textId="77777777" w:rsidR="006F16B0" w:rsidRDefault="00AD0B82">
      <w:pPr>
        <w:spacing w:before="240"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lastRenderedPageBreak/>
        <w:t xml:space="preserve">9. Dirección de Ecología y Servicios Públicos. </w:t>
      </w:r>
    </w:p>
    <w:p w14:paraId="3B0952D8"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9.1 Coordinación de Ecología; </w:t>
      </w:r>
    </w:p>
    <w:p w14:paraId="6FBC090C"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9.2 Coordinación de Limpia; </w:t>
      </w:r>
    </w:p>
    <w:p w14:paraId="1BB416BC"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9.3 Coordinación de Parques y Jardines; </w:t>
      </w:r>
    </w:p>
    <w:p w14:paraId="66D8EA0F"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9.4 Coordinación de Panteones; y la </w:t>
      </w:r>
    </w:p>
    <w:p w14:paraId="2A983165"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9.5 Coordinación de Alumbrado Público. </w:t>
      </w:r>
    </w:p>
    <w:p w14:paraId="2BABB168"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10. Dirección de Desarrollo Urbano. </w:t>
      </w:r>
    </w:p>
    <w:p w14:paraId="74C1A1B8" w14:textId="77777777" w:rsidR="006F16B0" w:rsidRDefault="00AD0B82">
      <w:pPr>
        <w:spacing w:before="240" w:after="240" w:line="276" w:lineRule="auto"/>
        <w:ind w:left="567"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11. Dirección de Seguridad Pública, Protección Civil y Bomberos.</w:t>
      </w:r>
    </w:p>
    <w:p w14:paraId="4365FFDD"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11.1 Subdirección de Seguridad Pública, de quien dependerán los </w:t>
      </w:r>
      <w:proofErr w:type="gramStart"/>
      <w:r>
        <w:rPr>
          <w:rFonts w:ascii="Palatino Linotype" w:eastAsia="Palatino Linotype" w:hAnsi="Palatino Linotype" w:cs="Palatino Linotype"/>
          <w:i/>
          <w:color w:val="000000"/>
          <w:sz w:val="22"/>
          <w:szCs w:val="22"/>
        </w:rPr>
        <w:t>Jefes</w:t>
      </w:r>
      <w:proofErr w:type="gramEnd"/>
      <w:r>
        <w:rPr>
          <w:rFonts w:ascii="Palatino Linotype" w:eastAsia="Palatino Linotype" w:hAnsi="Palatino Linotype" w:cs="Palatino Linotype"/>
          <w:i/>
          <w:color w:val="000000"/>
          <w:sz w:val="22"/>
          <w:szCs w:val="22"/>
        </w:rPr>
        <w:t xml:space="preserve"> de Turno, los Jefes de Servicio </w:t>
      </w:r>
    </w:p>
    <w:p w14:paraId="3B158A0B"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11.2 Subdirección Administrativa, de quien dependerá la Unidad de Análisis de la Policía Municipal; </w:t>
      </w:r>
    </w:p>
    <w:p w14:paraId="445D89C8"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11.3 Subdirección de Protección Civil y Bomberos, de quien dependerán los </w:t>
      </w:r>
      <w:proofErr w:type="gramStart"/>
      <w:r>
        <w:rPr>
          <w:rFonts w:ascii="Palatino Linotype" w:eastAsia="Palatino Linotype" w:hAnsi="Palatino Linotype" w:cs="Palatino Linotype"/>
          <w:i/>
          <w:color w:val="000000"/>
          <w:sz w:val="22"/>
          <w:szCs w:val="22"/>
        </w:rPr>
        <w:t>Jefes</w:t>
      </w:r>
      <w:proofErr w:type="gramEnd"/>
      <w:r>
        <w:rPr>
          <w:rFonts w:ascii="Palatino Linotype" w:eastAsia="Palatino Linotype" w:hAnsi="Palatino Linotype" w:cs="Palatino Linotype"/>
          <w:i/>
          <w:color w:val="000000"/>
          <w:sz w:val="22"/>
          <w:szCs w:val="22"/>
        </w:rPr>
        <w:t xml:space="preserve"> de Turno, y los siguientes departamentos; </w:t>
      </w:r>
    </w:p>
    <w:p w14:paraId="537BA9ED"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11.3.1 Departamento de Capacitación y Difusión </w:t>
      </w:r>
    </w:p>
    <w:p w14:paraId="4A32D4FE"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11.3.2 Departamento de Verificación y; </w:t>
      </w:r>
    </w:p>
    <w:p w14:paraId="1B2203B2"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11.3.3 Departamento de Atlas de Riesgo; </w:t>
      </w:r>
    </w:p>
    <w:p w14:paraId="02F47AF7"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11.4 Coordinación Municipal de Prevención Social de la Violencia y el Delito, la cual estará integrada y tendrá bajo su responsabilidad los siguientes servicios: </w:t>
      </w:r>
    </w:p>
    <w:p w14:paraId="781E0B27"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 Área Jurídica </w:t>
      </w:r>
    </w:p>
    <w:p w14:paraId="339EC491"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b) Área de Trabajo Social. </w:t>
      </w:r>
    </w:p>
    <w:p w14:paraId="6CE7C0B8"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 Área Psicológica. </w:t>
      </w:r>
    </w:p>
    <w:p w14:paraId="11D94F14"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b) Área Crimino-Victimo lógica. </w:t>
      </w:r>
    </w:p>
    <w:p w14:paraId="58BB6C09"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12. Dirección de Administración. </w:t>
      </w:r>
    </w:p>
    <w:p w14:paraId="292C70D5"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12.1 Coordinación de Recursos Humanos, </w:t>
      </w:r>
    </w:p>
    <w:p w14:paraId="28F173DF"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12.2 Coordinación de Recursos Materiales </w:t>
      </w:r>
    </w:p>
    <w:p w14:paraId="51F6F958"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12.3 Departamento de Control y Mantenimiento Vehicular. </w:t>
      </w:r>
    </w:p>
    <w:p w14:paraId="0AC87BD0"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13. Dirección de Gobernación. </w:t>
      </w:r>
    </w:p>
    <w:p w14:paraId="4842A20B"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13.1 Subdirección Administrativa; </w:t>
      </w:r>
    </w:p>
    <w:p w14:paraId="3F4F64C6"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13.2 Subdirección Operativa. </w:t>
      </w:r>
    </w:p>
    <w:p w14:paraId="63D9E588"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14. Dirección de Educación y Cultura. </w:t>
      </w:r>
    </w:p>
    <w:p w14:paraId="394777EF"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14.1 Centro de Educación a Distancia de Tenancingo-Universidad Digital del Estado de México. </w:t>
      </w:r>
    </w:p>
    <w:p w14:paraId="05D0EA63"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14.2 Coordinación de Cultura. </w:t>
      </w:r>
    </w:p>
    <w:p w14:paraId="3ABC9448"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14.3 Coordinación de Bibliotecas. </w:t>
      </w:r>
    </w:p>
    <w:p w14:paraId="6F917076"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15. Dirección de Desarrollo Social y Salud. </w:t>
      </w:r>
    </w:p>
    <w:p w14:paraId="399444B2"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15.1 Coordinación de Salud; </w:t>
      </w:r>
    </w:p>
    <w:p w14:paraId="081C34D0"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15.2 Enlace del Programa de Inclusión Social PROSPERA; </w:t>
      </w:r>
    </w:p>
    <w:p w14:paraId="3D22C25D"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15.3 Coordinación de Población; </w:t>
      </w:r>
    </w:p>
    <w:p w14:paraId="79874977"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15.4 Coordinación de Vivienda; </w:t>
      </w:r>
    </w:p>
    <w:p w14:paraId="561A58B5"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15.5 Enlace de IMEVIS; </w:t>
      </w:r>
    </w:p>
    <w:p w14:paraId="4BCA08F8"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15.6 Coordinación del Programa Federal Pensión para Adultos Mayores +65; </w:t>
      </w:r>
    </w:p>
    <w:p w14:paraId="20C6FD8B"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16. Dirección del Instituto Municipal de Atención a la Juventud. </w:t>
      </w:r>
    </w:p>
    <w:p w14:paraId="0CF9831C" w14:textId="77777777" w:rsidR="006F16B0" w:rsidRDefault="00AD0B82">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17. Dirección del Instituto Municipal de la Mujer”</w:t>
      </w:r>
    </w:p>
    <w:p w14:paraId="5B2772D5" w14:textId="77777777" w:rsidR="006F16B0" w:rsidRDefault="00AD0B82">
      <w:pP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por todo lo anteriormente expuesto, que este Organismo Garante considera que el derecho de acceso a la información solamente puede tenerse por satisfecho en el momento en que el particular tenga en su poder los formatos </w:t>
      </w:r>
      <w:proofErr w:type="spellStart"/>
      <w:r>
        <w:rPr>
          <w:rFonts w:ascii="Palatino Linotype" w:eastAsia="Palatino Linotype" w:hAnsi="Palatino Linotype" w:cs="Palatino Linotype"/>
          <w:color w:val="000000"/>
        </w:rPr>
        <w:t>pbRM</w:t>
      </w:r>
      <w:proofErr w:type="spellEnd"/>
      <w:r>
        <w:rPr>
          <w:rFonts w:ascii="Palatino Linotype" w:eastAsia="Palatino Linotype" w:hAnsi="Palatino Linotype" w:cs="Palatino Linotype"/>
          <w:color w:val="000000"/>
        </w:rPr>
        <w:t xml:space="preserve"> faltantes del año 2021, </w:t>
      </w:r>
      <w:r w:rsidR="00C612CD" w:rsidRPr="005C1331">
        <w:rPr>
          <w:rFonts w:ascii="Palatino Linotype" w:eastAsia="Palatino Linotype" w:hAnsi="Palatino Linotype" w:cs="Palatino Linotype"/>
          <w:color w:val="000000"/>
        </w:rPr>
        <w:t>es decir, los formatos (Presupuesto de Ingresos Detallado) (PbRM-03a), Carátula de Presupuesto de Ingresos (PbRM-03b), los formatos del Programa Anual (PbRM-01 en todas sus series), así como del Presupuesto de Egresos Detallado (PbRM-04a), se integrará el Proyecto de Presupuesto de Egresos, PbRM-02a “Calendarización de Metas de actividad”, Presupuesto de Egresos Detallado (PbRM-04a), Presupuesto de Egresos por Objeto del Gasto y Dependencia General (PbRM-04b), Presupuesto de Egresos detallado (PbRM-04a) a nivel de Dependencia General, Egreso Global Calendarizado (PbRM-04c), Carátula de Presupuesto de Egresos (PbRM-04d), formato por Capítulo de Gasto (</w:t>
      </w:r>
      <w:proofErr w:type="spellStart"/>
      <w:r w:rsidR="00C612CD" w:rsidRPr="005C1331">
        <w:rPr>
          <w:rFonts w:ascii="Palatino Linotype" w:eastAsia="Palatino Linotype" w:hAnsi="Palatino Linotype" w:cs="Palatino Linotype"/>
          <w:color w:val="000000"/>
        </w:rPr>
        <w:t>PbRM</w:t>
      </w:r>
      <w:proofErr w:type="spellEnd"/>
      <w:r w:rsidR="00C612CD" w:rsidRPr="005C1331">
        <w:rPr>
          <w:rFonts w:ascii="Palatino Linotype" w:eastAsia="Palatino Linotype" w:hAnsi="Palatino Linotype" w:cs="Palatino Linotype"/>
          <w:color w:val="000000"/>
        </w:rPr>
        <w:t xml:space="preserve"> E-04c), Tabulador de Sueldos (PbRM-05), El Programa Anual de Obra (</w:t>
      </w:r>
      <w:proofErr w:type="spellStart"/>
      <w:r w:rsidR="00C612CD" w:rsidRPr="005C1331">
        <w:rPr>
          <w:rFonts w:ascii="Palatino Linotype" w:eastAsia="Palatino Linotype" w:hAnsi="Palatino Linotype" w:cs="Palatino Linotype"/>
          <w:color w:val="000000"/>
        </w:rPr>
        <w:t>PbRM</w:t>
      </w:r>
      <w:proofErr w:type="spellEnd"/>
      <w:r w:rsidR="00C612CD" w:rsidRPr="005C1331">
        <w:rPr>
          <w:rFonts w:ascii="Palatino Linotype" w:eastAsia="Palatino Linotype" w:hAnsi="Palatino Linotype" w:cs="Palatino Linotype"/>
          <w:color w:val="000000"/>
        </w:rPr>
        <w:t xml:space="preserve"> E-07a) y el Programa Anual de Reparaciones y Mantenimiento (</w:t>
      </w:r>
      <w:proofErr w:type="spellStart"/>
      <w:r w:rsidR="00C612CD" w:rsidRPr="005C1331">
        <w:rPr>
          <w:rFonts w:ascii="Palatino Linotype" w:eastAsia="Palatino Linotype" w:hAnsi="Palatino Linotype" w:cs="Palatino Linotype"/>
          <w:color w:val="000000"/>
        </w:rPr>
        <w:t>PbRM</w:t>
      </w:r>
      <w:proofErr w:type="spellEnd"/>
      <w:r w:rsidR="00C612CD" w:rsidRPr="005C1331">
        <w:rPr>
          <w:rFonts w:ascii="Palatino Linotype" w:eastAsia="Palatino Linotype" w:hAnsi="Palatino Linotype" w:cs="Palatino Linotype"/>
          <w:color w:val="000000"/>
        </w:rPr>
        <w:t xml:space="preserve"> E-07b), El Programa Anual de Adquisiciones (PbRM-06),</w:t>
      </w:r>
      <w:r w:rsidRPr="005C1331">
        <w:rPr>
          <w:rFonts w:ascii="Palatino Linotype" w:eastAsia="Palatino Linotype" w:hAnsi="Palatino Linotype" w:cs="Palatino Linotype"/>
          <w:color w:val="000000"/>
        </w:rPr>
        <w:t>por</w:t>
      </w:r>
      <w:r>
        <w:rPr>
          <w:rFonts w:ascii="Palatino Linotype" w:eastAsia="Palatino Linotype" w:hAnsi="Palatino Linotype" w:cs="Palatino Linotype"/>
          <w:color w:val="000000"/>
        </w:rPr>
        <w:t xml:space="preserve"> ello se determina ordenar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previa búsqueda exhaustiva y razonable, la entrega de la información faltante a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w:t>
      </w:r>
    </w:p>
    <w:p w14:paraId="136D2EEC" w14:textId="77777777" w:rsidR="006F16B0" w:rsidRDefault="00AD0B8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no escapa de la óptica de este Organismo Garante que en sus motivos de inconformidad el particular citó el artículo 222 de la Ley de Transparencia Local, el cual corresponde a las responsabilidades y sanciones, por lo que si el particular pretende que mediante la interposición de los Recursos de Revisión, se dé vista al </w:t>
      </w:r>
      <w:r>
        <w:rPr>
          <w:rFonts w:ascii="Palatino Linotype" w:eastAsia="Palatino Linotype" w:hAnsi="Palatino Linotype" w:cs="Palatino Linotype"/>
        </w:rPr>
        <w:lastRenderedPageBreak/>
        <w:t>Órgano Interno de Control, es necesario señalar que el Recurso de Revisión no es el medio para investigar y en su caso, sancionar a servidores públicos y de las constancias que obran en el expediente no se advierten  motivos suficientes para dar vista a la Contraloría Interna y Órgano de Control y Vigilancia; sin embargo, se dejan a salvo sus derechos para en caso de así considerarlo, acuda ante la instancia competente y realice las denuncias o quejas que considere pertinentes.</w:t>
      </w:r>
    </w:p>
    <w:p w14:paraId="5EADC988" w14:textId="77777777" w:rsidR="006F16B0" w:rsidRDefault="00AD0B8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4C195048" w14:textId="77777777" w:rsidR="006F16B0" w:rsidRDefault="00AD0B82">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0229A6E3" w14:textId="77777777" w:rsidR="006F16B0" w:rsidRDefault="00AD0B8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Para los efectos de la presente Ley se entenderá por:</w:t>
      </w:r>
    </w:p>
    <w:p w14:paraId="12F405F2" w14:textId="77777777" w:rsidR="006F16B0" w:rsidRDefault="00AD0B82">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694C03A" w14:textId="77777777" w:rsidR="006F16B0" w:rsidRDefault="00AD0B82">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039F3B1A" w14:textId="77777777" w:rsidR="006F16B0" w:rsidRDefault="00AD0B82">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XX. Información clasificada</w:t>
      </w:r>
      <w:r>
        <w:rPr>
          <w:rFonts w:ascii="Palatino Linotype" w:eastAsia="Palatino Linotype" w:hAnsi="Palatino Linotype" w:cs="Palatino Linotype"/>
          <w:i/>
          <w:sz w:val="22"/>
          <w:szCs w:val="22"/>
        </w:rPr>
        <w:t>: Aquella considerada por la presente Ley como reservada o confidencial;</w:t>
      </w:r>
    </w:p>
    <w:p w14:paraId="0EAB199C" w14:textId="77777777" w:rsidR="006F16B0" w:rsidRDefault="00AD0B82">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 Información confidencial:</w:t>
      </w:r>
      <w:r>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5021BE2" w14:textId="77777777" w:rsidR="006F16B0" w:rsidRDefault="00AD0B82">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4CF49F5E" w14:textId="77777777" w:rsidR="006F16B0" w:rsidRDefault="00AD0B82">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F92B310" w14:textId="77777777" w:rsidR="006F16B0" w:rsidRDefault="00AD0B8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91. </w:t>
      </w:r>
      <w:r>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19EC4575" w14:textId="77777777" w:rsidR="006F16B0" w:rsidRDefault="00AD0B8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132. </w:t>
      </w:r>
      <w:r>
        <w:rPr>
          <w:rFonts w:ascii="Palatino Linotype" w:eastAsia="Palatino Linotype" w:hAnsi="Palatino Linotype" w:cs="Palatino Linotype"/>
          <w:i/>
          <w:sz w:val="22"/>
          <w:szCs w:val="22"/>
        </w:rPr>
        <w:t>La clasificación de la información se llevará a cabo en el momento en que:</w:t>
      </w:r>
    </w:p>
    <w:p w14:paraId="18314869" w14:textId="77777777" w:rsidR="006F16B0" w:rsidRDefault="00AD0B82">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Se reciba una solicitud de acceso a la información;</w:t>
      </w:r>
    </w:p>
    <w:p w14:paraId="35B3B2BF" w14:textId="77777777" w:rsidR="006F16B0" w:rsidRDefault="00AD0B82">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Se determine mediante resolución de autoridad competente; o</w:t>
      </w:r>
    </w:p>
    <w:p w14:paraId="49DD119E" w14:textId="77777777" w:rsidR="006F16B0" w:rsidRDefault="00AD0B82">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Se generen versiones públicas para dar cumplimiento a las obligaciones de transparencia previstas en esta Ley.</w:t>
      </w:r>
    </w:p>
    <w:p w14:paraId="40F9B822" w14:textId="77777777" w:rsidR="006F16B0" w:rsidRDefault="00AD0B8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719D31B" w14:textId="77777777" w:rsidR="006F16B0" w:rsidRDefault="00AD0B8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4C49C15" w14:textId="77777777" w:rsidR="006F16B0" w:rsidRDefault="00AD0B82">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45A4B356" w14:textId="77777777" w:rsidR="006F16B0" w:rsidRDefault="00AD0B82">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5A80BEAF" w14:textId="77777777" w:rsidR="006F16B0" w:rsidRDefault="00AD0B82">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1820349D" w14:textId="77777777" w:rsidR="006F16B0" w:rsidRDefault="00AD0B8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268F3A3C" w14:textId="77777777" w:rsidR="006F16B0" w:rsidRDefault="00AD0B8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No se considerará confidencial la información que se encuentre en los registros públicos o en fuentes de acceso público, ni tampoco la que sea considerada por la presente ley como información pública.”</w:t>
      </w:r>
    </w:p>
    <w:p w14:paraId="5FB9E969" w14:textId="77777777" w:rsidR="006F16B0" w:rsidRDefault="00AD0B8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A3C4445" w14:textId="77777777" w:rsidR="006F16B0" w:rsidRDefault="00AD0B8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7514172E" w14:textId="77777777" w:rsidR="006F16B0" w:rsidRDefault="00AD0B8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Quincuagésimo sexto</w:t>
      </w:r>
      <w:r>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1ECA3354" w14:textId="77777777" w:rsidR="006F16B0" w:rsidRDefault="00AD0B8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séptimo</w:t>
      </w:r>
      <w:r>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4E1FDB7B" w14:textId="77777777" w:rsidR="006F16B0" w:rsidRDefault="00AD0B82">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3733DFD7" w14:textId="77777777" w:rsidR="006F16B0" w:rsidRDefault="00AD0B82">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5C1F12FF" w14:textId="77777777" w:rsidR="006F16B0" w:rsidRDefault="00AD0B82">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w:t>
      </w:r>
      <w:r>
        <w:rPr>
          <w:rFonts w:ascii="Palatino Linotype" w:eastAsia="Palatino Linotype" w:hAnsi="Palatino Linotype" w:cs="Palatino Linotype"/>
          <w:i/>
          <w:sz w:val="22"/>
          <w:szCs w:val="22"/>
        </w:rPr>
        <w:lastRenderedPageBreak/>
        <w:t>actividades de los servidores públicos, de manera que se pueda valorar el desempeño de los mismos.</w:t>
      </w:r>
    </w:p>
    <w:p w14:paraId="2F289CF3" w14:textId="77777777" w:rsidR="006F16B0" w:rsidRDefault="00AD0B8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 anterior, siempre y cuando no se acredite alguna causal de clasificación, prevista en las leyes o en los tratados </w:t>
      </w:r>
      <w:proofErr w:type="gramStart"/>
      <w:r>
        <w:rPr>
          <w:rFonts w:ascii="Palatino Linotype" w:eastAsia="Palatino Linotype" w:hAnsi="Palatino Linotype" w:cs="Palatino Linotype"/>
          <w:i/>
          <w:sz w:val="22"/>
          <w:szCs w:val="22"/>
        </w:rPr>
        <w:t>internaciones suscritos</w:t>
      </w:r>
      <w:proofErr w:type="gramEnd"/>
      <w:r>
        <w:rPr>
          <w:rFonts w:ascii="Palatino Linotype" w:eastAsia="Palatino Linotype" w:hAnsi="Palatino Linotype" w:cs="Palatino Linotype"/>
          <w:i/>
          <w:sz w:val="22"/>
          <w:szCs w:val="22"/>
        </w:rPr>
        <w:t xml:space="preserve"> por el Estado mexicano. </w:t>
      </w:r>
    </w:p>
    <w:p w14:paraId="4419E7B9" w14:textId="77777777" w:rsidR="006F16B0" w:rsidRDefault="00AD0B82">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octavo</w:t>
      </w:r>
      <w:r>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30DB8F0E" w14:textId="77777777" w:rsidR="006F16B0" w:rsidRDefault="00AD0B8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20BE6AC" w14:textId="77777777" w:rsidR="006F16B0" w:rsidRDefault="00AD0B8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fd"/>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6F16B0" w14:paraId="1B5C0342" w14:textId="77777777">
        <w:tc>
          <w:tcPr>
            <w:tcW w:w="4253" w:type="dxa"/>
            <w:gridSpan w:val="2"/>
            <w:tcBorders>
              <w:top w:val="nil"/>
              <w:left w:val="nil"/>
              <w:right w:val="nil"/>
            </w:tcBorders>
          </w:tcPr>
          <w:p w14:paraId="4D9D457A" w14:textId="77777777" w:rsidR="006F16B0" w:rsidRDefault="00AD0B82">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14:paraId="257F2FDD" w14:textId="77777777" w:rsidR="006F16B0" w:rsidRDefault="00AD0B82">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Total</w:t>
            </w:r>
          </w:p>
        </w:tc>
      </w:tr>
      <w:tr w:rsidR="006F16B0" w14:paraId="478F3053" w14:textId="77777777">
        <w:tc>
          <w:tcPr>
            <w:tcW w:w="1134" w:type="dxa"/>
          </w:tcPr>
          <w:p w14:paraId="33F5C9E1" w14:textId="77777777" w:rsidR="006F16B0" w:rsidRDefault="00AD0B82">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119" w:type="dxa"/>
          </w:tcPr>
          <w:p w14:paraId="774E7A7A" w14:textId="77777777" w:rsidR="006F16B0" w:rsidRDefault="00AD0B82">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1129" w:type="dxa"/>
          </w:tcPr>
          <w:p w14:paraId="18BD8DF0" w14:textId="77777777" w:rsidR="006F16B0" w:rsidRDefault="00AD0B82">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14:paraId="3AFAEE27" w14:textId="77777777" w:rsidR="006F16B0" w:rsidRDefault="00AD0B82">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6F16B0" w14:paraId="69CA5A4E" w14:textId="77777777">
        <w:tc>
          <w:tcPr>
            <w:tcW w:w="8828" w:type="dxa"/>
            <w:gridSpan w:val="4"/>
          </w:tcPr>
          <w:p w14:paraId="5B3DB80B" w14:textId="77777777" w:rsidR="006F16B0" w:rsidRDefault="00AD0B82">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Sello oficial o logotipo del sujeto obligado</w:t>
            </w:r>
          </w:p>
        </w:tc>
      </w:tr>
      <w:tr w:rsidR="006F16B0" w14:paraId="44D30E09" w14:textId="77777777">
        <w:tc>
          <w:tcPr>
            <w:tcW w:w="1134" w:type="dxa"/>
          </w:tcPr>
          <w:p w14:paraId="12F75A26" w14:textId="77777777" w:rsidR="006F16B0" w:rsidRDefault="00AD0B82">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119" w:type="dxa"/>
          </w:tcPr>
          <w:p w14:paraId="364A284A" w14:textId="77777777" w:rsidR="006F16B0" w:rsidRDefault="00AD0B8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55F87978" w14:textId="77777777" w:rsidR="006F16B0" w:rsidRDefault="00AD0B82">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14:paraId="3858E196" w14:textId="77777777" w:rsidR="006F16B0" w:rsidRDefault="00AD0B8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6F16B0" w14:paraId="6EF656B3" w14:textId="77777777">
        <w:tc>
          <w:tcPr>
            <w:tcW w:w="1134" w:type="dxa"/>
          </w:tcPr>
          <w:p w14:paraId="6FCE413D" w14:textId="77777777" w:rsidR="006F16B0" w:rsidRDefault="00AD0B82">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119" w:type="dxa"/>
          </w:tcPr>
          <w:p w14:paraId="56A9B66C" w14:textId="77777777" w:rsidR="006F16B0" w:rsidRDefault="00AD0B8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1129" w:type="dxa"/>
          </w:tcPr>
          <w:p w14:paraId="47C8316A" w14:textId="77777777" w:rsidR="006F16B0" w:rsidRDefault="00AD0B82">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14:paraId="661C83BA" w14:textId="77777777" w:rsidR="006F16B0" w:rsidRDefault="00AD0B8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6F16B0" w14:paraId="013C80A7" w14:textId="77777777">
        <w:tc>
          <w:tcPr>
            <w:tcW w:w="1134" w:type="dxa"/>
          </w:tcPr>
          <w:p w14:paraId="7B6912F3" w14:textId="77777777" w:rsidR="006F16B0" w:rsidRDefault="00AD0B82">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Información reservada</w:t>
            </w:r>
          </w:p>
        </w:tc>
        <w:tc>
          <w:tcPr>
            <w:tcW w:w="3119" w:type="dxa"/>
          </w:tcPr>
          <w:p w14:paraId="0908F349" w14:textId="77777777" w:rsidR="006F16B0" w:rsidRDefault="00AD0B8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14:paraId="3769E680" w14:textId="77777777" w:rsidR="006F16B0" w:rsidRDefault="00AD0B82">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3446" w:type="dxa"/>
          </w:tcPr>
          <w:p w14:paraId="74BC9211" w14:textId="77777777" w:rsidR="006F16B0" w:rsidRDefault="00AD0B8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6F16B0" w14:paraId="79D1F37C" w14:textId="77777777">
        <w:tc>
          <w:tcPr>
            <w:tcW w:w="1134" w:type="dxa"/>
          </w:tcPr>
          <w:p w14:paraId="09203E7E" w14:textId="77777777" w:rsidR="006F16B0" w:rsidRDefault="00AD0B82">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lastRenderedPageBreak/>
              <w:t>Fundamento legal</w:t>
            </w:r>
          </w:p>
        </w:tc>
        <w:tc>
          <w:tcPr>
            <w:tcW w:w="3119" w:type="dxa"/>
          </w:tcPr>
          <w:p w14:paraId="350A279D" w14:textId="77777777" w:rsidR="006F16B0" w:rsidRDefault="00AD0B8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619E8E15" w14:textId="77777777" w:rsidR="006F16B0" w:rsidRDefault="00AD0B82">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14:paraId="1ABDAE3C" w14:textId="77777777" w:rsidR="006F16B0" w:rsidRDefault="00AD0B8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6F16B0" w14:paraId="5E8362C3" w14:textId="77777777">
        <w:tc>
          <w:tcPr>
            <w:tcW w:w="1134" w:type="dxa"/>
          </w:tcPr>
          <w:p w14:paraId="0676C506" w14:textId="77777777" w:rsidR="006F16B0" w:rsidRDefault="00AD0B82">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119" w:type="dxa"/>
          </w:tcPr>
          <w:p w14:paraId="15713D17" w14:textId="77777777" w:rsidR="006F16B0" w:rsidRDefault="00AD0B8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344160E4" w14:textId="77777777" w:rsidR="006F16B0" w:rsidRDefault="00AD0B82">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4B2ED3E2" w14:textId="77777777" w:rsidR="006F16B0" w:rsidRDefault="00AD0B8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6F16B0" w14:paraId="7BE12A58" w14:textId="77777777">
        <w:tc>
          <w:tcPr>
            <w:tcW w:w="1134" w:type="dxa"/>
          </w:tcPr>
          <w:p w14:paraId="7170AEA0" w14:textId="77777777" w:rsidR="006F16B0" w:rsidRDefault="00AD0B82">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119" w:type="dxa"/>
          </w:tcPr>
          <w:p w14:paraId="0AE81D86" w14:textId="77777777" w:rsidR="006F16B0" w:rsidRDefault="00AD0B8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05C158A7" w14:textId="77777777" w:rsidR="006F16B0" w:rsidRDefault="00AD0B82">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14:paraId="6572B045" w14:textId="77777777" w:rsidR="006F16B0" w:rsidRDefault="00AD0B8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6F16B0" w14:paraId="48F6B9FF" w14:textId="77777777">
        <w:tc>
          <w:tcPr>
            <w:tcW w:w="1134" w:type="dxa"/>
          </w:tcPr>
          <w:p w14:paraId="082265A9" w14:textId="77777777" w:rsidR="006F16B0" w:rsidRDefault="00AD0B82">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119" w:type="dxa"/>
          </w:tcPr>
          <w:p w14:paraId="2AA2C941" w14:textId="77777777" w:rsidR="006F16B0" w:rsidRDefault="00AD0B8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420F99AE" w14:textId="77777777" w:rsidR="006F16B0" w:rsidRDefault="00AD0B82">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14:paraId="6B878498" w14:textId="77777777" w:rsidR="006F16B0" w:rsidRDefault="00AD0B8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6F16B0" w14:paraId="0B3BD0C5" w14:textId="77777777">
        <w:tc>
          <w:tcPr>
            <w:tcW w:w="1134" w:type="dxa"/>
          </w:tcPr>
          <w:p w14:paraId="3C4A525D" w14:textId="77777777" w:rsidR="006F16B0" w:rsidRDefault="00AD0B82">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119" w:type="dxa"/>
          </w:tcPr>
          <w:p w14:paraId="0A4694C0" w14:textId="77777777" w:rsidR="006F16B0" w:rsidRDefault="00AD0B8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1129" w:type="dxa"/>
          </w:tcPr>
          <w:p w14:paraId="50C550DB" w14:textId="77777777" w:rsidR="006F16B0" w:rsidRDefault="00AD0B82">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3CBBC9DC" w14:textId="77777777" w:rsidR="006F16B0" w:rsidRDefault="00AD0B8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6F16B0" w14:paraId="110E1318" w14:textId="77777777">
        <w:tc>
          <w:tcPr>
            <w:tcW w:w="1134" w:type="dxa"/>
          </w:tcPr>
          <w:p w14:paraId="10C4D2DC" w14:textId="77777777" w:rsidR="006F16B0" w:rsidRDefault="00AD0B82">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119" w:type="dxa"/>
          </w:tcPr>
          <w:p w14:paraId="69DA0BB9" w14:textId="77777777" w:rsidR="006F16B0" w:rsidRDefault="00AD0B8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1129" w:type="dxa"/>
          </w:tcPr>
          <w:p w14:paraId="6D00B52F" w14:textId="77777777" w:rsidR="006F16B0" w:rsidRDefault="00AD0B82">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14:paraId="4F33CB60" w14:textId="77777777" w:rsidR="006F16B0" w:rsidRDefault="00AD0B8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6F16B0" w14:paraId="362BEC3C" w14:textId="77777777">
        <w:tc>
          <w:tcPr>
            <w:tcW w:w="1134" w:type="dxa"/>
          </w:tcPr>
          <w:p w14:paraId="63FF44CD" w14:textId="77777777" w:rsidR="006F16B0" w:rsidRDefault="00AD0B82">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119" w:type="dxa"/>
          </w:tcPr>
          <w:p w14:paraId="52FF5872" w14:textId="77777777" w:rsidR="006F16B0" w:rsidRDefault="00AD0B8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1129" w:type="dxa"/>
          </w:tcPr>
          <w:p w14:paraId="28F0DD70" w14:textId="77777777" w:rsidR="006F16B0" w:rsidRDefault="00AD0B82">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14:paraId="3B6BEB3A" w14:textId="77777777" w:rsidR="006F16B0" w:rsidRDefault="00AD0B8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6F16B0" w14:paraId="2D8AB7D0" w14:textId="77777777">
        <w:tc>
          <w:tcPr>
            <w:tcW w:w="1134" w:type="dxa"/>
          </w:tcPr>
          <w:p w14:paraId="4E127D4F" w14:textId="77777777" w:rsidR="006F16B0" w:rsidRDefault="006F16B0">
            <w:pPr>
              <w:jc w:val="both"/>
              <w:rPr>
                <w:rFonts w:ascii="Palatino Linotype" w:eastAsia="Palatino Linotype" w:hAnsi="Palatino Linotype" w:cs="Palatino Linotype"/>
                <w:b/>
                <w:sz w:val="12"/>
                <w:szCs w:val="12"/>
              </w:rPr>
            </w:pPr>
          </w:p>
        </w:tc>
        <w:tc>
          <w:tcPr>
            <w:tcW w:w="3119" w:type="dxa"/>
          </w:tcPr>
          <w:p w14:paraId="365E0C6D" w14:textId="77777777" w:rsidR="006F16B0" w:rsidRDefault="006F16B0">
            <w:pPr>
              <w:jc w:val="both"/>
              <w:rPr>
                <w:rFonts w:ascii="Palatino Linotype" w:eastAsia="Palatino Linotype" w:hAnsi="Palatino Linotype" w:cs="Palatino Linotype"/>
                <w:sz w:val="12"/>
                <w:szCs w:val="12"/>
              </w:rPr>
            </w:pPr>
          </w:p>
        </w:tc>
        <w:tc>
          <w:tcPr>
            <w:tcW w:w="1129" w:type="dxa"/>
          </w:tcPr>
          <w:p w14:paraId="510F8B70" w14:textId="77777777" w:rsidR="006F16B0" w:rsidRDefault="00AD0B82">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14:paraId="5C65195C" w14:textId="77777777" w:rsidR="006F16B0" w:rsidRDefault="00AD0B8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 xml:space="preserve">En caso que una vez desclasificado el expediente, </w:t>
            </w:r>
            <w:proofErr w:type="spellStart"/>
            <w:r>
              <w:rPr>
                <w:rFonts w:ascii="Palatino Linotype" w:eastAsia="Palatino Linotype" w:hAnsi="Palatino Linotype" w:cs="Palatino Linotype"/>
                <w:sz w:val="12"/>
                <w:szCs w:val="12"/>
              </w:rPr>
              <w:t>subsistanpartes</w:t>
            </w:r>
            <w:proofErr w:type="spellEnd"/>
            <w:r>
              <w:rPr>
                <w:rFonts w:ascii="Palatino Linotype" w:eastAsia="Palatino Linotype" w:hAnsi="Palatino Linotype" w:cs="Palatino Linotype"/>
                <w:sz w:val="12"/>
                <w:szCs w:val="12"/>
              </w:rPr>
              <w:t xml:space="preserve"> o secciones del mismo reservadas o confidenciales, se señalará este hecho.</w:t>
            </w:r>
          </w:p>
        </w:tc>
      </w:tr>
      <w:tr w:rsidR="006F16B0" w14:paraId="743E2D97" w14:textId="77777777">
        <w:tc>
          <w:tcPr>
            <w:tcW w:w="1134" w:type="dxa"/>
          </w:tcPr>
          <w:p w14:paraId="3DBA74CA" w14:textId="77777777" w:rsidR="006F16B0" w:rsidRDefault="006F16B0">
            <w:pPr>
              <w:jc w:val="both"/>
              <w:rPr>
                <w:rFonts w:ascii="Palatino Linotype" w:eastAsia="Palatino Linotype" w:hAnsi="Palatino Linotype" w:cs="Palatino Linotype"/>
                <w:b/>
                <w:sz w:val="12"/>
                <w:szCs w:val="12"/>
              </w:rPr>
            </w:pPr>
          </w:p>
        </w:tc>
        <w:tc>
          <w:tcPr>
            <w:tcW w:w="3119" w:type="dxa"/>
          </w:tcPr>
          <w:p w14:paraId="351F3523" w14:textId="77777777" w:rsidR="006F16B0" w:rsidRDefault="006F16B0">
            <w:pPr>
              <w:jc w:val="both"/>
              <w:rPr>
                <w:rFonts w:ascii="Palatino Linotype" w:eastAsia="Palatino Linotype" w:hAnsi="Palatino Linotype" w:cs="Palatino Linotype"/>
                <w:sz w:val="12"/>
                <w:szCs w:val="12"/>
              </w:rPr>
            </w:pPr>
          </w:p>
        </w:tc>
        <w:tc>
          <w:tcPr>
            <w:tcW w:w="1129" w:type="dxa"/>
          </w:tcPr>
          <w:p w14:paraId="09464BB2" w14:textId="77777777" w:rsidR="006F16B0" w:rsidRDefault="00AD0B82">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14:paraId="68D2A62E" w14:textId="77777777" w:rsidR="006F16B0" w:rsidRDefault="00AD0B82">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14:paraId="1067F5DD" w14:textId="77777777" w:rsidR="006F16B0" w:rsidRDefault="00AD0B8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resulta procedente modificar la respuesta en términos de la fracción III del artículo 186 de la Ley de Transparencia y Acceso a la Información Pública del Estado de México y Municipios, a efectos de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entregue la información requerida.</w:t>
      </w:r>
    </w:p>
    <w:p w14:paraId="7F4FEA6F" w14:textId="77777777" w:rsidR="006F16B0" w:rsidRDefault="00AD0B82">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párrafos </w:t>
      </w:r>
      <w:r>
        <w:rPr>
          <w:rFonts w:ascii="Palatino Linotype" w:eastAsia="Palatino Linotype" w:hAnsi="Palatino Linotype" w:cs="Palatino Linotype"/>
          <w:highlight w:val="white"/>
        </w:rPr>
        <w:t>trigésimo, trigésimo primero y trigésimo segundo</w:t>
      </w:r>
      <w:r>
        <w:rPr>
          <w:rFonts w:ascii="Palatino Linotype" w:eastAsia="Palatino Linotype" w:hAnsi="Palatino Linotype" w:cs="Palatino Linotype"/>
        </w:rPr>
        <w:t xml:space="preserve"> de la Constitución Política del Estado Libre y Soberano de México; 2, fracción II; 29, 36 fracciones I y II; 176, 178, 181, 185 de la Ley de Transparencia y Acceso a la Información Pública del Estado de México y Municipios, este Pleno:</w:t>
      </w:r>
    </w:p>
    <w:p w14:paraId="37E1ABA5" w14:textId="77777777" w:rsidR="006F16B0" w:rsidRDefault="00AD0B82">
      <w:pPr>
        <w:numPr>
          <w:ilvl w:val="0"/>
          <w:numId w:val="1"/>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14:paraId="6782B494" w14:textId="77777777" w:rsidR="006F16B0" w:rsidRDefault="00AD0B82">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Primero. Resultan fundados </w:t>
      </w:r>
      <w:r>
        <w:rPr>
          <w:rFonts w:ascii="Palatino Linotype" w:eastAsia="Palatino Linotype" w:hAnsi="Palatino Linotype" w:cs="Palatino Linotype"/>
        </w:rPr>
        <w:t xml:space="preserve">los motivos de inconformidad hechos valer por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en el Recurso de Revisión</w:t>
      </w:r>
      <w:r>
        <w:rPr>
          <w:rFonts w:ascii="Palatino Linotype" w:eastAsia="Palatino Linotype" w:hAnsi="Palatino Linotype" w:cs="Palatino Linotype"/>
          <w:b/>
        </w:rPr>
        <w:t xml:space="preserve"> 05044/INFOEM/IP/RR/2022 </w:t>
      </w:r>
      <w:r>
        <w:rPr>
          <w:rFonts w:ascii="Palatino Linotype" w:eastAsia="Palatino Linotype" w:hAnsi="Palatino Linotype" w:cs="Palatino Linotype"/>
        </w:rPr>
        <w:t>por lo que</w:t>
      </w:r>
      <w:r>
        <w:rPr>
          <w:rFonts w:ascii="Palatino Linotype" w:eastAsia="Palatino Linotype" w:hAnsi="Palatino Linotype" w:cs="Palatino Linotype"/>
          <w:b/>
        </w:rPr>
        <w:t xml:space="preserve">, en términos del Considerando Cuarto </w:t>
      </w:r>
      <w:r>
        <w:rPr>
          <w:rFonts w:ascii="Palatino Linotype" w:eastAsia="Palatino Linotype" w:hAnsi="Palatino Linotype" w:cs="Palatino Linotype"/>
        </w:rPr>
        <w:t>de la presente resolución</w:t>
      </w:r>
      <w:r>
        <w:rPr>
          <w:rFonts w:ascii="Palatino Linotype" w:eastAsia="Palatino Linotype" w:hAnsi="Palatino Linotype" w:cs="Palatino Linotype"/>
          <w:b/>
        </w:rPr>
        <w:t xml:space="preserve">, se REVOCA </w:t>
      </w:r>
      <w:r>
        <w:rPr>
          <w:rFonts w:ascii="Palatino Linotype" w:eastAsia="Palatino Linotype" w:hAnsi="Palatino Linotype" w:cs="Palatino Linotype"/>
        </w:rPr>
        <w:t>la respuesta del</w:t>
      </w:r>
      <w:r>
        <w:rPr>
          <w:rFonts w:ascii="Palatino Linotype" w:eastAsia="Palatino Linotype" w:hAnsi="Palatino Linotype" w:cs="Palatino Linotype"/>
          <w:b/>
        </w:rPr>
        <w:t xml:space="preserve"> Sujeto Obligado.</w:t>
      </w:r>
    </w:p>
    <w:p w14:paraId="1C56713A" w14:textId="77777777" w:rsidR="006F16B0" w:rsidRDefault="00AD0B82">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Segundo. Resultan fundados </w:t>
      </w:r>
      <w:r>
        <w:rPr>
          <w:rFonts w:ascii="Palatino Linotype" w:eastAsia="Palatino Linotype" w:hAnsi="Palatino Linotype" w:cs="Palatino Linotype"/>
        </w:rPr>
        <w:t xml:space="preserve">los motivos de inconformidad hechos valer por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en el Recurso de Revisión</w:t>
      </w:r>
      <w:r>
        <w:rPr>
          <w:rFonts w:ascii="Palatino Linotype" w:eastAsia="Palatino Linotype" w:hAnsi="Palatino Linotype" w:cs="Palatino Linotype"/>
          <w:b/>
        </w:rPr>
        <w:t xml:space="preserve"> 05045/INFOEM/IP/RR/2022 </w:t>
      </w:r>
      <w:proofErr w:type="gramStart"/>
      <w:r>
        <w:rPr>
          <w:rFonts w:ascii="Palatino Linotype" w:eastAsia="Palatino Linotype" w:hAnsi="Palatino Linotype" w:cs="Palatino Linotype"/>
          <w:b/>
        </w:rPr>
        <w:t>y  05046</w:t>
      </w:r>
      <w:proofErr w:type="gramEnd"/>
      <w:r>
        <w:rPr>
          <w:rFonts w:ascii="Palatino Linotype" w:eastAsia="Palatino Linotype" w:hAnsi="Palatino Linotype" w:cs="Palatino Linotype"/>
          <w:b/>
        </w:rPr>
        <w:t xml:space="preserve">/INFOEM/IP/RR/2022 </w:t>
      </w:r>
      <w:r>
        <w:rPr>
          <w:rFonts w:ascii="Palatino Linotype" w:eastAsia="Palatino Linotype" w:hAnsi="Palatino Linotype" w:cs="Palatino Linotype"/>
        </w:rPr>
        <w:t>por lo que</w:t>
      </w:r>
      <w:r>
        <w:rPr>
          <w:rFonts w:ascii="Palatino Linotype" w:eastAsia="Palatino Linotype" w:hAnsi="Palatino Linotype" w:cs="Palatino Linotype"/>
          <w:b/>
        </w:rPr>
        <w:t xml:space="preserve">, en términos del Considerando Cuarto </w:t>
      </w:r>
      <w:r>
        <w:rPr>
          <w:rFonts w:ascii="Palatino Linotype" w:eastAsia="Palatino Linotype" w:hAnsi="Palatino Linotype" w:cs="Palatino Linotype"/>
        </w:rPr>
        <w:t>de la presente resolución</w:t>
      </w:r>
      <w:r>
        <w:rPr>
          <w:rFonts w:ascii="Palatino Linotype" w:eastAsia="Palatino Linotype" w:hAnsi="Palatino Linotype" w:cs="Palatino Linotype"/>
          <w:b/>
        </w:rPr>
        <w:t xml:space="preserve">, se MODIFICAN </w:t>
      </w:r>
      <w:r>
        <w:rPr>
          <w:rFonts w:ascii="Palatino Linotype" w:eastAsia="Palatino Linotype" w:hAnsi="Palatino Linotype" w:cs="Palatino Linotype"/>
        </w:rPr>
        <w:t>las respuestas del</w:t>
      </w:r>
      <w:r>
        <w:rPr>
          <w:rFonts w:ascii="Palatino Linotype" w:eastAsia="Palatino Linotype" w:hAnsi="Palatino Linotype" w:cs="Palatino Linotype"/>
          <w:b/>
        </w:rPr>
        <w:t xml:space="preserve"> Sujeto Obligado.</w:t>
      </w:r>
    </w:p>
    <w:p w14:paraId="3B428148" w14:textId="77777777" w:rsidR="006F16B0" w:rsidRDefault="00AD0B82">
      <w:pPr>
        <w:spacing w:before="240" w:after="240" w:line="360" w:lineRule="auto"/>
        <w:jc w:val="both"/>
        <w:rPr>
          <w:rFonts w:ascii="Palatino Linotype" w:eastAsia="Palatino Linotype" w:hAnsi="Palatino Linotype" w:cs="Palatino Linotype"/>
          <w:b/>
        </w:rPr>
      </w:pPr>
      <w:bookmarkStart w:id="2" w:name="_heading=h.3znysh7" w:colFirst="0" w:colLast="0"/>
      <w:bookmarkEnd w:id="2"/>
      <w:r>
        <w:rPr>
          <w:rFonts w:ascii="Palatino Linotype" w:eastAsia="Palatino Linotype" w:hAnsi="Palatino Linotype" w:cs="Palatino Linotype"/>
          <w:b/>
        </w:rPr>
        <w:t xml:space="preserve">Tercero. Se Ordena al Sujeto Obligado </w:t>
      </w:r>
      <w:r>
        <w:rPr>
          <w:rFonts w:ascii="Palatino Linotype" w:eastAsia="Palatino Linotype" w:hAnsi="Palatino Linotype" w:cs="Palatino Linotype"/>
        </w:rPr>
        <w:t>que en términos de los</w:t>
      </w:r>
      <w:r>
        <w:rPr>
          <w:rFonts w:ascii="Palatino Linotype" w:eastAsia="Palatino Linotype" w:hAnsi="Palatino Linotype" w:cs="Palatino Linotype"/>
          <w:b/>
        </w:rPr>
        <w:t xml:space="preserve"> Considerandos Cuarto y Quinto </w:t>
      </w:r>
      <w:r>
        <w:rPr>
          <w:rFonts w:ascii="Palatino Linotype" w:eastAsia="Palatino Linotype" w:hAnsi="Palatino Linotype" w:cs="Palatino Linotype"/>
        </w:rPr>
        <w:t>de esta resolución haga entrega en versión pública de ser procedente, previa búsqueda exhaustiva y razonable, a</w:t>
      </w:r>
      <w:r>
        <w:rPr>
          <w:rFonts w:ascii="Palatino Linotype" w:eastAsia="Palatino Linotype" w:hAnsi="Palatino Linotype" w:cs="Palatino Linotype"/>
          <w:b/>
        </w:rPr>
        <w:t xml:space="preserve">l Recurrente a través del SAIMEX, de lo siguiente: </w:t>
      </w:r>
    </w:p>
    <w:p w14:paraId="01667E60" w14:textId="77777777" w:rsidR="006F16B0" w:rsidRDefault="00AD0B82">
      <w:pPr>
        <w:numPr>
          <w:ilvl w:val="0"/>
          <w:numId w:val="4"/>
        </w:numPr>
        <w:pBdr>
          <w:top w:val="nil"/>
          <w:left w:val="nil"/>
          <w:bottom w:val="nil"/>
          <w:right w:val="nil"/>
          <w:between w:val="nil"/>
        </w:pBdr>
        <w:spacing w:before="240" w:after="240" w:line="276" w:lineRule="auto"/>
        <w:ind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Formatos </w:t>
      </w:r>
      <w:proofErr w:type="spellStart"/>
      <w:r>
        <w:rPr>
          <w:rFonts w:ascii="Palatino Linotype" w:eastAsia="Palatino Linotype" w:hAnsi="Palatino Linotype" w:cs="Palatino Linotype"/>
          <w:b/>
          <w:i/>
          <w:color w:val="000000"/>
          <w:sz w:val="22"/>
          <w:szCs w:val="22"/>
        </w:rPr>
        <w:t>pbRM</w:t>
      </w:r>
      <w:proofErr w:type="spellEnd"/>
      <w:r>
        <w:rPr>
          <w:rFonts w:ascii="Palatino Linotype" w:eastAsia="Palatino Linotype" w:hAnsi="Palatino Linotype" w:cs="Palatino Linotype"/>
          <w:b/>
          <w:i/>
          <w:color w:val="000000"/>
          <w:sz w:val="22"/>
          <w:szCs w:val="22"/>
        </w:rPr>
        <w:t xml:space="preserve"> correspondientes al ejercicio fiscal 2018, así como los faltantes de los ejercicios fiscales 2019 y 2021. </w:t>
      </w:r>
    </w:p>
    <w:p w14:paraId="540AECD6" w14:textId="77777777" w:rsidR="006F16B0" w:rsidRDefault="00AD0B82">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 ser el caso en el que la entrega de los documentos se dé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w:t>
      </w:r>
      <w:r>
        <w:rPr>
          <w:rFonts w:ascii="Palatino Linotype" w:eastAsia="Palatino Linotype" w:hAnsi="Palatino Linotype" w:cs="Palatino Linotype"/>
          <w:b/>
          <w:i/>
          <w:sz w:val="22"/>
          <w:szCs w:val="22"/>
        </w:rPr>
        <w:t>Recurrente</w:t>
      </w:r>
      <w:r>
        <w:rPr>
          <w:rFonts w:ascii="Palatino Linotype" w:eastAsia="Palatino Linotype" w:hAnsi="Palatino Linotype" w:cs="Palatino Linotype"/>
          <w:i/>
          <w:sz w:val="22"/>
          <w:szCs w:val="22"/>
        </w:rPr>
        <w:t>.</w:t>
      </w:r>
    </w:p>
    <w:p w14:paraId="422C9DEB" w14:textId="77777777" w:rsidR="006F16B0" w:rsidRDefault="00AD0B82">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el caso que derivado de la búsqueda exhaustiva y razonable, por alguna razón no se localice en los archivos del Sujeto Obligado, la información referente a los formatos </w:t>
      </w:r>
      <w:proofErr w:type="spellStart"/>
      <w:r>
        <w:rPr>
          <w:rFonts w:ascii="Palatino Linotype" w:eastAsia="Palatino Linotype" w:hAnsi="Palatino Linotype" w:cs="Palatino Linotype"/>
          <w:i/>
          <w:sz w:val="22"/>
          <w:szCs w:val="22"/>
        </w:rPr>
        <w:t>pbRM</w:t>
      </w:r>
      <w:proofErr w:type="spellEnd"/>
      <w:r>
        <w:rPr>
          <w:rFonts w:ascii="Palatino Linotype" w:eastAsia="Palatino Linotype" w:hAnsi="Palatino Linotype" w:cs="Palatino Linotype"/>
          <w:i/>
          <w:sz w:val="22"/>
          <w:szCs w:val="22"/>
        </w:rPr>
        <w:t xml:space="preserve">  del ejercicio fiscal 2018, el Sujeto Obligado deberá emitir el Acuerdo de Inexistencia en términos de los artículos 49, fracciones II y XIII, 169 y 170 de la Ley de Transparencia y Acceso a la Información Pública del Estado de México y </w:t>
      </w:r>
      <w:r>
        <w:rPr>
          <w:rFonts w:ascii="Palatino Linotype" w:eastAsia="Palatino Linotype" w:hAnsi="Palatino Linotype" w:cs="Palatino Linotype"/>
          <w:i/>
          <w:sz w:val="22"/>
          <w:szCs w:val="22"/>
        </w:rPr>
        <w:lastRenderedPageBreak/>
        <w:t>Municipios, debiendo notificarlo al Recurrente al momento de dar cumplimiento a la presente resolución.</w:t>
      </w:r>
    </w:p>
    <w:p w14:paraId="44B30CF3" w14:textId="77777777" w:rsidR="006F16B0" w:rsidRDefault="00AD0B8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Notifíquese vía Sistema de Acceso a la Información Mexiquense (SAIMEX),</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404922F" w14:textId="77777777" w:rsidR="006F16B0" w:rsidRDefault="00AD0B8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E68C8A0" w14:textId="77777777" w:rsidR="006F16B0" w:rsidRDefault="00AD0B82">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Sexto. Notifíquese, al recurrente vía Sistema de Acceso a la Información Mexiquense (SAIMEX), </w:t>
      </w:r>
      <w:r>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r>
        <w:rPr>
          <w:rFonts w:ascii="Palatino Linotype" w:eastAsia="Palatino Linotype" w:hAnsi="Palatino Linotype" w:cs="Palatino Linotype"/>
          <w:b/>
        </w:rPr>
        <w:t>.</w:t>
      </w:r>
    </w:p>
    <w:p w14:paraId="74E57AC3" w14:textId="77777777" w:rsidR="006F16B0" w:rsidRDefault="00AD0B82">
      <w:pPr>
        <w:spacing w:before="240" w:after="240" w:line="360" w:lineRule="auto"/>
        <w:jc w:val="both"/>
        <w:rPr>
          <w:rFonts w:ascii="Palatino Linotype" w:eastAsia="Palatino Linotype" w:hAnsi="Palatino Linotype" w:cs="Palatino Linotype"/>
          <w:sz w:val="20"/>
          <w:szCs w:val="20"/>
        </w:rPr>
        <w:sectPr w:rsidR="006F16B0">
          <w:headerReference w:type="default" r:id="rId21"/>
          <w:footerReference w:type="default" r:id="rId22"/>
          <w:headerReference w:type="first" r:id="rId23"/>
          <w:footerReference w:type="first" r:id="rId24"/>
          <w:pgSz w:w="12240" w:h="15840"/>
          <w:pgMar w:top="1985" w:right="1701" w:bottom="1701" w:left="1701" w:header="709" w:footer="709" w:gutter="0"/>
          <w:pgNumType w:start="1"/>
          <w:cols w:space="720"/>
          <w:titlePg/>
        </w:sectPr>
      </w:pPr>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w:t>
      </w:r>
      <w:r>
        <w:rPr>
          <w:rFonts w:ascii="Palatino Linotype" w:eastAsia="Palatino Linotype" w:hAnsi="Palatino Linotype" w:cs="Palatino Linotype"/>
        </w:rPr>
        <w:lastRenderedPageBreak/>
        <w:t xml:space="preserve">MUNICIPIOS, CONFORMADO POR LOS COMISIONADOS JOSÉ MARTÍNEZ VILCHIS; MARÍA DEL ROSARIO MEJÍA AYALA, SHARON CRISTINA MORALES MARTÍNEZ; LUIS GUSTAVO PARRA NORIEGA Y GUADALUPE RAMÍREZ PEÑA; EN LA VIGÉSIMA OCTAVA SESIÓN ORDINARIA CELEBRADA EL DIEZ DE AGOSTO DE DOS MIL VEINTIDÓS, ANTE EL </w:t>
      </w:r>
      <w:r w:rsidR="005C1331">
        <w:rPr>
          <w:rFonts w:ascii="Palatino Linotype" w:eastAsia="Palatino Linotype" w:hAnsi="Palatino Linotype" w:cs="Palatino Linotype"/>
          <w:noProof/>
          <w:lang w:val="es-MX"/>
        </w:rPr>
        <mc:AlternateContent>
          <mc:Choice Requires="wps">
            <w:drawing>
              <wp:anchor distT="0" distB="0" distL="114300" distR="114300" simplePos="0" relativeHeight="251661312" behindDoc="0" locked="0" layoutInCell="1" allowOverlap="1" wp14:anchorId="61F4C55A" wp14:editId="0643F58D">
                <wp:simplePos x="0" y="0"/>
                <wp:positionH relativeFrom="column">
                  <wp:posOffset>43814</wp:posOffset>
                </wp:positionH>
                <wp:positionV relativeFrom="paragraph">
                  <wp:posOffset>1762759</wp:posOffset>
                </wp:positionV>
                <wp:extent cx="5381625" cy="5934075"/>
                <wp:effectExtent l="0" t="0" r="28575" b="28575"/>
                <wp:wrapNone/>
                <wp:docPr id="1" name="Conector recto 1"/>
                <wp:cNvGraphicFramePr/>
                <a:graphic xmlns:a="http://schemas.openxmlformats.org/drawingml/2006/main">
                  <a:graphicData uri="http://schemas.microsoft.com/office/word/2010/wordprocessingShape">
                    <wps:wsp>
                      <wps:cNvCnPr/>
                      <wps:spPr>
                        <a:xfrm>
                          <a:off x="0" y="0"/>
                          <a:ext cx="5381625" cy="5934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6212E" id="Conector recto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45pt,138.8pt" to="427.2pt,6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" strokecolor="black [3040]"/>
            </w:pict>
          </mc:Fallback>
        </mc:AlternateContent>
      </w:r>
      <w:r>
        <w:rPr>
          <w:rFonts w:ascii="Palatino Linotype" w:eastAsia="Palatino Linotype" w:hAnsi="Palatino Linotype" w:cs="Palatino Linotype"/>
        </w:rPr>
        <w:t>SECRETARIO TÉCNICO DEL PLENO, ALEXIS TAPIA RAMÍREZ.</w:t>
      </w:r>
    </w:p>
    <w:p w14:paraId="22A38679" w14:textId="77777777" w:rsidR="006F16B0" w:rsidRDefault="006F16B0">
      <w:pPr>
        <w:spacing w:before="240" w:after="240"/>
        <w:jc w:val="both"/>
        <w:rPr>
          <w:rFonts w:ascii="Palatino Linotype" w:eastAsia="Palatino Linotype" w:hAnsi="Palatino Linotype" w:cs="Palatino Linotype"/>
          <w:sz w:val="20"/>
          <w:szCs w:val="20"/>
        </w:rPr>
      </w:pPr>
    </w:p>
    <w:p w14:paraId="766A9EB4" w14:textId="77777777" w:rsidR="006F16B0" w:rsidRDefault="006F16B0">
      <w:pPr>
        <w:spacing w:before="240" w:after="240"/>
        <w:jc w:val="both"/>
        <w:rPr>
          <w:rFonts w:ascii="Palatino Linotype" w:eastAsia="Palatino Linotype" w:hAnsi="Palatino Linotype" w:cs="Palatino Linotype"/>
          <w:sz w:val="20"/>
          <w:szCs w:val="20"/>
        </w:rPr>
      </w:pPr>
    </w:p>
    <w:sectPr w:rsidR="006F16B0">
      <w:headerReference w:type="first" r:id="rId25"/>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34006" w14:textId="77777777" w:rsidR="00C33E9F" w:rsidRDefault="00C33E9F">
      <w:r>
        <w:separator/>
      </w:r>
    </w:p>
  </w:endnote>
  <w:endnote w:type="continuationSeparator" w:id="0">
    <w:p w14:paraId="7A82B7E1" w14:textId="77777777" w:rsidR="00C33E9F" w:rsidRDefault="00C33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CE684" w14:textId="77777777" w:rsidR="006F16B0" w:rsidRDefault="00AD0B8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C1331">
      <w:rPr>
        <w:rFonts w:ascii="Palatino Linotype" w:eastAsia="Palatino Linotype" w:hAnsi="Palatino Linotype" w:cs="Palatino Linotype"/>
        <w:b/>
        <w:noProof/>
        <w:color w:val="000000"/>
        <w:sz w:val="20"/>
        <w:szCs w:val="20"/>
      </w:rPr>
      <w:t>76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C1331">
      <w:rPr>
        <w:rFonts w:ascii="Palatino Linotype" w:eastAsia="Palatino Linotype" w:hAnsi="Palatino Linotype" w:cs="Palatino Linotype"/>
        <w:b/>
        <w:noProof/>
        <w:color w:val="000000"/>
        <w:sz w:val="20"/>
        <w:szCs w:val="20"/>
      </w:rPr>
      <w:t>77</w:t>
    </w:r>
    <w:r>
      <w:rPr>
        <w:rFonts w:ascii="Palatino Linotype" w:eastAsia="Palatino Linotype" w:hAnsi="Palatino Linotype" w:cs="Palatino Linotype"/>
        <w:b/>
        <w:color w:val="000000"/>
        <w:sz w:val="20"/>
        <w:szCs w:val="20"/>
      </w:rPr>
      <w:fldChar w:fldCharType="end"/>
    </w:r>
  </w:p>
  <w:p w14:paraId="4CF41604" w14:textId="77777777" w:rsidR="006F16B0" w:rsidRDefault="006F16B0">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14500" w14:textId="77777777" w:rsidR="006F16B0" w:rsidRDefault="00AD0B8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C1331">
      <w:rPr>
        <w:rFonts w:ascii="Palatino Linotype" w:eastAsia="Palatino Linotype" w:hAnsi="Palatino Linotype" w:cs="Palatino Linotype"/>
        <w:b/>
        <w:noProof/>
        <w:color w:val="000000"/>
        <w:sz w:val="20"/>
        <w:szCs w:val="20"/>
      </w:rPr>
      <w:t>77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C1331">
      <w:rPr>
        <w:rFonts w:ascii="Palatino Linotype" w:eastAsia="Palatino Linotype" w:hAnsi="Palatino Linotype" w:cs="Palatino Linotype"/>
        <w:b/>
        <w:noProof/>
        <w:color w:val="000000"/>
        <w:sz w:val="20"/>
        <w:szCs w:val="20"/>
      </w:rPr>
      <w:t>77</w:t>
    </w:r>
    <w:r>
      <w:rPr>
        <w:rFonts w:ascii="Palatino Linotype" w:eastAsia="Palatino Linotype" w:hAnsi="Palatino Linotype" w:cs="Palatino Linotype"/>
        <w:b/>
        <w:color w:val="000000"/>
        <w:sz w:val="20"/>
        <w:szCs w:val="20"/>
      </w:rPr>
      <w:fldChar w:fldCharType="end"/>
    </w:r>
  </w:p>
  <w:p w14:paraId="3C6103F1" w14:textId="77777777" w:rsidR="006F16B0" w:rsidRDefault="006F16B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26F1F" w14:textId="77777777" w:rsidR="00C33E9F" w:rsidRDefault="00C33E9F">
      <w:r>
        <w:separator/>
      </w:r>
    </w:p>
  </w:footnote>
  <w:footnote w:type="continuationSeparator" w:id="0">
    <w:p w14:paraId="3D4BC4FF" w14:textId="77777777" w:rsidR="00C33E9F" w:rsidRDefault="00C33E9F">
      <w:r>
        <w:continuationSeparator/>
      </w:r>
    </w:p>
  </w:footnote>
  <w:footnote w:id="1">
    <w:p w14:paraId="2BE08134" w14:textId="77777777" w:rsidR="006F16B0" w:rsidRDefault="00AD0B82">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5EC9675A" w14:textId="77777777" w:rsidR="006F16B0" w:rsidRDefault="00AD0B8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D67AC" w14:textId="77777777" w:rsidR="006F16B0" w:rsidRDefault="00AD0B8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627EE6B5" wp14:editId="39659348">
          <wp:simplePos x="0" y="0"/>
          <wp:positionH relativeFrom="column">
            <wp:posOffset>-1080130</wp:posOffset>
          </wp:positionH>
          <wp:positionV relativeFrom="paragraph">
            <wp:posOffset>-396397</wp:posOffset>
          </wp:positionV>
          <wp:extent cx="7809865" cy="10165715"/>
          <wp:effectExtent l="0" t="0" r="0" b="0"/>
          <wp:wrapNone/>
          <wp:docPr id="3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
      <w:tblW w:w="5873" w:type="dxa"/>
      <w:tblInd w:w="3261" w:type="dxa"/>
      <w:tblLayout w:type="fixed"/>
      <w:tblLook w:val="0400" w:firstRow="0" w:lastRow="0" w:firstColumn="0" w:lastColumn="0" w:noHBand="0" w:noVBand="1"/>
    </w:tblPr>
    <w:tblGrid>
      <w:gridCol w:w="2409"/>
      <w:gridCol w:w="3464"/>
    </w:tblGrid>
    <w:tr w:rsidR="006F16B0" w14:paraId="78EFDD54" w14:textId="77777777">
      <w:tc>
        <w:tcPr>
          <w:tcW w:w="2409" w:type="dxa"/>
          <w:shd w:val="clear" w:color="auto" w:fill="auto"/>
        </w:tcPr>
        <w:p w14:paraId="74BF28B1" w14:textId="77777777" w:rsidR="006F16B0" w:rsidRDefault="00AD0B82">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64890E20" w14:textId="77777777" w:rsidR="006F16B0" w:rsidRDefault="00AD0B82">
          <w:pPr>
            <w:ind w:right="175"/>
            <w:jc w:val="both"/>
            <w:rPr>
              <w:rFonts w:ascii="Palatino Linotype" w:eastAsia="Palatino Linotype" w:hAnsi="Palatino Linotype" w:cs="Palatino Linotype"/>
              <w:b/>
            </w:rPr>
          </w:pPr>
          <w:r>
            <w:rPr>
              <w:rFonts w:ascii="Palatino Linotype" w:eastAsia="Palatino Linotype" w:hAnsi="Palatino Linotype" w:cs="Palatino Linotype"/>
              <w:b/>
            </w:rPr>
            <w:t>05044/INFOEM/IP/RR/2022 y acumulados</w:t>
          </w:r>
        </w:p>
      </w:tc>
    </w:tr>
    <w:tr w:rsidR="006F16B0" w14:paraId="67293850" w14:textId="77777777">
      <w:trPr>
        <w:trHeight w:val="228"/>
      </w:trPr>
      <w:tc>
        <w:tcPr>
          <w:tcW w:w="2409" w:type="dxa"/>
          <w:shd w:val="clear" w:color="auto" w:fill="auto"/>
          <w:vAlign w:val="center"/>
        </w:tcPr>
        <w:p w14:paraId="250ADB73" w14:textId="77777777" w:rsidR="006F16B0" w:rsidRDefault="00AD0B82">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2C918F0A" w14:textId="77777777" w:rsidR="006F16B0" w:rsidRDefault="00AD0B82">
          <w:pPr>
            <w:ind w:left="-45" w:right="-53"/>
            <w:jc w:val="both"/>
            <w:rPr>
              <w:rFonts w:ascii="Palatino Linotype" w:eastAsia="Palatino Linotype" w:hAnsi="Palatino Linotype" w:cs="Palatino Linotype"/>
              <w:b/>
            </w:rPr>
          </w:pPr>
          <w:r>
            <w:rPr>
              <w:rFonts w:ascii="Palatino Linotype" w:eastAsia="Palatino Linotype" w:hAnsi="Palatino Linotype" w:cs="Palatino Linotype"/>
              <w:b/>
            </w:rPr>
            <w:t>Ayuntamiento de Tenancingo</w:t>
          </w:r>
        </w:p>
      </w:tc>
    </w:tr>
    <w:tr w:rsidR="006F16B0" w14:paraId="5A44FB6B" w14:textId="77777777">
      <w:tc>
        <w:tcPr>
          <w:tcW w:w="2409" w:type="dxa"/>
          <w:shd w:val="clear" w:color="auto" w:fill="auto"/>
          <w:vAlign w:val="center"/>
        </w:tcPr>
        <w:p w14:paraId="3362526B" w14:textId="77777777" w:rsidR="006F16B0" w:rsidRDefault="00AD0B82">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5E00A84A" w14:textId="77777777" w:rsidR="006F16B0" w:rsidRDefault="00AD0B82">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236E1E3A" w14:textId="77777777" w:rsidR="006F16B0" w:rsidRDefault="00AD0B8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DA7DF" w14:textId="77777777" w:rsidR="006F16B0" w:rsidRDefault="006F16B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fe"/>
      <w:tblW w:w="5953" w:type="dxa"/>
      <w:tblInd w:w="3261" w:type="dxa"/>
      <w:tblLayout w:type="fixed"/>
      <w:tblLook w:val="0400" w:firstRow="0" w:lastRow="0" w:firstColumn="0" w:lastColumn="0" w:noHBand="0" w:noVBand="1"/>
    </w:tblPr>
    <w:tblGrid>
      <w:gridCol w:w="2551"/>
      <w:gridCol w:w="3402"/>
    </w:tblGrid>
    <w:tr w:rsidR="006F16B0" w14:paraId="2C156020" w14:textId="77777777">
      <w:tc>
        <w:tcPr>
          <w:tcW w:w="2551" w:type="dxa"/>
          <w:shd w:val="clear" w:color="auto" w:fill="auto"/>
          <w:vAlign w:val="center"/>
        </w:tcPr>
        <w:p w14:paraId="160DFCD1" w14:textId="77777777" w:rsidR="006F16B0" w:rsidRDefault="00AD0B82">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shd w:val="clear" w:color="auto" w:fill="auto"/>
          <w:vAlign w:val="center"/>
        </w:tcPr>
        <w:p w14:paraId="31A8997F" w14:textId="77777777" w:rsidR="006F16B0" w:rsidRDefault="00AD0B82">
          <w:pPr>
            <w:tabs>
              <w:tab w:val="left" w:pos="2727"/>
            </w:tabs>
            <w:ind w:left="-45" w:right="317"/>
            <w:jc w:val="both"/>
            <w:rPr>
              <w:rFonts w:ascii="Palatino Linotype" w:eastAsia="Palatino Linotype" w:hAnsi="Palatino Linotype" w:cs="Palatino Linotype"/>
              <w:b/>
            </w:rPr>
          </w:pPr>
          <w:r>
            <w:rPr>
              <w:rFonts w:ascii="Palatino Linotype" w:eastAsia="Palatino Linotype" w:hAnsi="Palatino Linotype" w:cs="Palatino Linotype"/>
              <w:b/>
            </w:rPr>
            <w:t>05044/INFOEM/IP/RR/2022 y acumulados</w:t>
          </w:r>
        </w:p>
      </w:tc>
    </w:tr>
    <w:tr w:rsidR="006F16B0" w14:paraId="51AE50A3" w14:textId="77777777">
      <w:trPr>
        <w:trHeight w:val="130"/>
      </w:trPr>
      <w:tc>
        <w:tcPr>
          <w:tcW w:w="2551" w:type="dxa"/>
          <w:shd w:val="clear" w:color="auto" w:fill="auto"/>
          <w:vAlign w:val="center"/>
        </w:tcPr>
        <w:p w14:paraId="4B156DF0" w14:textId="77777777" w:rsidR="006F16B0" w:rsidRDefault="00AD0B82">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402" w:type="dxa"/>
          <w:shd w:val="clear" w:color="auto" w:fill="auto"/>
          <w:vAlign w:val="center"/>
        </w:tcPr>
        <w:p w14:paraId="10276084" w14:textId="77777777" w:rsidR="006F16B0" w:rsidRDefault="006F16B0">
          <w:pPr>
            <w:ind w:left="-45"/>
            <w:jc w:val="both"/>
            <w:rPr>
              <w:rFonts w:ascii="Palatino Linotype" w:eastAsia="Palatino Linotype" w:hAnsi="Palatino Linotype" w:cs="Palatino Linotype"/>
              <w:b/>
            </w:rPr>
          </w:pPr>
        </w:p>
      </w:tc>
    </w:tr>
    <w:tr w:rsidR="006F16B0" w14:paraId="4EBFD78D" w14:textId="77777777">
      <w:trPr>
        <w:trHeight w:val="228"/>
      </w:trPr>
      <w:tc>
        <w:tcPr>
          <w:tcW w:w="2551" w:type="dxa"/>
          <w:shd w:val="clear" w:color="auto" w:fill="auto"/>
          <w:vAlign w:val="center"/>
        </w:tcPr>
        <w:p w14:paraId="27586F42" w14:textId="77777777" w:rsidR="006F16B0" w:rsidRDefault="00AD0B82">
          <w:pPr>
            <w:rPr>
              <w:rFonts w:ascii="Palatino Linotype" w:eastAsia="Palatino Linotype" w:hAnsi="Palatino Linotype" w:cs="Palatino Linotype"/>
              <w:b/>
            </w:rPr>
          </w:pPr>
          <w:r>
            <w:rPr>
              <w:rFonts w:ascii="Palatino Linotype" w:eastAsia="Palatino Linotype" w:hAnsi="Palatino Linotype" w:cs="Palatino Linotype"/>
              <w:b/>
            </w:rPr>
            <w:t>Sujeto Obligado:</w:t>
          </w:r>
          <w:r>
            <w:rPr>
              <w:noProof/>
              <w:lang w:val="es-MX"/>
            </w:rPr>
            <w:drawing>
              <wp:anchor distT="0" distB="0" distL="0" distR="0" simplePos="0" relativeHeight="251659264" behindDoc="1" locked="0" layoutInCell="1" hidden="0" allowOverlap="1" wp14:anchorId="08D00FB8" wp14:editId="30F7C22A">
                <wp:simplePos x="0" y="0"/>
                <wp:positionH relativeFrom="column">
                  <wp:posOffset>-3428364</wp:posOffset>
                </wp:positionH>
                <wp:positionV relativeFrom="paragraph">
                  <wp:posOffset>-1170939</wp:posOffset>
                </wp:positionV>
                <wp:extent cx="7809865" cy="10165715"/>
                <wp:effectExtent l="0" t="0" r="0" b="0"/>
                <wp:wrapNone/>
                <wp:docPr id="3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c>
        <w:tcPr>
          <w:tcW w:w="3402" w:type="dxa"/>
          <w:shd w:val="clear" w:color="auto" w:fill="auto"/>
          <w:vAlign w:val="center"/>
        </w:tcPr>
        <w:p w14:paraId="06B0FBFD" w14:textId="77777777" w:rsidR="006F16B0" w:rsidRDefault="00AD0B82">
          <w:pPr>
            <w:ind w:left="-45" w:right="-115"/>
            <w:jc w:val="both"/>
            <w:rPr>
              <w:rFonts w:ascii="Palatino Linotype" w:eastAsia="Palatino Linotype" w:hAnsi="Palatino Linotype" w:cs="Palatino Linotype"/>
              <w:b/>
            </w:rPr>
          </w:pPr>
          <w:r>
            <w:rPr>
              <w:rFonts w:ascii="Palatino Linotype" w:eastAsia="Palatino Linotype" w:hAnsi="Palatino Linotype" w:cs="Palatino Linotype"/>
              <w:b/>
            </w:rPr>
            <w:t>Ayuntamiento de Tenancingo</w:t>
          </w:r>
        </w:p>
      </w:tc>
    </w:tr>
    <w:tr w:rsidR="006F16B0" w14:paraId="3C9D3FBF" w14:textId="77777777">
      <w:tc>
        <w:tcPr>
          <w:tcW w:w="2551" w:type="dxa"/>
          <w:shd w:val="clear" w:color="auto" w:fill="auto"/>
          <w:vAlign w:val="center"/>
        </w:tcPr>
        <w:p w14:paraId="30BD105E" w14:textId="77777777" w:rsidR="006F16B0" w:rsidRDefault="00AD0B82">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shd w:val="clear" w:color="auto" w:fill="auto"/>
          <w:vAlign w:val="center"/>
        </w:tcPr>
        <w:p w14:paraId="6029BF50" w14:textId="77777777" w:rsidR="006F16B0" w:rsidRDefault="00AD0B82">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77A35A80" w14:textId="77777777" w:rsidR="006F16B0" w:rsidRDefault="006F16B0">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B3C0F" w14:textId="77777777" w:rsidR="006F16B0" w:rsidRDefault="006F16B0">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AB3F05"/>
    <w:multiLevelType w:val="multilevel"/>
    <w:tmpl w:val="D738FEA8"/>
    <w:lvl w:ilvl="0">
      <w:start w:val="1"/>
      <w:numFmt w:val="upperRoman"/>
      <w:lvlText w:val="%1."/>
      <w:lvlJc w:val="left"/>
      <w:pPr>
        <w:ind w:left="1287" w:hanging="720"/>
      </w:pPr>
      <w:rPr>
        <w:b w:val="0"/>
        <w:u w:val="none"/>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1D004F8C"/>
    <w:multiLevelType w:val="multilevel"/>
    <w:tmpl w:val="FEC44ADC"/>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96841D5"/>
    <w:multiLevelType w:val="multilevel"/>
    <w:tmpl w:val="6F209F3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A87374A"/>
    <w:multiLevelType w:val="multilevel"/>
    <w:tmpl w:val="9E5CB408"/>
    <w:lvl w:ilvl="0">
      <w:numFmt w:val="lowerLetter"/>
      <w:pStyle w:val="Listaconvietas3"/>
      <w:lvlText w:val="%1."/>
      <w:lvlJc w:val="left"/>
      <w:pPr>
        <w:ind w:left="0" w:firstLine="0"/>
      </w:pPr>
    </w:lvl>
    <w:lvl w:ilvl="1">
      <w:start w:val="1"/>
      <w:numFmt w:val="upperRoman"/>
      <w:lvlText w:val="%2."/>
      <w:lvlJc w:val="left"/>
      <w:pPr>
        <w:ind w:left="1800" w:hanging="720"/>
      </w:pPr>
      <w:rPr>
        <w:b w:val="0"/>
      </w:rPr>
    </w:lvl>
    <w:lvl w:ilvl="2">
      <w:start w:val="1"/>
      <w:numFmt w:val="lowerLetter"/>
      <w:lvlText w:val="%3)"/>
      <w:lvlJc w:val="left"/>
      <w:pPr>
        <w:ind w:left="2160" w:hanging="360"/>
      </w:pPr>
      <w:rPr>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D5C4E91"/>
    <w:multiLevelType w:val="multilevel"/>
    <w:tmpl w:val="AC0828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80A0B0F"/>
    <w:multiLevelType w:val="multilevel"/>
    <w:tmpl w:val="D41A87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B88059B"/>
    <w:multiLevelType w:val="multilevel"/>
    <w:tmpl w:val="62A02A98"/>
    <w:lvl w:ilvl="0">
      <w:start w:val="1"/>
      <w:numFmt w:val="lowerLetter"/>
      <w:lvlText w:val="%1)"/>
      <w:lvlJc w:val="left"/>
      <w:pPr>
        <w:ind w:left="720" w:hanging="360"/>
      </w:pPr>
      <w:rPr>
        <w:rFonts w:ascii="Palatino Linotype" w:eastAsia="Palatino Linotype" w:hAnsi="Palatino Linotype" w:cs="Palatino Linotype"/>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18977D0"/>
    <w:multiLevelType w:val="multilevel"/>
    <w:tmpl w:val="83024B4E"/>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3"/>
  </w:num>
  <w:num w:numId="3">
    <w:abstractNumId w:val="1"/>
  </w:num>
  <w:num w:numId="4">
    <w:abstractNumId w:val="4"/>
  </w:num>
  <w:num w:numId="5">
    <w:abstractNumId w:val="6"/>
  </w:num>
  <w:num w:numId="6">
    <w:abstractNumId w:val="2"/>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6B0"/>
    <w:rsid w:val="00340CE5"/>
    <w:rsid w:val="004760EB"/>
    <w:rsid w:val="005C1331"/>
    <w:rsid w:val="006161EA"/>
    <w:rsid w:val="006F16B0"/>
    <w:rsid w:val="00AD0B82"/>
    <w:rsid w:val="00C33E9F"/>
    <w:rsid w:val="00C612CD"/>
    <w:rsid w:val="00DA62FC"/>
    <w:rsid w:val="00E117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86D1A"/>
  <w15:docId w15:val="{86963652-0C2B-4001-BBF2-79B7A21A8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179E"/>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rPr>
      <w:sz w:val="22"/>
      <w:szCs w:val="22"/>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rPr>
      <w:sz w:val="22"/>
      <w:szCs w:val="22"/>
    </w:rPr>
    <w:tblPr>
      <w:tblStyleRowBandSize w:val="1"/>
      <w:tblStyleColBandSize w:val="1"/>
      <w:tblCellMar>
        <w:left w:w="115" w:type="dxa"/>
        <w:right w:w="115" w:type="dxa"/>
      </w:tblCellMar>
    </w:tblPr>
  </w:style>
  <w:style w:type="table" w:customStyle="1" w:styleId="a8">
    <w:basedOn w:val="TableNormal3"/>
    <w:rPr>
      <w:sz w:val="22"/>
      <w:szCs w:val="22"/>
    </w:rPr>
    <w:tblPr>
      <w:tblStyleRowBandSize w:val="1"/>
      <w:tblStyleColBandSize w:val="1"/>
      <w:tblCellMar>
        <w:left w:w="115" w:type="dxa"/>
        <w:right w:w="115" w:type="dxa"/>
      </w:tblCellMar>
    </w:tblPr>
  </w:style>
  <w:style w:type="table" w:customStyle="1" w:styleId="a9">
    <w:basedOn w:val="TableNormal3"/>
    <w:rPr>
      <w:sz w:val="22"/>
      <w:szCs w:val="22"/>
    </w:rPr>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
    <w:basedOn w:val="TableNormal3"/>
    <w:rPr>
      <w:sz w:val="22"/>
      <w:szCs w:val="22"/>
    </w:rPr>
    <w:tblPr>
      <w:tblStyleRowBandSize w:val="1"/>
      <w:tblStyleColBandSize w:val="1"/>
      <w:tblCellMar>
        <w:left w:w="115" w:type="dxa"/>
        <w:right w:w="115" w:type="dxa"/>
      </w:tblCellMar>
    </w:tblPr>
  </w:style>
  <w:style w:type="table" w:customStyle="1" w:styleId="af0">
    <w:basedOn w:val="TableNormal3"/>
    <w:rPr>
      <w:sz w:val="22"/>
      <w:szCs w:val="22"/>
    </w:rPr>
    <w:tblPr>
      <w:tblStyleRowBandSize w:val="1"/>
      <w:tblStyleColBandSize w:val="1"/>
      <w:tblCellMar>
        <w:left w:w="115" w:type="dxa"/>
        <w:right w:w="115" w:type="dxa"/>
      </w:tblCellMar>
    </w:tblPr>
  </w:style>
  <w:style w:type="table" w:customStyle="1" w:styleId="af1">
    <w:basedOn w:val="TableNormal2"/>
    <w:rPr>
      <w:sz w:val="22"/>
      <w:szCs w:val="22"/>
    </w:rPr>
    <w:tblPr>
      <w:tblStyleRowBandSize w:val="1"/>
      <w:tblStyleColBandSize w:val="1"/>
      <w:tblCellMar>
        <w:left w:w="115" w:type="dxa"/>
        <w:right w:w="115" w:type="dxa"/>
      </w:tblCellMar>
    </w:tblPr>
  </w:style>
  <w:style w:type="table" w:customStyle="1" w:styleId="af2">
    <w:basedOn w:val="TableNormal2"/>
    <w:rPr>
      <w:sz w:val="22"/>
      <w:szCs w:val="22"/>
    </w:rPr>
    <w:tblPr>
      <w:tblStyleRowBandSize w:val="1"/>
      <w:tblStyleColBandSize w:val="1"/>
      <w:tblCellMar>
        <w:left w:w="115" w:type="dxa"/>
        <w:right w:w="115" w:type="dxa"/>
      </w:tblCellMar>
    </w:tbl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rPr>
      <w:sz w:val="22"/>
      <w:szCs w:val="22"/>
    </w:rPr>
    <w:tblPr>
      <w:tblStyleRowBandSize w:val="1"/>
      <w:tblStyleColBandSize w:val="1"/>
      <w:tblCellMar>
        <w:left w:w="115" w:type="dxa"/>
        <w:right w:w="115" w:type="dxa"/>
      </w:tblCellMar>
    </w:tblPr>
  </w:style>
  <w:style w:type="table" w:customStyle="1" w:styleId="af5">
    <w:basedOn w:val="TableNormal2"/>
    <w:rPr>
      <w:sz w:val="22"/>
      <w:szCs w:val="22"/>
    </w:rPr>
    <w:tblPr>
      <w:tblStyleRowBandSize w:val="1"/>
      <w:tblStyleColBandSize w:val="1"/>
      <w:tblCellMar>
        <w:left w:w="115" w:type="dxa"/>
        <w:right w:w="115" w:type="dxa"/>
      </w:tblCellMar>
    </w:tblPr>
  </w:style>
  <w:style w:type="table" w:customStyle="1" w:styleId="af6">
    <w:basedOn w:val="TableNormal1"/>
    <w:rPr>
      <w:sz w:val="22"/>
      <w:szCs w:val="22"/>
    </w:rPr>
    <w:tblPr>
      <w:tblStyleRowBandSize w:val="1"/>
      <w:tblStyleColBandSize w:val="1"/>
      <w:tblCellMar>
        <w:left w:w="115" w:type="dxa"/>
        <w:right w:w="115" w:type="dxa"/>
      </w:tblCellMar>
    </w:tblPr>
  </w:style>
  <w:style w:type="table" w:customStyle="1" w:styleId="af7">
    <w:basedOn w:val="TableNormal1"/>
    <w:rPr>
      <w:sz w:val="22"/>
      <w:szCs w:val="22"/>
    </w:rPr>
    <w:tblPr>
      <w:tblStyleRowBandSize w:val="1"/>
      <w:tblStyleColBandSize w:val="1"/>
      <w:tblCellMar>
        <w:left w:w="115" w:type="dxa"/>
        <w:right w:w="115" w:type="dxa"/>
      </w:tblCellMar>
    </w:tblPr>
  </w:style>
  <w:style w:type="table" w:customStyle="1" w:styleId="af8">
    <w:basedOn w:val="TableNormal1"/>
    <w:rPr>
      <w:sz w:val="22"/>
      <w:szCs w:val="22"/>
    </w:rPr>
    <w:tblPr>
      <w:tblStyleRowBandSize w:val="1"/>
      <w:tblStyleColBandSize w:val="1"/>
      <w:tblCellMar>
        <w:left w:w="115" w:type="dxa"/>
        <w:right w:w="115" w:type="dxa"/>
      </w:tblCellMar>
    </w:tblPr>
  </w:style>
  <w:style w:type="table" w:customStyle="1" w:styleId="af9">
    <w:basedOn w:val="TableNormal1"/>
    <w:rPr>
      <w:sz w:val="22"/>
      <w:szCs w:val="22"/>
    </w:rPr>
    <w:tblPr>
      <w:tblStyleRowBandSize w:val="1"/>
      <w:tblStyleColBandSize w:val="1"/>
      <w:tblCellMar>
        <w:left w:w="115" w:type="dxa"/>
        <w:right w:w="115" w:type="dxa"/>
      </w:tblCellMar>
    </w:tblPr>
  </w:style>
  <w:style w:type="table" w:customStyle="1" w:styleId="afa">
    <w:basedOn w:val="TableNormal1"/>
    <w:rPr>
      <w:sz w:val="22"/>
      <w:szCs w:val="22"/>
    </w:rPr>
    <w:tblPr>
      <w:tblStyleRowBandSize w:val="1"/>
      <w:tblStyleColBandSize w:val="1"/>
      <w:tblCellMar>
        <w:left w:w="115" w:type="dxa"/>
        <w:right w:w="115" w:type="dxa"/>
      </w:tblCellMar>
    </w:tblPr>
  </w:style>
  <w:style w:type="table" w:customStyle="1" w:styleId="afb">
    <w:basedOn w:val="TableNormal0"/>
    <w:rPr>
      <w:sz w:val="22"/>
      <w:szCs w:val="22"/>
    </w:rPr>
    <w:tblPr>
      <w:tblStyleRowBandSize w:val="1"/>
      <w:tblStyleColBandSize w:val="1"/>
      <w:tblCellMar>
        <w:left w:w="115" w:type="dxa"/>
        <w:right w:w="115" w:type="dxa"/>
      </w:tblCellMar>
    </w:tblPr>
  </w:style>
  <w:style w:type="table" w:customStyle="1" w:styleId="afc">
    <w:basedOn w:val="TableNormal0"/>
    <w:rPr>
      <w:sz w:val="22"/>
      <w:szCs w:val="22"/>
    </w:rPr>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rPr>
      <w:sz w:val="22"/>
      <w:szCs w:val="22"/>
    </w:rPr>
    <w:tblPr>
      <w:tblStyleRowBandSize w:val="1"/>
      <w:tblStyleColBandSize w:val="1"/>
      <w:tblCellMar>
        <w:left w:w="115" w:type="dxa"/>
        <w:right w:w="115" w:type="dxa"/>
      </w:tblCellMar>
    </w:tblPr>
  </w:style>
  <w:style w:type="table" w:customStyle="1" w:styleId="aff">
    <w:basedOn w:val="TableNormal0"/>
    <w:rPr>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13.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0y1yk1/MjksCidnItaEYTWUhVg==">AMUW2mXhZ3o1nofwd7sobQmagf9GXJeUV7InZlXaFpAD+/0bebYwXpV7QMKD1aHSP6LwAUO8lydvOG4uhOtFssaKez5zp+vim9zl2W0I8T9+D2Y0HQWX0nGXioY2MkaJ2YUBxky+/QdPuOfn4EGxY9Lbq7pYbETM3g==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16359</Words>
  <Characters>89980</Characters>
  <Application>Microsoft Office Word</Application>
  <DocSecurity>0</DocSecurity>
  <Lines>749</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User 425</cp:lastModifiedBy>
  <cp:revision>4</cp:revision>
  <cp:lastPrinted>2022-08-12T19:00:00Z</cp:lastPrinted>
  <dcterms:created xsi:type="dcterms:W3CDTF">2022-08-11T00:25:00Z</dcterms:created>
  <dcterms:modified xsi:type="dcterms:W3CDTF">2022-08-12T19:00:00Z</dcterms:modified>
</cp:coreProperties>
</file>