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5F6" w:rsidRDefault="00892F31">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cuatro de mayo de dos mil veintidós.</w:t>
      </w:r>
    </w:p>
    <w:p w:rsidR="007D05F6" w:rsidRDefault="00892F3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01124/INFOEM/IP/RR/2022</w:t>
      </w:r>
      <w:r>
        <w:rPr>
          <w:rFonts w:ascii="Palatino Linotype" w:eastAsia="Palatino Linotype" w:hAnsi="Palatino Linotype" w:cs="Palatino Linotype"/>
          <w:sz w:val="24"/>
          <w:szCs w:val="24"/>
        </w:rPr>
        <w:t xml:space="preserve">, interpuesto por una persona de manera anónima, al cual en lo sucesivo se le denominara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Palatino Linotype" w:eastAsia="Palatino Linotype" w:hAnsi="Palatino Linotype" w:cs="Palatino Linotype"/>
          <w:b/>
          <w:color w:val="000000"/>
          <w:sz w:val="24"/>
          <w:szCs w:val="24"/>
        </w:rPr>
        <w:t>00089/CUAUTIZC/IP/2022</w:t>
      </w:r>
      <w:r>
        <w:rPr>
          <w:rFonts w:ascii="Palatino Linotype" w:eastAsia="Palatino Linotype" w:hAnsi="Palatino Linotype" w:cs="Palatino Linotype"/>
          <w:b/>
          <w:sz w:val="24"/>
          <w:szCs w:val="24"/>
        </w:rPr>
        <w:t>,</w:t>
      </w:r>
      <w:r>
        <w:rPr>
          <w:rFonts w:ascii="Palatino Linotype" w:eastAsia="Palatino Linotype" w:hAnsi="Palatino Linotype" w:cs="Palatino Linotype"/>
          <w:sz w:val="24"/>
          <w:szCs w:val="24"/>
        </w:rPr>
        <w:t xml:space="preserve"> por parte del  Ayuntamiento de Cuautitlán Izcalli, en lo 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siguiente.</w:t>
      </w:r>
    </w:p>
    <w:p w:rsidR="007D05F6" w:rsidRDefault="00892F31">
      <w:pPr>
        <w:spacing w:before="240" w:after="240" w:line="360" w:lineRule="auto"/>
        <w:ind w:right="49"/>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AN T E C E D E N T E S</w:t>
      </w:r>
    </w:p>
    <w:p w:rsidR="007D05F6" w:rsidRDefault="00892F31">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1. SOLICITUD. </w:t>
      </w:r>
      <w:r>
        <w:rPr>
          <w:rFonts w:ascii="Palatino Linotype" w:eastAsia="Palatino Linotype" w:hAnsi="Palatino Linotype" w:cs="Palatino Linotype"/>
          <w:sz w:val="24"/>
          <w:szCs w:val="24"/>
        </w:rPr>
        <w:t xml:space="preserve">Con fecha veintiséis de enero de dos mil veintidós,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b/>
          <w:color w:val="FF0000"/>
        </w:rPr>
        <w:t> </w:t>
      </w:r>
      <w:r>
        <w:rPr>
          <w:rFonts w:ascii="Palatino Linotype" w:eastAsia="Palatino Linotype" w:hAnsi="Palatino Linotype" w:cs="Palatino Linotype"/>
          <w:b/>
          <w:color w:val="000000"/>
          <w:sz w:val="24"/>
          <w:szCs w:val="24"/>
        </w:rPr>
        <w:t>00089/CUAUTIZC/IP/2022</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 cual solicitó información en el tenor siguiente:</w:t>
      </w:r>
    </w:p>
    <w:p w:rsidR="007D05F6" w:rsidRDefault="00892F31">
      <w:pP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el número de vehículos que están dentro de patrimonio del municipio, </w:t>
      </w:r>
      <w:proofErr w:type="spellStart"/>
      <w:r>
        <w:rPr>
          <w:rFonts w:ascii="Palatino Linotype" w:eastAsia="Palatino Linotype" w:hAnsi="Palatino Linotype" w:cs="Palatino Linotype"/>
          <w:i/>
          <w:color w:val="000000"/>
        </w:rPr>
        <w:t>asi</w:t>
      </w:r>
      <w:proofErr w:type="spellEnd"/>
      <w:r>
        <w:rPr>
          <w:rFonts w:ascii="Palatino Linotype" w:eastAsia="Palatino Linotype" w:hAnsi="Palatino Linotype" w:cs="Palatino Linotype"/>
          <w:i/>
          <w:color w:val="000000"/>
        </w:rPr>
        <w:t xml:space="preserve"> como las tarjetas de circulación que acrediten lo solicitado en versión pública“(Sic)</w:t>
      </w:r>
    </w:p>
    <w:p w:rsidR="007D05F6" w:rsidRDefault="00892F31">
      <w:pPr>
        <w:spacing w:before="120" w:after="12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Modalidad de entrega: A través del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w:t>
      </w:r>
    </w:p>
    <w:p w:rsidR="007D05F6" w:rsidRDefault="00892F31">
      <w:pPr>
        <w:spacing w:before="240" w:after="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lastRenderedPageBreak/>
        <w:t xml:space="preserve">2. DE LA RESPUESTA DEL SUJETO OBLIGADO. </w:t>
      </w:r>
      <w:r>
        <w:rPr>
          <w:rFonts w:ascii="Palatino Linotype" w:eastAsia="Palatino Linotype" w:hAnsi="Palatino Linotype" w:cs="Palatino Linotype"/>
          <w:sz w:val="24"/>
          <w:szCs w:val="24"/>
        </w:rPr>
        <w:t xml:space="preserve">Con fecha diecisiete de febrero del dos mil veintidós,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r>
        <w:rPr>
          <w:rFonts w:ascii="Palatino Linotype" w:eastAsia="Palatino Linotype" w:hAnsi="Palatino Linotype" w:cs="Palatino Linotype"/>
        </w:rPr>
        <w:t xml:space="preserve"> </w:t>
      </w:r>
    </w:p>
    <w:p w:rsidR="007D05F6" w:rsidRDefault="00892F31">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D05F6" w:rsidRDefault="00892F31">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la efectuó, (1)Secretaría del Ayuntamiento y (2)Dirección de Administración. 1.- “En atención a la solicitud ingresada vía Sistema de Acceso a la Información Mexiquense (SAIMEX), y turnada a esta Secretaría del Ayuntamiento bajo el folio 00089/CUAUTIZC/IP/2022, la que a la letra señala; “Solicito el número de vehículos que están dentro de patrimonio del municipio, así como las tarjetas de circulación que acrediten lo solicitado en versión pública”. (</w:t>
      </w:r>
      <w:proofErr w:type="gramStart"/>
      <w:r>
        <w:rPr>
          <w:rFonts w:ascii="Palatino Linotype" w:eastAsia="Palatino Linotype" w:hAnsi="Palatino Linotype" w:cs="Palatino Linotype"/>
          <w:i/>
        </w:rPr>
        <w:t>sic</w:t>
      </w:r>
      <w:proofErr w:type="gramEnd"/>
      <w:r>
        <w:rPr>
          <w:rFonts w:ascii="Palatino Linotype" w:eastAsia="Palatino Linotype" w:hAnsi="Palatino Linotype" w:cs="Palatino Linotype"/>
          <w:i/>
        </w:rPr>
        <w:t xml:space="preserve">). Por lo anterior envío en formato </w:t>
      </w:r>
      <w:proofErr w:type="spellStart"/>
      <w:r>
        <w:rPr>
          <w:rFonts w:ascii="Palatino Linotype" w:eastAsia="Palatino Linotype" w:hAnsi="Palatino Linotype" w:cs="Palatino Linotype"/>
          <w:i/>
        </w:rPr>
        <w:t>pdf</w:t>
      </w:r>
      <w:proofErr w:type="spellEnd"/>
      <w:r>
        <w:rPr>
          <w:rFonts w:ascii="Palatino Linotype" w:eastAsia="Palatino Linotype" w:hAnsi="Palatino Linotype" w:cs="Palatino Linotype"/>
          <w:i/>
        </w:rPr>
        <w:t xml:space="preserve"> el oficio No. SA/CP/0063/2022, signado por el C. </w:t>
      </w:r>
      <w:proofErr w:type="spellStart"/>
      <w:r>
        <w:rPr>
          <w:rFonts w:ascii="Palatino Linotype" w:eastAsia="Palatino Linotype" w:hAnsi="Palatino Linotype" w:cs="Palatino Linotype"/>
          <w:i/>
        </w:rPr>
        <w:t>Adrían</w:t>
      </w:r>
      <w:proofErr w:type="spellEnd"/>
      <w:r>
        <w:rPr>
          <w:rFonts w:ascii="Palatino Linotype" w:eastAsia="Palatino Linotype" w:hAnsi="Palatino Linotype" w:cs="Palatino Linotype"/>
          <w:i/>
        </w:rPr>
        <w:t xml:space="preserve"> Argenis Martín Moreno, Titular de la Coordinación de Patrimonio, adscrita a la Secretaría del Ayuntamiento, por el cual se da contestación a la solicitud descrita. Sin otro particular por el momento, quedo de Usted. ”SIC 2.- “Con fundamento en lo dispuesto por el artículo 6° de la Constitución Política de los Estados Unidos Mexicanos; 5° de la Constitución Política del Estado Libre y Soberano de México; 3 fracción XLV, 12, 23 fracción IV, 24 fracción XI y XXV, 25 y 52 de la Ley de Transparencia y Acceso a la Información Pública del Estado de México y Municipios; 86 de la Ley Orgánica Municipal del Estado de México; 24 fracción X del Bando Municipal 2022 de Cuautitlán Izcalli; 39 y 40 del Reglamento </w:t>
      </w:r>
      <w:r>
        <w:rPr>
          <w:rFonts w:ascii="Palatino Linotype" w:eastAsia="Palatino Linotype" w:hAnsi="Palatino Linotype" w:cs="Palatino Linotype"/>
          <w:i/>
        </w:rPr>
        <w:lastRenderedPageBreak/>
        <w:t>Interior de la Administración Pública Municipal de Cuautitlán Izcalli, Estado de México; en atención a la Solicitud de Información Pública marcada con el número de folio 00089/CUAUTIZC/IP/2022 turnada a través del Sistema SAIMEX a esta Unidad Administrativa, se informa que esta Dirección de Administración únicamente es competente para brindar información respecto a: …</w:t>
      </w:r>
      <w:proofErr w:type="spellStart"/>
      <w:r>
        <w:rPr>
          <w:rFonts w:ascii="Palatino Linotype" w:eastAsia="Palatino Linotype" w:hAnsi="Palatino Linotype" w:cs="Palatino Linotype"/>
          <w:i/>
        </w:rPr>
        <w:t>asi</w:t>
      </w:r>
      <w:proofErr w:type="spellEnd"/>
      <w:r>
        <w:rPr>
          <w:rFonts w:ascii="Palatino Linotype" w:eastAsia="Palatino Linotype" w:hAnsi="Palatino Linotype" w:cs="Palatino Linotype"/>
          <w:i/>
        </w:rPr>
        <w:t xml:space="preserve"> como las tarjetas de circulación que acrediten lo solicitado en versión pública Al respecto, se remite en formato electrónico, la información brindada por la persona titular del Departamento de Mantenimiento y Control Vehicular, adjuntando las tarjetas de circulación que obran en los archivos físicos de dicha unidad administrativa.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rsidR="007D05F6" w:rsidRDefault="00892F31">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rsidR="007D05F6" w:rsidRDefault="00892F31">
      <w:pPr>
        <w:ind w:left="851" w:right="900"/>
        <w:jc w:val="both"/>
        <w:rPr>
          <w:rFonts w:ascii="Palatino Linotype" w:eastAsia="Palatino Linotype" w:hAnsi="Palatino Linotype" w:cs="Palatino Linotype"/>
        </w:rPr>
      </w:pPr>
      <w:r>
        <w:rPr>
          <w:rFonts w:ascii="Palatino Linotype" w:eastAsia="Palatino Linotype" w:hAnsi="Palatino Linotype" w:cs="Palatino Linotype"/>
          <w:i/>
        </w:rPr>
        <w:t>MTRA. MARÍA ISABEL CISNEROS MÁRQUEZ</w:t>
      </w:r>
    </w:p>
    <w:p w:rsidR="007D05F6" w:rsidRDefault="00892F31">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adjuntó para tal efecto los archivos electrónicos denominados:</w:t>
      </w:r>
    </w:p>
    <w:p w:rsidR="007D05F6" w:rsidRDefault="00892F31">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000000"/>
          <w:sz w:val="24"/>
          <w:szCs w:val="24"/>
          <w:u w:val="single"/>
        </w:rPr>
        <w:t>“Patrimonio 063.pdf”</w:t>
      </w:r>
      <w:r>
        <w:rPr>
          <w:rFonts w:ascii="Palatino Linotype" w:eastAsia="Palatino Linotype" w:hAnsi="Palatino Linotype" w:cs="Palatino Linotype"/>
          <w:color w:val="000000"/>
          <w:sz w:val="24"/>
          <w:szCs w:val="24"/>
        </w:rPr>
        <w:t xml:space="preserve"> Oficio SA/CP/063/2022, signado por el Lic. Adrián Argenis Martin Moreno,  Titular de la Coordinación de Patrimonio, mediante el cual menciona que se encuentran registrados 447 vehículos  de los cuales no se incluyen los automotores designados a la Comisaria General de Seguridad Ciudadana, toda vez que es información reservada, por lo cual menciona que las tarjetas de circulación no obran en los archivos de la coordinación que encabeza.</w:t>
      </w:r>
    </w:p>
    <w:p w:rsidR="007D05F6" w:rsidRDefault="00892F31">
      <w:pPr>
        <w:spacing w:before="240" w:after="240" w:line="360" w:lineRule="auto"/>
        <w:jc w:val="both"/>
        <w:rPr>
          <w:rFonts w:ascii="Palatino Linotype" w:eastAsia="Palatino Linotype" w:hAnsi="Palatino Linotype" w:cs="Palatino Linotype"/>
          <w:b/>
          <w:i/>
          <w:color w:val="000000"/>
          <w:sz w:val="24"/>
          <w:szCs w:val="24"/>
          <w:u w:val="single"/>
        </w:rPr>
      </w:pPr>
      <w:r>
        <w:rPr>
          <w:noProof/>
        </w:rPr>
        <w:lastRenderedPageBreak/>
        <w:drawing>
          <wp:inline distT="0" distB="0" distL="0" distR="0">
            <wp:extent cx="5712487" cy="6892240"/>
            <wp:effectExtent l="0" t="0" r="0" 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42091" t="17199" r="26680" b="15811"/>
                    <a:stretch>
                      <a:fillRect/>
                    </a:stretch>
                  </pic:blipFill>
                  <pic:spPr>
                    <a:xfrm>
                      <a:off x="0" y="0"/>
                      <a:ext cx="5712487" cy="6892240"/>
                    </a:xfrm>
                    <a:prstGeom prst="rect">
                      <a:avLst/>
                    </a:prstGeom>
                    <a:ln/>
                  </pic:spPr>
                </pic:pic>
              </a:graphicData>
            </a:graphic>
          </wp:inline>
        </w:drawing>
      </w:r>
      <w:r>
        <w:rPr>
          <w:rFonts w:ascii="Palatino Linotype" w:eastAsia="Palatino Linotype" w:hAnsi="Palatino Linotype" w:cs="Palatino Linotype"/>
          <w:color w:val="000000"/>
          <w:sz w:val="24"/>
          <w:szCs w:val="24"/>
        </w:rPr>
        <w:t xml:space="preserve">  </w:t>
      </w:r>
    </w:p>
    <w:p w:rsidR="007D05F6" w:rsidRDefault="00892F31">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000000"/>
          <w:sz w:val="24"/>
          <w:szCs w:val="24"/>
          <w:u w:val="single"/>
        </w:rPr>
        <w:lastRenderedPageBreak/>
        <w:t xml:space="preserve"> “Solicitud 89.pdf” </w:t>
      </w:r>
      <w:r>
        <w:rPr>
          <w:rFonts w:ascii="Palatino Linotype" w:eastAsia="Palatino Linotype" w:hAnsi="Palatino Linotype" w:cs="Palatino Linotype"/>
          <w:color w:val="000000"/>
          <w:sz w:val="24"/>
          <w:szCs w:val="24"/>
        </w:rPr>
        <w:t xml:space="preserve">Oficio 1193/SA/2022, signado por el C. Miguel Ángel Gutiérrez </w:t>
      </w:r>
      <w:proofErr w:type="spellStart"/>
      <w:r>
        <w:rPr>
          <w:rFonts w:ascii="Palatino Linotype" w:eastAsia="Palatino Linotype" w:hAnsi="Palatino Linotype" w:cs="Palatino Linotype"/>
          <w:color w:val="000000"/>
          <w:sz w:val="24"/>
          <w:szCs w:val="24"/>
        </w:rPr>
        <w:t>Pilloni</w:t>
      </w:r>
      <w:proofErr w:type="spellEnd"/>
      <w:r>
        <w:rPr>
          <w:rFonts w:ascii="Palatino Linotype" w:eastAsia="Palatino Linotype" w:hAnsi="Palatino Linotype" w:cs="Palatino Linotype"/>
          <w:color w:val="000000"/>
          <w:sz w:val="24"/>
          <w:szCs w:val="24"/>
        </w:rPr>
        <w:t xml:space="preserve">, Secretario del Ayuntamiento, mediante el cual señala que envía el oficio  SA/CP/063/2022, signado por el Lic. Adrián Argenis Martin Moreno,  Titular de la Coordinación de Patrimonio. </w:t>
      </w:r>
    </w:p>
    <w:p w:rsidR="007D05F6" w:rsidRDefault="00892F31">
      <w:pPr>
        <w:spacing w:before="240" w:after="240" w:line="360" w:lineRule="auto"/>
        <w:jc w:val="center"/>
        <w:rPr>
          <w:rFonts w:ascii="Palatino Linotype" w:eastAsia="Palatino Linotype" w:hAnsi="Palatino Linotype" w:cs="Palatino Linotype"/>
          <w:color w:val="000000"/>
          <w:sz w:val="24"/>
          <w:szCs w:val="24"/>
        </w:rPr>
      </w:pPr>
      <w:r>
        <w:rPr>
          <w:noProof/>
        </w:rPr>
        <w:drawing>
          <wp:inline distT="0" distB="0" distL="0" distR="0">
            <wp:extent cx="3876675" cy="4657725"/>
            <wp:effectExtent l="0" t="0" r="9525" b="9525"/>
            <wp:docPr id="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41412" t="13278" r="25491" b="10983"/>
                    <a:stretch>
                      <a:fillRect/>
                    </a:stretch>
                  </pic:blipFill>
                  <pic:spPr>
                    <a:xfrm>
                      <a:off x="0" y="0"/>
                      <a:ext cx="3877113" cy="4658251"/>
                    </a:xfrm>
                    <a:prstGeom prst="rect">
                      <a:avLst/>
                    </a:prstGeom>
                    <a:ln/>
                  </pic:spPr>
                </pic:pic>
              </a:graphicData>
            </a:graphic>
          </wp:inline>
        </w:drawing>
      </w:r>
    </w:p>
    <w:p w:rsidR="007D05F6" w:rsidRDefault="00892F31">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000000"/>
          <w:sz w:val="24"/>
          <w:szCs w:val="24"/>
          <w:u w:val="single"/>
        </w:rPr>
        <w:t xml:space="preserve"> “ACUERDO RESERVA comisaría </w:t>
      </w:r>
      <w:proofErr w:type="spellStart"/>
      <w:r>
        <w:rPr>
          <w:rFonts w:ascii="Palatino Linotype" w:eastAsia="Palatino Linotype" w:hAnsi="Palatino Linotype" w:cs="Palatino Linotype"/>
          <w:b/>
          <w:i/>
          <w:color w:val="000000"/>
          <w:sz w:val="24"/>
          <w:szCs w:val="24"/>
          <w:u w:val="single"/>
        </w:rPr>
        <w:t>edo</w:t>
      </w:r>
      <w:proofErr w:type="spellEnd"/>
      <w:r>
        <w:rPr>
          <w:rFonts w:ascii="Palatino Linotype" w:eastAsia="Palatino Linotype" w:hAnsi="Palatino Linotype" w:cs="Palatino Linotype"/>
          <w:b/>
          <w:i/>
          <w:color w:val="000000"/>
          <w:sz w:val="24"/>
          <w:szCs w:val="24"/>
          <w:u w:val="single"/>
        </w:rPr>
        <w:t xml:space="preserve"> de fuerza y patrullas.pdf” </w:t>
      </w:r>
      <w:r>
        <w:rPr>
          <w:rFonts w:ascii="Palatino Linotype" w:eastAsia="Palatino Linotype" w:hAnsi="Palatino Linotype" w:cs="Palatino Linotype"/>
          <w:color w:val="000000"/>
          <w:sz w:val="24"/>
          <w:szCs w:val="24"/>
        </w:rPr>
        <w:t xml:space="preserve">Acuerdo 042/CUAUTIZC/CT/CGSPT/2021, mediante el cual se clasifica la información con </w:t>
      </w:r>
      <w:r>
        <w:rPr>
          <w:rFonts w:ascii="Palatino Linotype" w:eastAsia="Palatino Linotype" w:hAnsi="Palatino Linotype" w:cs="Palatino Linotype"/>
          <w:color w:val="000000"/>
          <w:sz w:val="24"/>
          <w:szCs w:val="24"/>
        </w:rPr>
        <w:lastRenderedPageBreak/>
        <w:t>carácter de reservada consistente en el número de vehículos adscritos a la Comisaria General de Seguridad Ciudadana, a efecto de ejemplificar dicho documento se adjunta la primera página.</w:t>
      </w:r>
    </w:p>
    <w:p w:rsidR="007D05F6" w:rsidRDefault="00892F31">
      <w:pPr>
        <w:spacing w:before="240" w:after="240" w:line="360" w:lineRule="auto"/>
        <w:jc w:val="center"/>
        <w:rPr>
          <w:rFonts w:ascii="Palatino Linotype" w:eastAsia="Palatino Linotype" w:hAnsi="Palatino Linotype" w:cs="Palatino Linotype"/>
          <w:color w:val="000000"/>
          <w:sz w:val="24"/>
          <w:szCs w:val="24"/>
        </w:rPr>
      </w:pPr>
      <w:r>
        <w:rPr>
          <w:noProof/>
        </w:rPr>
        <w:drawing>
          <wp:inline distT="0" distB="0" distL="0" distR="0">
            <wp:extent cx="4665934" cy="5388178"/>
            <wp:effectExtent l="0" t="0" r="0" b="0"/>
            <wp:docPr id="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43618" t="17803" r="27529" b="3741"/>
                    <a:stretch>
                      <a:fillRect/>
                    </a:stretch>
                  </pic:blipFill>
                  <pic:spPr>
                    <a:xfrm>
                      <a:off x="0" y="0"/>
                      <a:ext cx="4665934" cy="5388178"/>
                    </a:xfrm>
                    <a:prstGeom prst="rect">
                      <a:avLst/>
                    </a:prstGeom>
                    <a:ln/>
                  </pic:spPr>
                </pic:pic>
              </a:graphicData>
            </a:graphic>
          </wp:inline>
        </w:drawing>
      </w:r>
    </w:p>
    <w:p w:rsidR="007D05F6" w:rsidRDefault="00892F31">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000000"/>
          <w:sz w:val="24"/>
          <w:szCs w:val="24"/>
          <w:u w:val="single"/>
        </w:rPr>
        <w:lastRenderedPageBreak/>
        <w:t xml:space="preserve">“ACUSE 00089.CUAUTIZC.IP.22.pdf” </w:t>
      </w:r>
      <w:r>
        <w:rPr>
          <w:rFonts w:ascii="Palatino Linotype" w:eastAsia="Palatino Linotype" w:hAnsi="Palatino Linotype" w:cs="Palatino Linotype"/>
          <w:color w:val="000000"/>
          <w:sz w:val="24"/>
          <w:szCs w:val="24"/>
        </w:rPr>
        <w:t xml:space="preserve">Oficio 1193/SA/2022, signado por el Lic. Emmanuel Medina González, Director de Administración, mediante el cual señala que remite en formato electrónico, la información brindada por el titular del Departamento de Mantenimiento y Control Vehicular , lo cual son las tarjetas de circulación que se encuentran en su posesión. </w:t>
      </w:r>
    </w:p>
    <w:p w:rsidR="007D05F6" w:rsidRDefault="00892F31">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000000"/>
          <w:sz w:val="24"/>
          <w:szCs w:val="24"/>
          <w:u w:val="single"/>
        </w:rPr>
        <w:t xml:space="preserve"> “ANEXO 00089.CUAUTIZC.IP.22.pdf” </w:t>
      </w:r>
      <w:r>
        <w:rPr>
          <w:rFonts w:ascii="Palatino Linotype" w:eastAsia="Palatino Linotype" w:hAnsi="Palatino Linotype" w:cs="Palatino Linotype"/>
          <w:color w:val="000000"/>
          <w:sz w:val="24"/>
          <w:szCs w:val="24"/>
        </w:rPr>
        <w:t>Tarjetas de circulación</w:t>
      </w:r>
      <w:r>
        <w:rPr>
          <w:rFonts w:ascii="Palatino Linotype" w:eastAsia="Palatino Linotype" w:hAnsi="Palatino Linotype" w:cs="Palatino Linotype"/>
          <w:sz w:val="24"/>
          <w:szCs w:val="24"/>
        </w:rPr>
        <w:t>.</w:t>
      </w:r>
    </w:p>
    <w:p w:rsidR="007D05F6" w:rsidRDefault="00892F31">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3. RECURSO DE REVISIÓN. </w:t>
      </w: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veintidós de febrero de dos mil veintidós</w:t>
      </w:r>
      <w:r>
        <w:rPr>
          <w:rFonts w:ascii="Palatino Linotype" w:eastAsia="Palatino Linotype" w:hAnsi="Palatino Linotype" w:cs="Palatino Linotype"/>
          <w:b/>
          <w:sz w:val="24"/>
          <w:szCs w:val="24"/>
        </w:rPr>
        <w:t xml:space="preserve">, EL RECURRENTE </w:t>
      </w:r>
      <w:r>
        <w:rPr>
          <w:rFonts w:ascii="Palatino Linotype" w:eastAsia="Palatino Linotype" w:hAnsi="Palatino Linotype" w:cs="Palatino Linotype"/>
          <w:sz w:val="24"/>
          <w:szCs w:val="24"/>
        </w:rPr>
        <w:t>interpuso el recurso de revisión,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color w:val="000000"/>
          <w:sz w:val="24"/>
          <w:szCs w:val="24"/>
        </w:rPr>
        <w:t>01124/INFOEM/IP/RR/2022</w:t>
      </w:r>
      <w:r>
        <w:rPr>
          <w:rFonts w:ascii="Palatino Linotype" w:eastAsia="Palatino Linotype" w:hAnsi="Palatino Linotype" w:cs="Palatino Linotype"/>
          <w:sz w:val="24"/>
          <w:szCs w:val="24"/>
        </w:rPr>
        <w:t>, en el cual manifiesta, lo siguiente:</w:t>
      </w:r>
    </w:p>
    <w:p w:rsidR="007D05F6" w:rsidRDefault="00892F31">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rsidR="007D05F6" w:rsidRDefault="00892F31">
      <w:pPr>
        <w:spacing w:before="240" w:after="24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 xml:space="preserve">PRIMERO. Que después de visualizar el acuerdo de la versión pública, se presume improcedente, ya que dicho acuerdo no cuenta con las firmas de los integrantes que darían el quorum legal para la reserva de la misma. Así mismo un servidor reviso el portal de </w:t>
      </w:r>
      <w:proofErr w:type="spellStart"/>
      <w:r>
        <w:rPr>
          <w:rFonts w:ascii="Palatino Linotype" w:eastAsia="Palatino Linotype" w:hAnsi="Palatino Linotype" w:cs="Palatino Linotype"/>
          <w:i/>
          <w:color w:val="000000"/>
        </w:rPr>
        <w:t>ipomex</w:t>
      </w:r>
      <w:proofErr w:type="spellEnd"/>
      <w:r>
        <w:rPr>
          <w:rFonts w:ascii="Palatino Linotype" w:eastAsia="Palatino Linotype" w:hAnsi="Palatino Linotype" w:cs="Palatino Linotype"/>
          <w:i/>
          <w:color w:val="000000"/>
        </w:rPr>
        <w:t xml:space="preserve"> en la liga https://www.ipomex.org.mx/ipo3/lgt/indice/CUAUTITLANIZCALLI/art_92_xliii_b/3.web donde no encontró el acta que se pueda observar el sentido de los votos de los integrantes del mismo. Teniendo mucho cuidado que el secretario técnico, no puede ser parte de una votación (en su mismo nombre lo indica) y por lo tanto el acuerdo deja ver que no hubo quorum lega. SEGUNDO. Que la clasificación de la información es excesiva, ya que dicha información es general y no compromete lo establecido en la prueba de daño. Este solicitante considera que los argumentos dentro de la prueba de daño son fuera de la realidad. TERCERO. El Municipio no agoto toda la búsqueda, ya que en reiteradas publicaciones se </w:t>
      </w:r>
      <w:r>
        <w:rPr>
          <w:rFonts w:ascii="Palatino Linotype" w:eastAsia="Palatino Linotype" w:hAnsi="Palatino Linotype" w:cs="Palatino Linotype"/>
          <w:i/>
          <w:color w:val="000000"/>
        </w:rPr>
        <w:lastRenderedPageBreak/>
        <w:t>ha dado a conocer de manera parcial o precisa la información y la razón de esta solicitud es el contraste de la información publicada por el mismo Municipio.</w:t>
      </w:r>
      <w:r>
        <w:rPr>
          <w:rFonts w:ascii="Palatino Linotype" w:eastAsia="Palatino Linotype" w:hAnsi="Palatino Linotype" w:cs="Palatino Linotype"/>
          <w:i/>
        </w:rPr>
        <w:t>” [</w:t>
      </w:r>
      <w:proofErr w:type="gramStart"/>
      <w:r>
        <w:rPr>
          <w:rFonts w:ascii="Palatino Linotype" w:eastAsia="Palatino Linotype" w:hAnsi="Palatino Linotype" w:cs="Palatino Linotype"/>
          <w:i/>
        </w:rPr>
        <w:t>sic</w:t>
      </w:r>
      <w:proofErr w:type="gramEnd"/>
      <w:r>
        <w:rPr>
          <w:rFonts w:ascii="Palatino Linotype" w:eastAsia="Palatino Linotype" w:hAnsi="Palatino Linotype" w:cs="Palatino Linotype"/>
          <w:i/>
        </w:rPr>
        <w:t>]</w:t>
      </w:r>
    </w:p>
    <w:p w:rsidR="007D05F6" w:rsidRDefault="00892F31">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rsidR="007D05F6" w:rsidRDefault="00892F31">
      <w:pPr>
        <w:spacing w:before="240" w:after="24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i/>
          <w:color w:val="000000"/>
        </w:rPr>
        <w:t xml:space="preserve">PRIMERO. Que después de visualizar el acuerdo de la versión pública, se presume improcedente, ya que dicho acuerdo no cuenta con las firmas de los integrantes que darían el quorum legal para la reserva de la misma. Así mismo un servidor reviso el portal de </w:t>
      </w:r>
      <w:proofErr w:type="spellStart"/>
      <w:r>
        <w:rPr>
          <w:rFonts w:ascii="Palatino Linotype" w:eastAsia="Palatino Linotype" w:hAnsi="Palatino Linotype" w:cs="Palatino Linotype"/>
          <w:i/>
          <w:color w:val="000000"/>
        </w:rPr>
        <w:t>ipomex</w:t>
      </w:r>
      <w:proofErr w:type="spellEnd"/>
      <w:r>
        <w:rPr>
          <w:rFonts w:ascii="Palatino Linotype" w:eastAsia="Palatino Linotype" w:hAnsi="Palatino Linotype" w:cs="Palatino Linotype"/>
          <w:i/>
          <w:color w:val="000000"/>
        </w:rPr>
        <w:t xml:space="preserve"> en la liga https://www.ipomex.org.mx/ipo3/lgt/indice/CUAUTITLANIZCALLI/art_92_xliii_b/3.web donde no encontró el acta que se pueda observar el sentido de los votos de los integrantes del mismo. Teniendo mucho cuidado que el secretario técnico, no puede ser parte de una votación (en su mismo nombre lo indica) y por lo tanto el acuerdo deja ver que no hubo quorum lega. SEGUNDO. Que la clasificación de la información es excesiva, ya que dicha información es general y no compromete lo establecido en la prueba de daño. Este solicitante considera que los argumentos dentro de la prueba de daño son fuera de la realidad. TERCERO. El Municipio no agoto toda la búsqueda, ya que en reiteradas publicaciones se ha dado a conocer de manera parcial o precisa la información y la razón de esta solicitud es el contraste de la información publicada por el mismo Municipio.” </w:t>
      </w:r>
      <w:r>
        <w:rPr>
          <w:rFonts w:ascii="Palatino Linotype" w:eastAsia="Palatino Linotype" w:hAnsi="Palatino Linotype" w:cs="Palatino Linotype"/>
          <w:i/>
        </w:rPr>
        <w:t>[</w:t>
      </w:r>
      <w:proofErr w:type="gramStart"/>
      <w:r>
        <w:rPr>
          <w:rFonts w:ascii="Palatino Linotype" w:eastAsia="Palatino Linotype" w:hAnsi="Palatino Linotype" w:cs="Palatino Linotype"/>
          <w:i/>
        </w:rPr>
        <w:t>sic</w:t>
      </w:r>
      <w:proofErr w:type="gramEnd"/>
      <w:r>
        <w:rPr>
          <w:rFonts w:ascii="Palatino Linotype" w:eastAsia="Palatino Linotype" w:hAnsi="Palatino Linotype" w:cs="Palatino Linotype"/>
          <w:i/>
        </w:rPr>
        <w:t>]</w:t>
      </w:r>
    </w:p>
    <w:p w:rsidR="007D05F6" w:rsidRDefault="00892F31">
      <w:pPr>
        <w:spacing w:before="240"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4. TURNO. </w:t>
      </w:r>
      <w:r>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sz w:val="24"/>
          <w:szCs w:val="24"/>
        </w:rPr>
        <w:t xml:space="preserve">Guadalupe Ramírez Peña, </w:t>
      </w:r>
      <w:r>
        <w:rPr>
          <w:rFonts w:ascii="Palatino Linotype" w:eastAsia="Palatino Linotype" w:hAnsi="Palatino Linotype" w:cs="Palatino Linotype"/>
          <w:sz w:val="24"/>
          <w:szCs w:val="24"/>
        </w:rPr>
        <w:t xml:space="preserve">a efecto de que analizara sobre su admisión o su </w:t>
      </w:r>
      <w:proofErr w:type="spellStart"/>
      <w:r>
        <w:rPr>
          <w:rFonts w:ascii="Palatino Linotype" w:eastAsia="Palatino Linotype" w:hAnsi="Palatino Linotype" w:cs="Palatino Linotype"/>
          <w:sz w:val="24"/>
          <w:szCs w:val="24"/>
        </w:rPr>
        <w:t>desechamiento</w:t>
      </w:r>
      <w:proofErr w:type="spellEnd"/>
      <w:r>
        <w:rPr>
          <w:rFonts w:ascii="Palatino Linotype" w:eastAsia="Palatino Linotype" w:hAnsi="Palatino Linotype" w:cs="Palatino Linotype"/>
          <w:sz w:val="24"/>
          <w:szCs w:val="24"/>
        </w:rPr>
        <w:t>.</w:t>
      </w:r>
    </w:p>
    <w:p w:rsidR="007D05F6" w:rsidRDefault="00892F3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5. ADMISIÓN DEL RECURSO DE REVISIÓN.</w:t>
      </w:r>
      <w:r>
        <w:rPr>
          <w:rFonts w:ascii="Palatino Linotype" w:eastAsia="Palatino Linotype" w:hAnsi="Palatino Linotype" w:cs="Palatino Linotype"/>
          <w:sz w:val="24"/>
          <w:szCs w:val="24"/>
        </w:rPr>
        <w:t xml:space="preserve"> Con fecha</w:t>
      </w:r>
      <w:r>
        <w:rPr>
          <w:rFonts w:ascii="Palatino Linotype" w:eastAsia="Palatino Linotype" w:hAnsi="Palatino Linotype" w:cs="Palatino Linotype"/>
          <w:b/>
          <w:sz w:val="24"/>
          <w:szCs w:val="24"/>
        </w:rPr>
        <w:t xml:space="preserve"> veinticinco de febrero de dos mil veintidós, </w:t>
      </w:r>
      <w:r>
        <w:rPr>
          <w:rFonts w:ascii="Palatino Linotype" w:eastAsia="Palatino Linotype" w:hAnsi="Palatino Linotype" w:cs="Palatino Linotype"/>
          <w:sz w:val="24"/>
          <w:szCs w:val="24"/>
        </w:rPr>
        <w:t xml:space="preserve">este Instituto de Transparencia, Acceso a la Información </w:t>
      </w:r>
      <w:r>
        <w:rPr>
          <w:rFonts w:ascii="Palatino Linotype" w:eastAsia="Palatino Linotype" w:hAnsi="Palatino Linotype" w:cs="Palatino Linotype"/>
          <w:sz w:val="24"/>
          <w:szCs w:val="24"/>
        </w:rPr>
        <w:lastRenderedPageBreak/>
        <w:t xml:space="preserve">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presentara su informe justificado.</w:t>
      </w:r>
    </w:p>
    <w:p w:rsidR="007D05F6" w:rsidRDefault="00892F31">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202124"/>
          <w:sz w:val="24"/>
          <w:szCs w:val="24"/>
        </w:rPr>
        <w:t xml:space="preserve">6. </w:t>
      </w:r>
      <w:r>
        <w:rPr>
          <w:rFonts w:ascii="Palatino Linotype" w:eastAsia="Palatino Linotype" w:hAnsi="Palatino Linotype" w:cs="Palatino Linotype"/>
          <w:b/>
          <w:sz w:val="24"/>
          <w:szCs w:val="24"/>
        </w:rPr>
        <w:t xml:space="preserve">INFORME JUSTIFICADO O MANIFESTACIONES. </w:t>
      </w:r>
      <w:r>
        <w:rPr>
          <w:rFonts w:ascii="Palatino Linotype" w:eastAsia="Palatino Linotype" w:hAnsi="Palatino Linotype" w:cs="Palatino Linotype"/>
          <w:sz w:val="24"/>
          <w:szCs w:val="24"/>
        </w:rPr>
        <w:t xml:space="preserve">El nueve de marzo de dos mil veintidós, se recibió, a través del Sistema de Acceso a la Información Mexiquense (SAIMEX), el Informe Justificado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través del siguiente archivo electrónico: </w:t>
      </w:r>
    </w:p>
    <w:p w:rsidR="007D05F6" w:rsidRDefault="00892F31">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000000"/>
          <w:sz w:val="24"/>
          <w:szCs w:val="24"/>
          <w:u w:val="single"/>
        </w:rPr>
        <w:t xml:space="preserve">89-1124 INFORME JUSTIFICADO.pdf: </w:t>
      </w:r>
      <w:r>
        <w:rPr>
          <w:rFonts w:ascii="Palatino Linotype" w:eastAsia="Palatino Linotype" w:hAnsi="Palatino Linotype" w:cs="Palatino Linotype"/>
          <w:color w:val="000000"/>
          <w:sz w:val="24"/>
          <w:szCs w:val="24"/>
        </w:rPr>
        <w:t xml:space="preserve">el cual contiene el oficio PM/CUT/0462/2021, signado por la C. María Isabel Cisneros Márquez, Coordinadora de Transparencia, mediante el cual describe los actos que obran en el archivo electrónico que forma parte del presente recurso de revisión, del mismo modo menciona que el acta de la trigésima octava sesión extraordinaria del Comité de Transparencia del Ayuntamiento de Cuautitlán Izcalli, celebrada el cuatro de febrero de dos mil veintiuno, el presidente del Comité de Transparencia declaró la existencia del quorum legal, mediante el cual se aprobó el acuerdo de reserva y no un acuerdo de versión pública, </w:t>
      </w:r>
      <w:proofErr w:type="spellStart"/>
      <w:r>
        <w:rPr>
          <w:rFonts w:ascii="Palatino Linotype" w:eastAsia="Palatino Linotype" w:hAnsi="Palatino Linotype" w:cs="Palatino Linotype"/>
          <w:color w:val="000000"/>
          <w:sz w:val="24"/>
          <w:szCs w:val="24"/>
        </w:rPr>
        <w:t>asi</w:t>
      </w:r>
      <w:proofErr w:type="spellEnd"/>
      <w:r>
        <w:rPr>
          <w:rFonts w:ascii="Palatino Linotype" w:eastAsia="Palatino Linotype" w:hAnsi="Palatino Linotype" w:cs="Palatino Linotype"/>
          <w:color w:val="000000"/>
          <w:sz w:val="24"/>
          <w:szCs w:val="24"/>
        </w:rPr>
        <w:t xml:space="preserve"> mismo resalta que el Lic. Hugo Salvador Viveros Alonso, Secretario Técnico del Comité de Transparencia y Titular de la Unidad de Archivo Municipal cuenta con las facultades y atribuciones para emitir su voto en las resoluciones del Comité de Transparencia. </w:t>
      </w:r>
    </w:p>
    <w:p w:rsidR="007D05F6" w:rsidRDefault="00892F31">
      <w:pPr>
        <w:spacing w:before="240"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lastRenderedPageBreak/>
        <w:t xml:space="preserve">8. CIERRE DE INSTRUCCIÓN. </w:t>
      </w:r>
      <w:r>
        <w:rPr>
          <w:rFonts w:ascii="Palatino Linotype" w:eastAsia="Palatino Linotype" w:hAnsi="Palatino Linotype" w:cs="Palatino Linotype"/>
          <w:color w:val="000000"/>
          <w:sz w:val="24"/>
          <w:szCs w:val="24"/>
        </w:rPr>
        <w:t xml:space="preserve">El veintiocho de abril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 </w:t>
      </w:r>
    </w:p>
    <w:p w:rsidR="007D05F6" w:rsidRDefault="00892F3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razón de que fue debidamente sustanciado el expediente electrónico y no existe diligencia pendiente de desahogo, se emite la Resolución que conforme a Derecho proceda, de acuerdo con los siguientes: </w:t>
      </w:r>
    </w:p>
    <w:p w:rsidR="007D05F6" w:rsidRDefault="00892F31">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9. AMPLIACIÓN DEL TÉRMINO PARA RESOLVER</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En fecha veintiocho de abril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rsidR="007D05F6" w:rsidRDefault="00892F31">
      <w:pPr>
        <w:widowControl w:val="0"/>
        <w:spacing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 O N S I D E R A N D O S</w:t>
      </w:r>
    </w:p>
    <w:p w:rsidR="007D05F6" w:rsidRDefault="00892F3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Pr>
          <w:rFonts w:ascii="Palatino Linotype" w:eastAsia="Palatino Linotype" w:hAnsi="Palatino Linotype" w:cs="Palatino Linotype"/>
          <w:sz w:val="24"/>
          <w:szCs w:val="24"/>
        </w:rPr>
        <w:lastRenderedPageBreak/>
        <w:t>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7D05F6" w:rsidRDefault="00892F3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SEGUNDO. OPORTUNIDAD Y PROCEDIBILIDAD DEL RECURSO DE REVISIÓN</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7D05F6" w:rsidRDefault="00892F3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remitió la respuesta a la solicitud de información el día </w:t>
      </w:r>
      <w:r>
        <w:rPr>
          <w:rFonts w:ascii="Palatino Linotype" w:eastAsia="Palatino Linotype" w:hAnsi="Palatino Linotype" w:cs="Palatino Linotype"/>
          <w:b/>
          <w:sz w:val="24"/>
          <w:szCs w:val="24"/>
        </w:rPr>
        <w:t xml:space="preserve">diecisiete de febrero de dos mil veintidós, </w:t>
      </w:r>
      <w:r>
        <w:rPr>
          <w:rFonts w:ascii="Palatino Linotype" w:eastAsia="Palatino Linotype" w:hAnsi="Palatino Linotype" w:cs="Palatino Linotype"/>
          <w:sz w:val="24"/>
          <w:szCs w:val="24"/>
        </w:rPr>
        <w:t xml:space="preserve">mientras que el recurso de revisión interpuesto por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se tuvo por presentado el día </w:t>
      </w:r>
      <w:r>
        <w:rPr>
          <w:rFonts w:ascii="Palatino Linotype" w:eastAsia="Palatino Linotype" w:hAnsi="Palatino Linotype" w:cs="Palatino Linotype"/>
          <w:b/>
          <w:sz w:val="24"/>
          <w:szCs w:val="24"/>
        </w:rPr>
        <w:t>veintidós de febrero de dos mil veintidós</w:t>
      </w:r>
      <w:r>
        <w:rPr>
          <w:rFonts w:ascii="Palatino Linotype" w:eastAsia="Palatino Linotype" w:hAnsi="Palatino Linotype" w:cs="Palatino Linotype"/>
          <w:sz w:val="24"/>
          <w:szCs w:val="24"/>
        </w:rPr>
        <w:t>, esto es, al tercer día hábil en que tuvo conocimiento de la respuesta impugnada.</w:t>
      </w:r>
    </w:p>
    <w:p w:rsidR="007D05F6" w:rsidRDefault="00892F31">
      <w:pPr>
        <w:spacing w:before="240" w:after="240" w:line="360" w:lineRule="auto"/>
        <w:jc w:val="both"/>
        <w:rPr>
          <w:rFonts w:ascii="Palatino Linotype" w:eastAsia="Palatino Linotype" w:hAnsi="Palatino Linotype" w:cs="Palatino Linotype"/>
          <w:sz w:val="24"/>
          <w:szCs w:val="24"/>
        </w:rPr>
      </w:pPr>
      <w:bookmarkStart w:id="0" w:name="_heading=h.3znysh7" w:colFirst="0" w:colLast="0"/>
      <w:bookmarkEnd w:id="0"/>
      <w:r>
        <w:rPr>
          <w:rFonts w:ascii="Palatino Linotype" w:eastAsia="Palatino Linotype" w:hAnsi="Palatino Linotype" w:cs="Palatino Linotype"/>
          <w:sz w:val="24"/>
          <w:szCs w:val="24"/>
        </w:rPr>
        <w:lastRenderedPageBreak/>
        <w:t xml:space="preserve">En este sentido, al considerar la fecha en que se formuló la solicitud y la fecha en que respondió a ésta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así como la fecha en que se interpuso el recurso de revisión, se concluye que el presente recurso de revisión se encuentra dentro de los márgenes temporales previstos las disposiciones legales referidas.</w:t>
      </w:r>
    </w:p>
    <w:p w:rsidR="007D05F6" w:rsidRDefault="00892F3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cuanto hace a la procedibilidad del recurso de revisión, es de suma importancia señalar que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no señaló nombre o seudónimo 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7D05F6" w:rsidRDefault="00892F31">
      <w:pPr>
        <w:spacing w:before="240" w:after="24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Las solicitudes anónimas</w:t>
      </w:r>
      <w:r>
        <w:rPr>
          <w:rFonts w:ascii="Palatino Linotype" w:eastAsia="Palatino Linotype" w:hAnsi="Palatino Linotype" w:cs="Palatino Linotype"/>
          <w:i/>
        </w:rPr>
        <w:t xml:space="preserve">, con nombre incompleto o seudónimo </w:t>
      </w:r>
      <w:r>
        <w:rPr>
          <w:rFonts w:ascii="Palatino Linotype" w:eastAsia="Palatino Linotype" w:hAnsi="Palatino Linotype" w:cs="Palatino Linotype"/>
          <w:b/>
          <w:i/>
        </w:rPr>
        <w:t>serán procedentes para su trámite por parte del sujeto obligado ante quien se presente</w:t>
      </w:r>
      <w:r>
        <w:rPr>
          <w:rFonts w:ascii="Palatino Linotype" w:eastAsia="Palatino Linotype" w:hAnsi="Palatino Linotype" w:cs="Palatino Linotype"/>
          <w:i/>
        </w:rPr>
        <w:t>. No podrá requerirse información adicional con motivo del nombre proporcionado por el solicitante."</w:t>
      </w:r>
    </w:p>
    <w:p w:rsidR="007D05F6" w:rsidRDefault="00892F3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sz w:val="24"/>
          <w:szCs w:val="24"/>
        </w:rPr>
        <w:t xml:space="preserve">EL SAIMEX.  </w:t>
      </w:r>
    </w:p>
    <w:p w:rsidR="007D05F6" w:rsidRDefault="00892F31">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Finalmente, resulta procedente la interposición del recurso, según lo aducido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sus razones o motivos de inconformidad, de acuerdo al artículo 179, fracción II de la Ley de Transparencia y Acceso a la Información Pública del Estado de México y Municipios; que a la letra dice:</w:t>
      </w:r>
    </w:p>
    <w:p w:rsidR="007D05F6" w:rsidRDefault="00892F31">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rsidR="007D05F6" w:rsidRDefault="00892F31">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w:t>
      </w:r>
    </w:p>
    <w:p w:rsidR="007D05F6" w:rsidRDefault="00892F31">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II. La clasificación de la información;” (Sic)</w:t>
      </w:r>
    </w:p>
    <w:p w:rsidR="007D05F6" w:rsidRDefault="00892F3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MATERIA DE LA REVISIÓN. </w:t>
      </w:r>
      <w:r>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es adecuada y suficiente para satisfacer el derecho de acceso a la información pública de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o en su defecto, en caso de ser procedente, ordenar la entrega de información oportuna.</w:t>
      </w:r>
    </w:p>
    <w:p w:rsidR="007D05F6" w:rsidRDefault="00892F31">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CUARTO. ESTUDIO Y RESOLUCIÓN DEL ASUNTO.  </w:t>
      </w:r>
      <w:r>
        <w:rPr>
          <w:rFonts w:ascii="Palatino Linotype" w:eastAsia="Palatino Linotype" w:hAnsi="Palatino Linotype" w:cs="Palatino Linotype"/>
          <w:sz w:val="24"/>
          <w:szCs w:val="24"/>
        </w:rPr>
        <w:t xml:space="preserve">Es conveniente resaltar que la Ley de Transparencia de la Entidad, señala expresamente que toda la información generada, administrada o en posesión de los Sujetos Obligados, derivado del ejercicio de sus atribuciones debe ser accesible de manera permanente </w:t>
      </w:r>
      <w:r>
        <w:rPr>
          <w:rFonts w:ascii="Palatino Linotype" w:eastAsia="Palatino Linotype" w:hAnsi="Palatino Linotype" w:cs="Palatino Linotype"/>
          <w:sz w:val="24"/>
          <w:szCs w:val="24"/>
        </w:rPr>
        <w:lastRenderedPageBreak/>
        <w:t>a cualquier persona, ello en privilegio del principio de máxima publicidad, en razón de que tiene el carácter de ser pública, tal y como se lee a continuación:</w:t>
      </w:r>
    </w:p>
    <w:p w:rsidR="007D05F6" w:rsidRDefault="00892F31">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7D05F6" w:rsidRDefault="00892F31">
      <w:pPr>
        <w:ind w:left="851" w:right="900"/>
        <w:jc w:val="both"/>
        <w:rPr>
          <w:rFonts w:ascii="Palatino Linotype" w:eastAsia="Palatino Linotype" w:hAnsi="Palatino Linotype" w:cs="Palatino Linotype"/>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D05F6" w:rsidRDefault="00892F31">
      <w:pPr>
        <w:spacing w:before="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7D05F6" w:rsidRDefault="00892F31">
      <w:pPr>
        <w:spacing w:before="240" w:after="24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7D05F6" w:rsidRDefault="00892F31">
      <w:pPr>
        <w:spacing w:before="240" w:after="24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w:t>
      </w:r>
      <w:r>
        <w:rPr>
          <w:rFonts w:ascii="Palatino Linotype" w:eastAsia="Palatino Linotype" w:hAnsi="Palatino Linotype" w:cs="Palatino Linotype"/>
          <w:i/>
        </w:rPr>
        <w:lastRenderedPageBreak/>
        <w:t>misma, ni el presentarla conforme al interés del solicitante; no estarán obligados a generarla, resumirla, efectuar cálculos o practicar investigaciones.</w:t>
      </w:r>
    </w:p>
    <w:p w:rsidR="007D05F6" w:rsidRDefault="00892F3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Pr>
          <w:rFonts w:ascii="Palatino Linotype" w:eastAsia="Palatino Linotype" w:hAnsi="Palatino Linotype" w:cs="Palatino Linotype"/>
          <w:i/>
          <w:sz w:val="24"/>
          <w:szCs w:val="24"/>
        </w:rPr>
        <w:t>ad hoc</w:t>
      </w:r>
      <w:r>
        <w:rPr>
          <w:rFonts w:ascii="Palatino Linotype" w:eastAsia="Palatino Linotype" w:hAnsi="Palatino Linotype" w:cs="Palatino Linotype"/>
          <w:sz w:val="24"/>
          <w:szCs w:val="24"/>
        </w:rPr>
        <w:t>, para satisfacer el derecho de acceso a la información pública.</w:t>
      </w:r>
    </w:p>
    <w:p w:rsidR="007D05F6" w:rsidRDefault="00892F3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Aunado a ello el artículo 24 de la Ley de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7D05F6" w:rsidRDefault="00892F3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w:t>
      </w:r>
      <w:r>
        <w:rPr>
          <w:rFonts w:ascii="Palatino Linotype" w:eastAsia="Palatino Linotype" w:hAnsi="Palatino Linotype" w:cs="Palatino Linotype"/>
          <w:sz w:val="24"/>
          <w:szCs w:val="24"/>
        </w:rPr>
        <w:lastRenderedPageBreak/>
        <w:t xml:space="preserve">memorandos, estadísticas o bien, </w:t>
      </w:r>
      <w:r>
        <w:rPr>
          <w:rFonts w:ascii="Palatino Linotype" w:eastAsia="Palatino Linotype" w:hAnsi="Palatino Linotype" w:cs="Palatino Linotype"/>
          <w:b/>
          <w:sz w:val="24"/>
          <w:szCs w:val="24"/>
        </w:rPr>
        <w:t>cualquier otro registro que documente el ejercicio de las facultades, funciones y competencias de los Sujetos Obligados</w:t>
      </w:r>
      <w:r>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Pr>
          <w:rFonts w:ascii="Palatino Linotype" w:eastAsia="Palatino Linotype" w:hAnsi="Palatino Linotype" w:cs="Palatino Linotype"/>
        </w:rPr>
        <w:t xml:space="preserve"> </w:t>
      </w:r>
    </w:p>
    <w:p w:rsidR="007D05F6" w:rsidRDefault="00892F31">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rsidR="007D05F6" w:rsidRDefault="00892F31">
      <w:pPr>
        <w:ind w:left="1134" w:right="899"/>
        <w:jc w:val="both"/>
        <w:rPr>
          <w:rFonts w:ascii="Palatino Linotype" w:eastAsia="Palatino Linotype" w:hAnsi="Palatino Linotype" w:cs="Palatino Linotype"/>
          <w:i/>
        </w:rPr>
      </w:pPr>
      <w:r>
        <w:rPr>
          <w:rFonts w:ascii="Palatino Linotype" w:eastAsia="Palatino Linotype" w:hAnsi="Palatino Linotype" w:cs="Palatino Linotype"/>
          <w:i/>
        </w:rPr>
        <w:t>…</w:t>
      </w:r>
    </w:p>
    <w:p w:rsidR="007D05F6" w:rsidRDefault="00892F31">
      <w:pPr>
        <w:ind w:left="1134" w:right="899"/>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rPr>
        <w:t>…</w:t>
      </w:r>
      <w:r>
        <w:rPr>
          <w:rFonts w:ascii="Palatino Linotype" w:eastAsia="Palatino Linotype" w:hAnsi="Palatino Linotype" w:cs="Palatino Linotype"/>
          <w:i/>
        </w:rPr>
        <w:t>”</w:t>
      </w:r>
    </w:p>
    <w:p w:rsidR="007D05F6" w:rsidRDefault="00892F3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7D05F6" w:rsidRDefault="007D05F6">
      <w:pPr>
        <w:spacing w:line="360" w:lineRule="auto"/>
        <w:jc w:val="both"/>
        <w:rPr>
          <w:rFonts w:ascii="Palatino Linotype" w:eastAsia="Palatino Linotype" w:hAnsi="Palatino Linotype" w:cs="Palatino Linotype"/>
          <w:sz w:val="24"/>
          <w:szCs w:val="24"/>
        </w:rPr>
      </w:pPr>
    </w:p>
    <w:p w:rsidR="007D05F6" w:rsidRDefault="00892F31">
      <w:pPr>
        <w:spacing w:before="120" w:after="120"/>
        <w:ind w:left="851" w:right="902"/>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rsidR="007D05F6" w:rsidRDefault="00892F31">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INFORMACIÓN PÚBLICA, CONCEPTO DE, EN MATERIA DE TRANSPARENCIA. INTERPRETACIÓN SISTEMÁTICA DE LOS </w:t>
      </w:r>
      <w:r>
        <w:rPr>
          <w:rFonts w:ascii="Palatino Linotype" w:eastAsia="Palatino Linotype" w:hAnsi="Palatino Linotype" w:cs="Palatino Linotype"/>
          <w:b/>
          <w:i/>
        </w:rPr>
        <w:lastRenderedPageBreak/>
        <w:t>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7D05F6" w:rsidRDefault="00892F31">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rsidR="007D05F6" w:rsidRDefault="00892F31">
      <w:pPr>
        <w:spacing w:before="120" w:after="120"/>
        <w:ind w:left="1134" w:right="902"/>
        <w:jc w:val="both"/>
        <w:rPr>
          <w:rFonts w:ascii="Palatino Linotype" w:eastAsia="Palatino Linotype" w:hAnsi="Palatino Linotype" w:cs="Palatino Linotype"/>
          <w:b/>
          <w:i/>
        </w:rPr>
      </w:pPr>
      <w:r>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rsidR="007D05F6" w:rsidRDefault="00892F31">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7D05F6" w:rsidRDefault="00892F31">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rsidR="007D05F6" w:rsidRDefault="007D05F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FF0000"/>
          <w:sz w:val="24"/>
          <w:szCs w:val="24"/>
        </w:rPr>
      </w:pPr>
    </w:p>
    <w:p w:rsidR="007D05F6" w:rsidRDefault="00892F3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Ahora bien, del análisis de la solicitud de información, motivo del recurso de revisión que ahora se resuelve se advierte que la parte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requirió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le proporcione, información consistente en lo siguiente:</w:t>
      </w:r>
    </w:p>
    <w:p w:rsidR="007D05F6" w:rsidRDefault="00892F3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color w:val="000000"/>
          <w:sz w:val="24"/>
          <w:szCs w:val="24"/>
        </w:rPr>
        <w:t xml:space="preserve">Número de vehículos que están dentro de patrimonio del municipio, </w:t>
      </w:r>
      <w:r>
        <w:rPr>
          <w:rFonts w:ascii="Palatino Linotype" w:eastAsia="Palatino Linotype" w:hAnsi="Palatino Linotype" w:cs="Palatino Linotype"/>
          <w:sz w:val="24"/>
          <w:szCs w:val="24"/>
        </w:rPr>
        <w:t>así</w:t>
      </w:r>
      <w:r>
        <w:rPr>
          <w:rFonts w:ascii="Palatino Linotype" w:eastAsia="Palatino Linotype" w:hAnsi="Palatino Linotype" w:cs="Palatino Linotype"/>
          <w:color w:val="000000"/>
          <w:sz w:val="24"/>
          <w:szCs w:val="24"/>
        </w:rPr>
        <w:t xml:space="preserve"> como las tarjetas de circulación que acrediten lo solicitado.</w:t>
      </w:r>
    </w:p>
    <w:p w:rsidR="007D05F6" w:rsidRDefault="00892F31">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respuesta,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sz w:val="24"/>
          <w:szCs w:val="24"/>
        </w:rPr>
        <w:t xml:space="preserve">a través de la Coordinación de Patrimonio, se menciona que se encuentran registrados 447 vehículos anexando tarjetas de </w:t>
      </w:r>
      <w:r>
        <w:rPr>
          <w:rFonts w:ascii="Palatino Linotype" w:eastAsia="Palatino Linotype" w:hAnsi="Palatino Linotype" w:cs="Palatino Linotype"/>
          <w:sz w:val="24"/>
          <w:szCs w:val="24"/>
        </w:rPr>
        <w:lastRenderedPageBreak/>
        <w:t xml:space="preserve">circulación, de los cuales no se incluyen la cantidad de automotores designados a la Comisaria General de Seguridad Ciudadana, toda vez que es información reservada, </w:t>
      </w:r>
      <w:r>
        <w:rPr>
          <w:rFonts w:ascii="Palatino Linotype" w:eastAsia="Palatino Linotype" w:hAnsi="Palatino Linotype" w:cs="Palatino Linotype"/>
          <w:color w:val="000000"/>
          <w:sz w:val="24"/>
          <w:szCs w:val="24"/>
        </w:rPr>
        <w:t>por lo cual adjunta el acuerdo 042/CUAUTIZC/CT/CGSPT/2021, en donde se clasifica la información con carácter de reservada consistente en el número de vehículos adscritos a la Comisaria General de Seguridad Ciudadana.</w:t>
      </w:r>
    </w:p>
    <w:p w:rsidR="007D05F6" w:rsidRDefault="00892F31">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Ahora bien, </w:t>
      </w:r>
      <w:r>
        <w:rPr>
          <w:rFonts w:ascii="Palatino Linotype" w:eastAsia="Palatino Linotype" w:hAnsi="Palatino Linotype" w:cs="Palatino Linotype"/>
          <w:color w:val="000000"/>
          <w:sz w:val="24"/>
          <w:szCs w:val="24"/>
        </w:rPr>
        <w:t xml:space="preserve">resulta oportuno mencionar que de los motivos de inconformidad, se advierte que, el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sólo se inconforma, por la clasificación de la información respecto al número de vehículos con los que cuenta la </w:t>
      </w:r>
      <w:r>
        <w:rPr>
          <w:rFonts w:ascii="Palatino Linotype" w:eastAsia="Palatino Linotype" w:hAnsi="Palatino Linotype" w:cs="Palatino Linotype"/>
          <w:sz w:val="24"/>
          <w:szCs w:val="24"/>
        </w:rPr>
        <w:t>Comisaría</w:t>
      </w:r>
      <w:r>
        <w:rPr>
          <w:rFonts w:ascii="Palatino Linotype" w:eastAsia="Palatino Linotype" w:hAnsi="Palatino Linotype" w:cs="Palatino Linotype"/>
          <w:color w:val="000000"/>
          <w:sz w:val="24"/>
          <w:szCs w:val="24"/>
        </w:rPr>
        <w:t xml:space="preserve"> General de Seguridad Pública, por lo que la parte de la respuesta que no fue impugnada debe declararse consentida por el hoy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en razón de que no se realizaron manifestaciones de inconformidad respecto al número de vehículos del Ayuntamiento de Cuautitlán Izcalli y las tarjetas de circulación proporcionadas, por lo que no pueden producirse efectos jurídicos tendentes a revocar, confirmar o modificar el acto reclamado ya que se infiere un consentimiento del</w:t>
      </w:r>
      <w:r>
        <w:rPr>
          <w:rFonts w:ascii="Palatino Linotype" w:eastAsia="Palatino Linotype" w:hAnsi="Palatino Linotype" w:cs="Palatino Linotype"/>
          <w:b/>
          <w:color w:val="000000"/>
          <w:sz w:val="24"/>
          <w:szCs w:val="24"/>
        </w:rPr>
        <w:t xml:space="preserve"> RECURRENTE</w:t>
      </w:r>
      <w:r>
        <w:rPr>
          <w:rFonts w:ascii="Palatino Linotype" w:eastAsia="Palatino Linotype" w:hAnsi="Palatino Linotype" w:cs="Palatino Linotype"/>
          <w:color w:val="000000"/>
          <w:sz w:val="24"/>
          <w:szCs w:val="24"/>
        </w:rPr>
        <w:t xml:space="preserve"> ante la falta de impugnación eficaz. </w:t>
      </w:r>
    </w:p>
    <w:p w:rsidR="007D05F6" w:rsidRDefault="00892F31">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Sirve de sustento a lo anterior, por analogía, la tesis jurisprudencial número VI.3o.C. J/60, publicada en el Semanario Judicial de la Federación y su Gaceta bajo el número de registro 176,608 que a la letra dice:</w:t>
      </w:r>
    </w:p>
    <w:p w:rsidR="007D05F6" w:rsidRDefault="00892F31">
      <w:pPr>
        <w:shd w:val="clear" w:color="auto" w:fill="FFFFFF"/>
        <w:spacing w:before="120" w:after="120" w:line="276" w:lineRule="auto"/>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ACTOS CONSENTIDOS. SON LOS QUE NO SE IMPUGNAN MEDIANTE EL RECURSO IDÓNEO</w:t>
      </w:r>
      <w:r>
        <w:rPr>
          <w:rFonts w:ascii="Palatino Linotype" w:eastAsia="Palatino Linotype" w:hAnsi="Palatino Linotype" w:cs="Palatino Linotype"/>
          <w:i/>
          <w:color w:val="000000"/>
        </w:rPr>
        <w:t xml:space="preserve">. Debe reputarse como consentido el acto que no se impugnó por el medio establecido por la ley, ya que si se hizo uso de otro no previsto por ella o si se hace una simple manifestación de inconformidad, tales </w:t>
      </w:r>
      <w:r>
        <w:rPr>
          <w:rFonts w:ascii="Palatino Linotype" w:eastAsia="Palatino Linotype" w:hAnsi="Palatino Linotype" w:cs="Palatino Linotype"/>
          <w:i/>
          <w:color w:val="000000"/>
        </w:rPr>
        <w:lastRenderedPageBreak/>
        <w:t>actuaciones no producen efectos jurídicos tendientes a revocar, confirmar o modificar el acto reclamado en amparo, lo que significa consentimiento del mismo por falta de impugnación eficaz.”</w:t>
      </w:r>
    </w:p>
    <w:p w:rsidR="007D05F6" w:rsidRDefault="00892F31">
      <w:pPr>
        <w:spacing w:before="280"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Lo anterior es así, debido a que, cuando el </w:t>
      </w:r>
      <w:r>
        <w:rPr>
          <w:rFonts w:ascii="Palatino Linotype" w:eastAsia="Palatino Linotype" w:hAnsi="Palatino Linotype" w:cs="Palatino Linotype"/>
          <w:b/>
          <w:color w:val="000000"/>
          <w:sz w:val="24"/>
          <w:szCs w:val="24"/>
        </w:rPr>
        <w:t xml:space="preserve">RECURRENTE </w:t>
      </w:r>
      <w:r>
        <w:rPr>
          <w:rFonts w:ascii="Palatino Linotype" w:eastAsia="Palatino Linotype" w:hAnsi="Palatino Linotype" w:cs="Palatino Linotype"/>
          <w:color w:val="000000"/>
          <w:sz w:val="24"/>
          <w:szCs w:val="24"/>
        </w:rPr>
        <w:t xml:space="preserve">impugna la respuesta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y no expresa razón o motivo de inconformidad en contra de todos los rubros solicitados; dichos rubros, deben declararse atendidos pues se entiende que el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está conforme con la información al no contravenir la misma.</w:t>
      </w:r>
    </w:p>
    <w:p w:rsidR="007D05F6" w:rsidRDefault="00892F31">
      <w:pPr>
        <w:spacing w:after="0" w:line="360" w:lineRule="auto"/>
        <w:ind w:right="51"/>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Consecuentemente, la parte de la respuesta que no fue impugnada debe declararse consentida, toda vez que, el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no realizó manifestaciones de inconformidad; por lo que, no pueden producirse efectos jurídicos tendentes a revocar, confirmar o modificar el acto reclamado, ya que se infiere su consentimiento ante la falta de impugnación eficaz.</w:t>
      </w:r>
    </w:p>
    <w:p w:rsidR="007D05F6" w:rsidRDefault="007D05F6">
      <w:pPr>
        <w:spacing w:after="0" w:line="360" w:lineRule="auto"/>
        <w:ind w:right="51"/>
        <w:jc w:val="both"/>
        <w:rPr>
          <w:rFonts w:ascii="Palatino Linotype" w:eastAsia="Palatino Linotype" w:hAnsi="Palatino Linotype" w:cs="Palatino Linotype"/>
          <w:color w:val="000000"/>
          <w:sz w:val="18"/>
          <w:szCs w:val="18"/>
        </w:rPr>
      </w:pPr>
    </w:p>
    <w:p w:rsidR="007D05F6" w:rsidRDefault="00892F31">
      <w:pPr>
        <w:spacing w:after="0" w:line="360" w:lineRule="auto"/>
        <w:ind w:right="51"/>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24"/>
          <w:szCs w:val="24"/>
        </w:rPr>
        <w:t>Sirve como apoyo a lo anterior, por analogía, la Tesis Jurisprudencial Número 3ª./J.7/91, Publicada en el Semanario Judicial de la Federación y su Gaceta bajo el número de registro 174,177, que establece lo siguiente:</w:t>
      </w:r>
    </w:p>
    <w:p w:rsidR="007D05F6" w:rsidRDefault="00892F31">
      <w:pPr>
        <w:spacing w:after="0" w:line="240" w:lineRule="auto"/>
        <w:ind w:left="1080" w:right="918"/>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000000"/>
        </w:rPr>
        <w:t xml:space="preserve">“REVISIÓN EN AMPARO. LOS RESOLUTIVOS NO COMBATIDOS DEBEN DECLARARSE FIRMES. </w:t>
      </w:r>
      <w:r>
        <w:rPr>
          <w:rFonts w:ascii="Palatino Linotype" w:eastAsia="Palatino Linotype" w:hAnsi="Palatino Linotype" w:cs="Palatino Linotype"/>
          <w:i/>
          <w:color w:val="000000"/>
        </w:rPr>
        <w:t xml:space="preserve">Cuando algún resolutivo de la sentencia impugnada afecta a la </w:t>
      </w:r>
      <w:r>
        <w:rPr>
          <w:rFonts w:ascii="Palatino Linotype" w:eastAsia="Palatino Linotype" w:hAnsi="Palatino Linotype" w:cs="Palatino Linotype"/>
          <w:b/>
          <w:i/>
          <w:color w:val="000000"/>
        </w:rPr>
        <w:t>RECURRENTE</w:t>
      </w:r>
      <w:r>
        <w:rPr>
          <w:rFonts w:ascii="Palatino Linotype" w:eastAsia="Palatino Linotype" w:hAnsi="Palatino Linotype" w:cs="Palatino Linotype"/>
          <w:i/>
          <w:color w:val="000000"/>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Pr>
          <w:rFonts w:ascii="Palatino Linotype" w:eastAsia="Palatino Linotype" w:hAnsi="Palatino Linotype" w:cs="Palatino Linotype"/>
          <w:b/>
          <w:i/>
          <w:color w:val="000000"/>
        </w:rPr>
        <w:t>RECURRENTE</w:t>
      </w:r>
      <w:r>
        <w:rPr>
          <w:rFonts w:ascii="Palatino Linotype" w:eastAsia="Palatino Linotype" w:hAnsi="Palatino Linotype" w:cs="Palatino Linotype"/>
          <w:i/>
          <w:color w:val="000000"/>
        </w:rPr>
        <w:t xml:space="preserve">, deben declararse firmes aquéllos en contra de los cuales no se formuló agravio y dicha declaración de firmeza debe reflejarse en la parte considerativa y en los </w:t>
      </w:r>
      <w:r>
        <w:rPr>
          <w:rFonts w:ascii="Palatino Linotype" w:eastAsia="Palatino Linotype" w:hAnsi="Palatino Linotype" w:cs="Palatino Linotype"/>
          <w:i/>
          <w:color w:val="000000"/>
        </w:rPr>
        <w:lastRenderedPageBreak/>
        <w:t>resolutivos debe confirmarse la sentencia recurrida en la parte correspondiente.”</w:t>
      </w:r>
    </w:p>
    <w:p w:rsidR="007D05F6" w:rsidRDefault="00892F3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Por otro lado, </w:t>
      </w:r>
      <w:r>
        <w:rPr>
          <w:rFonts w:ascii="Palatino Linotype" w:eastAsia="Palatino Linotype" w:hAnsi="Palatino Linotype" w:cs="Palatino Linotype"/>
          <w:sz w:val="24"/>
          <w:szCs w:val="24"/>
        </w:rPr>
        <w:t xml:space="preserve">en su respuesta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reservó la información; por lo que se considera pertinente analizar la naturaleza jurídica de la información materia del presente punto, con la finalidad de establecer si la misma es información pública susceptible de ser entregada.</w:t>
      </w:r>
    </w:p>
    <w:p w:rsidR="007D05F6" w:rsidRDefault="00892F31">
      <w:pPr>
        <w:pBdr>
          <w:top w:val="nil"/>
          <w:left w:val="nil"/>
          <w:bottom w:val="nil"/>
          <w:right w:val="nil"/>
          <w:between w:val="nil"/>
        </w:pBdr>
        <w:shd w:val="clear" w:color="auto" w:fill="FFFFFF"/>
        <w:spacing w:after="28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Motivo por el cual se considera de suma importancia citar el artículo 7 de la Ley de Transparencia vigente en la entidad, cuyo contenido es el siguiente:</w:t>
      </w:r>
    </w:p>
    <w:p w:rsidR="007D05F6" w:rsidRDefault="00892F31">
      <w:pPr>
        <w:spacing w:line="276" w:lineRule="auto"/>
        <w:ind w:left="993" w:right="104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7. </w:t>
      </w:r>
      <w:r>
        <w:rPr>
          <w:rFonts w:ascii="Palatino Linotype" w:eastAsia="Palatino Linotype" w:hAnsi="Palatino Linotype" w:cs="Palatino Linotype"/>
          <w:b/>
          <w:i/>
          <w:u w:val="single"/>
        </w:rPr>
        <w:t>El Estado de México garantizará el efectivo acceso de toda persona a la información en posesión de cualquier entidad, autoridad, órgano y organismo de los poderes Ejecutivo, Legislativo y Judicial</w:t>
      </w:r>
      <w:r>
        <w:rPr>
          <w:rFonts w:ascii="Palatino Linotype" w:eastAsia="Palatino Linotype" w:hAnsi="Palatino Linotype" w:cs="Palatino Linotype"/>
          <w:i/>
        </w:rPr>
        <w:t>, órganos autónomos, partidos políticos, fideicomisos y fondos públicos, así como de cualquier persona física, jurídico colectiva o sindicato que reciba y ejerza recursos públicos o realice actos de autoridad en el ámbito de competencia del Estado de México y sus municipios.” (Sic)</w:t>
      </w:r>
    </w:p>
    <w:p w:rsidR="007D05F6" w:rsidRDefault="007D05F6">
      <w:pPr>
        <w:spacing w:line="276" w:lineRule="auto"/>
        <w:ind w:right="1041"/>
        <w:jc w:val="both"/>
        <w:rPr>
          <w:rFonts w:ascii="Palatino Linotype" w:eastAsia="Palatino Linotype" w:hAnsi="Palatino Linotype" w:cs="Palatino Linotype"/>
          <w:i/>
        </w:rPr>
      </w:pPr>
    </w:p>
    <w:p w:rsidR="007D05F6" w:rsidRDefault="00892F3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Expuesto lo anterior conviene hacer alusión a la Ley de Seguridad del Estado de México, misma que contempla en su artículo 2 que la </w:t>
      </w:r>
      <w:r>
        <w:rPr>
          <w:rFonts w:ascii="Palatino Linotype" w:eastAsia="Palatino Linotype" w:hAnsi="Palatino Linotype" w:cs="Palatino Linotype"/>
          <w:i/>
          <w:sz w:val="24"/>
          <w:szCs w:val="24"/>
        </w:rPr>
        <w:t xml:space="preserve">seguridad pública es una función a cargo del Estado y los Municipios, que tiene como fines salvaguardar la integridad y derechos de las personas, así como preservar las libertades, el orden y la paz públicos y comprende la prevención especial y general de los delitos, la investigación para hacerla efectiva, así como la investigación y la persecución de los delitos, la reinserción social del </w:t>
      </w:r>
      <w:r>
        <w:rPr>
          <w:rFonts w:ascii="Palatino Linotype" w:eastAsia="Palatino Linotype" w:hAnsi="Palatino Linotype" w:cs="Palatino Linotype"/>
          <w:i/>
          <w:sz w:val="24"/>
          <w:szCs w:val="24"/>
        </w:rPr>
        <w:lastRenderedPageBreak/>
        <w:t>individuo y la sanción de las infracciones administrativas, en las competencias respectivas en términos de esta Ley y demás ordenamientos jurídicos aplicables</w:t>
      </w:r>
      <w:r>
        <w:rPr>
          <w:rFonts w:ascii="Palatino Linotype" w:eastAsia="Palatino Linotype" w:hAnsi="Palatino Linotype" w:cs="Palatino Linotype"/>
          <w:sz w:val="24"/>
          <w:szCs w:val="24"/>
        </w:rPr>
        <w:t>.</w:t>
      </w:r>
    </w:p>
    <w:p w:rsidR="007D05F6" w:rsidRDefault="00892F3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el artículo 4° de la Ley en comento,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rsidR="007D05F6" w:rsidRDefault="00892F31">
      <w:pPr>
        <w:spacing w:line="360" w:lineRule="auto"/>
        <w:jc w:val="both"/>
        <w:rPr>
          <w:rFonts w:ascii="Palatino Linotype" w:eastAsia="Palatino Linotype" w:hAnsi="Palatino Linotype" w:cs="Palatino Linotype"/>
          <w:sz w:val="28"/>
          <w:szCs w:val="28"/>
        </w:rPr>
      </w:pPr>
      <w:r>
        <w:rPr>
          <w:rFonts w:ascii="Palatino Linotype" w:eastAsia="Palatino Linotype" w:hAnsi="Palatino Linotype" w:cs="Palatino Linotype"/>
          <w:sz w:val="24"/>
          <w:szCs w:val="24"/>
        </w:rPr>
        <w:t>En el ámbito municipal, son autoridades en materia de seguridad pública a las siguientes:</w:t>
      </w:r>
    </w:p>
    <w:p w:rsidR="007D05F6" w:rsidRDefault="00892F31">
      <w:pPr>
        <w:spacing w:after="120"/>
        <w:ind w:left="567"/>
        <w:jc w:val="both"/>
        <w:rPr>
          <w:rFonts w:ascii="Palatino Linotype" w:eastAsia="Palatino Linotype" w:hAnsi="Palatino Linotype" w:cs="Palatino Linotype"/>
          <w:i/>
        </w:rPr>
      </w:pPr>
      <w:r>
        <w:rPr>
          <w:rFonts w:ascii="Palatino Linotype" w:eastAsia="Palatino Linotype" w:hAnsi="Palatino Linotype" w:cs="Palatino Linotype"/>
          <w:i/>
        </w:rPr>
        <w:t xml:space="preserve">I. Los ayuntamientos; </w:t>
      </w:r>
    </w:p>
    <w:p w:rsidR="007D05F6" w:rsidRDefault="00892F31">
      <w:pPr>
        <w:spacing w:after="120"/>
        <w:ind w:left="567"/>
        <w:jc w:val="both"/>
        <w:rPr>
          <w:rFonts w:ascii="Palatino Linotype" w:eastAsia="Palatino Linotype" w:hAnsi="Palatino Linotype" w:cs="Palatino Linotype"/>
          <w:i/>
        </w:rPr>
      </w:pPr>
      <w:r>
        <w:rPr>
          <w:rFonts w:ascii="Palatino Linotype" w:eastAsia="Palatino Linotype" w:hAnsi="Palatino Linotype" w:cs="Palatino Linotype"/>
          <w:i/>
        </w:rPr>
        <w:t xml:space="preserve">II. Los presidentes municipales; </w:t>
      </w:r>
    </w:p>
    <w:p w:rsidR="007D05F6" w:rsidRDefault="00892F31">
      <w:pPr>
        <w:spacing w:after="120"/>
        <w:ind w:left="567"/>
        <w:jc w:val="both"/>
        <w:rPr>
          <w:rFonts w:ascii="Palatino Linotype" w:eastAsia="Palatino Linotype" w:hAnsi="Palatino Linotype" w:cs="Palatino Linotype"/>
          <w:i/>
        </w:rPr>
      </w:pPr>
      <w:r>
        <w:rPr>
          <w:rFonts w:ascii="Palatino Linotype" w:eastAsia="Palatino Linotype" w:hAnsi="Palatino Linotype" w:cs="Palatino Linotype"/>
          <w:i/>
        </w:rPr>
        <w:t xml:space="preserve">III. Los directores de seguridad pública municipal; y </w:t>
      </w:r>
    </w:p>
    <w:p w:rsidR="007D05F6" w:rsidRDefault="00892F31">
      <w:pPr>
        <w:spacing w:after="120"/>
        <w:ind w:left="567"/>
        <w:jc w:val="both"/>
        <w:rPr>
          <w:rFonts w:ascii="Palatino Linotype" w:eastAsia="Palatino Linotype" w:hAnsi="Palatino Linotype" w:cs="Palatino Linotype"/>
          <w:i/>
        </w:rPr>
      </w:pPr>
      <w:r>
        <w:rPr>
          <w:rFonts w:ascii="Palatino Linotype" w:eastAsia="Palatino Linotype" w:hAnsi="Palatino Linotype" w:cs="Palatino Linotype"/>
          <w:i/>
        </w:rPr>
        <w:t>IV. Los miembros de los cuerpos de policía preventiva de seguridad pública municipal en ejercicio de su función</w:t>
      </w:r>
      <w:r>
        <w:rPr>
          <w:rFonts w:ascii="Palatino Linotype" w:eastAsia="Palatino Linotype" w:hAnsi="Palatino Linotype" w:cs="Palatino Linotype"/>
          <w:i/>
          <w:vertAlign w:val="superscript"/>
        </w:rPr>
        <w:footnoteReference w:id="2"/>
      </w:r>
      <w:r>
        <w:rPr>
          <w:rFonts w:ascii="Palatino Linotype" w:eastAsia="Palatino Linotype" w:hAnsi="Palatino Linotype" w:cs="Palatino Linotype"/>
          <w:i/>
        </w:rPr>
        <w:t>.</w:t>
      </w:r>
    </w:p>
    <w:p w:rsidR="007D05F6" w:rsidRDefault="00892F3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Para tales efectos, el Director de Seguridad Pública Municipal tiene como atribución, con fundamento en el artículo 22 fracción II de la citada Ley, la de organizar, operar, supervisar y controlar al cuerpo preventivo de seguridad pública municipal personal, con el objeto de:</w:t>
      </w:r>
    </w:p>
    <w:p w:rsidR="007D05F6" w:rsidRDefault="00892F31">
      <w:pPr>
        <w:numPr>
          <w:ilvl w:val="0"/>
          <w:numId w:val="3"/>
        </w:numPr>
        <w:pBdr>
          <w:top w:val="nil"/>
          <w:left w:val="nil"/>
          <w:bottom w:val="nil"/>
          <w:right w:val="nil"/>
          <w:between w:val="nil"/>
        </w:pBdr>
        <w:spacing w:after="0" w:line="360" w:lineRule="auto"/>
        <w:ind w:left="714" w:hanging="357"/>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Proteger a las personas;</w:t>
      </w:r>
    </w:p>
    <w:p w:rsidR="007D05F6" w:rsidRDefault="00892F31">
      <w:pPr>
        <w:numPr>
          <w:ilvl w:val="0"/>
          <w:numId w:val="3"/>
        </w:numPr>
        <w:pBdr>
          <w:top w:val="nil"/>
          <w:left w:val="nil"/>
          <w:bottom w:val="nil"/>
          <w:right w:val="nil"/>
          <w:between w:val="nil"/>
        </w:pBdr>
        <w:spacing w:after="0" w:line="360" w:lineRule="auto"/>
        <w:ind w:left="714" w:hanging="357"/>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Asegurar el ejercicio de la ciudadanía, sus libertades y derechos fundamentales;</w:t>
      </w:r>
    </w:p>
    <w:p w:rsidR="007D05F6" w:rsidRDefault="00892F31">
      <w:pPr>
        <w:numPr>
          <w:ilvl w:val="0"/>
          <w:numId w:val="3"/>
        </w:numPr>
        <w:pBdr>
          <w:top w:val="nil"/>
          <w:left w:val="nil"/>
          <w:bottom w:val="nil"/>
          <w:right w:val="nil"/>
          <w:between w:val="nil"/>
        </w:pBdr>
        <w:spacing w:after="0" w:line="360" w:lineRule="auto"/>
        <w:ind w:left="714" w:hanging="357"/>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Establecer espacios de participación social corresponsable y armónica;</w:t>
      </w:r>
    </w:p>
    <w:p w:rsidR="007D05F6" w:rsidRDefault="00892F31">
      <w:pPr>
        <w:numPr>
          <w:ilvl w:val="0"/>
          <w:numId w:val="3"/>
        </w:numPr>
        <w:pBdr>
          <w:top w:val="nil"/>
          <w:left w:val="nil"/>
          <w:bottom w:val="nil"/>
          <w:right w:val="nil"/>
          <w:between w:val="nil"/>
        </w:pBdr>
        <w:spacing w:after="0" w:line="360" w:lineRule="auto"/>
        <w:ind w:left="714" w:hanging="357"/>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Propiciar la solución pacifica de los conflictos interpersonales y sociales;</w:t>
      </w:r>
    </w:p>
    <w:p w:rsidR="007D05F6" w:rsidRDefault="00892F31">
      <w:pPr>
        <w:numPr>
          <w:ilvl w:val="0"/>
          <w:numId w:val="3"/>
        </w:numPr>
        <w:pBdr>
          <w:top w:val="nil"/>
          <w:left w:val="nil"/>
          <w:bottom w:val="nil"/>
          <w:right w:val="nil"/>
          <w:between w:val="nil"/>
        </w:pBdr>
        <w:spacing w:after="0" w:line="360" w:lineRule="auto"/>
        <w:ind w:left="714" w:hanging="357"/>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Fortalecer a las instituciones; y</w:t>
      </w:r>
    </w:p>
    <w:p w:rsidR="007D05F6" w:rsidRDefault="00892F31">
      <w:pPr>
        <w:numPr>
          <w:ilvl w:val="0"/>
          <w:numId w:val="3"/>
        </w:numPr>
        <w:pBdr>
          <w:top w:val="nil"/>
          <w:left w:val="nil"/>
          <w:bottom w:val="nil"/>
          <w:right w:val="nil"/>
          <w:between w:val="nil"/>
        </w:pBdr>
        <w:spacing w:after="0" w:line="360" w:lineRule="auto"/>
        <w:ind w:left="714" w:hanging="357"/>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Propiciar condiciones durables que permitan a los ciudadanos desarrollar sus capacidades, en un ambiente de paz y democracia</w:t>
      </w:r>
      <w:r>
        <w:rPr>
          <w:rFonts w:ascii="Palatino Linotype" w:eastAsia="Palatino Linotype" w:hAnsi="Palatino Linotype" w:cs="Palatino Linotype"/>
          <w:color w:val="000000"/>
          <w:sz w:val="24"/>
          <w:szCs w:val="24"/>
          <w:vertAlign w:val="superscript"/>
        </w:rPr>
        <w:footnoteReference w:id="3"/>
      </w:r>
      <w:r>
        <w:rPr>
          <w:rFonts w:ascii="Palatino Linotype" w:eastAsia="Palatino Linotype" w:hAnsi="Palatino Linotype" w:cs="Palatino Linotype"/>
          <w:color w:val="000000"/>
          <w:sz w:val="24"/>
          <w:szCs w:val="24"/>
        </w:rPr>
        <w:t>.</w:t>
      </w:r>
    </w:p>
    <w:p w:rsidR="007D05F6" w:rsidRDefault="007D05F6">
      <w:pPr>
        <w:spacing w:line="360" w:lineRule="auto"/>
        <w:jc w:val="both"/>
        <w:rPr>
          <w:rFonts w:ascii="Palatino Linotype" w:eastAsia="Palatino Linotype" w:hAnsi="Palatino Linotype" w:cs="Palatino Linotype"/>
          <w:sz w:val="24"/>
          <w:szCs w:val="24"/>
        </w:rPr>
      </w:pPr>
    </w:p>
    <w:p w:rsidR="007D05F6" w:rsidRDefault="00892F3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que, a criterio de este Instituto, se determina que el derecho de acceso a la información no fue garantizado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en virtud de que la información requerida por el particular no se considera que encuadre en el supuesto de reserva de información señalado en el artículo 140 de la  Ley de Transparencia y Acceso a la Información Pública Del Estado De México Y Municipios:</w:t>
      </w:r>
    </w:p>
    <w:p w:rsidR="007D05F6" w:rsidRDefault="00892F31">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Artículo 140. El acceso a la información pública será restringido excepcionalmente, cuando por</w:t>
      </w:r>
    </w:p>
    <w:p w:rsidR="007D05F6" w:rsidRDefault="00892F31">
      <w:pPr>
        <w:spacing w:line="360" w:lineRule="auto"/>
        <w:ind w:left="851" w:right="900"/>
        <w:jc w:val="both"/>
        <w:rPr>
          <w:rFonts w:ascii="Palatino Linotype" w:eastAsia="Palatino Linotype" w:hAnsi="Palatino Linotype" w:cs="Palatino Linotype"/>
          <w:i/>
        </w:rPr>
      </w:pPr>
      <w:proofErr w:type="gramStart"/>
      <w:r>
        <w:rPr>
          <w:rFonts w:ascii="Palatino Linotype" w:eastAsia="Palatino Linotype" w:hAnsi="Palatino Linotype" w:cs="Palatino Linotype"/>
          <w:i/>
        </w:rPr>
        <w:t>razones</w:t>
      </w:r>
      <w:proofErr w:type="gramEnd"/>
      <w:r>
        <w:rPr>
          <w:rFonts w:ascii="Palatino Linotype" w:eastAsia="Palatino Linotype" w:hAnsi="Palatino Linotype" w:cs="Palatino Linotype"/>
          <w:i/>
        </w:rPr>
        <w:t xml:space="preserve"> de interés público, ésta sea clasificada como reservada, conforme a los criterios siguientes:</w:t>
      </w:r>
    </w:p>
    <w:p w:rsidR="007D05F6" w:rsidRDefault="00892F31">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I. Comprometa la seguridad pública y cuente con un propósito genuino y un efecto demostrable;</w:t>
      </w:r>
    </w:p>
    <w:p w:rsidR="007D05F6" w:rsidRDefault="00892F31">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II. Pueda menoscabar la conducción de las negociaciones y relaciones internacionales;</w:t>
      </w:r>
    </w:p>
    <w:p w:rsidR="007D05F6" w:rsidRDefault="00892F31">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7D05F6" w:rsidRDefault="00892F31">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IV. Ponga en riesgo la vida, la seguridad o la salud de una persona física;</w:t>
      </w:r>
    </w:p>
    <w:p w:rsidR="007D05F6" w:rsidRDefault="00892F31">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V. Aquella cuya divulgación obstruya o pueda causar un serio perjuicio a:</w:t>
      </w:r>
    </w:p>
    <w:p w:rsidR="007D05F6" w:rsidRDefault="00892F31">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1. Las actividades de fiscalización, verificación, inspección, comprobación y auditoría sobre el cumplimiento de las Leyes; o</w:t>
      </w:r>
    </w:p>
    <w:p w:rsidR="007D05F6" w:rsidRDefault="00892F31">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2. La recaudación de las contribuciones.</w:t>
      </w:r>
    </w:p>
    <w:p w:rsidR="007D05F6" w:rsidRDefault="00892F31">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7D05F6" w:rsidRDefault="00892F31">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VII. La que contengan las opiniones, recomendaciones o puntos de vista que formen parte del proceso deliberativo de los servidores públicos, hasta en tanto sea adoptada la decisión definitiva, la cual deberá estar documentada;</w:t>
      </w:r>
    </w:p>
    <w:p w:rsidR="007D05F6" w:rsidRDefault="00892F31">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VIII. Vulnere la conducción de los expedientes judiciales o de los procedimientos administrativos seguidos en forma de juicio, en tanto no hayan quedado firmes;</w:t>
      </w:r>
    </w:p>
    <w:p w:rsidR="007D05F6" w:rsidRDefault="00892F31">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IX. Se encuentre contenida dentro de las investigaciones de hechos que la Ley señale como delitos y se tramiten ante el Ministerio Público;</w:t>
      </w:r>
    </w:p>
    <w:p w:rsidR="007D05F6" w:rsidRDefault="00892F31">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7D05F6" w:rsidRDefault="00892F31">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7D05F6" w:rsidRDefault="00892F31">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XI. Las que por disposición expresa de una ley tengan tal carácter, siempre que sean acordes con las bases, principios y disposiciones establecidos en esta Ley y no la contravengan; así como las previstas</w:t>
      </w:r>
    </w:p>
    <w:p w:rsidR="007D05F6" w:rsidRDefault="007D05F6">
      <w:pPr>
        <w:spacing w:line="360" w:lineRule="auto"/>
        <w:jc w:val="both"/>
      </w:pPr>
    </w:p>
    <w:p w:rsidR="007D05F6" w:rsidRDefault="00892F31">
      <w:pPr>
        <w:spacing w:line="360"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sz w:val="24"/>
          <w:szCs w:val="24"/>
        </w:rPr>
        <w:t xml:space="preserve">Debido a que únicamente requiere el número total de vehículos con los que cuentan y sus tarjetas de circulación, toda vez que solo refleja un dato estadístico, con lo cual no se logra advertir que pueda afectar la seguridad pública del Municipio de Cuautitlán Izcalli; además, contrario a lo señalado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este Instituto no advierte un riesgo real, demostrable e identificable que supere al interés público o bien perjudique la seguridad pública, pues como se precisó en párrafos </w:t>
      </w:r>
      <w:r>
        <w:rPr>
          <w:rFonts w:ascii="Palatino Linotype" w:eastAsia="Palatino Linotype" w:hAnsi="Palatino Linotype" w:cs="Palatino Linotype"/>
          <w:sz w:val="24"/>
          <w:szCs w:val="24"/>
        </w:rPr>
        <w:lastRenderedPageBreak/>
        <w:t>anteriores, la información requerida no da cuenta de la forma de actuación, estrategias o equipo con el que cuenta la Comisaria de Seguridad Pública, tampoco precisa la capacidad de reacción o la forma de organización para prevenir delitos, ni de actuaciones en averiguaciones previas, carpetas de investigación o bien, la intervención de comunicaciones privadas.</w:t>
      </w:r>
    </w:p>
    <w:p w:rsidR="007D05F6" w:rsidRDefault="00892F31">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Sirve de sustento, los criterios emitidos por el entonces Instituto Federal de Transparencia, Acceso a la Información Pública y Protección de Datos Personales ahora Instituto Nacional de Transparencia, Acceso a la Información Pública y Protección de Datos Personales:</w:t>
      </w:r>
    </w:p>
    <w:p w:rsidR="007D05F6" w:rsidRDefault="00892F31">
      <w:pPr>
        <w:spacing w:after="120"/>
        <w:ind w:left="851" w:right="958"/>
        <w:jc w:val="both"/>
        <w:rPr>
          <w:rFonts w:ascii="Palatino Linotype" w:eastAsia="Palatino Linotype" w:hAnsi="Palatino Linotype" w:cs="Palatino Linotype"/>
          <w:i/>
        </w:rPr>
      </w:pPr>
      <w:r>
        <w:rPr>
          <w:rFonts w:ascii="Palatino Linotype" w:eastAsia="Palatino Linotype" w:hAnsi="Palatino Linotype" w:cs="Palatino Linotype"/>
          <w:b/>
          <w:i/>
        </w:rPr>
        <w:t xml:space="preserve">La información estadística es de naturaleza pública, independientemente de la materia con la que se encuentre vinculada. </w:t>
      </w:r>
      <w:r>
        <w:rPr>
          <w:rFonts w:ascii="Palatino Linotype" w:eastAsia="Palatino Linotype" w:hAnsi="Palatino Linotype" w:cs="Palatino Linotype"/>
          <w:i/>
        </w:rPr>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 (Sic)</w:t>
      </w:r>
    </w:p>
    <w:p w:rsidR="007D05F6" w:rsidRDefault="00892F3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las consideraciones vertidas con anterioridad, es que se considera procedente ordenar la entrega del documento en donde consten el número total de vehículos y sus respectivas tarjetas de circulación adscritos a la Comisaria de Seguridad Pública </w:t>
      </w:r>
      <w:r>
        <w:rPr>
          <w:rFonts w:ascii="Palatino Linotype" w:eastAsia="Palatino Linotype" w:hAnsi="Palatino Linotype" w:cs="Palatino Linotype"/>
          <w:sz w:val="24"/>
          <w:szCs w:val="24"/>
        </w:rPr>
        <w:lastRenderedPageBreak/>
        <w:t>con la que cuenta el Municipio de Cuautitlán Izcalli, al veintiséis de enero del año dos mil veintidós y de ser procedente en versión pública de acuerdo a lo señalado por el considerando quinto del presente fallo.</w:t>
      </w:r>
    </w:p>
    <w:p w:rsidR="007D05F6" w:rsidRDefault="00892F3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se robustece con el hecho de que dar a conocer el número de vehículos y sus tarjetas de circulación en versión pública, con los que cuenta la Comisaría General de Seguridad Pública, no brinda información que pudiera ser utilizada por personas con la finalidad de cometer algún ilícito, este no refleja la capacidad de reacción, ya que este, se conforma entre otras cosas por el equipo con el que cuenta la Comisaría General de Seguridad Pública, como lo son, el personal y armamento; asimismo, no es posible identificar el riesgo de perjuicio que supondría la divulgación dicho dato numérico, o que constituya dicha información procedimientos, métodos, fuentes, especificaciones técnicas, tecnología o equipo útiles a la generación de inteligencia utilizado en la prevención de los delitos del orden común, pues únicamente se estarían revelando la cantidad de vehículos y tarjetas de circulación con los que cuenta dicha área, sin precisar su equipamiento o características especiales.</w:t>
      </w:r>
    </w:p>
    <w:p w:rsidR="007D05F6" w:rsidRDefault="00892F31">
      <w:pPr>
        <w:spacing w:before="240" w:after="240" w:line="360" w:lineRule="auto"/>
        <w:jc w:val="both"/>
        <w:rPr>
          <w:rFonts w:ascii="Palatino Linotype" w:eastAsia="Palatino Linotype" w:hAnsi="Palatino Linotype" w:cs="Palatino Linotype"/>
          <w:sz w:val="24"/>
          <w:szCs w:val="24"/>
        </w:rPr>
      </w:pPr>
      <w:bookmarkStart w:id="1" w:name="_heading=h.gjdgxs" w:colFirst="0" w:colLast="0"/>
      <w:bookmarkEnd w:id="1"/>
      <w:r>
        <w:rPr>
          <w:rFonts w:ascii="Palatino Linotype" w:eastAsia="Palatino Linotype" w:hAnsi="Palatino Linotype" w:cs="Palatino Linotype"/>
          <w:color w:val="000000"/>
          <w:sz w:val="24"/>
          <w:szCs w:val="24"/>
        </w:rPr>
        <w:t xml:space="preserve">Finalmente, de la respuesta, se advirtió que uno de los archivos electrónicos proporcionados por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consta de 33 fojas, mismas que contienen, la digitalización de las tarjetas de circulación, del cual se deja visible el </w:t>
      </w:r>
      <w:r>
        <w:rPr>
          <w:rFonts w:ascii="Palatino Linotype" w:eastAsia="Palatino Linotype" w:hAnsi="Palatino Linotype" w:cs="Palatino Linotype"/>
          <w:color w:val="000000"/>
          <w:sz w:val="24"/>
          <w:szCs w:val="24"/>
          <w:highlight w:val="white"/>
        </w:rPr>
        <w:t>Número de Identificación Vehicular (NIV)</w:t>
      </w:r>
      <w:r>
        <w:rPr>
          <w:rFonts w:ascii="Palatino Linotype" w:eastAsia="Palatino Linotype" w:hAnsi="Palatino Linotype" w:cs="Palatino Linotype"/>
          <w:sz w:val="24"/>
          <w:szCs w:val="24"/>
        </w:rPr>
        <w:t>, dato que debió protegerse ya que es considerado como reservado</w:t>
      </w:r>
      <w:r>
        <w:rPr>
          <w:rFonts w:ascii="Palatino Linotype" w:eastAsia="Palatino Linotype" w:hAnsi="Palatino Linotype" w:cs="Palatino Linotype"/>
          <w:color w:val="000000"/>
          <w:sz w:val="24"/>
          <w:szCs w:val="24"/>
        </w:rPr>
        <w:t>,</w:t>
      </w:r>
      <w:r>
        <w:rPr>
          <w:rFonts w:ascii="Palatino Linotype" w:eastAsia="Palatino Linotype" w:hAnsi="Palatino Linotype" w:cs="Palatino Linotype"/>
          <w:sz w:val="24"/>
          <w:szCs w:val="24"/>
        </w:rPr>
        <w:t xml:space="preserve"> por ello, resulta procedente dar vista al Titular del </w:t>
      </w:r>
      <w:r>
        <w:rPr>
          <w:rFonts w:ascii="Palatino Linotype" w:eastAsia="Palatino Linotype" w:hAnsi="Palatino Linotype" w:cs="Palatino Linotype"/>
          <w:sz w:val="24"/>
          <w:szCs w:val="24"/>
        </w:rPr>
        <w:lastRenderedPageBreak/>
        <w:t>Órgano de Control Interno de este Instituto, con fundamento en el a</w:t>
      </w:r>
      <w:bookmarkStart w:id="2" w:name="_GoBack"/>
      <w:bookmarkEnd w:id="2"/>
      <w:r>
        <w:rPr>
          <w:rFonts w:ascii="Palatino Linotype" w:eastAsia="Palatino Linotype" w:hAnsi="Palatino Linotype" w:cs="Palatino Linotype"/>
          <w:sz w:val="24"/>
          <w:szCs w:val="24"/>
        </w:rPr>
        <w:t xml:space="preserve">rtículo de la </w:t>
      </w:r>
      <w:r>
        <w:rPr>
          <w:rFonts w:ascii="Palatino Linotype" w:eastAsia="Palatino Linotype" w:hAnsi="Palatino Linotype" w:cs="Palatino Linotype"/>
          <w:color w:val="000000"/>
          <w:sz w:val="24"/>
          <w:szCs w:val="24"/>
        </w:rPr>
        <w:t>Ley de Transparencia y Acceso a la Información Pública del Estado de México</w:t>
      </w:r>
      <w:r>
        <w:rPr>
          <w:rFonts w:ascii="Palatino Linotype" w:eastAsia="Palatino Linotype" w:hAnsi="Palatino Linotype" w:cs="Palatino Linotype"/>
          <w:sz w:val="24"/>
          <w:szCs w:val="24"/>
        </w:rPr>
        <w:t xml:space="preserve">, a efecto de que investigue y sanciones las posibles omisiones en las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pudo haber incurrido por el incumplimiento a las obligaciones previstas en la</w:t>
      </w:r>
      <w:r>
        <w:rPr>
          <w:sz w:val="24"/>
          <w:szCs w:val="24"/>
        </w:rPr>
        <w:t xml:space="preserve"> </w:t>
      </w:r>
      <w:r>
        <w:rPr>
          <w:rFonts w:ascii="Palatino Linotype" w:eastAsia="Palatino Linotype" w:hAnsi="Palatino Linotype" w:cs="Palatino Linotype"/>
          <w:sz w:val="24"/>
          <w:szCs w:val="24"/>
        </w:rPr>
        <w:t xml:space="preserve">Ley de Transparencia y Acceso a la Información Pública del Estado de México y, las demás disposiciones jurídicas aplicables en la materia; en caso de acreditarse las mismas, lo deberá hacer del conocimiento del Órgano de Control Interno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para que este determine lo que conforme derecho corresponda, cuyo resultado deberá ser informado a este Instituto.</w:t>
      </w:r>
    </w:p>
    <w:p w:rsidR="007D05F6" w:rsidRDefault="00892F31">
      <w:pPr>
        <w:spacing w:before="240" w:after="240" w:line="360" w:lineRule="auto"/>
        <w:ind w:right="13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Lo anterior es así, en razón de que en la tarjeta de circulación se observa el dato referente al Número de Identificación Vehicular (NIV) no coadyuva en absoluto a la transparencia de su gestión pública, toda vez que el mismo es </w:t>
      </w:r>
      <w:r>
        <w:rPr>
          <w:rFonts w:ascii="Palatino Linotype" w:eastAsia="Palatino Linotype" w:hAnsi="Palatino Linotype" w:cs="Palatino Linotype"/>
          <w:sz w:val="24"/>
          <w:szCs w:val="24"/>
          <w:highlight w:val="white"/>
        </w:rPr>
        <w:t>asignado por quienes fabriquen, ensamblen o blinden vehículos en territorio nacional</w:t>
      </w:r>
      <w:r>
        <w:rPr>
          <w:rFonts w:ascii="Palatino Linotype" w:eastAsia="Palatino Linotype" w:hAnsi="Palatino Linotype" w:cs="Palatino Linotype"/>
          <w:sz w:val="24"/>
          <w:szCs w:val="24"/>
          <w:highlight w:val="white"/>
          <w:vertAlign w:val="superscript"/>
        </w:rPr>
        <w:footnoteReference w:id="4"/>
      </w:r>
      <w:r>
        <w:rPr>
          <w:rFonts w:ascii="Palatino Linotype" w:eastAsia="Palatino Linotype" w:hAnsi="Palatino Linotype" w:cs="Palatino Linotype"/>
          <w:sz w:val="24"/>
          <w:szCs w:val="24"/>
          <w:highlight w:val="white"/>
        </w:rPr>
        <w:t>, el cual es grabado directamente sobre una pieza estructural sólida del vehículo, que puede ser el chasis o en caso de remolques, semirremolques y convertidores, en una pieza inamovible o difícilmente reemplazable de la carrocería o en una placa metálica o etiqueta que no pueda removerse sin ser destruida, a través de procedimientos que garanticen la permanencia del NIV durante la vida útil del vehículo bajo condiciones normales siendo esto un sistema de seguridad que evita el mercado negro de autopartes de uso</w:t>
      </w:r>
      <w:r>
        <w:rPr>
          <w:rFonts w:ascii="Palatino Linotype" w:eastAsia="Palatino Linotype" w:hAnsi="Palatino Linotype" w:cs="Palatino Linotype"/>
          <w:sz w:val="24"/>
          <w:szCs w:val="24"/>
        </w:rPr>
        <w:t xml:space="preserve"> cuya función es hacer identificable algún automóvil, </w:t>
      </w:r>
      <w:r>
        <w:rPr>
          <w:rFonts w:ascii="Palatino Linotype" w:eastAsia="Palatino Linotype" w:hAnsi="Palatino Linotype" w:cs="Palatino Linotype"/>
          <w:sz w:val="24"/>
          <w:szCs w:val="24"/>
        </w:rPr>
        <w:lastRenderedPageBreak/>
        <w:t xml:space="preserve">del cual si se logra proporcionar, atenta contra la seguridad pública, derivado de las condiciones socioeconómicas por las que atraviesa el país, en el que han proliferado grupos delictivos, que pudieran utilizar esa información para duplicar y/o clonar los datos referidos y utilizarlas con automóviles diversos susceptibles de robo a efecto de simular ser un miembro operativo de seguridad pública, con el motivo de realizar actos delictivos, siendo esto ajeno a los intereses institucionales, situación que puede corroborarse con la incidencia delictiva, que publica el Secretariado Ejecutivo del Sistema Nacional de Seguridad Pública, en el que en lo toral éste concentra la ocurrencia de delitos registrados en Carpetas de Investigación, reportadas por las Procuradurías de Justicia y las Fiscalías Generales de las entidades federativas, en el caso del fuero común y la Fiscalía General de la República en el fuero federal. </w:t>
      </w:r>
    </w:p>
    <w:p w:rsidR="007D05F6" w:rsidRDefault="00892F31">
      <w:pPr>
        <w:pBdr>
          <w:top w:val="nil"/>
          <w:left w:val="nil"/>
          <w:bottom w:val="nil"/>
          <w:right w:val="nil"/>
          <w:between w:val="nil"/>
        </w:pBdr>
        <w:spacing w:before="240" w:after="240" w:line="360" w:lineRule="auto"/>
        <w:ind w:right="139"/>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QUINTO. VERSIÓN PÚBLICA. </w:t>
      </w:r>
      <w:r>
        <w:rPr>
          <w:rFonts w:ascii="Palatino Linotype" w:eastAsia="Palatino Linotype" w:hAnsi="Palatino Linotype" w:cs="Palatino Linotype"/>
          <w:color w:val="000000"/>
          <w:sz w:val="24"/>
          <w:szCs w:val="24"/>
        </w:rPr>
        <w:t>Como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fue debidamente apuntado, el</w:t>
      </w:r>
      <w:r>
        <w:rPr>
          <w:rFonts w:ascii="Palatino Linotype" w:eastAsia="Palatino Linotype" w:hAnsi="Palatino Linotype" w:cs="Palatino Linotype"/>
          <w:b/>
          <w:color w:val="000000"/>
          <w:sz w:val="24"/>
          <w:szCs w:val="24"/>
        </w:rPr>
        <w:t> SUJETO OBLIGADO</w:t>
      </w:r>
      <w:r>
        <w:rPr>
          <w:rFonts w:ascii="Palatino Linotype" w:eastAsia="Palatino Linotype" w:hAnsi="Palatino Linotype" w:cs="Palatino Linotype"/>
          <w:color w:val="000000"/>
          <w:sz w:val="24"/>
          <w:szCs w:val="24"/>
        </w:rPr>
        <w:t> debe satisfacer las solicitudes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rsidR="007D05F6" w:rsidRDefault="00892F31">
      <w:pPr>
        <w:shd w:val="clear" w:color="auto" w:fill="FFFFFF"/>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derecho de acceso a la información pública tiene como limitante el respeto a la intimidad y a la vida privada de las personas, es por ello que este Instituto debe cuidar que los datos personales que obren en poder de los Sujetos Obligados sean </w:t>
      </w:r>
      <w:r>
        <w:rPr>
          <w:rFonts w:ascii="Palatino Linotype" w:eastAsia="Palatino Linotype" w:hAnsi="Palatino Linotype" w:cs="Palatino Linotype"/>
          <w:sz w:val="24"/>
          <w:szCs w:val="24"/>
        </w:rPr>
        <w:lastRenderedPageBreak/>
        <w:t xml:space="preserve">protegidos y únicamente se den a conocer aquéllos que garanticen la rendición de cuentas y la transparencia en el ejercicio de las atribuciones que tienen conferidas. </w:t>
      </w:r>
    </w:p>
    <w:p w:rsidR="007D05F6" w:rsidRDefault="00892F31">
      <w:pPr>
        <w:shd w:val="clear" w:color="auto" w:fill="FFFFFF"/>
        <w:spacing w:before="240"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7D05F6" w:rsidRDefault="00892F31">
      <w:pPr>
        <w:shd w:val="clear" w:color="auto" w:fill="FFFFFF"/>
        <w:spacing w:before="240"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rsidR="007D05F6" w:rsidRDefault="00892F31">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 “Artículo 3. Para los efectos de la presente Ley se entenderá por:</w:t>
      </w:r>
    </w:p>
    <w:p w:rsidR="007D05F6" w:rsidRDefault="00892F31">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i/>
        </w:rPr>
        <w:t>(…)</w:t>
      </w:r>
    </w:p>
    <w:p w:rsidR="007D05F6" w:rsidRDefault="00892F31">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IX. Datos personales:</w:t>
      </w:r>
      <w:r>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rsidR="007D05F6" w:rsidRDefault="00892F31">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7D05F6" w:rsidRDefault="00892F31">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XX. Información clasificada:</w:t>
      </w:r>
      <w:r>
        <w:rPr>
          <w:rFonts w:ascii="Palatino Linotype" w:eastAsia="Palatino Linotype" w:hAnsi="Palatino Linotype" w:cs="Palatino Linotype"/>
          <w:i/>
        </w:rPr>
        <w:t> Aquella considerada por la presente Ley como reservada o confidencial;</w:t>
      </w:r>
    </w:p>
    <w:p w:rsidR="007D05F6" w:rsidRDefault="00892F31">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XXI. Información confidencial:</w:t>
      </w:r>
      <w:r>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7D05F6" w:rsidRDefault="00892F31">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7D05F6" w:rsidRDefault="00892F31">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XXXII. Protección de Datos Personales:</w:t>
      </w:r>
      <w:r>
        <w:rPr>
          <w:rFonts w:ascii="Palatino Linotype" w:eastAsia="Palatino Linotype" w:hAnsi="Palatino Linotype" w:cs="Palatino Linotype"/>
          <w:i/>
        </w:rPr>
        <w:t> Derecho humano que tutela la privacidad de datos personales en poder de los sujetos obligados y sujetos particulares;</w:t>
      </w:r>
    </w:p>
    <w:p w:rsidR="007D05F6" w:rsidRDefault="00892F31">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7D05F6" w:rsidRDefault="00892F31">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XLV. Versión pública</w:t>
      </w:r>
      <w:r>
        <w:rPr>
          <w:rFonts w:ascii="Palatino Linotype" w:eastAsia="Palatino Linotype" w:hAnsi="Palatino Linotype" w:cs="Palatino Linotype"/>
          <w:i/>
        </w:rPr>
        <w:t>: Documento en el que se elimine, suprime o borra la información clasificada como reservada o confidencial para permitir su acceso.</w:t>
      </w:r>
    </w:p>
    <w:p w:rsidR="007D05F6" w:rsidRDefault="00892F31">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 Artículo 6.</w:t>
      </w:r>
      <w:r>
        <w:rPr>
          <w:rFonts w:ascii="Palatino Linotype" w:eastAsia="Palatino Linotype" w:hAnsi="Palatino Linotype" w:cs="Palatino Linotype"/>
          <w:i/>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7D05F6" w:rsidRDefault="00892F31">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Artículo 49.</w:t>
      </w:r>
      <w:r>
        <w:rPr>
          <w:rFonts w:ascii="Palatino Linotype" w:eastAsia="Palatino Linotype" w:hAnsi="Palatino Linotype" w:cs="Palatino Linotype"/>
          <w:i/>
        </w:rPr>
        <w:t> Los Comités de Transparencia tendrán las siguientes atribuciones:</w:t>
      </w:r>
    </w:p>
    <w:p w:rsidR="007D05F6" w:rsidRDefault="00892F31">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7D05F6" w:rsidRDefault="00892F31">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VIII</w:t>
      </w:r>
      <w:r>
        <w:rPr>
          <w:rFonts w:ascii="Palatino Linotype" w:eastAsia="Palatino Linotype" w:hAnsi="Palatino Linotype" w:cs="Palatino Linotype"/>
          <w:i/>
        </w:rPr>
        <w:t>. Aprobar, modificar o revocar la clasificación de la información;</w:t>
      </w:r>
    </w:p>
    <w:p w:rsidR="007D05F6" w:rsidRDefault="00892F31">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7D05F6" w:rsidRDefault="00892F31">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91. </w:t>
      </w:r>
      <w:r>
        <w:rPr>
          <w:rFonts w:ascii="Palatino Linotype" w:eastAsia="Palatino Linotype" w:hAnsi="Palatino Linotype" w:cs="Palatino Linotype"/>
          <w:i/>
        </w:rPr>
        <w:t>El acceso a la información pública será restringido excepcionalmente, cuando ésta sea clasificada como reservada o confidencial.</w:t>
      </w:r>
    </w:p>
    <w:p w:rsidR="007D05F6" w:rsidRDefault="00892F31">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7D05F6" w:rsidRDefault="00892F31">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Artículo 137</w:t>
      </w:r>
      <w:r>
        <w:rPr>
          <w:rFonts w:ascii="Palatino Linotype" w:eastAsia="Palatino Linotype" w:hAnsi="Palatino Linotype" w:cs="Palatino Linotype"/>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7D05F6" w:rsidRDefault="007D05F6">
      <w:pPr>
        <w:shd w:val="clear" w:color="auto" w:fill="FFFFFF"/>
        <w:ind w:left="851" w:right="851"/>
        <w:jc w:val="both"/>
        <w:rPr>
          <w:rFonts w:ascii="Palatino Linotype" w:eastAsia="Palatino Linotype" w:hAnsi="Palatino Linotype" w:cs="Palatino Linotype"/>
          <w:b/>
          <w:i/>
        </w:rPr>
      </w:pPr>
    </w:p>
    <w:p w:rsidR="007D05F6" w:rsidRDefault="00892F31">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lastRenderedPageBreak/>
        <w:t>Artículo 143</w:t>
      </w:r>
      <w:r>
        <w:rPr>
          <w:rFonts w:ascii="Palatino Linotype" w:eastAsia="Palatino Linotype" w:hAnsi="Palatino Linotype" w:cs="Palatino Linotype"/>
          <w:i/>
        </w:rPr>
        <w:t>. Para los efectos de esta Ley se considera información confidencial, la clasificada como tal, de manera permanente, por su naturaleza, cuando:</w:t>
      </w:r>
    </w:p>
    <w:p w:rsidR="007D05F6" w:rsidRDefault="00892F31">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I. Se refiera a la información privada y los datos personales concernientes a una persona física o jurídico colectiva identificada o identificable...”</w:t>
      </w:r>
    </w:p>
    <w:p w:rsidR="007D05F6" w:rsidRDefault="00892F31">
      <w:pPr>
        <w:spacing w:before="240" w:after="24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deberá proceder a testar los datos personales que se encuentre contenidos en los documentos a entregar por parte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para satisfacer el derecho de acceso a la información pública del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Sujetos Obligados del Estado de México.</w:t>
      </w:r>
    </w:p>
    <w:p w:rsidR="007D05F6" w:rsidRDefault="00892F31">
      <w:pPr>
        <w:spacing w:before="240" w:after="24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7D05F6" w:rsidRDefault="00892F31">
      <w:pPr>
        <w:spacing w:before="240" w:after="24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7D05F6" w:rsidRDefault="00892F31">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49.</w:t>
      </w:r>
      <w:r>
        <w:rPr>
          <w:rFonts w:ascii="Palatino Linotype" w:eastAsia="Palatino Linotype" w:hAnsi="Palatino Linotype" w:cs="Palatino Linotype"/>
          <w:i/>
        </w:rPr>
        <w:t xml:space="preserve"> </w:t>
      </w:r>
      <w:r>
        <w:rPr>
          <w:rFonts w:ascii="Palatino Linotype" w:eastAsia="Palatino Linotype" w:hAnsi="Palatino Linotype" w:cs="Palatino Linotype"/>
          <w:b/>
          <w:i/>
        </w:rPr>
        <w:t>Los Comités de Transparencia</w:t>
      </w:r>
      <w:r>
        <w:rPr>
          <w:rFonts w:ascii="Palatino Linotype" w:eastAsia="Palatino Linotype" w:hAnsi="Palatino Linotype" w:cs="Palatino Linotype"/>
          <w:i/>
        </w:rPr>
        <w:t xml:space="preserve"> tendrán las siguientes atribuciones:</w:t>
      </w:r>
    </w:p>
    <w:p w:rsidR="007D05F6" w:rsidRDefault="007D05F6">
      <w:pPr>
        <w:spacing w:after="0"/>
        <w:ind w:left="851" w:right="851"/>
        <w:jc w:val="both"/>
        <w:rPr>
          <w:rFonts w:ascii="Palatino Linotype" w:eastAsia="Palatino Linotype" w:hAnsi="Palatino Linotype" w:cs="Palatino Linotype"/>
          <w:i/>
        </w:rPr>
      </w:pPr>
    </w:p>
    <w:p w:rsidR="007D05F6" w:rsidRDefault="00892F31">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VIII. Aprobar, modificar o revocar la clasificación de la información</w:t>
      </w:r>
      <w:r>
        <w:rPr>
          <w:rFonts w:ascii="Palatino Linotype" w:eastAsia="Palatino Linotype" w:hAnsi="Palatino Linotype" w:cs="Palatino Linotype"/>
          <w:i/>
        </w:rPr>
        <w:t>…”</w:t>
      </w:r>
    </w:p>
    <w:p w:rsidR="007D05F6" w:rsidRDefault="007D05F6">
      <w:pPr>
        <w:spacing w:after="0"/>
        <w:ind w:left="851" w:right="851"/>
        <w:jc w:val="both"/>
        <w:rPr>
          <w:rFonts w:ascii="Palatino Linotype" w:eastAsia="Palatino Linotype" w:hAnsi="Palatino Linotype" w:cs="Palatino Linotype"/>
          <w:b/>
          <w:i/>
        </w:rPr>
      </w:pPr>
    </w:p>
    <w:p w:rsidR="007D05F6" w:rsidRDefault="00892F31">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53.</w:t>
      </w:r>
      <w:r>
        <w:rPr>
          <w:rFonts w:ascii="Palatino Linotype" w:eastAsia="Palatino Linotype" w:hAnsi="Palatino Linotype" w:cs="Palatino Linotype"/>
          <w:i/>
        </w:rPr>
        <w:t xml:space="preserve"> Las </w:t>
      </w:r>
      <w:r>
        <w:rPr>
          <w:rFonts w:ascii="Palatino Linotype" w:eastAsia="Palatino Linotype" w:hAnsi="Palatino Linotype" w:cs="Palatino Linotype"/>
          <w:b/>
          <w:i/>
        </w:rPr>
        <w:t>Unidades de Transparencia</w:t>
      </w:r>
      <w:r>
        <w:rPr>
          <w:rFonts w:ascii="Palatino Linotype" w:eastAsia="Palatino Linotype" w:hAnsi="Palatino Linotype" w:cs="Palatino Linotype"/>
          <w:i/>
        </w:rPr>
        <w:t xml:space="preserve"> tendrán las siguientes </w:t>
      </w:r>
      <w:r>
        <w:rPr>
          <w:rFonts w:ascii="Palatino Linotype" w:eastAsia="Palatino Linotype" w:hAnsi="Palatino Linotype" w:cs="Palatino Linotype"/>
          <w:b/>
          <w:i/>
        </w:rPr>
        <w:t>funciones</w:t>
      </w:r>
      <w:r>
        <w:rPr>
          <w:rFonts w:ascii="Palatino Linotype" w:eastAsia="Palatino Linotype" w:hAnsi="Palatino Linotype" w:cs="Palatino Linotype"/>
          <w:i/>
        </w:rPr>
        <w:t>:</w:t>
      </w:r>
    </w:p>
    <w:p w:rsidR="007D05F6" w:rsidRDefault="007D05F6">
      <w:pPr>
        <w:spacing w:after="0"/>
        <w:ind w:left="851" w:right="851"/>
        <w:jc w:val="both"/>
        <w:rPr>
          <w:rFonts w:ascii="Palatino Linotype" w:eastAsia="Palatino Linotype" w:hAnsi="Palatino Linotype" w:cs="Palatino Linotype"/>
          <w:i/>
        </w:rPr>
      </w:pPr>
    </w:p>
    <w:p w:rsidR="007D05F6" w:rsidRDefault="00892F31">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X. Presentar ante el Comité, el proyecto de clasificación de información</w:t>
      </w:r>
      <w:r>
        <w:rPr>
          <w:rFonts w:ascii="Palatino Linotype" w:eastAsia="Palatino Linotype" w:hAnsi="Palatino Linotype" w:cs="Palatino Linotype"/>
          <w:i/>
        </w:rPr>
        <w:t xml:space="preserve">…” </w:t>
      </w:r>
    </w:p>
    <w:p w:rsidR="007D05F6" w:rsidRDefault="007D05F6">
      <w:pPr>
        <w:spacing w:after="0"/>
        <w:ind w:left="851" w:right="851"/>
        <w:jc w:val="both"/>
        <w:rPr>
          <w:rFonts w:ascii="Palatino Linotype" w:eastAsia="Palatino Linotype" w:hAnsi="Palatino Linotype" w:cs="Palatino Linotype"/>
          <w:i/>
        </w:rPr>
      </w:pPr>
    </w:p>
    <w:p w:rsidR="007D05F6" w:rsidRDefault="00892F31">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59.</w:t>
      </w:r>
      <w:r>
        <w:rPr>
          <w:rFonts w:ascii="Palatino Linotype" w:eastAsia="Palatino Linotype" w:hAnsi="Palatino Linotype" w:cs="Palatino Linotype"/>
          <w:i/>
        </w:rPr>
        <w:t xml:space="preserve"> Los </w:t>
      </w:r>
      <w:r>
        <w:rPr>
          <w:rFonts w:ascii="Palatino Linotype" w:eastAsia="Palatino Linotype" w:hAnsi="Palatino Linotype" w:cs="Palatino Linotype"/>
          <w:b/>
          <w:i/>
        </w:rPr>
        <w:t>servidores públicos habilitados</w:t>
      </w:r>
      <w:r>
        <w:rPr>
          <w:rFonts w:ascii="Palatino Linotype" w:eastAsia="Palatino Linotype" w:hAnsi="Palatino Linotype" w:cs="Palatino Linotype"/>
          <w:i/>
        </w:rPr>
        <w:t xml:space="preserve"> tendrán las </w:t>
      </w:r>
      <w:r>
        <w:rPr>
          <w:rFonts w:ascii="Palatino Linotype" w:eastAsia="Palatino Linotype" w:hAnsi="Palatino Linotype" w:cs="Palatino Linotype"/>
          <w:b/>
          <w:i/>
        </w:rPr>
        <w:t>funciones</w:t>
      </w:r>
      <w:r>
        <w:rPr>
          <w:rFonts w:ascii="Palatino Linotype" w:eastAsia="Palatino Linotype" w:hAnsi="Palatino Linotype" w:cs="Palatino Linotype"/>
          <w:i/>
        </w:rPr>
        <w:t xml:space="preserve"> siguientes:</w:t>
      </w:r>
    </w:p>
    <w:p w:rsidR="007D05F6" w:rsidRDefault="007D05F6">
      <w:pPr>
        <w:spacing w:after="0"/>
        <w:ind w:left="851" w:right="851"/>
        <w:jc w:val="both"/>
        <w:rPr>
          <w:rFonts w:ascii="Palatino Linotype" w:eastAsia="Palatino Linotype" w:hAnsi="Palatino Linotype" w:cs="Palatino Linotype"/>
          <w:b/>
          <w:i/>
        </w:rPr>
      </w:pPr>
    </w:p>
    <w:p w:rsidR="007D05F6" w:rsidRDefault="00892F31">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V. Integrar y presentar al responsable de la Unidad de Transparencia la propuesta de clasificación de información</w:t>
      </w:r>
      <w:r>
        <w:rPr>
          <w:rFonts w:ascii="Palatino Linotype" w:eastAsia="Palatino Linotype" w:hAnsi="Palatino Linotype" w:cs="Palatino Linotype"/>
          <w:i/>
        </w:rPr>
        <w:t>, la cual tendrá los fundamentos y argumentos en que se basa dicha propuesta…”</w:t>
      </w:r>
    </w:p>
    <w:p w:rsidR="007D05F6" w:rsidRDefault="007D05F6">
      <w:pPr>
        <w:spacing w:after="80"/>
        <w:ind w:left="851" w:right="851"/>
        <w:jc w:val="both"/>
        <w:rPr>
          <w:rFonts w:ascii="Palatino Linotype" w:eastAsia="Palatino Linotype" w:hAnsi="Palatino Linotype" w:cs="Palatino Linotype"/>
          <w:i/>
        </w:rPr>
      </w:pPr>
    </w:p>
    <w:p w:rsidR="007D05F6" w:rsidRDefault="00892F31">
      <w:pPr>
        <w:spacing w:before="8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Denotándose de dichos elementos normativos que el determinar la clasificación de la información es un trabajo en conjunto tanto de los Servidores Públicos Habilitados, de las Unidades de Transparencia y del Comité de Transparencia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teniendo el deber los primeros de ellos de presentar ante la </w:t>
      </w:r>
      <w:r>
        <w:rPr>
          <w:rFonts w:ascii="Palatino Linotype" w:eastAsia="Palatino Linotype" w:hAnsi="Palatino Linotype" w:cs="Palatino Linotype"/>
          <w:sz w:val="24"/>
          <w:szCs w:val="24"/>
        </w:rPr>
        <w:lastRenderedPageBreak/>
        <w:t>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7D05F6" w:rsidRDefault="00892F3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cuyo contenido es de la literalidad siguiente:</w:t>
      </w:r>
    </w:p>
    <w:p w:rsidR="007D05F6" w:rsidRDefault="00892F31">
      <w:pPr>
        <w:spacing w:before="240" w:after="240"/>
        <w:ind w:left="993" w:right="104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149.</w:t>
      </w:r>
      <w:r>
        <w:rPr>
          <w:rFonts w:ascii="Palatino Linotype" w:eastAsia="Palatino Linotype" w:hAnsi="Palatino Linotype" w:cs="Palatino Linotype"/>
          <w:i/>
        </w:rPr>
        <w:t xml:space="preserve"> El </w:t>
      </w:r>
      <w:r>
        <w:rPr>
          <w:rFonts w:ascii="Palatino Linotype" w:eastAsia="Palatino Linotype" w:hAnsi="Palatino Linotype" w:cs="Palatino Linotype"/>
          <w:b/>
          <w:i/>
        </w:rPr>
        <w:t>acuerdo que clasifique la información como confidencial</w:t>
      </w:r>
      <w:r>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
    <w:p w:rsidR="007D05F6" w:rsidRDefault="00892F31">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 decir,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rsidR="007D05F6" w:rsidRDefault="00892F31">
      <w:pPr>
        <w:spacing w:line="360" w:lineRule="auto"/>
        <w:ind w:right="-93"/>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Al respecto, es de señalar que </w:t>
      </w:r>
      <w:r>
        <w:rPr>
          <w:rFonts w:ascii="Palatino Linotype" w:eastAsia="Palatino Linotype" w:hAnsi="Palatino Linotype" w:cs="Palatino Linotype"/>
          <w:b/>
          <w:sz w:val="24"/>
          <w:szCs w:val="24"/>
        </w:rPr>
        <w:t xml:space="preserve">la firma </w:t>
      </w:r>
      <w:r>
        <w:rPr>
          <w:rFonts w:ascii="Palatino Linotype" w:eastAsia="Palatino Linotype" w:hAnsi="Palatino Linotype" w:cs="Palatino Linotype"/>
          <w:sz w:val="24"/>
          <w:szCs w:val="24"/>
        </w:rPr>
        <w:t xml:space="preserve">es considerada un dato personal, al tratarse de información gráfica a través de la cual su titular exterioriza su voluntad en actos </w:t>
      </w:r>
      <w:r>
        <w:rPr>
          <w:rFonts w:ascii="Palatino Linotype" w:eastAsia="Palatino Linotype" w:hAnsi="Palatino Linotype" w:cs="Palatino Linotype"/>
          <w:sz w:val="24"/>
          <w:szCs w:val="24"/>
        </w:rPr>
        <w:lastRenderedPageBreak/>
        <w:t xml:space="preserve">públicos y privados; no obstante, en el presente caso, dicho dato, es de la autoridad emisora del comprobante de los arqueos de caja. </w:t>
      </w:r>
    </w:p>
    <w:p w:rsidR="007D05F6" w:rsidRDefault="00892F31">
      <w:pPr>
        <w:spacing w:line="360" w:lineRule="auto"/>
        <w:ind w:right="-93"/>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rsidR="007D05F6" w:rsidRDefault="00892F31">
      <w:pPr>
        <w:spacing w:line="360" w:lineRule="auto"/>
        <w:ind w:right="-93"/>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rsidR="007D05F6" w:rsidRDefault="00892F31">
      <w:pPr>
        <w:spacing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Sirve de sustento a lo anterior el Criterio de Interpretación 02/19 emitido por el Instituto Nacional de Transparencia, Acceso a la Información y Protección de Datos Personales, cuyo rubro y texto establecen lo siguiente:</w:t>
      </w:r>
    </w:p>
    <w:p w:rsidR="007D05F6" w:rsidRDefault="00892F31">
      <w:pPr>
        <w:spacing w:line="276" w:lineRule="auto"/>
        <w:ind w:left="1134" w:right="1041"/>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r>
        <w:rPr>
          <w:rFonts w:ascii="Palatino Linotype" w:eastAsia="Palatino Linotype" w:hAnsi="Palatino Linotype" w:cs="Palatino Linotype"/>
          <w:b/>
          <w:i/>
        </w:rPr>
        <w:t>FIRMA Y RÚBRICA DE SERVIDORES PÚBLICOS.</w:t>
      </w:r>
      <w:r>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7D05F6" w:rsidRDefault="00892F31">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b/>
          <w:color w:val="000000"/>
          <w:sz w:val="24"/>
          <w:szCs w:val="24"/>
        </w:rPr>
        <w:t xml:space="preserve">Por otro lado, derivado de la información que se ordena entregar, pudiera existir información de los </w:t>
      </w:r>
      <w:r>
        <w:rPr>
          <w:rFonts w:ascii="Palatino Linotype" w:eastAsia="Palatino Linotype" w:hAnsi="Palatino Linotype" w:cs="Palatino Linotype"/>
          <w:b/>
          <w:sz w:val="24"/>
          <w:szCs w:val="24"/>
        </w:rPr>
        <w:t>elementos</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b/>
          <w:sz w:val="24"/>
          <w:szCs w:val="24"/>
        </w:rPr>
        <w:t>encargados de la</w:t>
      </w:r>
      <w:r>
        <w:rPr>
          <w:rFonts w:ascii="Palatino Linotype" w:eastAsia="Palatino Linotype" w:hAnsi="Palatino Linotype" w:cs="Palatino Linotype"/>
          <w:b/>
          <w:color w:val="000000"/>
          <w:sz w:val="24"/>
          <w:szCs w:val="24"/>
        </w:rPr>
        <w:t xml:space="preserve"> seguridad </w:t>
      </w:r>
      <w:r>
        <w:rPr>
          <w:rFonts w:ascii="Palatino Linotype" w:eastAsia="Palatino Linotype" w:hAnsi="Palatino Linotype" w:cs="Palatino Linotype"/>
          <w:b/>
          <w:sz w:val="24"/>
          <w:szCs w:val="24"/>
        </w:rPr>
        <w:t>pública</w:t>
      </w:r>
      <w:r>
        <w:rPr>
          <w:rFonts w:ascii="Palatino Linotype" w:eastAsia="Palatino Linotype" w:hAnsi="Palatino Linotype" w:cs="Palatino Linotype"/>
          <w:b/>
          <w:color w:val="000000"/>
          <w:sz w:val="24"/>
          <w:szCs w:val="24"/>
        </w:rPr>
        <w:t xml:space="preserve"> adscritos a  la Comisaria General de Seguridad Pública del Ayuntamiento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de Cuautitlán Izcalli</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color w:val="000000"/>
          <w:sz w:val="24"/>
          <w:szCs w:val="24"/>
        </w:rPr>
        <w:lastRenderedPageBreak/>
        <w:t xml:space="preserve">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proteger los datos de los servidores públicos que integran dicha </w:t>
      </w:r>
      <w:r>
        <w:rPr>
          <w:rFonts w:ascii="Palatino Linotype" w:eastAsia="Palatino Linotype" w:hAnsi="Palatino Linotype" w:cs="Palatino Linotype"/>
          <w:sz w:val="24"/>
          <w:szCs w:val="24"/>
        </w:rPr>
        <w:t>Comisaría</w:t>
      </w:r>
      <w:r>
        <w:rPr>
          <w:rFonts w:ascii="Palatino Linotype" w:eastAsia="Palatino Linotype" w:hAnsi="Palatino Linotype" w:cs="Palatino Linotype"/>
          <w:color w:val="000000"/>
          <w:sz w:val="24"/>
          <w:szCs w:val="24"/>
        </w:rPr>
        <w:t xml:space="preserve"> sólo por cuanto hace al nombre;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rsidR="007D05F6" w:rsidRDefault="00892F31">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Es importante mencionar que la causal de reserva antes señalada, puede ubicarse en los supuestos previstos por los artículos 140 fracciones I y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rsidR="007D05F6" w:rsidRDefault="00892F31">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Al respecto, este Instituto advierte lo siguiente:</w:t>
      </w:r>
    </w:p>
    <w:p w:rsidR="007D05F6" w:rsidRDefault="007D05F6">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7D05F6" w:rsidRDefault="00892F31">
      <w:pPr>
        <w:numPr>
          <w:ilvl w:val="0"/>
          <w:numId w:val="4"/>
        </w:numPr>
        <w:pBdr>
          <w:top w:val="nil"/>
          <w:left w:val="nil"/>
          <w:bottom w:val="nil"/>
          <w:right w:val="nil"/>
          <w:between w:val="nil"/>
        </w:pBdr>
        <w:spacing w:after="0" w:line="360" w:lineRule="auto"/>
        <w:ind w:left="426" w:right="-28"/>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Que toda vez que se trata de dar a conocer los nombres de los integrantes de los cuerpos de seguridad pública, es procedente la clasificación de la información como reservada, en el entendido de que se pone en riesgo su vida, salud y seguridad, dado que los hace identificables. </w:t>
      </w:r>
    </w:p>
    <w:p w:rsidR="007D05F6" w:rsidRDefault="007D05F6">
      <w:pPr>
        <w:pBdr>
          <w:top w:val="nil"/>
          <w:left w:val="nil"/>
          <w:bottom w:val="nil"/>
          <w:right w:val="nil"/>
          <w:between w:val="nil"/>
        </w:pBdr>
        <w:spacing w:after="0" w:line="360" w:lineRule="auto"/>
        <w:ind w:left="426" w:right="-28"/>
        <w:jc w:val="both"/>
        <w:rPr>
          <w:rFonts w:ascii="Palatino Linotype" w:eastAsia="Palatino Linotype" w:hAnsi="Palatino Linotype" w:cs="Palatino Linotype"/>
          <w:color w:val="000000"/>
          <w:sz w:val="24"/>
          <w:szCs w:val="24"/>
        </w:rPr>
      </w:pPr>
    </w:p>
    <w:p w:rsidR="007D05F6" w:rsidRDefault="00892F31">
      <w:pPr>
        <w:numPr>
          <w:ilvl w:val="0"/>
          <w:numId w:val="4"/>
        </w:numPr>
        <w:pBdr>
          <w:top w:val="nil"/>
          <w:left w:val="nil"/>
          <w:bottom w:val="nil"/>
          <w:right w:val="nil"/>
          <w:between w:val="nil"/>
        </w:pBdr>
        <w:spacing w:after="0" w:line="360" w:lineRule="auto"/>
        <w:ind w:left="426" w:right="-28"/>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Que el riesgo de perjuicio que supone la divulgación de la información supera el interés público general; pues con dicha información, se comprometería el cumplimiento de los objetivos en materia de seguridad pública, o bien, la consecución de la investigación de probables hechos delictivos y/o faltas administrativas.</w:t>
      </w:r>
    </w:p>
    <w:p w:rsidR="007D05F6" w:rsidRDefault="007D05F6">
      <w:p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sz w:val="24"/>
          <w:szCs w:val="24"/>
        </w:rPr>
      </w:pPr>
    </w:p>
    <w:p w:rsidR="007D05F6" w:rsidRDefault="00892F31">
      <w:pPr>
        <w:numPr>
          <w:ilvl w:val="0"/>
          <w:numId w:val="4"/>
        </w:numPr>
        <w:pBdr>
          <w:top w:val="nil"/>
          <w:left w:val="nil"/>
          <w:bottom w:val="nil"/>
          <w:right w:val="nil"/>
          <w:between w:val="nil"/>
        </w:pBdr>
        <w:spacing w:after="240" w:line="360" w:lineRule="auto"/>
        <w:ind w:left="426" w:right="-28"/>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La reserva no se traduce en un medio restrictivo al derecho de acceso a la información, en virtud, de que se trata de una medida temporal, cuya finalidad es salvaguardar la vida, la salud y la seguridad de los servidores públicos, así como evitar que células delictivas neutralizar las acciones en materia de seguridad pública para la preservación del orden y la paz pública, por lo que, no se trata de una medida desproporcional, ni excesiva.</w:t>
      </w:r>
    </w:p>
    <w:p w:rsidR="007D05F6" w:rsidRDefault="00892F31">
      <w:pPr>
        <w:pBdr>
          <w:top w:val="nil"/>
          <w:left w:val="nil"/>
          <w:bottom w:val="nil"/>
          <w:right w:val="nil"/>
          <w:between w:val="nil"/>
        </w:pBdr>
        <w:spacing w:before="240" w:after="240" w:line="360" w:lineRule="auto"/>
        <w:ind w:right="51"/>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w:t>
      </w:r>
      <w:r>
        <w:rPr>
          <w:rFonts w:ascii="Palatino Linotype" w:eastAsia="Palatino Linotype" w:hAnsi="Palatino Linotype" w:cs="Palatino Linotype"/>
          <w:color w:val="000000"/>
          <w:sz w:val="24"/>
          <w:szCs w:val="24"/>
        </w:rPr>
        <w:lastRenderedPageBreak/>
        <w:t>de datos personales y sobre todo cuando traen implícito que se ponga en riesgo la vida o integridad de una persona.</w:t>
      </w:r>
    </w:p>
    <w:p w:rsidR="007D05F6" w:rsidRDefault="00892F31">
      <w:pPr>
        <w:pBdr>
          <w:top w:val="nil"/>
          <w:left w:val="nil"/>
          <w:bottom w:val="nil"/>
          <w:right w:val="nil"/>
          <w:between w:val="nil"/>
        </w:pBdr>
        <w:spacing w:before="240" w:after="36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Sirven de sustento a lo anterior las tesis jurisprudenciales emitidas por la Suprema corte de Justicia de la Nación, que son del literal siguiente:</w:t>
      </w:r>
    </w:p>
    <w:p w:rsidR="007D05F6" w:rsidRDefault="00892F31">
      <w:pPr>
        <w:pBdr>
          <w:top w:val="nil"/>
          <w:left w:val="nil"/>
          <w:bottom w:val="nil"/>
          <w:right w:val="nil"/>
          <w:between w:val="nil"/>
        </w:pBdr>
        <w:spacing w:before="120" w:after="120" w:line="240" w:lineRule="auto"/>
        <w:ind w:left="851" w:right="760"/>
        <w:jc w:val="both"/>
        <w:rPr>
          <w:rFonts w:ascii="Times New Roman" w:eastAsia="Times New Roman" w:hAnsi="Times New Roman" w:cs="Times New Roman"/>
          <w:color w:val="000000"/>
          <w:sz w:val="28"/>
          <w:szCs w:val="28"/>
        </w:rPr>
      </w:pPr>
      <w:r>
        <w:rPr>
          <w:rFonts w:ascii="Palatino Linotype" w:eastAsia="Palatino Linotype" w:hAnsi="Palatino Linotype" w:cs="Palatino Linotype"/>
          <w:b/>
          <w:i/>
          <w:color w:val="000000"/>
        </w:rPr>
        <w:t xml:space="preserve">“DERECHO A LA INFORMACIÓN. SU EJERCICIO SE ENCUENTRA LIMITADO TANTO POR LOS INTERESES NACIONALES Y DE LA SOCIEDAD, COMO POR LOS DERECHOS DE TERCEROS. </w:t>
      </w:r>
      <w:r>
        <w:rPr>
          <w:rFonts w:ascii="Palatino Linotype" w:eastAsia="Palatino Linotype" w:hAnsi="Palatino Linotype" w:cs="Palatino Linotype"/>
          <w:i/>
          <w:color w:val="000000"/>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Pr>
          <w:rFonts w:ascii="Palatino Linotype" w:eastAsia="Palatino Linotype" w:hAnsi="Palatino Linotype" w:cs="Palatino Linotype"/>
          <w:b/>
          <w:i/>
          <w:color w:val="000000"/>
        </w:rPr>
        <w:t>restringen el acceso a la información en esta materia, en razón de que su conocimiento público puede generar daños a los intereses nacionales y, por el otro, sancionan la inobservancia de esa reserva;</w:t>
      </w:r>
      <w:r>
        <w:rPr>
          <w:rFonts w:ascii="Palatino Linotype" w:eastAsia="Palatino Linotype" w:hAnsi="Palatino Linotype" w:cs="Palatino Linotype"/>
          <w:i/>
          <w:color w:val="000000"/>
        </w:rPr>
        <w:t xml:space="preserve"> por lo que hace al interés social, se cuenta con normas que tienden a proteger la averiguación de los delitos, la salud y la moral públicas, </w:t>
      </w:r>
      <w:r>
        <w:rPr>
          <w:rFonts w:ascii="Palatino Linotype" w:eastAsia="Palatino Linotype" w:hAnsi="Palatino Linotype" w:cs="Palatino Linotype"/>
          <w:b/>
          <w:i/>
          <w:color w:val="000000"/>
        </w:rPr>
        <w:t>mientras que por lo que respecta a la protección de la persona existen normas que protegen el derecho a la vida o a la privacidad de los gobernados.</w:t>
      </w:r>
      <w:r>
        <w:rPr>
          <w:rFonts w:ascii="Palatino Linotype" w:eastAsia="Palatino Linotype" w:hAnsi="Palatino Linotype" w:cs="Palatino Linotype"/>
          <w:i/>
          <w:color w:val="000000"/>
        </w:rPr>
        <w:t>”</w:t>
      </w:r>
    </w:p>
    <w:p w:rsidR="007D05F6" w:rsidRDefault="007D05F6">
      <w:pPr>
        <w:rPr>
          <w:sz w:val="28"/>
          <w:szCs w:val="28"/>
        </w:rPr>
      </w:pPr>
    </w:p>
    <w:p w:rsidR="007D05F6" w:rsidRDefault="00892F31">
      <w:pPr>
        <w:pBdr>
          <w:top w:val="nil"/>
          <w:left w:val="nil"/>
          <w:bottom w:val="nil"/>
          <w:right w:val="nil"/>
          <w:between w:val="nil"/>
        </w:pBdr>
        <w:spacing w:before="120" w:after="120" w:line="240" w:lineRule="auto"/>
        <w:ind w:left="851" w:right="760"/>
        <w:jc w:val="both"/>
        <w:rPr>
          <w:rFonts w:ascii="Times New Roman" w:eastAsia="Times New Roman" w:hAnsi="Times New Roman" w:cs="Times New Roman"/>
          <w:color w:val="000000"/>
          <w:sz w:val="28"/>
          <w:szCs w:val="28"/>
        </w:rPr>
      </w:pPr>
      <w:r>
        <w:rPr>
          <w:rFonts w:ascii="Palatino Linotype" w:eastAsia="Palatino Linotype" w:hAnsi="Palatino Linotype" w:cs="Palatino Linotype"/>
          <w:b/>
          <w:i/>
          <w:color w:val="000000"/>
        </w:rPr>
        <w:t xml:space="preserve">“TRANSPARENCIA Y ACCESO A LA INFORMACIÓN PÚBLICA GUBERNAMENTAL. EL ARTÍCULO 14, FRACCIÓN I, DE LA LEY FEDERAL RELATIVA, NO VIOLA LA GARANTÍA DE ACCESO A LA </w:t>
      </w:r>
      <w:r>
        <w:rPr>
          <w:rFonts w:ascii="Palatino Linotype" w:eastAsia="Palatino Linotype" w:hAnsi="Palatino Linotype" w:cs="Palatino Linotype"/>
          <w:b/>
          <w:i/>
          <w:color w:val="000000"/>
        </w:rPr>
        <w:lastRenderedPageBreak/>
        <w:t>INFORMACIÓN.</w:t>
      </w:r>
      <w:r>
        <w:rPr>
          <w:rFonts w:ascii="Palatino Linotype" w:eastAsia="Palatino Linotype" w:hAnsi="Palatino Linotype" w:cs="Palatino Linotype"/>
          <w:i/>
          <w:color w:val="000000"/>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Pr>
          <w:rFonts w:ascii="Palatino Linotype" w:eastAsia="Palatino Linotype" w:hAnsi="Palatino Linotype" w:cs="Palatino Linotype"/>
          <w:b/>
          <w:i/>
          <w:color w:val="000000"/>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Pr>
          <w:rFonts w:ascii="Palatino Linotype" w:eastAsia="Palatino Linotype" w:hAnsi="Palatino Linotype" w:cs="Palatino Linotype"/>
          <w:i/>
          <w:color w:val="000000"/>
        </w:rPr>
        <w:t>, la cual debe ser adecuada y necesaria para alcanzar el fin perseguido, de manera que las ventajas obtenidas con la reserva compensen el sacrificio que ésta implique para los titulares de la garantía individual mencionada o para la sociedad en general.”</w:t>
      </w:r>
    </w:p>
    <w:p w:rsidR="007D05F6" w:rsidRDefault="00892F3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w:t>
      </w:r>
      <w:r>
        <w:rPr>
          <w:rFonts w:ascii="Palatino Linotype" w:eastAsia="Palatino Linotype" w:hAnsi="Palatino Linotype" w:cs="Palatino Linotype"/>
          <w:color w:val="000000"/>
          <w:sz w:val="24"/>
          <w:szCs w:val="24"/>
        </w:rPr>
        <w:lastRenderedPageBreak/>
        <w:t xml:space="preserve">clasificación al señalar las </w:t>
      </w:r>
      <w:r>
        <w:rPr>
          <w:rFonts w:ascii="Palatino Linotype" w:eastAsia="Palatino Linotype" w:hAnsi="Palatino Linotype" w:cs="Palatino Linotype"/>
          <w:b/>
          <w:color w:val="000000"/>
          <w:sz w:val="24"/>
          <w:szCs w:val="24"/>
          <w:u w:val="single"/>
        </w:rPr>
        <w:t>razones, motivos o circunstancias especiales</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u w:val="single"/>
        </w:rPr>
        <w:t>que lo llevaron a concluir que el caso concreto, se ajustó a los supuestos previstos en la normatividad legal invocada como fundamento, para dichos efectos, debe proceder a su vez a realizar una prueba de daño</w:t>
      </w:r>
      <w:r>
        <w:rPr>
          <w:rFonts w:ascii="Palatino Linotype" w:eastAsia="Palatino Linotype" w:hAnsi="Palatino Linotype" w:cs="Palatino Linotype"/>
          <w:color w:val="000000"/>
          <w:sz w:val="24"/>
          <w:szCs w:val="24"/>
        </w:rPr>
        <w:t>,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rsidR="007D05F6" w:rsidRDefault="00892F31">
      <w:pPr>
        <w:spacing w:before="240" w:after="240" w:line="360" w:lineRule="auto"/>
        <w:jc w:val="both"/>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rPr>
        <w:t xml:space="preserve">Al respecto, se destaca que la versión pública que elabore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r>
        <w:rPr>
          <w:rFonts w:ascii="Palatino Linotype" w:eastAsia="Palatino Linotype" w:hAnsi="Palatino Linotype" w:cs="Palatino Linotype"/>
          <w:sz w:val="24"/>
          <w:szCs w:val="24"/>
          <w:highlight w:val="white"/>
        </w:rPr>
        <w:t>.</w:t>
      </w:r>
    </w:p>
    <w:p w:rsidR="007D05F6" w:rsidRDefault="00892F3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Efectivamente, cuando se clasifica información como confidencial o reservada es importante someterlo al Comité de Transparencia, quien debe confirmar, modificar o revocar la clasificación.</w:t>
      </w:r>
    </w:p>
    <w:p w:rsidR="007D05F6" w:rsidRDefault="00892F31">
      <w:pPr>
        <w:shd w:val="clear" w:color="auto" w:fill="FFFFFF"/>
        <w:spacing w:before="240"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Pr>
          <w:rFonts w:ascii="Palatino Linotype" w:eastAsia="Palatino Linotype" w:hAnsi="Palatino Linotype" w:cs="Palatino Linotype"/>
          <w:b/>
          <w:sz w:val="24"/>
          <w:szCs w:val="24"/>
        </w:rPr>
        <w:t>RECURRENTE.</w:t>
      </w:r>
    </w:p>
    <w:p w:rsidR="007D05F6" w:rsidRDefault="00892F3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rsidR="007D05F6" w:rsidRDefault="00892F3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Igualmente, los Lineamientos Generales en Materia de Clasificación y Desclasificación de la Información, así como para la elaboración de Versiones Públicas, emitidos por el Consejo Nacional del Sistema Nacional de Transparencia, </w:t>
      </w:r>
      <w:r>
        <w:rPr>
          <w:rFonts w:ascii="Palatino Linotype" w:eastAsia="Palatino Linotype" w:hAnsi="Palatino Linotype" w:cs="Palatino Linotype"/>
          <w:sz w:val="24"/>
          <w:szCs w:val="24"/>
        </w:rPr>
        <w:lastRenderedPageBreak/>
        <w:t>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7D05F6" w:rsidRDefault="00892F3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rsidR="007D05F6" w:rsidRDefault="00892F31">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“Quincuagésimo sexto</w:t>
      </w:r>
      <w:r>
        <w:rPr>
          <w:rFonts w:ascii="Palatino Linotype" w:eastAsia="Palatino Linotype" w:hAnsi="Palatino Linotype" w:cs="Palatino Linotype"/>
          <w:b/>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7D05F6" w:rsidRDefault="00892F31">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Quincuagésimo séptimo. Se considera, en principio, como información pública y no podrá omitirse de las versiones públicas la siguiente: </w:t>
      </w:r>
    </w:p>
    <w:p w:rsidR="007D05F6" w:rsidRDefault="00892F31">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rsidR="007D05F6" w:rsidRDefault="00892F31">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rsidR="007D05F6" w:rsidRDefault="00892F31">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III. La información que documente decisiones y los actos de autoridad concluidos de los sujetos obligados, así como el ejercicio de las facultades o actividades de los servidores públicos, de manera que se pueda valorar el desempeño de los mismos.</w:t>
      </w:r>
    </w:p>
    <w:p w:rsidR="007D05F6" w:rsidRDefault="00892F31">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rsidR="007D05F6" w:rsidRDefault="00892F31">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Quincuagésimo octavo. Los sujetos obligados garantizarán que los sistemas o medios empleados para eliminar la información en las versiones públicas no permitan la recuperación o visualización de la misma.”</w:t>
      </w:r>
    </w:p>
    <w:p w:rsidR="007D05F6" w:rsidRDefault="00892F3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tanto, </w:t>
      </w:r>
      <w:r>
        <w:rPr>
          <w:rFonts w:ascii="Palatino Linotype" w:eastAsia="Palatino Linotype" w:hAnsi="Palatino Linotype" w:cs="Palatino Linotype"/>
          <w:b/>
          <w:sz w:val="24"/>
          <w:szCs w:val="24"/>
        </w:rPr>
        <w:t>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Pr>
          <w:rFonts w:ascii="Palatino Linotype" w:eastAsia="Palatino Linotype" w:hAnsi="Palatino Linotype" w:cs="Palatino Linotype"/>
          <w:sz w:val="24"/>
          <w:szCs w:val="24"/>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7D05F6" w:rsidRDefault="00892F3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3568"/>
        <w:gridCol w:w="968"/>
        <w:gridCol w:w="3446"/>
      </w:tblGrid>
      <w:tr w:rsidR="007D05F6" w:rsidTr="007D05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rsidR="007D05F6" w:rsidRDefault="00892F31">
            <w:pPr>
              <w:jc w:val="center"/>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Parcial</w:t>
            </w:r>
          </w:p>
        </w:tc>
        <w:tc>
          <w:tcPr>
            <w:tcW w:w="4414" w:type="dxa"/>
            <w:gridSpan w:val="2"/>
          </w:tcPr>
          <w:p w:rsidR="007D05F6" w:rsidRDefault="00892F31">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Total</w:t>
            </w:r>
          </w:p>
        </w:tc>
      </w:tr>
      <w:tr w:rsidR="007D05F6" w:rsidTr="007D05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D05F6" w:rsidRDefault="00892F31">
            <w:pPr>
              <w:jc w:val="center"/>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Concepto</w:t>
            </w:r>
          </w:p>
        </w:tc>
        <w:tc>
          <w:tcPr>
            <w:tcW w:w="3568" w:type="dxa"/>
          </w:tcPr>
          <w:p w:rsidR="007D05F6" w:rsidRDefault="00892F31">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968" w:type="dxa"/>
          </w:tcPr>
          <w:p w:rsidR="007D05F6" w:rsidRDefault="00892F31">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rsidR="007D05F6" w:rsidRDefault="00892F31">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7D05F6" w:rsidTr="007D05F6">
        <w:tc>
          <w:tcPr>
            <w:cnfStyle w:val="001000000000" w:firstRow="0" w:lastRow="0" w:firstColumn="1" w:lastColumn="0" w:oddVBand="0" w:evenVBand="0" w:oddHBand="0" w:evenHBand="0" w:firstRowFirstColumn="0" w:firstRowLastColumn="0" w:lastRowFirstColumn="0" w:lastRowLastColumn="0"/>
            <w:tcW w:w="8828" w:type="dxa"/>
            <w:gridSpan w:val="4"/>
          </w:tcPr>
          <w:p w:rsidR="007D05F6" w:rsidRDefault="00892F31">
            <w:pPr>
              <w:jc w:val="center"/>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Sello oficial o logotipo del sujeto obligado</w:t>
            </w:r>
          </w:p>
        </w:tc>
      </w:tr>
      <w:tr w:rsidR="007D05F6" w:rsidTr="007D05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D05F6" w:rsidRDefault="00892F31">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Fecha de clasificación</w:t>
            </w:r>
          </w:p>
        </w:tc>
        <w:tc>
          <w:tcPr>
            <w:tcW w:w="3568" w:type="dxa"/>
          </w:tcPr>
          <w:p w:rsidR="007D05F6" w:rsidRDefault="00892F3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7D05F6" w:rsidRDefault="00892F3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rsidR="007D05F6" w:rsidRDefault="00892F3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7D05F6" w:rsidTr="007D05F6">
        <w:tc>
          <w:tcPr>
            <w:cnfStyle w:val="001000000000" w:firstRow="0" w:lastRow="0" w:firstColumn="1" w:lastColumn="0" w:oddVBand="0" w:evenVBand="0" w:oddHBand="0" w:evenHBand="0" w:firstRowFirstColumn="0" w:firstRowLastColumn="0" w:lastRowFirstColumn="0" w:lastRowLastColumn="0"/>
            <w:tcW w:w="846" w:type="dxa"/>
          </w:tcPr>
          <w:p w:rsidR="007D05F6" w:rsidRDefault="00892F31">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Área</w:t>
            </w:r>
          </w:p>
        </w:tc>
        <w:tc>
          <w:tcPr>
            <w:tcW w:w="3568" w:type="dxa"/>
          </w:tcPr>
          <w:p w:rsidR="007D05F6" w:rsidRDefault="00892F3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968" w:type="dxa"/>
          </w:tcPr>
          <w:p w:rsidR="007D05F6" w:rsidRDefault="00892F3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rsidR="007D05F6" w:rsidRDefault="00892F3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7D05F6" w:rsidTr="007D05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D05F6" w:rsidRDefault="00892F31">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Información reservada</w:t>
            </w:r>
          </w:p>
        </w:tc>
        <w:tc>
          <w:tcPr>
            <w:tcW w:w="3568" w:type="dxa"/>
          </w:tcPr>
          <w:p w:rsidR="007D05F6" w:rsidRDefault="00892F3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Pr>
                <w:rFonts w:ascii="Palatino Linotype" w:eastAsia="Palatino Linotype" w:hAnsi="Palatino Linotype" w:cs="Palatino Linotype"/>
                <w:sz w:val="12"/>
                <w:szCs w:val="12"/>
              </w:rPr>
              <w:t>anotarán</w:t>
            </w:r>
            <w:proofErr w:type="gramEnd"/>
            <w:r>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968" w:type="dxa"/>
          </w:tcPr>
          <w:p w:rsidR="007D05F6" w:rsidRDefault="00892F3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rsidR="007D05F6" w:rsidRDefault="00892F3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7D05F6" w:rsidTr="007D05F6">
        <w:tc>
          <w:tcPr>
            <w:cnfStyle w:val="001000000000" w:firstRow="0" w:lastRow="0" w:firstColumn="1" w:lastColumn="0" w:oddVBand="0" w:evenVBand="0" w:oddHBand="0" w:evenHBand="0" w:firstRowFirstColumn="0" w:firstRowLastColumn="0" w:lastRowFirstColumn="0" w:lastRowLastColumn="0"/>
            <w:tcW w:w="846" w:type="dxa"/>
          </w:tcPr>
          <w:p w:rsidR="007D05F6" w:rsidRDefault="00892F31">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Fundamento legal</w:t>
            </w:r>
          </w:p>
        </w:tc>
        <w:tc>
          <w:tcPr>
            <w:tcW w:w="3568" w:type="dxa"/>
          </w:tcPr>
          <w:p w:rsidR="007D05F6" w:rsidRDefault="00892F3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7D05F6" w:rsidRDefault="00892F3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rsidR="007D05F6" w:rsidRDefault="00892F3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7D05F6" w:rsidTr="007D05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D05F6" w:rsidRDefault="00892F31">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lastRenderedPageBreak/>
              <w:t>Ampliación del periodo de reserva</w:t>
            </w:r>
          </w:p>
        </w:tc>
        <w:tc>
          <w:tcPr>
            <w:tcW w:w="3568" w:type="dxa"/>
          </w:tcPr>
          <w:p w:rsidR="007D05F6" w:rsidRDefault="00892F3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7D05F6" w:rsidRDefault="00892F3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7D05F6" w:rsidRDefault="00892F3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7D05F6" w:rsidTr="007D05F6">
        <w:tc>
          <w:tcPr>
            <w:cnfStyle w:val="001000000000" w:firstRow="0" w:lastRow="0" w:firstColumn="1" w:lastColumn="0" w:oddVBand="0" w:evenVBand="0" w:oddHBand="0" w:evenHBand="0" w:firstRowFirstColumn="0" w:firstRowLastColumn="0" w:lastRowFirstColumn="0" w:lastRowLastColumn="0"/>
            <w:tcW w:w="846" w:type="dxa"/>
          </w:tcPr>
          <w:p w:rsidR="007D05F6" w:rsidRDefault="00892F31">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Confidencial</w:t>
            </w:r>
          </w:p>
        </w:tc>
        <w:tc>
          <w:tcPr>
            <w:tcW w:w="3568" w:type="dxa"/>
          </w:tcPr>
          <w:p w:rsidR="007D05F6" w:rsidRDefault="00892F3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7D05F6" w:rsidRDefault="00892F3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rsidR="007D05F6" w:rsidRDefault="00892F3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7D05F6" w:rsidTr="007D05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D05F6" w:rsidRDefault="00892F31">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Fundamento legal</w:t>
            </w:r>
          </w:p>
        </w:tc>
        <w:tc>
          <w:tcPr>
            <w:tcW w:w="3568" w:type="dxa"/>
          </w:tcPr>
          <w:p w:rsidR="007D05F6" w:rsidRDefault="00892F3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7D05F6" w:rsidRDefault="00892F3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rsidR="007D05F6" w:rsidRDefault="00892F3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7D05F6" w:rsidTr="007D05F6">
        <w:tc>
          <w:tcPr>
            <w:cnfStyle w:val="001000000000" w:firstRow="0" w:lastRow="0" w:firstColumn="1" w:lastColumn="0" w:oddVBand="0" w:evenVBand="0" w:oddHBand="0" w:evenHBand="0" w:firstRowFirstColumn="0" w:firstRowLastColumn="0" w:lastRowFirstColumn="0" w:lastRowLastColumn="0"/>
            <w:tcW w:w="846" w:type="dxa"/>
          </w:tcPr>
          <w:p w:rsidR="007D05F6" w:rsidRDefault="00892F31">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Rúbrica del titular del área</w:t>
            </w:r>
          </w:p>
        </w:tc>
        <w:tc>
          <w:tcPr>
            <w:tcW w:w="3568" w:type="dxa"/>
          </w:tcPr>
          <w:p w:rsidR="007D05F6" w:rsidRDefault="00892F3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968" w:type="dxa"/>
          </w:tcPr>
          <w:p w:rsidR="007D05F6" w:rsidRDefault="00892F3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7D05F6" w:rsidRDefault="00892F3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7D05F6" w:rsidTr="007D05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D05F6" w:rsidRDefault="00892F31">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Fecha de desclasificación</w:t>
            </w:r>
          </w:p>
        </w:tc>
        <w:tc>
          <w:tcPr>
            <w:tcW w:w="3568" w:type="dxa"/>
          </w:tcPr>
          <w:p w:rsidR="007D05F6" w:rsidRDefault="00892F3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968" w:type="dxa"/>
          </w:tcPr>
          <w:p w:rsidR="007D05F6" w:rsidRDefault="00892F3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rsidR="007D05F6" w:rsidRDefault="00892F3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7D05F6" w:rsidTr="007D05F6">
        <w:tc>
          <w:tcPr>
            <w:cnfStyle w:val="001000000000" w:firstRow="0" w:lastRow="0" w:firstColumn="1" w:lastColumn="0" w:oddVBand="0" w:evenVBand="0" w:oddHBand="0" w:evenHBand="0" w:firstRowFirstColumn="0" w:firstRowLastColumn="0" w:lastRowFirstColumn="0" w:lastRowLastColumn="0"/>
            <w:tcW w:w="846" w:type="dxa"/>
          </w:tcPr>
          <w:p w:rsidR="007D05F6" w:rsidRDefault="00892F31">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Rúbrica y cargo del servidor público</w:t>
            </w:r>
          </w:p>
        </w:tc>
        <w:tc>
          <w:tcPr>
            <w:tcW w:w="3568" w:type="dxa"/>
          </w:tcPr>
          <w:p w:rsidR="007D05F6" w:rsidRDefault="00892F3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968" w:type="dxa"/>
          </w:tcPr>
          <w:p w:rsidR="007D05F6" w:rsidRDefault="00892F3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rsidR="007D05F6" w:rsidRDefault="00892F3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7D05F6" w:rsidTr="007D05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7D05F6" w:rsidRDefault="007D05F6">
            <w:pPr>
              <w:jc w:val="both"/>
              <w:rPr>
                <w:rFonts w:ascii="Palatino Linotype" w:eastAsia="Palatino Linotype" w:hAnsi="Palatino Linotype" w:cs="Palatino Linotype"/>
                <w:sz w:val="12"/>
                <w:szCs w:val="12"/>
              </w:rPr>
            </w:pPr>
          </w:p>
        </w:tc>
        <w:tc>
          <w:tcPr>
            <w:tcW w:w="3568" w:type="dxa"/>
          </w:tcPr>
          <w:p w:rsidR="007D05F6" w:rsidRDefault="007D05F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7D05F6" w:rsidRDefault="00892F3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rsidR="007D05F6" w:rsidRDefault="00892F31">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 partes o secciones del mismo reservadas o confidenciales, se señalará este hecho.</w:t>
            </w:r>
          </w:p>
        </w:tc>
      </w:tr>
      <w:tr w:rsidR="007D05F6" w:rsidTr="007D05F6">
        <w:tc>
          <w:tcPr>
            <w:cnfStyle w:val="001000000000" w:firstRow="0" w:lastRow="0" w:firstColumn="1" w:lastColumn="0" w:oddVBand="0" w:evenVBand="0" w:oddHBand="0" w:evenHBand="0" w:firstRowFirstColumn="0" w:firstRowLastColumn="0" w:lastRowFirstColumn="0" w:lastRowLastColumn="0"/>
            <w:tcW w:w="846" w:type="dxa"/>
          </w:tcPr>
          <w:p w:rsidR="007D05F6" w:rsidRDefault="007D05F6">
            <w:pPr>
              <w:jc w:val="both"/>
              <w:rPr>
                <w:rFonts w:ascii="Palatino Linotype" w:eastAsia="Palatino Linotype" w:hAnsi="Palatino Linotype" w:cs="Palatino Linotype"/>
                <w:sz w:val="12"/>
                <w:szCs w:val="12"/>
              </w:rPr>
            </w:pPr>
          </w:p>
        </w:tc>
        <w:tc>
          <w:tcPr>
            <w:tcW w:w="3568" w:type="dxa"/>
          </w:tcPr>
          <w:p w:rsidR="007D05F6" w:rsidRDefault="007D05F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7D05F6" w:rsidRDefault="00892F3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rsidR="007D05F6" w:rsidRDefault="00892F31">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rsidR="007D05F6" w:rsidRDefault="007D05F6">
      <w:pPr>
        <w:spacing w:before="240" w:after="0" w:line="360" w:lineRule="auto"/>
        <w:jc w:val="both"/>
        <w:rPr>
          <w:rFonts w:ascii="Palatino Linotype" w:eastAsia="Palatino Linotype" w:hAnsi="Palatino Linotype" w:cs="Palatino Linotype"/>
          <w:sz w:val="24"/>
          <w:szCs w:val="24"/>
        </w:rPr>
      </w:pPr>
    </w:p>
    <w:p w:rsidR="007D05F6" w:rsidRDefault="00892F31">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7D05F6" w:rsidRDefault="00892F31">
      <w:pPr>
        <w:pBdr>
          <w:top w:val="nil"/>
          <w:left w:val="nil"/>
          <w:bottom w:val="nil"/>
          <w:right w:val="nil"/>
          <w:between w:val="nil"/>
        </w:pBdr>
        <w:spacing w:before="240" w:after="240" w:line="360" w:lineRule="auto"/>
        <w:ind w:left="1080"/>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R E S U E L V E:</w:t>
      </w:r>
    </w:p>
    <w:p w:rsidR="007D05F6" w:rsidRDefault="00892F31">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Primero. </w:t>
      </w:r>
      <w:r>
        <w:rPr>
          <w:rFonts w:ascii="Palatino Linotype" w:eastAsia="Palatino Linotype" w:hAnsi="Palatino Linotype" w:cs="Palatino Linotype"/>
          <w:sz w:val="24"/>
          <w:szCs w:val="24"/>
        </w:rPr>
        <w:t xml:space="preserve">Resultan parcialmente fundados los motivos de inconformidad hechos valer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el Recurso de Revisión </w:t>
      </w:r>
      <w:r>
        <w:rPr>
          <w:rFonts w:ascii="Palatino Linotype" w:eastAsia="Palatino Linotype" w:hAnsi="Palatino Linotype" w:cs="Palatino Linotype"/>
          <w:b/>
          <w:sz w:val="24"/>
          <w:szCs w:val="24"/>
        </w:rPr>
        <w:t xml:space="preserve">01124/INFOEM/IP/RR/2022, </w:t>
      </w:r>
      <w:r>
        <w:rPr>
          <w:rFonts w:ascii="Palatino Linotype" w:eastAsia="Palatino Linotype" w:hAnsi="Palatino Linotype" w:cs="Palatino Linotype"/>
          <w:sz w:val="24"/>
          <w:szCs w:val="24"/>
        </w:rPr>
        <w:lastRenderedPageBreak/>
        <w:t xml:space="preserve">por lo que, en términos del considerando </w:t>
      </w: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y</w:t>
      </w:r>
      <w:r>
        <w:rPr>
          <w:rFonts w:ascii="Palatino Linotype" w:eastAsia="Palatino Linotype" w:hAnsi="Palatino Linotype" w:cs="Palatino Linotype"/>
          <w:b/>
          <w:sz w:val="24"/>
          <w:szCs w:val="24"/>
        </w:rPr>
        <w:t xml:space="preserve"> Quinto </w:t>
      </w:r>
      <w:r>
        <w:rPr>
          <w:rFonts w:ascii="Palatino Linotype" w:eastAsia="Palatino Linotype" w:hAnsi="Palatino Linotype" w:cs="Palatino Linotype"/>
          <w:sz w:val="24"/>
          <w:szCs w:val="24"/>
        </w:rPr>
        <w:t xml:space="preserve">de esta resolución, se </w:t>
      </w:r>
      <w:r>
        <w:rPr>
          <w:rFonts w:ascii="Palatino Linotype" w:eastAsia="Palatino Linotype" w:hAnsi="Palatino Linotype" w:cs="Palatino Linotype"/>
          <w:b/>
          <w:sz w:val="24"/>
          <w:szCs w:val="24"/>
        </w:rPr>
        <w:t xml:space="preserve">MODIFICA </w:t>
      </w:r>
      <w:r>
        <w:rPr>
          <w:rFonts w:ascii="Palatino Linotype" w:eastAsia="Palatino Linotype" w:hAnsi="Palatino Linotype" w:cs="Palatino Linotype"/>
          <w:sz w:val="24"/>
          <w:szCs w:val="24"/>
        </w:rPr>
        <w:t xml:space="preserve">la respuesta emitida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p>
    <w:p w:rsidR="007D05F6" w:rsidRDefault="00892F31">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w:t>
      </w:r>
      <w:r>
        <w:rPr>
          <w:rFonts w:ascii="Palatino Linotype" w:eastAsia="Palatino Linotype" w:hAnsi="Palatino Linotype" w:cs="Palatino Linotype"/>
          <w:sz w:val="24"/>
          <w:szCs w:val="24"/>
        </w:rPr>
        <w:t>Se</w:t>
      </w:r>
      <w:r>
        <w:rPr>
          <w:rFonts w:ascii="Palatino Linotype" w:eastAsia="Palatino Linotype" w:hAnsi="Palatino Linotype" w:cs="Palatino Linotype"/>
          <w:b/>
          <w:sz w:val="24"/>
          <w:szCs w:val="24"/>
        </w:rPr>
        <w:t xml:space="preserve"> ORDENA </w:t>
      </w:r>
      <w:r>
        <w:rPr>
          <w:rFonts w:ascii="Palatino Linotype" w:eastAsia="Palatino Linotype" w:hAnsi="Palatino Linotype" w:cs="Palatino Linotype"/>
          <w:sz w:val="24"/>
          <w:szCs w:val="24"/>
        </w:rPr>
        <w:t xml:space="preserve">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 que,</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en términos de los Considerandos Cuarto y Quinto de la presente resolución, haga entrega vía SAIMEX y en versión pública de ser procedente, del documento o documentos en donde conste lo siguiente:</w:t>
      </w:r>
    </w:p>
    <w:p w:rsidR="007D05F6" w:rsidRDefault="00892F31">
      <w:pPr>
        <w:numPr>
          <w:ilvl w:val="0"/>
          <w:numId w:val="2"/>
        </w:numPr>
        <w:pBdr>
          <w:top w:val="nil"/>
          <w:left w:val="nil"/>
          <w:bottom w:val="nil"/>
          <w:right w:val="nil"/>
          <w:between w:val="nil"/>
        </w:pBdr>
        <w:spacing w:before="240" w:after="240" w:line="360" w:lineRule="auto"/>
        <w:ind w:left="360"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4"/>
          <w:szCs w:val="24"/>
        </w:rPr>
        <w:t>Número total de vehículos con los que cuenta la Comisaria de Seguridad Pública del Ayuntamiento de Cuautitlán Izcalli, vigente al veintiséis de enero del año dos mil veintidós.</w:t>
      </w:r>
    </w:p>
    <w:p w:rsidR="007D05F6" w:rsidRDefault="00892F31">
      <w:pPr>
        <w:numPr>
          <w:ilvl w:val="0"/>
          <w:numId w:val="2"/>
        </w:numPr>
        <w:pBdr>
          <w:top w:val="nil"/>
          <w:left w:val="nil"/>
          <w:bottom w:val="nil"/>
          <w:right w:val="nil"/>
          <w:between w:val="nil"/>
        </w:pBdr>
        <w:spacing w:before="240" w:after="240" w:line="360" w:lineRule="auto"/>
        <w:ind w:left="360"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4"/>
          <w:szCs w:val="24"/>
        </w:rPr>
        <w:t>Tarjetas de circulación de los automóviles con los que cuenta la Comisaria de Seguridad Pública del Ayuntamiento de Cuautitlán Izcalli , vigente al veintiséis de enero del año dos mil veintidós.</w:t>
      </w:r>
    </w:p>
    <w:p w:rsidR="007D05F6" w:rsidRDefault="00892F31">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i/>
          <w:color w:val="000000"/>
          <w:sz w:val="20"/>
          <w:szCs w:val="20"/>
        </w:rPr>
        <w:t>De ser procedente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rsidR="007D05F6" w:rsidRDefault="00892F31">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sz w:val="28"/>
          <w:szCs w:val="28"/>
        </w:rPr>
      </w:pPr>
      <w:r>
        <w:rPr>
          <w:rFonts w:ascii="Palatino Linotype" w:eastAsia="Palatino Linotype" w:hAnsi="Palatino Linotype" w:cs="Palatino Linotype"/>
          <w:b/>
          <w:color w:val="000000"/>
          <w:sz w:val="24"/>
          <w:szCs w:val="24"/>
        </w:rPr>
        <w:t>Tercero.</w:t>
      </w:r>
      <w:r>
        <w:rPr>
          <w:rFonts w:ascii="Palatino Linotype" w:eastAsia="Palatino Linotype" w:hAnsi="Palatino Linotype" w:cs="Palatino Linotype"/>
          <w:b/>
          <w:color w:val="000000"/>
          <w:sz w:val="24"/>
          <w:szCs w:val="24"/>
          <w:highlight w:val="white"/>
        </w:rPr>
        <w:t xml:space="preserve"> Notifíquese vía SAIMEX, </w:t>
      </w:r>
      <w:r>
        <w:rPr>
          <w:rFonts w:ascii="Palatino Linotype" w:eastAsia="Palatino Linotype" w:hAnsi="Palatino Linotype" w:cs="Palatino Linotype"/>
          <w:color w:val="000000"/>
          <w:sz w:val="24"/>
          <w:szCs w:val="24"/>
          <w:highlight w:val="white"/>
        </w:rPr>
        <w:t xml:space="preserve">al Responsable de la Unidad de Transparencia del </w:t>
      </w:r>
      <w:r>
        <w:rPr>
          <w:rFonts w:ascii="Palatino Linotype" w:eastAsia="Palatino Linotype" w:hAnsi="Palatino Linotype" w:cs="Palatino Linotype"/>
          <w:b/>
          <w:color w:val="000000"/>
          <w:sz w:val="24"/>
          <w:szCs w:val="24"/>
          <w:highlight w:val="white"/>
        </w:rPr>
        <w:t>SUJETO OBLIGADO</w:t>
      </w:r>
      <w:r>
        <w:rPr>
          <w:rFonts w:ascii="Palatino Linotype" w:eastAsia="Palatino Linotype" w:hAnsi="Palatino Linotype" w:cs="Palatino Linotype"/>
          <w:color w:val="000000"/>
          <w:sz w:val="24"/>
          <w:szCs w:val="24"/>
          <w:highlight w:val="white"/>
        </w:rPr>
        <w:t xml:space="preserve"> la presente resolución, para que conforme al artículo 186, último párrafo y 189, párrafo segundo de la Ley de Transparencia y Acceso a la Información Pública del Estado de México y Municipios dé cumplimiento a lo </w:t>
      </w:r>
      <w:r>
        <w:rPr>
          <w:rFonts w:ascii="Palatino Linotype" w:eastAsia="Palatino Linotype" w:hAnsi="Palatino Linotype" w:cs="Palatino Linotype"/>
          <w:color w:val="000000"/>
          <w:sz w:val="24"/>
          <w:szCs w:val="24"/>
          <w:highlight w:val="white"/>
        </w:rPr>
        <w:lastRenderedPageBreak/>
        <w:t>ordenado dentro del plazo de diez días hábiles, debiendo informar a este Instituto en un plazo de tres días hábiles siguientes sobre el cumplimiento dado.</w:t>
      </w:r>
    </w:p>
    <w:p w:rsidR="007D05F6" w:rsidRDefault="00892F31">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 xml:space="preserve"> Notifíquese, vía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7D05F6" w:rsidRDefault="00892F31">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Quinto.</w:t>
      </w:r>
      <w:r>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7D05F6" w:rsidRDefault="00892F31">
      <w:pPr>
        <w:spacing w:before="240" w:after="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Sexto. </w:t>
      </w:r>
      <w:r>
        <w:rPr>
          <w:rFonts w:ascii="Palatino Linotype" w:eastAsia="Palatino Linotype" w:hAnsi="Palatino Linotype" w:cs="Palatino Linotype"/>
          <w:sz w:val="24"/>
          <w:szCs w:val="24"/>
        </w:rPr>
        <w:t>Gírese oficio al Contralor Interno y Órgano de Control y Vigilancia de este Instituto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considerando Cuarto de la presente resolución.</w:t>
      </w:r>
      <w:r>
        <w:rPr>
          <w:rFonts w:ascii="Palatino Linotype" w:eastAsia="Palatino Linotype" w:hAnsi="Palatino Linotype" w:cs="Palatino Linotype"/>
          <w:b/>
          <w:sz w:val="24"/>
          <w:szCs w:val="24"/>
        </w:rPr>
        <w:t xml:space="preserve"> </w:t>
      </w:r>
    </w:p>
    <w:p w:rsidR="007D05F6" w:rsidRDefault="00892F31">
      <w:pPr>
        <w:spacing w:before="240" w:after="240" w:line="360" w:lineRule="auto"/>
        <w:jc w:val="both"/>
        <w:rPr>
          <w:rFonts w:ascii="Palatino Linotype" w:eastAsia="Palatino Linotype" w:hAnsi="Palatino Linotype" w:cs="Palatino Linotype"/>
          <w:sz w:val="24"/>
          <w:szCs w:val="24"/>
        </w:rPr>
        <w:sectPr w:rsidR="007D05F6">
          <w:headerReference w:type="default" r:id="rId11"/>
          <w:footerReference w:type="default" r:id="rId12"/>
          <w:headerReference w:type="first" r:id="rId13"/>
          <w:footerReference w:type="first" r:id="rId14"/>
          <w:pgSz w:w="12240" w:h="15840"/>
          <w:pgMar w:top="2041" w:right="1701" w:bottom="1701" w:left="1701" w:header="709" w:footer="709" w:gutter="0"/>
          <w:pgNumType w:start="1"/>
          <w:cols w:space="720"/>
          <w:titlePg/>
        </w:sectPr>
      </w:pPr>
      <w:r>
        <w:rPr>
          <w:rFonts w:ascii="Palatino Linotype" w:eastAsia="Palatino Linotype" w:hAnsi="Palatino Linotype" w:cs="Palatino Linotype"/>
          <w:color w:val="222222"/>
          <w:sz w:val="24"/>
          <w:szCs w:val="24"/>
          <w:highlight w:val="white"/>
        </w:rPr>
        <w:t xml:space="preserve">ASÍ LO RESUELVE, POR UNANIMIDAD DE VOTOS, EL PLENO DEL INSTITUTO DE TRANSPARENCIA, ACCESO A LA INFORMACIÓN PÚBLICA Y PROTECCIÓN DE DATOS PERSONALES DEL ESTADO DE MÉXICO Y </w:t>
      </w:r>
      <w:r>
        <w:rPr>
          <w:rFonts w:ascii="Palatino Linotype" w:eastAsia="Palatino Linotype" w:hAnsi="Palatino Linotype" w:cs="Palatino Linotype"/>
          <w:color w:val="222222"/>
          <w:sz w:val="24"/>
          <w:szCs w:val="24"/>
          <w:highlight w:val="white"/>
        </w:rPr>
        <w:lastRenderedPageBreak/>
        <w:t xml:space="preserve">MUNICIPIOS, CONFORMADO POR LOS COMISIONADOS JOSÉ MARTÍNEZ VILCHIS, MARÍA DEL ROSARIO </w:t>
      </w:r>
      <w:r w:rsidR="00680A41">
        <w:rPr>
          <w:rFonts w:ascii="Palatino Linotype" w:eastAsia="Palatino Linotype" w:hAnsi="Palatino Linotype" w:cs="Palatino Linotype"/>
          <w:color w:val="222222"/>
          <w:sz w:val="24"/>
          <w:szCs w:val="24"/>
          <w:highlight w:val="white"/>
        </w:rPr>
        <w:t>MEJÍA AYALA</w:t>
      </w:r>
      <w:r>
        <w:rPr>
          <w:rFonts w:ascii="Palatino Linotype" w:eastAsia="Palatino Linotype" w:hAnsi="Palatino Linotype" w:cs="Palatino Linotype"/>
          <w:color w:val="222222"/>
          <w:sz w:val="24"/>
          <w:szCs w:val="24"/>
          <w:highlight w:val="white"/>
        </w:rPr>
        <w:t>, SHARON CRISTINA MORALES MARTÍNEZ</w:t>
      </w:r>
      <w:r w:rsidR="00C1591A">
        <w:rPr>
          <w:rFonts w:ascii="Palatino Linotype" w:eastAsia="Palatino Linotype" w:hAnsi="Palatino Linotype" w:cs="Palatino Linotype"/>
          <w:color w:val="222222"/>
          <w:sz w:val="24"/>
          <w:szCs w:val="24"/>
          <w:highlight w:val="white"/>
        </w:rPr>
        <w:t xml:space="preserve"> EMITIENDO VOTO PARTICULAR CONCURENTE</w:t>
      </w:r>
      <w:r>
        <w:rPr>
          <w:rFonts w:ascii="Palatino Linotype" w:eastAsia="Palatino Linotype" w:hAnsi="Palatino Linotype" w:cs="Palatino Linotype"/>
          <w:color w:val="222222"/>
          <w:sz w:val="24"/>
          <w:szCs w:val="24"/>
          <w:highlight w:val="white"/>
        </w:rPr>
        <w:t>, LUIS GUSTAVO PARRA NORIEGA Y GUADALUPE RAMÍREZ PEÑA</w:t>
      </w:r>
      <w:r w:rsidR="00C1591A">
        <w:rPr>
          <w:rFonts w:ascii="Palatino Linotype" w:eastAsia="Palatino Linotype" w:hAnsi="Palatino Linotype" w:cs="Palatino Linotype"/>
          <w:color w:val="222222"/>
          <w:sz w:val="24"/>
          <w:szCs w:val="24"/>
          <w:highlight w:val="white"/>
        </w:rPr>
        <w:t xml:space="preserve"> EMITIENDO VOTO PARTICULAR CONCURRENTE</w:t>
      </w:r>
      <w:r>
        <w:rPr>
          <w:rFonts w:ascii="Palatino Linotype" w:eastAsia="Palatino Linotype" w:hAnsi="Palatino Linotype" w:cs="Palatino Linotype"/>
          <w:color w:val="222222"/>
          <w:sz w:val="24"/>
          <w:szCs w:val="24"/>
          <w:highlight w:val="white"/>
        </w:rPr>
        <w:t>; EN LA DÉCIMA SEXTA SESIÓN ORDINARIA CELEBRADA EL CUATRO</w:t>
      </w:r>
      <w:r>
        <w:rPr>
          <w:rFonts w:ascii="Palatino Linotype" w:eastAsia="Palatino Linotype" w:hAnsi="Palatino Linotype" w:cs="Palatino Linotype"/>
          <w:sz w:val="24"/>
          <w:szCs w:val="24"/>
        </w:rPr>
        <w:t xml:space="preserve"> DE MAYO DEL DOS MIL VEINTIDÓS, ANTE EL SECRETARIO TÉCNICO DEL PLENO ALEXIS TAPIA RAMÍREZ.    </w:t>
      </w:r>
    </w:p>
    <w:p w:rsidR="007D05F6" w:rsidRDefault="007D05F6">
      <w:pPr>
        <w:spacing w:before="240" w:after="240" w:line="360" w:lineRule="auto"/>
        <w:jc w:val="both"/>
        <w:rPr>
          <w:rFonts w:ascii="Palatino Linotype" w:eastAsia="Palatino Linotype" w:hAnsi="Palatino Linotype" w:cs="Palatino Linotype"/>
          <w:sz w:val="52"/>
          <w:szCs w:val="52"/>
        </w:rPr>
      </w:pPr>
    </w:p>
    <w:p w:rsidR="007D05F6" w:rsidRDefault="007D05F6"/>
    <w:sectPr w:rsidR="007D05F6">
      <w:headerReference w:type="default" r:id="rId15"/>
      <w:footerReference w:type="default" r:id="rId16"/>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0F3" w:rsidRDefault="003D30F3">
      <w:pPr>
        <w:spacing w:after="0" w:line="240" w:lineRule="auto"/>
      </w:pPr>
      <w:r>
        <w:separator/>
      </w:r>
    </w:p>
  </w:endnote>
  <w:endnote w:type="continuationSeparator" w:id="0">
    <w:p w:rsidR="003D30F3" w:rsidRDefault="003D3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5F6" w:rsidRDefault="00892F31">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53942">
      <w:rPr>
        <w:rFonts w:ascii="Arial" w:eastAsia="Arial" w:hAnsi="Arial" w:cs="Arial"/>
        <w:b/>
        <w:noProof/>
        <w:color w:val="000000"/>
        <w:sz w:val="20"/>
        <w:szCs w:val="20"/>
      </w:rPr>
      <w:t>45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53942">
      <w:rPr>
        <w:rFonts w:ascii="Arial" w:eastAsia="Arial" w:hAnsi="Arial" w:cs="Arial"/>
        <w:b/>
        <w:noProof/>
        <w:color w:val="000000"/>
        <w:sz w:val="20"/>
        <w:szCs w:val="20"/>
      </w:rPr>
      <w:t>47</w:t>
    </w:r>
    <w:r>
      <w:rPr>
        <w:rFonts w:ascii="Arial" w:eastAsia="Arial" w:hAnsi="Arial" w:cs="Arial"/>
        <w:b/>
        <w:color w:val="000000"/>
        <w:sz w:val="20"/>
        <w:szCs w:val="20"/>
      </w:rPr>
      <w:fldChar w:fldCharType="end"/>
    </w:r>
  </w:p>
  <w:p w:rsidR="007D05F6" w:rsidRDefault="007D05F6">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rPr>
    </w:pPr>
  </w:p>
  <w:p w:rsidR="007D05F6" w:rsidRDefault="007D05F6">
    <w:pPr>
      <w:pBdr>
        <w:top w:val="nil"/>
        <w:left w:val="nil"/>
        <w:bottom w:val="nil"/>
        <w:right w:val="nil"/>
        <w:between w:val="nil"/>
      </w:pBdr>
      <w:tabs>
        <w:tab w:val="center" w:pos="4419"/>
        <w:tab w:val="right" w:pos="8838"/>
      </w:tabs>
      <w:spacing w:after="0" w:line="240" w:lineRule="auto"/>
      <w:ind w:firstLine="708"/>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5F6" w:rsidRDefault="00892F31">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53942">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53942">
      <w:rPr>
        <w:rFonts w:ascii="Arial" w:eastAsia="Arial" w:hAnsi="Arial" w:cs="Arial"/>
        <w:b/>
        <w:noProof/>
        <w:color w:val="000000"/>
        <w:sz w:val="20"/>
        <w:szCs w:val="20"/>
      </w:rPr>
      <w:t>47</w:t>
    </w:r>
    <w:r>
      <w:rPr>
        <w:rFonts w:ascii="Arial" w:eastAsia="Arial" w:hAnsi="Arial" w:cs="Arial"/>
        <w:b/>
        <w:color w:val="000000"/>
        <w:sz w:val="20"/>
        <w:szCs w:val="20"/>
      </w:rPr>
      <w:fldChar w:fldCharType="end"/>
    </w:r>
  </w:p>
  <w:p w:rsidR="007D05F6" w:rsidRDefault="007D05F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5F6" w:rsidRDefault="00892F3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53942">
      <w:rPr>
        <w:rFonts w:ascii="Arial" w:eastAsia="Arial" w:hAnsi="Arial" w:cs="Arial"/>
        <w:b/>
        <w:noProof/>
        <w:color w:val="000000"/>
        <w:sz w:val="20"/>
        <w:szCs w:val="20"/>
      </w:rPr>
      <w:t>47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53942">
      <w:rPr>
        <w:rFonts w:ascii="Arial" w:eastAsia="Arial" w:hAnsi="Arial" w:cs="Arial"/>
        <w:b/>
        <w:noProof/>
        <w:color w:val="000000"/>
        <w:sz w:val="20"/>
        <w:szCs w:val="20"/>
      </w:rPr>
      <w:t>48</w:t>
    </w:r>
    <w:r>
      <w:rPr>
        <w:rFonts w:ascii="Arial" w:eastAsia="Arial" w:hAnsi="Arial" w:cs="Arial"/>
        <w:b/>
        <w:color w:val="000000"/>
        <w:sz w:val="20"/>
        <w:szCs w:val="20"/>
      </w:rPr>
      <w:fldChar w:fldCharType="end"/>
    </w:r>
  </w:p>
  <w:p w:rsidR="007D05F6" w:rsidRDefault="007D05F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0F3" w:rsidRDefault="003D30F3">
      <w:pPr>
        <w:spacing w:after="0" w:line="240" w:lineRule="auto"/>
      </w:pPr>
      <w:r>
        <w:separator/>
      </w:r>
    </w:p>
  </w:footnote>
  <w:footnote w:type="continuationSeparator" w:id="0">
    <w:p w:rsidR="003D30F3" w:rsidRDefault="003D30F3">
      <w:pPr>
        <w:spacing w:after="0" w:line="240" w:lineRule="auto"/>
      </w:pPr>
      <w:r>
        <w:continuationSeparator/>
      </w:r>
    </w:p>
  </w:footnote>
  <w:footnote w:id="1">
    <w:p w:rsidR="007D05F6" w:rsidRDefault="00892F31">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rsidR="007D05F6" w:rsidRDefault="00892F31">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rsidR="007D05F6" w:rsidRDefault="00892F31">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2">
    <w:p w:rsidR="007D05F6" w:rsidRDefault="00892F31">
      <w:pPr>
        <w:pBdr>
          <w:top w:val="nil"/>
          <w:left w:val="nil"/>
          <w:bottom w:val="nil"/>
          <w:right w:val="nil"/>
          <w:between w:val="nil"/>
        </w:pBdr>
        <w:spacing w:after="0" w:line="240" w:lineRule="auto"/>
        <w:rPr>
          <w:rFonts w:ascii="Palatino Linotype" w:eastAsia="Palatino Linotype" w:hAnsi="Palatino Linotype" w:cs="Palatino Linotype"/>
          <w:color w:val="000000"/>
          <w:sz w:val="16"/>
          <w:szCs w:val="16"/>
        </w:rPr>
      </w:pPr>
      <w:r>
        <w:rPr>
          <w:vertAlign w:val="superscript"/>
        </w:rPr>
        <w:footnoteRef/>
      </w:r>
      <w:r>
        <w:rPr>
          <w:color w:val="000000"/>
          <w:sz w:val="20"/>
          <w:szCs w:val="20"/>
        </w:rPr>
        <w:t xml:space="preserve"> </w:t>
      </w:r>
      <w:r>
        <w:rPr>
          <w:rFonts w:ascii="Palatino Linotype" w:eastAsia="Palatino Linotype" w:hAnsi="Palatino Linotype" w:cs="Palatino Linotype"/>
          <w:i/>
          <w:color w:val="000000"/>
          <w:sz w:val="16"/>
          <w:szCs w:val="16"/>
        </w:rPr>
        <w:t xml:space="preserve">Cfr. </w:t>
      </w:r>
      <w:r>
        <w:rPr>
          <w:rFonts w:ascii="Palatino Linotype" w:eastAsia="Palatino Linotype" w:hAnsi="Palatino Linotype" w:cs="Palatino Linotype"/>
          <w:color w:val="000000"/>
          <w:sz w:val="16"/>
          <w:szCs w:val="16"/>
        </w:rPr>
        <w:t>Artículo 19 de la Ley de Seguridad del Estado de México</w:t>
      </w:r>
    </w:p>
  </w:footnote>
  <w:footnote w:id="3">
    <w:p w:rsidR="007D05F6" w:rsidRDefault="00892F31">
      <w:pPr>
        <w:pBdr>
          <w:top w:val="nil"/>
          <w:left w:val="nil"/>
          <w:bottom w:val="nil"/>
          <w:right w:val="nil"/>
          <w:between w:val="nil"/>
        </w:pBdr>
        <w:spacing w:after="0" w:line="240" w:lineRule="auto"/>
        <w:rPr>
          <w:rFonts w:ascii="Palatino Linotype" w:eastAsia="Palatino Linotype" w:hAnsi="Palatino Linotype" w:cs="Palatino Linotype"/>
          <w:color w:val="000000"/>
          <w:sz w:val="16"/>
          <w:szCs w:val="16"/>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 xml:space="preserve">Articulo 2 </w:t>
      </w:r>
      <w:proofErr w:type="gramStart"/>
      <w:r>
        <w:rPr>
          <w:rFonts w:ascii="Palatino Linotype" w:eastAsia="Palatino Linotype" w:hAnsi="Palatino Linotype" w:cs="Palatino Linotype"/>
          <w:color w:val="000000"/>
          <w:sz w:val="16"/>
          <w:szCs w:val="16"/>
        </w:rPr>
        <w:t>segundo</w:t>
      </w:r>
      <w:proofErr w:type="gramEnd"/>
      <w:r>
        <w:rPr>
          <w:rFonts w:ascii="Palatino Linotype" w:eastAsia="Palatino Linotype" w:hAnsi="Palatino Linotype" w:cs="Palatino Linotype"/>
          <w:color w:val="000000"/>
          <w:sz w:val="16"/>
          <w:szCs w:val="16"/>
        </w:rPr>
        <w:t xml:space="preserve"> párrafo de la Ley de Seguridad del Estado de México.</w:t>
      </w:r>
    </w:p>
  </w:footnote>
  <w:footnote w:id="4">
    <w:p w:rsidR="007D05F6" w:rsidRDefault="00892F31">
      <w:pPr>
        <w:spacing w:after="0" w:line="240" w:lineRule="auto"/>
        <w:rPr>
          <w:rFonts w:ascii="Palatino Linotype" w:eastAsia="Palatino Linotype" w:hAnsi="Palatino Linotype" w:cs="Palatino Linotype"/>
          <w:sz w:val="16"/>
          <w:szCs w:val="16"/>
        </w:rPr>
      </w:pPr>
      <w:r>
        <w:rPr>
          <w:vertAlign w:val="superscript"/>
        </w:rPr>
        <w:footnoteRef/>
      </w:r>
      <w:r>
        <w:rPr>
          <w:sz w:val="20"/>
          <w:szCs w:val="20"/>
        </w:rPr>
        <w:t xml:space="preserve"> </w:t>
      </w:r>
      <w:r>
        <w:rPr>
          <w:rFonts w:ascii="Palatino Linotype" w:eastAsia="Palatino Linotype" w:hAnsi="Palatino Linotype" w:cs="Palatino Linotype"/>
          <w:sz w:val="16"/>
          <w:szCs w:val="16"/>
        </w:rPr>
        <w:t>Artículo 13 de la Ley del Registro Público Vehicular.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5F6" w:rsidRDefault="007D05F6">
    <w:pPr>
      <w:widowControl w:val="0"/>
      <w:pBdr>
        <w:top w:val="nil"/>
        <w:left w:val="nil"/>
        <w:bottom w:val="nil"/>
        <w:right w:val="nil"/>
        <w:between w:val="nil"/>
      </w:pBdr>
      <w:spacing w:after="0" w:line="276" w:lineRule="auto"/>
      <w:rPr>
        <w:color w:val="000000"/>
      </w:rPr>
    </w:pPr>
  </w:p>
  <w:tbl>
    <w:tblPr>
      <w:tblStyle w:val="a1"/>
      <w:tblW w:w="10479" w:type="dxa"/>
      <w:tblInd w:w="-1281" w:type="dxa"/>
      <w:tblLayout w:type="fixed"/>
      <w:tblLook w:val="0400" w:firstRow="0" w:lastRow="0" w:firstColumn="0" w:lastColumn="0" w:noHBand="0" w:noVBand="1"/>
    </w:tblPr>
    <w:tblGrid>
      <w:gridCol w:w="5576"/>
      <w:gridCol w:w="4903"/>
    </w:tblGrid>
    <w:tr w:rsidR="007D05F6">
      <w:trPr>
        <w:trHeight w:val="245"/>
      </w:trPr>
      <w:tc>
        <w:tcPr>
          <w:tcW w:w="5576" w:type="dxa"/>
        </w:tcPr>
        <w:p w:rsidR="007D05F6" w:rsidRDefault="00892F31">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903" w:type="dxa"/>
        </w:tcPr>
        <w:p w:rsidR="007D05F6" w:rsidRDefault="00892F31">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01124/INFOEM/IP/RR/2022</w:t>
          </w:r>
        </w:p>
      </w:tc>
    </w:tr>
    <w:tr w:rsidR="007D05F6">
      <w:trPr>
        <w:trHeight w:val="211"/>
      </w:trPr>
      <w:tc>
        <w:tcPr>
          <w:tcW w:w="5576" w:type="dxa"/>
        </w:tcPr>
        <w:p w:rsidR="007D05F6" w:rsidRDefault="00892F31">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903" w:type="dxa"/>
        </w:tcPr>
        <w:p w:rsidR="007D05F6" w:rsidRDefault="007D05F6">
          <w:pPr>
            <w:spacing w:after="120"/>
            <w:ind w:left="-486" w:right="214" w:firstLine="567"/>
            <w:jc w:val="right"/>
            <w:rPr>
              <w:rFonts w:ascii="Palatino Linotype" w:eastAsia="Palatino Linotype" w:hAnsi="Palatino Linotype" w:cs="Palatino Linotype"/>
              <w:sz w:val="24"/>
              <w:szCs w:val="24"/>
            </w:rPr>
          </w:pPr>
        </w:p>
      </w:tc>
    </w:tr>
    <w:tr w:rsidR="007D05F6">
      <w:trPr>
        <w:trHeight w:val="262"/>
      </w:trPr>
      <w:tc>
        <w:tcPr>
          <w:tcW w:w="5576" w:type="dxa"/>
        </w:tcPr>
        <w:p w:rsidR="007D05F6" w:rsidRDefault="00892F31">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903" w:type="dxa"/>
        </w:tcPr>
        <w:p w:rsidR="007D05F6" w:rsidRDefault="00892F31">
          <w:pPr>
            <w:pBdr>
              <w:top w:val="nil"/>
              <w:left w:val="nil"/>
              <w:bottom w:val="nil"/>
              <w:right w:val="nil"/>
              <w:between w:val="nil"/>
            </w:pBdr>
            <w:spacing w:after="0"/>
            <w:ind w:left="432"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Ayuntamiento de Cuautitlán Izcalli.</w:t>
          </w:r>
        </w:p>
      </w:tc>
    </w:tr>
    <w:tr w:rsidR="007D05F6">
      <w:trPr>
        <w:trHeight w:val="371"/>
      </w:trPr>
      <w:tc>
        <w:tcPr>
          <w:tcW w:w="5576" w:type="dxa"/>
        </w:tcPr>
        <w:p w:rsidR="007D05F6" w:rsidRDefault="00892F31">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903" w:type="dxa"/>
        </w:tcPr>
        <w:p w:rsidR="007D05F6" w:rsidRDefault="00892F31">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7D05F6" w:rsidRDefault="00892F31">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-1057909</wp:posOffset>
          </wp:positionH>
          <wp:positionV relativeFrom="paragraph">
            <wp:posOffset>-1544954</wp:posOffset>
          </wp:positionV>
          <wp:extent cx="7809865" cy="10165715"/>
          <wp:effectExtent l="0" t="0" r="0" b="0"/>
          <wp:wrapNone/>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p w:rsidR="007D05F6" w:rsidRDefault="00892F31">
    <w:pPr>
      <w:pBdr>
        <w:top w:val="nil"/>
        <w:left w:val="nil"/>
        <w:bottom w:val="nil"/>
        <w:right w:val="nil"/>
        <w:between w:val="nil"/>
      </w:pBdr>
      <w:tabs>
        <w:tab w:val="center" w:pos="4419"/>
        <w:tab w:val="right" w:pos="8838"/>
        <w:tab w:val="left" w:pos="2326"/>
      </w:tabs>
      <w:spacing w:after="0" w:line="240" w:lineRule="auto"/>
      <w:rPr>
        <w:color w:val="000000"/>
      </w:rPr>
    </w:pPr>
    <w:r>
      <w:rPr>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5F6" w:rsidRDefault="007D05F6">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0"/>
      <w:tblW w:w="10479" w:type="dxa"/>
      <w:tblInd w:w="-1281" w:type="dxa"/>
      <w:tblLayout w:type="fixed"/>
      <w:tblLook w:val="0400" w:firstRow="0" w:lastRow="0" w:firstColumn="0" w:lastColumn="0" w:noHBand="0" w:noVBand="1"/>
    </w:tblPr>
    <w:tblGrid>
      <w:gridCol w:w="5576"/>
      <w:gridCol w:w="4903"/>
    </w:tblGrid>
    <w:tr w:rsidR="007D05F6">
      <w:trPr>
        <w:trHeight w:val="245"/>
      </w:trPr>
      <w:tc>
        <w:tcPr>
          <w:tcW w:w="5576" w:type="dxa"/>
        </w:tcPr>
        <w:p w:rsidR="007D05F6" w:rsidRDefault="00892F31">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903" w:type="dxa"/>
        </w:tcPr>
        <w:p w:rsidR="007D05F6" w:rsidRDefault="00892F31">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01124/INFOEM/IP/RR/2022</w:t>
          </w:r>
        </w:p>
      </w:tc>
    </w:tr>
    <w:tr w:rsidR="007D05F6">
      <w:trPr>
        <w:trHeight w:val="211"/>
      </w:trPr>
      <w:tc>
        <w:tcPr>
          <w:tcW w:w="5576" w:type="dxa"/>
        </w:tcPr>
        <w:p w:rsidR="007D05F6" w:rsidRDefault="00892F31">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903" w:type="dxa"/>
        </w:tcPr>
        <w:p w:rsidR="007D05F6" w:rsidRDefault="007D05F6">
          <w:pPr>
            <w:spacing w:after="120"/>
            <w:ind w:left="-486" w:right="214" w:firstLine="567"/>
            <w:jc w:val="right"/>
            <w:rPr>
              <w:rFonts w:ascii="Palatino Linotype" w:eastAsia="Palatino Linotype" w:hAnsi="Palatino Linotype" w:cs="Palatino Linotype"/>
              <w:sz w:val="24"/>
              <w:szCs w:val="24"/>
            </w:rPr>
          </w:pPr>
        </w:p>
      </w:tc>
    </w:tr>
    <w:tr w:rsidR="007D05F6">
      <w:trPr>
        <w:trHeight w:val="262"/>
      </w:trPr>
      <w:tc>
        <w:tcPr>
          <w:tcW w:w="5576" w:type="dxa"/>
        </w:tcPr>
        <w:p w:rsidR="007D05F6" w:rsidRDefault="00892F31">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903" w:type="dxa"/>
        </w:tcPr>
        <w:p w:rsidR="007D05F6" w:rsidRDefault="00892F31">
          <w:pPr>
            <w:pBdr>
              <w:top w:val="nil"/>
              <w:left w:val="nil"/>
              <w:bottom w:val="nil"/>
              <w:right w:val="nil"/>
              <w:between w:val="nil"/>
            </w:pBdr>
            <w:spacing w:after="0"/>
            <w:ind w:left="432"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Ayuntamiento de Cuautitlán Izcalli.</w:t>
          </w:r>
        </w:p>
      </w:tc>
    </w:tr>
    <w:tr w:rsidR="007D05F6">
      <w:trPr>
        <w:trHeight w:val="371"/>
      </w:trPr>
      <w:tc>
        <w:tcPr>
          <w:tcW w:w="5576" w:type="dxa"/>
        </w:tcPr>
        <w:p w:rsidR="007D05F6" w:rsidRDefault="00892F31">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903" w:type="dxa"/>
        </w:tcPr>
        <w:p w:rsidR="007D05F6" w:rsidRDefault="00892F31">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7D05F6" w:rsidRDefault="00892F31">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simplePos x="0" y="0"/>
          <wp:positionH relativeFrom="column">
            <wp:posOffset>-1108074</wp:posOffset>
          </wp:positionH>
          <wp:positionV relativeFrom="paragraph">
            <wp:posOffset>-1559559</wp:posOffset>
          </wp:positionV>
          <wp:extent cx="7809865" cy="10165715"/>
          <wp:effectExtent l="0" t="0" r="0" b="0"/>
          <wp:wrapNone/>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5F6" w:rsidRDefault="007D05F6">
    <w:pPr>
      <w:widowControl w:val="0"/>
      <w:pBdr>
        <w:top w:val="nil"/>
        <w:left w:val="nil"/>
        <w:bottom w:val="nil"/>
        <w:right w:val="nil"/>
        <w:between w:val="nil"/>
      </w:pBdr>
      <w:spacing w:after="0" w:line="276" w:lineRule="auto"/>
      <w:rPr>
        <w:color w:val="000000"/>
      </w:rPr>
    </w:pPr>
  </w:p>
  <w:tbl>
    <w:tblPr>
      <w:tblStyle w:val="a2"/>
      <w:tblW w:w="10637" w:type="dxa"/>
      <w:tblInd w:w="-1281" w:type="dxa"/>
      <w:tblLayout w:type="fixed"/>
      <w:tblLook w:val="0400" w:firstRow="0" w:lastRow="0" w:firstColumn="0" w:lastColumn="0" w:noHBand="0" w:noVBand="1"/>
    </w:tblPr>
    <w:tblGrid>
      <w:gridCol w:w="5660"/>
      <w:gridCol w:w="4977"/>
    </w:tblGrid>
    <w:tr w:rsidR="007D05F6">
      <w:trPr>
        <w:trHeight w:val="260"/>
      </w:trPr>
      <w:tc>
        <w:tcPr>
          <w:tcW w:w="5660" w:type="dxa"/>
        </w:tcPr>
        <w:p w:rsidR="007D05F6" w:rsidRDefault="00892F31">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977" w:type="dxa"/>
        </w:tcPr>
        <w:p w:rsidR="007D05F6" w:rsidRDefault="00892F31">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01124/INFOEM/IP/RR/2022</w:t>
          </w:r>
        </w:p>
      </w:tc>
    </w:tr>
    <w:tr w:rsidR="007D05F6">
      <w:trPr>
        <w:trHeight w:val="224"/>
      </w:trPr>
      <w:tc>
        <w:tcPr>
          <w:tcW w:w="5660" w:type="dxa"/>
        </w:tcPr>
        <w:p w:rsidR="007D05F6" w:rsidRDefault="00892F31">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977" w:type="dxa"/>
        </w:tcPr>
        <w:p w:rsidR="007D05F6" w:rsidRDefault="007D05F6">
          <w:pPr>
            <w:spacing w:after="120"/>
            <w:ind w:left="-486" w:right="214" w:firstLine="567"/>
            <w:jc w:val="right"/>
            <w:rPr>
              <w:rFonts w:ascii="Palatino Linotype" w:eastAsia="Palatino Linotype" w:hAnsi="Palatino Linotype" w:cs="Palatino Linotype"/>
              <w:sz w:val="24"/>
              <w:szCs w:val="24"/>
            </w:rPr>
          </w:pPr>
        </w:p>
      </w:tc>
    </w:tr>
    <w:tr w:rsidR="007D05F6">
      <w:trPr>
        <w:trHeight w:val="278"/>
      </w:trPr>
      <w:tc>
        <w:tcPr>
          <w:tcW w:w="5660" w:type="dxa"/>
        </w:tcPr>
        <w:p w:rsidR="007D05F6" w:rsidRDefault="00892F31">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977" w:type="dxa"/>
        </w:tcPr>
        <w:p w:rsidR="007D05F6" w:rsidRDefault="00892F31">
          <w:pPr>
            <w:pBdr>
              <w:top w:val="nil"/>
              <w:left w:val="nil"/>
              <w:bottom w:val="nil"/>
              <w:right w:val="nil"/>
              <w:between w:val="nil"/>
            </w:pBdr>
            <w:spacing w:after="0"/>
            <w:ind w:left="432"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Ayuntamiento de Cuautitlán Izcalli.</w:t>
          </w:r>
        </w:p>
      </w:tc>
    </w:tr>
    <w:tr w:rsidR="007D05F6">
      <w:trPr>
        <w:trHeight w:val="393"/>
      </w:trPr>
      <w:tc>
        <w:tcPr>
          <w:tcW w:w="5660" w:type="dxa"/>
        </w:tcPr>
        <w:p w:rsidR="007D05F6" w:rsidRDefault="00892F31">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977" w:type="dxa"/>
        </w:tcPr>
        <w:p w:rsidR="007D05F6" w:rsidRDefault="00892F31">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7D05F6" w:rsidRDefault="00892F31">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60288" behindDoc="1" locked="0" layoutInCell="1" hidden="0" allowOverlap="1">
          <wp:simplePos x="0" y="0"/>
          <wp:positionH relativeFrom="column">
            <wp:posOffset>-1031874</wp:posOffset>
          </wp:positionH>
          <wp:positionV relativeFrom="paragraph">
            <wp:posOffset>-1550034</wp:posOffset>
          </wp:positionV>
          <wp:extent cx="7753350" cy="9942731"/>
          <wp:effectExtent l="0" t="0" r="0" b="0"/>
          <wp:wrapNone/>
          <wp:docPr id="3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53A91"/>
    <w:multiLevelType w:val="multilevel"/>
    <w:tmpl w:val="F6A4A7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A91F1E"/>
    <w:multiLevelType w:val="multilevel"/>
    <w:tmpl w:val="E1D07F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83A3E6B"/>
    <w:multiLevelType w:val="multilevel"/>
    <w:tmpl w:val="971EF5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6002AE1"/>
    <w:multiLevelType w:val="multilevel"/>
    <w:tmpl w:val="8404337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5F6"/>
    <w:rsid w:val="003D30F3"/>
    <w:rsid w:val="00680A41"/>
    <w:rsid w:val="007D05F6"/>
    <w:rsid w:val="00892F31"/>
    <w:rsid w:val="00C1591A"/>
    <w:rsid w:val="00C53942"/>
    <w:rsid w:val="00FD49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54F37F-67A2-41EF-9A6B-24C08197E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0C3"/>
  </w:style>
  <w:style w:type="paragraph" w:styleId="Ttulo1">
    <w:name w:val="heading 1"/>
    <w:basedOn w:val="Normal"/>
    <w:next w:val="Normal"/>
    <w:link w:val="Ttulo1Car"/>
    <w:uiPriority w:val="9"/>
    <w:qFormat/>
    <w:rsid w:val="0005284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05284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84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5D46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46B2"/>
  </w:style>
  <w:style w:type="paragraph" w:styleId="Piedepgina">
    <w:name w:val="footer"/>
    <w:basedOn w:val="Normal"/>
    <w:link w:val="PiedepginaCar"/>
    <w:uiPriority w:val="99"/>
    <w:unhideWhenUsed/>
    <w:rsid w:val="005D46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46B2"/>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46B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D46B2"/>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D46B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5D46B2"/>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D46B2"/>
    <w:rPr>
      <w:vertAlign w:val="superscript"/>
    </w:rPr>
  </w:style>
  <w:style w:type="table" w:styleId="Tablaconcuadrcula">
    <w:name w:val="Table Grid"/>
    <w:basedOn w:val="Tablanormal"/>
    <w:uiPriority w:val="59"/>
    <w:rsid w:val="005D46B2"/>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D46B2"/>
  </w:style>
  <w:style w:type="character" w:styleId="nfasis">
    <w:name w:val="Emphasis"/>
    <w:basedOn w:val="Fuentedeprrafopredeter"/>
    <w:uiPriority w:val="20"/>
    <w:qFormat/>
    <w:rsid w:val="005D46B2"/>
    <w:rPr>
      <w:i/>
      <w:iCs/>
    </w:rPr>
  </w:style>
  <w:style w:type="paragraph" w:customStyle="1" w:styleId="j">
    <w:name w:val="j"/>
    <w:basedOn w:val="Normal"/>
    <w:rsid w:val="005D4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05284F"/>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05284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84F"/>
    <w:rPr>
      <w:rFonts w:ascii="Times New Roman" w:eastAsia="Times New Roman" w:hAnsi="Times New Roman" w:cs="Times New Roman"/>
      <w:b/>
      <w:bCs/>
      <w:sz w:val="27"/>
      <w:szCs w:val="27"/>
      <w:lang w:eastAsia="es-MX"/>
    </w:rPr>
  </w:style>
  <w:style w:type="character" w:customStyle="1" w:styleId="normaltextrun">
    <w:name w:val="normaltextrun"/>
    <w:basedOn w:val="Fuentedeprrafopredeter"/>
    <w:rsid w:val="0005284F"/>
  </w:style>
  <w:style w:type="paragraph" w:customStyle="1" w:styleId="paragraph">
    <w:name w:val="paragraph"/>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05284F"/>
  </w:style>
  <w:style w:type="character" w:styleId="Hipervnculo">
    <w:name w:val="Hyperlink"/>
    <w:basedOn w:val="Fuentedeprrafopredeter"/>
    <w:uiPriority w:val="99"/>
    <w:unhideWhenUsed/>
    <w:rsid w:val="0005284F"/>
    <w:rPr>
      <w:color w:val="0563C1" w:themeColor="hyperlink"/>
      <w:u w:val="single"/>
    </w:rPr>
  </w:style>
  <w:style w:type="paragraph" w:styleId="NormalWeb">
    <w:name w:val="Normal (Web)"/>
    <w:basedOn w:val="Normal"/>
    <w:uiPriority w:val="99"/>
    <w:unhideWhenUsed/>
    <w:rsid w:val="00052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ulorubro">
    <w:name w:val="titulorubro"/>
    <w:basedOn w:val="Fuentedeprrafopredeter"/>
    <w:rsid w:val="0005284F"/>
  </w:style>
  <w:style w:type="paragraph" w:styleId="Textoindependiente">
    <w:name w:val="Body Text"/>
    <w:basedOn w:val="Normal"/>
    <w:link w:val="TextoindependienteCar"/>
    <w:uiPriority w:val="99"/>
    <w:qFormat/>
    <w:rsid w:val="0005284F"/>
    <w:pPr>
      <w:autoSpaceDE w:val="0"/>
      <w:autoSpaceDN w:val="0"/>
      <w:adjustRightInd w:val="0"/>
      <w:spacing w:after="0" w:line="240" w:lineRule="auto"/>
      <w:ind w:left="93"/>
    </w:pPr>
    <w:rPr>
      <w:rFonts w:ascii="Times New Roman" w:hAnsi="Times New Roman" w:cs="Times New Roman"/>
      <w:sz w:val="23"/>
      <w:szCs w:val="23"/>
    </w:rPr>
  </w:style>
  <w:style w:type="character" w:customStyle="1" w:styleId="TextoindependienteCar">
    <w:name w:val="Texto independiente Car"/>
    <w:basedOn w:val="Fuentedeprrafopredeter"/>
    <w:link w:val="Textoindependiente"/>
    <w:uiPriority w:val="99"/>
    <w:rsid w:val="0005284F"/>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05284F"/>
    <w:pPr>
      <w:spacing w:after="0" w:line="240" w:lineRule="auto"/>
    </w:pPr>
    <w:rPr>
      <w:rFonts w:ascii="Segoe UI" w:eastAsia="Times New Roman" w:hAnsi="Segoe UI" w:cs="Segoe UI"/>
      <w:sz w:val="18"/>
      <w:szCs w:val="18"/>
      <w:lang w:val="es-ES" w:eastAsia="es-ES"/>
    </w:rPr>
  </w:style>
  <w:style w:type="character" w:customStyle="1" w:styleId="TextodegloboCar">
    <w:name w:val="Texto de globo Car"/>
    <w:basedOn w:val="Fuentedeprrafopredeter"/>
    <w:link w:val="Textodeglobo"/>
    <w:uiPriority w:val="99"/>
    <w:semiHidden/>
    <w:rsid w:val="0005284F"/>
    <w:rPr>
      <w:rFonts w:ascii="Segoe UI" w:eastAsia="Times New Roman" w:hAnsi="Segoe UI" w:cs="Segoe UI"/>
      <w:sz w:val="18"/>
      <w:szCs w:val="18"/>
      <w:lang w:val="es-ES" w:eastAsia="es-ES"/>
    </w:rPr>
  </w:style>
  <w:style w:type="paragraph" w:customStyle="1" w:styleId="Pa1">
    <w:name w:val="Pa1"/>
    <w:basedOn w:val="Normal"/>
    <w:next w:val="Normal"/>
    <w:uiPriority w:val="99"/>
    <w:rsid w:val="0005284F"/>
    <w:pPr>
      <w:autoSpaceDE w:val="0"/>
      <w:autoSpaceDN w:val="0"/>
      <w:adjustRightInd w:val="0"/>
      <w:spacing w:after="0" w:line="191" w:lineRule="atLeast"/>
    </w:pPr>
    <w:rPr>
      <w:rFonts w:ascii="Helvetica" w:hAnsi="Helvetica" w:cs="Helvetica"/>
      <w:sz w:val="24"/>
      <w:szCs w:val="24"/>
    </w:rPr>
  </w:style>
  <w:style w:type="paragraph" w:customStyle="1" w:styleId="Pa2">
    <w:name w:val="Pa2"/>
    <w:basedOn w:val="Normal"/>
    <w:next w:val="Normal"/>
    <w:uiPriority w:val="99"/>
    <w:rsid w:val="0005284F"/>
    <w:pPr>
      <w:autoSpaceDE w:val="0"/>
      <w:autoSpaceDN w:val="0"/>
      <w:adjustRightInd w:val="0"/>
      <w:spacing w:after="0" w:line="191" w:lineRule="atLeast"/>
    </w:pPr>
    <w:rPr>
      <w:rFonts w:ascii="Helvetica" w:hAnsi="Helvetica" w:cs="Helvetica"/>
      <w:sz w:val="24"/>
      <w:szCs w:val="24"/>
    </w:rPr>
  </w:style>
  <w:style w:type="paragraph" w:customStyle="1" w:styleId="Pa3">
    <w:name w:val="Pa3"/>
    <w:basedOn w:val="Normal"/>
    <w:next w:val="Normal"/>
    <w:uiPriority w:val="99"/>
    <w:rsid w:val="0005284F"/>
    <w:pPr>
      <w:autoSpaceDE w:val="0"/>
      <w:autoSpaceDN w:val="0"/>
      <w:adjustRightInd w:val="0"/>
      <w:spacing w:after="0" w:line="191" w:lineRule="atLeast"/>
    </w:pPr>
    <w:rPr>
      <w:rFonts w:ascii="Helvetica" w:hAnsi="Helvetica" w:cs="Helvetica"/>
      <w:sz w:val="24"/>
      <w:szCs w:val="24"/>
    </w:rPr>
  </w:style>
  <w:style w:type="paragraph" w:styleId="Sinespaciado">
    <w:name w:val="No Spacing"/>
    <w:aliases w:val="Francesa,INAI"/>
    <w:link w:val="SinespaciadoCar"/>
    <w:uiPriority w:val="1"/>
    <w:qFormat/>
    <w:rsid w:val="0005284F"/>
    <w:pPr>
      <w:spacing w:after="0" w:line="240" w:lineRule="auto"/>
    </w:pPr>
  </w:style>
  <w:style w:type="character" w:customStyle="1" w:styleId="SinespaciadoCar">
    <w:name w:val="Sin espaciado Car"/>
    <w:aliases w:val="Francesa Car,INAI Car"/>
    <w:link w:val="Sinespaciado"/>
    <w:uiPriority w:val="1"/>
    <w:locked/>
    <w:rsid w:val="0005284F"/>
  </w:style>
  <w:style w:type="table" w:styleId="Tabladelista1clara-nfasis1">
    <w:name w:val="List Table 1 Light Accent 1"/>
    <w:basedOn w:val="Tablanormal"/>
    <w:uiPriority w:val="46"/>
    <w:rsid w:val="0005284F"/>
    <w:pPr>
      <w:spacing w:after="0" w:line="240" w:lineRule="auto"/>
    </w:pPr>
    <w:rPr>
      <w:rFonts w:eastAsiaTheme="minorEastAsia"/>
      <w:sz w:val="24"/>
      <w:szCs w:val="24"/>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pple-tab-span">
    <w:name w:val="apple-tab-span"/>
    <w:basedOn w:val="Fuentedeprrafopredeter"/>
    <w:rsid w:val="0005284F"/>
  </w:style>
  <w:style w:type="character" w:styleId="Textoennegrita">
    <w:name w:val="Strong"/>
    <w:uiPriority w:val="22"/>
    <w:qFormat/>
    <w:rsid w:val="0005284F"/>
    <w:rPr>
      <w:b/>
      <w:bCs/>
    </w:rPr>
  </w:style>
  <w:style w:type="paragraph" w:customStyle="1" w:styleId="Texto">
    <w:name w:val="Texto"/>
    <w:basedOn w:val="Normal"/>
    <w:link w:val="TextoCar"/>
    <w:qFormat/>
    <w:rsid w:val="0005284F"/>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05284F"/>
    <w:rPr>
      <w:rFonts w:ascii="Arial" w:eastAsia="Times New Roman" w:hAnsi="Arial" w:cs="Arial"/>
      <w:sz w:val="18"/>
      <w:szCs w:val="18"/>
      <w:lang w:eastAsia="es-ES"/>
    </w:rPr>
  </w:style>
  <w:style w:type="paragraph" w:styleId="Textosinformato">
    <w:name w:val="Plain Text"/>
    <w:basedOn w:val="Normal"/>
    <w:link w:val="TextosinformatoCar"/>
    <w:rsid w:val="0005284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84F"/>
    <w:rPr>
      <w:rFonts w:ascii="Courier New" w:eastAsia="Times New Roman" w:hAnsi="Courier New" w:cs="Times New Roman"/>
      <w:sz w:val="20"/>
      <w:szCs w:val="20"/>
      <w:lang w:val="es-ES" w:eastAsia="es-ES"/>
    </w:rPr>
  </w:style>
  <w:style w:type="paragraph" w:customStyle="1" w:styleId="Default">
    <w:name w:val="Default"/>
    <w:rsid w:val="0005284F"/>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rsid w:val="0005284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paragraph" w:customStyle="1" w:styleId="q">
    <w:name w:val="q"/>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paragraph" w:styleId="Bibliografa">
    <w:name w:val="Bibliography"/>
    <w:basedOn w:val="Normal"/>
    <w:next w:val="Normal"/>
    <w:uiPriority w:val="37"/>
    <w:semiHidden/>
    <w:unhideWhenUsed/>
    <w:rsid w:val="0005284F"/>
    <w:pPr>
      <w:spacing w:after="0" w:line="240" w:lineRule="auto"/>
    </w:pPr>
    <w:rPr>
      <w:rFonts w:ascii="Times New Roman" w:eastAsia="Times New Roman" w:hAnsi="Times New Roman" w:cs="Times New Roman"/>
      <w:sz w:val="24"/>
      <w:szCs w:val="24"/>
      <w:lang w:val="es-ES" w:eastAsia="es-ES"/>
    </w:rPr>
  </w:style>
  <w:style w:type="character" w:customStyle="1" w:styleId="nacep">
    <w:name w:val="n_acep"/>
    <w:basedOn w:val="Fuentedeprrafopredeter"/>
    <w:rsid w:val="0005284F"/>
  </w:style>
  <w:style w:type="character" w:customStyle="1" w:styleId="m2871584667633129156gmail-apple-converted-space">
    <w:name w:val="m_2871584667633129156gmail-apple-converted-space"/>
    <w:basedOn w:val="Fuentedeprrafopredeter"/>
    <w:rsid w:val="0005284F"/>
  </w:style>
  <w:style w:type="character" w:customStyle="1" w:styleId="m2871584667633129156gmail-msofootnotereference">
    <w:name w:val="m_2871584667633129156gmail-msofootnotereference"/>
    <w:basedOn w:val="Fuentedeprrafopredeter"/>
    <w:rsid w:val="0005284F"/>
  </w:style>
  <w:style w:type="paragraph" w:customStyle="1" w:styleId="m2871584667633129156gmail-msofootnotetext">
    <w:name w:val="m_2871584667633129156gmail-msofootnotetext"/>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2">
    <w:name w:val="Body Text 2"/>
    <w:basedOn w:val="Normal"/>
    <w:link w:val="Textoindependiente2Car"/>
    <w:uiPriority w:val="99"/>
    <w:unhideWhenUsed/>
    <w:rsid w:val="0005284F"/>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05284F"/>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05284F"/>
    <w:rPr>
      <w:color w:val="954F72" w:themeColor="followedHyperlink"/>
      <w:u w:val="single"/>
    </w:rPr>
  </w:style>
  <w:style w:type="paragraph" w:styleId="Lista">
    <w:name w:val="List"/>
    <w:basedOn w:val="Normal"/>
    <w:uiPriority w:val="99"/>
    <w:unhideWhenUsed/>
    <w:rsid w:val="0005284F"/>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05284F"/>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Saludo">
    <w:name w:val="Salutation"/>
    <w:basedOn w:val="Normal"/>
    <w:next w:val="Normal"/>
    <w:link w:val="SaludoCar"/>
    <w:uiPriority w:val="99"/>
    <w:unhideWhenUsed/>
    <w:rsid w:val="0005284F"/>
    <w:pPr>
      <w:spacing w:after="0" w:line="240" w:lineRule="auto"/>
    </w:pPr>
    <w:rPr>
      <w:rFonts w:ascii="Times New Roman" w:eastAsia="Times New Roman" w:hAnsi="Times New Roman" w:cs="Times New Roman"/>
      <w:sz w:val="24"/>
      <w:szCs w:val="24"/>
      <w:lang w:val="es-ES" w:eastAsia="es-ES"/>
    </w:rPr>
  </w:style>
  <w:style w:type="character" w:customStyle="1" w:styleId="SaludoCar">
    <w:name w:val="Saludo Car"/>
    <w:basedOn w:val="Fuentedeprrafopredeter"/>
    <w:link w:val="Saludo"/>
    <w:uiPriority w:val="99"/>
    <w:rsid w:val="0005284F"/>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05284F"/>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05284F"/>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05284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84F"/>
    <w:rPr>
      <w:rFonts w:ascii="Times New Roman" w:eastAsia="Times New Roman" w:hAnsi="Times New Roman" w:cs="Times New Roman"/>
      <w:sz w:val="24"/>
      <w:szCs w:val="24"/>
      <w:lang w:val="es-ES" w:eastAsia="es-ES"/>
    </w:rPr>
  </w:style>
  <w:style w:type="character" w:customStyle="1" w:styleId="u">
    <w:name w:val="u"/>
    <w:basedOn w:val="Fuentedeprrafopredeter"/>
    <w:rsid w:val="0005284F"/>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rsid w:val="0005284F"/>
    <w:rPr>
      <w:sz w:val="20"/>
      <w:szCs w:val="20"/>
    </w:rPr>
  </w:style>
  <w:style w:type="paragraph" w:customStyle="1" w:styleId="rtejustify">
    <w:name w:val="rtejustify"/>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1">
    <w:name w:val="j1"/>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
    <w:name w:val="d"/>
    <w:basedOn w:val="Fuentedeprrafopredeter"/>
    <w:rsid w:val="0005284F"/>
  </w:style>
  <w:style w:type="character" w:customStyle="1" w:styleId="m-7180717751901043621gmail-msofootnotereference">
    <w:name w:val="m_-7180717751901043621gmail-msofootnotereference"/>
    <w:basedOn w:val="Fuentedeprrafopredeter"/>
    <w:rsid w:val="0005284F"/>
  </w:style>
  <w:style w:type="character" w:customStyle="1" w:styleId="m-3579365149168697376gmail-msofootnotereference">
    <w:name w:val="m_-3579365149168697376gmail-msofootnotereference"/>
    <w:basedOn w:val="Fuentedeprrafopredeter"/>
    <w:rsid w:val="0005284F"/>
  </w:style>
  <w:style w:type="paragraph" w:customStyle="1" w:styleId="m-3579365149168697376gmail-msofootnotetext">
    <w:name w:val="m_-3579365149168697376gmail-msofootnotetext"/>
    <w:basedOn w:val="Normal"/>
    <w:rsid w:val="00052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ms">
    <w:name w:val="ams"/>
    <w:basedOn w:val="Fuentedeprrafopredeter"/>
    <w:rsid w:val="0005284F"/>
  </w:style>
  <w:style w:type="character" w:customStyle="1" w:styleId="apple-style-span">
    <w:name w:val="apple-style-span"/>
    <w:rsid w:val="0005284F"/>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4"/>
      <w:szCs w:val="24"/>
    </w:rPr>
    <w:tblPr>
      <w:tblStyleRowBandSize w:val="1"/>
      <w:tblStyleColBandSize w:val="1"/>
      <w:tblCellMar>
        <w:left w:w="108" w:type="dxa"/>
        <w:right w:w="108" w:type="dxa"/>
      </w:tblCellMar>
    </w:tblPr>
    <w:tblStylePr w:type="firstRow">
      <w:rPr>
        <w:b/>
      </w:rPr>
      <w:tblPr/>
      <w:tcPr>
        <w:tcBorders>
          <w:bottom w:val="single" w:sz="4"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cpMpehKs9WlCvvv9rCA73K2lQ==">AMUW2mWUlQ1X8f4llYi6IX5oqy13g+p76QgMlusRbuqwuchPaXFGX6PNgEZtzoQa8xmX5zZ87Baxv1IrGu5jU4/vD6/anz+Vo5/7aFg1OHsLWvXHhhAW5a8smrOfHnxgwpabvS7QKhFw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47</Pages>
  <Words>10733</Words>
  <Characters>59032</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6</cp:revision>
  <cp:lastPrinted>2022-05-09T15:22:00Z</cp:lastPrinted>
  <dcterms:created xsi:type="dcterms:W3CDTF">2022-04-28T22:20:00Z</dcterms:created>
  <dcterms:modified xsi:type="dcterms:W3CDTF">2022-06-02T17:55:00Z</dcterms:modified>
</cp:coreProperties>
</file>