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F31" w:rsidRDefault="00BA5DB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color w:val="000000"/>
        </w:rPr>
        <w:t>veinticuatro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00474/INFOEM/IP/RR/2022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00095/TLALNEPA/IP/2022,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Tlalnepantla de Baz,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se procede a dictar la presente resolución, con base en los siguientes:</w:t>
      </w:r>
    </w:p>
    <w:p w:rsidR="00692F31" w:rsidRDefault="00BA5DB7">
      <w:pPr>
        <w:numPr>
          <w:ilvl w:val="0"/>
          <w:numId w:val="3"/>
        </w:numPr>
        <w:pBdr>
          <w:top w:val="nil"/>
          <w:left w:val="nil"/>
          <w:bottom w:val="nil"/>
          <w:right w:val="nil"/>
          <w:between w:val="nil"/>
        </w:pBdr>
        <w:spacing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692F31" w:rsidRDefault="00BA5DB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veinticuatro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692F31" w:rsidRDefault="00BA5DB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al Presidente Tony Rodriguez </w:t>
      </w:r>
      <w:r>
        <w:rPr>
          <w:rFonts w:ascii="Palatino Linotype" w:eastAsia="Palatino Linotype" w:hAnsi="Palatino Linotype" w:cs="Palatino Linotype"/>
          <w:b/>
          <w:i/>
          <w:sz w:val="22"/>
          <w:szCs w:val="22"/>
          <w:u w:val="single"/>
        </w:rPr>
        <w:t>me informe la razón por la cuál desapareció el Instituto de Salud</w:t>
      </w:r>
      <w:r>
        <w:rPr>
          <w:rFonts w:ascii="Palatino Linotype" w:eastAsia="Palatino Linotype" w:hAnsi="Palatino Linotype" w:cs="Palatino Linotype"/>
          <w:i/>
          <w:sz w:val="22"/>
          <w:szCs w:val="22"/>
        </w:rPr>
        <w:t xml:space="preserve">, vivo en Tlalnepantla y asistía a consulta médica al camión de salud o asistía a las jornadas de salud que el anterior gobierno prestaba, ya que no cuento con servicio médico y ahora como ciudadana me está quitando este beneficio. </w:t>
      </w:r>
      <w:r>
        <w:rPr>
          <w:rFonts w:ascii="Palatino Linotype" w:eastAsia="Palatino Linotype" w:hAnsi="Palatino Linotype" w:cs="Palatino Linotype"/>
          <w:b/>
          <w:i/>
          <w:sz w:val="22"/>
          <w:szCs w:val="22"/>
          <w:u w:val="single"/>
        </w:rPr>
        <w:t>Quiero me diga si éste beneficio lo va a reponer de alguna otra manera. También quiero saber cuándo van a poner los módulos para las pruebas de COVID</w:t>
      </w:r>
      <w:r>
        <w:rPr>
          <w:rFonts w:ascii="Palatino Linotype" w:eastAsia="Palatino Linotype" w:hAnsi="Palatino Linotype" w:cs="Palatino Linotype"/>
          <w:i/>
          <w:sz w:val="22"/>
          <w:szCs w:val="22"/>
        </w:rPr>
        <w:t>, ya que veo que el Presidente sí se le están haciendo pruebas y a nosotros como Tlalnepantlenses nos están dejando a un lado y descuidando, prefiero que den servicio médico como antes en lugar de ponerse a pintar banquetas en las noches.” (Sic)</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treinta y uno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692F31" w:rsidRDefault="00BA5DB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92F31" w:rsidRDefault="00BA5DB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respuesta respectiva.</w:t>
      </w:r>
    </w:p>
    <w:p w:rsidR="00692F31" w:rsidRDefault="00BA5DB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692F31" w:rsidRDefault="00BA5DB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CLARA CAMACHO MÉNDEZ” (Sic)</w:t>
      </w:r>
    </w:p>
    <w:p w:rsidR="00692F31" w:rsidRDefault="00692F31">
      <w:pPr>
        <w:ind w:right="758"/>
        <w:jc w:val="both"/>
        <w:rPr>
          <w:rFonts w:ascii="Palatino Linotype" w:eastAsia="Palatino Linotype" w:hAnsi="Palatino Linotype" w:cs="Palatino Linotype"/>
          <w:i/>
          <w:sz w:val="22"/>
          <w:szCs w:val="22"/>
        </w:rPr>
      </w:pPr>
    </w:p>
    <w:p w:rsidR="00692F31" w:rsidRDefault="00BA5DB7">
      <w:pPr>
        <w:ind w:right="758"/>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692F31" w:rsidRDefault="00692F31">
      <w:pPr>
        <w:ind w:right="758"/>
        <w:jc w:val="both"/>
        <w:rPr>
          <w:rFonts w:ascii="Palatino Linotype" w:eastAsia="Palatino Linotype" w:hAnsi="Palatino Linotype" w:cs="Palatino Linotype"/>
          <w:b/>
        </w:rPr>
      </w:pPr>
    </w:p>
    <w:p w:rsidR="00692F31" w:rsidRDefault="00BA5DB7">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w:t>
      </w:r>
      <w:r>
        <w:rPr>
          <w:rFonts w:ascii="Palatino Linotype" w:eastAsia="Palatino Linotype" w:hAnsi="Palatino Linotype" w:cs="Palatino Linotype"/>
          <w:b/>
          <w:i/>
          <w:sz w:val="22"/>
          <w:szCs w:val="22"/>
        </w:rPr>
        <w:t xml:space="preserve">RESP_SAIMEX_00095_COORDINACION_DE_ASESORES.pdf”: </w:t>
      </w:r>
      <w:r>
        <w:rPr>
          <w:rFonts w:ascii="Palatino Linotype" w:eastAsia="Palatino Linotype" w:hAnsi="Palatino Linotype" w:cs="Palatino Linotype"/>
        </w:rPr>
        <w:t>Documento que consta de dos fojas, en el que obra la respuesta proporcionada por el Secretario Particular de la Presidencia Municipal mediante oficio dirigido al Coordinador de Asesores y Servidor Público Habilitado de la Presidencia Municipal, se inserta la captura de pantalla a manera de ejemplo.</w:t>
      </w:r>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444500</wp:posOffset>
                </wp:positionH>
                <wp:positionV relativeFrom="paragraph">
                  <wp:posOffset>1752600</wp:posOffset>
                </wp:positionV>
                <wp:extent cx="4686300" cy="2895600"/>
                <wp:effectExtent l="0" t="0" r="0" b="0"/>
                <wp:wrapNone/>
                <wp:docPr id="37" name=""/>
                <wp:cNvGraphicFramePr/>
                <a:graphic xmlns:a="http://schemas.openxmlformats.org/drawingml/2006/main">
                  <a:graphicData uri="http://schemas.microsoft.com/office/word/2010/wordprocessingShape">
                    <wps:wsp>
                      <wps:cNvCnPr/>
                      <wps:spPr>
                        <a:xfrm>
                          <a:off x="3007613" y="2336963"/>
                          <a:ext cx="4676775" cy="28860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wp:posOffset>
                </wp:positionH>
                <wp:positionV relativeFrom="paragraph">
                  <wp:posOffset>1752600</wp:posOffset>
                </wp:positionV>
                <wp:extent cx="4686300" cy="2895600"/>
                <wp:effectExtent b="0" l="0" r="0" t="0"/>
                <wp:wrapNone/>
                <wp:docPr id="3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686300" cy="2895600"/>
                        </a:xfrm>
                        <a:prstGeom prst="rect"/>
                        <a:ln/>
                      </pic:spPr>
                    </pic:pic>
                  </a:graphicData>
                </a:graphic>
              </wp:anchor>
            </w:drawing>
          </mc:Fallback>
        </mc:AlternateContent>
      </w:r>
    </w:p>
    <w:p w:rsidR="00692F31" w:rsidRDefault="00BA5DB7">
      <w:pPr>
        <w:spacing w:line="360" w:lineRule="auto"/>
        <w:ind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998406" cy="6925153"/>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98406" cy="6925153"/>
                    </a:xfrm>
                    <a:prstGeom prst="rect">
                      <a:avLst/>
                    </a:prstGeom>
                    <a:ln/>
                  </pic:spPr>
                </pic:pic>
              </a:graphicData>
            </a:graphic>
          </wp:inline>
        </w:drawing>
      </w:r>
    </w:p>
    <w:p w:rsidR="00692F31" w:rsidRDefault="00692F31">
      <w:pPr>
        <w:spacing w:before="240" w:after="240" w:line="360" w:lineRule="auto"/>
        <w:jc w:val="both"/>
        <w:rPr>
          <w:rFonts w:ascii="Palatino Linotype" w:eastAsia="Palatino Linotype" w:hAnsi="Palatino Linotype" w:cs="Palatino Linotype"/>
        </w:rPr>
      </w:pP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b/>
        </w:rPr>
        <w:t>uno de febrero de dos mil veintidós</w:t>
      </w:r>
      <w:r>
        <w:rPr>
          <w:rFonts w:ascii="Palatino Linotype" w:eastAsia="Palatino Linotype" w:hAnsi="Palatino Linotype" w:cs="Palatino Linotype"/>
        </w:rPr>
        <w:t>, a través del cual expresó lo siguiente:</w:t>
      </w:r>
    </w:p>
    <w:p w:rsidR="00692F31" w:rsidRDefault="00BA5DB7">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692F31" w:rsidRDefault="00BA5DB7">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están dando respuesta a mi pregunta, respecto a la razón por la que desaparecieron el Instituto de Salud, sólo contestan que existe una Dirección de Salud en el DIF.” (Sic)</w:t>
      </w:r>
    </w:p>
    <w:p w:rsidR="00692F31" w:rsidRDefault="00BA5DB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692F31" w:rsidRDefault="00BA5DB7">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están dando respuesta a mi pregunta, respecto a la razón por la que desaparecieron el Instituto de Salud.” (Sic)</w:t>
      </w: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número </w:t>
      </w:r>
      <w:r>
        <w:rPr>
          <w:rFonts w:ascii="Palatino Linotype" w:eastAsia="Palatino Linotype" w:hAnsi="Palatino Linotype" w:cs="Palatino Linotype"/>
          <w:b/>
        </w:rPr>
        <w:t xml:space="preserve">00474/INFOEM/IP/RR/2022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al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para su análisis, estudio, elaboración del proyecto y presentación ante el pleno de este Instituto.</w:t>
      </w:r>
    </w:p>
    <w:p w:rsidR="00692F31" w:rsidRDefault="00692F31">
      <w:pPr>
        <w:spacing w:line="360" w:lineRule="auto"/>
        <w:jc w:val="both"/>
        <w:rPr>
          <w:rFonts w:ascii="Palatino Linotype" w:eastAsia="Palatino Linotype" w:hAnsi="Palatino Linotype" w:cs="Palatino Linotype"/>
        </w:rPr>
      </w:pPr>
    </w:p>
    <w:p w:rsidR="00692F31" w:rsidRDefault="00BA5DB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cuatro de febrero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692F31" w:rsidRDefault="00692F31">
      <w:pPr>
        <w:spacing w:after="240" w:line="360" w:lineRule="auto"/>
        <w:jc w:val="both"/>
        <w:rPr>
          <w:rFonts w:ascii="Palatino Linotype" w:eastAsia="Palatino Linotype" w:hAnsi="Palatino Linotype" w:cs="Palatino Linotype"/>
        </w:rPr>
      </w:pPr>
    </w:p>
    <w:p w:rsidR="00692F31" w:rsidRDefault="00BA5DB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6. Manifestaciones</w:t>
      </w:r>
      <w:r>
        <w:rPr>
          <w:rFonts w:ascii="Palatino Linotype" w:eastAsia="Palatino Linotype" w:hAnsi="Palatino Linotype" w:cs="Palatino Linotype"/>
          <w:color w:val="000000"/>
        </w:rPr>
        <w:t xml:space="preserve">: De las constancias que integran el expediente en que se actúa se advierte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fue omisa en ofrecer pruebas y alegatos.</w:t>
      </w: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febrero del dos mil veintidós</w:t>
      </w:r>
      <w:r>
        <w:rPr>
          <w:rFonts w:ascii="Palatino Linotype" w:eastAsia="Palatino Linotype" w:hAnsi="Palatino Linotype" w:cs="Palatino Linotype"/>
        </w:rPr>
        <w:t>, remite en vía informe justificado el archivo electrónico siguiente:</w:t>
      </w:r>
    </w:p>
    <w:p w:rsidR="00692F31" w:rsidRDefault="00692F31">
      <w:pPr>
        <w:spacing w:line="360" w:lineRule="auto"/>
        <w:jc w:val="both"/>
        <w:rPr>
          <w:rFonts w:ascii="Palatino Linotype" w:eastAsia="Palatino Linotype" w:hAnsi="Palatino Linotype" w:cs="Palatino Linotype"/>
        </w:rPr>
      </w:pPr>
    </w:p>
    <w:p w:rsidR="00692F31" w:rsidRDefault="00BA5DB7">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“MANIFESTACIONES_RESP_SAIMEX_00095_RR_00474_PRESIDENCIA.pdf”: </w:t>
      </w:r>
      <w:r>
        <w:rPr>
          <w:rFonts w:ascii="Palatino Linotype" w:eastAsia="Palatino Linotype" w:hAnsi="Palatino Linotype" w:cs="Palatino Linotype"/>
        </w:rPr>
        <w:t>Consiste en documento de tres fojas, mediante el cual se aprecia el turno de la Titular de la Unidad de Transparencia al Servidor Público Habilitado de la Presidencia Municipal, asimismo se adjuntó el oficio signado por el Coordinador de Asesores y Servidor Público Habilitado de la Presidencia Municipal, mediante el cual reiteró que de conformidad con la Ley Orgánica Municipal y la Constitución Política de los Estados Unidos Mexicanos, no existe una obligación específica en cuanto a la organización interna del Ayuntamiento, sirve de ejemplo la siguiente captura de pantalla:</w:t>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533400</wp:posOffset>
                </wp:positionH>
                <wp:positionV relativeFrom="paragraph">
                  <wp:posOffset>3136900</wp:posOffset>
                </wp:positionV>
                <wp:extent cx="4752975" cy="2790825"/>
                <wp:effectExtent l="0" t="0" r="0" b="0"/>
                <wp:wrapNone/>
                <wp:docPr id="39" name=""/>
                <wp:cNvGraphicFramePr/>
                <a:graphic xmlns:a="http://schemas.openxmlformats.org/drawingml/2006/main">
                  <a:graphicData uri="http://schemas.microsoft.com/office/word/2010/wordprocessingShape">
                    <wps:wsp>
                      <wps:cNvCnPr/>
                      <wps:spPr>
                        <a:xfrm>
                          <a:off x="2974275" y="2389350"/>
                          <a:ext cx="4743450" cy="27813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533400</wp:posOffset>
                </wp:positionH>
                <wp:positionV relativeFrom="paragraph">
                  <wp:posOffset>3136900</wp:posOffset>
                </wp:positionV>
                <wp:extent cx="4752975" cy="2790825"/>
                <wp:effectExtent b="0" l="0" r="0" t="0"/>
                <wp:wrapNone/>
                <wp:docPr id="39"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4752975" cy="2790825"/>
                        </a:xfrm>
                        <a:prstGeom prst="rect"/>
                        <a:ln/>
                      </pic:spPr>
                    </pic:pic>
                  </a:graphicData>
                </a:graphic>
              </wp:anchor>
            </w:drawing>
          </mc:Fallback>
        </mc:AlternateContent>
      </w:r>
    </w:p>
    <w:p w:rsidR="00692F31" w:rsidRDefault="00BA5DB7">
      <w:pPr>
        <w:spacing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00142" cy="614209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00142" cy="6142090"/>
                    </a:xfrm>
                    <a:prstGeom prst="rect">
                      <a:avLst/>
                    </a:prstGeom>
                    <a:ln/>
                  </pic:spPr>
                </pic:pic>
              </a:graphicData>
            </a:graphic>
          </wp:inline>
        </w:drawing>
      </w:r>
    </w:p>
    <w:p w:rsidR="00692F31" w:rsidRDefault="00BA5DB7">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noProof/>
          <w:color w:val="FF0000"/>
          <w:lang w:val="es-MX"/>
        </w:rPr>
        <w:lastRenderedPageBreak/>
        <w:drawing>
          <wp:inline distT="0" distB="0" distL="0" distR="0">
            <wp:extent cx="5610225" cy="4010025"/>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0225" cy="4010025"/>
                    </a:xfrm>
                    <a:prstGeom prst="rect">
                      <a:avLst/>
                    </a:prstGeom>
                    <a:ln/>
                  </pic:spPr>
                </pic:pic>
              </a:graphicData>
            </a:graphic>
          </wp:inline>
        </w:drawing>
      </w:r>
    </w:p>
    <w:p w:rsidR="00692F31" w:rsidRDefault="00BA5DB7">
      <w:pPr>
        <w:widowControl w:val="0"/>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Es de señalar que esta información se puso a disposición del particular mediante acuerdo de fecha once de marzo de dos mil veintidós.</w:t>
      </w:r>
      <w:r>
        <w:rPr>
          <w:noProof/>
          <w:lang w:val="es-MX"/>
        </w:rPr>
        <w:drawing>
          <wp:anchor distT="0" distB="0" distL="114300" distR="114300" simplePos="0" relativeHeight="251660288" behindDoc="0" locked="0" layoutInCell="1" hidden="0" allowOverlap="1">
            <wp:simplePos x="0" y="0"/>
            <wp:positionH relativeFrom="column">
              <wp:posOffset>-232409</wp:posOffset>
            </wp:positionH>
            <wp:positionV relativeFrom="paragraph">
              <wp:posOffset>847725</wp:posOffset>
            </wp:positionV>
            <wp:extent cx="5610225" cy="2314575"/>
            <wp:effectExtent l="0" t="0" r="0" b="0"/>
            <wp:wrapTopAndBottom distT="0" dist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610225" cy="2314575"/>
                    </a:xfrm>
                    <a:prstGeom prst="rect">
                      <a:avLst/>
                    </a:prstGeom>
                    <a:ln/>
                  </pic:spPr>
                </pic:pic>
              </a:graphicData>
            </a:graphic>
          </wp:anchor>
        </w:drawing>
      </w:r>
    </w:p>
    <w:p w:rsidR="00692F31" w:rsidRDefault="00692F31">
      <w:pPr>
        <w:widowControl w:val="0"/>
        <w:spacing w:before="240" w:after="240" w:line="360" w:lineRule="auto"/>
        <w:ind w:left="567" w:right="900"/>
        <w:jc w:val="both"/>
        <w:rPr>
          <w:rFonts w:ascii="Palatino Linotype" w:eastAsia="Palatino Linotype" w:hAnsi="Palatino Linotype" w:cs="Palatino Linotype"/>
        </w:rPr>
      </w:pPr>
    </w:p>
    <w:p w:rsidR="00692F31" w:rsidRDefault="00BA5DB7">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en fecha </w:t>
      </w:r>
      <w:r>
        <w:rPr>
          <w:rFonts w:ascii="Palatino Linotype" w:eastAsia="Palatino Linotype" w:hAnsi="Palatino Linotype" w:cs="Palatino Linotype"/>
          <w:b/>
          <w:color w:val="000000"/>
        </w:rPr>
        <w:t>diecisiete de marzo de dos mil veintidós</w:t>
      </w:r>
      <w:r>
        <w:rPr>
          <w:rFonts w:ascii="Palatino Linotype" w:eastAsia="Palatino Linotype" w:hAnsi="Palatino Linotype" w:cs="Palatino Linotype"/>
        </w:rPr>
        <w:t>, el Comisionado ponente determinó el cierre de instrucción en términos de la fracción VI del artículo 185 de la Ley de Transparencia y Acceso a la Información Pública del Estado de México y Municipios.</w:t>
      </w:r>
    </w:p>
    <w:p w:rsidR="00692F31" w:rsidRDefault="00692F31">
      <w:pPr>
        <w:widowControl w:val="0"/>
        <w:spacing w:line="360" w:lineRule="auto"/>
        <w:jc w:val="both"/>
        <w:rPr>
          <w:rFonts w:ascii="Palatino Linotype" w:eastAsia="Palatino Linotype" w:hAnsi="Palatino Linotype" w:cs="Palatino Linotype"/>
        </w:rPr>
      </w:pPr>
    </w:p>
    <w:p w:rsidR="00692F31" w:rsidRDefault="00BA5DB7">
      <w:pPr>
        <w:widowControl w:val="0"/>
        <w:tabs>
          <w:tab w:val="left" w:pos="709"/>
        </w:tabs>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color w:val="000000"/>
        </w:rPr>
        <w:t xml:space="preserve">veintitrés de marzo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rsidR="00692F31" w:rsidRDefault="00BA5DB7">
      <w:pPr>
        <w:widowControl w:val="0"/>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692F31" w:rsidRDefault="00BA5DB7">
      <w:pPr>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92F31" w:rsidRDefault="00BA5DB7">
      <w:pPr>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treinta y uno de enero del año dos mil veintidós</w:t>
      </w:r>
      <w:r>
        <w:rPr>
          <w:rFonts w:ascii="Palatino Linotype" w:eastAsia="Palatino Linotype" w:hAnsi="Palatino Linotype" w:cs="Palatino Linotype"/>
        </w:rPr>
        <w:t xml:space="preserve"> y el recurrente presentó su recurso de revisión el </w:t>
      </w:r>
      <w:r>
        <w:rPr>
          <w:rFonts w:ascii="Palatino Linotype" w:eastAsia="Palatino Linotype" w:hAnsi="Palatino Linotype" w:cs="Palatino Linotype"/>
          <w:b/>
        </w:rPr>
        <w:t>uno de febrero del año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hábil</w:t>
      </w:r>
      <w:r>
        <w:rPr>
          <w:rFonts w:ascii="Palatino Linotype" w:eastAsia="Palatino Linotype" w:hAnsi="Palatino Linotype" w:cs="Palatino Linotype"/>
        </w:rPr>
        <w:t xml:space="preserve">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692F31" w:rsidRDefault="00BA5DB7">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92F31" w:rsidRDefault="00BA5DB7">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692F31" w:rsidRDefault="00BA5DB7">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92F31" w:rsidRDefault="00BA5DB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 acto impugnado y motivos de inconformidad, de acuerdo al artículo 179, fracción I</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color w:val="000000"/>
        </w:rPr>
        <w:t>de la Ley de Transparencia y Acceso a la Información Pública del Estado de México y Municipios; que a la letra dice:</w:t>
      </w:r>
    </w:p>
    <w:p w:rsidR="00692F31" w:rsidRDefault="00692F31">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ind w:left="567"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692F31" w:rsidRDefault="00BA5DB7">
      <w:pPr>
        <w:numPr>
          <w:ilvl w:val="0"/>
          <w:numId w:val="1"/>
        </w:numPr>
        <w:pBdr>
          <w:top w:val="nil"/>
          <w:left w:val="nil"/>
          <w:bottom w:val="nil"/>
          <w:right w:val="nil"/>
          <w:between w:val="nil"/>
        </w:pBdr>
        <w:ind w:left="567" w:right="851"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rsidR="00692F31" w:rsidRDefault="00692F31">
      <w:pPr>
        <w:pBdr>
          <w:top w:val="nil"/>
          <w:left w:val="nil"/>
          <w:bottom w:val="nil"/>
          <w:right w:val="nil"/>
          <w:between w:val="nil"/>
        </w:pBdr>
        <w:ind w:left="1571" w:right="851"/>
        <w:jc w:val="both"/>
        <w:rPr>
          <w:rFonts w:ascii="Palatino Linotype" w:eastAsia="Palatino Linotype" w:hAnsi="Palatino Linotype" w:cs="Palatino Linotype"/>
          <w:i/>
          <w:color w:val="000000"/>
          <w:sz w:val="22"/>
          <w:szCs w:val="22"/>
        </w:rPr>
      </w:pPr>
    </w:p>
    <w:p w:rsidR="00692F31" w:rsidRDefault="00BA5DB7">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Tercero. Análisis de las causales de sobreseimiento. </w:t>
      </w:r>
      <w:r>
        <w:rPr>
          <w:rFonts w:ascii="Palatino Linotype" w:eastAsia="Palatino Linotype" w:hAnsi="Palatino Linotype" w:cs="Palatino Linotype"/>
          <w:color w:val="000000"/>
        </w:rPr>
        <w:t xml:space="preserve">Derivado de los documentos enviados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etapa correspondiente a las manifestaciones, conviene analizar las causas de sobreseimiento que establece la Ley de Transparencia y Acceso a la Información Pública del Estado de México y Municipios bajo los argumentos siguientes:</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necesario recordar que el particular requirió al Ayuntamiento de Tlalnepantla de Baz, lo siguiente:</w:t>
      </w:r>
    </w:p>
    <w:p w:rsidR="00692F31" w:rsidRDefault="00BA5DB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al Presidente Tony Rodriguez </w:t>
      </w:r>
      <w:r>
        <w:rPr>
          <w:rFonts w:ascii="Palatino Linotype" w:eastAsia="Palatino Linotype" w:hAnsi="Palatino Linotype" w:cs="Palatino Linotype"/>
          <w:b/>
          <w:i/>
          <w:sz w:val="22"/>
          <w:szCs w:val="22"/>
          <w:u w:val="single"/>
        </w:rPr>
        <w:t>me informe la razón por la cuál desapareció el Instituto de Salud</w:t>
      </w:r>
      <w:r>
        <w:rPr>
          <w:rFonts w:ascii="Palatino Linotype" w:eastAsia="Palatino Linotype" w:hAnsi="Palatino Linotype" w:cs="Palatino Linotype"/>
          <w:i/>
          <w:sz w:val="22"/>
          <w:szCs w:val="22"/>
        </w:rPr>
        <w:t xml:space="preserve">, vivo en Tlalnepantla y asistía a consulta médica al camión de salud o asistía a las jornadas de salud que el anterior gobierno </w:t>
      </w:r>
      <w:r>
        <w:rPr>
          <w:rFonts w:ascii="Palatino Linotype" w:eastAsia="Palatino Linotype" w:hAnsi="Palatino Linotype" w:cs="Palatino Linotype"/>
          <w:i/>
          <w:sz w:val="22"/>
          <w:szCs w:val="22"/>
        </w:rPr>
        <w:lastRenderedPageBreak/>
        <w:t xml:space="preserve">prestaba, ya que no cuento con servicio médico y ahora como ciudadana me está quitando este beneficio. </w:t>
      </w:r>
      <w:r>
        <w:rPr>
          <w:rFonts w:ascii="Palatino Linotype" w:eastAsia="Palatino Linotype" w:hAnsi="Palatino Linotype" w:cs="Palatino Linotype"/>
          <w:b/>
          <w:i/>
          <w:sz w:val="22"/>
          <w:szCs w:val="22"/>
          <w:u w:val="single"/>
        </w:rPr>
        <w:t>Quiero me diga si éste beneficio lo va a reponer de alguna otra manera. También quiero saber cuándo van a poner los módulos para las pruebas de COVID</w:t>
      </w:r>
      <w:r>
        <w:rPr>
          <w:rFonts w:ascii="Palatino Linotype" w:eastAsia="Palatino Linotype" w:hAnsi="Palatino Linotype" w:cs="Palatino Linotype"/>
          <w:i/>
          <w:sz w:val="22"/>
          <w:szCs w:val="22"/>
        </w:rPr>
        <w:t>, ya que veo que el Presidente sí se le están haciendo pruebas y a nosotros como Tlalnepantlenses nos están dejando a un lado y descuidando, prefiero que den servicio médico como antes en lugar de ponerse a pintar banquetas en las noches.” (Sic)</w:t>
      </w:r>
    </w:p>
    <w:p w:rsidR="00692F31" w:rsidRDefault="00692F31">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el </w:t>
      </w:r>
      <w:r>
        <w:rPr>
          <w:rFonts w:ascii="Palatino Linotype" w:eastAsia="Palatino Linotype" w:hAnsi="Palatino Linotype" w:cs="Palatino Linotype"/>
          <w:b/>
        </w:rPr>
        <w:t>Sujeto Obligado</w:t>
      </w:r>
      <w:r>
        <w:rPr>
          <w:rFonts w:ascii="Palatino Linotype" w:eastAsia="Palatino Linotype" w:hAnsi="Palatino Linotype" w:cs="Palatino Linotype"/>
        </w:rPr>
        <w:t>, emitió su respuesta a través de los archivos electrónicos siguientes:</w:t>
      </w:r>
    </w:p>
    <w:p w:rsidR="00692F31" w:rsidRDefault="00BA5DB7">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rPr>
        <w:t>“</w:t>
      </w:r>
      <w:r>
        <w:rPr>
          <w:rFonts w:ascii="Palatino Linotype" w:eastAsia="Palatino Linotype" w:hAnsi="Palatino Linotype" w:cs="Palatino Linotype"/>
          <w:b/>
          <w:i/>
          <w:sz w:val="22"/>
          <w:szCs w:val="22"/>
        </w:rPr>
        <w:t xml:space="preserve">RESP_SAIMEX_00095_COORDINACION_DE_ASESORES.pdf”: </w:t>
      </w:r>
      <w:r>
        <w:rPr>
          <w:rFonts w:ascii="Palatino Linotype" w:eastAsia="Palatino Linotype" w:hAnsi="Palatino Linotype" w:cs="Palatino Linotype"/>
        </w:rPr>
        <w:t>Documento que consta de dos fojas, en el que obra la respuesta proporcionada por el Secretario Particular de la Presidencia Municipal mediante oficio dirigido al Coordinador de Asesores y Servidor Público Habilitado de la Presidencia Municipal, se inserta la captura de pantalla a manera de ejemplo.</w:t>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419100</wp:posOffset>
                </wp:positionH>
                <wp:positionV relativeFrom="paragraph">
                  <wp:posOffset>1803400</wp:posOffset>
                </wp:positionV>
                <wp:extent cx="4895850" cy="3495675"/>
                <wp:effectExtent l="0" t="0" r="0" b="0"/>
                <wp:wrapNone/>
                <wp:docPr id="41" name=""/>
                <wp:cNvGraphicFramePr/>
                <a:graphic xmlns:a="http://schemas.openxmlformats.org/drawingml/2006/main">
                  <a:graphicData uri="http://schemas.microsoft.com/office/word/2010/wordprocessingShape">
                    <wps:wsp>
                      <wps:cNvCnPr/>
                      <wps:spPr>
                        <a:xfrm>
                          <a:off x="2902838" y="2036925"/>
                          <a:ext cx="4886325" cy="34861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419100</wp:posOffset>
                </wp:positionH>
                <wp:positionV relativeFrom="paragraph">
                  <wp:posOffset>1803400</wp:posOffset>
                </wp:positionV>
                <wp:extent cx="4895850" cy="3495675"/>
                <wp:effectExtent b="0" l="0" r="0" t="0"/>
                <wp:wrapNone/>
                <wp:docPr id="4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4895850" cy="3495675"/>
                        </a:xfrm>
                        <a:prstGeom prst="rect"/>
                        <a:ln/>
                      </pic:spPr>
                    </pic:pic>
                  </a:graphicData>
                </a:graphic>
              </wp:anchor>
            </w:drawing>
          </mc:Fallback>
        </mc:AlternateContent>
      </w:r>
    </w:p>
    <w:p w:rsidR="00692F31" w:rsidRDefault="00BA5DB7">
      <w:pPr>
        <w:spacing w:line="360" w:lineRule="auto"/>
        <w:ind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998406" cy="6925153"/>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98406" cy="6925153"/>
                    </a:xfrm>
                    <a:prstGeom prst="rect">
                      <a:avLst/>
                    </a:prstGeom>
                    <a:ln/>
                  </pic:spPr>
                </pic:pic>
              </a:graphicData>
            </a:graphic>
          </wp:inline>
        </w:drawing>
      </w:r>
    </w:p>
    <w:p w:rsidR="00692F31" w:rsidRDefault="00692F31">
      <w:pPr>
        <w:spacing w:before="240" w:after="240" w:line="360" w:lineRule="auto"/>
        <w:jc w:val="both"/>
        <w:rPr>
          <w:rFonts w:ascii="Palatino Linotype" w:eastAsia="Palatino Linotype" w:hAnsi="Palatino Linotype" w:cs="Palatino Linotype"/>
        </w:rPr>
      </w:pP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Derivado de dicha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inconforma en lo medular porque no se le está dando respuesta a mi pregunta, respecto a la razón por la que desaparecieron el Instituto de Salud, sólo contestan que existe una Dirección de Salud en el DIF.</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a través del archivo electrónico: </w:t>
      </w:r>
    </w:p>
    <w:p w:rsidR="00692F31" w:rsidRDefault="00BA5DB7">
      <w:pPr>
        <w:spacing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“MANIFESTACIONES_RESP_SAIMEX_00095_RR_00474_PRESIDENCIA.pdf”: </w:t>
      </w:r>
      <w:r>
        <w:rPr>
          <w:rFonts w:ascii="Palatino Linotype" w:eastAsia="Palatino Linotype" w:hAnsi="Palatino Linotype" w:cs="Palatino Linotype"/>
        </w:rPr>
        <w:t xml:space="preserve">Consiste en documento de tres fojas, mediante el cual se aprecia el turno de la Titular de la Unidad de Transparencia al Servidor Público Habilitado de la Presidencia Municipal, asimismo se adjuntó el oficio signado por el Coordinador de Asesores y Servidor Público Habilitado de la Presidencia Municipal, mediante el cual </w:t>
      </w:r>
      <w:r>
        <w:rPr>
          <w:rFonts w:ascii="Palatino Linotype" w:eastAsia="Palatino Linotype" w:hAnsi="Palatino Linotype" w:cs="Palatino Linotype"/>
          <w:b/>
          <w:u w:val="single"/>
        </w:rPr>
        <w:t>reiteró que de conformidad con la Ley Orgánica Municipal y la Constitución Política de los Estados Unidos Mexicanos, no existe una obligación específica en cuanto a la organización interna del Ayuntamiento</w:t>
      </w:r>
      <w:r>
        <w:rPr>
          <w:rFonts w:ascii="Palatino Linotype" w:eastAsia="Palatino Linotype" w:hAnsi="Palatino Linotype" w:cs="Palatino Linotype"/>
        </w:rPr>
        <w:t>, asimismo precisó que si bien, no existe el Instituto Municipal de Salud, ahora existe una Dirección de Salud, la cual se encuentra prevista dentro del Reglamento Interno del Sistema Municipal para el Desarrollo Integral de la Familia de Tlalnepantla de Baz, Estado de México.</w:t>
      </w:r>
    </w:p>
    <w:p w:rsidR="00692F31" w:rsidRDefault="00BA5DB7">
      <w:pPr>
        <w:spacing w:line="360" w:lineRule="auto"/>
        <w:ind w:left="567" w:right="900"/>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00142" cy="614209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00142" cy="6142090"/>
                    </a:xfrm>
                    <a:prstGeom prst="rect">
                      <a:avLst/>
                    </a:prstGeom>
                    <a:ln/>
                  </pic:spPr>
                </pic:pic>
              </a:graphicData>
            </a:graphic>
          </wp:inline>
        </w:drawing>
      </w:r>
    </w:p>
    <w:p w:rsidR="00692F31" w:rsidRDefault="00BA5DB7">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noProof/>
          <w:color w:val="FF0000"/>
          <w:lang w:val="es-MX"/>
        </w:rPr>
        <w:lastRenderedPageBreak/>
        <w:drawing>
          <wp:inline distT="0" distB="0" distL="0" distR="0">
            <wp:extent cx="5610225" cy="4010025"/>
            <wp:effectExtent l="0" t="0" r="0" 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0225" cy="4010025"/>
                    </a:xfrm>
                    <a:prstGeom prst="rect">
                      <a:avLst/>
                    </a:prstGeom>
                    <a:ln/>
                  </pic:spPr>
                </pic:pic>
              </a:graphicData>
            </a:graphic>
          </wp:inline>
        </w:drawing>
      </w:r>
    </w:p>
    <w:p w:rsidR="00692F31" w:rsidRDefault="00BA5DB7">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este sentido, no pasa inadvertido para este Órgano Garante que los motivos de inconformidad aducidos, no versan sobre la totalidad de la solicitud de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sino porque </w:t>
      </w:r>
      <w:r>
        <w:rPr>
          <w:rFonts w:ascii="Palatino Linotype" w:eastAsia="Palatino Linotype" w:hAnsi="Palatino Linotype" w:cs="Palatino Linotype"/>
          <w:i/>
        </w:rPr>
        <w:t>“No están dando respuesta a mi pregunta, respecto a la razón por la que desaparecieron el Instituto de Salud, sólo contestan que existe una Dirección de Salud en el DIF.”</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la parte de la solicitud que refiere “</w:t>
      </w:r>
      <w:r>
        <w:rPr>
          <w:rFonts w:ascii="Palatino Linotype" w:eastAsia="Palatino Linotype" w:hAnsi="Palatino Linotype" w:cs="Palatino Linotype"/>
          <w:i/>
        </w:rPr>
        <w:t xml:space="preserve">Quiero me diga si éste beneficio lo va a reponer de alguna otra manera. También quiero saber cuándo van a poner los módulos para las pruebas de COVID, ya que veo que el Presidente sí se le están haciendo pruebas y a nosotros como Tlalnepantlenses nos están dejando a un lado y descuidando, prefiero que den servicio médico como antes en lugar de ponerse a pintar banquetas en las noches.” (Sic) </w:t>
      </w:r>
      <w:r>
        <w:rPr>
          <w:rFonts w:ascii="Palatino Linotype" w:eastAsia="Palatino Linotype" w:hAnsi="Palatino Linotype" w:cs="Palatino Linotype"/>
        </w:rPr>
        <w:t xml:space="preserve">que </w:t>
      </w:r>
      <w:r>
        <w:rPr>
          <w:rFonts w:ascii="Palatino Linotype" w:eastAsia="Palatino Linotype" w:hAnsi="Palatino Linotype" w:cs="Palatino Linotype"/>
        </w:rPr>
        <w:lastRenderedPageBreak/>
        <w:t xml:space="preserve">no fue combatida mediante el presente recurso de revisión, </w:t>
      </w:r>
      <w:r>
        <w:rPr>
          <w:rFonts w:ascii="Palatino Linotype" w:eastAsia="Palatino Linotype" w:hAnsi="Palatino Linotype" w:cs="Palatino Linotype"/>
          <w:color w:val="000000"/>
        </w:rPr>
        <w:t xml:space="preserve">debe declararse consentida, toda vez que, al no haber realizado manifestaciones de inconformidad al respecto,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estos puntos de la solicitud.</w:t>
      </w: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debido a que cuando el recurrente impugna la respuesta del Sujeto Obligado, y éste no expresa Razón o Motivo de Inconformidad en contra de todos los rubros solicitados, dichos rubros deben declararse atendidos, pues se entiende que el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692F31" w:rsidRDefault="00692F31">
      <w:pPr>
        <w:spacing w:line="360" w:lineRule="auto"/>
        <w:jc w:val="both"/>
        <w:rPr>
          <w:rFonts w:ascii="Palatino Linotype" w:eastAsia="Palatino Linotype" w:hAnsi="Palatino Linotype" w:cs="Palatino Linotype"/>
        </w:rPr>
      </w:pPr>
    </w:p>
    <w:p w:rsidR="00692F31" w:rsidRDefault="00BA5DB7">
      <w:pPr>
        <w:spacing w:line="276"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92F31" w:rsidRDefault="00692F31">
      <w:pPr>
        <w:spacing w:line="276" w:lineRule="auto"/>
        <w:ind w:right="616"/>
        <w:jc w:val="both"/>
        <w:rPr>
          <w:rFonts w:ascii="Palatino Linotype" w:eastAsia="Palatino Linotype" w:hAnsi="Palatino Linotype" w:cs="Palatino Linotype"/>
          <w:sz w:val="22"/>
          <w:szCs w:val="22"/>
        </w:rPr>
      </w:pPr>
    </w:p>
    <w:p w:rsidR="00692F31" w:rsidRDefault="00BA5DB7">
      <w:pPr>
        <w:tabs>
          <w:tab w:val="left" w:pos="7938"/>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Consecuentemente, la información proporcionada en respuesta, al no ser impugnada debe declararse consentida por la parte recurrente, toda vez que no se realizaron manifestaciones de inconformidad, por lo que no pueden producirse efectos jurídicos tendentes a revocar, confirmar o modificar el acto reclamado ya que se infiere un consentimiento del recurrente ante la falta de impugnación eficaz.</w:t>
      </w:r>
    </w:p>
    <w:p w:rsidR="00692F31" w:rsidRDefault="00692F31">
      <w:pPr>
        <w:spacing w:line="360" w:lineRule="auto"/>
        <w:ind w:right="616"/>
        <w:jc w:val="both"/>
        <w:rPr>
          <w:rFonts w:ascii="Palatino Linotype" w:eastAsia="Palatino Linotype" w:hAnsi="Palatino Linotype" w:cs="Palatino Linotype"/>
        </w:rPr>
      </w:pPr>
    </w:p>
    <w:p w:rsidR="00692F31" w:rsidRDefault="00BA5DB7">
      <w:pPr>
        <w:spacing w:line="360" w:lineRule="auto"/>
        <w:ind w:right="616"/>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a lo anterior por analogía la tesis jurisprudencial número VI.3º.C.J/60, publicada en el Seminario Judicial de la Federación  y su Gaceta bajo el número de registro 176,608 que a la letra dice:</w:t>
      </w:r>
    </w:p>
    <w:p w:rsidR="00692F31" w:rsidRDefault="00692F31">
      <w:pPr>
        <w:spacing w:line="360" w:lineRule="auto"/>
        <w:ind w:right="616"/>
        <w:jc w:val="both"/>
        <w:rPr>
          <w:rFonts w:ascii="Palatino Linotype" w:eastAsia="Palatino Linotype" w:hAnsi="Palatino Linotype" w:cs="Palatino Linotype"/>
        </w:rPr>
      </w:pPr>
    </w:p>
    <w:p w:rsidR="00692F31" w:rsidRDefault="00BA5DB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92F31" w:rsidRDefault="00692F31">
      <w:pPr>
        <w:spacing w:line="276" w:lineRule="auto"/>
        <w:ind w:right="616"/>
        <w:jc w:val="both"/>
        <w:rPr>
          <w:rFonts w:ascii="Palatino Linotype" w:eastAsia="Palatino Linotype" w:hAnsi="Palatino Linotype" w:cs="Palatino Linotype"/>
        </w:rPr>
      </w:pPr>
    </w:p>
    <w:p w:rsidR="00692F31" w:rsidRDefault="00BA5DB7">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apuntado lo anterior, este Órgano Garante procede al análisis de las razones o motivos de inconformidad hechos valer por el recurrente, estudio que versará únicamente sobre el punto controvertido, no así por los demás rubros materia de la solicitud.</w:t>
      </w:r>
    </w:p>
    <w:p w:rsidR="00692F31" w:rsidRDefault="00BA5DB7">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 apuntarse que de la revisión a la normatividad vigente, no se advierte que el Presidente Municipal se encuentre constreñido a generar un documento por el cual se funden y motiven las razones por las que realizan cambios en las estructuras orgánicas, para ello resulta pertinente invocar el siguiente artículo de la Ley Orgánica Municipal: </w:t>
      </w:r>
    </w:p>
    <w:p w:rsidR="00692F31" w:rsidRDefault="00BA5DB7">
      <w:pPr>
        <w:spacing w:before="240" w:after="36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48.- El presidente municipal tiene las siguientes atribuciones: </w:t>
      </w:r>
    </w:p>
    <w:p w:rsidR="00692F31" w:rsidRDefault="00BA5DB7">
      <w:pPr>
        <w:numPr>
          <w:ilvl w:val="0"/>
          <w:numId w:val="2"/>
        </w:numPr>
        <w:pBdr>
          <w:top w:val="nil"/>
          <w:left w:val="nil"/>
          <w:bottom w:val="nil"/>
          <w:right w:val="nil"/>
          <w:between w:val="nil"/>
        </w:pBdr>
        <w:spacing w:before="240"/>
        <w:ind w:left="567"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Presidir y dirigir las sesiones del ayuntamiento; </w:t>
      </w:r>
    </w:p>
    <w:p w:rsidR="00692F31" w:rsidRDefault="00BA5DB7">
      <w:pPr>
        <w:numPr>
          <w:ilvl w:val="0"/>
          <w:numId w:val="2"/>
        </w:numPr>
        <w:pBdr>
          <w:top w:val="nil"/>
          <w:left w:val="nil"/>
          <w:bottom w:val="nil"/>
          <w:right w:val="nil"/>
          <w:between w:val="nil"/>
        </w:pBdr>
        <w:ind w:left="567"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Ejecutar los acuerdos del ayuntamiento e informar su cumplimiento; </w:t>
      </w:r>
    </w:p>
    <w:p w:rsidR="00692F31" w:rsidRDefault="00BA5DB7">
      <w:pPr>
        <w:numPr>
          <w:ilvl w:val="0"/>
          <w:numId w:val="2"/>
        </w:num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Promulgar y publicar el Bando Municipal en la Gaceta Municipal y en los estrados de la Secretaría del Ayuntamiento, así como ordenar la difusión de las normas de carácter general y reglamentos aprobados por el Ayuntamiento; </w:t>
      </w:r>
    </w:p>
    <w:p w:rsidR="00692F31" w:rsidRDefault="00BA5DB7">
      <w:pPr>
        <w:numPr>
          <w:ilvl w:val="0"/>
          <w:numId w:val="2"/>
        </w:num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Asumir la representación jurídica del Municipio y del ayuntamiento, así como de las dependencias de la Administración Pública Municipal, en los litigios en que este sea parte.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Bis. Vigilar y ejecutar los programas y acciones para la prevención, atención y en su caso, el pago de las responsabilidades económicas de los Ayuntamientos de los conflictos laborales;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Ter. Entregar al cabildo de forma mensual, la relación detallada del contingente económico de litigios laborales en contra del Ayuntamiento para la implementación de los programas y acciones para la prevención, atención y en su caso, el pago de las responsabilidades económicas de los Ayuntamientos de los conflictos laborales, en términos de lo dispuesto por la Ley de Transparencia y Acceso a la Información Pública del Estado de México y Municipios y la Ley de Protección de Datos Personales en posesión de sujetos obligados del Estado de México y Municipios;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Convocar a sesiones ordinarias y extraordinarias a los integrantes del ayuntamiento;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Bis. Elaborar, con la aprobación del cabildo, el presupuesto correspondiente al pago de las responsabilidades económicas derivadas de los conflictos laborales;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Proponer al ayuntamiento los nombramientos de secretario, tesorero y titulares de las dependencias y organismos auxiliares de la administración pública municipal, favoreciendo para tal efecto el principio de igualdad y equidad de género;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Bis. Expedir, previo acuerdo del Ayuntamiento, la licencia del establecimiento mercantil que autorice o permita la venta de bebidas alcohólicas, en un plazo no mayor a tres días hábiles, contados a partir de que sea emitida la autorización del Ayuntamiento;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Ter. Informar al cabildo de los casos de terminación y recisión de las relaciones laborales que se presenten independientemente de su causa, así como de las acciones que al respecto se deban tener para evitar los conflictos laborales, en términos de lo dispuesto por la Ley de Transparencia y Acceso a la Información Pública del Estado de México y Municipios y la Ley de Protección de Datos Personales en posesión de sujetos obligados del Estado de México y Municipios;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Presidir las comisiones que le asigne la ley o el ayuntamiento;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Contratar y concertar en representación del ayuntamiento y previo acuerdo de éste, la realización de obras y la prestación de servicios públicos, por terceros o con el concurso del Estado o de otros ayuntamientos;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Verificar que la recaudación de las contribuciones y demás ingresos propios del municipio se realicen conforme a las disposiciones legales aplicables;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Vigilar la correcta inversión de los fondos públicos; </w:t>
      </w:r>
    </w:p>
    <w:p w:rsidR="00692F31" w:rsidRDefault="00BA5DB7">
      <w:pPr>
        <w:pBdr>
          <w:top w:val="nil"/>
          <w:left w:val="nil"/>
          <w:bottom w:val="nil"/>
          <w:right w:val="nil"/>
          <w:between w:val="nil"/>
        </w:pBdr>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XI. Supervisar la administración, registro, control, uso, mantenimiento y conservación adecuados de los bienes del municipio;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Tener bajo su mando los cuerpos de seguridad pública, tránsito y bomberos municipales, en los términos del capítulo octavo, del título cuarto de esta Ley;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bis.- Vigilar y ejecutar los programas y subprogramas de protección civil y realizar las acciones encaminadas a optimizar los programas tendientes a prevenir el impacto de los fenómenos perturbadores.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Vigilar que se integren y funcionen en forma legal las dependencias, unidades administrativas y organismos desconcentrados o descentralizados y fideicomisos que formen parte de la estructura administrativa;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Bis. Desarrollar las políticas, programas y acciones en materia de mejora regulatoria, en coordinación con sus dependencias, órganos auxiliares y demás autoridades de conformidad con la Ley para la Mejora Regulatoria del Estado de México y Municipios, Competitividad y Ordenamiento Comercial del Estado de México, la Ley de Fomento Económico del Estado de México, sus respectivos reglamentos y demás disposiciones jurídicas aplicables, en el ámbito de su competencia, previa aprobación en Cabildo;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Ter. Proponer al ayuntamiento y ejecutar un programa especial para otorgar la licencia o permiso provisional de funcionamiento para negocios de bajo riesgo sanitario, ambiental o de protección civil, conforme a la clasificación contenida en el Catálogo Mexiquense de Actividades Industriales, Comerciales y de Servicios de Bajo Riesgo. Para tal efecto, deberá garantizar que el otorgamiento de la licencia o permiso no esté sujeto al pago de contribuciones ni a donación alguna; la exigencia de cargas tributarias, dádivas o cualquier otro concepto que condicione su expedición será sancionada en términos de la Ley de Responsabilidades Administrativas del Estado y Municipios.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Quáter. Expedir o negar licencias o permisos de funcionamiento para unidades económicas, de conformidad con lo previsto en las fracciones XXIV Quater y XXIV Quinques del artículo 31 de la presente Ley. Dicha expedición o negación queda supeditada al resultado del Dictamen de Giro o Evaluación de Impacto Estatal según corresponda, dando respuesta en un plazo que no exceda de cinco días hábiles posteriores a la presentación de dicho dictamen o evaluación, en su caso, la cual deberá ser fundamentada y acorde al principio de transparencia. Las actividades que cuenten con Evaluación de Impacto Estatal no requerirán la emisión de Dictamen de Giro. La autoridad municipal deberá iniciar los trámites relativos con las autorizaciones, licencias o permisos, a partir de que el solicitante presente el acuerdo de aceptación de la solicitud de Evaluación de Impacto Estatal. Una vez que el solicitante entregue la Evaluación de Impacto Estatal, de ser procedente, podrá obtener la autorización, licencia o permiso correspondiente.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XIII Quinquies. Desarrollar y ejecutar las políticas, programas y acciones en materia de Gobierno Digital, impulsando el uso estratégico de las tecnologías de la información en los trámites y servicios que se otorgan por parte del Ayuntamiento, conforme a lo establecido en la Ley de Gobierno Digital del Estado de México y Municipios, su Reglamento y conforme a las disposiciones jurídicas de la materia;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Vigilar que se integren y funcionen los consejos de participación ciudadana municipal y otros órganos de los que formen parte representantes de los vecinos;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 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 Dicho informe se publicará en la página oficial, en la Gaceta Municipal y en los estrados de la Secretaría del ayuntamiento para su consulta.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Cumplir y hacer cumplir dentro de su competencia, las disposiciones contenidas en las leyes y reglamentos federales, estatales y municipales, así como aplicar, a los infractores las sanciones correspondientes o remitirlos, en su caso, a las autoridades correspondientes;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Bis. Coadyuvar con el Instituto de Verificación Administrativa del Estado de México respecto a la vigilancia a los establecimientos mercantiles con venta o suministro de bebidas alcohólicas en botella cerrada, consumo inmediato y al copeo, a fin de verificar que cuenten con la correspondiente licencia de funcionamiento y el Dictamen de Giro y cumplan con las disposiciones legales y reglamentarias correspondientes. Asimismo, para instaurar, los procedimientos sancionadores correspondientes y, en su caso, dar vista al Ministerio Público por la posible comisión de algún delito;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 Ter. Instalar y vigilar el debido funcionamiento de la ventanilla única en materia de unidades económicas;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Promover el desarrollo institucional del Ayuntamiento, entendido como el conjunto de acciones sistemáticas que hagan más eficiente la administración pública municipal mediante la capacitación y profesionalización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Promover el patriotismo, la conciencia cívica, las identidades nacional, estatal y municipal y el aprecio a los más altos valores de la República, el Estado, y el Municipio, con la celebración de eventos, ceremonias y en general todas las actividades colectivas que contribuyan a estos propósitos, en especial el puntual cumplimiento del calendario cívico oficial;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XIX. Comunicar por escrito, con anticipación a su salida al extranjero, a la Legislatura o a la Diputación Permanente y al cabildo, los propósitos y objetivos del viaje e informar de las acciones realizadas dentro de los diez días siguientes a su regreso.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 Coadyuvar en la coordinación del cuerpo de seguridad pública a su cargo con las Instituciones de Seguridad Pública federales, estatales y de otros municipios en el desarrollo de operativos conjuntos, para el cumplimiento de los acuerdos tomados por el Consejo Estatal, los Consejos Intermunicipales y el Consejo Municipal de Seguridad Pública, así como en la ejecución de otras acciones en la materia;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 Satisfacer los requerimientos que le sean solicitados por la Secretaría de Seguridad para el registro y actualización de la licencia colectiva para la portación de armas de fuego de los elementos a su cargo;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 Vigilar la integración, funcionamiento y cumplimiento de los acuerdos tomados por el Consejo Municipal de Seguridad Pública, en los términos de esta Ley;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XXIII. Rendir un informe anual sobre el cumplimiento de su Programa Municipal para la Igualdad de Trato y Oportunidades entre Mujeres y Hombres y para Prevenir, Atender, Sancionar y Erradicar la Violencia contra las Mujeres; </w:t>
      </w:r>
    </w:p>
    <w:p w:rsidR="00692F31" w:rsidRDefault="00BA5DB7">
      <w:pPr>
        <w:pBdr>
          <w:top w:val="nil"/>
          <w:left w:val="nil"/>
          <w:bottom w:val="nil"/>
          <w:right w:val="nil"/>
          <w:between w:val="nil"/>
        </w:pBdr>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XXIV. Presidir el Comité Municipal de Dictámenes de Giro a que se refiere la Ley de Competitividad y Ordenamiento Comercial del Estado de México, y </w:t>
      </w:r>
    </w:p>
    <w:p w:rsidR="00692F31" w:rsidRDefault="00BA5DB7">
      <w:pPr>
        <w:pBdr>
          <w:top w:val="nil"/>
          <w:left w:val="nil"/>
          <w:bottom w:val="nil"/>
          <w:right w:val="nil"/>
          <w:between w:val="nil"/>
        </w:pBdr>
        <w:spacing w:after="36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XXV. Las demás que le confieran esta Ley y otros ordenamientos.”</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en primer lugar se debe aclararse por este Órgano Garante que la solicitud estriba primordialmente en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emita un pronunciamiento en relación a cuestionamientos que le fueron planteados por la parte solicitante ya que se tratan de manifestaciones subjetivas vertidas por el particular, interrogantes y declaraciones, que no se colman con la entrega de documentos; lo que no constituye un derecho de acceso a la información; sino por el contrario se trata de un derecho de petición consagrado en el numeral 8 de nuestro texto constitucional</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contexto se procede hacer la diferencia entre lo que se entiende por derecho de petición y por derecho de acceso a la información pública.</w:t>
      </w:r>
    </w:p>
    <w:p w:rsidR="00692F31" w:rsidRDefault="00BA5DB7">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Derecho de Petición:</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Maestro Ignacio Burgo Orihuela refiere que derecho de petición: "...</w:t>
      </w:r>
      <w:r>
        <w:rPr>
          <w:rFonts w:ascii="Palatino Linotype" w:eastAsia="Palatino Linotype" w:hAnsi="Palatino Linotype" w:cs="Palatino Linotype"/>
          <w:i/>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Pr>
          <w:rFonts w:ascii="Palatino Linotype" w:eastAsia="Palatino Linotype" w:hAnsi="Palatino Linotype" w:cs="Palatino Linotype"/>
        </w:rPr>
        <w:t>"</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(Sic)</w:t>
      </w:r>
    </w:p>
    <w:p w:rsidR="00692F31" w:rsidRDefault="00BA5DB7">
      <w:pPr>
        <w:pBdr>
          <w:top w:val="nil"/>
          <w:left w:val="nil"/>
          <w:bottom w:val="nil"/>
          <w:right w:val="nil"/>
          <w:between w:val="nil"/>
        </w:pBdr>
        <w:spacing w:before="240" w:after="36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su parte, David Cienfuegos Salgado, concibe al derecho de petición como </w:t>
      </w:r>
      <w:r>
        <w:rPr>
          <w:rFonts w:ascii="Palatino Linotype" w:eastAsia="Palatino Linotype" w:hAnsi="Palatino Linotype" w:cs="Palatino Linotype"/>
          <w:i/>
          <w:color w:val="000000"/>
        </w:rPr>
        <w:t>“el derecho de toda persona a ser escuchado por quienes ejercen el poder público.</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 xml:space="preserve">” (Sic) </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w:t>
      </w:r>
      <w:r>
        <w:rPr>
          <w:rFonts w:ascii="Palatino Linotype" w:eastAsia="Palatino Linotype" w:hAnsi="Palatino Linotype" w:cs="Palatino Linotype"/>
        </w:rPr>
        <w:lastRenderedPageBreak/>
        <w:t>demanda de lo que deseen expresar o solicitar y responder de dicha demanda por escrito, de forma congruente y en un plazo breve.</w:t>
      </w:r>
      <w:r>
        <w:rPr>
          <w:rFonts w:ascii="Palatino Linotype" w:eastAsia="Palatino Linotype" w:hAnsi="Palatino Linotype" w:cs="Palatino Linotype"/>
          <w:vertAlign w:val="superscript"/>
        </w:rPr>
        <w:footnoteReference w:id="4"/>
      </w:r>
    </w:p>
    <w:p w:rsidR="00692F31" w:rsidRDefault="00BA5DB7">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Derecho de Acceso a la Información Pública:</w:t>
      </w:r>
    </w:p>
    <w:p w:rsidR="00692F31" w:rsidRDefault="00BA5DB7">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rsidR="00692F31" w:rsidRDefault="00692F31">
      <w:pPr>
        <w:pBdr>
          <w:top w:val="nil"/>
          <w:left w:val="nil"/>
          <w:bottom w:val="nil"/>
          <w:right w:val="nil"/>
          <w:between w:val="nil"/>
        </w:pBdr>
        <w:spacing w:line="408" w:lineRule="auto"/>
        <w:ind w:left="93" w:right="116"/>
        <w:rPr>
          <w:color w:val="000000"/>
          <w:sz w:val="23"/>
          <w:szCs w:val="23"/>
        </w:rPr>
      </w:pPr>
    </w:p>
    <w:p w:rsidR="00692F31" w:rsidRDefault="00BA5DB7">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color w:val="000000"/>
          <w:vertAlign w:val="superscript"/>
        </w:rPr>
        <w:footnoteReference w:id="5"/>
      </w:r>
    </w:p>
    <w:p w:rsidR="00692F31" w:rsidRDefault="00692F31">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contexto, para diferenciar el derecho de petición del derecho de acceso a la</w:t>
      </w:r>
    </w:p>
    <w:p w:rsidR="00692F31" w:rsidRDefault="00BA5DB7">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información pública, resulta conveniente citar a José Guadalupe Robles, quien conceptualiza el derecho a la información como "un derecho fundamental tanto de </w:t>
      </w:r>
      <w:r>
        <w:rPr>
          <w:rFonts w:ascii="Palatino Linotype" w:eastAsia="Palatino Linotype" w:hAnsi="Palatino Linotype" w:cs="Palatino Linotype"/>
          <w:color w:val="000000"/>
        </w:rPr>
        <w:lastRenderedPageBreak/>
        <w:t>carácter individual corno colectivo, cuyas limitaciones deben estar establecidas en la ley, así corno una garantía de que la información sea tramitada con claridad y objetividad, por cuanto a que es un bien jurídico que coadyuva al desarrollo de las personas y a la formación de opinión pública de calidad para poder participar y luego influir en la vida pública.”</w:t>
      </w:r>
      <w:r>
        <w:rPr>
          <w:rFonts w:ascii="Palatino Linotype" w:eastAsia="Palatino Linotype" w:hAnsi="Palatino Linotype" w:cs="Palatino Linotype"/>
          <w:color w:val="000000"/>
          <w:vertAlign w:val="superscript"/>
        </w:rPr>
        <w:footnoteReference w:id="6"/>
      </w:r>
    </w:p>
    <w:p w:rsidR="00692F31" w:rsidRDefault="00692F31">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692F31" w:rsidRDefault="00692F3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92F31" w:rsidRDefault="00BA5DB7">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rsidR="00692F31" w:rsidRDefault="00BA5DB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32,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92F31" w:rsidRDefault="00BA5DB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692F31" w:rsidRDefault="00BA5DB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692F31" w:rsidRDefault="00BA5DB7">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692F31" w:rsidRDefault="00BA5DB7">
      <w:pP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 encuentre en posesión de los Sujetos Obligados.”(Sic)</w:t>
      </w:r>
    </w:p>
    <w:p w:rsidR="00692F31" w:rsidRDefault="00692F31">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rsidR="00692F31" w:rsidRDefault="00692F31">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spacing w:line="360" w:lineRule="auto"/>
        <w:ind w:right="9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 xml:space="preserve">Con base en lo anterior, tenemos que la recurrente en su solicitud de información requiere de una explicación o bien una razón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692F31" w:rsidRDefault="00692F31">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consiguiente, la entrega de una razón o la respuesta a cuestionamientos que no encuentren soporte documental alguno, por parte de los Sujetos Obligados no es algo que la Ley de la Materia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rsidR="00692F31" w:rsidRDefault="00692F31">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692F31" w:rsidRDefault="00BA5DB7">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Además, es de resaltar que este Instituto de Transparencia como Órgano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w:t>
      </w:r>
    </w:p>
    <w:p w:rsidR="00692F31" w:rsidRDefault="00BA5DB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el Ayuntamiento de Tlalnepantla de Baz, dio respuesta al particular contestando su motivo descrito en su solicitud de acceso a la información pública, lo que daría por colmado el derecho de acceso a la información pública del particular, toda vez que tanto en respuesta como en informe justificado, dichos pronunciamientos fueron emitidos por los servidores públicos competentes, ello encuentra sustento en el Manual de Organización vigente, el cual se trae a colación para mejor proveer del presente estudio: </w:t>
      </w:r>
    </w:p>
    <w:p w:rsidR="00692F31" w:rsidRDefault="00BA5DB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3133725"/>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0225" cy="3133725"/>
                    </a:xfrm>
                    <a:prstGeom prst="rect">
                      <a:avLst/>
                    </a:prstGeom>
                    <a:ln/>
                  </pic:spPr>
                </pic:pic>
              </a:graphicData>
            </a:graphic>
          </wp:inline>
        </w:drawing>
      </w:r>
      <w:r>
        <w:rPr>
          <w:noProof/>
          <w:lang w:val="es-MX"/>
        </w:rPr>
        <w:drawing>
          <wp:anchor distT="0" distB="0" distL="114300" distR="114300" simplePos="0" relativeHeight="251662336" behindDoc="0" locked="0" layoutInCell="1" hidden="0" allowOverlap="1">
            <wp:simplePos x="0" y="0"/>
            <wp:positionH relativeFrom="column">
              <wp:posOffset>-38099</wp:posOffset>
            </wp:positionH>
            <wp:positionV relativeFrom="paragraph">
              <wp:posOffset>3222956</wp:posOffset>
            </wp:positionV>
            <wp:extent cx="5610225" cy="3695700"/>
            <wp:effectExtent l="0" t="0" r="0" b="0"/>
            <wp:wrapTopAndBottom distT="0" dist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0225" cy="3695700"/>
                    </a:xfrm>
                    <a:prstGeom prst="rect">
                      <a:avLst/>
                    </a:prstGeom>
                    <a:ln/>
                  </pic:spPr>
                </pic:pic>
              </a:graphicData>
            </a:graphic>
          </wp:anchor>
        </w:drawing>
      </w:r>
      <w:r>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165100</wp:posOffset>
                </wp:positionH>
                <wp:positionV relativeFrom="paragraph">
                  <wp:posOffset>495300</wp:posOffset>
                </wp:positionV>
                <wp:extent cx="5257800" cy="685800"/>
                <wp:effectExtent l="0" t="0" r="0" b="0"/>
                <wp:wrapNone/>
                <wp:docPr id="38" name=""/>
                <wp:cNvGraphicFramePr/>
                <a:graphic xmlns:a="http://schemas.openxmlformats.org/drawingml/2006/main">
                  <a:graphicData uri="http://schemas.microsoft.com/office/word/2010/wordprocessingShape">
                    <wps:wsp>
                      <wps:cNvSpPr/>
                      <wps:spPr>
                        <a:xfrm>
                          <a:off x="2731388" y="3451388"/>
                          <a:ext cx="5229225" cy="657225"/>
                        </a:xfrm>
                        <a:prstGeom prst="rect">
                          <a:avLst/>
                        </a:prstGeom>
                        <a:noFill/>
                        <a:ln w="28575" cap="flat" cmpd="sng">
                          <a:solidFill>
                            <a:srgbClr val="002060"/>
                          </a:solidFill>
                          <a:prstDash val="solid"/>
                          <a:round/>
                          <a:headEnd type="none" w="sm" len="sm"/>
                          <a:tailEnd type="none" w="sm" len="sm"/>
                        </a:ln>
                      </wps:spPr>
                      <wps:txbx>
                        <w:txbxContent>
                          <w:p w:rsidR="00692F31" w:rsidRDefault="00692F31">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13pt;margin-top:39pt;width:414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" filled="f" strokecolor="#002060" strokeweight="2.25pt">
                <v:stroke startarrowwidth="narrow" startarrowlength="short" endarrowwidth="narrow" endarrowlength="short" joinstyle="round"/>
                <v:textbox inset="2.53958mm,2.53958mm,2.53958mm,2.53958mm">
                  <w:txbxContent>
                    <w:p w:rsidR="00692F31" w:rsidRDefault="00692F31">
                      <w:pPr>
                        <w:textDirection w:val="btLr"/>
                      </w:pPr>
                    </w:p>
                  </w:txbxContent>
                </v:textbox>
              </v:rect>
            </w:pict>
          </mc:Fallback>
        </mc:AlternateContent>
      </w:r>
      <w:r>
        <w:rPr>
          <w:noProof/>
          <w:lang w:val="es-MX"/>
        </w:rPr>
        <mc:AlternateContent>
          <mc:Choice Requires="wps">
            <w:drawing>
              <wp:anchor distT="0" distB="0" distL="114300" distR="114300" simplePos="0" relativeHeight="251664384" behindDoc="0" locked="0" layoutInCell="1" hidden="0" allowOverlap="1">
                <wp:simplePos x="0" y="0"/>
                <wp:positionH relativeFrom="column">
                  <wp:posOffset>88901</wp:posOffset>
                </wp:positionH>
                <wp:positionV relativeFrom="paragraph">
                  <wp:posOffset>5537200</wp:posOffset>
                </wp:positionV>
                <wp:extent cx="4924425" cy="285750"/>
                <wp:effectExtent l="0" t="0" r="0" b="0"/>
                <wp:wrapNone/>
                <wp:docPr id="42" name=""/>
                <wp:cNvGraphicFramePr/>
                <a:graphic xmlns:a="http://schemas.openxmlformats.org/drawingml/2006/main">
                  <a:graphicData uri="http://schemas.microsoft.com/office/word/2010/wordprocessingShape">
                    <wps:wsp>
                      <wps:cNvSpPr/>
                      <wps:spPr>
                        <a:xfrm>
                          <a:off x="2898075" y="3651413"/>
                          <a:ext cx="4895850" cy="257175"/>
                        </a:xfrm>
                        <a:prstGeom prst="rect">
                          <a:avLst/>
                        </a:prstGeom>
                        <a:noFill/>
                        <a:ln w="28575" cap="flat" cmpd="sng">
                          <a:solidFill>
                            <a:srgbClr val="002060"/>
                          </a:solidFill>
                          <a:prstDash val="solid"/>
                          <a:round/>
                          <a:headEnd type="none" w="sm" len="sm"/>
                          <a:tailEnd type="none" w="sm" len="sm"/>
                        </a:ln>
                      </wps:spPr>
                      <wps:txbx>
                        <w:txbxContent>
                          <w:p w:rsidR="00692F31" w:rsidRDefault="00692F31">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7pt;margin-top:436pt;width:387.7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" filled="f" strokecolor="#002060" strokeweight="2.25pt">
                <v:stroke startarrowwidth="narrow" startarrowlength="short" endarrowwidth="narrow" endarrowlength="short" joinstyle="round"/>
                <v:textbox inset="2.53958mm,2.53958mm,2.53958mm,2.53958mm">
                  <w:txbxContent>
                    <w:p w:rsidR="00692F31" w:rsidRDefault="00692F31">
                      <w:pPr>
                        <w:textDirection w:val="btLr"/>
                      </w:pPr>
                    </w:p>
                  </w:txbxContent>
                </v:textbox>
              </v:rect>
            </w:pict>
          </mc:Fallback>
        </mc:AlternateContent>
      </w:r>
      <w:r>
        <w:rPr>
          <w:noProof/>
          <w:lang w:val="es-MX"/>
        </w:rPr>
        <mc:AlternateContent>
          <mc:Choice Requires="wps">
            <w:drawing>
              <wp:anchor distT="0" distB="0" distL="114300" distR="114300" simplePos="0" relativeHeight="251665408" behindDoc="0" locked="0" layoutInCell="1" hidden="0" allowOverlap="1">
                <wp:simplePos x="0" y="0"/>
                <wp:positionH relativeFrom="column">
                  <wp:posOffset>88901</wp:posOffset>
                </wp:positionH>
                <wp:positionV relativeFrom="paragraph">
                  <wp:posOffset>3683000</wp:posOffset>
                </wp:positionV>
                <wp:extent cx="5457825" cy="400050"/>
                <wp:effectExtent l="0" t="0" r="0" b="0"/>
                <wp:wrapNone/>
                <wp:docPr id="44" name=""/>
                <wp:cNvGraphicFramePr/>
                <a:graphic xmlns:a="http://schemas.openxmlformats.org/drawingml/2006/main">
                  <a:graphicData uri="http://schemas.microsoft.com/office/word/2010/wordprocessingShape">
                    <wps:wsp>
                      <wps:cNvSpPr/>
                      <wps:spPr>
                        <a:xfrm>
                          <a:off x="2631375" y="3594263"/>
                          <a:ext cx="5429250" cy="371475"/>
                        </a:xfrm>
                        <a:prstGeom prst="rect">
                          <a:avLst/>
                        </a:prstGeom>
                        <a:noFill/>
                        <a:ln w="28575" cap="flat" cmpd="sng">
                          <a:solidFill>
                            <a:srgbClr val="002060"/>
                          </a:solidFill>
                          <a:prstDash val="solid"/>
                          <a:round/>
                          <a:headEnd type="none" w="sm" len="sm"/>
                          <a:tailEnd type="none" w="sm" len="sm"/>
                        </a:ln>
                      </wps:spPr>
                      <wps:txbx>
                        <w:txbxContent>
                          <w:p w:rsidR="00692F31" w:rsidRDefault="00692F31">
                            <w:pPr>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left:0;text-align:left;margin-left:7pt;margin-top:290pt;width:429.75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" filled="f" strokecolor="#002060" strokeweight="2.25pt">
                <v:stroke startarrowwidth="narrow" startarrowlength="short" endarrowwidth="narrow" endarrowlength="short" joinstyle="round"/>
                <v:textbox inset="2.53958mm,2.53958mm,2.53958mm,2.53958mm">
                  <w:txbxContent>
                    <w:p w:rsidR="00692F31" w:rsidRDefault="00692F31">
                      <w:pPr>
                        <w:textDirection w:val="btLr"/>
                      </w:pPr>
                    </w:p>
                  </w:txbxContent>
                </v:textbox>
              </v:rect>
            </w:pict>
          </mc:Fallback>
        </mc:AlternateContent>
      </w:r>
    </w:p>
    <w:p w:rsidR="00692F31" w:rsidRDefault="00692F31">
      <w:pPr>
        <w:spacing w:before="280" w:after="280" w:line="360" w:lineRule="auto"/>
        <w:ind w:right="49"/>
        <w:jc w:val="both"/>
        <w:rPr>
          <w:rFonts w:ascii="Palatino Linotype" w:eastAsia="Palatino Linotype" w:hAnsi="Palatino Linotype" w:cs="Palatino Linotype"/>
        </w:rPr>
      </w:pPr>
    </w:p>
    <w:p w:rsidR="00692F31" w:rsidRDefault="00BA5DB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7229475"/>
            <wp:effectExtent l="0" t="0" r="0" b="0"/>
            <wp:docPr id="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610225" cy="7229475"/>
                    </a:xfrm>
                    <a:prstGeom prst="rect">
                      <a:avLst/>
                    </a:prstGeom>
                    <a:ln/>
                  </pic:spPr>
                </pic:pic>
              </a:graphicData>
            </a:graphic>
          </wp:inline>
        </w:drawing>
      </w:r>
      <w:r>
        <w:rPr>
          <w:noProof/>
          <w:lang w:val="es-MX"/>
        </w:rPr>
        <mc:AlternateContent>
          <mc:Choice Requires="wps">
            <w:drawing>
              <wp:anchor distT="0" distB="0" distL="114300" distR="114300" simplePos="0" relativeHeight="251666432" behindDoc="0" locked="0" layoutInCell="1" hidden="0" allowOverlap="1">
                <wp:simplePos x="0" y="0"/>
                <wp:positionH relativeFrom="column">
                  <wp:posOffset>177800</wp:posOffset>
                </wp:positionH>
                <wp:positionV relativeFrom="paragraph">
                  <wp:posOffset>609600</wp:posOffset>
                </wp:positionV>
                <wp:extent cx="5238750" cy="809625"/>
                <wp:effectExtent l="0" t="0" r="0" b="0"/>
                <wp:wrapNone/>
                <wp:docPr id="40" name=""/>
                <wp:cNvGraphicFramePr/>
                <a:graphic xmlns:a="http://schemas.openxmlformats.org/drawingml/2006/main">
                  <a:graphicData uri="http://schemas.microsoft.com/office/word/2010/wordprocessingShape">
                    <wps:wsp>
                      <wps:cNvSpPr/>
                      <wps:spPr>
                        <a:xfrm>
                          <a:off x="2736150" y="3384713"/>
                          <a:ext cx="5219700" cy="790575"/>
                        </a:xfrm>
                        <a:prstGeom prst="rect">
                          <a:avLst/>
                        </a:prstGeom>
                        <a:noFill/>
                        <a:ln w="19050" cap="flat" cmpd="sng">
                          <a:solidFill>
                            <a:srgbClr val="002060"/>
                          </a:solidFill>
                          <a:prstDash val="solid"/>
                          <a:round/>
                          <a:headEnd type="none" w="sm" len="sm"/>
                          <a:tailEnd type="none" w="sm" len="sm"/>
                        </a:ln>
                      </wps:spPr>
                      <wps:txbx>
                        <w:txbxContent>
                          <w:p w:rsidR="00692F31" w:rsidRDefault="00692F31">
                            <w:pPr>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left:0;text-align:left;margin-left:14pt;margin-top:48pt;width:412.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" filled="f" strokecolor="#002060" strokeweight="1.5pt">
                <v:stroke startarrowwidth="narrow" startarrowlength="short" endarrowwidth="narrow" endarrowlength="short" joinstyle="round"/>
                <v:textbox inset="2.53958mm,2.53958mm,2.53958mm,2.53958mm">
                  <w:txbxContent>
                    <w:p w:rsidR="00692F31" w:rsidRDefault="00692F31">
                      <w:pPr>
                        <w:textDirection w:val="btLr"/>
                      </w:pPr>
                    </w:p>
                  </w:txbxContent>
                </v:textbox>
              </v:rect>
            </w:pict>
          </mc:Fallback>
        </mc:AlternateContent>
      </w:r>
      <w:r>
        <w:rPr>
          <w:noProof/>
          <w:lang w:val="es-MX"/>
        </w:rPr>
        <mc:AlternateContent>
          <mc:Choice Requires="wps">
            <w:drawing>
              <wp:anchor distT="0" distB="0" distL="114300" distR="114300" simplePos="0" relativeHeight="251667456" behindDoc="0" locked="0" layoutInCell="1" hidden="0" allowOverlap="1">
                <wp:simplePos x="0" y="0"/>
                <wp:positionH relativeFrom="column">
                  <wp:posOffset>127000</wp:posOffset>
                </wp:positionH>
                <wp:positionV relativeFrom="paragraph">
                  <wp:posOffset>3454400</wp:posOffset>
                </wp:positionV>
                <wp:extent cx="5267325" cy="1343025"/>
                <wp:effectExtent l="0" t="0" r="0" b="0"/>
                <wp:wrapNone/>
                <wp:docPr id="43" name=""/>
                <wp:cNvGraphicFramePr/>
                <a:graphic xmlns:a="http://schemas.openxmlformats.org/drawingml/2006/main">
                  <a:graphicData uri="http://schemas.microsoft.com/office/word/2010/wordprocessingShape">
                    <wps:wsp>
                      <wps:cNvSpPr/>
                      <wps:spPr>
                        <a:xfrm>
                          <a:off x="2721863" y="3118013"/>
                          <a:ext cx="5248275" cy="1323975"/>
                        </a:xfrm>
                        <a:prstGeom prst="rect">
                          <a:avLst/>
                        </a:prstGeom>
                        <a:noFill/>
                        <a:ln w="19050" cap="flat" cmpd="sng">
                          <a:solidFill>
                            <a:srgbClr val="002060"/>
                          </a:solidFill>
                          <a:prstDash val="solid"/>
                          <a:round/>
                          <a:headEnd type="none" w="sm" len="sm"/>
                          <a:tailEnd type="none" w="sm" len="sm"/>
                        </a:ln>
                      </wps:spPr>
                      <wps:txbx>
                        <w:txbxContent>
                          <w:p w:rsidR="00692F31" w:rsidRDefault="00692F31">
                            <w:pPr>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left:0;text-align:left;margin-left:10pt;margin-top:272pt;width:414.75pt;height:10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" filled="f" strokecolor="#002060" strokeweight="1.5pt">
                <v:stroke startarrowwidth="narrow" startarrowlength="short" endarrowwidth="narrow" endarrowlength="short" joinstyle="round"/>
                <v:textbox inset="2.53958mm,2.53958mm,2.53958mm,2.53958mm">
                  <w:txbxContent>
                    <w:p w:rsidR="00692F31" w:rsidRDefault="00692F31">
                      <w:pPr>
                        <w:textDirection w:val="btLr"/>
                      </w:pPr>
                    </w:p>
                  </w:txbxContent>
                </v:textbox>
              </v:rect>
            </w:pict>
          </mc:Fallback>
        </mc:AlternateContent>
      </w:r>
    </w:p>
    <w:p w:rsidR="00692F31" w:rsidRDefault="00BA5DB7">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1847850"/>
            <wp:effectExtent l="0" t="0" r="0" b="0"/>
            <wp:docPr id="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0225" cy="1847850"/>
                    </a:xfrm>
                    <a:prstGeom prst="rect">
                      <a:avLst/>
                    </a:prstGeom>
                    <a:ln/>
                  </pic:spPr>
                </pic:pic>
              </a:graphicData>
            </a:graphic>
          </wp:inline>
        </w:drawing>
      </w:r>
      <w:r>
        <w:rPr>
          <w:noProof/>
          <w:lang w:val="es-MX"/>
        </w:rPr>
        <mc:AlternateContent>
          <mc:Choice Requires="wps">
            <w:drawing>
              <wp:anchor distT="0" distB="0" distL="114300" distR="114300" simplePos="0" relativeHeight="251668480" behindDoc="0" locked="0" layoutInCell="1" hidden="0" allowOverlap="1">
                <wp:simplePos x="0" y="0"/>
                <wp:positionH relativeFrom="column">
                  <wp:posOffset>114300</wp:posOffset>
                </wp:positionH>
                <wp:positionV relativeFrom="paragraph">
                  <wp:posOffset>152400</wp:posOffset>
                </wp:positionV>
                <wp:extent cx="5505450" cy="371475"/>
                <wp:effectExtent l="0" t="0" r="0" b="0"/>
                <wp:wrapNone/>
                <wp:docPr id="36" name=""/>
                <wp:cNvGraphicFramePr/>
                <a:graphic xmlns:a="http://schemas.openxmlformats.org/drawingml/2006/main">
                  <a:graphicData uri="http://schemas.microsoft.com/office/word/2010/wordprocessingShape">
                    <wps:wsp>
                      <wps:cNvSpPr/>
                      <wps:spPr>
                        <a:xfrm>
                          <a:off x="2607563" y="3608550"/>
                          <a:ext cx="5476875" cy="342900"/>
                        </a:xfrm>
                        <a:prstGeom prst="rect">
                          <a:avLst/>
                        </a:prstGeom>
                        <a:noFill/>
                        <a:ln w="28575" cap="flat" cmpd="sng">
                          <a:solidFill>
                            <a:srgbClr val="002060"/>
                          </a:solidFill>
                          <a:prstDash val="solid"/>
                          <a:round/>
                          <a:headEnd type="none" w="sm" len="sm"/>
                          <a:tailEnd type="none" w="sm" len="sm"/>
                        </a:ln>
                      </wps:spPr>
                      <wps:txbx>
                        <w:txbxContent>
                          <w:p w:rsidR="00692F31" w:rsidRDefault="00692F31">
                            <w:pPr>
                              <w:textDirection w:val="btLr"/>
                            </w:pPr>
                          </w:p>
                        </w:txbxContent>
                      </wps:txbx>
                      <wps:bodyPr spcFirstLastPara="1" wrap="square" lIns="91425" tIns="91425" rIns="91425" bIns="91425" anchor="ctr" anchorCtr="0">
                        <a:noAutofit/>
                      </wps:bodyPr>
                    </wps:wsp>
                  </a:graphicData>
                </a:graphic>
              </wp:anchor>
            </w:drawing>
          </mc:Choice>
          <mc:Fallback>
            <w:pict>
              <v:rect id="_x0000_s1031" style="position:absolute;left:0;text-align:left;margin-left:9pt;margin-top:12pt;width:433.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" filled="f" strokecolor="#002060" strokeweight="2.25pt">
                <v:stroke startarrowwidth="narrow" startarrowlength="short" endarrowwidth="narrow" endarrowlength="short" joinstyle="round"/>
                <v:textbox inset="2.53958mm,2.53958mm,2.53958mm,2.53958mm">
                  <w:txbxContent>
                    <w:p w:rsidR="00692F31" w:rsidRDefault="00692F31">
                      <w:pPr>
                        <w:textDirection w:val="btLr"/>
                      </w:pPr>
                    </w:p>
                  </w:txbxContent>
                </v:textbox>
              </v:rect>
            </w:pict>
          </mc:Fallback>
        </mc:AlternateContent>
      </w:r>
    </w:p>
    <w:p w:rsidR="00692F31" w:rsidRDefault="00BA5DB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Por lo que al haber realizado la búsqueda exhaustiva y razonable en los archivos y al haberse pronunciado el Servidor Público Competente de la Unidad de Apoyo Administrativo, </w:t>
      </w:r>
      <w:r>
        <w:rPr>
          <w:rFonts w:ascii="Palatino Linotype" w:eastAsia="Palatino Linotype" w:hAnsi="Palatino Linotype" w:cs="Palatino Linotype"/>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692F31" w:rsidRDefault="00692F31">
      <w:pPr>
        <w:tabs>
          <w:tab w:val="left" w:pos="709"/>
        </w:tabs>
        <w:ind w:left="567" w:right="1324"/>
        <w:jc w:val="both"/>
        <w:rPr>
          <w:rFonts w:ascii="Palatino Linotype" w:eastAsia="Palatino Linotype" w:hAnsi="Palatino Linotype" w:cs="Palatino Linotype"/>
          <w:b/>
          <w:i/>
          <w:sz w:val="22"/>
          <w:szCs w:val="22"/>
        </w:rPr>
      </w:pPr>
    </w:p>
    <w:p w:rsidR="00692F31" w:rsidRDefault="00BA5DB7">
      <w:pPr>
        <w:tabs>
          <w:tab w:val="left" w:pos="709"/>
        </w:tabs>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Pr>
          <w:rFonts w:ascii="Palatino Linotype" w:eastAsia="Palatino Linotype" w:hAnsi="Palatino Linotype" w:cs="Palatino Linotype"/>
          <w:i/>
          <w:sz w:val="22"/>
          <w:szCs w:val="22"/>
        </w:rPr>
        <w:lastRenderedPageBreak/>
        <w:t>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692F31" w:rsidRDefault="00692F31">
      <w:pPr>
        <w:spacing w:line="360" w:lineRule="auto"/>
        <w:jc w:val="both"/>
        <w:rPr>
          <w:rFonts w:ascii="Palatino Linotype" w:eastAsia="Palatino Linotype" w:hAnsi="Palatino Linotype" w:cs="Palatino Linotype"/>
        </w:rPr>
      </w:pP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el artículo 4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dispositivo legal en comento que a la letra señala:</w:t>
      </w:r>
    </w:p>
    <w:p w:rsidR="00692F31" w:rsidRDefault="00692F31">
      <w:pPr>
        <w:spacing w:line="360" w:lineRule="auto"/>
        <w:ind w:left="426"/>
        <w:jc w:val="both"/>
        <w:rPr>
          <w:rFonts w:ascii="Palatino Linotype" w:eastAsia="Palatino Linotype" w:hAnsi="Palatino Linotype" w:cs="Palatino Linotype"/>
        </w:rPr>
      </w:pPr>
    </w:p>
    <w:p w:rsidR="00692F31" w:rsidRDefault="00BA5DB7">
      <w:pPr>
        <w:ind w:left="851"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692F31" w:rsidRDefault="00692F31">
      <w:pPr>
        <w:spacing w:line="360" w:lineRule="auto"/>
        <w:ind w:left="426"/>
        <w:jc w:val="both"/>
        <w:rPr>
          <w:rFonts w:ascii="Palatino Linotype" w:eastAsia="Palatino Linotype" w:hAnsi="Palatino Linotype" w:cs="Palatino Linotype"/>
        </w:rPr>
      </w:pP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Numerales que compelen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apegarse en todo momento a los criterios ya expuestos, impidiendo a este Órgano Colegiado cuestionar la veracidad de la información.</w:t>
      </w:r>
    </w:p>
    <w:p w:rsidR="00692F31" w:rsidRDefault="00BA5DB7">
      <w:pPr>
        <w:spacing w:before="280" w:after="28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 xml:space="preserve">Ahora bien, con el propósito de no dejar a la particular en estado de indefensión y desde un enfoque de garantía de los derechos humanos, resulta primordial para este Órgano Garante, traer a colación las siguientes consideraciones, respecto a las áreas referidas en su solicitud de información: </w:t>
      </w:r>
    </w:p>
    <w:tbl>
      <w:tblPr>
        <w:tblStyle w:val="Cuadrculadetablaclara"/>
        <w:tblW w:w="8828" w:type="dxa"/>
        <w:tblLayout w:type="fixed"/>
        <w:tblLook w:val="0400" w:firstRow="0" w:lastRow="0" w:firstColumn="0" w:lastColumn="0" w:noHBand="0" w:noVBand="1"/>
      </w:tblPr>
      <w:tblGrid>
        <w:gridCol w:w="2547"/>
        <w:gridCol w:w="3338"/>
        <w:gridCol w:w="2943"/>
      </w:tblGrid>
      <w:tr w:rsidR="00692F31" w:rsidTr="00BA5DB7">
        <w:tc>
          <w:tcPr>
            <w:tcW w:w="2547" w:type="dxa"/>
          </w:tcPr>
          <w:p w:rsidR="00692F31" w:rsidRDefault="00BA5DB7">
            <w:pPr>
              <w:ind w:right="51"/>
              <w:jc w:val="both"/>
              <w:rPr>
                <w:rFonts w:ascii="Palatino Linotype" w:eastAsia="Palatino Linotype" w:hAnsi="Palatino Linotype" w:cs="Palatino Linotype"/>
                <w:b/>
                <w:highlight w:val="white"/>
              </w:rPr>
            </w:pPr>
            <w:r>
              <w:rPr>
                <w:rFonts w:ascii="Palatino Linotype" w:eastAsia="Palatino Linotype" w:hAnsi="Palatino Linotype" w:cs="Palatino Linotype"/>
                <w:b/>
                <w:sz w:val="22"/>
                <w:szCs w:val="22"/>
                <w:highlight w:val="white"/>
              </w:rPr>
              <w:t>Reglamento Interno de la Administración Pública Municipal de Tlalnepantla de Baz, México, vigente en 2021</w:t>
            </w:r>
          </w:p>
        </w:tc>
        <w:tc>
          <w:tcPr>
            <w:tcW w:w="3338" w:type="dxa"/>
          </w:tcPr>
          <w:p w:rsidR="00692F31" w:rsidRDefault="00BA5DB7">
            <w:pPr>
              <w:ind w:right="51"/>
              <w:jc w:val="both"/>
              <w:rPr>
                <w:rFonts w:ascii="Palatino Linotype" w:eastAsia="Palatino Linotype" w:hAnsi="Palatino Linotype" w:cs="Palatino Linotype"/>
                <w:b/>
                <w:highlight w:val="white"/>
              </w:rPr>
            </w:pPr>
            <w:r>
              <w:rPr>
                <w:rFonts w:ascii="Palatino Linotype" w:eastAsia="Palatino Linotype" w:hAnsi="Palatino Linotype" w:cs="Palatino Linotype"/>
                <w:b/>
                <w:sz w:val="22"/>
                <w:szCs w:val="22"/>
                <w:highlight w:val="white"/>
              </w:rPr>
              <w:t>Reglamento Interno de la Administración Pública Municipal de Tlalnepantla de Baz, México, administración 2022-2024</w:t>
            </w:r>
          </w:p>
        </w:tc>
        <w:tc>
          <w:tcPr>
            <w:tcW w:w="2943" w:type="dxa"/>
          </w:tcPr>
          <w:p w:rsidR="00692F31" w:rsidRDefault="00BA5DB7">
            <w:pPr>
              <w:ind w:right="51"/>
              <w:jc w:val="both"/>
              <w:rPr>
                <w:rFonts w:ascii="Palatino Linotype" w:eastAsia="Palatino Linotype" w:hAnsi="Palatino Linotype" w:cs="Palatino Linotype"/>
                <w:b/>
                <w:highlight w:val="white"/>
              </w:rPr>
            </w:pPr>
            <w:r>
              <w:rPr>
                <w:rFonts w:ascii="Palatino Linotype" w:eastAsia="Palatino Linotype" w:hAnsi="Palatino Linotype" w:cs="Palatino Linotype"/>
                <w:b/>
                <w:sz w:val="22"/>
                <w:szCs w:val="22"/>
                <w:highlight w:val="white"/>
              </w:rPr>
              <w:t>Reglamento Interno del Sistema Municipal Para El Desarrollo Integral de la Familia de Tlalnepantla de Baz, Estado de México 2022-2024</w:t>
            </w:r>
          </w:p>
        </w:tc>
      </w:tr>
      <w:tr w:rsidR="00692F31" w:rsidTr="00BA5DB7">
        <w:tc>
          <w:tcPr>
            <w:tcW w:w="2547" w:type="dxa"/>
          </w:tcPr>
          <w:p w:rsidR="00692F31" w:rsidRDefault="00BA5DB7">
            <w:pPr>
              <w:spacing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ARTÍCULO 220. Son facultades y obligaciones del Instituto Municipal de Salud, las siguientes: </w:t>
            </w:r>
          </w:p>
          <w:p w:rsidR="00692F31" w:rsidRDefault="00BA5DB7">
            <w:pPr>
              <w:spacing w:before="280" w:after="280"/>
              <w:ind w:right="51"/>
              <w:jc w:val="both"/>
              <w:rPr>
                <w:rFonts w:ascii="Palatino Linotype" w:eastAsia="Palatino Linotype" w:hAnsi="Palatino Linotype" w:cs="Palatino Linotype"/>
                <w:b/>
                <w:i/>
                <w:sz w:val="20"/>
                <w:szCs w:val="20"/>
                <w:highlight w:val="white"/>
              </w:rPr>
            </w:pPr>
            <w:r>
              <w:rPr>
                <w:rFonts w:ascii="Palatino Linotype" w:eastAsia="Palatino Linotype" w:hAnsi="Palatino Linotype" w:cs="Palatino Linotype"/>
                <w:b/>
                <w:i/>
                <w:sz w:val="20"/>
                <w:szCs w:val="20"/>
                <w:highlight w:val="white"/>
              </w:rPr>
              <w:t xml:space="preserve">I. Dirigir la ejecución de los programas, proyectos, estrategias y acciones municipales del Instituto;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II. Proponer y operar el Programa Municipal de Salud, basado principalmente en la cultura de la prevención y cuyo objetivo sea elevar los índices de desarrollo humano que tengan relación con el rubro de la salud entre la población;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III.Proponer al Ayuntamiento los proyectos, acciones, y estrategias para una mejor prestación de los servicios de salud, con base en lo </w:t>
            </w:r>
            <w:r>
              <w:rPr>
                <w:rFonts w:ascii="Palatino Linotype" w:eastAsia="Palatino Linotype" w:hAnsi="Palatino Linotype" w:cs="Palatino Linotype"/>
                <w:i/>
                <w:sz w:val="20"/>
                <w:szCs w:val="20"/>
                <w:highlight w:val="white"/>
              </w:rPr>
              <w:lastRenderedPageBreak/>
              <w:t xml:space="preserve">establecido en el Plan de Desarrollo Municipal;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IV. Promover la activación física gratuita entre la población del Municipio en coordinación con el Instituto Municipal de Cultura Física, Deporte y Juventud;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V. Promover la correcta alimentación, entre los alumnos de escuelas primarias y secundarias del territorio municipal en coordinación con el Instituto Municipal de Educación, a fin de prevenir la obesidad infantil;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VI. Organizar clubes, talleres y terapias grupales para afrontar diversas enfermedades emocionales, físicas y trastornos de conducta;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VII. Fomentar entre la población del Municipio la salud, entendida ésta como el estado de bienestar y no sólo como la ausencia de enfermedades;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VIII. Proponer los lineamientos para la coordinación de las actividades de las dependencias y entidades involucradas, en lo relativo al cumplimiento del Programa Municipal de Salud;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lastRenderedPageBreak/>
              <w:t xml:space="preserve">IX. Realizar con las autoridades del ramo campañas permanentes y gratuitas de la vacuna antirrábica, expidiendo el certificado correspondiente debidamente autorizado;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 Realizar campañas de concientización y orientación en centros educativos, comunidades y en general en el territorio municipal, tendientes a la responsabilidad de salvaguardar los derechos y bienestar de los perros y gatos;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XI. Acopio de perros y gatos procurando en todo momento el exhorto a los particulares para que los conserven;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XII. Aislar y confinar a perros agresores para su observación a fin de descartar la transmisión de enfermedades de acuerdo a la normatividad aplicable;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XIII. Canalizar a las personas agredidas por mordeduras de perros o gatos a la institución de salud más cercana;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XIV. Retiro de perros y gatos abandonados en la vía pública, previniendo posibles agresiones;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lastRenderedPageBreak/>
              <w:t xml:space="preserve">XV. Realizar eutanasia para perros y gatos de acuerdo a la norma oficial NOM-0337-SAG/ZOO-2014;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XVI. Promover la concertación de acciones con las instituciones de los sectores social y privado, que lleven a cabo tareas relacionadas con el programa;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XVII. Fomentar la realización de acciones de promoción, difusión y educación en materia de salud entre los habitantes del Municipio;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XVIII. Proponer sistemas de control y evaluación del avance del Programa Municipal de Salud;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XIX. Promover la coordinación entre los organismos y agencias nacionales e internacionales en lo relativo al Programa Municipal de Salud; y </w:t>
            </w:r>
          </w:p>
          <w:p w:rsidR="00692F31" w:rsidRDefault="00BA5DB7">
            <w:pPr>
              <w:spacing w:before="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 Las demás que deriven de otros ordenamientos legales aplicables o le sean encomendados en el área de su competencia por sus superiores jerárquicos.</w:t>
            </w:r>
          </w:p>
        </w:tc>
        <w:tc>
          <w:tcPr>
            <w:tcW w:w="3338" w:type="dxa"/>
          </w:tcPr>
          <w:p w:rsidR="00692F31" w:rsidRDefault="00BA5DB7">
            <w:pPr>
              <w:ind w:right="51"/>
              <w:jc w:val="both"/>
              <w:rPr>
                <w:rFonts w:ascii="Palatino Linotype" w:eastAsia="Palatino Linotype" w:hAnsi="Palatino Linotype" w:cs="Palatino Linotype"/>
                <w:highlight w:val="white"/>
              </w:rPr>
            </w:pPr>
            <w:r>
              <w:rPr>
                <w:rFonts w:ascii="Palatino Linotype" w:eastAsia="Palatino Linotype" w:hAnsi="Palatino Linotype" w:cs="Palatino Linotype"/>
                <w:b/>
                <w:sz w:val="22"/>
                <w:szCs w:val="22"/>
                <w:highlight w:val="white"/>
              </w:rPr>
              <w:lastRenderedPageBreak/>
              <w:t>No se localizó dicho Instituto dentro de la estructura orgánica del Sujeto Obligado</w:t>
            </w:r>
            <w:r>
              <w:rPr>
                <w:rFonts w:ascii="Palatino Linotype" w:eastAsia="Palatino Linotype" w:hAnsi="Palatino Linotype" w:cs="Palatino Linotype"/>
                <w:sz w:val="22"/>
                <w:szCs w:val="22"/>
                <w:highlight w:val="white"/>
              </w:rPr>
              <w:t>.</w:t>
            </w:r>
          </w:p>
        </w:tc>
        <w:tc>
          <w:tcPr>
            <w:tcW w:w="2943" w:type="dxa"/>
          </w:tcPr>
          <w:p w:rsidR="00692F31" w:rsidRDefault="00BA5DB7">
            <w:pPr>
              <w:spacing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ARTÍCULO 54.- Son atribuciones y obligaciones de la persona titular de la Dirección de Salud del SMDIF, las siguientes: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I. Dirigir los programas de salud y atención médica de Primer Nivel que beneficien a personas en estado de vulnerabilidad del municipio;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II. Fungir como enlace entre el municipio y las autoridades de la Jurisdicción Sanitaria correspondiente, para la atención de los asuntos de salud pública;</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III. Proponer y dirigir programas y proyectos interinstitucionales con instancias públicas y privadas relacionadas al área de la salud;</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IV. Dirigir, controlar, supervisar y evaluar las actividades realizadas en las diferentes unidades médicas del SMDIF;</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lastRenderedPageBreak/>
              <w:t>V. Dirigir acciones para promover una cultura de salud basada en el auto cuidado para la prevención de enfermedades, principalmente crónico degenerativas;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VI. Coordinar y supervisar la prestación de los servicios médicos asistenciales, odontológicos, de laboratorio, de discapacidad, de medicina preventiva, de control, atención y bienestar animal y de atención a las adicciones, para brindar un esquema de atención de calidad a los usuarios que así lo soliciten;</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VII. Gestionar ante la Dirección de Administración y Finanzas, la contratación para la prestación de servicios médicos especializados y de medicina alternativa;</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VIII. Canalizar a la población del municipio que así lo requiera, la prestación de servicios médico asistenciales, odontológicos, de laboratorio o de enfermería y de atención a las adicciones;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IX. Gestionar convenios o contratos con personas físicas y/o instituciones públicas o privadas para la mejor prestación de servicios asistenciales de salud accesibles o a bajo costo;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 Supervisar la capacitación en materia de integración del Expediente Clínico entre el personal que brinda servicios de salud a su cargo;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lastRenderedPageBreak/>
              <w:t>XI. Supervisar la integración y vigencia de los Avisos de Funcionamiento del personal que presta servicios de salud en el SMDIF, asegurándose de tener congruencia con los datos de la Clave Única de Establecimiento Sanitario CLUES;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XII. Supervisar la vigencia y estatus de la CLUES de todas las unidades médicas del SMDIF, gestionando con la autoridad competente los movimientos necesarios para dar de alta, baja o suspender las actividades de las mismas conforme la normatividad aplicable;</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XIII. Integrar y actualizar en coordinación con la persona servidora pública habilitado para tal efecto y conforme a los lineamientos establecidos, el Subsistema de Información de Equipamiento, Recursos Humanos e Infraestructura para la Atención de la Salud (SINERHIAS);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XIV. Integrar y resguardar conforme la normatividad aplicable garantizando la confidencialidad de la información, en el Expediente Clínico de los usuarios de servicios médicos;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XV. Proponer los lineamientos para el otorgamiento gratuito de servicios médico asistenciales del SMDIF, que originalmente tienen previsto el cobro de una cuota de recuperación a bajo </w:t>
            </w:r>
            <w:r>
              <w:rPr>
                <w:rFonts w:ascii="Palatino Linotype" w:eastAsia="Palatino Linotype" w:hAnsi="Palatino Linotype" w:cs="Palatino Linotype"/>
                <w:i/>
                <w:sz w:val="20"/>
                <w:szCs w:val="20"/>
                <w:highlight w:val="white"/>
              </w:rPr>
              <w:lastRenderedPageBreak/>
              <w:t>costo, para su aprobación por la Junta de Gobierno;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XVI. Autorizar el otorgamiento gratuito de servicios médico-asistenciales, mediante estudios socioeconómicos, que originalmente tienen previsto el cobro de una cuota de recuperación a bajo costo, cuando la situación así lo amerite y justifique, ya sea en jornadas, giras o eventos donde participe el SMDIF;</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XVII. Llevar un control general del otorgamiento gratuito de servicios médico asistenciales que realice la Dirección de Salud;</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XVIII. Llevar la administración y control de materiales e insumos médicos, y en caso de encontrar posibles anomalías, robos o pérdidas reportarlas inmediatamente al Órgano Interno de Control;</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XIX. Planear, coordinar y ejecutar la realización de jornadas médico-asistenciales y veterinarias en las comunidades del municipio;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 Solicitar a la Dirección de Administración y Finanzas los informes de avance presupuestal de egresos e ingresos correspondientes a la Dirección de Salud;</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XXI. Autorizar los horarios y labores, así como periodos </w:t>
            </w:r>
            <w:r>
              <w:rPr>
                <w:rFonts w:ascii="Palatino Linotype" w:eastAsia="Palatino Linotype" w:hAnsi="Palatino Linotype" w:cs="Palatino Linotype"/>
                <w:i/>
                <w:sz w:val="20"/>
                <w:szCs w:val="20"/>
                <w:highlight w:val="white"/>
              </w:rPr>
              <w:lastRenderedPageBreak/>
              <w:t>vacacionales y guardias del personal de la Dirección de Salud;</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XXII. Autorizar y dirigir la realización de capacitaciones con el personal perteneciente a la Coordinación de Programas de Salud, en el ámbito de su competencia;</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XXIII. Gestionar con instituciones educativas y de salud la firma de convenios con el SMDIF a efecto de que proporcionen prestadores de servicio social y de prácticas profesionales que puedan desempeñarse en las unidades administrativas de la Dirección de Salud;</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XXIV. Establecer programas de enseñanza para los prestadores de servicio social y de prácticas profesionales que realicen las mismas en la Dirección de Salud del SMDIF;</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XXV. Autorizar los permisos de entrada, salida y ausencias del personal de medicina general, alternativa, especializada y veterinaria que se encuentren en nómina;</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XXVI. Administrar y controlar los materiales e insumos médicos, que se requieran para la prestación de servicios médicos asistenciales y veterinarios;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XXVII. En coordinación con el Departamento de Ingresos proponer los lineamientos para el </w:t>
            </w:r>
            <w:r>
              <w:rPr>
                <w:rFonts w:ascii="Palatino Linotype" w:eastAsia="Palatino Linotype" w:hAnsi="Palatino Linotype" w:cs="Palatino Linotype"/>
                <w:i/>
                <w:sz w:val="20"/>
                <w:szCs w:val="20"/>
                <w:highlight w:val="white"/>
              </w:rPr>
              <w:lastRenderedPageBreak/>
              <w:t>manejo de los ingresos derivado de las cuotas de recuperación por la prestación de servicios médico asistenciales y veterinarios para fortalecer la calidad y equipamiento de los mismos que se brindan a través de la Dirección de Salud y sus unidades administrativas, para su aprobación por la Junta de Gobierno;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XXVIII. Notificar por escrito al Órgano Interno de Control en caso de identificar o conocer posibles anomalías, robos o pérdidas en los centros periféricos que brindan servicios médico asistenciales;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XXIX. Gestionar la contratación por comodato a particulares para la prestación de servicios en medicina general, especializada, alternativa y veterinaria;</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 Coordinar la ejecución de programas y proyectos interinstitucionales con instancias públicas y privadas relacionadas con el área de la salud;</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XXXI. Coordinar la prestación de los servicios de medicina general, especializada, alternativa y veterinaria que ofrece el SMDIF;</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XXXII. Organizar los horarios y labores, así como periodos vacacionales y guardias del personal de medicina general, alternativa, especializada y veterinaria especialmente de </w:t>
            </w:r>
            <w:r>
              <w:rPr>
                <w:rFonts w:ascii="Palatino Linotype" w:eastAsia="Palatino Linotype" w:hAnsi="Palatino Linotype" w:cs="Palatino Linotype"/>
                <w:i/>
                <w:sz w:val="20"/>
                <w:szCs w:val="20"/>
                <w:highlight w:val="white"/>
              </w:rPr>
              <w:lastRenderedPageBreak/>
              <w:t>aquellos que brindan servicio en los centros periféricos del SMDIF;</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XXXIII. Coordinar, organizar, supervisar al personal adscrito a la Coordinación a su cargo para fortalecer la calidad y seguridad de los pacientes en los servicios de atención médica y asistencia social mediante la instalación y seguimiento del Comité interno de Calidad y Seguridad del Paciente (COCASEP);</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XXXIV. Gestionar con instituciones educativas y de salud la realización de cursos y/o capacitaciones especializadas y de profesionalización para el personal de la Dirección de Salud del SMDIF;</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XXXV. Supervisar que el manejo y disposición de los Residuos Peligrosos Biológico Infecciosos (RPBI) de las unidades médicas y veterinarias se realice conforme a la normatividad aplicable;</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XXXVI. Elaborar los informes mensuales, la programación y entrega de medicamentos para su destrucción, así como la supervisión de que el material infectocontagioso sea dispuesto de acuerdo a la normatividad aplicable;</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 xml:space="preserve">XXXVII. Coordinar en conjunto con el personal médico y de enfermería la realización </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lastRenderedPageBreak/>
              <w:t>de pláticas de prevención de enfermedades a la población del municipio;</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XXXVIII. Implementar mecanismos de control interno para la prestación de servicios médico asistenciales y veterinarios;</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XXXIX. Enterar la recaudación de las cuotas de recuperación aportadas por la prestación de servicios médicos en los consultorios periféricos donde el personal a su cargo realiza el cobro directamente;</w:t>
            </w:r>
          </w:p>
          <w:p w:rsidR="00692F31" w:rsidRDefault="00BA5DB7">
            <w:pPr>
              <w:spacing w:before="280" w:after="280"/>
              <w:ind w:right="51"/>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highlight w:val="white"/>
              </w:rPr>
              <w:t>XL. Las demás que establezca la Dirección General en el ámbito de sus atribuciones, o que señale la normatividad aplicable.</w:t>
            </w:r>
          </w:p>
          <w:p w:rsidR="00692F31" w:rsidRDefault="00692F31">
            <w:pPr>
              <w:spacing w:before="280"/>
              <w:ind w:right="51"/>
              <w:jc w:val="both"/>
              <w:rPr>
                <w:rFonts w:ascii="Palatino Linotype" w:eastAsia="Palatino Linotype" w:hAnsi="Palatino Linotype" w:cs="Palatino Linotype"/>
                <w:i/>
                <w:highlight w:val="white"/>
              </w:rPr>
            </w:pPr>
          </w:p>
        </w:tc>
      </w:tr>
    </w:tbl>
    <w:p w:rsidR="00692F31" w:rsidRDefault="00BA5DB7">
      <w:pPr>
        <w:spacing w:before="280" w:after="28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lastRenderedPageBreak/>
        <w:t>De lo anteriormente expuesto, se concluye que si bien es cierto, no se advirtió fuente obligacional para que el sujeto obligado genere un documento en el que exponga las razones de las modificaciones de sus estructuras orgánicas, no menos cierto es que la actual Dirección de Salud del Sistema Municipal Para el Desarrollo Integral de la Familia de Tlalnepantla de Baz, Estado de México, pudiera ser la institución a la que la particular puede acudir para atender las cuestiones de carácter médico, ello en razón de que las atribuciones con las que anteriormente contaba el Instituto Municipal de la Salud, son coincidentes con las vertidas en el Reglamento del Sistema Municipal Para el Desarrollo Integral de la Familia de Tlalnepantla de Baz, Estado de México.</w:t>
      </w:r>
    </w:p>
    <w:p w:rsidR="00692F31" w:rsidRDefault="00BA5DB7">
      <w:pPr>
        <w:spacing w:before="280" w:after="280" w:line="360" w:lineRule="auto"/>
        <w:ind w:right="49"/>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highlight w:val="white"/>
        </w:rPr>
        <w:lastRenderedPageBreak/>
        <w:t xml:space="preserve">De manera que con lo vertido por 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se tiene por satisfecho el derecho de acceso a la información de </w:t>
      </w:r>
      <w:r>
        <w:rPr>
          <w:rFonts w:ascii="Palatino Linotype" w:eastAsia="Palatino Linotype" w:hAnsi="Palatino Linotype" w:cs="Palatino Linotype"/>
          <w:b/>
          <w:highlight w:val="white"/>
        </w:rPr>
        <w:t xml:space="preserve">la parte Recurrente </w:t>
      </w:r>
      <w:r>
        <w:rPr>
          <w:rFonts w:ascii="Palatino Linotype" w:eastAsia="Palatino Linotype" w:hAnsi="Palatino Linotype" w:cs="Palatino Linotype"/>
          <w:highlight w:val="white"/>
        </w:rPr>
        <w:t>de manera completa; en consecuencia, resulta procedente sobreseer el presente recurso de revisión, con fundamento en el artículo 192, fracción V de la Ley de Transparencia y Acceso a</w:t>
      </w:r>
      <w:r>
        <w:rPr>
          <w:rFonts w:ascii="Palatino Linotype" w:eastAsia="Palatino Linotype" w:hAnsi="Palatino Linotype" w:cs="Palatino Linotype"/>
        </w:rPr>
        <w:t xml:space="preserve"> la Información Pública del Estado de México y Municipios que a la letra señala:</w:t>
      </w:r>
    </w:p>
    <w:p w:rsidR="00692F31" w:rsidRDefault="00BA5DB7">
      <w:pPr>
        <w:spacing w:before="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692F31" w:rsidRDefault="00BA5DB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692F31" w:rsidRDefault="00BA5DB7">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Cuando por cualquier motivo quede sin materia el recurso”. (Sic)</w:t>
      </w:r>
    </w:p>
    <w:p w:rsidR="00692F31" w:rsidRDefault="00692F31">
      <w:pPr>
        <w:spacing w:line="360" w:lineRule="auto"/>
        <w:jc w:val="both"/>
        <w:rPr>
          <w:rFonts w:ascii="Palatino Linotype" w:eastAsia="Palatino Linotype" w:hAnsi="Palatino Linotype" w:cs="Palatino Linotype"/>
          <w:b/>
          <w:i/>
        </w:rPr>
      </w:pP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una respuesta a pesar de que la solicitud el particular requirió que le explicara o generara un documento a razón de una inquietud, lo cual impediría jurídica y materialmente dar cumplimiento a una resolución que pudiera determinar la entrega de información al hoy recurrente; máxime que de la información proporciona en informe justificado, que se le pusiera la vista del recurrente, no hizo manifestación alguna.</w:t>
      </w:r>
    </w:p>
    <w:p w:rsidR="00692F31" w:rsidRDefault="00692F31">
      <w:pPr>
        <w:spacing w:line="360" w:lineRule="auto"/>
        <w:jc w:val="both"/>
        <w:rPr>
          <w:rFonts w:ascii="Palatino Linotype" w:eastAsia="Palatino Linotype" w:hAnsi="Palatino Linotype" w:cs="Palatino Linotype"/>
        </w:rPr>
      </w:pPr>
    </w:p>
    <w:p w:rsidR="00692F31" w:rsidRDefault="00BA5DB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se determina sobreseer el presente recurso de revisión, en términos del artículo 186, fracción I de la Ley de Transparencia y Acceso a la Información Pública del Estado de México y Municipios.</w:t>
      </w:r>
    </w:p>
    <w:p w:rsidR="00692F31" w:rsidRDefault="00692F31">
      <w:pPr>
        <w:spacing w:line="360" w:lineRule="auto"/>
        <w:jc w:val="both"/>
        <w:rPr>
          <w:rFonts w:ascii="Palatino Linotype" w:eastAsia="Palatino Linotype" w:hAnsi="Palatino Linotype" w:cs="Palatino Linotype"/>
        </w:rPr>
      </w:pPr>
    </w:p>
    <w:p w:rsidR="00692F31" w:rsidRDefault="00BA5DB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SOBRESEIMIENTO, NO PERMITE ENTRAR AL ESTUDIO DE LAS CUESTIONES DE FONDO”</w:t>
      </w:r>
      <w:r>
        <w:rPr>
          <w:rFonts w:ascii="Palatino Linotype" w:eastAsia="Palatino Linotype" w:hAnsi="Palatino Linotype" w:cs="Palatino Linotype"/>
          <w:b/>
          <w:vertAlign w:val="superscript"/>
        </w:rPr>
        <w:footnoteReference w:id="7"/>
      </w:r>
      <w:r>
        <w:rPr>
          <w:rFonts w:ascii="Palatino Linotype" w:eastAsia="Palatino Linotype" w:hAnsi="Palatino Linotype" w:cs="Palatino Linotype"/>
          <w:b/>
        </w:rPr>
        <w:t>.</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destacar que la decisión de este órgano colegiado de sobreseer el recurso de revisión no implica una limitación o negación a la justicia, según lo ha establecido el Poder Judicial Federal, en el criterio con rubro </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DESECHAMIENTO O SOBRESEIMIENTO EN EL JUICIO DE AMPARO. NO IMPLICA DENEGACIÓN DE JUSTICIA NI GENERA INSEGURIDAD JURÍDICA</w:t>
      </w:r>
      <w:r>
        <w:rPr>
          <w:rFonts w:ascii="Palatino Linotype" w:eastAsia="Palatino Linotype" w:hAnsi="Palatino Linotype" w:cs="Palatino Linotype"/>
          <w:b/>
        </w:rPr>
        <w:t>”</w:t>
      </w:r>
      <w:r>
        <w:rPr>
          <w:rFonts w:ascii="Palatino Linotype" w:eastAsia="Palatino Linotype" w:hAnsi="Palatino Linotype" w:cs="Palatino Linotype"/>
          <w:b/>
          <w:vertAlign w:val="superscript"/>
        </w:rPr>
        <w:footnoteReference w:id="8"/>
      </w:r>
      <w:r>
        <w:rPr>
          <w:rFonts w:ascii="Palatino Linotype" w:eastAsia="Palatino Linotype" w:hAnsi="Palatino Linotype" w:cs="Palatino Linotype"/>
        </w:rPr>
        <w:t xml:space="preserve"> que es aplicable por analogía.</w:t>
      </w:r>
    </w:p>
    <w:p w:rsidR="00692F31" w:rsidRDefault="00BA5DB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rsidR="00692F31" w:rsidRDefault="00BA5DB7">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692F31" w:rsidRDefault="00692F31">
      <w:pPr>
        <w:spacing w:line="360" w:lineRule="auto"/>
        <w:jc w:val="both"/>
        <w:rPr>
          <w:rFonts w:ascii="Palatino Linotype" w:eastAsia="Palatino Linotype" w:hAnsi="Palatino Linotype" w:cs="Palatino Linotype"/>
          <w:b/>
          <w:highlight w:val="white"/>
        </w:rPr>
      </w:pPr>
    </w:p>
    <w:p w:rsidR="00692F31" w:rsidRDefault="00BA5DB7">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número </w:t>
      </w:r>
      <w:r>
        <w:rPr>
          <w:rFonts w:ascii="Palatino Linotype" w:eastAsia="Palatino Linotype" w:hAnsi="Palatino Linotype" w:cs="Palatino Linotype"/>
          <w:b/>
          <w:highlight w:val="white"/>
        </w:rPr>
        <w:t>00474/INFOEM/IP/RR/2022</w:t>
      </w:r>
      <w:r>
        <w:rPr>
          <w:rFonts w:ascii="Palatino Linotype" w:eastAsia="Palatino Linotype" w:hAnsi="Palatino Linotype" w:cs="Palatino Linotype"/>
          <w:highlight w:val="white"/>
        </w:rPr>
        <w:t xml:space="preserve"> por quedarse sin materia en términos del </w:t>
      </w:r>
      <w:r>
        <w:rPr>
          <w:rFonts w:ascii="Palatino Linotype" w:eastAsia="Palatino Linotype" w:hAnsi="Palatino Linotype" w:cs="Palatino Linotype"/>
          <w:b/>
          <w:highlight w:val="white"/>
        </w:rPr>
        <w:t>Considerando Tercero</w:t>
      </w:r>
      <w:r>
        <w:rPr>
          <w:rFonts w:ascii="Palatino Linotype" w:eastAsia="Palatino Linotype" w:hAnsi="Palatino Linotype" w:cs="Palatino Linotype"/>
          <w:highlight w:val="white"/>
        </w:rPr>
        <w:t xml:space="preserve"> de la presente resolución.</w:t>
      </w:r>
    </w:p>
    <w:p w:rsidR="00692F31" w:rsidRDefault="00692F31">
      <w:pPr>
        <w:spacing w:line="360" w:lineRule="auto"/>
        <w:jc w:val="both"/>
        <w:rPr>
          <w:rFonts w:ascii="Palatino Linotype" w:eastAsia="Palatino Linotype" w:hAnsi="Palatino Linotype" w:cs="Palatino Linotype"/>
          <w:highlight w:val="white"/>
        </w:rPr>
      </w:pPr>
    </w:p>
    <w:p w:rsidR="00692F31" w:rsidRDefault="00BA5DB7">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Notifíquese al Titular de la Unidad de Transparencia, vía Sistema de Acceso a la Información Mexiquense (SAIMEX), para su conocimiento.</w:t>
      </w:r>
    </w:p>
    <w:p w:rsidR="00692F31" w:rsidRDefault="00BA5DB7">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color w:val="000000"/>
        </w:rPr>
        <w:t>,</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BA5DB7" w:rsidRDefault="00BA5DB7">
      <w:pPr>
        <w:spacing w:before="240" w:after="240" w:line="360" w:lineRule="auto"/>
        <w:jc w:val="both"/>
        <w:rPr>
          <w:rFonts w:ascii="Palatino Linotype" w:eastAsia="Palatino Linotype" w:hAnsi="Palatino Linotype" w:cs="Palatino Linotype"/>
          <w:color w:val="000000"/>
        </w:rPr>
        <w:sectPr w:rsidR="00BA5DB7">
          <w:headerReference w:type="default" r:id="rId19"/>
          <w:footerReference w:type="default" r:id="rId20"/>
          <w:headerReference w:type="first" r:id="rId21"/>
          <w:footerReference w:type="first" r:id="rId22"/>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color w:val="000000"/>
        </w:rPr>
        <w:lastRenderedPageBreak/>
        <w:t xml:space="preserve">MORALES MARTÍNEZ, LUIS GUSTAVO PARRA NORIEGA Y GUADALUPE RAMÍREZ PEÑA, EN LA DÉCIMO PRIMERA SESIÓN ORDINARIA CELEBRADA EL VEINTICUATRO DE MARZO DE DOS MIL VEINTIDÓS ANTE EL ANTE EL </w:t>
      </w:r>
      <w:r>
        <w:rPr>
          <w:rFonts w:ascii="Palatino Linotype" w:eastAsia="Palatino Linotype" w:hAnsi="Palatino Linotype" w:cs="Palatino Linotype"/>
          <w:noProof/>
          <w:color w:val="000000"/>
          <w:lang w:val="es-MX"/>
        </w:rPr>
        <mc:AlternateContent>
          <mc:Choice Requires="wps">
            <w:drawing>
              <wp:anchor distT="0" distB="0" distL="114300" distR="114300" simplePos="0" relativeHeight="251669504" behindDoc="0" locked="0" layoutInCell="1" allowOverlap="1">
                <wp:simplePos x="0" y="0"/>
                <wp:positionH relativeFrom="column">
                  <wp:posOffset>24764</wp:posOffset>
                </wp:positionH>
                <wp:positionV relativeFrom="paragraph">
                  <wp:posOffset>1102995</wp:posOffset>
                </wp:positionV>
                <wp:extent cx="5343525" cy="655320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343525" cy="655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495864" id="Conector recto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5pt,86.85pt" to="422.7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" strokecolor="black [3040]"/>
            </w:pict>
          </mc:Fallback>
        </mc:AlternateContent>
      </w:r>
      <w:r>
        <w:rPr>
          <w:rFonts w:ascii="Palatino Linotype" w:eastAsia="Palatino Linotype" w:hAnsi="Palatino Linotype" w:cs="Palatino Linotype"/>
          <w:color w:val="000000"/>
        </w:rPr>
        <w:t>SECRETARIO TÉCNICO DEL PLENO, ALEXIS TAPIA RAMÍREZ.</w:t>
      </w:r>
    </w:p>
    <w:p w:rsidR="00692F31" w:rsidRDefault="00692F31">
      <w:pPr>
        <w:spacing w:before="240" w:after="240" w:line="360" w:lineRule="auto"/>
        <w:jc w:val="both"/>
        <w:rPr>
          <w:rFonts w:ascii="Palatino Linotype" w:eastAsia="Palatino Linotype" w:hAnsi="Palatino Linotype" w:cs="Palatino Linotype"/>
        </w:rPr>
      </w:pPr>
    </w:p>
    <w:sectPr w:rsidR="00692F31">
      <w:headerReference w:type="first" r:id="rId23"/>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C8A" w:rsidRDefault="00BA5DB7">
      <w:r>
        <w:separator/>
      </w:r>
    </w:p>
  </w:endnote>
  <w:endnote w:type="continuationSeparator" w:id="0">
    <w:p w:rsidR="003A5C8A" w:rsidRDefault="00BA5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F31" w:rsidRDefault="00BA5DB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377C">
      <w:rPr>
        <w:rFonts w:ascii="Palatino Linotype" w:eastAsia="Palatino Linotype" w:hAnsi="Palatino Linotype" w:cs="Palatino Linotype"/>
        <w:b/>
        <w:noProof/>
        <w:color w:val="000000"/>
        <w:sz w:val="20"/>
        <w:szCs w:val="20"/>
      </w:rPr>
      <w:t>42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377C">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692F31" w:rsidRDefault="00692F3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F31" w:rsidRDefault="00BA5DB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377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377C">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rsidR="00692F31" w:rsidRDefault="00692F3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C8A" w:rsidRDefault="00BA5DB7">
      <w:r>
        <w:separator/>
      </w:r>
    </w:p>
  </w:footnote>
  <w:footnote w:type="continuationSeparator" w:id="0">
    <w:p w:rsidR="003A5C8A" w:rsidRDefault="00BA5DB7">
      <w:r>
        <w:continuationSeparator/>
      </w:r>
    </w:p>
  </w:footnote>
  <w:footnote w:id="1">
    <w:p w:rsidR="00692F31" w:rsidRDefault="00BA5DB7">
      <w:pPr>
        <w:jc w:val="both"/>
        <w:rPr>
          <w:rFonts w:ascii="Palatino Linotype" w:eastAsia="Palatino Linotype" w:hAnsi="Palatino Linotype" w:cs="Palatino Linotype"/>
          <w:sz w:val="16"/>
          <w:szCs w:val="16"/>
        </w:rPr>
      </w:pPr>
      <w:r>
        <w:rPr>
          <w:vertAlign w:val="superscript"/>
        </w:rPr>
        <w:footnoteRef/>
      </w:r>
      <w:r>
        <w:t xml:space="preserve"> </w:t>
      </w:r>
      <w:r>
        <w:rPr>
          <w:rFonts w:ascii="Palatino Linotype" w:eastAsia="Palatino Linotype" w:hAnsi="Palatino Linotype" w:cs="Palatino Linotype"/>
          <w:sz w:val="16"/>
          <w:szCs w:val="16"/>
        </w:rPr>
        <w:t xml:space="preserve">Derecho de Petición, el Maestro Ignacio Burgoa Orihuela refiere: </w:t>
      </w:r>
    </w:p>
    <w:p w:rsidR="00692F31" w:rsidRDefault="00BA5DB7">
      <w:pPr>
        <w:ind w:left="851" w:right="901"/>
        <w:jc w:val="both"/>
        <w:rPr>
          <w:rFonts w:ascii="Palatino Linotype" w:eastAsia="Palatino Linotype" w:hAnsi="Palatino Linotype" w:cs="Palatino Linotype"/>
          <w:i/>
          <w:sz w:val="16"/>
          <w:szCs w:val="16"/>
        </w:rPr>
      </w:pPr>
      <w:r>
        <w:rPr>
          <w:rFonts w:ascii="Palatino Linotype" w:eastAsia="Palatino Linotype" w:hAnsi="Palatino Linotype" w:cs="Palatino Linotype"/>
          <w:b/>
          <w:sz w:val="16"/>
          <w:szCs w:val="16"/>
        </w:rPr>
        <w:t>“</w:t>
      </w:r>
      <w:r>
        <w:rPr>
          <w:rFonts w:ascii="Palatino Linotype" w:eastAsia="Palatino Linotype" w:hAnsi="Palatino Linotype" w:cs="Palatino Linotype"/>
          <w:sz w:val="16"/>
          <w:szCs w:val="16"/>
        </w:rPr>
        <w:t>…</w:t>
      </w:r>
      <w:r>
        <w:rPr>
          <w:rFonts w:ascii="Palatino Linotype" w:eastAsia="Palatino Linotype" w:hAnsi="Palatino Linotype" w:cs="Palatino Linotype"/>
          <w:i/>
          <w:sz w:val="16"/>
          <w:szCs w:val="16"/>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b/>
          <w:i/>
          <w:sz w:val="16"/>
          <w:szCs w:val="16"/>
        </w:rPr>
        <w:t>“</w:t>
      </w:r>
      <w:r>
        <w:rPr>
          <w:rFonts w:ascii="Palatino Linotype" w:eastAsia="Palatino Linotype" w:hAnsi="Palatino Linotype" w:cs="Palatino Linotype"/>
          <w:i/>
          <w:sz w:val="16"/>
          <w:szCs w:val="16"/>
        </w:rPr>
        <w:t xml:space="preserve"> (sic)</w:t>
      </w:r>
    </w:p>
    <w:p w:rsidR="00692F31" w:rsidRDefault="00692F31">
      <w:pPr>
        <w:pBdr>
          <w:top w:val="nil"/>
          <w:left w:val="nil"/>
          <w:bottom w:val="nil"/>
          <w:right w:val="nil"/>
          <w:between w:val="nil"/>
        </w:pBdr>
        <w:rPr>
          <w:color w:val="000000"/>
          <w:sz w:val="20"/>
          <w:szCs w:val="20"/>
        </w:rPr>
      </w:pPr>
    </w:p>
  </w:footnote>
  <w:footnote w:id="2">
    <w:p w:rsidR="00692F31" w:rsidRDefault="00BA5DB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3">
    <w:p w:rsidR="00692F31" w:rsidRDefault="00BA5DB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4">
    <w:p w:rsidR="00692F31" w:rsidRDefault="00BA5DB7">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5">
    <w:p w:rsidR="00692F31" w:rsidRDefault="00BA5DB7">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6">
    <w:p w:rsidR="00692F31" w:rsidRDefault="00BA5DB7">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 w:id="7">
    <w:p w:rsidR="00692F31" w:rsidRDefault="00BA5DB7">
      <w:pPr>
        <w:pBdr>
          <w:top w:val="nil"/>
          <w:left w:val="nil"/>
          <w:bottom w:val="nil"/>
          <w:right w:val="nil"/>
          <w:between w:val="nil"/>
        </w:pBdr>
        <w:spacing w:before="120" w:after="120"/>
        <w:jc w:val="both"/>
        <w:rPr>
          <w:rFonts w:ascii="Palatino Linotype" w:eastAsia="Palatino Linotype" w:hAnsi="Palatino Linotype" w:cs="Palatino Linotype"/>
          <w:color w:val="000000"/>
          <w:sz w:val="18"/>
          <w:szCs w:val="18"/>
          <w:highlight w:val="white"/>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Localización</w:t>
      </w:r>
      <w:r>
        <w:rPr>
          <w:rFonts w:ascii="Palatino Linotype" w:eastAsia="Palatino Linotype" w:hAnsi="Palatino Linotype" w:cs="Palatino Linotype"/>
          <w:color w:val="000000"/>
          <w:sz w:val="18"/>
          <w:szCs w:val="18"/>
        </w:rPr>
        <w:t>: 2</w:t>
      </w:r>
      <w:r>
        <w:rPr>
          <w:rFonts w:ascii="Palatino Linotype" w:eastAsia="Palatino Linotype" w:hAnsi="Palatino Linotype" w:cs="Palatino Linotype"/>
          <w:color w:val="000000"/>
          <w:sz w:val="18"/>
          <w:szCs w:val="18"/>
          <w:highlight w:val="white"/>
        </w:rPr>
        <w:t>13609. II.2o.183 K. Tribunales Colegiados de Circuito. Octava Época. Semanario Judicial de la Federación. Tomo XIII, Febrero de 1994, Pág. 420</w:t>
      </w:r>
    </w:p>
    <w:p w:rsidR="00692F31" w:rsidRDefault="00BA5DB7">
      <w:pPr>
        <w:pBdr>
          <w:top w:val="nil"/>
          <w:left w:val="nil"/>
          <w:bottom w:val="nil"/>
          <w:right w:val="nil"/>
          <w:between w:val="nil"/>
        </w:pBdr>
        <w:spacing w:before="120" w:after="120"/>
        <w:jc w:val="both"/>
        <w:rPr>
          <w:rFonts w:ascii="Palatino Linotype" w:eastAsia="Palatino Linotype" w:hAnsi="Palatino Linotype" w:cs="Palatino Linotype"/>
          <w:color w:val="000000"/>
          <w:sz w:val="19"/>
          <w:szCs w:val="19"/>
        </w:rPr>
      </w:pPr>
      <w:r>
        <w:rPr>
          <w:rFonts w:ascii="Palatino Linotype" w:eastAsia="Palatino Linotype" w:hAnsi="Palatino Linotype" w:cs="Palatino Linotype"/>
          <w:b/>
          <w:color w:val="000000"/>
          <w:sz w:val="18"/>
          <w:szCs w:val="18"/>
        </w:rPr>
        <w:t>Cuerpo de tesis:</w:t>
      </w:r>
      <w:r>
        <w:rPr>
          <w:rFonts w:ascii="Palatino Linotype" w:eastAsia="Palatino Linotype" w:hAnsi="Palatino Linotype" w:cs="Palatino Linotype"/>
          <w:color w:val="000000"/>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8">
    <w:p w:rsidR="00692F31" w:rsidRDefault="00BA5DB7">
      <w:pPr>
        <w:pBdr>
          <w:top w:val="nil"/>
          <w:left w:val="nil"/>
          <w:bottom w:val="nil"/>
          <w:right w:val="nil"/>
          <w:between w:val="nil"/>
        </w:pBdr>
        <w:jc w:val="both"/>
        <w:rPr>
          <w:rFonts w:ascii="Palatino Linotype" w:eastAsia="Palatino Linotype" w:hAnsi="Palatino Linotype" w:cs="Palatino Linotype"/>
          <w:color w:val="000000"/>
          <w:sz w:val="19"/>
          <w:szCs w:val="19"/>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19"/>
          <w:szCs w:val="19"/>
        </w:rPr>
        <w:t>Cuerpo de la tesis</w:t>
      </w:r>
      <w:r>
        <w:rPr>
          <w:rFonts w:ascii="Palatino Linotype" w:eastAsia="Palatino Linotype" w:hAnsi="Palatino Linotype" w:cs="Palatino Linotype"/>
          <w:color w:val="000000"/>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F31" w:rsidRDefault="00BA5DB7">
    <w:pPr>
      <w:pBdr>
        <w:top w:val="nil"/>
        <w:left w:val="nil"/>
        <w:bottom w:val="nil"/>
        <w:right w:val="nil"/>
        <w:between w:val="nil"/>
      </w:pBdr>
      <w:tabs>
        <w:tab w:val="center" w:pos="4419"/>
        <w:tab w:val="right" w:pos="8838"/>
      </w:tabs>
      <w:jc w:val="both"/>
      <w:rPr>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-346074</wp:posOffset>
          </wp:positionV>
          <wp:extent cx="7635600" cy="994320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5670" w:type="dxa"/>
      <w:tblInd w:w="3119" w:type="dxa"/>
      <w:tblLayout w:type="fixed"/>
      <w:tblLook w:val="0400" w:firstRow="0" w:lastRow="0" w:firstColumn="0" w:lastColumn="0" w:noHBand="0" w:noVBand="1"/>
    </w:tblPr>
    <w:tblGrid>
      <w:gridCol w:w="2551"/>
      <w:gridCol w:w="3119"/>
    </w:tblGrid>
    <w:tr w:rsidR="00692F31">
      <w:tc>
        <w:tcPr>
          <w:tcW w:w="2551" w:type="dxa"/>
          <w:vAlign w:val="center"/>
        </w:tcPr>
        <w:p w:rsidR="00692F31" w:rsidRDefault="00BA5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92F31" w:rsidRDefault="00BA5DB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00474/INFOEM/IP/RR/2022 </w:t>
          </w:r>
        </w:p>
      </w:tc>
    </w:tr>
    <w:tr w:rsidR="00692F31">
      <w:trPr>
        <w:trHeight w:val="220"/>
      </w:trPr>
      <w:tc>
        <w:tcPr>
          <w:tcW w:w="2551" w:type="dxa"/>
          <w:vAlign w:val="center"/>
        </w:tcPr>
        <w:p w:rsidR="00692F31" w:rsidRDefault="00BA5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92F31" w:rsidRDefault="00BA5DB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692F31">
      <w:tc>
        <w:tcPr>
          <w:tcW w:w="2551" w:type="dxa"/>
          <w:vAlign w:val="center"/>
        </w:tcPr>
        <w:p w:rsidR="00692F31" w:rsidRDefault="00BA5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92F31" w:rsidRDefault="00BA5DB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92F31" w:rsidRDefault="00692F3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F31" w:rsidRDefault="00BA5DB7">
    <w:pPr>
      <w:pBdr>
        <w:top w:val="nil"/>
        <w:left w:val="nil"/>
        <w:bottom w:val="nil"/>
        <w:right w:val="nil"/>
        <w:between w:val="nil"/>
      </w:pBdr>
      <w:tabs>
        <w:tab w:val="center" w:pos="4419"/>
        <w:tab w:val="right" w:pos="8838"/>
      </w:tabs>
      <w:jc w:val="both"/>
      <w:rPr>
        <w:color w:val="000000"/>
      </w:rPr>
    </w:pP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-313054</wp:posOffset>
          </wp:positionV>
          <wp:extent cx="7635600" cy="9943200"/>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8"/>
      <w:tblW w:w="5670" w:type="dxa"/>
      <w:tblInd w:w="3119" w:type="dxa"/>
      <w:tblLayout w:type="fixed"/>
      <w:tblLook w:val="0400" w:firstRow="0" w:lastRow="0" w:firstColumn="0" w:lastColumn="0" w:noHBand="0" w:noVBand="1"/>
    </w:tblPr>
    <w:tblGrid>
      <w:gridCol w:w="2551"/>
      <w:gridCol w:w="3119"/>
    </w:tblGrid>
    <w:tr w:rsidR="00692F31">
      <w:tc>
        <w:tcPr>
          <w:tcW w:w="2551" w:type="dxa"/>
          <w:vAlign w:val="center"/>
        </w:tcPr>
        <w:p w:rsidR="00692F31" w:rsidRDefault="00BA5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692F31" w:rsidRDefault="00BA5DB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00474/INFOEM/IP/RR/2022</w:t>
          </w:r>
        </w:p>
      </w:tc>
    </w:tr>
    <w:tr w:rsidR="00692F31">
      <w:tc>
        <w:tcPr>
          <w:tcW w:w="2551" w:type="dxa"/>
          <w:vAlign w:val="center"/>
        </w:tcPr>
        <w:p w:rsidR="00692F31" w:rsidRDefault="00BA5DB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692F31" w:rsidRDefault="00692F31">
          <w:pPr>
            <w:jc w:val="both"/>
            <w:rPr>
              <w:rFonts w:ascii="Palatino Linotype" w:eastAsia="Palatino Linotype" w:hAnsi="Palatino Linotype" w:cs="Palatino Linotype"/>
              <w:b/>
              <w:sz w:val="22"/>
              <w:szCs w:val="22"/>
            </w:rPr>
          </w:pPr>
        </w:p>
      </w:tc>
    </w:tr>
    <w:tr w:rsidR="00692F31">
      <w:trPr>
        <w:trHeight w:val="220"/>
      </w:trPr>
      <w:tc>
        <w:tcPr>
          <w:tcW w:w="2551" w:type="dxa"/>
          <w:vAlign w:val="center"/>
        </w:tcPr>
        <w:p w:rsidR="00692F31" w:rsidRDefault="00BA5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692F31" w:rsidRDefault="00BA5DB7">
          <w:pPr>
            <w:ind w:right="73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692F31">
      <w:tc>
        <w:tcPr>
          <w:tcW w:w="2551" w:type="dxa"/>
          <w:vAlign w:val="center"/>
        </w:tcPr>
        <w:p w:rsidR="00692F31" w:rsidRDefault="00BA5DB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692F31" w:rsidRDefault="00BA5DB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692F31" w:rsidRDefault="00692F31">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DB7" w:rsidRDefault="00BA5DB7">
    <w:pPr>
      <w:pBdr>
        <w:top w:val="nil"/>
        <w:left w:val="nil"/>
        <w:bottom w:val="nil"/>
        <w:right w:val="nil"/>
        <w:between w:val="nil"/>
      </w:pBdr>
      <w:tabs>
        <w:tab w:val="center" w:pos="4419"/>
        <w:tab w:val="right" w:pos="8838"/>
      </w:tabs>
      <w:jc w:val="both"/>
      <w:rPr>
        <w:color w:val="000000"/>
      </w:rPr>
    </w:pPr>
  </w:p>
  <w:p w:rsidR="00BA5DB7" w:rsidRDefault="00BA5DB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80FAA"/>
    <w:multiLevelType w:val="multilevel"/>
    <w:tmpl w:val="32CE7E5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1E561176"/>
    <w:multiLevelType w:val="multilevel"/>
    <w:tmpl w:val="0E869F9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89665AA"/>
    <w:multiLevelType w:val="multilevel"/>
    <w:tmpl w:val="0D3AA9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F31"/>
    <w:rsid w:val="003A5C8A"/>
    <w:rsid w:val="00692F31"/>
    <w:rsid w:val="007D377C"/>
    <w:rsid w:val="00BA5D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6EF425-901A-473D-8024-B5BE23B3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296D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6D3F"/>
    <w:rPr>
      <w:rFonts w:ascii="Segoe UI" w:hAnsi="Segoe UI" w:cs="Segoe UI"/>
      <w:sz w:val="18"/>
      <w:szCs w:val="18"/>
    </w:rPr>
  </w:style>
  <w:style w:type="paragraph" w:styleId="Encabezado">
    <w:name w:val="header"/>
    <w:basedOn w:val="Normal"/>
    <w:link w:val="EncabezadoCar"/>
    <w:uiPriority w:val="99"/>
    <w:unhideWhenUsed/>
    <w:rsid w:val="00A95A51"/>
    <w:pPr>
      <w:tabs>
        <w:tab w:val="center" w:pos="4419"/>
        <w:tab w:val="right" w:pos="8838"/>
      </w:tabs>
    </w:pPr>
  </w:style>
  <w:style w:type="character" w:customStyle="1" w:styleId="EncabezadoCar">
    <w:name w:val="Encabezado Car"/>
    <w:basedOn w:val="Fuentedeprrafopredeter"/>
    <w:link w:val="Encabezado"/>
    <w:uiPriority w:val="99"/>
    <w:rsid w:val="00A95A51"/>
  </w:style>
  <w:style w:type="paragraph" w:styleId="Piedepgina">
    <w:name w:val="footer"/>
    <w:basedOn w:val="Normal"/>
    <w:link w:val="PiedepginaCar"/>
    <w:uiPriority w:val="99"/>
    <w:unhideWhenUsed/>
    <w:rsid w:val="00A95A51"/>
    <w:pPr>
      <w:tabs>
        <w:tab w:val="center" w:pos="4419"/>
        <w:tab w:val="right" w:pos="8838"/>
      </w:tabs>
    </w:pPr>
  </w:style>
  <w:style w:type="character" w:customStyle="1" w:styleId="PiedepginaCar">
    <w:name w:val="Pie de página Car"/>
    <w:basedOn w:val="Fuentedeprrafopredeter"/>
    <w:link w:val="Piedepgina"/>
    <w:uiPriority w:val="99"/>
    <w:rsid w:val="00A95A51"/>
  </w:style>
  <w:style w:type="character" w:styleId="Hipervnculo">
    <w:name w:val="Hyperlink"/>
    <w:basedOn w:val="Fuentedeprrafopredeter"/>
    <w:uiPriority w:val="99"/>
    <w:unhideWhenUsed/>
    <w:rsid w:val="00B008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92539"/>
    <w:pPr>
      <w:ind w:left="720"/>
      <w:contextualSpacing/>
    </w:pPr>
  </w:style>
  <w:style w:type="paragraph" w:styleId="Sinespaciado">
    <w:name w:val="No Spacing"/>
    <w:aliases w:val="Francesa"/>
    <w:link w:val="SinespaciadoCar"/>
    <w:uiPriority w:val="1"/>
    <w:qFormat/>
    <w:rsid w:val="007472C8"/>
    <w:rPr>
      <w:rFonts w:asciiTheme="minorHAnsi" w:eastAsiaTheme="minorHAnsi" w:hAnsiTheme="minorHAnsi" w:cstheme="minorBidi"/>
      <w:sz w:val="22"/>
      <w:szCs w:val="22"/>
      <w:lang w:val="es-MX" w:eastAsia="en-US"/>
    </w:rPr>
  </w:style>
  <w:style w:type="character" w:customStyle="1" w:styleId="SinespaciadoCar">
    <w:name w:val="Sin espaciado Car"/>
    <w:aliases w:val="Francesa Car"/>
    <w:link w:val="Sinespaciado"/>
    <w:uiPriority w:val="1"/>
    <w:locked/>
    <w:rsid w:val="007472C8"/>
    <w:rPr>
      <w:rFonts w:asciiTheme="minorHAnsi" w:eastAsiaTheme="minorHAnsi" w:hAnsiTheme="minorHAnsi" w:cstheme="minorBidi"/>
      <w:sz w:val="22"/>
      <w:szCs w:val="22"/>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2169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2169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2169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1F2A"/>
  </w:style>
  <w:style w:type="table" w:styleId="Tablaconcuadrcula">
    <w:name w:val="Table Grid"/>
    <w:basedOn w:val="Tablanormal"/>
    <w:uiPriority w:val="59"/>
    <w:rsid w:val="002A634B"/>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A4020B"/>
    <w:pPr>
      <w:spacing w:before="100" w:beforeAutospacing="1" w:after="100" w:afterAutospacing="1"/>
    </w:pPr>
    <w:rPr>
      <w:lang w:val="es-MX"/>
    </w:rPr>
  </w:style>
  <w:style w:type="paragraph" w:customStyle="1" w:styleId="Default">
    <w:name w:val="Default"/>
    <w:rsid w:val="007C4F41"/>
    <w:pPr>
      <w:autoSpaceDE w:val="0"/>
      <w:autoSpaceDN w:val="0"/>
      <w:adjustRightInd w:val="0"/>
      <w:spacing w:after="160" w:line="259" w:lineRule="auto"/>
    </w:pPr>
    <w:rPr>
      <w:rFonts w:ascii="Arial" w:eastAsiaTheme="minorHAnsi" w:hAnsi="Arial" w:cs="Arial"/>
      <w:color w:val="000000"/>
      <w:sz w:val="22"/>
      <w:szCs w:val="22"/>
      <w:lang w:val="es-MX" w:eastAsia="en-US"/>
    </w:rPr>
  </w:style>
  <w:style w:type="character" w:styleId="Textoennegrita">
    <w:name w:val="Strong"/>
    <w:basedOn w:val="Fuentedeprrafopredeter"/>
    <w:uiPriority w:val="22"/>
    <w:qFormat/>
    <w:rsid w:val="007C4F41"/>
    <w:rPr>
      <w:b/>
      <w:bCs/>
      <w:color w:val="auto"/>
    </w:rPr>
  </w:style>
  <w:style w:type="character" w:customStyle="1" w:styleId="Mencinsinresolver1">
    <w:name w:val="Mención sin resolver1"/>
    <w:basedOn w:val="Fuentedeprrafopredeter"/>
    <w:uiPriority w:val="99"/>
    <w:semiHidden/>
    <w:unhideWhenUsed/>
    <w:rsid w:val="009835C6"/>
    <w:rPr>
      <w:color w:val="605E5C"/>
      <w:shd w:val="clear" w:color="auto" w:fill="E1DFDD"/>
    </w:rPr>
  </w:style>
  <w:style w:type="character" w:customStyle="1" w:styleId="nacep">
    <w:name w:val="n_acep"/>
    <w:basedOn w:val="Fuentedeprrafopredeter"/>
    <w:rsid w:val="00AB591C"/>
  </w:style>
  <w:style w:type="character" w:customStyle="1" w:styleId="normaltextrun">
    <w:name w:val="normaltextrun"/>
    <w:basedOn w:val="Fuentedeprrafopredeter"/>
    <w:rsid w:val="002D364F"/>
  </w:style>
  <w:style w:type="character" w:customStyle="1" w:styleId="apple-converted-space">
    <w:name w:val="apple-converted-space"/>
    <w:basedOn w:val="Fuentedeprrafopredeter"/>
    <w:rsid w:val="002D364F"/>
  </w:style>
  <w:style w:type="paragraph" w:styleId="Textoindependiente">
    <w:name w:val="Body Text"/>
    <w:basedOn w:val="Normal"/>
    <w:link w:val="TextoindependienteCar"/>
    <w:uiPriority w:val="1"/>
    <w:unhideWhenUsed/>
    <w:qFormat/>
    <w:rsid w:val="004F0B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4F0B93"/>
    <w:rPr>
      <w:rFonts w:eastAsiaTheme="minorHAnsi"/>
      <w:sz w:val="23"/>
      <w:szCs w:val="23"/>
      <w:lang w:val="es-MX" w:eastAsia="en-US"/>
    </w:rPr>
  </w:style>
  <w:style w:type="paragraph" w:styleId="NormalWeb">
    <w:name w:val="Normal (Web)"/>
    <w:basedOn w:val="Normal"/>
    <w:uiPriority w:val="99"/>
    <w:unhideWhenUsed/>
    <w:rsid w:val="00DE4C12"/>
    <w:pPr>
      <w:spacing w:before="100" w:beforeAutospacing="1" w:after="100" w:afterAutospacing="1"/>
    </w:pPr>
    <w:rPr>
      <w:lang w:val="es-MX"/>
    </w:rPr>
  </w:style>
  <w:style w:type="character" w:customStyle="1" w:styleId="apple-style-span">
    <w:name w:val="apple-style-span"/>
    <w:rsid w:val="00D84BDB"/>
  </w:style>
  <w:style w:type="character" w:styleId="Hipervnculovisitado">
    <w:name w:val="FollowedHyperlink"/>
    <w:basedOn w:val="Fuentedeprrafopredeter"/>
    <w:uiPriority w:val="99"/>
    <w:semiHidden/>
    <w:unhideWhenUsed/>
    <w:rsid w:val="00E56E50"/>
    <w:rPr>
      <w:color w:val="800080" w:themeColor="followedHyperlink"/>
      <w:u w:val="single"/>
    </w:rPr>
  </w:style>
  <w:style w:type="table" w:styleId="Cuadrculadetablaclara">
    <w:name w:val="Grid Table Light"/>
    <w:basedOn w:val="Tablanormal"/>
    <w:uiPriority w:val="40"/>
    <w:rsid w:val="008C467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1clara">
    <w:name w:val="Grid Table 1 Light"/>
    <w:basedOn w:val="Tablanormal"/>
    <w:uiPriority w:val="46"/>
    <w:rsid w:val="00B932D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932D2"/>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B932D2"/>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3-nfasis5">
    <w:name w:val="Grid Table 3 Accent 5"/>
    <w:basedOn w:val="Tablanormal"/>
    <w:uiPriority w:val="48"/>
    <w:rsid w:val="00B932D2"/>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3-nfasis4">
    <w:name w:val="Grid Table 3 Accent 4"/>
    <w:basedOn w:val="Tablanormal"/>
    <w:uiPriority w:val="48"/>
    <w:rsid w:val="00B932D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decuadrcula3">
    <w:name w:val="Grid Table 3"/>
    <w:basedOn w:val="Tablanormal"/>
    <w:uiPriority w:val="48"/>
    <w:rsid w:val="00B932D2"/>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5oscura-nfasis5">
    <w:name w:val="Grid Table 5 Dark Accent 5"/>
    <w:basedOn w:val="Tablanormal"/>
    <w:uiPriority w:val="50"/>
    <w:rsid w:val="00B932D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5oscura">
    <w:name w:val="Grid Table 5 Dark"/>
    <w:basedOn w:val="Tablanormal"/>
    <w:uiPriority w:val="50"/>
    <w:rsid w:val="00B932D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7concolores-nfasis5">
    <w:name w:val="List Table 7 Colorful Accent 5"/>
    <w:basedOn w:val="Tablanormal"/>
    <w:uiPriority w:val="52"/>
    <w:rsid w:val="00B932D2"/>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B932D2"/>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B932D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7">
    <w:basedOn w:val="TableNormal0"/>
    <w:rPr>
      <w:rFonts w:ascii="Cambria" w:eastAsia="Cambria" w:hAnsi="Cambria" w:cs="Cambria"/>
      <w:color w:val="000000"/>
    </w:rPr>
    <w:tblPr>
      <w:tblStyleRowBandSize w:val="1"/>
      <w:tblStyleColBandSize w:val="1"/>
      <w:tblCellMar>
        <w:top w:w="0" w:type="dxa"/>
        <w:left w:w="108" w:type="dxa"/>
        <w:bottom w:w="0" w:type="dxa"/>
        <w:right w:w="108" w:type="dxa"/>
      </w:tblCellMar>
    </w:tblPr>
    <w:tcPr>
      <w:shd w:val="clear" w:color="auto" w:fill="CCCCCC"/>
    </w:tc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gnameA5BOKbBjThiIpKsg5BuNg==">AMUW2mX/xwvqnulP0+HI92NqGUEB/6/6U2V5s0xzPJlg36pDRjzTo0jwQOc7kA7ECl8EdiQGf8mgYSGpXzeiJ/MXjCcHx7WJNr6kx+ZKlEDJCU4Bq8MNqi5yPr10/WW/wZttZF7wZr5T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8543</Words>
  <Characters>46989</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dcterms:created xsi:type="dcterms:W3CDTF">2022-04-04T22:54:00Z</dcterms:created>
  <dcterms:modified xsi:type="dcterms:W3CDTF">2022-04-04T22:54:00Z</dcterms:modified>
</cp:coreProperties>
</file>