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9D33C" w14:textId="5213F67E" w:rsidR="008F4B45" w:rsidRPr="00033B8E" w:rsidRDefault="008F4B45" w:rsidP="00CD7DE8">
      <w:pPr>
        <w:spacing w:line="360" w:lineRule="auto"/>
        <w:contextualSpacing/>
        <w:jc w:val="both"/>
        <w:rPr>
          <w:rFonts w:ascii="Palatino Linotype" w:hAnsi="Palatino Linotype"/>
          <w:noProof/>
          <w:sz w:val="22"/>
          <w:szCs w:val="22"/>
          <w:lang w:val="es-ES"/>
        </w:rPr>
      </w:pPr>
      <w:r w:rsidRPr="00033B8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504D3C">
        <w:rPr>
          <w:rFonts w:ascii="Palatino Linotype" w:hAnsi="Palatino Linotype" w:cs="Tahoma"/>
          <w:bCs/>
          <w:sz w:val="22"/>
          <w:szCs w:val="22"/>
        </w:rPr>
        <w:t>cuatro</w:t>
      </w:r>
      <w:r w:rsidR="00055782">
        <w:rPr>
          <w:rFonts w:ascii="Palatino Linotype" w:hAnsi="Palatino Linotype" w:cs="Tahoma"/>
          <w:bCs/>
          <w:sz w:val="22"/>
          <w:szCs w:val="22"/>
        </w:rPr>
        <w:t xml:space="preserve"> de febrero</w:t>
      </w:r>
      <w:r w:rsidR="00440331">
        <w:rPr>
          <w:rFonts w:ascii="Palatino Linotype" w:hAnsi="Palatino Linotype" w:cs="Tahoma"/>
          <w:bCs/>
          <w:sz w:val="22"/>
          <w:szCs w:val="22"/>
        </w:rPr>
        <w:t xml:space="preserve"> de dos mil veintidós</w:t>
      </w:r>
      <w:r w:rsidR="00B014BD" w:rsidRPr="00033B8E">
        <w:rPr>
          <w:rFonts w:ascii="Palatino Linotype" w:hAnsi="Palatino Linotype" w:cs="Tahoma"/>
          <w:bCs/>
          <w:sz w:val="22"/>
          <w:szCs w:val="22"/>
        </w:rPr>
        <w:t>.</w:t>
      </w:r>
    </w:p>
    <w:p w14:paraId="0A896D68" w14:textId="77777777" w:rsidR="008F4B45" w:rsidRPr="00033B8E" w:rsidRDefault="008F4B45" w:rsidP="00CD7DE8">
      <w:pPr>
        <w:spacing w:line="360" w:lineRule="auto"/>
        <w:contextualSpacing/>
        <w:jc w:val="both"/>
        <w:rPr>
          <w:rFonts w:ascii="Palatino Linotype" w:hAnsi="Palatino Linotype"/>
          <w:noProof/>
          <w:sz w:val="22"/>
          <w:szCs w:val="22"/>
          <w:lang w:val="es-ES"/>
        </w:rPr>
      </w:pPr>
    </w:p>
    <w:p w14:paraId="1801C976" w14:textId="58570E7B" w:rsidR="00B67D24" w:rsidRPr="00033B8E" w:rsidRDefault="00B67D24" w:rsidP="00CD7DE8">
      <w:pPr>
        <w:spacing w:line="360" w:lineRule="auto"/>
        <w:contextualSpacing/>
        <w:jc w:val="both"/>
        <w:rPr>
          <w:rFonts w:ascii="Palatino Linotype" w:hAnsi="Palatino Linotype" w:cs="Tahoma"/>
          <w:bCs/>
          <w:color w:val="0D0D0D" w:themeColor="text1" w:themeTint="F2"/>
          <w:sz w:val="22"/>
          <w:szCs w:val="22"/>
        </w:rPr>
      </w:pPr>
      <w:r w:rsidRPr="00033B8E">
        <w:rPr>
          <w:rFonts w:ascii="Palatino Linotype" w:hAnsi="Palatino Linotype" w:cs="Tahoma"/>
          <w:b/>
          <w:bCs/>
          <w:color w:val="0D0D0D" w:themeColor="text1" w:themeTint="F2"/>
          <w:sz w:val="22"/>
          <w:szCs w:val="22"/>
        </w:rPr>
        <w:t>VISTO</w:t>
      </w:r>
      <w:r w:rsidRPr="00033B8E">
        <w:rPr>
          <w:rFonts w:ascii="Palatino Linotype" w:hAnsi="Palatino Linotype" w:cs="Tahoma"/>
          <w:bCs/>
          <w:color w:val="0D0D0D" w:themeColor="text1" w:themeTint="F2"/>
          <w:sz w:val="22"/>
          <w:szCs w:val="22"/>
        </w:rPr>
        <w:t xml:space="preserve"> </w:t>
      </w:r>
      <w:r w:rsidR="009F789C">
        <w:rPr>
          <w:rFonts w:ascii="Palatino Linotype" w:hAnsi="Palatino Linotype" w:cs="Tahoma"/>
          <w:bCs/>
          <w:color w:val="0D0D0D" w:themeColor="text1" w:themeTint="F2"/>
          <w:sz w:val="22"/>
          <w:szCs w:val="22"/>
        </w:rPr>
        <w:t>el</w:t>
      </w:r>
      <w:r w:rsidRPr="00033B8E">
        <w:rPr>
          <w:rFonts w:ascii="Palatino Linotype" w:hAnsi="Palatino Linotype" w:cs="Tahoma"/>
          <w:bCs/>
          <w:color w:val="0D0D0D" w:themeColor="text1" w:themeTint="F2"/>
          <w:sz w:val="22"/>
          <w:szCs w:val="22"/>
        </w:rPr>
        <w:t xml:space="preserve"> expediente conformado con motivo de</w:t>
      </w:r>
      <w:r w:rsidR="009F789C">
        <w:rPr>
          <w:rFonts w:ascii="Palatino Linotype" w:hAnsi="Palatino Linotype" w:cs="Tahoma"/>
          <w:bCs/>
          <w:color w:val="0D0D0D" w:themeColor="text1" w:themeTint="F2"/>
          <w:sz w:val="22"/>
          <w:szCs w:val="22"/>
        </w:rPr>
        <w:t>l</w:t>
      </w:r>
      <w:r w:rsidRPr="00033B8E">
        <w:rPr>
          <w:rFonts w:ascii="Palatino Linotype" w:hAnsi="Palatino Linotype" w:cs="Tahoma"/>
          <w:bCs/>
          <w:color w:val="0D0D0D" w:themeColor="text1" w:themeTint="F2"/>
          <w:sz w:val="22"/>
          <w:szCs w:val="22"/>
        </w:rPr>
        <w:t xml:space="preserve"> Recurso de Revisión </w:t>
      </w:r>
      <w:r w:rsidR="005E15BB">
        <w:rPr>
          <w:rFonts w:ascii="Palatino Linotype" w:eastAsia="Calibri" w:hAnsi="Palatino Linotype" w:cs="Tahoma"/>
          <w:sz w:val="22"/>
          <w:szCs w:val="22"/>
          <w:lang w:eastAsia="en-US"/>
        </w:rPr>
        <w:t>0</w:t>
      </w:r>
      <w:r w:rsidR="00293150">
        <w:rPr>
          <w:rFonts w:ascii="Palatino Linotype" w:eastAsia="Calibri" w:hAnsi="Palatino Linotype" w:cs="Tahoma"/>
          <w:sz w:val="22"/>
          <w:szCs w:val="22"/>
          <w:lang w:eastAsia="en-US"/>
        </w:rPr>
        <w:t>5411</w:t>
      </w:r>
      <w:r w:rsidR="005E15BB">
        <w:rPr>
          <w:rFonts w:ascii="Palatino Linotype" w:eastAsia="Calibri" w:hAnsi="Palatino Linotype" w:cs="Tahoma"/>
          <w:sz w:val="22"/>
          <w:szCs w:val="22"/>
          <w:lang w:eastAsia="en-US"/>
        </w:rPr>
        <w:t>/INFOEM/IP/RR/2021</w:t>
      </w:r>
      <w:r w:rsidR="00F77239">
        <w:rPr>
          <w:rFonts w:ascii="Palatino Linotype" w:eastAsia="Calibri" w:hAnsi="Palatino Linotype" w:cs="Tahoma"/>
          <w:sz w:val="22"/>
          <w:szCs w:val="22"/>
          <w:lang w:eastAsia="en-US"/>
        </w:rPr>
        <w:t xml:space="preserve"> </w:t>
      </w:r>
      <w:r w:rsidRPr="00033B8E">
        <w:rPr>
          <w:rFonts w:ascii="Palatino Linotype" w:hAnsi="Palatino Linotype" w:cs="Tahoma"/>
          <w:color w:val="0D0D0D" w:themeColor="text1" w:themeTint="F2"/>
          <w:sz w:val="22"/>
          <w:szCs w:val="22"/>
        </w:rPr>
        <w:t>interpuesto por</w:t>
      </w:r>
      <w:r w:rsidRPr="00033B8E">
        <w:rPr>
          <w:rFonts w:ascii="Palatino Linotype" w:eastAsia="Calibri" w:hAnsi="Palatino Linotype" w:cs="Tahoma"/>
          <w:sz w:val="22"/>
          <w:szCs w:val="22"/>
          <w:lang w:eastAsia="en-US"/>
        </w:rPr>
        <w:t xml:space="preserve"> </w:t>
      </w:r>
      <w:r w:rsidR="00293150">
        <w:rPr>
          <w:rFonts w:ascii="Palatino Linotype" w:eastAsia="Calibri" w:hAnsi="Palatino Linotype" w:cs="Tahoma"/>
          <w:sz w:val="22"/>
          <w:szCs w:val="22"/>
          <w:lang w:eastAsia="en-US"/>
        </w:rPr>
        <w:t>el</w:t>
      </w:r>
      <w:r w:rsidRPr="00033B8E">
        <w:rPr>
          <w:rFonts w:ascii="Palatino Linotype" w:hAnsi="Palatino Linotype" w:cs="Tahoma"/>
          <w:color w:val="0D0D0D" w:themeColor="text1" w:themeTint="F2"/>
          <w:sz w:val="22"/>
          <w:szCs w:val="22"/>
        </w:rPr>
        <w:t xml:space="preserve"> Recurrente o Particular, </w:t>
      </w:r>
      <w:r w:rsidRPr="00033B8E">
        <w:rPr>
          <w:rFonts w:ascii="Palatino Linotype" w:eastAsia="Calibri" w:hAnsi="Palatino Linotype" w:cs="Tahoma"/>
          <w:sz w:val="22"/>
          <w:szCs w:val="22"/>
          <w:lang w:val="es-ES" w:eastAsia="en-US"/>
        </w:rPr>
        <w:t xml:space="preserve">en contra de la respuesta del Sujeto Obligado, </w:t>
      </w:r>
      <w:r w:rsidR="0097466F" w:rsidRPr="0097466F">
        <w:rPr>
          <w:rFonts w:ascii="Palatino Linotype" w:eastAsia="Calibri" w:hAnsi="Palatino Linotype" w:cs="Tahoma"/>
          <w:sz w:val="22"/>
          <w:szCs w:val="22"/>
          <w:lang w:eastAsia="en-US"/>
        </w:rPr>
        <w:t>Instituto de Transparencia, Acceso a la Información Pública y Protección de Datos Personales del Estado de México y Municipios</w:t>
      </w:r>
      <w:r w:rsidR="00F77239">
        <w:rPr>
          <w:rFonts w:ascii="Palatino Linotype" w:eastAsia="Calibri" w:hAnsi="Palatino Linotype" w:cs="Tahoma"/>
          <w:sz w:val="22"/>
          <w:szCs w:val="22"/>
          <w:lang w:val="es-ES" w:eastAsia="en-US"/>
        </w:rPr>
        <w:t xml:space="preserve">, a la </w:t>
      </w:r>
      <w:r w:rsidR="009F789C">
        <w:rPr>
          <w:rFonts w:ascii="Palatino Linotype" w:eastAsia="Calibri" w:hAnsi="Palatino Linotype" w:cs="Tahoma"/>
          <w:sz w:val="22"/>
          <w:szCs w:val="22"/>
          <w:lang w:val="es-ES" w:eastAsia="en-US"/>
        </w:rPr>
        <w:t>solicitud</w:t>
      </w:r>
      <w:r w:rsidRPr="00033B8E">
        <w:rPr>
          <w:rFonts w:ascii="Palatino Linotype" w:eastAsia="Calibri" w:hAnsi="Palatino Linotype" w:cs="Tahoma"/>
          <w:sz w:val="22"/>
          <w:szCs w:val="22"/>
          <w:lang w:val="es-ES" w:eastAsia="en-US"/>
        </w:rPr>
        <w:t xml:space="preserve"> de acceso a la información pública con número de folio </w:t>
      </w:r>
      <w:r w:rsidR="00293150" w:rsidRPr="00293150">
        <w:rPr>
          <w:rFonts w:ascii="Palatino Linotype" w:eastAsia="Calibri" w:hAnsi="Palatino Linotype" w:cs="Tahoma"/>
          <w:sz w:val="22"/>
          <w:szCs w:val="22"/>
          <w:lang w:eastAsia="en-US"/>
        </w:rPr>
        <w:t>00919/INFOEM/IP/2021</w:t>
      </w:r>
      <w:r w:rsidRPr="00033B8E">
        <w:rPr>
          <w:rFonts w:ascii="Palatino Linotype" w:eastAsia="Calibri" w:hAnsi="Palatino Linotype" w:cs="Tahoma"/>
          <w:sz w:val="22"/>
          <w:szCs w:val="22"/>
          <w:lang w:val="es-ES" w:eastAsia="en-US"/>
        </w:rPr>
        <w:t>, se emite la presente</w:t>
      </w:r>
      <w:r w:rsidRPr="00033B8E">
        <w:rPr>
          <w:rFonts w:ascii="Palatino Linotype" w:eastAsia="Calibri" w:hAnsi="Palatino Linotype" w:cs="Tahoma"/>
          <w:bCs/>
          <w:sz w:val="22"/>
          <w:szCs w:val="22"/>
          <w:lang w:val="es-ES" w:eastAsia="en-US"/>
        </w:rPr>
        <w:t xml:space="preserve"> Resolución, con base en los Antecedentes y Consideraciones que a continuación se exponen:</w:t>
      </w:r>
    </w:p>
    <w:p w14:paraId="4FC0AE1F" w14:textId="546D38B6" w:rsidR="00380A6B" w:rsidRPr="00033B8E" w:rsidRDefault="008F4B45" w:rsidP="00CD7DE8">
      <w:pPr>
        <w:tabs>
          <w:tab w:val="left" w:pos="2835"/>
        </w:tabs>
        <w:spacing w:line="360" w:lineRule="auto"/>
        <w:ind w:right="-93"/>
        <w:contextualSpacing/>
        <w:jc w:val="both"/>
        <w:rPr>
          <w:rFonts w:ascii="Palatino Linotype" w:eastAsia="Calibri" w:hAnsi="Palatino Linotype" w:cs="Tahoma"/>
          <w:b/>
          <w:bCs/>
          <w:sz w:val="22"/>
          <w:szCs w:val="22"/>
          <w:lang w:eastAsia="en-US"/>
        </w:rPr>
      </w:pPr>
      <w:r w:rsidRPr="00033B8E">
        <w:rPr>
          <w:rFonts w:ascii="Palatino Linotype" w:eastAsia="Calibri" w:hAnsi="Palatino Linotype" w:cs="Tahoma"/>
          <w:bCs/>
          <w:sz w:val="22"/>
          <w:szCs w:val="22"/>
          <w:lang w:val="es-ES" w:eastAsia="en-US"/>
        </w:rPr>
        <w:tab/>
      </w:r>
    </w:p>
    <w:p w14:paraId="0394FE27" w14:textId="77777777" w:rsidR="008F4B45" w:rsidRPr="00033B8E" w:rsidRDefault="008F4B45" w:rsidP="00CD7DE8">
      <w:pPr>
        <w:spacing w:line="360" w:lineRule="auto"/>
        <w:ind w:right="-93"/>
        <w:contextualSpacing/>
        <w:jc w:val="center"/>
        <w:rPr>
          <w:rFonts w:ascii="Palatino Linotype" w:eastAsia="Calibri" w:hAnsi="Palatino Linotype" w:cs="Tahoma"/>
          <w:b/>
          <w:bCs/>
          <w:sz w:val="22"/>
          <w:szCs w:val="22"/>
          <w:lang w:eastAsia="en-US"/>
        </w:rPr>
      </w:pPr>
      <w:r w:rsidRPr="00033B8E">
        <w:rPr>
          <w:rFonts w:ascii="Palatino Linotype" w:eastAsia="Calibri" w:hAnsi="Palatino Linotype" w:cs="Tahoma"/>
          <w:b/>
          <w:bCs/>
          <w:sz w:val="22"/>
          <w:szCs w:val="22"/>
          <w:lang w:eastAsia="en-US"/>
        </w:rPr>
        <w:t>A N T E C E D E N T E S:</w:t>
      </w:r>
    </w:p>
    <w:p w14:paraId="05E6C7E8" w14:textId="77777777" w:rsidR="008F4B45" w:rsidRPr="00033B8E" w:rsidRDefault="008F4B45" w:rsidP="00CD7DE8">
      <w:pPr>
        <w:spacing w:line="360" w:lineRule="auto"/>
        <w:ind w:right="-93"/>
        <w:contextualSpacing/>
        <w:jc w:val="both"/>
        <w:rPr>
          <w:rFonts w:ascii="Palatino Linotype" w:eastAsia="Calibri" w:hAnsi="Palatino Linotype" w:cs="Tahoma"/>
          <w:bCs/>
          <w:sz w:val="22"/>
          <w:szCs w:val="22"/>
          <w:lang w:eastAsia="en-US"/>
        </w:rPr>
      </w:pPr>
    </w:p>
    <w:p w14:paraId="018FC96E" w14:textId="35301E94" w:rsidR="008F4B45" w:rsidRPr="00033B8E" w:rsidRDefault="008F4B45" w:rsidP="00CD7DE8">
      <w:pPr>
        <w:spacing w:line="360" w:lineRule="auto"/>
        <w:contextualSpacing/>
        <w:jc w:val="both"/>
        <w:rPr>
          <w:rFonts w:ascii="Palatino Linotype" w:eastAsia="Calibri" w:hAnsi="Palatino Linotype" w:cs="Tahoma"/>
          <w:b/>
          <w:bCs/>
          <w:sz w:val="22"/>
          <w:szCs w:val="22"/>
          <w:lang w:eastAsia="en-US"/>
        </w:rPr>
      </w:pPr>
      <w:r w:rsidRPr="00033B8E">
        <w:rPr>
          <w:rFonts w:ascii="Palatino Linotype" w:eastAsia="Calibri" w:hAnsi="Palatino Linotype" w:cs="Tahoma"/>
          <w:b/>
          <w:bCs/>
          <w:sz w:val="22"/>
          <w:szCs w:val="22"/>
          <w:lang w:eastAsia="en-US"/>
        </w:rPr>
        <w:t xml:space="preserve">I. Presentación de la solicitud de información. </w:t>
      </w:r>
    </w:p>
    <w:p w14:paraId="59E5F325" w14:textId="77777777" w:rsidR="00316AB7" w:rsidRPr="00033B8E" w:rsidRDefault="00316AB7" w:rsidP="00CD7DE8">
      <w:pPr>
        <w:autoSpaceDE w:val="0"/>
        <w:autoSpaceDN w:val="0"/>
        <w:adjustRightInd w:val="0"/>
        <w:spacing w:line="360" w:lineRule="auto"/>
        <w:jc w:val="both"/>
        <w:rPr>
          <w:rFonts w:ascii="Palatino Linotype" w:hAnsi="Palatino Linotype" w:cs="Tahoma"/>
          <w:sz w:val="22"/>
          <w:szCs w:val="22"/>
        </w:rPr>
      </w:pPr>
    </w:p>
    <w:p w14:paraId="21B68177" w14:textId="34CFE4C6" w:rsidR="008F4B45" w:rsidRPr="00033B8E" w:rsidRDefault="00316AB7" w:rsidP="00CD7DE8">
      <w:pPr>
        <w:autoSpaceDE w:val="0"/>
        <w:autoSpaceDN w:val="0"/>
        <w:adjustRightInd w:val="0"/>
        <w:spacing w:line="360" w:lineRule="auto"/>
        <w:jc w:val="both"/>
        <w:rPr>
          <w:rFonts w:ascii="Palatino Linotype" w:eastAsia="Calibri" w:hAnsi="Palatino Linotype" w:cs="Tahoma"/>
          <w:bCs/>
          <w:sz w:val="22"/>
          <w:szCs w:val="22"/>
          <w:lang w:eastAsia="en-US"/>
        </w:rPr>
      </w:pPr>
      <w:r w:rsidRPr="00033B8E">
        <w:rPr>
          <w:rFonts w:ascii="Palatino Linotype" w:hAnsi="Palatino Linotype" w:cs="Tahoma"/>
          <w:sz w:val="22"/>
          <w:szCs w:val="22"/>
        </w:rPr>
        <w:t xml:space="preserve">Con fecha </w:t>
      </w:r>
      <w:r w:rsidR="00293150">
        <w:rPr>
          <w:rFonts w:ascii="Palatino Linotype" w:hAnsi="Palatino Linotype" w:cs="Tahoma"/>
          <w:sz w:val="22"/>
          <w:szCs w:val="22"/>
        </w:rPr>
        <w:t>veintiuno</w:t>
      </w:r>
      <w:r w:rsidR="00345BE7">
        <w:rPr>
          <w:rFonts w:ascii="Palatino Linotype" w:hAnsi="Palatino Linotype" w:cs="Tahoma"/>
          <w:sz w:val="22"/>
          <w:szCs w:val="22"/>
        </w:rPr>
        <w:t xml:space="preserve"> de octubre</w:t>
      </w:r>
      <w:r w:rsidR="005E15BB">
        <w:rPr>
          <w:rFonts w:ascii="Palatino Linotype" w:hAnsi="Palatino Linotype" w:cs="Tahoma"/>
          <w:sz w:val="22"/>
          <w:szCs w:val="22"/>
        </w:rPr>
        <w:t xml:space="preserve"> de dos mil veintiuno</w:t>
      </w:r>
      <w:r w:rsidRPr="00033B8E">
        <w:rPr>
          <w:rFonts w:ascii="Palatino Linotype" w:hAnsi="Palatino Linotype" w:cs="Tahoma"/>
          <w:sz w:val="22"/>
          <w:szCs w:val="22"/>
        </w:rPr>
        <w:t xml:space="preserve">, </w:t>
      </w:r>
      <w:r w:rsidR="005E15BB">
        <w:rPr>
          <w:rFonts w:ascii="Palatino Linotype" w:hAnsi="Palatino Linotype" w:cs="Tahoma"/>
          <w:sz w:val="22"/>
          <w:szCs w:val="22"/>
        </w:rPr>
        <w:t>el</w:t>
      </w:r>
      <w:r w:rsidRPr="00033B8E">
        <w:rPr>
          <w:rFonts w:ascii="Palatino Linotype" w:hAnsi="Palatino Linotype" w:cs="Tahoma"/>
          <w:sz w:val="22"/>
          <w:szCs w:val="22"/>
        </w:rPr>
        <w:t xml:space="preserve"> Particular presentó </w:t>
      </w:r>
      <w:r w:rsidR="0026006C">
        <w:rPr>
          <w:rFonts w:ascii="Palatino Linotype" w:hAnsi="Palatino Linotype" w:cs="Tahoma"/>
          <w:sz w:val="22"/>
          <w:szCs w:val="22"/>
        </w:rPr>
        <w:t xml:space="preserve">una </w:t>
      </w:r>
      <w:r w:rsidRPr="00033B8E">
        <w:rPr>
          <w:rFonts w:ascii="Palatino Linotype" w:hAnsi="Palatino Linotype" w:cs="Tahoma"/>
          <w:sz w:val="22"/>
          <w:szCs w:val="22"/>
        </w:rPr>
        <w:t xml:space="preserve">solicitud de acceso a la información pública, a través del Sistema de Acceso a la Información Mexiquense (SAIMEX), ante el </w:t>
      </w:r>
      <w:r w:rsidR="00345BE7" w:rsidRPr="00345BE7">
        <w:rPr>
          <w:rFonts w:ascii="Palatino Linotype" w:hAnsi="Palatino Linotype" w:cs="Tahoma"/>
          <w:bCs/>
          <w:sz w:val="22"/>
          <w:szCs w:val="22"/>
        </w:rPr>
        <w:t>Instituto de Transparencia, Acceso a la Información Pública y Protección de Datos Personales del Estado de México y Municipios</w:t>
      </w:r>
      <w:r w:rsidR="007810CC" w:rsidRPr="00033B8E">
        <w:rPr>
          <w:rFonts w:ascii="Palatino Linotype" w:hAnsi="Palatino Linotype" w:cs="Tahoma"/>
          <w:bCs/>
          <w:sz w:val="22"/>
          <w:szCs w:val="22"/>
        </w:rPr>
        <w:t xml:space="preserve">, </w:t>
      </w:r>
      <w:r w:rsidR="00D3618F" w:rsidRPr="00033B8E">
        <w:rPr>
          <w:rFonts w:ascii="Palatino Linotype" w:eastAsia="Calibri" w:hAnsi="Palatino Linotype" w:cs="Tahoma"/>
          <w:bCs/>
          <w:sz w:val="22"/>
          <w:szCs w:val="22"/>
          <w:lang w:eastAsia="en-US"/>
        </w:rPr>
        <w:t>en</w:t>
      </w:r>
      <w:r w:rsidR="008F4B45" w:rsidRPr="00033B8E">
        <w:rPr>
          <w:rFonts w:ascii="Palatino Linotype" w:eastAsia="Calibri" w:hAnsi="Palatino Linotype" w:cs="Tahoma"/>
          <w:bCs/>
          <w:sz w:val="22"/>
          <w:szCs w:val="22"/>
          <w:lang w:eastAsia="en-US"/>
        </w:rPr>
        <w:t xml:space="preserve"> la cual requirió lo siguiente:</w:t>
      </w:r>
    </w:p>
    <w:p w14:paraId="4F3B7FD1" w14:textId="77777777" w:rsidR="009F789C" w:rsidRDefault="009F789C" w:rsidP="00CD7DE8">
      <w:pPr>
        <w:spacing w:line="360" w:lineRule="auto"/>
        <w:ind w:left="567" w:right="567"/>
        <w:contextualSpacing/>
        <w:jc w:val="both"/>
        <w:rPr>
          <w:rFonts w:ascii="Palatino Linotype" w:hAnsi="Palatino Linotype" w:cs="Tahoma"/>
          <w:b/>
          <w:i/>
          <w:iCs/>
        </w:rPr>
      </w:pPr>
    </w:p>
    <w:p w14:paraId="154A2E5E" w14:textId="55BD037C" w:rsidR="00D3618F" w:rsidRPr="00033B8E" w:rsidRDefault="009F789C" w:rsidP="00CD7DE8">
      <w:pPr>
        <w:spacing w:line="360" w:lineRule="auto"/>
        <w:ind w:left="567" w:right="567"/>
        <w:contextualSpacing/>
        <w:jc w:val="both"/>
        <w:rPr>
          <w:rFonts w:ascii="Palatino Linotype" w:hAnsi="Palatino Linotype" w:cs="Tahoma"/>
          <w:b/>
          <w:i/>
          <w:iCs/>
        </w:rPr>
      </w:pPr>
      <w:r w:rsidRPr="00033B8E">
        <w:rPr>
          <w:rFonts w:ascii="Palatino Linotype" w:hAnsi="Palatino Linotype" w:cs="Tahoma"/>
          <w:b/>
          <w:i/>
          <w:iCs/>
        </w:rPr>
        <w:t xml:space="preserve"> </w:t>
      </w:r>
      <w:r w:rsidR="00D3618F" w:rsidRPr="00033B8E">
        <w:rPr>
          <w:rFonts w:ascii="Palatino Linotype" w:hAnsi="Palatino Linotype" w:cs="Tahoma"/>
          <w:b/>
          <w:i/>
          <w:iCs/>
        </w:rPr>
        <w:t>“DESCRIPCIÓN CLARA Y PRECISA DE LA INFORMACIÓN SOLICITADA</w:t>
      </w:r>
    </w:p>
    <w:p w14:paraId="39A7FD48" w14:textId="664C78A1" w:rsidR="00D3618F" w:rsidRPr="00033B8E" w:rsidRDefault="00293150" w:rsidP="00CD7DE8">
      <w:pPr>
        <w:widowControl w:val="0"/>
        <w:spacing w:line="360" w:lineRule="auto"/>
        <w:ind w:left="567" w:right="567"/>
        <w:contextualSpacing/>
        <w:jc w:val="both"/>
        <w:rPr>
          <w:rFonts w:ascii="Palatino Linotype" w:hAnsi="Palatino Linotype"/>
          <w:bCs/>
          <w:i/>
          <w:iCs/>
          <w:color w:val="000000"/>
        </w:rPr>
      </w:pPr>
      <w:r w:rsidRPr="00293150">
        <w:rPr>
          <w:rFonts w:ascii="Palatino Linotype" w:hAnsi="Palatino Linotype"/>
          <w:bCs/>
          <w:i/>
          <w:iCs/>
          <w:color w:val="000000"/>
        </w:rPr>
        <w:t>solicito se me proporcione copia de las declaraciones patrimoniales por alta, modificación anual y en su caso de baja, de todos los servidores públicos que laboran o han laborado en la Contraloría interna del Infoem, desde el año 2015 al 2021 en la fecha actual</w:t>
      </w:r>
      <w:r w:rsidR="00D3618F" w:rsidRPr="00033B8E">
        <w:rPr>
          <w:rFonts w:ascii="Palatino Linotype" w:hAnsi="Palatino Linotype"/>
          <w:bCs/>
          <w:i/>
          <w:iCs/>
          <w:color w:val="000000"/>
        </w:rPr>
        <w:t>” (sic.)</w:t>
      </w:r>
    </w:p>
    <w:p w14:paraId="2ADB8DF1" w14:textId="268845D7" w:rsidR="00D3618F" w:rsidRPr="00033B8E" w:rsidRDefault="00D3618F" w:rsidP="00CD7DE8">
      <w:pPr>
        <w:tabs>
          <w:tab w:val="left" w:pos="4667"/>
        </w:tabs>
        <w:spacing w:line="360" w:lineRule="auto"/>
        <w:ind w:left="567"/>
        <w:jc w:val="both"/>
        <w:rPr>
          <w:rFonts w:ascii="Palatino Linotype" w:hAnsi="Palatino Linotype" w:cs="Tahoma"/>
          <w:b/>
          <w:bCs/>
          <w:i/>
        </w:rPr>
      </w:pPr>
      <w:r w:rsidRPr="00033B8E">
        <w:rPr>
          <w:rFonts w:ascii="Palatino Linotype" w:hAnsi="Palatino Linotype" w:cs="Tahoma"/>
          <w:b/>
          <w:bCs/>
          <w:i/>
        </w:rPr>
        <w:lastRenderedPageBreak/>
        <w:t xml:space="preserve">“Modalidad de Entrega: </w:t>
      </w:r>
    </w:p>
    <w:p w14:paraId="43E13316" w14:textId="635A176B" w:rsidR="00D3618F" w:rsidRDefault="00D3618F" w:rsidP="00CD7DE8">
      <w:pPr>
        <w:tabs>
          <w:tab w:val="left" w:pos="567"/>
        </w:tabs>
        <w:spacing w:line="360" w:lineRule="auto"/>
        <w:ind w:left="567" w:right="-28"/>
        <w:jc w:val="both"/>
        <w:rPr>
          <w:rFonts w:ascii="Palatino Linotype" w:hAnsi="Palatino Linotype" w:cs="Tahoma"/>
          <w:bCs/>
          <w:i/>
        </w:rPr>
      </w:pPr>
      <w:r w:rsidRPr="00033B8E" w:rsidDel="006544EC">
        <w:rPr>
          <w:rFonts w:ascii="Palatino Linotype" w:hAnsi="Palatino Linotype" w:cs="Tahoma"/>
          <w:b/>
          <w:bCs/>
          <w:i/>
        </w:rPr>
        <w:t xml:space="preserve"> </w:t>
      </w:r>
      <w:r w:rsidRPr="00033B8E">
        <w:rPr>
          <w:rFonts w:ascii="Palatino Linotype" w:hAnsi="Palatino Linotype" w:cs="Tahoma"/>
          <w:bCs/>
          <w:i/>
        </w:rPr>
        <w:t>A través de SAIMEX.”</w:t>
      </w:r>
    </w:p>
    <w:p w14:paraId="124152D8" w14:textId="77777777" w:rsidR="00F61C75" w:rsidRPr="0026006C" w:rsidRDefault="00F61C75" w:rsidP="00CD7DE8">
      <w:pPr>
        <w:tabs>
          <w:tab w:val="left" w:pos="567"/>
        </w:tabs>
        <w:spacing w:line="360" w:lineRule="auto"/>
        <w:ind w:left="567" w:right="-28"/>
        <w:jc w:val="both"/>
        <w:rPr>
          <w:rFonts w:ascii="Palatino Linotype" w:hAnsi="Palatino Linotype" w:cs="Tahoma"/>
          <w:bCs/>
          <w:i/>
          <w:sz w:val="22"/>
          <w:szCs w:val="22"/>
        </w:rPr>
      </w:pPr>
    </w:p>
    <w:p w14:paraId="091A1333" w14:textId="1211F6D3" w:rsidR="008F4B45" w:rsidRDefault="00156E5D" w:rsidP="00CD7DE8">
      <w:pPr>
        <w:pStyle w:val="Prrafodelista"/>
        <w:tabs>
          <w:tab w:val="left" w:pos="567"/>
        </w:tabs>
        <w:spacing w:line="360" w:lineRule="auto"/>
        <w:ind w:left="0"/>
        <w:jc w:val="both"/>
        <w:rPr>
          <w:rFonts w:ascii="Palatino Linotype" w:hAnsi="Palatino Linotype" w:cs="Tahoma"/>
          <w:b/>
          <w:szCs w:val="22"/>
        </w:rPr>
      </w:pPr>
      <w:r w:rsidRPr="00033B8E">
        <w:rPr>
          <w:rFonts w:ascii="Palatino Linotype" w:hAnsi="Palatino Linotype" w:cs="Tahoma"/>
          <w:b/>
          <w:szCs w:val="22"/>
        </w:rPr>
        <w:t xml:space="preserve">II. </w:t>
      </w:r>
      <w:r w:rsidR="008F4B45" w:rsidRPr="00033B8E">
        <w:rPr>
          <w:rFonts w:ascii="Palatino Linotype" w:hAnsi="Palatino Linotype" w:cs="Tahoma"/>
          <w:b/>
          <w:szCs w:val="22"/>
        </w:rPr>
        <w:t>Respuesta del Sujeto Obligado.</w:t>
      </w:r>
    </w:p>
    <w:p w14:paraId="5636B513" w14:textId="77777777" w:rsidR="00AB3B2F" w:rsidRPr="00033B8E" w:rsidRDefault="00AB3B2F" w:rsidP="00CD7DE8">
      <w:pPr>
        <w:pStyle w:val="Prrafodelista"/>
        <w:tabs>
          <w:tab w:val="left" w:pos="567"/>
        </w:tabs>
        <w:spacing w:line="360" w:lineRule="auto"/>
        <w:ind w:left="0"/>
        <w:jc w:val="both"/>
        <w:rPr>
          <w:rFonts w:ascii="Palatino Linotype" w:hAnsi="Palatino Linotype" w:cs="Tahoma"/>
          <w:szCs w:val="22"/>
        </w:rPr>
      </w:pPr>
    </w:p>
    <w:p w14:paraId="65ABD0DD" w14:textId="1B8D2E52" w:rsidR="00F77239" w:rsidRDefault="00F77239" w:rsidP="00CD7DE8">
      <w:pPr>
        <w:autoSpaceDE w:val="0"/>
        <w:autoSpaceDN w:val="0"/>
        <w:adjustRightInd w:val="0"/>
        <w:spacing w:line="360" w:lineRule="auto"/>
        <w:ind w:right="-28"/>
        <w:jc w:val="both"/>
        <w:rPr>
          <w:rFonts w:ascii="Palatino Linotype" w:hAnsi="Palatino Linotype" w:cs="Tahoma"/>
          <w:sz w:val="22"/>
          <w:szCs w:val="22"/>
        </w:rPr>
      </w:pPr>
      <w:r w:rsidRPr="00033B8E">
        <w:rPr>
          <w:rFonts w:ascii="Palatino Linotype" w:hAnsi="Palatino Linotype" w:cs="Tahoma"/>
          <w:bCs/>
          <w:sz w:val="22"/>
          <w:szCs w:val="22"/>
        </w:rPr>
        <w:t xml:space="preserve">Con fecha </w:t>
      </w:r>
      <w:r w:rsidR="00293150">
        <w:rPr>
          <w:rFonts w:ascii="Palatino Linotype" w:hAnsi="Palatino Linotype" w:cs="Tahoma"/>
          <w:bCs/>
          <w:sz w:val="22"/>
          <w:szCs w:val="22"/>
        </w:rPr>
        <w:t>veintiocho</w:t>
      </w:r>
      <w:r w:rsidR="00FA0ACD">
        <w:rPr>
          <w:rFonts w:ascii="Palatino Linotype" w:hAnsi="Palatino Linotype" w:cs="Tahoma"/>
          <w:bCs/>
          <w:sz w:val="22"/>
          <w:szCs w:val="22"/>
        </w:rPr>
        <w:t xml:space="preserve"> de octubre</w:t>
      </w:r>
      <w:r w:rsidRPr="00033B8E">
        <w:rPr>
          <w:rFonts w:ascii="Palatino Linotype" w:hAnsi="Palatino Linotype" w:cs="Tahoma"/>
          <w:bCs/>
          <w:sz w:val="22"/>
          <w:szCs w:val="22"/>
        </w:rPr>
        <w:t xml:space="preserve"> de dos mil veint</w:t>
      </w:r>
      <w:r>
        <w:rPr>
          <w:rFonts w:ascii="Palatino Linotype" w:hAnsi="Palatino Linotype" w:cs="Tahoma"/>
          <w:bCs/>
          <w:sz w:val="22"/>
          <w:szCs w:val="22"/>
        </w:rPr>
        <w:t>iuno</w:t>
      </w:r>
      <w:r w:rsidRPr="00033B8E">
        <w:rPr>
          <w:rFonts w:ascii="Palatino Linotype" w:hAnsi="Palatino Linotype" w:cs="Tahoma"/>
          <w:bCs/>
          <w:sz w:val="22"/>
          <w:szCs w:val="22"/>
        </w:rPr>
        <w:t>, el</w:t>
      </w:r>
      <w:r w:rsidRPr="00033B8E">
        <w:rPr>
          <w:rFonts w:ascii="Palatino Linotype" w:hAnsi="Palatino Linotype" w:cs="Tahoma"/>
          <w:b/>
          <w:sz w:val="22"/>
          <w:szCs w:val="22"/>
        </w:rPr>
        <w:t xml:space="preserve"> </w:t>
      </w:r>
      <w:r w:rsidRPr="00033B8E">
        <w:rPr>
          <w:rFonts w:ascii="Palatino Linotype" w:hAnsi="Palatino Linotype" w:cs="Tahoma"/>
          <w:sz w:val="22"/>
          <w:szCs w:val="22"/>
        </w:rPr>
        <w:t>Sujeto Obligado dio respuesta a la</w:t>
      </w:r>
      <w:r>
        <w:rPr>
          <w:rFonts w:ascii="Palatino Linotype" w:hAnsi="Palatino Linotype" w:cs="Tahoma"/>
          <w:sz w:val="22"/>
          <w:szCs w:val="22"/>
        </w:rPr>
        <w:t xml:space="preserve"> solicitud</w:t>
      </w:r>
      <w:r w:rsidRPr="00033B8E">
        <w:rPr>
          <w:rFonts w:ascii="Palatino Linotype" w:hAnsi="Palatino Linotype" w:cs="Tahoma"/>
          <w:sz w:val="22"/>
          <w:szCs w:val="22"/>
        </w:rPr>
        <w:t xml:space="preserve"> de acceso a la información, a través del Sistema de Acceso a la Información Mexiquense (SAIMEX), </w:t>
      </w:r>
      <w:r w:rsidR="00FA0ACD">
        <w:rPr>
          <w:rFonts w:ascii="Palatino Linotype" w:hAnsi="Palatino Linotype" w:cs="Tahoma"/>
          <w:sz w:val="22"/>
          <w:szCs w:val="22"/>
        </w:rPr>
        <w:t xml:space="preserve">mediante oficio </w:t>
      </w:r>
      <w:r w:rsidR="001F164B">
        <w:rPr>
          <w:rFonts w:ascii="Palatino Linotype" w:hAnsi="Palatino Linotype" w:cs="Tahoma"/>
          <w:sz w:val="22"/>
          <w:szCs w:val="22"/>
        </w:rPr>
        <w:t>INFOEM/UT/5</w:t>
      </w:r>
      <w:r w:rsidR="00293150">
        <w:rPr>
          <w:rFonts w:ascii="Palatino Linotype" w:hAnsi="Palatino Linotype" w:cs="Tahoma"/>
          <w:sz w:val="22"/>
          <w:szCs w:val="22"/>
        </w:rPr>
        <w:t>95</w:t>
      </w:r>
      <w:r w:rsidR="001F164B">
        <w:rPr>
          <w:rFonts w:ascii="Palatino Linotype" w:hAnsi="Palatino Linotype" w:cs="Tahoma"/>
          <w:sz w:val="22"/>
          <w:szCs w:val="22"/>
        </w:rPr>
        <w:t xml:space="preserve">/2021, </w:t>
      </w:r>
      <w:r w:rsidR="00293150">
        <w:rPr>
          <w:rFonts w:ascii="Palatino Linotype" w:hAnsi="Palatino Linotype" w:cs="Tahoma"/>
          <w:sz w:val="22"/>
          <w:szCs w:val="22"/>
        </w:rPr>
        <w:t>de la misma fecha de recepción</w:t>
      </w:r>
      <w:r w:rsidR="001F164B">
        <w:rPr>
          <w:rFonts w:ascii="Palatino Linotype" w:hAnsi="Palatino Linotype" w:cs="Tahoma"/>
          <w:sz w:val="22"/>
          <w:szCs w:val="22"/>
        </w:rPr>
        <w:t xml:space="preserve">, </w:t>
      </w:r>
      <w:r w:rsidR="00DD7075">
        <w:rPr>
          <w:rFonts w:ascii="Palatino Linotype" w:hAnsi="Palatino Linotype" w:cs="Tahoma"/>
          <w:sz w:val="22"/>
          <w:szCs w:val="22"/>
        </w:rPr>
        <w:t xml:space="preserve">suscrito por el Titular de la Unidad de Transparencia y dirigido al Solicitante, </w:t>
      </w:r>
      <w:r w:rsidR="001F164B">
        <w:rPr>
          <w:rFonts w:ascii="Palatino Linotype" w:hAnsi="Palatino Linotype" w:cs="Tahoma"/>
          <w:sz w:val="22"/>
          <w:szCs w:val="22"/>
        </w:rPr>
        <w:t xml:space="preserve"> </w:t>
      </w:r>
      <w:r w:rsidR="00282D99">
        <w:rPr>
          <w:rFonts w:ascii="Palatino Linotype" w:hAnsi="Palatino Linotype" w:cs="Tahoma"/>
          <w:sz w:val="22"/>
          <w:szCs w:val="22"/>
        </w:rPr>
        <w:t xml:space="preserve">por medio del cual entrega la contestación proporcionada por la </w:t>
      </w:r>
      <w:r w:rsidR="00293150">
        <w:rPr>
          <w:rFonts w:ascii="Palatino Linotype" w:hAnsi="Palatino Linotype" w:cs="Tahoma"/>
          <w:sz w:val="22"/>
          <w:szCs w:val="22"/>
        </w:rPr>
        <w:t>Contraloría Interna y Órgano de Control y Vigilancia y la resolución emitida en la Vigésima Sesión Ordinara del Comité de Transparencia</w:t>
      </w:r>
      <w:r w:rsidR="00282D99">
        <w:rPr>
          <w:rFonts w:ascii="Palatino Linotype" w:hAnsi="Palatino Linotype" w:cs="Tahoma"/>
          <w:sz w:val="22"/>
          <w:szCs w:val="22"/>
        </w:rPr>
        <w:t>.</w:t>
      </w:r>
    </w:p>
    <w:p w14:paraId="39052901" w14:textId="77777777" w:rsidR="001F164B" w:rsidRDefault="001F164B" w:rsidP="00CD7DE8">
      <w:pPr>
        <w:autoSpaceDE w:val="0"/>
        <w:autoSpaceDN w:val="0"/>
        <w:adjustRightInd w:val="0"/>
        <w:spacing w:line="360" w:lineRule="auto"/>
        <w:ind w:right="-28"/>
        <w:jc w:val="both"/>
        <w:rPr>
          <w:rFonts w:ascii="Palatino Linotype" w:hAnsi="Palatino Linotype" w:cs="Tahoma"/>
          <w:sz w:val="22"/>
          <w:szCs w:val="22"/>
        </w:rPr>
      </w:pPr>
    </w:p>
    <w:p w14:paraId="28F709C6" w14:textId="50A647A2" w:rsidR="00282D99" w:rsidRDefault="00282D99" w:rsidP="00CD7DE8">
      <w:pPr>
        <w:autoSpaceDE w:val="0"/>
        <w:autoSpaceDN w:val="0"/>
        <w:adjustRightInd w:val="0"/>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El Sujeto Obligado </w:t>
      </w:r>
      <w:r w:rsidR="006E6817">
        <w:rPr>
          <w:rFonts w:ascii="Palatino Linotype" w:hAnsi="Palatino Linotype" w:cs="Tahoma"/>
          <w:sz w:val="22"/>
          <w:szCs w:val="22"/>
        </w:rPr>
        <w:t>adjuntó la digitalización de los siguientes documentos:</w:t>
      </w:r>
    </w:p>
    <w:p w14:paraId="283EA994" w14:textId="77777777" w:rsidR="00282D99" w:rsidRDefault="00282D99" w:rsidP="00CD7DE8">
      <w:pPr>
        <w:autoSpaceDE w:val="0"/>
        <w:autoSpaceDN w:val="0"/>
        <w:adjustRightInd w:val="0"/>
        <w:spacing w:line="360" w:lineRule="auto"/>
        <w:ind w:right="-28"/>
        <w:jc w:val="both"/>
        <w:rPr>
          <w:rFonts w:ascii="Palatino Linotype" w:hAnsi="Palatino Linotype" w:cs="Tahoma"/>
          <w:sz w:val="22"/>
          <w:szCs w:val="22"/>
        </w:rPr>
      </w:pPr>
    </w:p>
    <w:p w14:paraId="1602D9F7" w14:textId="6B9410DE" w:rsidR="001F164B" w:rsidRDefault="001F164B" w:rsidP="00CD7DE8">
      <w:pPr>
        <w:autoSpaceDE w:val="0"/>
        <w:autoSpaceDN w:val="0"/>
        <w:adjustRightInd w:val="0"/>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i) </w:t>
      </w:r>
      <w:r w:rsidR="008C2AD9" w:rsidRPr="008C2AD9">
        <w:rPr>
          <w:rFonts w:ascii="Palatino Linotype" w:hAnsi="Palatino Linotype" w:cs="Tahoma"/>
          <w:sz w:val="22"/>
          <w:szCs w:val="22"/>
        </w:rPr>
        <w:t>Memorándum</w:t>
      </w:r>
      <w:r>
        <w:rPr>
          <w:rFonts w:ascii="Palatino Linotype" w:hAnsi="Palatino Linotype" w:cs="Tahoma"/>
          <w:sz w:val="22"/>
          <w:szCs w:val="22"/>
        </w:rPr>
        <w:t xml:space="preserve"> INFOEM/</w:t>
      </w:r>
      <w:r w:rsidR="0054457A">
        <w:rPr>
          <w:rFonts w:ascii="Palatino Linotype" w:hAnsi="Palatino Linotype" w:cs="Tahoma"/>
          <w:sz w:val="22"/>
          <w:szCs w:val="22"/>
        </w:rPr>
        <w:t>CI-OCV</w:t>
      </w:r>
      <w:r>
        <w:rPr>
          <w:rFonts w:ascii="Palatino Linotype" w:hAnsi="Palatino Linotype" w:cs="Tahoma"/>
          <w:sz w:val="22"/>
          <w:szCs w:val="22"/>
        </w:rPr>
        <w:t>/</w:t>
      </w:r>
      <w:r w:rsidR="0054457A">
        <w:rPr>
          <w:rFonts w:ascii="Palatino Linotype" w:hAnsi="Palatino Linotype" w:cs="Tahoma"/>
          <w:sz w:val="22"/>
          <w:szCs w:val="22"/>
        </w:rPr>
        <w:t>437</w:t>
      </w:r>
      <w:r>
        <w:rPr>
          <w:rFonts w:ascii="Palatino Linotype" w:hAnsi="Palatino Linotype" w:cs="Tahoma"/>
          <w:sz w:val="22"/>
          <w:szCs w:val="22"/>
        </w:rPr>
        <w:t xml:space="preserve">/2021, </w:t>
      </w:r>
      <w:r w:rsidR="006E6817">
        <w:rPr>
          <w:rFonts w:ascii="Palatino Linotype" w:hAnsi="Palatino Linotype" w:cs="Tahoma"/>
          <w:sz w:val="22"/>
          <w:szCs w:val="22"/>
        </w:rPr>
        <w:t>del</w:t>
      </w:r>
      <w:r>
        <w:rPr>
          <w:rFonts w:ascii="Palatino Linotype" w:hAnsi="Palatino Linotype" w:cs="Tahoma"/>
          <w:sz w:val="22"/>
          <w:szCs w:val="22"/>
        </w:rPr>
        <w:t xml:space="preserve"> </w:t>
      </w:r>
      <w:r w:rsidR="0054457A">
        <w:rPr>
          <w:rFonts w:ascii="Palatino Linotype" w:hAnsi="Palatino Linotype" w:cs="Tahoma"/>
          <w:sz w:val="22"/>
          <w:szCs w:val="22"/>
        </w:rPr>
        <w:t>veintiuno</w:t>
      </w:r>
      <w:r>
        <w:rPr>
          <w:rFonts w:ascii="Palatino Linotype" w:hAnsi="Palatino Linotype" w:cs="Tahoma"/>
          <w:sz w:val="22"/>
          <w:szCs w:val="22"/>
        </w:rPr>
        <w:t xml:space="preserve"> de octubre de dos mil veintiuno, signado por el </w:t>
      </w:r>
      <w:r w:rsidR="0054457A">
        <w:rPr>
          <w:rFonts w:ascii="Palatino Linotype" w:hAnsi="Palatino Linotype" w:cs="Tahoma"/>
          <w:sz w:val="22"/>
          <w:szCs w:val="22"/>
        </w:rPr>
        <w:t>Contralor Interno y Titular del Órgano de Control y Vigilancia</w:t>
      </w:r>
      <w:r>
        <w:rPr>
          <w:rFonts w:ascii="Palatino Linotype" w:hAnsi="Palatino Linotype" w:cs="Tahoma"/>
          <w:sz w:val="22"/>
          <w:szCs w:val="22"/>
        </w:rPr>
        <w:t xml:space="preserve"> y dirigido al Titular de la Unidad de Transparencia, en el que señaló </w:t>
      </w:r>
      <w:r w:rsidR="0054457A">
        <w:rPr>
          <w:rFonts w:ascii="Palatino Linotype" w:hAnsi="Palatino Linotype" w:cs="Tahoma"/>
          <w:sz w:val="22"/>
          <w:szCs w:val="22"/>
        </w:rPr>
        <w:t>lo siguiente:</w:t>
      </w:r>
    </w:p>
    <w:p w14:paraId="5E73ACA6" w14:textId="13B3AB31" w:rsidR="0054457A" w:rsidRDefault="0054457A" w:rsidP="00CD7DE8">
      <w:pPr>
        <w:autoSpaceDE w:val="0"/>
        <w:autoSpaceDN w:val="0"/>
        <w:adjustRightInd w:val="0"/>
        <w:spacing w:line="360" w:lineRule="auto"/>
        <w:ind w:right="-28"/>
        <w:jc w:val="both"/>
        <w:rPr>
          <w:rFonts w:ascii="Palatino Linotype" w:hAnsi="Palatino Linotype" w:cs="Tahoma"/>
          <w:sz w:val="22"/>
          <w:szCs w:val="22"/>
        </w:rPr>
      </w:pPr>
    </w:p>
    <w:p w14:paraId="62765A83" w14:textId="77777777" w:rsidR="0054457A" w:rsidRDefault="0054457A" w:rsidP="00CD7DE8">
      <w:pPr>
        <w:tabs>
          <w:tab w:val="left" w:pos="4667"/>
        </w:tabs>
        <w:spacing w:line="360" w:lineRule="auto"/>
        <w:ind w:left="567" w:right="567"/>
        <w:jc w:val="both"/>
        <w:rPr>
          <w:rFonts w:ascii="Palatino Linotype" w:hAnsi="Palatino Linotype" w:cs="Tahoma"/>
          <w:bCs/>
          <w:i/>
        </w:rPr>
      </w:pPr>
      <w:r>
        <w:rPr>
          <w:rFonts w:ascii="Palatino Linotype" w:hAnsi="Palatino Linotype" w:cs="Tahoma"/>
          <w:bCs/>
          <w:i/>
        </w:rPr>
        <w:t>“…</w:t>
      </w:r>
    </w:p>
    <w:p w14:paraId="4AD296B2" w14:textId="1BD17A5C" w:rsidR="0054457A" w:rsidRDefault="0054457A" w:rsidP="00CD7DE8">
      <w:pPr>
        <w:tabs>
          <w:tab w:val="left" w:pos="4667"/>
        </w:tabs>
        <w:spacing w:line="360" w:lineRule="auto"/>
        <w:ind w:left="567" w:right="567"/>
        <w:jc w:val="both"/>
        <w:rPr>
          <w:rFonts w:ascii="Palatino Linotype" w:hAnsi="Palatino Linotype" w:cs="Tahoma"/>
          <w:bCs/>
          <w:i/>
        </w:rPr>
      </w:pPr>
      <w:r w:rsidRPr="0054457A">
        <w:rPr>
          <w:rFonts w:ascii="Palatino Linotype" w:hAnsi="Palatino Linotype" w:cs="Tahoma"/>
          <w:bCs/>
          <w:i/>
        </w:rPr>
        <w:t>Se informa que la normatividad en la materia de Transparencia y Acceso a la Información Pública establece que las declaraciones patrimoniales, en versión pública, solo deben ponerse a disposición del público, cuando el servidor público así lo determine, por lo que cita el artículo 70, fracción XII de la Ley General de Transparencia y Acceso a la Información Pública, que a la letra dice</w:t>
      </w:r>
      <w:r>
        <w:rPr>
          <w:rFonts w:ascii="Palatino Linotype" w:hAnsi="Palatino Linotype" w:cs="Tahoma"/>
          <w:bCs/>
          <w:i/>
        </w:rPr>
        <w:t>:</w:t>
      </w:r>
    </w:p>
    <w:p w14:paraId="4E4FE8AC" w14:textId="531C31C9" w:rsidR="0054457A" w:rsidRDefault="0054457A" w:rsidP="00CD7DE8">
      <w:pPr>
        <w:tabs>
          <w:tab w:val="left" w:pos="4667"/>
        </w:tabs>
        <w:spacing w:line="360" w:lineRule="auto"/>
        <w:ind w:left="567" w:right="567"/>
        <w:jc w:val="both"/>
        <w:rPr>
          <w:rFonts w:ascii="Palatino Linotype" w:hAnsi="Palatino Linotype" w:cs="Tahoma"/>
          <w:bCs/>
          <w:i/>
        </w:rPr>
      </w:pPr>
      <w:r>
        <w:rPr>
          <w:rFonts w:ascii="Palatino Linotype" w:hAnsi="Palatino Linotype" w:cs="Tahoma"/>
          <w:bCs/>
          <w:i/>
        </w:rPr>
        <w:t>…</w:t>
      </w:r>
    </w:p>
    <w:p w14:paraId="7BAEC794" w14:textId="07673763" w:rsidR="0054457A" w:rsidRDefault="0054457A" w:rsidP="00CD7DE8">
      <w:pPr>
        <w:tabs>
          <w:tab w:val="left" w:pos="4667"/>
        </w:tabs>
        <w:spacing w:line="360" w:lineRule="auto"/>
        <w:ind w:left="567" w:right="567"/>
        <w:jc w:val="both"/>
        <w:rPr>
          <w:rFonts w:ascii="Palatino Linotype" w:hAnsi="Palatino Linotype" w:cs="Tahoma"/>
          <w:bCs/>
          <w:i/>
        </w:rPr>
      </w:pPr>
      <w:r w:rsidRPr="0054457A">
        <w:rPr>
          <w:rFonts w:ascii="Palatino Linotype" w:hAnsi="Palatino Linotype" w:cs="Tahoma"/>
          <w:bCs/>
          <w:i/>
        </w:rPr>
        <w:lastRenderedPageBreak/>
        <w:t>Así mismo el artículo 92, fracción XIII, Ley de Transparencia y Acceso a la Información Pública del Estado de México y Municipios; señala que:</w:t>
      </w:r>
    </w:p>
    <w:p w14:paraId="1DC48E55" w14:textId="1107DBAC" w:rsidR="00B641ED" w:rsidRDefault="00B641ED" w:rsidP="00CD7DE8">
      <w:pPr>
        <w:tabs>
          <w:tab w:val="left" w:pos="4667"/>
        </w:tabs>
        <w:spacing w:line="360" w:lineRule="auto"/>
        <w:ind w:left="567" w:right="567"/>
        <w:jc w:val="both"/>
        <w:rPr>
          <w:rFonts w:ascii="Palatino Linotype" w:hAnsi="Palatino Linotype" w:cs="Tahoma"/>
          <w:bCs/>
          <w:i/>
        </w:rPr>
      </w:pPr>
      <w:r>
        <w:rPr>
          <w:rFonts w:ascii="Palatino Linotype" w:hAnsi="Palatino Linotype" w:cs="Tahoma"/>
          <w:bCs/>
          <w:i/>
        </w:rPr>
        <w:t>…</w:t>
      </w:r>
    </w:p>
    <w:p w14:paraId="75831386" w14:textId="7ABD6948" w:rsidR="00B641ED" w:rsidRDefault="00B641ED" w:rsidP="00CD7DE8">
      <w:pPr>
        <w:tabs>
          <w:tab w:val="left" w:pos="4667"/>
        </w:tabs>
        <w:spacing w:line="360" w:lineRule="auto"/>
        <w:ind w:left="567" w:right="567"/>
        <w:jc w:val="both"/>
        <w:rPr>
          <w:rFonts w:ascii="Palatino Linotype" w:hAnsi="Palatino Linotype" w:cs="Tahoma"/>
          <w:bCs/>
          <w:i/>
        </w:rPr>
      </w:pPr>
      <w:r w:rsidRPr="00B641ED">
        <w:rPr>
          <w:rFonts w:ascii="Palatino Linotype" w:hAnsi="Palatino Linotype" w:cs="Tahoma"/>
          <w:bCs/>
          <w:i/>
        </w:rPr>
        <w:t>Y a su vez, el Criterio del artículo 70, fracción XII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w:t>
      </w:r>
      <w:r w:rsidRPr="00B641ED">
        <w:t xml:space="preserve"> </w:t>
      </w:r>
      <w:r w:rsidRPr="00B641ED">
        <w:rPr>
          <w:rFonts w:ascii="Palatino Linotype" w:hAnsi="Palatino Linotype" w:cs="Tahoma"/>
          <w:bCs/>
          <w:i/>
        </w:rPr>
        <w:t>sujetos obligados en los portales de Internet y en la Plataforma Nacional de Transparencia, que a letra dice:</w:t>
      </w:r>
    </w:p>
    <w:p w14:paraId="4F7CED2F" w14:textId="3BBFE990" w:rsidR="00B641ED" w:rsidRDefault="00B641ED" w:rsidP="00CD7DE8">
      <w:pPr>
        <w:tabs>
          <w:tab w:val="left" w:pos="4667"/>
        </w:tabs>
        <w:spacing w:line="360" w:lineRule="auto"/>
        <w:ind w:left="567" w:right="567"/>
        <w:jc w:val="both"/>
        <w:rPr>
          <w:rFonts w:ascii="Palatino Linotype" w:hAnsi="Palatino Linotype" w:cs="Tahoma"/>
          <w:bCs/>
          <w:i/>
        </w:rPr>
      </w:pPr>
      <w:r>
        <w:rPr>
          <w:rFonts w:ascii="Palatino Linotype" w:hAnsi="Palatino Linotype" w:cs="Tahoma"/>
          <w:bCs/>
          <w:i/>
        </w:rPr>
        <w:t>…</w:t>
      </w:r>
    </w:p>
    <w:p w14:paraId="4C701D7E" w14:textId="659979CD" w:rsidR="00B641ED" w:rsidRDefault="00B641ED" w:rsidP="00CD7DE8">
      <w:pPr>
        <w:tabs>
          <w:tab w:val="left" w:pos="4667"/>
        </w:tabs>
        <w:spacing w:line="360" w:lineRule="auto"/>
        <w:ind w:left="567" w:right="567"/>
        <w:jc w:val="both"/>
        <w:rPr>
          <w:rFonts w:ascii="Palatino Linotype" w:hAnsi="Palatino Linotype" w:cs="Tahoma"/>
          <w:bCs/>
          <w:i/>
        </w:rPr>
      </w:pPr>
      <w:r w:rsidRPr="00B641ED">
        <w:rPr>
          <w:rFonts w:ascii="Palatino Linotype" w:hAnsi="Palatino Linotype" w:cs="Tahoma"/>
          <w:bCs/>
          <w:i/>
        </w:rPr>
        <w:t xml:space="preserve">En función a lo anterior, le informo </w:t>
      </w:r>
      <w:r w:rsidR="00835EFC" w:rsidRPr="00B641ED">
        <w:rPr>
          <w:rFonts w:ascii="Palatino Linotype" w:hAnsi="Palatino Linotype" w:cs="Tahoma"/>
          <w:bCs/>
          <w:i/>
        </w:rPr>
        <w:t>que,</w:t>
      </w:r>
      <w:r w:rsidRPr="00B641ED">
        <w:rPr>
          <w:rFonts w:ascii="Palatino Linotype" w:hAnsi="Palatino Linotype" w:cs="Tahoma"/>
          <w:bCs/>
          <w:i/>
        </w:rPr>
        <w:t xml:space="preserve"> de las declaraciones patrimoniales presentadas por los servidores públicos adscritos al Órgano de Control Interno del Instituto de Transparencia, Acceso a la Información Pública y Protección de Datos Personales del Estado de México, no se advierte su consentimiento para que las mismas se hagan públicas, por lo que resulta improcedente la entrega de la informació</w:t>
      </w:r>
      <w:r>
        <w:rPr>
          <w:rFonts w:ascii="Palatino Linotype" w:hAnsi="Palatino Linotype" w:cs="Tahoma"/>
          <w:bCs/>
          <w:i/>
        </w:rPr>
        <w:t>n.</w:t>
      </w:r>
    </w:p>
    <w:p w14:paraId="392BE1DA" w14:textId="63844D59" w:rsidR="00B641ED" w:rsidRDefault="00B641ED" w:rsidP="00CD7DE8">
      <w:pPr>
        <w:tabs>
          <w:tab w:val="left" w:pos="4667"/>
        </w:tabs>
        <w:spacing w:line="360" w:lineRule="auto"/>
        <w:ind w:left="567" w:right="567"/>
        <w:jc w:val="both"/>
        <w:rPr>
          <w:rFonts w:ascii="Palatino Linotype" w:hAnsi="Palatino Linotype" w:cs="Tahoma"/>
          <w:bCs/>
          <w:i/>
        </w:rPr>
      </w:pPr>
    </w:p>
    <w:p w14:paraId="65983169" w14:textId="193DD196" w:rsidR="00B641ED" w:rsidRDefault="00B641ED" w:rsidP="00CD7DE8">
      <w:pPr>
        <w:tabs>
          <w:tab w:val="left" w:pos="4667"/>
        </w:tabs>
        <w:spacing w:line="360" w:lineRule="auto"/>
        <w:ind w:left="567" w:right="567"/>
        <w:jc w:val="both"/>
        <w:rPr>
          <w:rFonts w:ascii="Palatino Linotype" w:hAnsi="Palatino Linotype" w:cs="Tahoma"/>
          <w:bCs/>
          <w:i/>
        </w:rPr>
      </w:pPr>
      <w:r w:rsidRPr="00B641ED">
        <w:rPr>
          <w:rFonts w:ascii="Palatino Linotype" w:hAnsi="Palatino Linotype" w:cs="Tahoma"/>
          <w:bCs/>
          <w:i/>
        </w:rPr>
        <w:t>Toda vez que no se actualizo la autorización señalada por los servidores públicos del Instituto de Transparencia, Acceso a la Información Pública y Protección de Datos Personales del Estado de México, se puede traducir que la información que se encuentra en dichas declaraciones patrimoniales y de intereses, es confidencial.</w:t>
      </w:r>
    </w:p>
    <w:p w14:paraId="739E2395" w14:textId="14C7FEE5" w:rsidR="00B641ED" w:rsidRDefault="00B641ED" w:rsidP="00CD7DE8">
      <w:pPr>
        <w:tabs>
          <w:tab w:val="left" w:pos="4667"/>
        </w:tabs>
        <w:spacing w:line="360" w:lineRule="auto"/>
        <w:ind w:left="567" w:right="567"/>
        <w:jc w:val="both"/>
        <w:rPr>
          <w:rFonts w:ascii="Palatino Linotype" w:hAnsi="Palatino Linotype" w:cs="Tahoma"/>
          <w:bCs/>
          <w:i/>
        </w:rPr>
      </w:pPr>
    </w:p>
    <w:p w14:paraId="578A6318" w14:textId="40E0640E" w:rsidR="00B641ED" w:rsidRDefault="00B641ED" w:rsidP="00CD7DE8">
      <w:pPr>
        <w:tabs>
          <w:tab w:val="left" w:pos="4667"/>
        </w:tabs>
        <w:spacing w:line="360" w:lineRule="auto"/>
        <w:ind w:left="567" w:right="567"/>
        <w:jc w:val="both"/>
        <w:rPr>
          <w:rFonts w:ascii="Palatino Linotype" w:hAnsi="Palatino Linotype" w:cs="Tahoma"/>
          <w:bCs/>
          <w:i/>
        </w:rPr>
      </w:pPr>
      <w:r w:rsidRPr="00B641ED">
        <w:rPr>
          <w:rFonts w:ascii="Palatino Linotype" w:hAnsi="Palatino Linotype" w:cs="Tahoma"/>
          <w:bCs/>
          <w:i/>
        </w:rPr>
        <w:t>Aunado a lo anterior, cabe señalar que los artículos 29 de la Ley General de Responsabilidades Administrativas y 30 de la Ley de Responsabilidades Administrativas del Estado de México y Municipios, mencionan, lo siguiente:</w:t>
      </w:r>
    </w:p>
    <w:p w14:paraId="7B6B3BE8" w14:textId="71C5060D" w:rsidR="00B641ED" w:rsidRDefault="00B641ED" w:rsidP="00CD7DE8">
      <w:pPr>
        <w:tabs>
          <w:tab w:val="left" w:pos="4667"/>
        </w:tabs>
        <w:spacing w:line="360" w:lineRule="auto"/>
        <w:ind w:left="567" w:right="567"/>
        <w:jc w:val="both"/>
        <w:rPr>
          <w:rFonts w:ascii="Palatino Linotype" w:hAnsi="Palatino Linotype" w:cs="Tahoma"/>
          <w:bCs/>
          <w:i/>
        </w:rPr>
      </w:pPr>
      <w:r>
        <w:rPr>
          <w:rFonts w:ascii="Palatino Linotype" w:hAnsi="Palatino Linotype" w:cs="Tahoma"/>
          <w:bCs/>
          <w:i/>
        </w:rPr>
        <w:t>…</w:t>
      </w:r>
    </w:p>
    <w:p w14:paraId="2E86190F" w14:textId="3349E33D" w:rsidR="00B641ED" w:rsidRDefault="00B641ED" w:rsidP="00CD7DE8">
      <w:pPr>
        <w:tabs>
          <w:tab w:val="left" w:pos="4667"/>
        </w:tabs>
        <w:spacing w:line="360" w:lineRule="auto"/>
        <w:ind w:left="567" w:right="567"/>
        <w:jc w:val="both"/>
        <w:rPr>
          <w:rFonts w:ascii="Palatino Linotype" w:hAnsi="Palatino Linotype" w:cs="Tahoma"/>
          <w:bCs/>
          <w:i/>
        </w:rPr>
      </w:pPr>
      <w:r w:rsidRPr="00B641ED">
        <w:rPr>
          <w:rFonts w:ascii="Palatino Linotype" w:hAnsi="Palatino Linotype" w:cs="Tahoma"/>
          <w:bCs/>
          <w:i/>
        </w:rPr>
        <w:t xml:space="preserve">En atención a lo anterior, ambas leyes prevén que las declaraciones patrimoniales y de intereses serán públicas, salvo los rubros cuya publicidad pueda afectar la vida privada o los datos personales protegidos por la Constitución, ello es así, porque tal publicación está condicionada a que el Comité Coordinador, a propuesta del Comité de Participación Ciudadana, emita el formato respectivo y éste </w:t>
      </w:r>
      <w:r w:rsidRPr="00B641ED">
        <w:rPr>
          <w:rFonts w:ascii="Palatino Linotype" w:hAnsi="Palatino Linotype" w:cs="Tahoma"/>
          <w:bCs/>
          <w:i/>
        </w:rPr>
        <w:lastRenderedPageBreak/>
        <w:t>se encuentre operable, situación que no ha sucedido a la fecha presente. Lo anterior, resulta trascendente ya que en el Transitorio Noveno último párrafo de la Ley de Responsabilidades Administrativas del Estado de México y Municipios, menciona:</w:t>
      </w:r>
    </w:p>
    <w:p w14:paraId="349F5C5A" w14:textId="34C31A5C" w:rsidR="00B641ED" w:rsidRDefault="00B641ED" w:rsidP="00CD7DE8">
      <w:pPr>
        <w:tabs>
          <w:tab w:val="left" w:pos="4667"/>
        </w:tabs>
        <w:spacing w:line="360" w:lineRule="auto"/>
        <w:ind w:left="567" w:right="567"/>
        <w:jc w:val="both"/>
        <w:rPr>
          <w:rFonts w:ascii="Palatino Linotype" w:hAnsi="Palatino Linotype" w:cs="Tahoma"/>
          <w:bCs/>
          <w:i/>
        </w:rPr>
      </w:pPr>
      <w:r>
        <w:rPr>
          <w:rFonts w:ascii="Palatino Linotype" w:hAnsi="Palatino Linotype" w:cs="Tahoma"/>
          <w:bCs/>
          <w:i/>
        </w:rPr>
        <w:t>…</w:t>
      </w:r>
    </w:p>
    <w:p w14:paraId="3BD6F890" w14:textId="1FDE87E6" w:rsidR="00B641ED" w:rsidRDefault="00B641ED" w:rsidP="00CD7DE8">
      <w:pPr>
        <w:tabs>
          <w:tab w:val="left" w:pos="4667"/>
        </w:tabs>
        <w:spacing w:line="360" w:lineRule="auto"/>
        <w:ind w:left="567" w:right="567"/>
        <w:jc w:val="both"/>
        <w:rPr>
          <w:rFonts w:ascii="Palatino Linotype" w:hAnsi="Palatino Linotype" w:cs="Tahoma"/>
          <w:bCs/>
          <w:i/>
        </w:rPr>
      </w:pPr>
      <w:r w:rsidRPr="00B641ED">
        <w:rPr>
          <w:rFonts w:ascii="Palatino Linotype" w:hAnsi="Palatino Linotype" w:cs="Tahoma"/>
          <w:bCs/>
          <w:i/>
        </w:rPr>
        <w:t>Tomando en consideración lo referido en líneas precedentes y dado que los nuevos formatos de versión pública no se han formalizado, se traduce que prevalecen los formatos que se encuentran vigentes, en los que se otorga al servidor público la posibilidad de autorizar o no la publicidad de lo declarado en ellos, atendiendo el caso particular en el que no se cuenta el consentimiento de hacer pública la declaración</w:t>
      </w:r>
      <w:r>
        <w:rPr>
          <w:rFonts w:ascii="Palatino Linotype" w:hAnsi="Palatino Linotype" w:cs="Tahoma"/>
          <w:bCs/>
          <w:i/>
        </w:rPr>
        <w:t xml:space="preserve"> </w:t>
      </w:r>
      <w:r w:rsidRPr="00B641ED">
        <w:rPr>
          <w:rFonts w:ascii="Palatino Linotype" w:hAnsi="Palatino Linotype" w:cs="Tahoma"/>
          <w:bCs/>
          <w:i/>
        </w:rPr>
        <w:t>requerida, de ahí que dicha información debe de clasificarse como información confidencial.</w:t>
      </w:r>
    </w:p>
    <w:p w14:paraId="61975298" w14:textId="02B3E7DC" w:rsidR="0054457A" w:rsidRPr="006C5DA2" w:rsidRDefault="0054457A" w:rsidP="00CD7DE8">
      <w:pPr>
        <w:tabs>
          <w:tab w:val="left" w:pos="4667"/>
        </w:tabs>
        <w:spacing w:line="360" w:lineRule="auto"/>
        <w:ind w:left="567" w:right="567"/>
        <w:jc w:val="both"/>
        <w:rPr>
          <w:rFonts w:ascii="Palatino Linotype" w:hAnsi="Palatino Linotype" w:cs="Tahoma"/>
          <w:bCs/>
          <w:i/>
        </w:rPr>
      </w:pPr>
      <w:r>
        <w:rPr>
          <w:rFonts w:ascii="Palatino Linotype" w:hAnsi="Palatino Linotype" w:cs="Tahoma"/>
          <w:bCs/>
          <w:i/>
        </w:rPr>
        <w:t>…</w:t>
      </w:r>
      <w:r w:rsidRPr="006C5DA2">
        <w:rPr>
          <w:rFonts w:ascii="Palatino Linotype" w:hAnsi="Palatino Linotype" w:cs="Tahoma"/>
          <w:bCs/>
          <w:i/>
        </w:rPr>
        <w:t xml:space="preserve">” </w:t>
      </w:r>
    </w:p>
    <w:p w14:paraId="07298586" w14:textId="77777777" w:rsidR="00B27245" w:rsidRDefault="00B27245" w:rsidP="00CD7DE8">
      <w:pPr>
        <w:autoSpaceDE w:val="0"/>
        <w:autoSpaceDN w:val="0"/>
        <w:adjustRightInd w:val="0"/>
        <w:spacing w:line="360" w:lineRule="auto"/>
        <w:ind w:right="-28"/>
        <w:jc w:val="both"/>
        <w:rPr>
          <w:rFonts w:ascii="Palatino Linotype" w:hAnsi="Palatino Linotype" w:cs="Tahoma"/>
          <w:sz w:val="22"/>
          <w:szCs w:val="22"/>
        </w:rPr>
      </w:pPr>
    </w:p>
    <w:p w14:paraId="7F951123" w14:textId="3E97A22E" w:rsidR="001F164B" w:rsidRDefault="001F164B" w:rsidP="00CD7DE8">
      <w:pPr>
        <w:autoSpaceDE w:val="0"/>
        <w:autoSpaceDN w:val="0"/>
        <w:adjustRightInd w:val="0"/>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ii) </w:t>
      </w:r>
      <w:r w:rsidR="00B641ED">
        <w:rPr>
          <w:rFonts w:ascii="Palatino Linotype" w:hAnsi="Palatino Linotype" w:cs="Tahoma"/>
          <w:sz w:val="22"/>
          <w:szCs w:val="22"/>
        </w:rPr>
        <w:t>Resolución RES/10/INFOEM/ORD/COM/20ª/2021, del veintisiete de octubre de dos mil veintiuno, suscrita por el Comité de Transparencia del Sujeto Obligado</w:t>
      </w:r>
      <w:r w:rsidR="006932A2">
        <w:rPr>
          <w:rFonts w:ascii="Palatino Linotype" w:hAnsi="Palatino Linotype" w:cs="Tahoma"/>
          <w:sz w:val="22"/>
          <w:szCs w:val="22"/>
        </w:rPr>
        <w:t>, mediante la cual se confirm</w:t>
      </w:r>
      <w:r w:rsidR="009259F1">
        <w:rPr>
          <w:rFonts w:ascii="Palatino Linotype" w:hAnsi="Palatino Linotype" w:cs="Tahoma"/>
          <w:sz w:val="22"/>
          <w:szCs w:val="22"/>
        </w:rPr>
        <w:t>ó</w:t>
      </w:r>
      <w:r w:rsidR="006932A2">
        <w:rPr>
          <w:rFonts w:ascii="Palatino Linotype" w:hAnsi="Palatino Linotype" w:cs="Tahoma"/>
          <w:sz w:val="22"/>
          <w:szCs w:val="22"/>
        </w:rPr>
        <w:t xml:space="preserve"> la clasificación como confidencial de las declaraciones patrimoniales de alta, anuales y de baja de los servidores públicos que se encuentra y se encontraban adscritos a la Contraloría Interna y Órgano de Control y Vigilancia, tal como se muestra a continuación:</w:t>
      </w:r>
    </w:p>
    <w:p w14:paraId="2BDC8464" w14:textId="45CFC080" w:rsidR="006932A2" w:rsidRDefault="006932A2" w:rsidP="00CD7DE8">
      <w:pPr>
        <w:autoSpaceDE w:val="0"/>
        <w:autoSpaceDN w:val="0"/>
        <w:adjustRightInd w:val="0"/>
        <w:spacing w:line="360" w:lineRule="auto"/>
        <w:ind w:right="-28"/>
        <w:jc w:val="both"/>
        <w:rPr>
          <w:rFonts w:ascii="Palatino Linotype" w:hAnsi="Palatino Linotype" w:cs="Tahoma"/>
          <w:sz w:val="22"/>
          <w:szCs w:val="22"/>
        </w:rPr>
      </w:pPr>
    </w:p>
    <w:p w14:paraId="4E18D5FA" w14:textId="416C2DAE" w:rsidR="006932A2" w:rsidRPr="001F164B" w:rsidRDefault="006932A2" w:rsidP="00CD7DE8">
      <w:pPr>
        <w:autoSpaceDE w:val="0"/>
        <w:autoSpaceDN w:val="0"/>
        <w:adjustRightInd w:val="0"/>
        <w:spacing w:line="360" w:lineRule="auto"/>
        <w:ind w:right="-28"/>
        <w:jc w:val="center"/>
        <w:rPr>
          <w:rFonts w:ascii="Palatino Linotype" w:hAnsi="Palatino Linotype" w:cs="Tahoma"/>
          <w:sz w:val="22"/>
          <w:szCs w:val="22"/>
        </w:rPr>
      </w:pPr>
      <w:r>
        <w:rPr>
          <w:noProof/>
        </w:rPr>
        <w:drawing>
          <wp:inline distT="0" distB="0" distL="0" distR="0" wp14:anchorId="6E2152A3" wp14:editId="204AAF3D">
            <wp:extent cx="4028943" cy="21532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5981"/>
                    <a:stretch/>
                  </pic:blipFill>
                  <pic:spPr bwMode="auto">
                    <a:xfrm>
                      <a:off x="0" y="0"/>
                      <a:ext cx="4033046" cy="2155478"/>
                    </a:xfrm>
                    <a:prstGeom prst="rect">
                      <a:avLst/>
                    </a:prstGeom>
                    <a:ln>
                      <a:noFill/>
                    </a:ln>
                    <a:extLst>
                      <a:ext uri="{53640926-AAD7-44D8-BBD7-CCE9431645EC}">
                        <a14:shadowObscured xmlns:a14="http://schemas.microsoft.com/office/drawing/2010/main"/>
                      </a:ext>
                    </a:extLst>
                  </pic:spPr>
                </pic:pic>
              </a:graphicData>
            </a:graphic>
          </wp:inline>
        </w:drawing>
      </w:r>
    </w:p>
    <w:p w14:paraId="05A21355" w14:textId="14A9F535" w:rsidR="001F164B" w:rsidRDefault="001F164B" w:rsidP="00CD7DE8">
      <w:pPr>
        <w:autoSpaceDE w:val="0"/>
        <w:autoSpaceDN w:val="0"/>
        <w:adjustRightInd w:val="0"/>
        <w:spacing w:line="360" w:lineRule="auto"/>
        <w:ind w:right="-28"/>
        <w:jc w:val="both"/>
        <w:rPr>
          <w:rFonts w:ascii="Palatino Linotype" w:eastAsia="Calibri" w:hAnsi="Palatino Linotype" w:cs="Tahoma"/>
          <w:bCs/>
          <w:i/>
          <w:lang w:eastAsia="en-US"/>
        </w:rPr>
      </w:pPr>
    </w:p>
    <w:p w14:paraId="512BBB54" w14:textId="4A4E61F3" w:rsidR="00FD5AA4" w:rsidRPr="006C5DA2" w:rsidRDefault="00FD5AA4" w:rsidP="00CD7DE8">
      <w:pPr>
        <w:autoSpaceDE w:val="0"/>
        <w:autoSpaceDN w:val="0"/>
        <w:adjustRightInd w:val="0"/>
        <w:spacing w:line="360" w:lineRule="auto"/>
        <w:jc w:val="both"/>
        <w:rPr>
          <w:rFonts w:ascii="Palatino Linotype" w:hAnsi="Palatino Linotype" w:cs="Tahoma"/>
          <w:b/>
          <w:sz w:val="22"/>
          <w:szCs w:val="22"/>
        </w:rPr>
      </w:pPr>
      <w:r w:rsidRPr="006C5DA2">
        <w:rPr>
          <w:rFonts w:ascii="Palatino Linotype" w:hAnsi="Palatino Linotype" w:cs="Tahoma"/>
          <w:b/>
          <w:sz w:val="22"/>
          <w:szCs w:val="22"/>
        </w:rPr>
        <w:lastRenderedPageBreak/>
        <w:t xml:space="preserve">III. Interposición del Recurso de Revisión. </w:t>
      </w:r>
    </w:p>
    <w:p w14:paraId="15BE5ED5" w14:textId="77777777" w:rsidR="00FD5AA4" w:rsidRPr="006C5DA2" w:rsidRDefault="00FD5AA4" w:rsidP="00CD7DE8">
      <w:pPr>
        <w:widowControl w:val="0"/>
        <w:spacing w:line="360" w:lineRule="auto"/>
        <w:jc w:val="both"/>
        <w:rPr>
          <w:rFonts w:ascii="Palatino Linotype" w:hAnsi="Palatino Linotype" w:cs="Tahoma"/>
          <w:sz w:val="22"/>
          <w:szCs w:val="22"/>
        </w:rPr>
      </w:pPr>
    </w:p>
    <w:p w14:paraId="4348D8A3" w14:textId="6DD969B0" w:rsidR="00FD5AA4" w:rsidRPr="006C5DA2" w:rsidRDefault="00FD5AA4" w:rsidP="00CD7DE8">
      <w:pPr>
        <w:widowControl w:val="0"/>
        <w:spacing w:line="360" w:lineRule="auto"/>
        <w:jc w:val="both"/>
        <w:rPr>
          <w:rFonts w:ascii="Palatino Linotype" w:hAnsi="Palatino Linotype" w:cs="Tahoma"/>
          <w:b/>
          <w:bCs/>
          <w:sz w:val="22"/>
          <w:szCs w:val="22"/>
          <w:lang w:val="es-ES"/>
        </w:rPr>
      </w:pPr>
      <w:r w:rsidRPr="006C5DA2">
        <w:rPr>
          <w:rFonts w:ascii="Palatino Linotype" w:hAnsi="Palatino Linotype" w:cs="Tahoma"/>
          <w:sz w:val="22"/>
          <w:szCs w:val="22"/>
        </w:rPr>
        <w:t xml:space="preserve">Con fecha </w:t>
      </w:r>
      <w:r w:rsidR="006932A2">
        <w:rPr>
          <w:rFonts w:ascii="Palatino Linotype" w:hAnsi="Palatino Linotype" w:cs="Tahoma"/>
          <w:sz w:val="22"/>
          <w:szCs w:val="22"/>
        </w:rPr>
        <w:t>cinco de noviembre</w:t>
      </w:r>
      <w:r w:rsidR="00C12969">
        <w:rPr>
          <w:rFonts w:ascii="Palatino Linotype" w:hAnsi="Palatino Linotype" w:cs="Tahoma"/>
          <w:sz w:val="22"/>
          <w:szCs w:val="22"/>
        </w:rPr>
        <w:t xml:space="preserve"> de dos mil veintiuno, </w:t>
      </w:r>
      <w:r w:rsidR="00D64985">
        <w:rPr>
          <w:rFonts w:ascii="Palatino Linotype" w:hAnsi="Palatino Linotype" w:cs="Tahoma"/>
          <w:sz w:val="22"/>
          <w:szCs w:val="22"/>
        </w:rPr>
        <w:t>el</w:t>
      </w:r>
      <w:r w:rsidRPr="006C5DA2">
        <w:rPr>
          <w:rFonts w:ascii="Palatino Linotype" w:hAnsi="Palatino Linotype" w:cs="Tahoma"/>
          <w:sz w:val="22"/>
          <w:szCs w:val="22"/>
        </w:rPr>
        <w:t xml:space="preserve"> Particular interpuso Recurso de Revisión en este Instituto, a través del </w:t>
      </w:r>
      <w:r w:rsidRPr="006C5DA2">
        <w:rPr>
          <w:rFonts w:ascii="Palatino Linotype" w:hAnsi="Palatino Linotype" w:cs="Tahoma"/>
          <w:sz w:val="22"/>
          <w:szCs w:val="22"/>
          <w:lang w:val="es-ES"/>
        </w:rPr>
        <w:t xml:space="preserve">Sistema de Acceso a la Información Mexiquense (SAIMEX), en </w:t>
      </w:r>
      <w:r w:rsidRPr="006C5DA2">
        <w:rPr>
          <w:rFonts w:ascii="Palatino Linotype" w:hAnsi="Palatino Linotype" w:cs="Tahoma"/>
          <w:sz w:val="22"/>
          <w:szCs w:val="22"/>
        </w:rPr>
        <w:t>contra de la respuesta del Sujeto Obligado,</w:t>
      </w:r>
      <w:r w:rsidR="00C12969">
        <w:rPr>
          <w:rFonts w:ascii="Palatino Linotype" w:hAnsi="Palatino Linotype" w:cs="Tahoma"/>
          <w:sz w:val="22"/>
          <w:szCs w:val="22"/>
        </w:rPr>
        <w:t xml:space="preserve"> </w:t>
      </w:r>
      <w:r w:rsidRPr="006C5DA2">
        <w:rPr>
          <w:rFonts w:ascii="Palatino Linotype" w:hAnsi="Palatino Linotype" w:cs="Tahoma"/>
          <w:bCs/>
          <w:sz w:val="22"/>
          <w:szCs w:val="22"/>
          <w:lang w:val="es-ES"/>
        </w:rPr>
        <w:t>en los términos siguientes</w:t>
      </w:r>
      <w:r w:rsidRPr="006C5DA2">
        <w:rPr>
          <w:rFonts w:ascii="Palatino Linotype" w:hAnsi="Palatino Linotype" w:cs="Tahoma"/>
          <w:b/>
          <w:bCs/>
          <w:sz w:val="22"/>
          <w:szCs w:val="22"/>
          <w:lang w:val="es-ES"/>
        </w:rPr>
        <w:t>:</w:t>
      </w:r>
    </w:p>
    <w:p w14:paraId="5CABB516" w14:textId="77777777" w:rsidR="00FD5AA4" w:rsidRPr="006C5DA2" w:rsidRDefault="00FD5AA4" w:rsidP="00CD7DE8">
      <w:pPr>
        <w:widowControl w:val="0"/>
        <w:spacing w:line="360" w:lineRule="auto"/>
        <w:jc w:val="both"/>
        <w:rPr>
          <w:rFonts w:ascii="Palatino Linotype" w:hAnsi="Palatino Linotype" w:cs="Tahoma"/>
          <w:b/>
          <w:bCs/>
          <w:sz w:val="22"/>
          <w:szCs w:val="22"/>
          <w:lang w:val="es-ES"/>
        </w:rPr>
      </w:pPr>
    </w:p>
    <w:p w14:paraId="424EFEF5" w14:textId="77777777" w:rsidR="00FD5AA4" w:rsidRPr="006C5DA2" w:rsidRDefault="00FD5AA4" w:rsidP="00CD7DE8">
      <w:pPr>
        <w:tabs>
          <w:tab w:val="left" w:pos="4667"/>
        </w:tabs>
        <w:spacing w:line="360" w:lineRule="auto"/>
        <w:ind w:left="567" w:right="567"/>
        <w:jc w:val="both"/>
        <w:rPr>
          <w:rFonts w:ascii="Palatino Linotype" w:hAnsi="Palatino Linotype" w:cs="Tahoma"/>
          <w:b/>
          <w:bCs/>
          <w:i/>
        </w:rPr>
      </w:pPr>
      <w:r w:rsidRPr="006C5DA2">
        <w:rPr>
          <w:rFonts w:ascii="Palatino Linotype" w:hAnsi="Palatino Linotype" w:cs="Tahoma"/>
          <w:b/>
          <w:bCs/>
          <w:i/>
        </w:rPr>
        <w:t>“ACTO IMPUGNADO</w:t>
      </w:r>
    </w:p>
    <w:p w14:paraId="6B97E168" w14:textId="57593FD8" w:rsidR="00FD5AA4" w:rsidRPr="006C5DA2" w:rsidRDefault="006932A2" w:rsidP="00CD7DE8">
      <w:pPr>
        <w:tabs>
          <w:tab w:val="left" w:pos="4667"/>
        </w:tabs>
        <w:spacing w:line="360" w:lineRule="auto"/>
        <w:ind w:left="567" w:right="567"/>
        <w:jc w:val="both"/>
        <w:rPr>
          <w:rFonts w:ascii="Palatino Linotype" w:hAnsi="Palatino Linotype" w:cs="Tahoma"/>
          <w:bCs/>
          <w:i/>
        </w:rPr>
      </w:pPr>
      <w:r w:rsidRPr="006932A2">
        <w:rPr>
          <w:rFonts w:ascii="Palatino Linotype" w:hAnsi="Palatino Linotype" w:cs="Tahoma"/>
          <w:bCs/>
          <w:i/>
        </w:rPr>
        <w:t>respuesta del sujeto obligado</w:t>
      </w:r>
      <w:r w:rsidR="00FD5AA4" w:rsidRPr="006C5DA2">
        <w:rPr>
          <w:rFonts w:ascii="Palatino Linotype" w:hAnsi="Palatino Linotype" w:cs="Tahoma"/>
          <w:bCs/>
          <w:i/>
        </w:rPr>
        <w:t xml:space="preserve">” </w:t>
      </w:r>
    </w:p>
    <w:p w14:paraId="3CAF3BE8" w14:textId="77777777" w:rsidR="00FD5AA4" w:rsidRPr="006C5DA2" w:rsidRDefault="00FD5AA4" w:rsidP="00CD7DE8">
      <w:pPr>
        <w:tabs>
          <w:tab w:val="left" w:pos="4667"/>
        </w:tabs>
        <w:spacing w:line="360" w:lineRule="auto"/>
        <w:ind w:left="567" w:right="567"/>
        <w:jc w:val="both"/>
        <w:rPr>
          <w:rFonts w:ascii="Palatino Linotype" w:hAnsi="Palatino Linotype" w:cs="Tahoma"/>
          <w:bCs/>
          <w:i/>
        </w:rPr>
      </w:pPr>
    </w:p>
    <w:p w14:paraId="299A0721" w14:textId="35FD31C4" w:rsidR="00FD5AA4" w:rsidRDefault="00FD5AA4" w:rsidP="00CD7DE8">
      <w:pPr>
        <w:tabs>
          <w:tab w:val="left" w:pos="4667"/>
        </w:tabs>
        <w:spacing w:line="360" w:lineRule="auto"/>
        <w:ind w:left="567" w:right="567"/>
        <w:jc w:val="both"/>
        <w:rPr>
          <w:rFonts w:ascii="Palatino Linotype" w:hAnsi="Palatino Linotype" w:cs="Tahoma"/>
          <w:b/>
          <w:bCs/>
          <w:i/>
        </w:rPr>
      </w:pPr>
      <w:r w:rsidRPr="006C5DA2">
        <w:rPr>
          <w:rFonts w:ascii="Palatino Linotype" w:hAnsi="Palatino Linotype" w:cs="Tahoma"/>
          <w:b/>
          <w:bCs/>
          <w:i/>
        </w:rPr>
        <w:t>“RAZONES O MOTIVOS DE LA INCONFORMIDA</w:t>
      </w:r>
    </w:p>
    <w:p w14:paraId="15103A48" w14:textId="6385A004" w:rsidR="00FD5AA4" w:rsidRPr="006932A2" w:rsidRDefault="006932A2" w:rsidP="00CD7DE8">
      <w:pPr>
        <w:tabs>
          <w:tab w:val="left" w:pos="4667"/>
        </w:tabs>
        <w:spacing w:line="360" w:lineRule="auto"/>
        <w:ind w:left="567" w:right="567"/>
        <w:jc w:val="both"/>
        <w:rPr>
          <w:rFonts w:ascii="Palatino Linotype" w:hAnsi="Palatino Linotype" w:cs="Tahoma"/>
          <w:i/>
        </w:rPr>
      </w:pPr>
      <w:r w:rsidRPr="006932A2">
        <w:rPr>
          <w:rFonts w:ascii="Palatino Linotype" w:hAnsi="Palatino Linotype" w:cs="Tahoma"/>
          <w:i/>
        </w:rPr>
        <w:t>no se me entrega la la información y en la respuesta hay incongruencia ya que según se trata de información clasificada, pero la ley de responsabilidades, como detalla la respuesta, dice que que las declaraciones patrimoniales serán publicas salvo ,los rubros que puedan afectar la vida privada o datos personales de los declarantes, de lo que se infiere que solo esos datos no son suceptibles de entregar, por lo que la negativa de la contraloría no tiene sustento y ,mucho menos al clasificar como confidencial en forma integral todos los documentos ya que hay datos que si se pueden entregar, pero tanto la contraloría como el Comite de transparencia omiten motivar u fundamentar debidamente su respuesta y tambien omkiten realizar un analisis jurídico de cuales datos se pueden entregar y cuales no.”</w:t>
      </w:r>
    </w:p>
    <w:p w14:paraId="7041BF91" w14:textId="415F66A4" w:rsidR="00587430" w:rsidRDefault="00587430" w:rsidP="00CD7DE8">
      <w:pPr>
        <w:tabs>
          <w:tab w:val="left" w:pos="4667"/>
        </w:tabs>
        <w:spacing w:line="360" w:lineRule="auto"/>
        <w:ind w:right="567"/>
        <w:jc w:val="both"/>
        <w:rPr>
          <w:rFonts w:ascii="Palatino Linotype" w:hAnsi="Palatino Linotype" w:cs="Tahoma"/>
          <w:b/>
          <w:bCs/>
          <w:i/>
        </w:rPr>
      </w:pPr>
    </w:p>
    <w:p w14:paraId="3D23A4FC" w14:textId="77777777" w:rsidR="00FD5AA4" w:rsidRPr="006C5DA2" w:rsidRDefault="00FD5AA4" w:rsidP="00CD7DE8">
      <w:pPr>
        <w:spacing w:line="360" w:lineRule="auto"/>
        <w:jc w:val="both"/>
        <w:rPr>
          <w:rFonts w:ascii="Palatino Linotype" w:eastAsia="Batang" w:hAnsi="Palatino Linotype" w:cs="Tahoma"/>
          <w:b/>
          <w:bCs/>
          <w:sz w:val="22"/>
          <w:szCs w:val="22"/>
        </w:rPr>
      </w:pPr>
      <w:r w:rsidRPr="006C5DA2">
        <w:rPr>
          <w:rFonts w:ascii="Palatino Linotype" w:hAnsi="Palatino Linotype" w:cs="Tahoma"/>
          <w:b/>
          <w:sz w:val="22"/>
          <w:szCs w:val="22"/>
        </w:rPr>
        <w:t xml:space="preserve">IV. </w:t>
      </w:r>
      <w:r w:rsidRPr="006C5DA2">
        <w:rPr>
          <w:rFonts w:ascii="Palatino Linotype" w:eastAsia="Batang" w:hAnsi="Palatino Linotype" w:cs="Tahoma"/>
          <w:b/>
          <w:bCs/>
          <w:sz w:val="22"/>
          <w:szCs w:val="22"/>
        </w:rPr>
        <w:t xml:space="preserve">Trámite del </w:t>
      </w:r>
      <w:r w:rsidRPr="006C5DA2">
        <w:rPr>
          <w:rFonts w:ascii="Palatino Linotype" w:hAnsi="Palatino Linotype" w:cs="Tahoma"/>
          <w:b/>
          <w:sz w:val="22"/>
          <w:szCs w:val="22"/>
        </w:rPr>
        <w:t xml:space="preserve">Recurso de Revisión </w:t>
      </w:r>
      <w:r w:rsidRPr="006C5DA2">
        <w:rPr>
          <w:rFonts w:ascii="Palatino Linotype" w:eastAsia="Batang" w:hAnsi="Palatino Linotype" w:cs="Tahoma"/>
          <w:b/>
          <w:bCs/>
          <w:sz w:val="22"/>
          <w:szCs w:val="22"/>
        </w:rPr>
        <w:t>ante el Instituto.</w:t>
      </w:r>
    </w:p>
    <w:p w14:paraId="1B7D307D" w14:textId="77777777" w:rsidR="00FD5AA4" w:rsidRPr="006C5DA2" w:rsidRDefault="00FD5AA4" w:rsidP="00CD7DE8">
      <w:pPr>
        <w:spacing w:line="360" w:lineRule="auto"/>
        <w:jc w:val="both"/>
        <w:rPr>
          <w:rFonts w:ascii="Palatino Linotype" w:eastAsia="Batang" w:hAnsi="Palatino Linotype" w:cs="Tahoma"/>
          <w:b/>
          <w:bCs/>
          <w:sz w:val="22"/>
          <w:szCs w:val="22"/>
        </w:rPr>
      </w:pPr>
    </w:p>
    <w:p w14:paraId="2CB9F631" w14:textId="33E281B8" w:rsidR="00FD5AA4" w:rsidRPr="006C5DA2" w:rsidRDefault="00FD5AA4" w:rsidP="00CD7DE8">
      <w:pPr>
        <w:spacing w:line="360" w:lineRule="auto"/>
        <w:jc w:val="both"/>
        <w:rPr>
          <w:rFonts w:ascii="Palatino Linotype" w:eastAsia="Batang" w:hAnsi="Palatino Linotype" w:cs="Tahoma"/>
          <w:bCs/>
          <w:sz w:val="22"/>
          <w:szCs w:val="22"/>
        </w:rPr>
      </w:pPr>
      <w:r w:rsidRPr="006C5DA2">
        <w:rPr>
          <w:rFonts w:ascii="Palatino Linotype" w:eastAsia="Batang" w:hAnsi="Palatino Linotype" w:cs="Tahoma"/>
          <w:b/>
          <w:bCs/>
          <w:sz w:val="22"/>
          <w:szCs w:val="22"/>
        </w:rPr>
        <w:t xml:space="preserve">a) Turno del </w:t>
      </w:r>
      <w:r w:rsidRPr="006C5DA2">
        <w:rPr>
          <w:rFonts w:ascii="Palatino Linotype" w:hAnsi="Palatino Linotype" w:cs="Tahoma"/>
          <w:b/>
          <w:sz w:val="22"/>
          <w:szCs w:val="22"/>
        </w:rPr>
        <w:t>Recurso de Revisión</w:t>
      </w:r>
      <w:r w:rsidRPr="006C5DA2">
        <w:rPr>
          <w:rFonts w:ascii="Palatino Linotype" w:eastAsia="Batang" w:hAnsi="Palatino Linotype" w:cs="Tahoma"/>
          <w:b/>
          <w:bCs/>
          <w:sz w:val="22"/>
          <w:szCs w:val="22"/>
        </w:rPr>
        <w:t xml:space="preserve">. </w:t>
      </w:r>
      <w:r w:rsidRPr="006C5DA2">
        <w:rPr>
          <w:rFonts w:ascii="Palatino Linotype" w:eastAsia="Batang" w:hAnsi="Palatino Linotype" w:cs="Tahoma"/>
          <w:bCs/>
          <w:sz w:val="22"/>
          <w:szCs w:val="22"/>
        </w:rPr>
        <w:t xml:space="preserve">El </w:t>
      </w:r>
      <w:r w:rsidR="006932A2">
        <w:rPr>
          <w:rFonts w:ascii="Palatino Linotype" w:eastAsia="Batang" w:hAnsi="Palatino Linotype" w:cs="Tahoma"/>
          <w:bCs/>
          <w:sz w:val="22"/>
          <w:szCs w:val="22"/>
        </w:rPr>
        <w:t>cinco de noviembre</w:t>
      </w:r>
      <w:r w:rsidR="00A633BB">
        <w:rPr>
          <w:rFonts w:ascii="Palatino Linotype" w:eastAsia="Batang" w:hAnsi="Palatino Linotype" w:cs="Tahoma"/>
          <w:bCs/>
          <w:sz w:val="22"/>
          <w:szCs w:val="22"/>
        </w:rPr>
        <w:t xml:space="preserve"> de dos mil veintiuno</w:t>
      </w:r>
      <w:r w:rsidRPr="006C5DA2">
        <w:rPr>
          <w:rFonts w:ascii="Palatino Linotype" w:eastAsia="Batang" w:hAnsi="Palatino Linotype" w:cs="Tahoma"/>
          <w:bCs/>
          <w:sz w:val="22"/>
          <w:szCs w:val="22"/>
        </w:rPr>
        <w:t xml:space="preserve">, el </w:t>
      </w:r>
      <w:r w:rsidRPr="006C5DA2">
        <w:rPr>
          <w:rFonts w:ascii="Palatino Linotype" w:hAnsi="Palatino Linotype" w:cs="Tahoma"/>
          <w:sz w:val="22"/>
          <w:szCs w:val="22"/>
          <w:lang w:val="es-ES"/>
        </w:rPr>
        <w:t>Sistema de Acceso a la Información Mexiquense (SAIMEX),</w:t>
      </w:r>
      <w:r w:rsidRPr="006C5DA2">
        <w:rPr>
          <w:rFonts w:ascii="Palatino Linotype" w:eastAsia="Batang" w:hAnsi="Palatino Linotype" w:cs="Tahoma"/>
          <w:bCs/>
          <w:sz w:val="22"/>
          <w:szCs w:val="22"/>
        </w:rPr>
        <w:t xml:space="preserve"> asignó con número de expediente </w:t>
      </w:r>
      <w:r w:rsidR="005E15BB">
        <w:rPr>
          <w:rFonts w:ascii="Palatino Linotype" w:eastAsia="Batang" w:hAnsi="Palatino Linotype" w:cs="Tahoma"/>
          <w:b/>
          <w:bCs/>
          <w:sz w:val="22"/>
          <w:szCs w:val="22"/>
        </w:rPr>
        <w:t>0</w:t>
      </w:r>
      <w:r w:rsidR="00293150">
        <w:rPr>
          <w:rFonts w:ascii="Palatino Linotype" w:eastAsia="Batang" w:hAnsi="Palatino Linotype" w:cs="Tahoma"/>
          <w:b/>
          <w:bCs/>
          <w:sz w:val="22"/>
          <w:szCs w:val="22"/>
        </w:rPr>
        <w:t>5411</w:t>
      </w:r>
      <w:r w:rsidR="005E15BB">
        <w:rPr>
          <w:rFonts w:ascii="Palatino Linotype" w:eastAsia="Batang" w:hAnsi="Palatino Linotype" w:cs="Tahoma"/>
          <w:b/>
          <w:bCs/>
          <w:sz w:val="22"/>
          <w:szCs w:val="22"/>
        </w:rPr>
        <w:t>/INFOEM/IP/RR/2021</w:t>
      </w:r>
      <w:r w:rsidR="009839DA">
        <w:rPr>
          <w:rFonts w:ascii="Palatino Linotype" w:eastAsia="Batang" w:hAnsi="Palatino Linotype" w:cs="Tahoma"/>
          <w:b/>
          <w:bCs/>
          <w:sz w:val="22"/>
          <w:szCs w:val="22"/>
        </w:rPr>
        <w:t xml:space="preserve"> </w:t>
      </w:r>
      <w:r w:rsidRPr="006C5DA2">
        <w:rPr>
          <w:rFonts w:ascii="Palatino Linotype" w:eastAsia="Batang" w:hAnsi="Palatino Linotype" w:cs="Tahoma"/>
          <w:bCs/>
          <w:sz w:val="22"/>
          <w:szCs w:val="22"/>
        </w:rPr>
        <w:t xml:space="preserve">al Medio de Impugnación que nos ocupa, con base en el sistema aprobado por el Pleno de este Órgano Garante y lo turnó al </w:t>
      </w:r>
      <w:r w:rsidRPr="006C5DA2">
        <w:rPr>
          <w:rFonts w:ascii="Palatino Linotype" w:eastAsia="Batang" w:hAnsi="Palatino Linotype" w:cs="Tahoma"/>
          <w:b/>
          <w:bCs/>
          <w:sz w:val="22"/>
          <w:szCs w:val="22"/>
        </w:rPr>
        <w:t xml:space="preserve">Comisionado Ponente Luis </w:t>
      </w:r>
      <w:r w:rsidRPr="006C5DA2">
        <w:rPr>
          <w:rFonts w:ascii="Palatino Linotype" w:eastAsia="Batang" w:hAnsi="Palatino Linotype" w:cs="Tahoma"/>
          <w:b/>
          <w:bCs/>
          <w:sz w:val="22"/>
          <w:szCs w:val="22"/>
        </w:rPr>
        <w:lastRenderedPageBreak/>
        <w:t>Gustavo Parra Noriega</w:t>
      </w:r>
      <w:r w:rsidRPr="006C5DA2">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752673EA" w14:textId="77777777" w:rsidR="00FD5AA4" w:rsidRPr="006C5DA2" w:rsidRDefault="00FD5AA4" w:rsidP="00CD7DE8">
      <w:pPr>
        <w:spacing w:line="360" w:lineRule="auto"/>
        <w:jc w:val="both"/>
        <w:rPr>
          <w:rFonts w:ascii="Palatino Linotype" w:eastAsia="Batang" w:hAnsi="Palatino Linotype" w:cs="Tahoma"/>
          <w:b/>
          <w:bCs/>
          <w:sz w:val="22"/>
          <w:szCs w:val="22"/>
        </w:rPr>
      </w:pPr>
    </w:p>
    <w:p w14:paraId="5F39C819" w14:textId="092381BA" w:rsidR="00FD5AA4" w:rsidRDefault="00FD5AA4" w:rsidP="00CD7DE8">
      <w:pPr>
        <w:spacing w:line="360" w:lineRule="auto"/>
        <w:jc w:val="both"/>
        <w:rPr>
          <w:rFonts w:ascii="Palatino Linotype" w:eastAsia="Batang" w:hAnsi="Palatino Linotype" w:cs="Tahoma"/>
          <w:bCs/>
          <w:sz w:val="22"/>
          <w:szCs w:val="22"/>
        </w:rPr>
      </w:pPr>
      <w:r w:rsidRPr="006C5DA2">
        <w:rPr>
          <w:rFonts w:ascii="Palatino Linotype" w:eastAsia="Batang" w:hAnsi="Palatino Linotype" w:cs="Tahoma"/>
          <w:b/>
          <w:bCs/>
          <w:sz w:val="22"/>
          <w:szCs w:val="22"/>
        </w:rPr>
        <w:t xml:space="preserve">b) Admisión del </w:t>
      </w:r>
      <w:r w:rsidRPr="006C5DA2">
        <w:rPr>
          <w:rFonts w:ascii="Palatino Linotype" w:hAnsi="Palatino Linotype" w:cs="Tahoma"/>
          <w:b/>
          <w:sz w:val="22"/>
          <w:szCs w:val="22"/>
        </w:rPr>
        <w:t>Recurso de Revisión</w:t>
      </w:r>
      <w:r w:rsidRPr="006C5DA2">
        <w:rPr>
          <w:rFonts w:ascii="Palatino Linotype" w:eastAsia="Batang" w:hAnsi="Palatino Linotype" w:cs="Tahoma"/>
          <w:b/>
          <w:bCs/>
          <w:sz w:val="22"/>
          <w:szCs w:val="22"/>
        </w:rPr>
        <w:t xml:space="preserve">. </w:t>
      </w:r>
      <w:r w:rsidRPr="006C5DA2">
        <w:rPr>
          <w:rFonts w:ascii="Palatino Linotype" w:eastAsia="Batang" w:hAnsi="Palatino Linotype" w:cs="Tahoma"/>
          <w:bCs/>
          <w:sz w:val="22"/>
          <w:szCs w:val="22"/>
        </w:rPr>
        <w:t xml:space="preserve">El </w:t>
      </w:r>
      <w:r w:rsidR="006932A2">
        <w:rPr>
          <w:rFonts w:ascii="Palatino Linotype" w:eastAsia="Batang" w:hAnsi="Palatino Linotype" w:cs="Tahoma"/>
          <w:bCs/>
          <w:sz w:val="22"/>
          <w:szCs w:val="22"/>
        </w:rPr>
        <w:t>diez de noviembre</w:t>
      </w:r>
      <w:r w:rsidR="00A633BB">
        <w:rPr>
          <w:rFonts w:ascii="Palatino Linotype" w:eastAsia="Batang" w:hAnsi="Palatino Linotype" w:cs="Tahoma"/>
          <w:bCs/>
          <w:sz w:val="22"/>
          <w:szCs w:val="22"/>
        </w:rPr>
        <w:t xml:space="preserve"> de dos mil </w:t>
      </w:r>
      <w:r w:rsidR="000B6349">
        <w:rPr>
          <w:rFonts w:ascii="Palatino Linotype" w:eastAsia="Batang" w:hAnsi="Palatino Linotype" w:cs="Tahoma"/>
          <w:bCs/>
          <w:sz w:val="22"/>
          <w:szCs w:val="22"/>
        </w:rPr>
        <w:t>veintiuno</w:t>
      </w:r>
      <w:r w:rsidRPr="006C5DA2">
        <w:rPr>
          <w:rFonts w:ascii="Palatino Linotype" w:eastAsia="Batang" w:hAnsi="Palatino Linotype" w:cs="Tahoma"/>
          <w:bCs/>
          <w:sz w:val="22"/>
          <w:szCs w:val="22"/>
        </w:rPr>
        <w:t>, se acordó la admisión del Recurso de Revisión interpuesto por el Particular en contra del Sujeto Obligado, en términos del artículo 185, fracciones I, II y IV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46BE5D18" w14:textId="77777777" w:rsidR="00FD5AA4" w:rsidRDefault="00FD5AA4" w:rsidP="00CD7DE8">
      <w:pPr>
        <w:spacing w:line="360" w:lineRule="auto"/>
        <w:jc w:val="both"/>
        <w:rPr>
          <w:rFonts w:ascii="Palatino Linotype" w:eastAsia="Batang" w:hAnsi="Palatino Linotype" w:cs="Tahoma"/>
          <w:bCs/>
          <w:sz w:val="22"/>
          <w:szCs w:val="22"/>
        </w:rPr>
      </w:pPr>
    </w:p>
    <w:p w14:paraId="78D2D26D" w14:textId="520D6F1B" w:rsidR="008A4E02" w:rsidRDefault="00FD5AA4" w:rsidP="00CD7DE8">
      <w:pPr>
        <w:autoSpaceDE w:val="0"/>
        <w:autoSpaceDN w:val="0"/>
        <w:adjustRightInd w:val="0"/>
        <w:spacing w:line="360" w:lineRule="auto"/>
        <w:contextualSpacing/>
        <w:jc w:val="both"/>
        <w:rPr>
          <w:rFonts w:ascii="Palatino Linotype" w:hAnsi="Palatino Linotype" w:cs="Tahoma"/>
          <w:sz w:val="22"/>
          <w:szCs w:val="22"/>
        </w:rPr>
      </w:pPr>
      <w:r w:rsidRPr="00183AF2">
        <w:rPr>
          <w:rFonts w:ascii="Palatino Linotype" w:hAnsi="Palatino Linotype" w:cs="Tahoma"/>
          <w:b/>
          <w:sz w:val="22"/>
          <w:szCs w:val="22"/>
        </w:rPr>
        <w:t>c) Informe Justificado</w:t>
      </w:r>
      <w:r w:rsidRPr="00033B8E">
        <w:rPr>
          <w:rFonts w:ascii="Palatino Linotype" w:hAnsi="Palatino Linotype" w:cs="Tahoma"/>
          <w:b/>
          <w:sz w:val="22"/>
          <w:szCs w:val="22"/>
        </w:rPr>
        <w:t xml:space="preserve">. </w:t>
      </w:r>
      <w:r>
        <w:rPr>
          <w:rFonts w:ascii="Palatino Linotype" w:hAnsi="Palatino Linotype" w:cs="Tahoma"/>
          <w:sz w:val="22"/>
          <w:szCs w:val="22"/>
        </w:rPr>
        <w:t>El</w:t>
      </w:r>
      <w:r w:rsidRPr="00033B8E">
        <w:rPr>
          <w:rFonts w:ascii="Palatino Linotype" w:hAnsi="Palatino Linotype" w:cs="Tahoma"/>
          <w:sz w:val="22"/>
          <w:szCs w:val="22"/>
        </w:rPr>
        <w:t xml:space="preserve"> </w:t>
      </w:r>
      <w:r w:rsidR="006932A2">
        <w:rPr>
          <w:rFonts w:ascii="Palatino Linotype" w:hAnsi="Palatino Linotype" w:cs="Tahoma"/>
          <w:sz w:val="22"/>
          <w:szCs w:val="22"/>
        </w:rPr>
        <w:t>veintidós</w:t>
      </w:r>
      <w:r w:rsidR="009839DA">
        <w:rPr>
          <w:rFonts w:ascii="Palatino Linotype" w:hAnsi="Palatino Linotype" w:cs="Tahoma"/>
          <w:sz w:val="22"/>
          <w:szCs w:val="22"/>
        </w:rPr>
        <w:t xml:space="preserve"> de noviembre</w:t>
      </w:r>
      <w:r w:rsidR="00A633BB">
        <w:rPr>
          <w:rFonts w:ascii="Palatino Linotype" w:hAnsi="Palatino Linotype" w:cs="Tahoma"/>
          <w:sz w:val="22"/>
          <w:szCs w:val="22"/>
        </w:rPr>
        <w:t xml:space="preserve"> de dos mil veintiuno</w:t>
      </w:r>
      <w:r w:rsidRPr="00033B8E">
        <w:rPr>
          <w:rFonts w:ascii="Palatino Linotype" w:hAnsi="Palatino Linotype" w:cs="Tahoma"/>
          <w:sz w:val="22"/>
          <w:szCs w:val="22"/>
        </w:rPr>
        <w:t xml:space="preserve">, se recibió, a través del Sistema de Acceso a la Información Mexiquense (SAIMEX), </w:t>
      </w:r>
      <w:r>
        <w:rPr>
          <w:rFonts w:ascii="Palatino Linotype" w:hAnsi="Palatino Linotype" w:cs="Tahoma"/>
          <w:sz w:val="22"/>
          <w:szCs w:val="22"/>
        </w:rPr>
        <w:t>el Informe Justificado</w:t>
      </w:r>
      <w:r w:rsidR="00FA4A90">
        <w:rPr>
          <w:rFonts w:ascii="Palatino Linotype" w:hAnsi="Palatino Linotype" w:cs="Tahoma"/>
          <w:sz w:val="22"/>
          <w:szCs w:val="22"/>
        </w:rPr>
        <w:t xml:space="preserve"> del Sujeto Obligado,</w:t>
      </w:r>
      <w:r w:rsidR="009839DA">
        <w:rPr>
          <w:rFonts w:ascii="Palatino Linotype" w:hAnsi="Palatino Linotype" w:cs="Tahoma"/>
          <w:sz w:val="22"/>
          <w:szCs w:val="22"/>
        </w:rPr>
        <w:t xml:space="preserve"> a través del oficio INFOEM/UT/</w:t>
      </w:r>
      <w:r w:rsidR="00B440AA">
        <w:rPr>
          <w:rFonts w:ascii="Palatino Linotype" w:hAnsi="Palatino Linotype" w:cs="Tahoma"/>
          <w:sz w:val="22"/>
          <w:szCs w:val="22"/>
        </w:rPr>
        <w:t>662</w:t>
      </w:r>
      <w:r w:rsidR="009839DA">
        <w:rPr>
          <w:rFonts w:ascii="Palatino Linotype" w:hAnsi="Palatino Linotype" w:cs="Tahoma"/>
          <w:sz w:val="22"/>
          <w:szCs w:val="22"/>
        </w:rPr>
        <w:t xml:space="preserve">/2021, </w:t>
      </w:r>
      <w:r w:rsidR="00FA4A90">
        <w:rPr>
          <w:rFonts w:ascii="Palatino Linotype" w:hAnsi="Palatino Linotype" w:cs="Tahoma"/>
          <w:sz w:val="22"/>
          <w:szCs w:val="22"/>
        </w:rPr>
        <w:t>del</w:t>
      </w:r>
      <w:r w:rsidR="009839DA">
        <w:rPr>
          <w:rFonts w:ascii="Palatino Linotype" w:hAnsi="Palatino Linotype" w:cs="Tahoma"/>
          <w:sz w:val="22"/>
          <w:szCs w:val="22"/>
        </w:rPr>
        <w:t xml:space="preserve"> </w:t>
      </w:r>
      <w:r w:rsidR="00B440AA">
        <w:rPr>
          <w:rFonts w:ascii="Palatino Linotype" w:hAnsi="Palatino Linotype" w:cs="Tahoma"/>
          <w:sz w:val="22"/>
          <w:szCs w:val="22"/>
        </w:rPr>
        <w:t>veintidós</w:t>
      </w:r>
      <w:r w:rsidR="009839DA">
        <w:rPr>
          <w:rFonts w:ascii="Palatino Linotype" w:hAnsi="Palatino Linotype" w:cs="Tahoma"/>
          <w:sz w:val="22"/>
          <w:szCs w:val="22"/>
        </w:rPr>
        <w:t xml:space="preserve"> de noviembre de dos mil veintiuno, </w:t>
      </w:r>
      <w:r w:rsidR="009839DA">
        <w:rPr>
          <w:rFonts w:ascii="Palatino Linotype" w:hAnsi="Palatino Linotype" w:cs="Tahoma"/>
          <w:bCs/>
          <w:sz w:val="22"/>
          <w:szCs w:val="22"/>
        </w:rPr>
        <w:t xml:space="preserve">suscrito por </w:t>
      </w:r>
      <w:r w:rsidR="00FA4A90">
        <w:rPr>
          <w:rFonts w:ascii="Palatino Linotype" w:hAnsi="Palatino Linotype" w:cs="Tahoma"/>
          <w:bCs/>
          <w:sz w:val="22"/>
          <w:szCs w:val="22"/>
        </w:rPr>
        <w:t>el</w:t>
      </w:r>
      <w:r w:rsidR="009839DA">
        <w:rPr>
          <w:rFonts w:ascii="Palatino Linotype" w:hAnsi="Palatino Linotype" w:cs="Tahoma"/>
          <w:bCs/>
          <w:sz w:val="22"/>
          <w:szCs w:val="22"/>
        </w:rPr>
        <w:t xml:space="preserve"> Titular de la Unidad de Transparencia</w:t>
      </w:r>
      <w:r w:rsidR="00823C68">
        <w:rPr>
          <w:rFonts w:ascii="Palatino Linotype" w:hAnsi="Palatino Linotype" w:cs="Tahoma"/>
          <w:bCs/>
          <w:sz w:val="22"/>
          <w:szCs w:val="22"/>
        </w:rPr>
        <w:t xml:space="preserve"> y dirigido al Comisionado Ponente,</w:t>
      </w:r>
      <w:r w:rsidR="009839DA">
        <w:rPr>
          <w:rFonts w:ascii="Palatino Linotype" w:hAnsi="Palatino Linotype" w:cs="Tahoma"/>
          <w:sz w:val="22"/>
          <w:szCs w:val="22"/>
        </w:rPr>
        <w:t xml:space="preserve"> </w:t>
      </w:r>
      <w:r w:rsidR="006714B4">
        <w:rPr>
          <w:rFonts w:ascii="Palatino Linotype" w:hAnsi="Palatino Linotype" w:cs="Tahoma"/>
          <w:sz w:val="22"/>
          <w:szCs w:val="22"/>
        </w:rPr>
        <w:t>por medio del cual ratificó la respuesta primigenia</w:t>
      </w:r>
      <w:r w:rsidR="00734A47">
        <w:rPr>
          <w:rFonts w:ascii="Palatino Linotype" w:hAnsi="Palatino Linotype" w:cs="Tahoma"/>
          <w:sz w:val="22"/>
          <w:szCs w:val="22"/>
        </w:rPr>
        <w:t xml:space="preserve">, </w:t>
      </w:r>
      <w:r w:rsidR="004F0865">
        <w:rPr>
          <w:rFonts w:ascii="Palatino Linotype" w:hAnsi="Palatino Linotype" w:cs="Tahoma"/>
          <w:sz w:val="22"/>
          <w:szCs w:val="22"/>
        </w:rPr>
        <w:t>y solicitó se confirme la respuesta primigenia.</w:t>
      </w:r>
    </w:p>
    <w:p w14:paraId="68589A9A" w14:textId="686C3D4B" w:rsidR="009839DA" w:rsidRDefault="009839DA" w:rsidP="00CD7DE8">
      <w:pPr>
        <w:autoSpaceDE w:val="0"/>
        <w:autoSpaceDN w:val="0"/>
        <w:adjustRightInd w:val="0"/>
        <w:spacing w:line="360" w:lineRule="auto"/>
        <w:contextualSpacing/>
        <w:jc w:val="both"/>
        <w:rPr>
          <w:rFonts w:ascii="Palatino Linotype" w:hAnsi="Palatino Linotype" w:cs="Tahoma"/>
          <w:sz w:val="22"/>
          <w:szCs w:val="22"/>
        </w:rPr>
      </w:pPr>
    </w:p>
    <w:p w14:paraId="1B7841F6" w14:textId="6BC85384" w:rsidR="00B440AA" w:rsidRDefault="00B440AA" w:rsidP="00CD7DE8">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El Sujeto Obligado adjuntó la digitalización de los siguientes documentos:</w:t>
      </w:r>
    </w:p>
    <w:p w14:paraId="31D9736A" w14:textId="77777777" w:rsidR="00B440AA" w:rsidRDefault="00B440AA" w:rsidP="00CD7DE8">
      <w:pPr>
        <w:autoSpaceDE w:val="0"/>
        <w:autoSpaceDN w:val="0"/>
        <w:adjustRightInd w:val="0"/>
        <w:spacing w:line="360" w:lineRule="auto"/>
        <w:contextualSpacing/>
        <w:jc w:val="both"/>
        <w:rPr>
          <w:rFonts w:ascii="Palatino Linotype" w:hAnsi="Palatino Linotype" w:cs="Tahoma"/>
          <w:sz w:val="22"/>
          <w:szCs w:val="22"/>
        </w:rPr>
      </w:pPr>
    </w:p>
    <w:p w14:paraId="2A2FFE82" w14:textId="571DD8AE" w:rsidR="009839DA" w:rsidRDefault="009839DA" w:rsidP="00CD7DE8">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i) Oficio INFOEM/UT/2</w:t>
      </w:r>
      <w:r w:rsidR="00B440AA">
        <w:rPr>
          <w:rFonts w:ascii="Palatino Linotype" w:hAnsi="Palatino Linotype" w:cs="Tahoma"/>
          <w:sz w:val="22"/>
          <w:szCs w:val="22"/>
        </w:rPr>
        <w:t>77</w:t>
      </w:r>
      <w:r>
        <w:rPr>
          <w:rFonts w:ascii="Palatino Linotype" w:hAnsi="Palatino Linotype" w:cs="Tahoma"/>
          <w:sz w:val="22"/>
          <w:szCs w:val="22"/>
        </w:rPr>
        <w:t>/2021</w:t>
      </w:r>
      <w:r w:rsidR="00B440AA">
        <w:rPr>
          <w:rFonts w:ascii="Palatino Linotype" w:hAnsi="Palatino Linotype" w:cs="Tahoma"/>
          <w:sz w:val="22"/>
          <w:szCs w:val="22"/>
        </w:rPr>
        <w:t xml:space="preserve">, </w:t>
      </w:r>
      <w:r w:rsidR="00301B76">
        <w:rPr>
          <w:rFonts w:ascii="Palatino Linotype" w:hAnsi="Palatino Linotype" w:cs="Tahoma"/>
          <w:sz w:val="22"/>
          <w:szCs w:val="22"/>
        </w:rPr>
        <w:t>del</w:t>
      </w:r>
      <w:r>
        <w:rPr>
          <w:rFonts w:ascii="Palatino Linotype" w:hAnsi="Palatino Linotype" w:cs="Tahoma"/>
          <w:sz w:val="22"/>
          <w:szCs w:val="22"/>
        </w:rPr>
        <w:t xml:space="preserve"> </w:t>
      </w:r>
      <w:r w:rsidR="00B440AA">
        <w:rPr>
          <w:rFonts w:ascii="Palatino Linotype" w:hAnsi="Palatino Linotype" w:cs="Tahoma"/>
          <w:sz w:val="22"/>
          <w:szCs w:val="22"/>
        </w:rPr>
        <w:t>once de noviembre</w:t>
      </w:r>
      <w:r>
        <w:rPr>
          <w:rFonts w:ascii="Palatino Linotype" w:hAnsi="Palatino Linotype" w:cs="Tahoma"/>
          <w:sz w:val="22"/>
          <w:szCs w:val="22"/>
        </w:rPr>
        <w:t xml:space="preserve"> de dos mil veintiuno, suscrito por el Titular de la Unidad de Transparencia</w:t>
      </w:r>
      <w:r w:rsidR="00B440AA">
        <w:rPr>
          <w:rFonts w:ascii="Palatino Linotype" w:hAnsi="Palatino Linotype" w:cs="Tahoma"/>
          <w:sz w:val="22"/>
          <w:szCs w:val="22"/>
        </w:rPr>
        <w:t xml:space="preserve"> y dirigido al Contralor Interno y Titular del Órgano de Control y Vigilancia, por medio del cual le solicita</w:t>
      </w:r>
      <w:r w:rsidR="003C0AC2">
        <w:rPr>
          <w:rFonts w:ascii="Palatino Linotype" w:hAnsi="Palatino Linotype" w:cs="Tahoma"/>
          <w:sz w:val="22"/>
          <w:szCs w:val="22"/>
        </w:rPr>
        <w:t xml:space="preserve"> que emita su Informe Justificado.</w:t>
      </w:r>
    </w:p>
    <w:p w14:paraId="78AA7650" w14:textId="77777777" w:rsidR="00823C68" w:rsidRDefault="00823C68" w:rsidP="00CD7DE8">
      <w:pPr>
        <w:autoSpaceDE w:val="0"/>
        <w:autoSpaceDN w:val="0"/>
        <w:adjustRightInd w:val="0"/>
        <w:spacing w:line="360" w:lineRule="auto"/>
        <w:contextualSpacing/>
        <w:jc w:val="both"/>
        <w:rPr>
          <w:rFonts w:ascii="Palatino Linotype" w:hAnsi="Palatino Linotype" w:cs="Tahoma"/>
          <w:sz w:val="22"/>
          <w:szCs w:val="22"/>
        </w:rPr>
      </w:pPr>
    </w:p>
    <w:p w14:paraId="5EAB9070" w14:textId="790903F0" w:rsidR="009839DA" w:rsidRDefault="009839DA" w:rsidP="00CD7DE8">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lastRenderedPageBreak/>
        <w:t xml:space="preserve">ii) </w:t>
      </w:r>
      <w:r w:rsidR="008C2AD9" w:rsidRPr="008C2AD9">
        <w:rPr>
          <w:rFonts w:ascii="Palatino Linotype" w:hAnsi="Palatino Linotype" w:cs="Tahoma"/>
          <w:sz w:val="22"/>
          <w:szCs w:val="22"/>
        </w:rPr>
        <w:t>Memorándum</w:t>
      </w:r>
      <w:r w:rsidRPr="009839DA">
        <w:rPr>
          <w:rFonts w:ascii="Palatino Linotype" w:hAnsi="Palatino Linotype" w:cs="Tahoma"/>
          <w:sz w:val="22"/>
          <w:szCs w:val="22"/>
        </w:rPr>
        <w:t xml:space="preserve"> </w:t>
      </w:r>
      <w:r w:rsidR="003C0AC2" w:rsidRPr="003C0AC2">
        <w:rPr>
          <w:rFonts w:ascii="Palatino Linotype" w:hAnsi="Palatino Linotype" w:cs="Tahoma"/>
          <w:sz w:val="22"/>
          <w:szCs w:val="22"/>
        </w:rPr>
        <w:t>INFOEM/CI-OCV/0504/2021</w:t>
      </w:r>
      <w:r w:rsidRPr="009839DA">
        <w:rPr>
          <w:rFonts w:ascii="Palatino Linotype" w:hAnsi="Palatino Linotype" w:cs="Tahoma"/>
          <w:sz w:val="22"/>
          <w:szCs w:val="22"/>
        </w:rPr>
        <w:t xml:space="preserve">, </w:t>
      </w:r>
      <w:r w:rsidR="003C0AC2">
        <w:rPr>
          <w:rFonts w:ascii="Palatino Linotype" w:hAnsi="Palatino Linotype" w:cs="Tahoma"/>
          <w:sz w:val="22"/>
          <w:szCs w:val="22"/>
        </w:rPr>
        <w:t xml:space="preserve">del diecisiete </w:t>
      </w:r>
      <w:r>
        <w:rPr>
          <w:rFonts w:ascii="Palatino Linotype" w:hAnsi="Palatino Linotype" w:cs="Tahoma"/>
          <w:sz w:val="22"/>
          <w:szCs w:val="22"/>
        </w:rPr>
        <w:t xml:space="preserve">de noviembre </w:t>
      </w:r>
      <w:r w:rsidRPr="009839DA">
        <w:rPr>
          <w:rFonts w:ascii="Palatino Linotype" w:hAnsi="Palatino Linotype" w:cs="Tahoma"/>
          <w:sz w:val="22"/>
          <w:szCs w:val="22"/>
        </w:rPr>
        <w:t xml:space="preserve">de dos mil veintiuno, suscrito </w:t>
      </w:r>
      <w:r w:rsidR="003C0AC2">
        <w:rPr>
          <w:rFonts w:ascii="Palatino Linotype" w:hAnsi="Palatino Linotype" w:cs="Tahoma"/>
          <w:sz w:val="22"/>
          <w:szCs w:val="22"/>
        </w:rPr>
        <w:t>Contralor Interno y Titular del Órgano de Control y Vigilancia</w:t>
      </w:r>
      <w:r w:rsidR="00301B76">
        <w:rPr>
          <w:rFonts w:ascii="Palatino Linotype" w:hAnsi="Palatino Linotype" w:cs="Tahoma"/>
          <w:sz w:val="22"/>
          <w:szCs w:val="22"/>
        </w:rPr>
        <w:t xml:space="preserve">, </w:t>
      </w:r>
      <w:r w:rsidR="006E0064">
        <w:rPr>
          <w:rFonts w:ascii="Palatino Linotype" w:hAnsi="Palatino Linotype" w:cs="Tahoma"/>
          <w:sz w:val="22"/>
          <w:szCs w:val="22"/>
        </w:rPr>
        <w:t>dirigido</w:t>
      </w:r>
      <w:r w:rsidR="003C0AC2">
        <w:rPr>
          <w:rFonts w:ascii="Palatino Linotype" w:hAnsi="Palatino Linotype" w:cs="Tahoma"/>
          <w:sz w:val="22"/>
          <w:szCs w:val="22"/>
        </w:rPr>
        <w:t xml:space="preserve"> </w:t>
      </w:r>
      <w:r w:rsidR="006E0064">
        <w:rPr>
          <w:rFonts w:ascii="Palatino Linotype" w:hAnsi="Palatino Linotype" w:cs="Tahoma"/>
          <w:sz w:val="22"/>
          <w:szCs w:val="22"/>
        </w:rPr>
        <w:t>al</w:t>
      </w:r>
      <w:r w:rsidRPr="009839DA">
        <w:rPr>
          <w:rFonts w:ascii="Palatino Linotype" w:hAnsi="Palatino Linotype" w:cs="Tahoma"/>
          <w:sz w:val="22"/>
          <w:szCs w:val="22"/>
        </w:rPr>
        <w:t xml:space="preserve"> Titular de la Unidad de Transparencia, mediante </w:t>
      </w:r>
      <w:r w:rsidR="003C0AC2">
        <w:rPr>
          <w:rFonts w:ascii="Palatino Linotype" w:hAnsi="Palatino Linotype" w:cs="Tahoma"/>
          <w:sz w:val="22"/>
          <w:szCs w:val="22"/>
        </w:rPr>
        <w:t>el cual ratificó la respuesta primigenia.</w:t>
      </w:r>
    </w:p>
    <w:p w14:paraId="7D956926" w14:textId="63F8D42E" w:rsidR="008A4E02" w:rsidRPr="00ED57FE" w:rsidRDefault="008A4E02" w:rsidP="00CD7DE8">
      <w:pPr>
        <w:autoSpaceDE w:val="0"/>
        <w:autoSpaceDN w:val="0"/>
        <w:adjustRightInd w:val="0"/>
        <w:spacing w:line="360" w:lineRule="auto"/>
        <w:contextualSpacing/>
        <w:jc w:val="center"/>
        <w:rPr>
          <w:rFonts w:ascii="Palatino Linotype" w:hAnsi="Palatino Linotype" w:cs="Tahoma"/>
          <w:bCs/>
          <w:sz w:val="22"/>
          <w:szCs w:val="22"/>
        </w:rPr>
      </w:pPr>
    </w:p>
    <w:p w14:paraId="2FC91E62" w14:textId="66EA8479" w:rsidR="003C0AC2" w:rsidRDefault="008A4E02" w:rsidP="00CD7DE8">
      <w:pPr>
        <w:spacing w:line="360" w:lineRule="auto"/>
        <w:jc w:val="both"/>
        <w:rPr>
          <w:rFonts w:ascii="Palatino Linotype" w:hAnsi="Palatino Linotype" w:cs="Tahoma"/>
          <w:color w:val="0D0D0D" w:themeColor="text1" w:themeTint="F2"/>
          <w:sz w:val="22"/>
          <w:szCs w:val="22"/>
          <w:lang w:val="es-ES_tradnl"/>
        </w:rPr>
      </w:pPr>
      <w:r>
        <w:rPr>
          <w:rFonts w:ascii="Palatino Linotype" w:eastAsia="Palatino Linotype" w:hAnsi="Palatino Linotype" w:cs="Palatino Linotype"/>
          <w:b/>
          <w:bCs/>
          <w:sz w:val="22"/>
          <w:szCs w:val="22"/>
          <w:lang w:val="es-ES"/>
        </w:rPr>
        <w:t>d</w:t>
      </w:r>
      <w:r w:rsidR="00FD5AA4" w:rsidRPr="006C5DA2">
        <w:rPr>
          <w:rFonts w:ascii="Palatino Linotype" w:eastAsia="Palatino Linotype" w:hAnsi="Palatino Linotype" w:cs="Palatino Linotype"/>
          <w:b/>
          <w:bCs/>
          <w:sz w:val="22"/>
          <w:szCs w:val="22"/>
          <w:lang w:val="es-ES"/>
        </w:rPr>
        <w:t xml:space="preserve">) </w:t>
      </w:r>
      <w:r w:rsidR="003C0AC2">
        <w:rPr>
          <w:rFonts w:ascii="Palatino Linotype" w:hAnsi="Palatino Linotype" w:cs="Tahoma"/>
          <w:b/>
          <w:sz w:val="22"/>
          <w:szCs w:val="22"/>
        </w:rPr>
        <w:t xml:space="preserve">Requerimiento de Información Adicional. </w:t>
      </w:r>
      <w:r w:rsidR="003C0AC2" w:rsidRPr="00A03C73">
        <w:rPr>
          <w:rFonts w:ascii="Palatino Linotype" w:hAnsi="Palatino Linotype" w:cs="Tahoma"/>
          <w:bCs/>
          <w:sz w:val="22"/>
          <w:szCs w:val="22"/>
        </w:rPr>
        <w:t>El</w:t>
      </w:r>
      <w:r w:rsidR="003C0AC2" w:rsidRPr="00A03C73">
        <w:rPr>
          <w:rFonts w:ascii="Palatino Linotype" w:hAnsi="Palatino Linotype" w:cs="Arial"/>
          <w:bCs/>
          <w:color w:val="000000" w:themeColor="text1"/>
          <w:sz w:val="22"/>
          <w:szCs w:val="22"/>
        </w:rPr>
        <w:t xml:space="preserve"> </w:t>
      </w:r>
      <w:r w:rsidR="003C0AC2">
        <w:rPr>
          <w:rFonts w:ascii="Palatino Linotype" w:hAnsi="Palatino Linotype" w:cs="Arial"/>
          <w:bCs/>
          <w:color w:val="000000" w:themeColor="text1"/>
          <w:sz w:val="22"/>
          <w:szCs w:val="22"/>
        </w:rPr>
        <w:t>diez de enero de dos mil veintidós</w:t>
      </w:r>
      <w:r w:rsidR="003C0AC2">
        <w:rPr>
          <w:rFonts w:ascii="Palatino Linotype" w:hAnsi="Palatino Linotype" w:cs="Tahoma"/>
          <w:sz w:val="22"/>
          <w:szCs w:val="22"/>
        </w:rPr>
        <w:t xml:space="preserve">, </w:t>
      </w:r>
      <w:r w:rsidR="003C0AC2">
        <w:rPr>
          <w:rFonts w:ascii="Palatino Linotype" w:hAnsi="Palatino Linotype" w:cs="Tahoma"/>
          <w:color w:val="0D0D0D" w:themeColor="text1" w:themeTint="F2"/>
          <w:sz w:val="22"/>
          <w:szCs w:val="22"/>
          <w:lang w:val="es-ES_tradnl"/>
        </w:rPr>
        <w:t>se emitió un requerimiento de información adicional, suscrito por el Comisionado Ponente, dirigido al Titular de la Unidad de Transparencia del Ente Recurrido, de conformidad con los artículos 14, fracciones I, II, V y XVI, del Reglamento Interior del Instituto de Transparencia, Acceso a la Información Pública y Protección de Datos Personales del Estado de México y Municipios, mismo que fue notificado al Ente Recurrido, el mismo, a través de correo electrónico y el Sistema de Acceso a la Información Mexiquense (SAIMEX), por medio del cual se le solicitó lo siguiente:</w:t>
      </w:r>
    </w:p>
    <w:p w14:paraId="519F60E8" w14:textId="77777777" w:rsidR="003C0AC2" w:rsidRDefault="003C0AC2" w:rsidP="00CD7DE8">
      <w:pPr>
        <w:spacing w:line="360" w:lineRule="auto"/>
        <w:jc w:val="both"/>
        <w:rPr>
          <w:rFonts w:ascii="Palatino Linotype" w:hAnsi="Palatino Linotype" w:cs="Arial"/>
          <w:color w:val="000000" w:themeColor="text1"/>
          <w:sz w:val="22"/>
          <w:szCs w:val="22"/>
          <w:lang w:val="es-ES"/>
        </w:rPr>
      </w:pPr>
    </w:p>
    <w:p w14:paraId="6A557850" w14:textId="77777777" w:rsidR="003C0AC2" w:rsidRDefault="003C0AC2" w:rsidP="00CD7DE8">
      <w:pPr>
        <w:spacing w:line="360" w:lineRule="auto"/>
        <w:ind w:left="567" w:right="567"/>
        <w:jc w:val="both"/>
        <w:rPr>
          <w:rFonts w:ascii="Palatino Linotype" w:hAnsi="Palatino Linotype" w:cs="Arial"/>
          <w:i/>
          <w:color w:val="000000" w:themeColor="text1"/>
          <w:szCs w:val="22"/>
          <w:lang w:val="es-ES_tradnl"/>
        </w:rPr>
      </w:pPr>
      <w:r w:rsidRPr="00A03C73">
        <w:rPr>
          <w:rFonts w:ascii="Palatino Linotype" w:hAnsi="Palatino Linotype" w:cs="Arial"/>
          <w:i/>
          <w:color w:val="000000" w:themeColor="text1"/>
          <w:szCs w:val="22"/>
          <w:lang w:val="es-ES_tradnl"/>
        </w:rPr>
        <w:t>“…</w:t>
      </w:r>
    </w:p>
    <w:p w14:paraId="6D516675" w14:textId="77777777" w:rsidR="008C2AD9" w:rsidRDefault="008C2AD9" w:rsidP="00CD7DE8">
      <w:pPr>
        <w:spacing w:line="360" w:lineRule="auto"/>
        <w:ind w:left="567" w:right="567"/>
        <w:jc w:val="both"/>
        <w:rPr>
          <w:rFonts w:ascii="Palatino Linotype" w:hAnsi="Palatino Linotype" w:cs="Arial"/>
          <w:i/>
          <w:color w:val="000000" w:themeColor="text1"/>
          <w:szCs w:val="22"/>
        </w:rPr>
      </w:pPr>
      <w:r w:rsidRPr="008C2AD9">
        <w:rPr>
          <w:rFonts w:ascii="Palatino Linotype" w:hAnsi="Palatino Linotype" w:cs="Arial"/>
          <w:i/>
          <w:color w:val="000000" w:themeColor="text1"/>
          <w:szCs w:val="22"/>
        </w:rPr>
        <w:t>• Si, en los archivos de la Contraloría Municipal, obran las manifestaciones de bienes o declaraciones patrimoniales requeridas, del dos mil quince a la fecha de la</w:t>
      </w:r>
      <w:r>
        <w:rPr>
          <w:rFonts w:ascii="Palatino Linotype" w:hAnsi="Palatino Linotype" w:cs="Arial"/>
          <w:i/>
          <w:color w:val="000000" w:themeColor="text1"/>
          <w:szCs w:val="22"/>
        </w:rPr>
        <w:t xml:space="preserve"> </w:t>
      </w:r>
      <w:r w:rsidRPr="008C2AD9">
        <w:rPr>
          <w:rFonts w:ascii="Palatino Linotype" w:hAnsi="Palatino Linotype" w:cs="Arial"/>
          <w:i/>
          <w:color w:val="000000" w:themeColor="text1"/>
          <w:szCs w:val="22"/>
        </w:rPr>
        <w:t xml:space="preserve">solicitud, de todos los servidores públicos adscritos a dicha área; en caso, afirmativo precise lo siguiente: </w:t>
      </w:r>
    </w:p>
    <w:p w14:paraId="005F40DA" w14:textId="77777777" w:rsidR="008C2AD9" w:rsidRDefault="008C2AD9" w:rsidP="00CD7DE8">
      <w:pPr>
        <w:spacing w:line="360" w:lineRule="auto"/>
        <w:ind w:left="567" w:right="567"/>
        <w:jc w:val="both"/>
        <w:rPr>
          <w:rFonts w:ascii="Palatino Linotype" w:hAnsi="Palatino Linotype" w:cs="Arial"/>
          <w:i/>
          <w:color w:val="000000" w:themeColor="text1"/>
          <w:szCs w:val="22"/>
        </w:rPr>
      </w:pPr>
    </w:p>
    <w:p w14:paraId="153A0BAB" w14:textId="03988DDF" w:rsidR="008C2AD9" w:rsidRDefault="008C2AD9" w:rsidP="00CD7DE8">
      <w:pPr>
        <w:spacing w:line="360" w:lineRule="auto"/>
        <w:ind w:left="567" w:right="567" w:firstLine="141"/>
        <w:jc w:val="both"/>
        <w:rPr>
          <w:rFonts w:ascii="Palatino Linotype" w:hAnsi="Palatino Linotype" w:cs="Arial"/>
          <w:i/>
          <w:color w:val="000000" w:themeColor="text1"/>
          <w:szCs w:val="22"/>
        </w:rPr>
      </w:pPr>
      <w:r w:rsidRPr="008C2AD9">
        <w:rPr>
          <w:rFonts w:ascii="Palatino Linotype" w:hAnsi="Palatino Linotype" w:cs="Arial"/>
          <w:i/>
          <w:color w:val="000000" w:themeColor="text1"/>
          <w:szCs w:val="22"/>
        </w:rPr>
        <w:t xml:space="preserve">1. El sistema mediante el cual se presentaron y a quién pertenece; </w:t>
      </w:r>
    </w:p>
    <w:p w14:paraId="0E875BD6" w14:textId="77777777" w:rsidR="008C2AD9" w:rsidRDefault="008C2AD9" w:rsidP="00CD7DE8">
      <w:pPr>
        <w:spacing w:line="360" w:lineRule="auto"/>
        <w:ind w:left="567" w:right="567"/>
        <w:jc w:val="both"/>
        <w:rPr>
          <w:rFonts w:ascii="Palatino Linotype" w:hAnsi="Palatino Linotype" w:cs="Arial"/>
          <w:i/>
          <w:color w:val="000000" w:themeColor="text1"/>
          <w:szCs w:val="22"/>
        </w:rPr>
      </w:pPr>
    </w:p>
    <w:p w14:paraId="6216691F" w14:textId="1CCF8193" w:rsidR="008C2AD9" w:rsidRDefault="008C2AD9" w:rsidP="00CD7DE8">
      <w:pPr>
        <w:spacing w:line="360" w:lineRule="auto"/>
        <w:ind w:left="708" w:right="567"/>
        <w:jc w:val="both"/>
        <w:rPr>
          <w:rFonts w:ascii="Palatino Linotype" w:hAnsi="Palatino Linotype" w:cs="Arial"/>
          <w:i/>
          <w:color w:val="000000" w:themeColor="text1"/>
          <w:szCs w:val="22"/>
        </w:rPr>
      </w:pPr>
      <w:r w:rsidRPr="008C2AD9">
        <w:rPr>
          <w:rFonts w:ascii="Palatino Linotype" w:hAnsi="Palatino Linotype" w:cs="Arial"/>
          <w:i/>
          <w:color w:val="000000" w:themeColor="text1"/>
          <w:szCs w:val="22"/>
        </w:rPr>
        <w:t xml:space="preserve">2. Si los servidores públicos dieron su autorización para publicar la información localizada en las declaraciones; </w:t>
      </w:r>
    </w:p>
    <w:p w14:paraId="5FAA97E0" w14:textId="77777777" w:rsidR="008C2AD9" w:rsidRDefault="008C2AD9" w:rsidP="00CD7DE8">
      <w:pPr>
        <w:spacing w:line="360" w:lineRule="auto"/>
        <w:ind w:right="567"/>
        <w:jc w:val="both"/>
        <w:rPr>
          <w:rFonts w:ascii="Palatino Linotype" w:hAnsi="Palatino Linotype" w:cs="Arial"/>
          <w:i/>
          <w:color w:val="000000" w:themeColor="text1"/>
          <w:szCs w:val="22"/>
        </w:rPr>
      </w:pPr>
    </w:p>
    <w:p w14:paraId="747690A9" w14:textId="77777777" w:rsidR="008C2AD9" w:rsidRDefault="008C2AD9" w:rsidP="00CD7DE8">
      <w:pPr>
        <w:spacing w:line="360" w:lineRule="auto"/>
        <w:ind w:left="708" w:right="567"/>
        <w:jc w:val="both"/>
        <w:rPr>
          <w:rFonts w:ascii="Palatino Linotype" w:hAnsi="Palatino Linotype" w:cs="Arial"/>
          <w:i/>
          <w:color w:val="000000" w:themeColor="text1"/>
          <w:szCs w:val="22"/>
        </w:rPr>
      </w:pPr>
      <w:r w:rsidRPr="008C2AD9">
        <w:rPr>
          <w:rFonts w:ascii="Palatino Linotype" w:hAnsi="Palatino Linotype" w:cs="Arial"/>
          <w:i/>
          <w:color w:val="000000" w:themeColor="text1"/>
          <w:szCs w:val="22"/>
        </w:rPr>
        <w:t xml:space="preserve">3. Si las declaraciones presentadas durante el ejercicio fiscal, dos mil veintiuno, se realizaron conforme a los formatos emitidos por el Comité Coordinador del Sistema Nacional Anticorrupción, y </w:t>
      </w:r>
    </w:p>
    <w:p w14:paraId="42DFF7C1" w14:textId="10CBC5F9" w:rsidR="003C0AC2" w:rsidRDefault="008C2AD9" w:rsidP="00CD7DE8">
      <w:pPr>
        <w:spacing w:line="360" w:lineRule="auto"/>
        <w:ind w:left="708" w:right="567"/>
        <w:jc w:val="both"/>
        <w:rPr>
          <w:rFonts w:ascii="Palatino Linotype" w:hAnsi="Palatino Linotype" w:cs="Arial"/>
          <w:i/>
          <w:color w:val="000000" w:themeColor="text1"/>
          <w:szCs w:val="22"/>
        </w:rPr>
      </w:pPr>
      <w:r w:rsidRPr="008C2AD9">
        <w:rPr>
          <w:rFonts w:ascii="Palatino Linotype" w:hAnsi="Palatino Linotype" w:cs="Arial"/>
          <w:i/>
          <w:color w:val="000000" w:themeColor="text1"/>
          <w:szCs w:val="22"/>
        </w:rPr>
        <w:lastRenderedPageBreak/>
        <w:t>4. Precise la fecha en que se presentaron las declaraciones, durante el ejercicio fiscal dos mil dieciséis, y bajo qué Ley de Responsabilidades se realizaron.</w:t>
      </w:r>
    </w:p>
    <w:p w14:paraId="4DEA43AE" w14:textId="77777777" w:rsidR="003C0AC2" w:rsidRDefault="003C0AC2" w:rsidP="00CD7DE8">
      <w:pPr>
        <w:spacing w:line="360" w:lineRule="auto"/>
        <w:ind w:left="567" w:right="567"/>
        <w:jc w:val="both"/>
        <w:rPr>
          <w:rFonts w:ascii="Palatino Linotype" w:hAnsi="Palatino Linotype" w:cs="Arial"/>
          <w:bCs/>
          <w:i/>
          <w:color w:val="000000" w:themeColor="text1"/>
          <w:szCs w:val="22"/>
        </w:rPr>
      </w:pPr>
      <w:r>
        <w:rPr>
          <w:rFonts w:ascii="Palatino Linotype" w:hAnsi="Palatino Linotype" w:cs="Arial"/>
          <w:bCs/>
          <w:i/>
          <w:color w:val="000000" w:themeColor="text1"/>
          <w:szCs w:val="22"/>
        </w:rPr>
        <w:t>...” (Sic)</w:t>
      </w:r>
    </w:p>
    <w:p w14:paraId="2F3338AA" w14:textId="77777777" w:rsidR="003C0AC2" w:rsidRDefault="003C0AC2" w:rsidP="00CD7DE8">
      <w:pPr>
        <w:spacing w:line="360" w:lineRule="auto"/>
        <w:jc w:val="both"/>
        <w:rPr>
          <w:rFonts w:ascii="Palatino Linotype" w:hAnsi="Palatino Linotype" w:cs="Tahoma"/>
          <w:b/>
          <w:sz w:val="22"/>
          <w:szCs w:val="22"/>
        </w:rPr>
      </w:pPr>
    </w:p>
    <w:p w14:paraId="4E29D4D1" w14:textId="1A30383A" w:rsidR="003C0AC2" w:rsidRDefault="003C0AC2" w:rsidP="00CD7DE8">
      <w:pPr>
        <w:spacing w:line="360" w:lineRule="auto"/>
        <w:jc w:val="both"/>
        <w:rPr>
          <w:rFonts w:ascii="Palatino Linotype" w:hAnsi="Palatino Linotype" w:cs="Tahoma"/>
          <w:sz w:val="22"/>
          <w:szCs w:val="22"/>
          <w:lang w:val="es-ES"/>
        </w:rPr>
      </w:pPr>
      <w:r>
        <w:rPr>
          <w:rFonts w:ascii="Palatino Linotype" w:eastAsia="Palatino Linotype" w:hAnsi="Palatino Linotype" w:cs="Palatino Linotype"/>
          <w:b/>
          <w:bCs/>
          <w:sz w:val="22"/>
          <w:szCs w:val="22"/>
          <w:lang w:val="es-ES"/>
        </w:rPr>
        <w:t xml:space="preserve">e) </w:t>
      </w:r>
      <w:r>
        <w:rPr>
          <w:rFonts w:ascii="Palatino Linotype" w:hAnsi="Palatino Linotype" w:cs="Tahoma"/>
          <w:b/>
          <w:bCs/>
          <w:sz w:val="22"/>
          <w:szCs w:val="22"/>
          <w:lang w:val="es-ES"/>
        </w:rPr>
        <w:t xml:space="preserve">Ampliación de plazo para resolver. </w:t>
      </w:r>
      <w:r>
        <w:rPr>
          <w:rFonts w:ascii="Palatino Linotype" w:hAnsi="Palatino Linotype" w:cs="Tahoma"/>
          <w:sz w:val="22"/>
          <w:szCs w:val="22"/>
          <w:lang w:val="es-ES"/>
        </w:rPr>
        <w:t>El diez de enero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 acto que fue notificado a las partes, mediante el Sistema de Acceso a la Información Mexiquense (SAIMEX), el doce de dicho mes y año.</w:t>
      </w:r>
    </w:p>
    <w:p w14:paraId="46E9C743" w14:textId="77777777" w:rsidR="003C0AC2" w:rsidRDefault="003C0AC2" w:rsidP="00CD7DE8">
      <w:pPr>
        <w:spacing w:line="360" w:lineRule="auto"/>
        <w:jc w:val="both"/>
        <w:rPr>
          <w:rFonts w:ascii="Palatino Linotype" w:hAnsi="Palatino Linotype" w:cs="Tahoma"/>
          <w:b/>
          <w:sz w:val="22"/>
          <w:szCs w:val="22"/>
        </w:rPr>
      </w:pPr>
    </w:p>
    <w:p w14:paraId="35D62294" w14:textId="14DBE6EC" w:rsidR="003C0AC2" w:rsidRDefault="00AC6C0A" w:rsidP="00CD7DE8">
      <w:pPr>
        <w:autoSpaceDE w:val="0"/>
        <w:autoSpaceDN w:val="0"/>
        <w:adjustRightInd w:val="0"/>
        <w:spacing w:line="360" w:lineRule="auto"/>
        <w:jc w:val="both"/>
        <w:rPr>
          <w:rFonts w:ascii="Palatino Linotype" w:hAnsi="Palatino Linotype" w:cs="Tahoma"/>
          <w:sz w:val="22"/>
          <w:szCs w:val="22"/>
          <w:lang w:val="es-ES"/>
        </w:rPr>
      </w:pPr>
      <w:r>
        <w:rPr>
          <w:rFonts w:ascii="Palatino Linotype" w:hAnsi="Palatino Linotype" w:cs="Tahoma"/>
          <w:b/>
          <w:sz w:val="22"/>
          <w:szCs w:val="22"/>
        </w:rPr>
        <w:t>f</w:t>
      </w:r>
      <w:r w:rsidR="003C0AC2">
        <w:rPr>
          <w:rFonts w:ascii="Palatino Linotype" w:hAnsi="Palatino Linotype" w:cs="Tahoma"/>
          <w:b/>
          <w:sz w:val="22"/>
          <w:szCs w:val="22"/>
        </w:rPr>
        <w:t xml:space="preserve">) Desahogo del Requerimiento de Información Adicional. </w:t>
      </w:r>
      <w:r w:rsidR="003C0AC2" w:rsidRPr="00136500">
        <w:rPr>
          <w:rFonts w:ascii="Palatino Linotype" w:hAnsi="Palatino Linotype" w:cs="Tahoma"/>
          <w:bCs/>
          <w:sz w:val="22"/>
          <w:szCs w:val="22"/>
        </w:rPr>
        <w:t>El</w:t>
      </w:r>
      <w:r w:rsidR="003C0AC2">
        <w:rPr>
          <w:rFonts w:ascii="Palatino Linotype" w:hAnsi="Palatino Linotype" w:cs="Tahoma"/>
          <w:b/>
          <w:sz w:val="22"/>
          <w:szCs w:val="22"/>
        </w:rPr>
        <w:t xml:space="preserve"> </w:t>
      </w:r>
      <w:r w:rsidR="008C2AD9">
        <w:rPr>
          <w:rFonts w:ascii="Palatino Linotype" w:hAnsi="Palatino Linotype" w:cs="Arial"/>
          <w:bCs/>
          <w:color w:val="000000" w:themeColor="text1"/>
          <w:sz w:val="22"/>
          <w:szCs w:val="22"/>
        </w:rPr>
        <w:t>catorce</w:t>
      </w:r>
      <w:r w:rsidR="007D7FF1">
        <w:rPr>
          <w:rFonts w:ascii="Palatino Linotype" w:hAnsi="Palatino Linotype" w:cs="Arial"/>
          <w:bCs/>
          <w:color w:val="000000" w:themeColor="text1"/>
          <w:sz w:val="22"/>
          <w:szCs w:val="22"/>
        </w:rPr>
        <w:t xml:space="preserve"> y veintis</w:t>
      </w:r>
      <w:r w:rsidR="007D7FF1">
        <w:rPr>
          <w:rFonts w:ascii="Palatino Linotype" w:hAnsi="Palatino Linotype" w:cs="Arial"/>
          <w:bCs/>
          <w:color w:val="000000" w:themeColor="text1"/>
          <w:sz w:val="22"/>
          <w:szCs w:val="22"/>
          <w:lang w:val="x-none"/>
        </w:rPr>
        <w:t>éis</w:t>
      </w:r>
      <w:r w:rsidR="008C2AD9">
        <w:rPr>
          <w:rFonts w:ascii="Palatino Linotype" w:hAnsi="Palatino Linotype" w:cs="Arial"/>
          <w:bCs/>
          <w:color w:val="000000" w:themeColor="text1"/>
          <w:sz w:val="22"/>
          <w:szCs w:val="22"/>
        </w:rPr>
        <w:t xml:space="preserve"> de enero</w:t>
      </w:r>
      <w:r w:rsidR="003C0AC2">
        <w:rPr>
          <w:rFonts w:ascii="Palatino Linotype" w:hAnsi="Palatino Linotype" w:cs="Arial"/>
          <w:bCs/>
          <w:color w:val="000000" w:themeColor="text1"/>
          <w:sz w:val="22"/>
          <w:szCs w:val="22"/>
        </w:rPr>
        <w:t xml:space="preserve"> de dos mil </w:t>
      </w:r>
      <w:r w:rsidR="008C2AD9">
        <w:rPr>
          <w:rFonts w:ascii="Palatino Linotype" w:hAnsi="Palatino Linotype" w:cs="Arial"/>
          <w:bCs/>
          <w:color w:val="000000" w:themeColor="text1"/>
          <w:sz w:val="22"/>
          <w:szCs w:val="22"/>
        </w:rPr>
        <w:t>veintidós</w:t>
      </w:r>
      <w:r w:rsidR="003C0AC2">
        <w:rPr>
          <w:rFonts w:ascii="Palatino Linotype" w:hAnsi="Palatino Linotype" w:cs="Arial"/>
          <w:bCs/>
          <w:color w:val="000000" w:themeColor="text1"/>
          <w:sz w:val="22"/>
          <w:szCs w:val="22"/>
        </w:rPr>
        <w:t>,</w:t>
      </w:r>
      <w:r w:rsidR="003C0AC2">
        <w:rPr>
          <w:rFonts w:ascii="Palatino Linotype" w:hAnsi="Palatino Linotype" w:cs="Tahoma"/>
          <w:sz w:val="22"/>
          <w:szCs w:val="22"/>
          <w:lang w:val="es-ES"/>
        </w:rPr>
        <w:t xml:space="preserve"> se recibió por medio del Sistema de Acceso a la Información Mexiquense, el desahogo del requerimiento de información adicional, por medio del oficio número </w:t>
      </w:r>
      <w:r w:rsidR="008C2AD9">
        <w:rPr>
          <w:rFonts w:ascii="Palatino Linotype" w:hAnsi="Palatino Linotype" w:cs="Tahoma"/>
          <w:sz w:val="22"/>
          <w:szCs w:val="22"/>
          <w:lang w:val="es-ES"/>
        </w:rPr>
        <w:t>INFOEM/</w:t>
      </w:r>
      <w:r w:rsidR="003C0AC2">
        <w:rPr>
          <w:rFonts w:ascii="Palatino Linotype" w:hAnsi="Palatino Linotype" w:cs="Tahoma"/>
          <w:sz w:val="22"/>
          <w:szCs w:val="22"/>
          <w:lang w:val="es-ES"/>
        </w:rPr>
        <w:t>UT/</w:t>
      </w:r>
      <w:r w:rsidR="008C2AD9">
        <w:rPr>
          <w:rFonts w:ascii="Palatino Linotype" w:hAnsi="Palatino Linotype" w:cs="Tahoma"/>
          <w:sz w:val="22"/>
          <w:szCs w:val="22"/>
          <w:lang w:val="es-ES"/>
        </w:rPr>
        <w:t>021</w:t>
      </w:r>
      <w:r w:rsidR="003C0AC2">
        <w:rPr>
          <w:rFonts w:ascii="Palatino Linotype" w:hAnsi="Palatino Linotype" w:cs="Tahoma"/>
          <w:sz w:val="22"/>
          <w:szCs w:val="22"/>
          <w:lang w:val="es-ES"/>
        </w:rPr>
        <w:t>/202</w:t>
      </w:r>
      <w:r w:rsidR="008C2AD9">
        <w:rPr>
          <w:rFonts w:ascii="Palatino Linotype" w:hAnsi="Palatino Linotype" w:cs="Tahoma"/>
          <w:sz w:val="22"/>
          <w:szCs w:val="22"/>
          <w:lang w:val="es-ES"/>
        </w:rPr>
        <w:t>2</w:t>
      </w:r>
      <w:r w:rsidR="003C0AC2">
        <w:rPr>
          <w:rFonts w:ascii="Palatino Linotype" w:hAnsi="Palatino Linotype" w:cs="Tahoma"/>
          <w:sz w:val="22"/>
          <w:szCs w:val="22"/>
          <w:lang w:val="es-ES"/>
        </w:rPr>
        <w:t xml:space="preserve">, de la misma fecha de recepción, suscrito por la Titular de la Unidad de Transparencia y dirigido al Comisionado Ponente, mediante el cual proporciona </w:t>
      </w:r>
      <w:r w:rsidR="008C2AD9">
        <w:rPr>
          <w:rFonts w:ascii="Palatino Linotype" w:hAnsi="Palatino Linotype" w:cs="Tahoma"/>
          <w:sz w:val="22"/>
          <w:szCs w:val="22"/>
          <w:lang w:val="es-ES"/>
        </w:rPr>
        <w:t xml:space="preserve">el memorándum </w:t>
      </w:r>
      <w:r w:rsidR="008C2AD9" w:rsidRPr="008C2AD9">
        <w:rPr>
          <w:rFonts w:ascii="Palatino Linotype" w:hAnsi="Palatino Linotype" w:cs="Tahoma"/>
          <w:sz w:val="22"/>
          <w:szCs w:val="22"/>
        </w:rPr>
        <w:t>INFOEM/CI-OCV/007/2022</w:t>
      </w:r>
      <w:r w:rsidR="00835EFC">
        <w:rPr>
          <w:rFonts w:ascii="Palatino Linotype" w:hAnsi="Palatino Linotype" w:cs="Tahoma"/>
          <w:sz w:val="22"/>
          <w:szCs w:val="22"/>
        </w:rPr>
        <w:t>.</w:t>
      </w:r>
    </w:p>
    <w:p w14:paraId="72F95AA2" w14:textId="77777777" w:rsidR="003C0AC2" w:rsidRDefault="003C0AC2" w:rsidP="00CD7DE8">
      <w:pPr>
        <w:autoSpaceDE w:val="0"/>
        <w:autoSpaceDN w:val="0"/>
        <w:adjustRightInd w:val="0"/>
        <w:spacing w:line="360" w:lineRule="auto"/>
        <w:jc w:val="both"/>
        <w:rPr>
          <w:rFonts w:ascii="Palatino Linotype" w:hAnsi="Palatino Linotype" w:cs="Tahoma"/>
          <w:sz w:val="22"/>
          <w:szCs w:val="22"/>
          <w:lang w:val="es-ES"/>
        </w:rPr>
      </w:pPr>
    </w:p>
    <w:p w14:paraId="6316F502" w14:textId="3F739C87" w:rsidR="003C0AC2" w:rsidRDefault="003C0AC2" w:rsidP="00CD7DE8">
      <w:pPr>
        <w:autoSpaceDE w:val="0"/>
        <w:autoSpaceDN w:val="0"/>
        <w:adjustRightInd w:val="0"/>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El Ente Recurrido adjuntó la digitalización del </w:t>
      </w:r>
      <w:r w:rsidR="00835EFC">
        <w:rPr>
          <w:rFonts w:ascii="Palatino Linotype" w:hAnsi="Palatino Linotype" w:cs="Tahoma"/>
          <w:sz w:val="22"/>
          <w:szCs w:val="22"/>
          <w:lang w:val="es-ES"/>
        </w:rPr>
        <w:t xml:space="preserve">memorándum número </w:t>
      </w:r>
      <w:r w:rsidR="00835EFC" w:rsidRPr="008C2AD9">
        <w:rPr>
          <w:rFonts w:ascii="Palatino Linotype" w:hAnsi="Palatino Linotype" w:cs="Tahoma"/>
          <w:sz w:val="22"/>
          <w:szCs w:val="22"/>
        </w:rPr>
        <w:t>INFOEM/CI-OCV/007/2022</w:t>
      </w:r>
      <w:r>
        <w:rPr>
          <w:rFonts w:ascii="Palatino Linotype" w:hAnsi="Palatino Linotype" w:cs="Tahoma"/>
          <w:sz w:val="22"/>
          <w:szCs w:val="22"/>
          <w:lang w:val="es-ES"/>
        </w:rPr>
        <w:t xml:space="preserve">, del </w:t>
      </w:r>
      <w:r w:rsidR="00835EFC">
        <w:rPr>
          <w:rFonts w:ascii="Palatino Linotype" w:hAnsi="Palatino Linotype" w:cs="Tahoma"/>
          <w:sz w:val="22"/>
          <w:szCs w:val="22"/>
          <w:lang w:val="es-ES"/>
        </w:rPr>
        <w:t>trece de enero</w:t>
      </w:r>
      <w:r>
        <w:rPr>
          <w:rFonts w:ascii="Palatino Linotype" w:hAnsi="Palatino Linotype" w:cs="Tahoma"/>
          <w:sz w:val="22"/>
          <w:szCs w:val="22"/>
          <w:lang w:val="es-ES"/>
        </w:rPr>
        <w:t xml:space="preserve"> de la presente anualidad, suscrito por </w:t>
      </w:r>
      <w:r w:rsidR="00835EFC">
        <w:rPr>
          <w:rFonts w:ascii="Palatino Linotype" w:hAnsi="Palatino Linotype" w:cs="Tahoma"/>
          <w:sz w:val="22"/>
          <w:szCs w:val="22"/>
          <w:lang w:val="es-ES"/>
        </w:rPr>
        <w:t xml:space="preserve">el </w:t>
      </w:r>
      <w:r w:rsidR="00835EFC">
        <w:rPr>
          <w:rFonts w:ascii="Palatino Linotype" w:hAnsi="Palatino Linotype" w:cs="Tahoma"/>
          <w:sz w:val="22"/>
          <w:szCs w:val="22"/>
        </w:rPr>
        <w:t>Contralor Interno y Titular del Órgano de Control y Vigilancia</w:t>
      </w:r>
      <w:r>
        <w:rPr>
          <w:rFonts w:ascii="Palatino Linotype" w:hAnsi="Palatino Linotype" w:cs="Tahoma"/>
          <w:sz w:val="22"/>
          <w:szCs w:val="22"/>
          <w:lang w:val="es-ES"/>
        </w:rPr>
        <w:t xml:space="preserve"> y dirigido al </w:t>
      </w:r>
      <w:r w:rsidR="00835EFC">
        <w:rPr>
          <w:rFonts w:ascii="Palatino Linotype" w:hAnsi="Palatino Linotype" w:cs="Tahoma"/>
          <w:sz w:val="22"/>
          <w:szCs w:val="22"/>
          <w:lang w:val="es-ES"/>
        </w:rPr>
        <w:t>Titular de la Unida de Transparencia</w:t>
      </w:r>
      <w:r>
        <w:rPr>
          <w:rFonts w:ascii="Palatino Linotype" w:hAnsi="Palatino Linotype" w:cs="Tahoma"/>
          <w:sz w:val="22"/>
          <w:szCs w:val="22"/>
          <w:lang w:val="es-ES"/>
        </w:rPr>
        <w:t xml:space="preserve">, por medio del cual </w:t>
      </w:r>
      <w:r w:rsidR="007D7FF1">
        <w:rPr>
          <w:rFonts w:ascii="Palatino Linotype" w:hAnsi="Palatino Linotype" w:cs="Tahoma"/>
          <w:sz w:val="22"/>
          <w:szCs w:val="22"/>
          <w:lang w:val="es-ES"/>
        </w:rPr>
        <w:t>precisa lo siguiente</w:t>
      </w:r>
      <w:r>
        <w:rPr>
          <w:rFonts w:ascii="Palatino Linotype" w:hAnsi="Palatino Linotype" w:cs="Tahoma"/>
          <w:sz w:val="22"/>
          <w:szCs w:val="22"/>
          <w:lang w:val="es-ES"/>
        </w:rPr>
        <w:t xml:space="preserve">: </w:t>
      </w:r>
    </w:p>
    <w:p w14:paraId="02C226D2" w14:textId="77777777" w:rsidR="003C0AC2" w:rsidRDefault="003C0AC2" w:rsidP="00CD7DE8">
      <w:pPr>
        <w:spacing w:line="360" w:lineRule="auto"/>
        <w:jc w:val="both"/>
        <w:rPr>
          <w:rFonts w:ascii="Palatino Linotype" w:hAnsi="Palatino Linotype" w:cs="Tahoma"/>
          <w:b/>
          <w:sz w:val="22"/>
          <w:szCs w:val="22"/>
        </w:rPr>
      </w:pPr>
    </w:p>
    <w:p w14:paraId="6D57F8A3" w14:textId="77777777" w:rsidR="003C0AC2" w:rsidRDefault="003C0AC2" w:rsidP="00CD7DE8">
      <w:pPr>
        <w:spacing w:line="360" w:lineRule="auto"/>
        <w:ind w:left="567" w:right="567"/>
        <w:jc w:val="both"/>
        <w:rPr>
          <w:rFonts w:ascii="Palatino Linotype" w:hAnsi="Palatino Linotype" w:cs="Arial"/>
          <w:bCs/>
          <w:i/>
          <w:color w:val="000000" w:themeColor="text1"/>
          <w:szCs w:val="22"/>
        </w:rPr>
      </w:pPr>
      <w:r w:rsidRPr="00797FCA">
        <w:rPr>
          <w:rFonts w:ascii="Palatino Linotype" w:hAnsi="Palatino Linotype" w:cs="Arial"/>
          <w:bCs/>
          <w:i/>
          <w:color w:val="000000" w:themeColor="text1"/>
          <w:szCs w:val="22"/>
        </w:rPr>
        <w:t>“</w:t>
      </w:r>
      <w:r>
        <w:rPr>
          <w:rFonts w:ascii="Palatino Linotype" w:hAnsi="Palatino Linotype" w:cs="Arial"/>
          <w:bCs/>
          <w:i/>
          <w:color w:val="000000" w:themeColor="text1"/>
          <w:szCs w:val="22"/>
        </w:rPr>
        <w:t>...</w:t>
      </w:r>
    </w:p>
    <w:p w14:paraId="5A693E68" w14:textId="584EFF01" w:rsidR="003C0AC2" w:rsidRDefault="00835EFC" w:rsidP="00CD7DE8">
      <w:pPr>
        <w:spacing w:line="360" w:lineRule="auto"/>
        <w:ind w:left="567" w:right="567"/>
        <w:jc w:val="both"/>
        <w:rPr>
          <w:rFonts w:ascii="Palatino Linotype" w:hAnsi="Palatino Linotype" w:cs="Arial"/>
          <w:bCs/>
          <w:i/>
          <w:color w:val="000000" w:themeColor="text1"/>
          <w:szCs w:val="22"/>
        </w:rPr>
      </w:pPr>
      <w:r w:rsidRPr="00835EFC">
        <w:rPr>
          <w:rFonts w:ascii="Palatino Linotype" w:hAnsi="Palatino Linotype" w:cs="Arial"/>
          <w:bCs/>
          <w:i/>
          <w:color w:val="000000" w:themeColor="text1"/>
          <w:szCs w:val="22"/>
        </w:rPr>
        <w:t xml:space="preserve">En atención a su similar INFOEM/UT/006/2022, a través del cual se solicita información adicional por la Ponencia resolutora para contar con los elementos necesarios para la elaboración del proyecto </w:t>
      </w:r>
      <w:r w:rsidRPr="00835EFC">
        <w:rPr>
          <w:rFonts w:ascii="Palatino Linotype" w:hAnsi="Palatino Linotype" w:cs="Arial"/>
          <w:bCs/>
          <w:i/>
          <w:color w:val="000000" w:themeColor="text1"/>
          <w:szCs w:val="22"/>
        </w:rPr>
        <w:lastRenderedPageBreak/>
        <w:t>de resolución correspondiente, se informa que en los archivos de esta Contraloría no obran las declaraciones patrimoniales requeridas en el periodo comprendido del dos mil quince a la fecha de la solicitud, de todos los servidores públicos adscritos a esta Unidad Administrativa; toda vez que desde el inicio de la obligación a presentar la declaración patrimonial y de intereses, solo tienen acceso al Sistema de Declaración Patrimonial de este Instituto los servidores públicos obligados a presentarla, y del periodo comprendido del dos mil quince al treinta de abril del dos mil veintiuno, se contemplaba únicamente que los servidores públicos obligados a presentar la declaración patrimonial fuera a partir del cargo de Jefe de Departamento o su equivalente hasta los Comisionados.</w:t>
      </w:r>
    </w:p>
    <w:p w14:paraId="6999BDF3" w14:textId="77777777" w:rsidR="00835EFC" w:rsidRDefault="00835EFC" w:rsidP="00CD7DE8">
      <w:pPr>
        <w:spacing w:line="360" w:lineRule="auto"/>
        <w:ind w:left="567" w:right="567"/>
        <w:jc w:val="both"/>
        <w:rPr>
          <w:rFonts w:ascii="Palatino Linotype" w:hAnsi="Palatino Linotype" w:cs="Arial"/>
          <w:bCs/>
          <w:i/>
          <w:color w:val="000000" w:themeColor="text1"/>
          <w:szCs w:val="22"/>
        </w:rPr>
      </w:pPr>
    </w:p>
    <w:p w14:paraId="46F4CA8F" w14:textId="77777777" w:rsidR="00AC6C0A" w:rsidRDefault="00AC6C0A" w:rsidP="00CD7DE8">
      <w:pPr>
        <w:spacing w:line="360" w:lineRule="auto"/>
        <w:ind w:left="567" w:right="567"/>
        <w:jc w:val="both"/>
        <w:rPr>
          <w:rFonts w:ascii="Palatino Linotype" w:hAnsi="Palatino Linotype" w:cs="Arial"/>
          <w:bCs/>
          <w:i/>
          <w:color w:val="000000" w:themeColor="text1"/>
          <w:szCs w:val="22"/>
        </w:rPr>
      </w:pPr>
      <w:r w:rsidRPr="00AC6C0A">
        <w:rPr>
          <w:rFonts w:ascii="Palatino Linotype" w:hAnsi="Palatino Linotype" w:cs="Arial"/>
          <w:bCs/>
          <w:i/>
          <w:color w:val="000000" w:themeColor="text1"/>
          <w:szCs w:val="22"/>
        </w:rPr>
        <w:t>A partir del mes de Mayo del dos mil veintiuno, todos los servidores públicos adscritos a este Instituto de Transparencia se encuentran obligados a presentar la declaración patrimonial en los formatos que para tal efecto emitió el Comité Coordinador del Sistema Estatal Anticorrupción, sin embargo cabe señalar que en ninguno de los casos anteriores se cuenta con el consentimiento de los servidores públicos para hacer pública</w:t>
      </w:r>
      <w:r>
        <w:rPr>
          <w:rFonts w:ascii="Palatino Linotype" w:hAnsi="Palatino Linotype" w:cs="Arial"/>
          <w:bCs/>
          <w:i/>
          <w:color w:val="000000" w:themeColor="text1"/>
          <w:szCs w:val="22"/>
        </w:rPr>
        <w:t xml:space="preserve"> </w:t>
      </w:r>
      <w:r w:rsidRPr="00AC6C0A">
        <w:rPr>
          <w:rFonts w:ascii="Palatino Linotype" w:hAnsi="Palatino Linotype" w:cs="Arial"/>
          <w:bCs/>
          <w:i/>
          <w:color w:val="000000" w:themeColor="text1"/>
          <w:szCs w:val="22"/>
        </w:rPr>
        <w:t xml:space="preserve">la información contenida en sus declaraciones patrimoniales, y así mismo cabe precisar que la emisión de la versión pública de las declaraciones está condicionada a que el Comité Coordinador, a propuesta del Comité de Participación Ciudadana, emita el formato respectivo y éste se encuentre operable, situación que no ha sucedido a la fecha presente. </w:t>
      </w:r>
    </w:p>
    <w:p w14:paraId="32E4F766" w14:textId="77777777" w:rsidR="00AC6C0A" w:rsidRDefault="00AC6C0A" w:rsidP="00CD7DE8">
      <w:pPr>
        <w:spacing w:line="360" w:lineRule="auto"/>
        <w:ind w:left="567" w:right="567"/>
        <w:jc w:val="both"/>
        <w:rPr>
          <w:rFonts w:ascii="Palatino Linotype" w:hAnsi="Palatino Linotype" w:cs="Arial"/>
          <w:bCs/>
          <w:i/>
          <w:color w:val="000000" w:themeColor="text1"/>
          <w:szCs w:val="22"/>
        </w:rPr>
      </w:pPr>
    </w:p>
    <w:p w14:paraId="73D5C9EE" w14:textId="10087BE6" w:rsidR="00AC6C0A" w:rsidRDefault="00AC6C0A" w:rsidP="00CD7DE8">
      <w:pPr>
        <w:spacing w:line="360" w:lineRule="auto"/>
        <w:ind w:left="567" w:right="567"/>
        <w:jc w:val="both"/>
        <w:rPr>
          <w:rFonts w:ascii="Palatino Linotype" w:hAnsi="Palatino Linotype" w:cs="Arial"/>
          <w:bCs/>
          <w:i/>
          <w:color w:val="000000" w:themeColor="text1"/>
          <w:szCs w:val="22"/>
        </w:rPr>
      </w:pPr>
      <w:r w:rsidRPr="00AC6C0A">
        <w:rPr>
          <w:rFonts w:ascii="Palatino Linotype" w:hAnsi="Palatino Linotype" w:cs="Arial"/>
          <w:bCs/>
          <w:i/>
          <w:color w:val="000000" w:themeColor="text1"/>
          <w:szCs w:val="22"/>
        </w:rPr>
        <w:t>Por cuanto hace al dos mil dieciséis de conformidad con el artículo transitorio segundo de la Ley de Responsabilidades Administrativas del Estado de México y Municipios, entró en vigor el diecinueve de julio del dos mil diecisiete, por lo tanto, las declaraciones patrimoniales presentadas con anterioridad a esa fecha, fueron reguladas por la abrogada Ley de Responsabilidades de los Servidores Públicos del Estado de México y Municipios.</w:t>
      </w:r>
    </w:p>
    <w:p w14:paraId="03D8B05B" w14:textId="6BB0ACF7" w:rsidR="003C0AC2" w:rsidRPr="00797FCA" w:rsidRDefault="003C0AC2" w:rsidP="00CD7DE8">
      <w:pPr>
        <w:spacing w:line="360" w:lineRule="auto"/>
        <w:ind w:left="567" w:right="567"/>
        <w:jc w:val="both"/>
        <w:rPr>
          <w:rFonts w:ascii="Palatino Linotype" w:hAnsi="Palatino Linotype" w:cs="Arial"/>
          <w:bCs/>
          <w:i/>
          <w:color w:val="000000" w:themeColor="text1"/>
          <w:szCs w:val="22"/>
        </w:rPr>
      </w:pPr>
      <w:r>
        <w:rPr>
          <w:rFonts w:ascii="Palatino Linotype" w:hAnsi="Palatino Linotype" w:cs="Arial"/>
          <w:bCs/>
          <w:i/>
          <w:color w:val="000000" w:themeColor="text1"/>
          <w:szCs w:val="22"/>
        </w:rPr>
        <w:t>...</w:t>
      </w:r>
      <w:r w:rsidRPr="00797FCA">
        <w:rPr>
          <w:rFonts w:ascii="Palatino Linotype" w:hAnsi="Palatino Linotype" w:cs="Arial"/>
          <w:bCs/>
          <w:i/>
          <w:color w:val="000000" w:themeColor="text1"/>
          <w:szCs w:val="22"/>
        </w:rPr>
        <w:t>” (Sic)</w:t>
      </w:r>
    </w:p>
    <w:p w14:paraId="2AF240FE" w14:textId="77777777" w:rsidR="003C0AC2" w:rsidRPr="00201865" w:rsidRDefault="003C0AC2" w:rsidP="00CD7DE8">
      <w:pPr>
        <w:spacing w:line="360" w:lineRule="auto"/>
        <w:jc w:val="both"/>
        <w:rPr>
          <w:rFonts w:ascii="Palatino Linotype" w:hAnsi="Palatino Linotype" w:cs="Tahoma"/>
          <w:bCs/>
          <w:iCs/>
          <w:sz w:val="22"/>
          <w:szCs w:val="22"/>
        </w:rPr>
      </w:pPr>
    </w:p>
    <w:p w14:paraId="2AB41103" w14:textId="23DB262D" w:rsidR="003C0AC2" w:rsidRDefault="00AC6C0A" w:rsidP="00CD7DE8">
      <w:pPr>
        <w:spacing w:line="360" w:lineRule="auto"/>
        <w:jc w:val="both"/>
        <w:rPr>
          <w:rFonts w:ascii="Palatino Linotype" w:hAnsi="Palatino Linotype" w:cs="Tahoma"/>
          <w:b/>
          <w:sz w:val="22"/>
          <w:szCs w:val="22"/>
        </w:rPr>
      </w:pPr>
      <w:r>
        <w:rPr>
          <w:rFonts w:ascii="Palatino Linotype" w:eastAsia="Palatino Linotype" w:hAnsi="Palatino Linotype" w:cs="Palatino Linotype"/>
          <w:b/>
          <w:bCs/>
          <w:sz w:val="22"/>
          <w:szCs w:val="22"/>
          <w:lang w:val="es-ES"/>
        </w:rPr>
        <w:t>g</w:t>
      </w:r>
      <w:r w:rsidR="003C0AC2" w:rsidRPr="00CB4CA7">
        <w:rPr>
          <w:rFonts w:ascii="Palatino Linotype" w:eastAsia="Palatino Linotype" w:hAnsi="Palatino Linotype" w:cs="Palatino Linotype"/>
          <w:b/>
          <w:bCs/>
          <w:sz w:val="22"/>
          <w:szCs w:val="22"/>
          <w:lang w:val="es-ES"/>
        </w:rPr>
        <w:t xml:space="preserve">) </w:t>
      </w:r>
      <w:r w:rsidR="003C0AC2" w:rsidRPr="00CB4CA7">
        <w:rPr>
          <w:rFonts w:ascii="Palatino Linotype" w:hAnsi="Palatino Linotype" w:cs="Tahoma"/>
          <w:b/>
          <w:sz w:val="22"/>
          <w:szCs w:val="22"/>
        </w:rPr>
        <w:t xml:space="preserve">Vista </w:t>
      </w:r>
      <w:r w:rsidR="003C0AC2">
        <w:rPr>
          <w:rFonts w:ascii="Palatino Linotype" w:hAnsi="Palatino Linotype" w:cs="Tahoma"/>
          <w:b/>
          <w:sz w:val="22"/>
          <w:szCs w:val="22"/>
        </w:rPr>
        <w:t>del</w:t>
      </w:r>
      <w:r>
        <w:rPr>
          <w:rFonts w:ascii="Palatino Linotype" w:hAnsi="Palatino Linotype" w:cs="Tahoma"/>
          <w:b/>
          <w:sz w:val="22"/>
          <w:szCs w:val="22"/>
        </w:rPr>
        <w:t xml:space="preserve"> Informe Justificado y</w:t>
      </w:r>
      <w:r w:rsidR="003C0AC2">
        <w:rPr>
          <w:rFonts w:ascii="Palatino Linotype" w:hAnsi="Palatino Linotype" w:cs="Tahoma"/>
          <w:b/>
          <w:sz w:val="22"/>
          <w:szCs w:val="22"/>
        </w:rPr>
        <w:t xml:space="preserve"> desahogo del requerimiento de información adicional</w:t>
      </w:r>
      <w:r w:rsidR="003C0AC2" w:rsidRPr="00CB4CA7">
        <w:rPr>
          <w:rFonts w:ascii="Palatino Linotype" w:hAnsi="Palatino Linotype" w:cs="Tahoma"/>
          <w:b/>
          <w:sz w:val="22"/>
          <w:szCs w:val="22"/>
        </w:rPr>
        <w:t>.</w:t>
      </w:r>
      <w:r w:rsidR="003C0AC2" w:rsidRPr="00CB4CA7">
        <w:rPr>
          <w:rFonts w:ascii="Palatino Linotype" w:hAnsi="Palatino Linotype" w:cs="Tahoma"/>
          <w:sz w:val="22"/>
          <w:szCs w:val="22"/>
        </w:rPr>
        <w:t xml:space="preserve"> El </w:t>
      </w:r>
      <w:r>
        <w:rPr>
          <w:rFonts w:ascii="Palatino Linotype" w:hAnsi="Palatino Linotype" w:cs="Tahoma"/>
          <w:sz w:val="22"/>
          <w:szCs w:val="22"/>
        </w:rPr>
        <w:t>dieciocho de enero de dos mil veintidós</w:t>
      </w:r>
      <w:r w:rsidR="003C0AC2" w:rsidRPr="00CB4CA7">
        <w:rPr>
          <w:rFonts w:ascii="Palatino Linotype" w:hAnsi="Palatino Linotype" w:cs="Tahoma"/>
          <w:sz w:val="22"/>
          <w:szCs w:val="22"/>
        </w:rPr>
        <w:t>, se dictó acuerdo mediante el cual se pus</w:t>
      </w:r>
      <w:r w:rsidR="003C0AC2">
        <w:rPr>
          <w:rFonts w:ascii="Palatino Linotype" w:hAnsi="Palatino Linotype" w:cs="Tahoma"/>
          <w:sz w:val="22"/>
          <w:szCs w:val="22"/>
        </w:rPr>
        <w:t>o</w:t>
      </w:r>
      <w:r w:rsidR="003C0AC2" w:rsidRPr="00CB4CA7">
        <w:rPr>
          <w:rFonts w:ascii="Palatino Linotype" w:hAnsi="Palatino Linotype" w:cs="Tahoma"/>
          <w:sz w:val="22"/>
          <w:szCs w:val="22"/>
        </w:rPr>
        <w:t xml:space="preserve"> a la vista </w:t>
      </w:r>
      <w:r w:rsidR="003C0AC2" w:rsidRPr="00CB4CA7">
        <w:rPr>
          <w:rFonts w:ascii="Palatino Linotype" w:hAnsi="Palatino Linotype" w:cs="Tahoma"/>
          <w:sz w:val="22"/>
          <w:szCs w:val="22"/>
        </w:rPr>
        <w:lastRenderedPageBreak/>
        <w:t>del Particular</w:t>
      </w:r>
      <w:r w:rsidR="003C0AC2">
        <w:rPr>
          <w:rFonts w:ascii="Palatino Linotype" w:hAnsi="Palatino Linotype" w:cs="Tahoma"/>
          <w:sz w:val="22"/>
          <w:szCs w:val="22"/>
        </w:rPr>
        <w:t xml:space="preserve">, </w:t>
      </w:r>
      <w:r>
        <w:rPr>
          <w:rFonts w:ascii="Palatino Linotype" w:hAnsi="Palatino Linotype" w:cs="Tahoma"/>
          <w:sz w:val="22"/>
          <w:szCs w:val="22"/>
        </w:rPr>
        <w:t xml:space="preserve">el Informe Justificado y </w:t>
      </w:r>
      <w:r w:rsidR="003C0AC2">
        <w:rPr>
          <w:rFonts w:ascii="Palatino Linotype" w:hAnsi="Palatino Linotype" w:cs="Tahoma"/>
          <w:sz w:val="22"/>
          <w:szCs w:val="22"/>
        </w:rPr>
        <w:t>desahogo del requerimiento de información adicional emitido</w:t>
      </w:r>
      <w:r>
        <w:rPr>
          <w:rFonts w:ascii="Palatino Linotype" w:hAnsi="Palatino Linotype" w:cs="Tahoma"/>
          <w:sz w:val="22"/>
          <w:szCs w:val="22"/>
        </w:rPr>
        <w:t>s</w:t>
      </w:r>
      <w:r w:rsidR="003C0AC2">
        <w:rPr>
          <w:rFonts w:ascii="Palatino Linotype" w:hAnsi="Palatino Linotype" w:cs="Tahoma"/>
          <w:sz w:val="22"/>
          <w:szCs w:val="22"/>
        </w:rPr>
        <w:t xml:space="preserve"> por el </w:t>
      </w:r>
      <w:r w:rsidR="003C0AC2" w:rsidRPr="00CB4CA7">
        <w:rPr>
          <w:rFonts w:ascii="Palatino Linotype" w:hAnsi="Palatino Linotype" w:cs="Tahoma"/>
          <w:sz w:val="22"/>
          <w:szCs w:val="22"/>
        </w:rPr>
        <w:t>Sujeto Obligado, el cual fue notificado</w:t>
      </w:r>
      <w:r>
        <w:rPr>
          <w:rFonts w:ascii="Palatino Linotype" w:hAnsi="Palatino Linotype" w:cs="Tahoma"/>
          <w:sz w:val="22"/>
          <w:szCs w:val="22"/>
        </w:rPr>
        <w:t xml:space="preserve"> a las partes</w:t>
      </w:r>
      <w:r w:rsidR="003C0AC2" w:rsidRPr="00CB4CA7">
        <w:rPr>
          <w:rFonts w:ascii="Palatino Linotype" w:hAnsi="Palatino Linotype" w:cs="Tahoma"/>
          <w:sz w:val="22"/>
          <w:szCs w:val="22"/>
        </w:rPr>
        <w:t>, a través del Sistema de Acceso a la Información Mexiquense (SAIMEX)</w:t>
      </w:r>
      <w:r>
        <w:rPr>
          <w:rFonts w:ascii="Palatino Linotype" w:hAnsi="Palatino Linotype" w:cs="Tahoma"/>
          <w:sz w:val="22"/>
          <w:szCs w:val="22"/>
        </w:rPr>
        <w:t>, el diecinueve de dicho mes y año</w:t>
      </w:r>
      <w:r w:rsidR="003C0AC2" w:rsidRPr="00CB4CA7">
        <w:rPr>
          <w:rFonts w:ascii="Palatino Linotype" w:hAnsi="Palatino Linotype" w:cs="Tahoma"/>
          <w:sz w:val="22"/>
          <w:szCs w:val="22"/>
        </w:rPr>
        <w:t xml:space="preserve">. </w:t>
      </w:r>
      <w:r w:rsidR="003C0AC2" w:rsidRPr="00CB4CA7">
        <w:rPr>
          <w:rFonts w:ascii="Palatino Linotype" w:hAnsi="Palatino Linotype" w:cs="Tahoma"/>
          <w:b/>
          <w:sz w:val="22"/>
          <w:szCs w:val="22"/>
        </w:rPr>
        <w:t>Cabe señalar, que el Particular fue omiso en emitir manifestaciones que a derecho conviniera.</w:t>
      </w:r>
    </w:p>
    <w:p w14:paraId="58FD7788" w14:textId="77777777" w:rsidR="003C0AC2" w:rsidRPr="0030071C" w:rsidRDefault="003C0AC2" w:rsidP="00CD7DE8">
      <w:pPr>
        <w:spacing w:line="360" w:lineRule="auto"/>
        <w:jc w:val="both"/>
        <w:rPr>
          <w:rFonts w:ascii="Palatino Linotype" w:hAnsi="Palatino Linotype" w:cs="Tahoma"/>
          <w:bCs/>
          <w:sz w:val="22"/>
          <w:szCs w:val="22"/>
        </w:rPr>
      </w:pPr>
    </w:p>
    <w:p w14:paraId="461F2FAD" w14:textId="77777777" w:rsidR="009C5BB3" w:rsidRDefault="00AC6C0A" w:rsidP="009C5BB3">
      <w:pPr>
        <w:autoSpaceDE w:val="0"/>
        <w:autoSpaceDN w:val="0"/>
        <w:adjustRightInd w:val="0"/>
        <w:spacing w:line="360" w:lineRule="auto"/>
        <w:jc w:val="both"/>
        <w:rPr>
          <w:rFonts w:ascii="Palatino Linotype" w:hAnsi="Palatino Linotype" w:cs="Tahoma"/>
          <w:sz w:val="22"/>
          <w:szCs w:val="22"/>
          <w:lang w:val="es-ES"/>
        </w:rPr>
      </w:pPr>
      <w:r>
        <w:rPr>
          <w:rFonts w:ascii="Palatino Linotype" w:hAnsi="Palatino Linotype" w:cs="Tahoma"/>
          <w:b/>
          <w:bCs/>
          <w:sz w:val="22"/>
          <w:szCs w:val="22"/>
          <w:lang w:val="es-ES"/>
        </w:rPr>
        <w:t>h</w:t>
      </w:r>
      <w:r w:rsidR="003C0AC2">
        <w:rPr>
          <w:rFonts w:ascii="Palatino Linotype" w:hAnsi="Palatino Linotype" w:cs="Tahoma"/>
          <w:b/>
          <w:bCs/>
          <w:sz w:val="22"/>
          <w:szCs w:val="22"/>
          <w:lang w:val="es-ES"/>
        </w:rPr>
        <w:t xml:space="preserve">) </w:t>
      </w:r>
      <w:r w:rsidR="009C5BB3">
        <w:rPr>
          <w:rFonts w:ascii="Palatino Linotype" w:hAnsi="Palatino Linotype" w:cs="Tahoma"/>
          <w:b/>
          <w:bCs/>
          <w:sz w:val="22"/>
          <w:szCs w:val="22"/>
          <w:lang w:val="es-ES"/>
        </w:rPr>
        <w:t xml:space="preserve">Alcance al Informe Justificado. </w:t>
      </w:r>
      <w:r w:rsidR="009C5BB3">
        <w:rPr>
          <w:rFonts w:ascii="Palatino Linotype" w:hAnsi="Palatino Linotype" w:cs="Tahoma"/>
          <w:bCs/>
          <w:sz w:val="22"/>
          <w:szCs w:val="22"/>
          <w:lang w:val="es-ES"/>
        </w:rPr>
        <w:t>El veintis</w:t>
      </w:r>
      <w:r w:rsidR="009C5BB3">
        <w:rPr>
          <w:rFonts w:ascii="Palatino Linotype" w:hAnsi="Palatino Linotype" w:cs="Tahoma"/>
          <w:bCs/>
          <w:sz w:val="22"/>
          <w:szCs w:val="22"/>
          <w:lang w:val="x-none"/>
        </w:rPr>
        <w:t xml:space="preserve">éis de enero de dos mil veintiuno, se recibió, a través del Sistema de Acceso a la Información Mexiquense (SAIMEX), un Alcance al Informe Justificado del Sujeto Obligado, por medio del </w:t>
      </w:r>
      <w:r w:rsidR="009C5BB3">
        <w:rPr>
          <w:rFonts w:ascii="Palatino Linotype" w:hAnsi="Palatino Linotype" w:cs="Tahoma"/>
          <w:sz w:val="22"/>
          <w:szCs w:val="22"/>
          <w:lang w:val="es-ES"/>
        </w:rPr>
        <w:t xml:space="preserve">memorándum número </w:t>
      </w:r>
      <w:r w:rsidR="009C5BB3" w:rsidRPr="008C2AD9">
        <w:rPr>
          <w:rFonts w:ascii="Palatino Linotype" w:hAnsi="Palatino Linotype" w:cs="Tahoma"/>
          <w:sz w:val="22"/>
          <w:szCs w:val="22"/>
        </w:rPr>
        <w:t>INFOEM/CI-OCV/007/2022</w:t>
      </w:r>
      <w:r w:rsidR="009C5BB3">
        <w:rPr>
          <w:rFonts w:ascii="Palatino Linotype" w:hAnsi="Palatino Linotype" w:cs="Tahoma"/>
          <w:sz w:val="22"/>
          <w:szCs w:val="22"/>
          <w:lang w:val="es-ES"/>
        </w:rPr>
        <w:t xml:space="preserve">, del trece de enero de la presente anualidad, suscrito por el </w:t>
      </w:r>
      <w:r w:rsidR="009C5BB3">
        <w:rPr>
          <w:rFonts w:ascii="Palatino Linotype" w:hAnsi="Palatino Linotype" w:cs="Tahoma"/>
          <w:sz w:val="22"/>
          <w:szCs w:val="22"/>
        </w:rPr>
        <w:t>Contralor Interno y Titular del Órgano de Control y Vigilancia</w:t>
      </w:r>
      <w:r w:rsidR="009C5BB3">
        <w:rPr>
          <w:rFonts w:ascii="Palatino Linotype" w:hAnsi="Palatino Linotype" w:cs="Tahoma"/>
          <w:sz w:val="22"/>
          <w:szCs w:val="22"/>
          <w:lang w:val="es-ES"/>
        </w:rPr>
        <w:t xml:space="preserve"> y dirigido al Titular de la Unida de Transparencia, cuyo contenido es el siguiente:</w:t>
      </w:r>
    </w:p>
    <w:p w14:paraId="5EA4E88C" w14:textId="77777777" w:rsidR="009C5BB3" w:rsidRDefault="009C5BB3" w:rsidP="009C5BB3">
      <w:pPr>
        <w:autoSpaceDE w:val="0"/>
        <w:autoSpaceDN w:val="0"/>
        <w:adjustRightInd w:val="0"/>
        <w:spacing w:line="360" w:lineRule="auto"/>
        <w:jc w:val="both"/>
        <w:rPr>
          <w:rFonts w:ascii="Palatino Linotype" w:hAnsi="Palatino Linotype" w:cs="Tahoma"/>
          <w:sz w:val="22"/>
          <w:szCs w:val="22"/>
          <w:lang w:val="es-ES"/>
        </w:rPr>
      </w:pPr>
    </w:p>
    <w:p w14:paraId="72E338EC" w14:textId="7ECE286E" w:rsidR="009C5BB3" w:rsidRDefault="009C5BB3" w:rsidP="009C5BB3">
      <w:pPr>
        <w:spacing w:line="360" w:lineRule="auto"/>
        <w:ind w:left="567" w:right="567"/>
        <w:jc w:val="both"/>
        <w:rPr>
          <w:rFonts w:ascii="Palatino Linotype" w:hAnsi="Palatino Linotype" w:cs="Arial"/>
          <w:bCs/>
          <w:i/>
          <w:color w:val="000000" w:themeColor="text1"/>
          <w:szCs w:val="22"/>
        </w:rPr>
      </w:pPr>
      <w:r>
        <w:rPr>
          <w:rFonts w:ascii="Palatino Linotype" w:hAnsi="Palatino Linotype" w:cs="Tahoma"/>
          <w:sz w:val="22"/>
          <w:szCs w:val="22"/>
          <w:lang w:val="es-ES"/>
        </w:rPr>
        <w:t xml:space="preserve"> </w:t>
      </w:r>
      <w:r>
        <w:rPr>
          <w:rFonts w:ascii="Palatino Linotype" w:hAnsi="Palatino Linotype" w:cs="Arial"/>
          <w:bCs/>
          <w:i/>
          <w:color w:val="000000" w:themeColor="text1"/>
          <w:szCs w:val="22"/>
        </w:rPr>
        <w:t>“…</w:t>
      </w:r>
    </w:p>
    <w:p w14:paraId="63CF8C6A" w14:textId="24E7757D" w:rsidR="009C5BB3" w:rsidRDefault="009C5BB3" w:rsidP="009C5BB3">
      <w:pPr>
        <w:spacing w:line="360" w:lineRule="auto"/>
        <w:ind w:left="567" w:right="567"/>
        <w:jc w:val="both"/>
        <w:rPr>
          <w:rFonts w:ascii="Palatino Linotype" w:hAnsi="Palatino Linotype" w:cs="Arial"/>
          <w:bCs/>
          <w:i/>
          <w:color w:val="000000" w:themeColor="text1"/>
          <w:szCs w:val="22"/>
          <w:lang w:val="es-ES"/>
        </w:rPr>
      </w:pPr>
      <w:r w:rsidRPr="009C5BB3">
        <w:rPr>
          <w:rFonts w:ascii="Palatino Linotype" w:hAnsi="Palatino Linotype" w:cs="Arial"/>
          <w:bCs/>
          <w:i/>
          <w:color w:val="000000" w:themeColor="text1"/>
          <w:szCs w:val="22"/>
        </w:rPr>
        <w:t>A partir del mes de Mayo del dos mil veintiuno, todos los servidores públicos adscritos a este Instituto de Transparencia se encuentran obligados a presentar la declaración patrimonial en los formatos que para tal efecto emitió el Comité Coordinador del</w:t>
      </w:r>
      <w:r>
        <w:rPr>
          <w:rFonts w:ascii="Palatino Linotype" w:hAnsi="Palatino Linotype" w:cs="Arial"/>
          <w:bCs/>
          <w:i/>
          <w:color w:val="000000" w:themeColor="text1"/>
          <w:szCs w:val="22"/>
        </w:rPr>
        <w:t xml:space="preserve"> </w:t>
      </w:r>
      <w:r w:rsidRPr="009C5BB3">
        <w:rPr>
          <w:rFonts w:ascii="Palatino Linotype" w:hAnsi="Palatino Linotype" w:cs="Arial"/>
          <w:bCs/>
          <w:i/>
          <w:color w:val="000000" w:themeColor="text1"/>
          <w:szCs w:val="22"/>
        </w:rPr>
        <w:t>Sistema Estatal Anticorrupción,</w:t>
      </w:r>
      <w:r w:rsidRPr="009C5BB3">
        <w:rPr>
          <w:rFonts w:ascii="Palatino Linotype" w:hAnsi="Palatino Linotype" w:cs="Arial"/>
          <w:bCs/>
          <w:i/>
          <w:color w:val="000000" w:themeColor="text1"/>
          <w:szCs w:val="22"/>
          <w:lang w:val="es-ES"/>
        </w:rPr>
        <w:t xml:space="preserve"> por lo que de acuerdo a lo dispuesto por el artículo 27 de la Ley de Responsabilidades Administrativas del Estado de México y Municipios, la autoridad competente para dar atención a lo solicitado es la Secretaría Ejecutiva del Sistema Estatal y Municipal Anticorrupción, que estará a cargo del sistema de evolución patrimonial, y de declaración de intereses de los servidores públicos relativa al año dos mil veintiuno, tal y como se podrá consultar en el siguiente link, de la Plataforma Digital Estatal, del Sistema Anticorrupción del Estado de México: </w:t>
      </w:r>
    </w:p>
    <w:p w14:paraId="5E930491" w14:textId="77777777" w:rsidR="009C5BB3" w:rsidRPr="009C5BB3" w:rsidRDefault="009C5BB3" w:rsidP="009C5BB3">
      <w:pPr>
        <w:spacing w:line="360" w:lineRule="auto"/>
        <w:ind w:left="567" w:right="567"/>
        <w:jc w:val="both"/>
        <w:rPr>
          <w:rFonts w:ascii="Palatino Linotype" w:hAnsi="Palatino Linotype" w:cs="Arial"/>
          <w:bCs/>
          <w:i/>
          <w:color w:val="000000" w:themeColor="text1"/>
          <w:szCs w:val="22"/>
          <w:lang w:val="es-ES"/>
        </w:rPr>
      </w:pPr>
    </w:p>
    <w:p w14:paraId="2C4AB5B8" w14:textId="79BA91D3" w:rsidR="009C5BB3" w:rsidRDefault="003522CF" w:rsidP="009C5BB3">
      <w:pPr>
        <w:spacing w:line="360" w:lineRule="auto"/>
        <w:ind w:left="567" w:right="567"/>
        <w:jc w:val="both"/>
        <w:rPr>
          <w:rFonts w:ascii="Palatino Linotype" w:hAnsi="Palatino Linotype" w:cs="Arial"/>
          <w:bCs/>
          <w:i/>
          <w:color w:val="000000" w:themeColor="text1"/>
          <w:szCs w:val="22"/>
        </w:rPr>
      </w:pPr>
      <w:hyperlink r:id="rId9" w:history="1">
        <w:r w:rsidR="009C5BB3" w:rsidRPr="009C5BB3">
          <w:rPr>
            <w:rStyle w:val="Hipervnculo"/>
            <w:rFonts w:ascii="Palatino Linotype" w:hAnsi="Palatino Linotype" w:cs="Arial"/>
            <w:bCs/>
            <w:i/>
            <w:szCs w:val="22"/>
          </w:rPr>
          <w:t>https://saemm.gob.mx/</w:t>
        </w:r>
      </w:hyperlink>
      <w:r w:rsidR="009C5BB3" w:rsidRPr="009C5BB3">
        <w:rPr>
          <w:rFonts w:ascii="Palatino Linotype" w:hAnsi="Palatino Linotype" w:cs="Arial"/>
          <w:bCs/>
          <w:i/>
          <w:color w:val="000000" w:themeColor="text1"/>
          <w:szCs w:val="22"/>
        </w:rPr>
        <w:t xml:space="preserve"> </w:t>
      </w:r>
    </w:p>
    <w:p w14:paraId="5F94A6ED" w14:textId="77777777" w:rsidR="009C5BB3" w:rsidRPr="009C5BB3" w:rsidRDefault="009C5BB3" w:rsidP="009C5BB3">
      <w:pPr>
        <w:spacing w:line="360" w:lineRule="auto"/>
        <w:ind w:left="567" w:right="567"/>
        <w:jc w:val="both"/>
        <w:rPr>
          <w:rFonts w:ascii="Palatino Linotype" w:hAnsi="Palatino Linotype" w:cs="Arial"/>
          <w:bCs/>
          <w:i/>
          <w:color w:val="000000" w:themeColor="text1"/>
          <w:szCs w:val="22"/>
        </w:rPr>
      </w:pPr>
    </w:p>
    <w:p w14:paraId="492A2D4F" w14:textId="77777777" w:rsidR="009C5BB3" w:rsidRPr="009C5BB3" w:rsidRDefault="009C5BB3" w:rsidP="009C5BB3">
      <w:pPr>
        <w:spacing w:line="360" w:lineRule="auto"/>
        <w:ind w:left="567" w:right="567"/>
        <w:jc w:val="both"/>
        <w:rPr>
          <w:rFonts w:ascii="Palatino Linotype" w:hAnsi="Palatino Linotype" w:cs="Arial"/>
          <w:bCs/>
          <w:i/>
          <w:color w:val="000000" w:themeColor="text1"/>
          <w:szCs w:val="22"/>
        </w:rPr>
      </w:pPr>
      <w:r w:rsidRPr="009C5BB3">
        <w:rPr>
          <w:rFonts w:ascii="Palatino Linotype" w:hAnsi="Palatino Linotype" w:cs="Arial"/>
          <w:bCs/>
          <w:i/>
          <w:color w:val="000000" w:themeColor="text1"/>
          <w:szCs w:val="22"/>
        </w:rPr>
        <w:lastRenderedPageBreak/>
        <w:t xml:space="preserve">Los Servidores Públicos adscritos a esta Contraloría Interna y Órgano de Control y Vigilancia obligados a presentar la mencionada declaración patrimonial y de intereses en el mes de mayo del dos mil veintiuno, se enlistan tal y como a continuación se menciona: </w:t>
      </w:r>
    </w:p>
    <w:p w14:paraId="45F1F16E" w14:textId="3956847E" w:rsidR="009C5BB3" w:rsidRDefault="009C5BB3" w:rsidP="009C5BB3">
      <w:pPr>
        <w:spacing w:line="360" w:lineRule="auto"/>
        <w:ind w:left="567" w:right="567"/>
        <w:jc w:val="both"/>
        <w:rPr>
          <w:rFonts w:ascii="Palatino Linotype" w:hAnsi="Palatino Linotype" w:cs="Arial"/>
          <w:bCs/>
          <w:i/>
          <w:color w:val="000000" w:themeColor="text1"/>
          <w:szCs w:val="22"/>
        </w:rPr>
      </w:pPr>
    </w:p>
    <w:p w14:paraId="4725BAA0" w14:textId="28E24192" w:rsidR="009C5BB3" w:rsidRDefault="009C5BB3" w:rsidP="009C5BB3">
      <w:pPr>
        <w:spacing w:line="360" w:lineRule="auto"/>
        <w:ind w:left="567" w:right="567"/>
        <w:jc w:val="center"/>
        <w:rPr>
          <w:rFonts w:ascii="Palatino Linotype" w:hAnsi="Palatino Linotype" w:cs="Arial"/>
          <w:bCs/>
          <w:i/>
          <w:color w:val="000000" w:themeColor="text1"/>
          <w:szCs w:val="22"/>
        </w:rPr>
      </w:pPr>
      <w:r w:rsidRPr="009C5BB3">
        <w:rPr>
          <w:rFonts w:ascii="Palatino Linotype" w:hAnsi="Palatino Linotype" w:cs="Arial"/>
          <w:bCs/>
          <w:i/>
          <w:noProof/>
          <w:color w:val="000000" w:themeColor="text1"/>
          <w:szCs w:val="22"/>
        </w:rPr>
        <w:drawing>
          <wp:inline distT="0" distB="0" distL="0" distR="0" wp14:anchorId="61E5F920" wp14:editId="2F2B3D7A">
            <wp:extent cx="3347992" cy="1423554"/>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73635"/>
                    <a:stretch/>
                  </pic:blipFill>
                  <pic:spPr bwMode="auto">
                    <a:xfrm>
                      <a:off x="0" y="0"/>
                      <a:ext cx="3348361" cy="1423711"/>
                    </a:xfrm>
                    <a:prstGeom prst="rect">
                      <a:avLst/>
                    </a:prstGeom>
                    <a:ln>
                      <a:noFill/>
                    </a:ln>
                    <a:extLst>
                      <a:ext uri="{53640926-AAD7-44D8-BBD7-CCE9431645EC}">
                        <a14:shadowObscured xmlns:a14="http://schemas.microsoft.com/office/drawing/2010/main"/>
                      </a:ext>
                    </a:extLst>
                  </pic:spPr>
                </pic:pic>
              </a:graphicData>
            </a:graphic>
          </wp:inline>
        </w:drawing>
      </w:r>
    </w:p>
    <w:p w14:paraId="0AFA4620" w14:textId="4DDA22D8" w:rsidR="009C5BB3" w:rsidRDefault="009C5BB3" w:rsidP="009C5BB3">
      <w:pPr>
        <w:spacing w:line="360" w:lineRule="auto"/>
        <w:ind w:left="567" w:right="567"/>
        <w:jc w:val="center"/>
        <w:rPr>
          <w:rFonts w:ascii="Palatino Linotype" w:hAnsi="Palatino Linotype" w:cs="Arial"/>
          <w:bCs/>
          <w:i/>
          <w:color w:val="000000" w:themeColor="text1"/>
          <w:szCs w:val="22"/>
        </w:rPr>
      </w:pPr>
      <w:r w:rsidRPr="009C5BB3">
        <w:rPr>
          <w:rFonts w:ascii="Palatino Linotype" w:hAnsi="Palatino Linotype" w:cs="Arial"/>
          <w:bCs/>
          <w:i/>
          <w:noProof/>
          <w:color w:val="000000" w:themeColor="text1"/>
          <w:szCs w:val="22"/>
        </w:rPr>
        <w:drawing>
          <wp:inline distT="0" distB="0" distL="0" distR="0" wp14:anchorId="44778904" wp14:editId="7EAA03BD">
            <wp:extent cx="3347992" cy="1991187"/>
            <wp:effectExtent l="0" t="0" r="508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3122"/>
                    <a:stretch/>
                  </pic:blipFill>
                  <pic:spPr bwMode="auto">
                    <a:xfrm>
                      <a:off x="0" y="0"/>
                      <a:ext cx="3348361" cy="1991406"/>
                    </a:xfrm>
                    <a:prstGeom prst="rect">
                      <a:avLst/>
                    </a:prstGeom>
                    <a:ln>
                      <a:noFill/>
                    </a:ln>
                    <a:extLst>
                      <a:ext uri="{53640926-AAD7-44D8-BBD7-CCE9431645EC}">
                        <a14:shadowObscured xmlns:a14="http://schemas.microsoft.com/office/drawing/2010/main"/>
                      </a:ext>
                    </a:extLst>
                  </pic:spPr>
                </pic:pic>
              </a:graphicData>
            </a:graphic>
          </wp:inline>
        </w:drawing>
      </w:r>
    </w:p>
    <w:p w14:paraId="144F4252" w14:textId="71148732" w:rsidR="00055782" w:rsidRPr="009C5BB3" w:rsidRDefault="009C5BB3" w:rsidP="009C5BB3">
      <w:pPr>
        <w:spacing w:line="360" w:lineRule="auto"/>
        <w:ind w:left="567" w:right="567"/>
        <w:jc w:val="both"/>
        <w:rPr>
          <w:rFonts w:ascii="Palatino Linotype" w:hAnsi="Palatino Linotype" w:cs="Arial"/>
          <w:bCs/>
          <w:i/>
          <w:color w:val="000000" w:themeColor="text1"/>
          <w:szCs w:val="22"/>
        </w:rPr>
      </w:pPr>
      <w:r>
        <w:rPr>
          <w:rFonts w:ascii="Palatino Linotype" w:hAnsi="Palatino Linotype" w:cs="Arial"/>
          <w:bCs/>
          <w:i/>
          <w:color w:val="000000" w:themeColor="text1"/>
          <w:szCs w:val="22"/>
        </w:rPr>
        <w:t>...</w:t>
      </w:r>
      <w:r w:rsidRPr="00797FCA">
        <w:rPr>
          <w:rFonts w:ascii="Palatino Linotype" w:hAnsi="Palatino Linotype" w:cs="Arial"/>
          <w:bCs/>
          <w:i/>
          <w:color w:val="000000" w:themeColor="text1"/>
          <w:szCs w:val="22"/>
        </w:rPr>
        <w:t>” (Sic)</w:t>
      </w:r>
    </w:p>
    <w:p w14:paraId="5E5A0A1B" w14:textId="77777777" w:rsidR="00055782" w:rsidRDefault="00055782" w:rsidP="00CD7DE8">
      <w:pPr>
        <w:spacing w:line="360" w:lineRule="auto"/>
        <w:jc w:val="both"/>
        <w:rPr>
          <w:rFonts w:ascii="Palatino Linotype" w:hAnsi="Palatino Linotype" w:cs="Tahoma"/>
          <w:b/>
          <w:sz w:val="22"/>
          <w:szCs w:val="22"/>
        </w:rPr>
      </w:pPr>
    </w:p>
    <w:p w14:paraId="0496C005" w14:textId="75733531" w:rsidR="00055782" w:rsidRPr="00055782" w:rsidRDefault="00055782" w:rsidP="00055782">
      <w:pPr>
        <w:spacing w:line="360" w:lineRule="auto"/>
        <w:jc w:val="both"/>
        <w:rPr>
          <w:rFonts w:ascii="Palatino Linotype" w:hAnsi="Palatino Linotype" w:cs="Tahoma"/>
          <w:b/>
          <w:sz w:val="22"/>
          <w:szCs w:val="22"/>
        </w:rPr>
      </w:pPr>
      <w:r>
        <w:rPr>
          <w:rFonts w:ascii="Palatino Linotype" w:hAnsi="Palatino Linotype" w:cs="Tahoma"/>
          <w:b/>
          <w:sz w:val="22"/>
          <w:szCs w:val="22"/>
        </w:rPr>
        <w:t xml:space="preserve">i) </w:t>
      </w:r>
      <w:r w:rsidRPr="00CB4CA7">
        <w:rPr>
          <w:rFonts w:ascii="Palatino Linotype" w:hAnsi="Palatino Linotype" w:cs="Tahoma"/>
          <w:b/>
          <w:sz w:val="22"/>
          <w:szCs w:val="22"/>
        </w:rPr>
        <w:t xml:space="preserve">Vista </w:t>
      </w:r>
      <w:r>
        <w:rPr>
          <w:rFonts w:ascii="Palatino Linotype" w:hAnsi="Palatino Linotype" w:cs="Tahoma"/>
          <w:b/>
          <w:sz w:val="22"/>
          <w:szCs w:val="22"/>
        </w:rPr>
        <w:t xml:space="preserve">del </w:t>
      </w:r>
      <w:r w:rsidR="007D7FF1">
        <w:rPr>
          <w:rFonts w:ascii="Palatino Linotype" w:hAnsi="Palatino Linotype" w:cs="Tahoma"/>
          <w:b/>
          <w:sz w:val="22"/>
          <w:szCs w:val="22"/>
        </w:rPr>
        <w:t xml:space="preserve">Alcance del </w:t>
      </w:r>
      <w:r>
        <w:rPr>
          <w:rFonts w:ascii="Palatino Linotype" w:hAnsi="Palatino Linotype" w:cs="Tahoma"/>
          <w:b/>
          <w:sz w:val="22"/>
          <w:szCs w:val="22"/>
        </w:rPr>
        <w:t>Informe Justificado</w:t>
      </w:r>
      <w:r w:rsidRPr="00CB4CA7">
        <w:rPr>
          <w:rFonts w:ascii="Palatino Linotype" w:hAnsi="Palatino Linotype" w:cs="Tahoma"/>
          <w:b/>
          <w:sz w:val="22"/>
          <w:szCs w:val="22"/>
        </w:rPr>
        <w:t>.</w:t>
      </w:r>
      <w:r w:rsidRPr="00CB4CA7">
        <w:rPr>
          <w:rFonts w:ascii="Palatino Linotype" w:hAnsi="Palatino Linotype" w:cs="Tahoma"/>
          <w:sz w:val="22"/>
          <w:szCs w:val="22"/>
        </w:rPr>
        <w:t xml:space="preserve"> El </w:t>
      </w:r>
      <w:r w:rsidR="007D7FF1">
        <w:rPr>
          <w:rFonts w:ascii="Palatino Linotype" w:hAnsi="Palatino Linotype" w:cs="Tahoma"/>
          <w:sz w:val="22"/>
          <w:szCs w:val="22"/>
        </w:rPr>
        <w:t>veintis</w:t>
      </w:r>
      <w:r w:rsidR="007D7FF1">
        <w:rPr>
          <w:rFonts w:ascii="Palatino Linotype" w:hAnsi="Palatino Linotype" w:cs="Tahoma"/>
          <w:sz w:val="22"/>
          <w:szCs w:val="22"/>
          <w:lang w:val="x-none"/>
        </w:rPr>
        <w:t>éis</w:t>
      </w:r>
      <w:r>
        <w:rPr>
          <w:rFonts w:ascii="Palatino Linotype" w:hAnsi="Palatino Linotype" w:cs="Tahoma"/>
          <w:sz w:val="22"/>
          <w:szCs w:val="22"/>
        </w:rPr>
        <w:t xml:space="preserve"> de enero de dos mil veintidós</w:t>
      </w:r>
      <w:r w:rsidRPr="00CB4CA7">
        <w:rPr>
          <w:rFonts w:ascii="Palatino Linotype" w:hAnsi="Palatino Linotype" w:cs="Tahoma"/>
          <w:sz w:val="22"/>
          <w:szCs w:val="22"/>
        </w:rPr>
        <w:t>, se dictó acuerdo mediante el cual se pus</w:t>
      </w:r>
      <w:r>
        <w:rPr>
          <w:rFonts w:ascii="Palatino Linotype" w:hAnsi="Palatino Linotype" w:cs="Tahoma"/>
          <w:sz w:val="22"/>
          <w:szCs w:val="22"/>
        </w:rPr>
        <w:t>o</w:t>
      </w:r>
      <w:r w:rsidRPr="00CB4CA7">
        <w:rPr>
          <w:rFonts w:ascii="Palatino Linotype" w:hAnsi="Palatino Linotype" w:cs="Tahoma"/>
          <w:sz w:val="22"/>
          <w:szCs w:val="22"/>
        </w:rPr>
        <w:t xml:space="preserve"> a la vista del Particular</w:t>
      </w:r>
      <w:r>
        <w:rPr>
          <w:rFonts w:ascii="Palatino Linotype" w:hAnsi="Palatino Linotype" w:cs="Tahoma"/>
          <w:sz w:val="22"/>
          <w:szCs w:val="22"/>
        </w:rPr>
        <w:t xml:space="preserve">, el Informe Justificado y desahogo del requerimiento de información adicional emitidos por el </w:t>
      </w:r>
      <w:r w:rsidRPr="00CB4CA7">
        <w:rPr>
          <w:rFonts w:ascii="Palatino Linotype" w:hAnsi="Palatino Linotype" w:cs="Tahoma"/>
          <w:sz w:val="22"/>
          <w:szCs w:val="22"/>
        </w:rPr>
        <w:t>Sujeto Obligado, el cual fue notificado</w:t>
      </w:r>
      <w:r>
        <w:rPr>
          <w:rFonts w:ascii="Palatino Linotype" w:hAnsi="Palatino Linotype" w:cs="Tahoma"/>
          <w:sz w:val="22"/>
          <w:szCs w:val="22"/>
        </w:rPr>
        <w:t xml:space="preserve"> a las partes</w:t>
      </w:r>
      <w:r w:rsidRPr="00CB4CA7">
        <w:rPr>
          <w:rFonts w:ascii="Palatino Linotype" w:hAnsi="Palatino Linotype" w:cs="Tahoma"/>
          <w:sz w:val="22"/>
          <w:szCs w:val="22"/>
        </w:rPr>
        <w:t>, a través del Sistema de Acceso a la Información Mexiquense (SAIMEX)</w:t>
      </w:r>
      <w:r>
        <w:rPr>
          <w:rFonts w:ascii="Palatino Linotype" w:hAnsi="Palatino Linotype" w:cs="Tahoma"/>
          <w:sz w:val="22"/>
          <w:szCs w:val="22"/>
        </w:rPr>
        <w:t xml:space="preserve">, el </w:t>
      </w:r>
      <w:r w:rsidR="007D7FF1">
        <w:rPr>
          <w:rFonts w:ascii="Palatino Linotype" w:hAnsi="Palatino Linotype" w:cs="Tahoma"/>
          <w:sz w:val="22"/>
          <w:szCs w:val="22"/>
        </w:rPr>
        <w:t>mismo d</w:t>
      </w:r>
      <w:r w:rsidR="007D7FF1">
        <w:rPr>
          <w:rFonts w:ascii="Palatino Linotype" w:hAnsi="Palatino Linotype" w:cs="Tahoma"/>
          <w:sz w:val="22"/>
          <w:szCs w:val="22"/>
          <w:lang w:val="x-none"/>
        </w:rPr>
        <w:t>ía</w:t>
      </w:r>
      <w:r w:rsidRPr="00CB4CA7">
        <w:rPr>
          <w:rFonts w:ascii="Palatino Linotype" w:hAnsi="Palatino Linotype" w:cs="Tahoma"/>
          <w:sz w:val="22"/>
          <w:szCs w:val="22"/>
        </w:rPr>
        <w:t xml:space="preserve">. </w:t>
      </w:r>
      <w:r w:rsidRPr="00CB4CA7">
        <w:rPr>
          <w:rFonts w:ascii="Palatino Linotype" w:hAnsi="Palatino Linotype" w:cs="Tahoma"/>
          <w:b/>
          <w:sz w:val="22"/>
          <w:szCs w:val="22"/>
        </w:rPr>
        <w:t>Cabe señalar, que el Particular fue omiso en emitir manifestaciones que a derecho conviniera.</w:t>
      </w:r>
    </w:p>
    <w:p w14:paraId="16CD1787" w14:textId="77777777" w:rsidR="00055782" w:rsidRDefault="00055782" w:rsidP="00CD7DE8">
      <w:pPr>
        <w:spacing w:line="360" w:lineRule="auto"/>
        <w:jc w:val="both"/>
        <w:rPr>
          <w:rFonts w:ascii="Palatino Linotype" w:hAnsi="Palatino Linotype" w:cs="Tahoma"/>
          <w:b/>
          <w:sz w:val="22"/>
          <w:szCs w:val="22"/>
        </w:rPr>
      </w:pPr>
    </w:p>
    <w:p w14:paraId="580286C2" w14:textId="40C80FA4" w:rsidR="003C0AC2" w:rsidRPr="0030071C" w:rsidRDefault="00055782" w:rsidP="00CD7DE8">
      <w:pPr>
        <w:spacing w:line="360" w:lineRule="auto"/>
        <w:jc w:val="both"/>
        <w:rPr>
          <w:rFonts w:ascii="Palatino Linotype" w:hAnsi="Palatino Linotype" w:cs="Tahoma"/>
          <w:sz w:val="22"/>
          <w:szCs w:val="22"/>
        </w:rPr>
      </w:pPr>
      <w:r>
        <w:rPr>
          <w:rFonts w:ascii="Palatino Linotype" w:hAnsi="Palatino Linotype" w:cs="Tahoma"/>
          <w:b/>
          <w:sz w:val="22"/>
          <w:szCs w:val="22"/>
        </w:rPr>
        <w:lastRenderedPageBreak/>
        <w:t xml:space="preserve">j) </w:t>
      </w:r>
      <w:r w:rsidR="003C0AC2" w:rsidRPr="0030071C">
        <w:rPr>
          <w:rFonts w:ascii="Palatino Linotype" w:hAnsi="Palatino Linotype" w:cs="Tahoma"/>
          <w:b/>
          <w:sz w:val="22"/>
          <w:szCs w:val="22"/>
        </w:rPr>
        <w:t>Cierre de instrucción.</w:t>
      </w:r>
      <w:r w:rsidR="003C0AC2" w:rsidRPr="0030071C">
        <w:rPr>
          <w:rFonts w:ascii="Palatino Linotype" w:hAnsi="Palatino Linotype" w:cs="Tahoma"/>
          <w:sz w:val="22"/>
          <w:szCs w:val="22"/>
        </w:rPr>
        <w:t xml:space="preserve"> El </w:t>
      </w:r>
      <w:r w:rsidR="00AC6C0A">
        <w:rPr>
          <w:rFonts w:ascii="Palatino Linotype" w:hAnsi="Palatino Linotype" w:cs="Tahoma"/>
          <w:sz w:val="22"/>
          <w:szCs w:val="22"/>
        </w:rPr>
        <w:t>veinticinco de enero de dos mil veintidós</w:t>
      </w:r>
      <w:r w:rsidR="003C0AC2" w:rsidRPr="0030071C">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w:t>
      </w:r>
      <w:r w:rsidR="003C0AC2" w:rsidRPr="0030071C">
        <w:rPr>
          <w:rFonts w:ascii="Palatino Linotype" w:hAnsi="Palatino Linotype" w:cs="Tahoma"/>
          <w:sz w:val="22"/>
          <w:szCs w:val="22"/>
          <w:lang w:val="es-ES"/>
        </w:rPr>
        <w:t>Sistema de Acceso a la Información Mexiquense (SAIMEX)</w:t>
      </w:r>
      <w:r w:rsidR="003C0AC2" w:rsidRPr="0030071C">
        <w:rPr>
          <w:rFonts w:ascii="Palatino Linotype" w:hAnsi="Palatino Linotype" w:cs="Tahoma"/>
          <w:sz w:val="22"/>
          <w:szCs w:val="22"/>
        </w:rPr>
        <w:t>.</w:t>
      </w:r>
    </w:p>
    <w:p w14:paraId="2608B341" w14:textId="73F8B031" w:rsidR="003C0AC2" w:rsidRDefault="003C0AC2" w:rsidP="00CD7DE8">
      <w:pPr>
        <w:spacing w:line="360" w:lineRule="auto"/>
        <w:jc w:val="both"/>
        <w:rPr>
          <w:rFonts w:ascii="Palatino Linotype" w:eastAsia="Palatino Linotype" w:hAnsi="Palatino Linotype" w:cs="Palatino Linotype"/>
          <w:b/>
          <w:bCs/>
          <w:sz w:val="22"/>
          <w:szCs w:val="22"/>
          <w:lang w:val="es-ES"/>
        </w:rPr>
      </w:pPr>
    </w:p>
    <w:p w14:paraId="0766AB5C" w14:textId="77777777" w:rsidR="00FD5AA4" w:rsidRPr="006C5DA2" w:rsidRDefault="00FD5AA4" w:rsidP="00CD7DE8">
      <w:pPr>
        <w:spacing w:line="360" w:lineRule="auto"/>
        <w:jc w:val="both"/>
        <w:rPr>
          <w:rFonts w:ascii="Palatino Linotype" w:hAnsi="Palatino Linotype" w:cs="Tahoma"/>
          <w:sz w:val="22"/>
          <w:szCs w:val="22"/>
        </w:rPr>
      </w:pPr>
      <w:r w:rsidRPr="006C5DA2">
        <w:rPr>
          <w:rFonts w:ascii="Palatino Linotype" w:hAnsi="Palatino Linotype" w:cs="Tahoma"/>
          <w:sz w:val="22"/>
          <w:szCs w:val="22"/>
        </w:rPr>
        <w:t xml:space="preserve">En razón de que fue debidamente sustanciado el expediente electrónico y no existe diligencia pendiente de desahogo, se emite la resolución que conforme a Derecho proceda, de acuerdo a los siguientes: </w:t>
      </w:r>
    </w:p>
    <w:p w14:paraId="39102E72" w14:textId="77777777" w:rsidR="00F45C9D" w:rsidRPr="00033B8E" w:rsidRDefault="00F45C9D" w:rsidP="00CD7DE8">
      <w:pPr>
        <w:spacing w:line="360" w:lineRule="auto"/>
        <w:contextualSpacing/>
        <w:jc w:val="both"/>
        <w:rPr>
          <w:rFonts w:ascii="Palatino Linotype" w:hAnsi="Palatino Linotype" w:cs="Tahoma"/>
          <w:color w:val="000000"/>
          <w:sz w:val="22"/>
          <w:szCs w:val="22"/>
        </w:rPr>
      </w:pPr>
    </w:p>
    <w:p w14:paraId="20E8E5F1" w14:textId="77777777" w:rsidR="00E4458D" w:rsidRPr="00033B8E" w:rsidRDefault="00E4458D" w:rsidP="00CD7DE8">
      <w:pPr>
        <w:spacing w:line="360" w:lineRule="auto"/>
        <w:jc w:val="center"/>
        <w:rPr>
          <w:rFonts w:ascii="Palatino Linotype" w:hAnsi="Palatino Linotype" w:cs="Tahoma"/>
          <w:b/>
          <w:sz w:val="22"/>
          <w:szCs w:val="22"/>
        </w:rPr>
      </w:pPr>
      <w:r w:rsidRPr="00033B8E">
        <w:rPr>
          <w:rFonts w:ascii="Palatino Linotype" w:hAnsi="Palatino Linotype" w:cs="Tahoma"/>
          <w:b/>
          <w:sz w:val="22"/>
          <w:szCs w:val="22"/>
        </w:rPr>
        <w:t>C O N S I D E R A N D O S</w:t>
      </w:r>
    </w:p>
    <w:p w14:paraId="21CA14FC" w14:textId="77777777" w:rsidR="00E4458D" w:rsidRPr="00033B8E" w:rsidRDefault="00E4458D" w:rsidP="00CD7DE8">
      <w:pPr>
        <w:spacing w:line="360" w:lineRule="auto"/>
        <w:rPr>
          <w:rFonts w:ascii="Palatino Linotype" w:hAnsi="Palatino Linotype" w:cs="Tahoma"/>
          <w:b/>
          <w:sz w:val="22"/>
          <w:szCs w:val="22"/>
        </w:rPr>
      </w:pPr>
    </w:p>
    <w:p w14:paraId="6093D77E" w14:textId="77777777" w:rsidR="00E4458D" w:rsidRPr="00734A47" w:rsidRDefault="00E4458D" w:rsidP="00CD7DE8">
      <w:pPr>
        <w:spacing w:line="360" w:lineRule="auto"/>
        <w:jc w:val="both"/>
        <w:rPr>
          <w:rFonts w:ascii="Palatino Linotype" w:eastAsia="Batang" w:hAnsi="Palatino Linotype" w:cs="Tahoma"/>
          <w:b/>
          <w:bCs/>
          <w:sz w:val="22"/>
          <w:szCs w:val="22"/>
        </w:rPr>
      </w:pPr>
      <w:r w:rsidRPr="00734A47">
        <w:rPr>
          <w:rFonts w:ascii="Palatino Linotype" w:eastAsia="Batang" w:hAnsi="Palatino Linotype" w:cs="Tahoma"/>
          <w:b/>
          <w:bCs/>
          <w:sz w:val="22"/>
          <w:szCs w:val="22"/>
        </w:rPr>
        <w:t xml:space="preserve">PRIMERO. Competencia. </w:t>
      </w:r>
    </w:p>
    <w:p w14:paraId="22BEF5B6" w14:textId="77777777" w:rsidR="00E4458D" w:rsidRPr="00734A47" w:rsidRDefault="00E4458D" w:rsidP="00CD7DE8">
      <w:pPr>
        <w:spacing w:line="360" w:lineRule="auto"/>
        <w:jc w:val="both"/>
        <w:rPr>
          <w:rFonts w:ascii="Palatino Linotype" w:eastAsia="Batang" w:hAnsi="Palatino Linotype" w:cs="Tahoma"/>
          <w:b/>
          <w:bCs/>
          <w:sz w:val="22"/>
          <w:szCs w:val="22"/>
        </w:rPr>
      </w:pPr>
    </w:p>
    <w:p w14:paraId="7F53F690" w14:textId="4A0F6C97" w:rsidR="000717D3" w:rsidRPr="000717D3" w:rsidRDefault="000717D3" w:rsidP="00CD7DE8">
      <w:pPr>
        <w:spacing w:line="360" w:lineRule="auto"/>
        <w:jc w:val="both"/>
        <w:rPr>
          <w:rFonts w:ascii="Palatino Linotype" w:hAnsi="Palatino Linotype" w:cs="Tahoma"/>
          <w:bCs/>
          <w:sz w:val="22"/>
          <w:szCs w:val="22"/>
        </w:rPr>
      </w:pPr>
      <w:bookmarkStart w:id="0" w:name="_Hlk63334754"/>
      <w:r w:rsidRPr="00734A47">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301B76">
        <w:rPr>
          <w:rFonts w:ascii="Palatino Linotype" w:hAnsi="Palatino Linotype" w:cs="Tahoma"/>
          <w:bCs/>
          <w:sz w:val="22"/>
          <w:szCs w:val="22"/>
        </w:rPr>
        <w:t>trigésimo,</w:t>
      </w:r>
      <w:r w:rsidRPr="00734A47">
        <w:rPr>
          <w:rFonts w:ascii="Palatino Linotype" w:hAnsi="Palatino Linotype" w:cs="Tahoma"/>
          <w:bCs/>
          <w:sz w:val="22"/>
          <w:szCs w:val="22"/>
        </w:rPr>
        <w:t xml:space="preserve"> trigésimo primero</w:t>
      </w:r>
      <w:r w:rsidR="00301B76">
        <w:rPr>
          <w:rFonts w:ascii="Palatino Linotype" w:hAnsi="Palatino Linotype" w:cs="Tahoma"/>
          <w:bCs/>
          <w:sz w:val="22"/>
          <w:szCs w:val="22"/>
        </w:rPr>
        <w:t xml:space="preserve"> y trigésimo segundo</w:t>
      </w:r>
      <w:r w:rsidRPr="00734A47">
        <w:rPr>
          <w:rFonts w:ascii="Palatino Linotype" w:hAnsi="Palatino Linotype" w:cs="Tahoma"/>
          <w:bCs/>
          <w:sz w:val="22"/>
          <w:szCs w:val="22"/>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734A47">
        <w:rPr>
          <w:rFonts w:ascii="Palatino Linotype" w:hAnsi="Palatino Linotype"/>
          <w:bCs/>
          <w:sz w:val="22"/>
          <w:szCs w:val="22"/>
        </w:rPr>
        <w:t xml:space="preserve"> 7°, </w:t>
      </w:r>
      <w:r w:rsidRPr="00734A47">
        <w:rPr>
          <w:rFonts w:ascii="Palatino Linotype" w:hAnsi="Palatino Linotype" w:cs="Tahoma"/>
          <w:bCs/>
          <w:sz w:val="22"/>
          <w:szCs w:val="22"/>
        </w:rPr>
        <w:t xml:space="preserve">9°, fracciones I y XXIV y 11 del Reglamento Interior del Instituto de </w:t>
      </w:r>
      <w:r w:rsidRPr="00734A47">
        <w:rPr>
          <w:rFonts w:ascii="Palatino Linotype" w:hAnsi="Palatino Linotype" w:cs="Tahoma"/>
          <w:bCs/>
          <w:sz w:val="22"/>
          <w:szCs w:val="22"/>
        </w:rPr>
        <w:lastRenderedPageBreak/>
        <w:t>Transparencia, Acceso a la Información Pública y Protección de Datos Personales del Estado de México y Municipios.</w:t>
      </w:r>
    </w:p>
    <w:bookmarkEnd w:id="0"/>
    <w:p w14:paraId="248BBFCD" w14:textId="77777777" w:rsidR="00A84169" w:rsidRPr="00033B8E" w:rsidRDefault="00A84169" w:rsidP="00CD7DE8">
      <w:pPr>
        <w:spacing w:line="360" w:lineRule="auto"/>
        <w:jc w:val="both"/>
        <w:rPr>
          <w:rFonts w:ascii="Palatino Linotype" w:eastAsia="Calibri" w:hAnsi="Palatino Linotype" w:cs="Tahoma"/>
          <w:bCs/>
          <w:color w:val="000000"/>
          <w:sz w:val="22"/>
          <w:szCs w:val="22"/>
          <w:lang w:eastAsia="es-ES_tradnl"/>
        </w:rPr>
      </w:pPr>
    </w:p>
    <w:p w14:paraId="1C75C07B" w14:textId="50CDCC7F" w:rsidR="00A95FB6" w:rsidRPr="009C5BB3" w:rsidRDefault="00A95FB6" w:rsidP="00CD7DE8">
      <w:pPr>
        <w:shd w:val="clear" w:color="auto" w:fill="FFFFFF"/>
        <w:spacing w:line="360" w:lineRule="auto"/>
        <w:jc w:val="both"/>
        <w:rPr>
          <w:rFonts w:ascii="Palatino Linotype" w:hAnsi="Palatino Linotype"/>
          <w:b/>
          <w:bCs/>
          <w:color w:val="000000"/>
          <w:sz w:val="22"/>
          <w:szCs w:val="22"/>
          <w:lang w:val="es-ES"/>
        </w:rPr>
      </w:pPr>
      <w:bookmarkStart w:id="1" w:name="_Hlk68806108"/>
      <w:r w:rsidRPr="00033B8E">
        <w:rPr>
          <w:rFonts w:ascii="Palatino Linotype" w:hAnsi="Palatino Linotype"/>
          <w:b/>
          <w:bCs/>
          <w:color w:val="000000"/>
          <w:sz w:val="22"/>
          <w:szCs w:val="22"/>
          <w:lang w:val="es-ES"/>
        </w:rPr>
        <w:t>SEGUNDO. Causales de improcedencia.</w:t>
      </w:r>
    </w:p>
    <w:p w14:paraId="6C65DEB6" w14:textId="77777777" w:rsidR="00A95FB6" w:rsidRPr="00033B8E" w:rsidRDefault="00A95FB6" w:rsidP="00CD7DE8">
      <w:pPr>
        <w:shd w:val="clear" w:color="auto" w:fill="FFFFFF"/>
        <w:spacing w:line="360" w:lineRule="auto"/>
        <w:jc w:val="both"/>
        <w:rPr>
          <w:rFonts w:ascii="Palatino Linotype" w:hAnsi="Palatino Linotype"/>
          <w:color w:val="222222"/>
          <w:lang w:val="es-ES"/>
        </w:rPr>
      </w:pPr>
      <w:r w:rsidRPr="00033B8E">
        <w:rPr>
          <w:rFonts w:ascii="Palatino Linotype" w:hAnsi="Palatino Linotype"/>
          <w:color w:val="000000"/>
          <w:sz w:val="22"/>
          <w:szCs w:val="22"/>
          <w:lang w:val="es-ES"/>
        </w:rPr>
        <w:t> </w:t>
      </w:r>
    </w:p>
    <w:p w14:paraId="1B1DD685" w14:textId="77777777" w:rsidR="00A95FB6" w:rsidRPr="006714B4" w:rsidRDefault="00A95FB6" w:rsidP="00CD7DE8">
      <w:pPr>
        <w:spacing w:line="360" w:lineRule="auto"/>
        <w:jc w:val="both"/>
        <w:rPr>
          <w:rFonts w:ascii="Palatino Linotype" w:hAnsi="Palatino Linotype" w:cs="Tahoma"/>
          <w:bCs/>
          <w:color w:val="000000"/>
          <w:sz w:val="22"/>
          <w:szCs w:val="22"/>
        </w:rPr>
      </w:pPr>
      <w:r w:rsidRPr="006714B4">
        <w:rPr>
          <w:rFonts w:ascii="Palatino Linotype" w:hAnsi="Palatino Linotype" w:cs="Tahoma"/>
          <w:bCs/>
          <w:color w:val="000000"/>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2BB5D18" w14:textId="77777777" w:rsidR="00A95FB6" w:rsidRPr="006714B4" w:rsidRDefault="00A95FB6" w:rsidP="00CD7DE8">
      <w:pPr>
        <w:spacing w:line="360" w:lineRule="auto"/>
        <w:jc w:val="both"/>
        <w:rPr>
          <w:rFonts w:ascii="Palatino Linotype" w:hAnsi="Palatino Linotype" w:cs="Tahoma"/>
          <w:bCs/>
          <w:color w:val="000000"/>
          <w:sz w:val="22"/>
          <w:szCs w:val="22"/>
        </w:rPr>
      </w:pPr>
      <w:r w:rsidRPr="006714B4">
        <w:rPr>
          <w:rFonts w:ascii="Palatino Linotype" w:hAnsi="Palatino Linotype" w:cs="Tahoma"/>
          <w:bCs/>
          <w:color w:val="000000"/>
          <w:sz w:val="22"/>
          <w:szCs w:val="22"/>
        </w:rPr>
        <w:t> </w:t>
      </w:r>
    </w:p>
    <w:p w14:paraId="48EF4513" w14:textId="77777777" w:rsidR="00A95FB6" w:rsidRPr="006714B4" w:rsidRDefault="00A95FB6" w:rsidP="00CD7DE8">
      <w:pPr>
        <w:spacing w:line="360" w:lineRule="auto"/>
        <w:jc w:val="both"/>
        <w:rPr>
          <w:rFonts w:ascii="Palatino Linotype" w:hAnsi="Palatino Linotype" w:cs="Tahoma"/>
          <w:bCs/>
          <w:color w:val="000000"/>
          <w:sz w:val="22"/>
          <w:szCs w:val="22"/>
        </w:rPr>
      </w:pPr>
      <w:r w:rsidRPr="006714B4">
        <w:rPr>
          <w:rFonts w:ascii="Palatino Linotype" w:hAnsi="Palatino Linotype" w:cs="Tahoma"/>
          <w:bCs/>
          <w:color w:val="000000"/>
          <w:sz w:val="22"/>
          <w:szCs w:val="22"/>
        </w:rPr>
        <w:t>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ampliación a los alcances del requerimiento informativo.</w:t>
      </w:r>
    </w:p>
    <w:p w14:paraId="1E39BE33" w14:textId="77777777" w:rsidR="00A95FB6" w:rsidRPr="00033B8E" w:rsidRDefault="00A95FB6" w:rsidP="00CD7DE8">
      <w:pPr>
        <w:shd w:val="clear" w:color="auto" w:fill="FFFFFF"/>
        <w:spacing w:line="360" w:lineRule="auto"/>
        <w:jc w:val="both"/>
        <w:rPr>
          <w:rFonts w:ascii="Palatino Linotype" w:hAnsi="Palatino Linotype"/>
          <w:color w:val="222222"/>
          <w:lang w:val="es-ES"/>
        </w:rPr>
      </w:pPr>
      <w:r w:rsidRPr="00033B8E">
        <w:rPr>
          <w:rFonts w:ascii="Palatino Linotype" w:hAnsi="Palatino Linotype"/>
          <w:color w:val="000000"/>
          <w:sz w:val="22"/>
          <w:szCs w:val="22"/>
          <w:lang w:val="es-ES"/>
        </w:rPr>
        <w:t> </w:t>
      </w:r>
    </w:p>
    <w:p w14:paraId="582E457E" w14:textId="3161E331" w:rsidR="00ED57FE" w:rsidRDefault="00ED57FE" w:rsidP="00CD7DE8">
      <w:pPr>
        <w:widowControl w:val="0"/>
        <w:spacing w:line="360" w:lineRule="auto"/>
        <w:jc w:val="both"/>
        <w:rPr>
          <w:rFonts w:ascii="Palatino Linotype" w:hAnsi="Palatino Linotype" w:cs="Tahoma"/>
          <w:sz w:val="22"/>
          <w:szCs w:val="22"/>
          <w:lang w:val="es-ES"/>
        </w:rPr>
      </w:pPr>
      <w:r>
        <w:rPr>
          <w:rFonts w:ascii="Palatino Linotype" w:hAnsi="Palatino Linotype" w:cs="Tahoma"/>
          <w:sz w:val="22"/>
          <w:szCs w:val="22"/>
        </w:rPr>
        <w:t xml:space="preserve">Asimismo, se actualiza la causal de procedencia del Recurso de Revisión señalada </w:t>
      </w:r>
      <w:r w:rsidR="00183AF2">
        <w:rPr>
          <w:rFonts w:ascii="Palatino Linotype" w:hAnsi="Palatino Linotype" w:cs="Tahoma"/>
          <w:sz w:val="22"/>
          <w:szCs w:val="22"/>
        </w:rPr>
        <w:t xml:space="preserve">en el artículo 179, fracciones </w:t>
      </w:r>
      <w:r w:rsidR="006A27A0">
        <w:rPr>
          <w:rFonts w:ascii="Palatino Linotype" w:hAnsi="Palatino Linotype" w:cs="Tahoma"/>
          <w:sz w:val="22"/>
          <w:szCs w:val="22"/>
        </w:rPr>
        <w:t>II</w:t>
      </w:r>
      <w:r w:rsidR="006714B4">
        <w:rPr>
          <w:rFonts w:ascii="Palatino Linotype" w:hAnsi="Palatino Linotype" w:cs="Tahoma"/>
          <w:sz w:val="22"/>
          <w:szCs w:val="22"/>
        </w:rPr>
        <w:t>,</w:t>
      </w:r>
      <w:r>
        <w:rPr>
          <w:rFonts w:ascii="Palatino Linotype" w:hAnsi="Palatino Linotype" w:cs="Tahoma"/>
          <w:sz w:val="22"/>
          <w:szCs w:val="22"/>
        </w:rPr>
        <w:t xml:space="preserve"> de la Ley en cita, </w:t>
      </w:r>
      <w:r>
        <w:rPr>
          <w:rFonts w:ascii="Palatino Linotype" w:eastAsia="Calibri" w:hAnsi="Palatino Linotype" w:cs="Tahoma"/>
          <w:color w:val="000000"/>
          <w:sz w:val="22"/>
          <w:szCs w:val="22"/>
          <w:lang w:eastAsia="es-MX"/>
        </w:rPr>
        <w:t xml:space="preserve">pues la Recurrente se inconformó </w:t>
      </w:r>
      <w:r>
        <w:rPr>
          <w:rFonts w:ascii="Palatino Linotype" w:hAnsi="Palatino Linotype" w:cs="Tahoma"/>
          <w:sz w:val="22"/>
          <w:szCs w:val="22"/>
          <w:lang w:val="es-ES"/>
        </w:rPr>
        <w:t xml:space="preserve">con la </w:t>
      </w:r>
      <w:r w:rsidR="00AC6C0A">
        <w:rPr>
          <w:rFonts w:ascii="Palatino Linotype" w:hAnsi="Palatino Linotype" w:cs="Tahoma"/>
          <w:sz w:val="22"/>
          <w:szCs w:val="22"/>
          <w:lang w:val="es-ES"/>
        </w:rPr>
        <w:t>clasificación de la información</w:t>
      </w:r>
      <w:r w:rsidR="006A27A0">
        <w:rPr>
          <w:rFonts w:ascii="Palatino Linotype" w:hAnsi="Palatino Linotype" w:cs="Tahoma"/>
          <w:sz w:val="22"/>
          <w:szCs w:val="22"/>
          <w:lang w:val="es-ES"/>
        </w:rPr>
        <w:t>.</w:t>
      </w:r>
    </w:p>
    <w:p w14:paraId="1719E726" w14:textId="77777777" w:rsidR="00A95FB6" w:rsidRPr="00033B8E" w:rsidRDefault="00A95FB6" w:rsidP="00CD7DE8">
      <w:pPr>
        <w:widowControl w:val="0"/>
        <w:spacing w:line="360" w:lineRule="auto"/>
        <w:jc w:val="both"/>
        <w:rPr>
          <w:rFonts w:ascii="Palatino Linotype" w:hAnsi="Palatino Linotype"/>
          <w:color w:val="222222"/>
          <w:lang w:val="es-ES"/>
        </w:rPr>
      </w:pPr>
      <w:r w:rsidRPr="00033B8E">
        <w:rPr>
          <w:rFonts w:ascii="Palatino Linotype" w:hAnsi="Palatino Linotype"/>
          <w:color w:val="000000"/>
          <w:sz w:val="22"/>
          <w:szCs w:val="22"/>
          <w:lang w:val="es-ES"/>
        </w:rPr>
        <w:t> </w:t>
      </w:r>
    </w:p>
    <w:p w14:paraId="57C54F4E" w14:textId="39594C6C" w:rsidR="00A95FB6" w:rsidRPr="006A27A0" w:rsidRDefault="009C5BB3" w:rsidP="00CD7DE8">
      <w:pPr>
        <w:widowControl w:val="0"/>
        <w:spacing w:line="360" w:lineRule="auto"/>
        <w:jc w:val="both"/>
        <w:rPr>
          <w:rFonts w:ascii="Palatino Linotype" w:hAnsi="Palatino Linotype" w:cs="Tahoma"/>
          <w:b/>
          <w:bCs/>
          <w:sz w:val="22"/>
          <w:szCs w:val="22"/>
        </w:rPr>
      </w:pPr>
      <w:r>
        <w:rPr>
          <w:rFonts w:ascii="Palatino Linotype" w:hAnsi="Palatino Linotype" w:cs="Tahoma"/>
          <w:b/>
          <w:bCs/>
          <w:sz w:val="22"/>
          <w:szCs w:val="22"/>
        </w:rPr>
        <w:lastRenderedPageBreak/>
        <w:t xml:space="preserve">TERCERO. </w:t>
      </w:r>
      <w:r w:rsidR="00A95FB6" w:rsidRPr="006A27A0">
        <w:rPr>
          <w:rFonts w:ascii="Palatino Linotype" w:hAnsi="Palatino Linotype" w:cs="Tahoma"/>
          <w:b/>
          <w:bCs/>
          <w:sz w:val="22"/>
          <w:szCs w:val="22"/>
        </w:rPr>
        <w:t>Causales de sobreseimiento.</w:t>
      </w:r>
    </w:p>
    <w:p w14:paraId="369D208A" w14:textId="77777777" w:rsidR="008B7067" w:rsidRDefault="008B7067" w:rsidP="00CD7DE8">
      <w:pPr>
        <w:widowControl w:val="0"/>
        <w:spacing w:line="360" w:lineRule="auto"/>
        <w:jc w:val="both"/>
        <w:rPr>
          <w:rFonts w:ascii="Palatino Linotype" w:hAnsi="Palatino Linotype"/>
          <w:color w:val="000000"/>
          <w:sz w:val="22"/>
          <w:szCs w:val="22"/>
          <w:lang w:val="es-ES"/>
        </w:rPr>
      </w:pPr>
    </w:p>
    <w:p w14:paraId="202A5CD4" w14:textId="7828D2F5" w:rsidR="00A95FB6" w:rsidRDefault="00A95FB6" w:rsidP="00CD7DE8">
      <w:pPr>
        <w:widowControl w:val="0"/>
        <w:spacing w:line="360" w:lineRule="auto"/>
        <w:jc w:val="both"/>
        <w:rPr>
          <w:rFonts w:ascii="Palatino Linotype" w:hAnsi="Palatino Linotype" w:cs="Tahoma"/>
          <w:sz w:val="22"/>
          <w:szCs w:val="22"/>
        </w:rPr>
      </w:pPr>
      <w:r w:rsidRPr="006A27A0">
        <w:rPr>
          <w:rFonts w:ascii="Palatino Linotype" w:hAnsi="Palatino Linotype" w:cs="Tahoma"/>
          <w:sz w:val="22"/>
          <w:szCs w:val="22"/>
        </w:rPr>
        <w:t>Por ser de previo y especial pronunciamiento, este Instituto analiza si se actualiza alguna causal de sobreseimiento.</w:t>
      </w:r>
    </w:p>
    <w:bookmarkEnd w:id="1"/>
    <w:p w14:paraId="7117AB13" w14:textId="40889166" w:rsidR="00F45C9D" w:rsidRDefault="00F45C9D" w:rsidP="00CD7DE8">
      <w:pPr>
        <w:widowControl w:val="0"/>
        <w:spacing w:line="360" w:lineRule="auto"/>
        <w:jc w:val="both"/>
        <w:rPr>
          <w:rFonts w:ascii="Palatino Linotype" w:hAnsi="Palatino Linotype" w:cs="Tahoma"/>
          <w:sz w:val="22"/>
          <w:szCs w:val="22"/>
        </w:rPr>
      </w:pPr>
    </w:p>
    <w:p w14:paraId="6FD9E752" w14:textId="77777777" w:rsidR="009C5BB3" w:rsidRPr="009C5BB3" w:rsidRDefault="009C5BB3" w:rsidP="009C5BB3">
      <w:pPr>
        <w:spacing w:line="360" w:lineRule="auto"/>
        <w:jc w:val="both"/>
        <w:rPr>
          <w:rFonts w:ascii="Palatino Linotype" w:hAnsi="Palatino Linotype" w:cs="Tahoma"/>
          <w:bCs/>
          <w:sz w:val="22"/>
          <w:szCs w:val="22"/>
        </w:rPr>
      </w:pPr>
      <w:r w:rsidRPr="009C5BB3">
        <w:rPr>
          <w:rFonts w:ascii="Palatino Linotype" w:hAnsi="Palatino Linotype" w:cs="Tahoma"/>
          <w:bCs/>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9C5BB3">
        <w:rPr>
          <w:rFonts w:ascii="Palatino Linotype" w:hAnsi="Palatino Linotype" w:cs="Tahoma"/>
          <w:b/>
          <w:bCs/>
          <w:sz w:val="22"/>
          <w:szCs w:val="22"/>
        </w:rPr>
        <w:t>que no se actualizan los supuestos de sobreseimiento previstos en las fracciones I, II, IV y V</w:t>
      </w:r>
      <w:r w:rsidRPr="009C5BB3">
        <w:rPr>
          <w:rFonts w:ascii="Palatino Linotype" w:hAnsi="Palatino Linotype" w:cs="Tahoma"/>
          <w:bCs/>
          <w:sz w:val="22"/>
          <w:szCs w:val="22"/>
        </w:rPr>
        <w:t xml:space="preserve">, del artículo en comento, lo anterior, en virtud de que no hay constancias en el expediente en que se actúa, de que la Recurrente se haya desistido del recurso, haya fallecido, o bien, se haya actualizado alguna causal de improcedencia. </w:t>
      </w:r>
    </w:p>
    <w:p w14:paraId="158C22F0" w14:textId="77777777" w:rsidR="009C5BB3" w:rsidRPr="009C5BB3" w:rsidRDefault="009C5BB3" w:rsidP="009C5BB3">
      <w:pPr>
        <w:spacing w:line="360" w:lineRule="auto"/>
        <w:jc w:val="both"/>
        <w:rPr>
          <w:rFonts w:ascii="Palatino Linotype" w:hAnsi="Palatino Linotype" w:cs="Tahoma"/>
          <w:bCs/>
          <w:sz w:val="22"/>
          <w:szCs w:val="22"/>
        </w:rPr>
      </w:pPr>
    </w:p>
    <w:p w14:paraId="1DC99DB1" w14:textId="2E963680" w:rsidR="00E8531B" w:rsidRPr="00211E09" w:rsidRDefault="009C5BB3" w:rsidP="00CD7DE8">
      <w:pPr>
        <w:spacing w:line="360" w:lineRule="auto"/>
        <w:jc w:val="both"/>
        <w:rPr>
          <w:rFonts w:ascii="Palatino Linotype" w:hAnsi="Palatino Linotype" w:cs="Tahoma"/>
          <w:bCs/>
          <w:color w:val="000000"/>
          <w:sz w:val="22"/>
          <w:szCs w:val="22"/>
        </w:rPr>
      </w:pPr>
      <w:r w:rsidRPr="009C5BB3">
        <w:rPr>
          <w:rFonts w:ascii="Palatino Linotype" w:hAnsi="Palatino Linotype" w:cs="Tahoma"/>
          <w:bCs/>
          <w:sz w:val="22"/>
          <w:szCs w:val="22"/>
        </w:rPr>
        <w:t xml:space="preserve">No obstante, por lo que hace a la hipótesis prevista en la </w:t>
      </w:r>
      <w:r w:rsidRPr="009C5BB3">
        <w:rPr>
          <w:rFonts w:ascii="Palatino Linotype" w:hAnsi="Palatino Linotype" w:cs="Tahoma"/>
          <w:b/>
          <w:sz w:val="22"/>
          <w:szCs w:val="22"/>
        </w:rPr>
        <w:t>fracción III</w:t>
      </w:r>
      <w:r w:rsidRPr="009C5BB3">
        <w:rPr>
          <w:rFonts w:ascii="Palatino Linotype" w:hAnsi="Palatino Linotype" w:cs="Tahoma"/>
          <w:bCs/>
          <w:sz w:val="22"/>
          <w:szCs w:val="22"/>
        </w:rPr>
        <w:t>, del artículo 192 de la Ley de la Materia, a saber, que el Sujeto Obligado durante la sustanciación del Recurso de Revisión modifique su respuesta</w:t>
      </w:r>
      <w:r>
        <w:rPr>
          <w:rFonts w:ascii="Palatino Linotype" w:hAnsi="Palatino Linotype" w:cs="Tahoma"/>
          <w:bCs/>
          <w:sz w:val="22"/>
          <w:szCs w:val="22"/>
        </w:rPr>
        <w:t>; e</w:t>
      </w:r>
      <w:r w:rsidRPr="009C5BB3">
        <w:rPr>
          <w:rFonts w:ascii="Palatino Linotype" w:hAnsi="Palatino Linotype" w:cs="Tahoma"/>
          <w:bCs/>
          <w:sz w:val="22"/>
          <w:szCs w:val="22"/>
        </w:rPr>
        <w:t>n razón de lo anterior, y con la finalidad de verificar si se actualiza la causal de sobreseimiento, es necesario recapitular</w:t>
      </w:r>
      <w:bookmarkStart w:id="2" w:name="_Hlk68806195"/>
      <w:r w:rsidR="00BC2922">
        <w:rPr>
          <w:rFonts w:ascii="Palatino Linotype" w:hAnsi="Palatino Linotype" w:cs="Tahoma"/>
          <w:bCs/>
          <w:color w:val="000000"/>
          <w:sz w:val="22"/>
          <w:szCs w:val="22"/>
        </w:rPr>
        <w:t xml:space="preserve"> </w:t>
      </w:r>
      <w:r w:rsidR="00E8531B" w:rsidRPr="00114865">
        <w:rPr>
          <w:rFonts w:ascii="Palatino Linotype" w:hAnsi="Palatino Linotype" w:cs="Tahoma"/>
          <w:bCs/>
          <w:color w:val="000000"/>
          <w:sz w:val="22"/>
          <w:szCs w:val="22"/>
        </w:rPr>
        <w:t xml:space="preserve">que </w:t>
      </w:r>
      <w:r w:rsidR="00E8531B">
        <w:rPr>
          <w:rFonts w:ascii="Palatino Linotype" w:hAnsi="Palatino Linotype" w:cs="Tahoma"/>
          <w:bCs/>
          <w:color w:val="000000"/>
          <w:sz w:val="22"/>
          <w:szCs w:val="22"/>
        </w:rPr>
        <w:t>el Recurrente, requirió la</w:t>
      </w:r>
      <w:r w:rsidR="00AE6260">
        <w:rPr>
          <w:rFonts w:ascii="Palatino Linotype" w:hAnsi="Palatino Linotype" w:cs="Tahoma"/>
          <w:bCs/>
          <w:color w:val="000000"/>
          <w:sz w:val="22"/>
          <w:szCs w:val="22"/>
        </w:rPr>
        <w:t>s</w:t>
      </w:r>
      <w:r w:rsidR="00E8531B">
        <w:rPr>
          <w:rFonts w:ascii="Palatino Linotype" w:hAnsi="Palatino Linotype" w:cs="Tahoma"/>
          <w:bCs/>
          <w:color w:val="000000"/>
          <w:sz w:val="22"/>
          <w:szCs w:val="22"/>
        </w:rPr>
        <w:t xml:space="preserve"> </w:t>
      </w:r>
      <w:r w:rsidR="00E8531B" w:rsidRPr="00D05C0A">
        <w:rPr>
          <w:rFonts w:ascii="Palatino Linotype" w:hAnsi="Palatino Linotype" w:cs="Tahoma"/>
          <w:bCs/>
          <w:color w:val="000000"/>
          <w:sz w:val="22"/>
          <w:szCs w:val="22"/>
        </w:rPr>
        <w:t>declaraci</w:t>
      </w:r>
      <w:r w:rsidR="00AE6260">
        <w:rPr>
          <w:rFonts w:ascii="Palatino Linotype" w:hAnsi="Palatino Linotype" w:cs="Tahoma"/>
          <w:bCs/>
          <w:color w:val="000000"/>
          <w:sz w:val="22"/>
          <w:szCs w:val="22"/>
        </w:rPr>
        <w:t>o</w:t>
      </w:r>
      <w:r w:rsidR="00E8531B" w:rsidRPr="00D05C0A">
        <w:rPr>
          <w:rFonts w:ascii="Palatino Linotype" w:hAnsi="Palatino Linotype" w:cs="Tahoma"/>
          <w:bCs/>
          <w:color w:val="000000"/>
          <w:sz w:val="22"/>
          <w:szCs w:val="22"/>
        </w:rPr>
        <w:t>n</w:t>
      </w:r>
      <w:r w:rsidR="00AE6260">
        <w:rPr>
          <w:rFonts w:ascii="Palatino Linotype" w:hAnsi="Palatino Linotype" w:cs="Tahoma"/>
          <w:bCs/>
          <w:color w:val="000000"/>
          <w:sz w:val="22"/>
          <w:szCs w:val="22"/>
        </w:rPr>
        <w:t>es</w:t>
      </w:r>
      <w:r w:rsidR="00E8531B" w:rsidRPr="00D05C0A">
        <w:rPr>
          <w:rFonts w:ascii="Palatino Linotype" w:hAnsi="Palatino Linotype" w:cs="Tahoma"/>
          <w:bCs/>
          <w:color w:val="000000"/>
          <w:sz w:val="22"/>
          <w:szCs w:val="22"/>
        </w:rPr>
        <w:t xml:space="preserve"> patrimonial</w:t>
      </w:r>
      <w:r w:rsidR="00AE6260">
        <w:rPr>
          <w:rFonts w:ascii="Palatino Linotype" w:hAnsi="Palatino Linotype" w:cs="Tahoma"/>
          <w:bCs/>
          <w:color w:val="000000"/>
          <w:sz w:val="22"/>
          <w:szCs w:val="22"/>
        </w:rPr>
        <w:t>es</w:t>
      </w:r>
      <w:r w:rsidR="007D19B1">
        <w:rPr>
          <w:rFonts w:ascii="Palatino Linotype" w:hAnsi="Palatino Linotype" w:cs="Tahoma"/>
          <w:bCs/>
          <w:color w:val="000000"/>
          <w:sz w:val="22"/>
          <w:szCs w:val="22"/>
        </w:rPr>
        <w:t xml:space="preserve"> (alta, modificación y baja)</w:t>
      </w:r>
      <w:r w:rsidR="00784E6A">
        <w:rPr>
          <w:rFonts w:ascii="Palatino Linotype" w:hAnsi="Palatino Linotype" w:cs="Tahoma"/>
          <w:bCs/>
          <w:color w:val="000000"/>
          <w:sz w:val="22"/>
          <w:szCs w:val="22"/>
        </w:rPr>
        <w:t xml:space="preserve">, de todos los servidores públicos adscritos en la Contraloría Interna y Órgano de Control y Vigilancia, </w:t>
      </w:r>
      <w:r w:rsidR="00FB76C1">
        <w:rPr>
          <w:rFonts w:ascii="Palatino Linotype" w:hAnsi="Palatino Linotype" w:cs="Tahoma"/>
          <w:bCs/>
          <w:color w:val="000000"/>
          <w:sz w:val="22"/>
          <w:szCs w:val="22"/>
        </w:rPr>
        <w:t>presentadas durante</w:t>
      </w:r>
      <w:r w:rsidR="00E8531B">
        <w:rPr>
          <w:rFonts w:ascii="Palatino Linotype" w:hAnsi="Palatino Linotype" w:cs="Tahoma"/>
          <w:bCs/>
          <w:color w:val="000000"/>
          <w:sz w:val="22"/>
          <w:szCs w:val="22"/>
        </w:rPr>
        <w:t xml:space="preserve"> los ejercicios fiscales </w:t>
      </w:r>
      <w:r w:rsidR="00AE6260">
        <w:rPr>
          <w:rFonts w:ascii="Palatino Linotype" w:hAnsi="Palatino Linotype" w:cs="Tahoma"/>
          <w:bCs/>
          <w:color w:val="000000"/>
          <w:sz w:val="22"/>
          <w:szCs w:val="22"/>
        </w:rPr>
        <w:t xml:space="preserve">dos mil quince, dos mil dieciséis, </w:t>
      </w:r>
      <w:r w:rsidR="00E8531B">
        <w:rPr>
          <w:rFonts w:ascii="Palatino Linotype" w:hAnsi="Palatino Linotype" w:cs="Tahoma"/>
          <w:bCs/>
          <w:color w:val="000000"/>
          <w:sz w:val="22"/>
          <w:szCs w:val="22"/>
        </w:rPr>
        <w:t>dos mil diecisiete, dos mil dieciocho, dos mil diecinueve, dos mil veinte y dos mil veintiuno.</w:t>
      </w:r>
    </w:p>
    <w:p w14:paraId="20A20BA6" w14:textId="5BBAD73F" w:rsidR="00ED57FE" w:rsidRDefault="00ED57FE" w:rsidP="00CD7DE8">
      <w:pPr>
        <w:tabs>
          <w:tab w:val="left" w:pos="4962"/>
        </w:tabs>
        <w:spacing w:line="360" w:lineRule="auto"/>
        <w:jc w:val="both"/>
        <w:rPr>
          <w:rFonts w:ascii="Palatino Linotype" w:eastAsia="Calibri" w:hAnsi="Palatino Linotype" w:cs="Tahoma"/>
          <w:b/>
          <w:iCs/>
          <w:sz w:val="22"/>
          <w:szCs w:val="22"/>
          <w:lang w:val="es-ES" w:eastAsia="es-ES_tradnl"/>
        </w:rPr>
      </w:pPr>
    </w:p>
    <w:bookmarkEnd w:id="2"/>
    <w:p w14:paraId="32A021BE" w14:textId="3EAA9F09" w:rsidR="00FB76C1" w:rsidRDefault="00FB76C1" w:rsidP="00CD7DE8">
      <w:pPr>
        <w:spacing w:line="360" w:lineRule="auto"/>
        <w:ind w:right="-28"/>
        <w:jc w:val="both"/>
        <w:rPr>
          <w:rFonts w:ascii="Palatino Linotype" w:hAnsi="Palatino Linotype" w:cs="Tahoma"/>
          <w:sz w:val="22"/>
          <w:szCs w:val="22"/>
        </w:rPr>
      </w:pPr>
      <w:r w:rsidRPr="00FB76C1">
        <w:rPr>
          <w:rFonts w:ascii="Palatino Linotype" w:hAnsi="Palatino Linotype" w:cs="Tahoma"/>
          <w:bCs/>
          <w:color w:val="000000"/>
          <w:sz w:val="22"/>
          <w:szCs w:val="22"/>
        </w:rPr>
        <w:t xml:space="preserve">En respuesta, el Sujeto Obligado, a través de su </w:t>
      </w:r>
      <w:r>
        <w:rPr>
          <w:rFonts w:ascii="Palatino Linotype" w:hAnsi="Palatino Linotype" w:cs="Tahoma"/>
          <w:bCs/>
          <w:color w:val="000000"/>
          <w:sz w:val="22"/>
          <w:szCs w:val="22"/>
        </w:rPr>
        <w:t>Contraloría Interna y Órgano de Control y Vigilancia</w:t>
      </w:r>
      <w:r w:rsidRPr="00FB76C1">
        <w:rPr>
          <w:rFonts w:ascii="Palatino Linotype" w:hAnsi="Palatino Linotype" w:cs="Tahoma"/>
          <w:bCs/>
          <w:color w:val="000000"/>
          <w:sz w:val="22"/>
          <w:szCs w:val="22"/>
        </w:rPr>
        <w:t xml:space="preserve">, precisó </w:t>
      </w:r>
      <w:r>
        <w:rPr>
          <w:rFonts w:ascii="Palatino Linotype" w:hAnsi="Palatino Linotype" w:cs="Tahoma"/>
          <w:bCs/>
          <w:color w:val="000000"/>
          <w:sz w:val="22"/>
          <w:szCs w:val="22"/>
        </w:rPr>
        <w:t xml:space="preserve">que toda vez que los formatos para presentar la versión pública de las declaraciones patrimoniales no se habían formalizado, por lo que, se ocupaban aquellos que permitían al servidor público la posibilidad de autorizar o no la publicidad de dichas </w:t>
      </w:r>
      <w:r>
        <w:rPr>
          <w:rFonts w:ascii="Palatino Linotype" w:hAnsi="Palatino Linotype" w:cs="Tahoma"/>
          <w:bCs/>
          <w:color w:val="000000"/>
          <w:sz w:val="22"/>
          <w:szCs w:val="22"/>
        </w:rPr>
        <w:lastRenderedPageBreak/>
        <w:t xml:space="preserve">manifestaciones, lo peticionado era clasificado como confidencial; situación que fue confirmada por el Comité de Transparencia, a través de la resolución </w:t>
      </w:r>
      <w:r w:rsidR="00784E6A">
        <w:rPr>
          <w:rFonts w:ascii="Palatino Linotype" w:hAnsi="Palatino Linotype" w:cs="Tahoma"/>
          <w:sz w:val="22"/>
          <w:szCs w:val="22"/>
        </w:rPr>
        <w:t>RES/10/INFOEM/ORD/COM/20ª/2021.</w:t>
      </w:r>
    </w:p>
    <w:p w14:paraId="32A3F73C" w14:textId="57507FE7" w:rsidR="00784E6A" w:rsidRDefault="00784E6A" w:rsidP="00CD7DE8">
      <w:pPr>
        <w:spacing w:line="360" w:lineRule="auto"/>
        <w:ind w:right="-28"/>
        <w:jc w:val="both"/>
        <w:rPr>
          <w:rFonts w:ascii="Palatino Linotype" w:hAnsi="Palatino Linotype" w:cs="Tahoma"/>
          <w:sz w:val="22"/>
          <w:szCs w:val="22"/>
        </w:rPr>
      </w:pPr>
    </w:p>
    <w:p w14:paraId="79E672D8" w14:textId="77777777" w:rsidR="00BC2922" w:rsidRDefault="00FB76C1" w:rsidP="00CD7DE8">
      <w:pPr>
        <w:spacing w:line="360" w:lineRule="auto"/>
        <w:ind w:right="-28"/>
        <w:jc w:val="both"/>
        <w:rPr>
          <w:rFonts w:ascii="Palatino Linotype" w:hAnsi="Palatino Linotype" w:cs="Tahoma"/>
          <w:bCs/>
          <w:iCs/>
          <w:color w:val="000000"/>
          <w:sz w:val="22"/>
          <w:szCs w:val="22"/>
        </w:rPr>
      </w:pPr>
      <w:r w:rsidRPr="00FB76C1">
        <w:rPr>
          <w:rFonts w:ascii="Palatino Linotype" w:hAnsi="Palatino Linotype" w:cs="Tahoma"/>
          <w:bCs/>
          <w:color w:val="000000"/>
          <w:sz w:val="22"/>
          <w:szCs w:val="22"/>
        </w:rPr>
        <w:t xml:space="preserve">Ante dicha información, </w:t>
      </w:r>
      <w:r w:rsidRPr="00FB76C1">
        <w:rPr>
          <w:rFonts w:ascii="Palatino Linotype" w:eastAsia="Calibri" w:hAnsi="Palatino Linotype" w:cs="Tahoma"/>
          <w:iCs/>
          <w:sz w:val="22"/>
          <w:szCs w:val="22"/>
          <w:lang w:val="es-ES" w:eastAsia="es-ES_tradnl"/>
        </w:rPr>
        <w:t xml:space="preserve">el Solicitante se inconformó con la </w:t>
      </w:r>
      <w:r w:rsidR="00784E6A">
        <w:rPr>
          <w:rFonts w:ascii="Palatino Linotype" w:eastAsia="Calibri" w:hAnsi="Palatino Linotype" w:cs="Tahoma"/>
          <w:iCs/>
          <w:sz w:val="22"/>
          <w:szCs w:val="22"/>
          <w:lang w:val="es-ES" w:eastAsia="es-ES_tradnl"/>
        </w:rPr>
        <w:t>clasificación de la información, al señalar que el documento solicitado era de carácter público</w:t>
      </w:r>
      <w:r w:rsidRPr="00FB76C1">
        <w:rPr>
          <w:rFonts w:ascii="Palatino Linotype" w:eastAsia="Calibri" w:hAnsi="Palatino Linotype" w:cs="Tahoma"/>
          <w:iCs/>
          <w:sz w:val="22"/>
          <w:szCs w:val="22"/>
          <w:lang w:val="es-ES" w:eastAsia="es-ES_tradnl"/>
        </w:rPr>
        <w:t xml:space="preserve">, </w:t>
      </w:r>
      <w:r w:rsidRPr="00FB76C1">
        <w:rPr>
          <w:rFonts w:ascii="Palatino Linotype" w:hAnsi="Palatino Linotype" w:cs="Tahoma"/>
          <w:bCs/>
          <w:iCs/>
          <w:color w:val="000000"/>
          <w:sz w:val="22"/>
          <w:szCs w:val="22"/>
        </w:rPr>
        <w:t xml:space="preserve">lo cual constituye la causal de procedencia del Recurso de Revisión, en términos del artículo 179, fracción II, de la Ley de Transparencia y Acceso a la Información Pública del Estado de México. </w:t>
      </w:r>
    </w:p>
    <w:p w14:paraId="1C53445F" w14:textId="77777777" w:rsidR="00BC2922" w:rsidRDefault="00BC2922" w:rsidP="00CD7DE8">
      <w:pPr>
        <w:spacing w:line="360" w:lineRule="auto"/>
        <w:ind w:right="-28"/>
        <w:jc w:val="both"/>
        <w:rPr>
          <w:rFonts w:ascii="Palatino Linotype" w:hAnsi="Palatino Linotype" w:cs="Tahoma"/>
          <w:bCs/>
          <w:color w:val="000000"/>
          <w:sz w:val="22"/>
          <w:szCs w:val="22"/>
          <w:lang w:val="es-ES"/>
        </w:rPr>
      </w:pPr>
    </w:p>
    <w:p w14:paraId="44CA9B4C" w14:textId="316CB29C" w:rsidR="00FB76C1" w:rsidRDefault="00FB76C1" w:rsidP="00CD7DE8">
      <w:pPr>
        <w:spacing w:line="360" w:lineRule="auto"/>
        <w:ind w:right="-28"/>
        <w:jc w:val="both"/>
        <w:rPr>
          <w:rFonts w:ascii="Palatino Linotype" w:hAnsi="Palatino Linotype" w:cs="Tahoma"/>
          <w:bCs/>
          <w:iCs/>
          <w:sz w:val="22"/>
          <w:szCs w:val="22"/>
          <w:lang w:val="es-ES"/>
        </w:rPr>
      </w:pPr>
      <w:r w:rsidRPr="00FB76C1">
        <w:rPr>
          <w:rFonts w:ascii="Palatino Linotype" w:hAnsi="Palatino Linotype" w:cs="Tahoma"/>
          <w:bCs/>
          <w:color w:val="000000"/>
          <w:sz w:val="22"/>
          <w:szCs w:val="22"/>
          <w:lang w:val="es-ES"/>
        </w:rPr>
        <w:t>Así las cosas, una vez admitido y notificado el Recurso de Revisión a las partes, el</w:t>
      </w:r>
      <w:r w:rsidRPr="00FB76C1">
        <w:rPr>
          <w:rFonts w:ascii="Palatino Linotype" w:hAnsi="Palatino Linotype" w:cs="Tahoma"/>
          <w:bCs/>
          <w:iCs/>
          <w:sz w:val="22"/>
          <w:szCs w:val="22"/>
          <w:lang w:val="es-ES"/>
        </w:rPr>
        <w:t xml:space="preserve"> </w:t>
      </w:r>
      <w:r w:rsidR="00784E6A">
        <w:rPr>
          <w:rFonts w:ascii="Palatino Linotype" w:hAnsi="Palatino Linotype" w:cs="Tahoma"/>
          <w:bCs/>
          <w:iCs/>
          <w:sz w:val="22"/>
          <w:szCs w:val="22"/>
          <w:lang w:val="es-ES"/>
        </w:rPr>
        <w:t>Sujeto Obligado ratificó su respuesta primigenia</w:t>
      </w:r>
      <w:r w:rsidR="00BC2922">
        <w:rPr>
          <w:rFonts w:ascii="Palatino Linotype" w:hAnsi="Palatino Linotype" w:cs="Tahoma"/>
          <w:bCs/>
          <w:iCs/>
          <w:sz w:val="22"/>
          <w:szCs w:val="22"/>
          <w:lang w:val="es-ES"/>
        </w:rPr>
        <w:t>; no obstante, mediante un Alcance al Informe Justificado,</w:t>
      </w:r>
      <w:r w:rsidR="00D92432">
        <w:rPr>
          <w:rFonts w:ascii="Palatino Linotype" w:hAnsi="Palatino Linotype" w:cs="Tahoma"/>
          <w:bCs/>
          <w:iCs/>
          <w:sz w:val="22"/>
          <w:szCs w:val="22"/>
          <w:lang w:val="es-ES"/>
        </w:rPr>
        <w:t xml:space="preserve"> precisó</w:t>
      </w:r>
      <w:r w:rsidR="00D92432">
        <w:rPr>
          <w:rFonts w:ascii="Palatino Linotype" w:hAnsi="Palatino Linotype" w:cs="Tahoma"/>
          <w:bCs/>
          <w:iCs/>
          <w:sz w:val="22"/>
          <w:szCs w:val="22"/>
          <w:lang w:val="x-none"/>
        </w:rPr>
        <w:t xml:space="preserve"> que las declaraciones presentadas a partir del primero de mayo de dos mil veintiuno, por lo servidores públicos adscritos a la </w:t>
      </w:r>
      <w:r w:rsidR="00D92432">
        <w:rPr>
          <w:rFonts w:ascii="Palatino Linotype" w:hAnsi="Palatino Linotype" w:cs="Tahoma"/>
          <w:bCs/>
          <w:color w:val="000000"/>
          <w:sz w:val="22"/>
          <w:szCs w:val="22"/>
        </w:rPr>
        <w:t xml:space="preserve">Contraloría Interna y Órgano de Control y Vigilancia, se localizaban en la liga </w:t>
      </w:r>
      <w:hyperlink r:id="rId11" w:history="1">
        <w:r w:rsidR="00D92432" w:rsidRPr="00827C22">
          <w:rPr>
            <w:rStyle w:val="Hipervnculo"/>
            <w:rFonts w:ascii="Palatino Linotype" w:hAnsi="Palatino Linotype" w:cs="Tahoma"/>
            <w:bCs/>
            <w:sz w:val="22"/>
            <w:szCs w:val="22"/>
          </w:rPr>
          <w:t>https://saemm.gob.mx/</w:t>
        </w:r>
      </w:hyperlink>
      <w:r w:rsidR="00D92432">
        <w:rPr>
          <w:rFonts w:ascii="Palatino Linotype" w:hAnsi="Palatino Linotype" w:cs="Tahoma"/>
          <w:bCs/>
          <w:color w:val="000000"/>
          <w:sz w:val="22"/>
          <w:szCs w:val="22"/>
        </w:rPr>
        <w:t>, adem</w:t>
      </w:r>
      <w:r w:rsidR="00D92432">
        <w:rPr>
          <w:rFonts w:ascii="Palatino Linotype" w:hAnsi="Palatino Linotype" w:cs="Tahoma"/>
          <w:bCs/>
          <w:color w:val="000000"/>
          <w:sz w:val="22"/>
          <w:szCs w:val="22"/>
          <w:lang w:val="x-none"/>
        </w:rPr>
        <w:t>ás, proporcionó el nombre de dichos trabajadores.</w:t>
      </w:r>
    </w:p>
    <w:p w14:paraId="528A8045" w14:textId="77777777" w:rsidR="00BC2922" w:rsidRPr="00FB76C1" w:rsidRDefault="00BC2922" w:rsidP="00CD7DE8">
      <w:pPr>
        <w:spacing w:line="360" w:lineRule="auto"/>
        <w:ind w:right="-28"/>
        <w:jc w:val="both"/>
        <w:rPr>
          <w:rFonts w:ascii="Palatino Linotype" w:hAnsi="Palatino Linotype" w:cs="Tahoma"/>
          <w:bCs/>
          <w:iCs/>
          <w:sz w:val="22"/>
          <w:szCs w:val="22"/>
          <w:lang w:val="es-ES"/>
        </w:rPr>
      </w:pPr>
    </w:p>
    <w:p w14:paraId="1CFE59A5" w14:textId="161FEEAE" w:rsidR="00FB76C1" w:rsidRDefault="00D92432" w:rsidP="00CD7DE8">
      <w:pPr>
        <w:spacing w:line="360" w:lineRule="auto"/>
        <w:ind w:right="-28"/>
        <w:jc w:val="both"/>
        <w:rPr>
          <w:rFonts w:ascii="Palatino Linotype" w:hAnsi="Palatino Linotype" w:cs="Tahoma"/>
          <w:bCs/>
          <w:color w:val="000000"/>
          <w:sz w:val="22"/>
          <w:szCs w:val="22"/>
        </w:rPr>
      </w:pPr>
      <w:r>
        <w:rPr>
          <w:rFonts w:ascii="Palatino Linotype" w:hAnsi="Palatino Linotype" w:cs="Tahoma"/>
          <w:bCs/>
          <w:color w:val="000000"/>
          <w:sz w:val="22"/>
          <w:szCs w:val="22"/>
        </w:rPr>
        <w:t>Adem</w:t>
      </w:r>
      <w:r>
        <w:rPr>
          <w:rFonts w:ascii="Palatino Linotype" w:hAnsi="Palatino Linotype" w:cs="Tahoma"/>
          <w:bCs/>
          <w:color w:val="000000"/>
          <w:sz w:val="22"/>
          <w:szCs w:val="22"/>
          <w:lang w:val="x-none"/>
        </w:rPr>
        <w:t xml:space="preserve">ás, </w:t>
      </w:r>
      <w:r w:rsidR="00FB76C1" w:rsidRPr="00FB76C1">
        <w:rPr>
          <w:rFonts w:ascii="Palatino Linotype" w:hAnsi="Palatino Linotype" w:cs="Tahoma"/>
          <w:bCs/>
          <w:color w:val="000000"/>
          <w:sz w:val="22"/>
          <w:szCs w:val="22"/>
        </w:rPr>
        <w:t xml:space="preserve">mediante el desahogo de un requerimiento de información adicional, el </w:t>
      </w:r>
      <w:r w:rsidR="00784E6A">
        <w:rPr>
          <w:rFonts w:ascii="Palatino Linotype" w:hAnsi="Palatino Linotype" w:cs="Tahoma"/>
          <w:bCs/>
          <w:color w:val="000000"/>
          <w:sz w:val="22"/>
          <w:szCs w:val="22"/>
        </w:rPr>
        <w:t>Contraloría Interna y Órgano de Control y Vigilancia</w:t>
      </w:r>
      <w:r w:rsidR="00784E6A" w:rsidRPr="00FB76C1">
        <w:rPr>
          <w:rFonts w:ascii="Palatino Linotype" w:hAnsi="Palatino Linotype" w:cs="Tahoma"/>
          <w:bCs/>
          <w:color w:val="000000"/>
          <w:sz w:val="22"/>
          <w:szCs w:val="22"/>
        </w:rPr>
        <w:t xml:space="preserve">, </w:t>
      </w:r>
      <w:r w:rsidR="00FB76C1" w:rsidRPr="00FB76C1">
        <w:rPr>
          <w:rFonts w:ascii="Palatino Linotype" w:hAnsi="Palatino Linotype" w:cs="Tahoma"/>
          <w:bCs/>
          <w:color w:val="000000"/>
          <w:sz w:val="22"/>
          <w:szCs w:val="22"/>
        </w:rPr>
        <w:t xml:space="preserve">señaló </w:t>
      </w:r>
      <w:r w:rsidR="00784E6A">
        <w:rPr>
          <w:rFonts w:ascii="Palatino Linotype" w:hAnsi="Palatino Linotype" w:cs="Tahoma"/>
          <w:bCs/>
          <w:color w:val="000000"/>
          <w:sz w:val="22"/>
          <w:szCs w:val="22"/>
        </w:rPr>
        <w:t>lo siguiente:</w:t>
      </w:r>
    </w:p>
    <w:p w14:paraId="2362A15E" w14:textId="19D5546A" w:rsidR="00784E6A" w:rsidRDefault="00784E6A" w:rsidP="00CD7DE8">
      <w:pPr>
        <w:spacing w:line="360" w:lineRule="auto"/>
        <w:ind w:right="-28"/>
        <w:jc w:val="both"/>
        <w:rPr>
          <w:rFonts w:ascii="Palatino Linotype" w:hAnsi="Palatino Linotype" w:cs="Tahoma"/>
          <w:bCs/>
          <w:color w:val="000000"/>
          <w:sz w:val="22"/>
          <w:szCs w:val="22"/>
        </w:rPr>
      </w:pPr>
    </w:p>
    <w:p w14:paraId="3E3CAEE7" w14:textId="390E964E" w:rsidR="001A3D7C" w:rsidRDefault="00784E6A" w:rsidP="00CD7DE8">
      <w:pPr>
        <w:pStyle w:val="Prrafodelista"/>
        <w:numPr>
          <w:ilvl w:val="0"/>
          <w:numId w:val="23"/>
        </w:numPr>
        <w:spacing w:line="360" w:lineRule="auto"/>
        <w:ind w:right="-28"/>
        <w:jc w:val="both"/>
        <w:rPr>
          <w:rFonts w:ascii="Palatino Linotype" w:hAnsi="Palatino Linotype" w:cs="Tahoma"/>
          <w:bCs/>
          <w:iCs/>
          <w:szCs w:val="22"/>
          <w:lang w:val="es-ES"/>
        </w:rPr>
      </w:pPr>
      <w:r>
        <w:rPr>
          <w:rFonts w:ascii="Palatino Linotype" w:hAnsi="Palatino Linotype" w:cs="Tahoma"/>
          <w:bCs/>
          <w:iCs/>
          <w:szCs w:val="22"/>
          <w:lang w:val="es-ES"/>
        </w:rPr>
        <w:t>Que en sus archivos no obraban las declaraciones patrimoniales de todos los servidores públicos adscritos a su área, toda vez que del primero de enero de dos mil quince al treinta de abril de dos mil veintiuno, únicamente estaban obligados a presentar dichas manifestaciones, aquellos que tuvieran cargos de Jefe de Departament</w:t>
      </w:r>
      <w:r w:rsidR="001A3D7C">
        <w:rPr>
          <w:rFonts w:ascii="Palatino Linotype" w:hAnsi="Palatino Linotype" w:cs="Tahoma"/>
          <w:bCs/>
          <w:iCs/>
          <w:szCs w:val="22"/>
          <w:lang w:val="es-ES"/>
        </w:rPr>
        <w:t>o, su equivalente y superiores.</w:t>
      </w:r>
    </w:p>
    <w:p w14:paraId="7FA905A0" w14:textId="77777777" w:rsidR="001A3D7C" w:rsidRDefault="001A3D7C" w:rsidP="00CD7DE8">
      <w:pPr>
        <w:pStyle w:val="Prrafodelista"/>
        <w:spacing w:line="360" w:lineRule="auto"/>
        <w:ind w:right="-28"/>
        <w:jc w:val="both"/>
        <w:rPr>
          <w:rFonts w:ascii="Palatino Linotype" w:hAnsi="Palatino Linotype" w:cs="Tahoma"/>
          <w:bCs/>
          <w:iCs/>
          <w:szCs w:val="22"/>
          <w:lang w:val="es-ES"/>
        </w:rPr>
      </w:pPr>
    </w:p>
    <w:p w14:paraId="0F5BB4F8" w14:textId="77777777" w:rsidR="001A3D7C" w:rsidRDefault="001A3D7C" w:rsidP="00CD7DE8">
      <w:pPr>
        <w:pStyle w:val="Prrafodelista"/>
        <w:numPr>
          <w:ilvl w:val="0"/>
          <w:numId w:val="23"/>
        </w:numPr>
        <w:spacing w:line="360" w:lineRule="auto"/>
        <w:ind w:right="-28"/>
        <w:jc w:val="both"/>
        <w:rPr>
          <w:rFonts w:ascii="Palatino Linotype" w:hAnsi="Palatino Linotype" w:cs="Tahoma"/>
          <w:bCs/>
          <w:iCs/>
          <w:szCs w:val="22"/>
          <w:lang w:val="es-ES"/>
        </w:rPr>
      </w:pPr>
      <w:r>
        <w:rPr>
          <w:rFonts w:ascii="Palatino Linotype" w:hAnsi="Palatino Linotype" w:cs="Tahoma"/>
          <w:bCs/>
          <w:iCs/>
          <w:szCs w:val="22"/>
          <w:lang w:val="es-ES"/>
        </w:rPr>
        <w:lastRenderedPageBreak/>
        <w:t>Que a partir del primero de mayo de dos mil veintiuno, todos los servidores públicos se encontraban obligados a presentar las declaraciones patrimoniales.</w:t>
      </w:r>
    </w:p>
    <w:p w14:paraId="4C3A5221" w14:textId="77777777" w:rsidR="001A3D7C" w:rsidRPr="001A3D7C" w:rsidRDefault="001A3D7C" w:rsidP="00CD7DE8">
      <w:pPr>
        <w:pStyle w:val="Prrafodelista"/>
        <w:spacing w:line="360" w:lineRule="auto"/>
        <w:rPr>
          <w:rFonts w:ascii="Palatino Linotype" w:hAnsi="Palatino Linotype" w:cs="Tahoma"/>
          <w:bCs/>
          <w:iCs/>
          <w:szCs w:val="22"/>
          <w:lang w:val="es-ES"/>
        </w:rPr>
      </w:pPr>
    </w:p>
    <w:p w14:paraId="2542FEC9" w14:textId="77777777" w:rsidR="001A3D7C" w:rsidRDefault="001A3D7C" w:rsidP="00CD7DE8">
      <w:pPr>
        <w:pStyle w:val="Prrafodelista"/>
        <w:numPr>
          <w:ilvl w:val="0"/>
          <w:numId w:val="23"/>
        </w:numPr>
        <w:spacing w:line="360" w:lineRule="auto"/>
        <w:ind w:right="-28"/>
        <w:jc w:val="both"/>
        <w:rPr>
          <w:rFonts w:ascii="Palatino Linotype" w:hAnsi="Palatino Linotype" w:cs="Tahoma"/>
          <w:bCs/>
          <w:iCs/>
          <w:szCs w:val="22"/>
          <w:lang w:val="es-ES"/>
        </w:rPr>
      </w:pPr>
      <w:r>
        <w:rPr>
          <w:rFonts w:ascii="Palatino Linotype" w:hAnsi="Palatino Linotype" w:cs="Tahoma"/>
          <w:bCs/>
          <w:iCs/>
          <w:szCs w:val="22"/>
          <w:lang w:val="es-ES"/>
        </w:rPr>
        <w:t>Que no se contaba con el consentimiento de los servidores públicos para publicar su información;</w:t>
      </w:r>
    </w:p>
    <w:p w14:paraId="16351F51" w14:textId="77777777" w:rsidR="001A3D7C" w:rsidRPr="001A3D7C" w:rsidRDefault="001A3D7C" w:rsidP="00CD7DE8">
      <w:pPr>
        <w:pStyle w:val="Prrafodelista"/>
        <w:spacing w:line="360" w:lineRule="auto"/>
        <w:rPr>
          <w:rFonts w:ascii="Palatino Linotype" w:hAnsi="Palatino Linotype" w:cs="Tahoma"/>
          <w:bCs/>
          <w:iCs/>
          <w:szCs w:val="22"/>
          <w:lang w:val="es-ES"/>
        </w:rPr>
      </w:pPr>
    </w:p>
    <w:p w14:paraId="5EBE7D94" w14:textId="77777777" w:rsidR="001A3D7C" w:rsidRDefault="001A3D7C" w:rsidP="00CD7DE8">
      <w:pPr>
        <w:pStyle w:val="Prrafodelista"/>
        <w:numPr>
          <w:ilvl w:val="0"/>
          <w:numId w:val="23"/>
        </w:numPr>
        <w:spacing w:line="360" w:lineRule="auto"/>
        <w:ind w:right="-28"/>
        <w:jc w:val="both"/>
        <w:rPr>
          <w:rFonts w:ascii="Palatino Linotype" w:hAnsi="Palatino Linotype" w:cs="Tahoma"/>
          <w:bCs/>
          <w:iCs/>
          <w:szCs w:val="22"/>
          <w:lang w:val="es-ES"/>
        </w:rPr>
      </w:pPr>
      <w:r>
        <w:rPr>
          <w:rFonts w:ascii="Palatino Linotype" w:hAnsi="Palatino Linotype" w:cs="Tahoma"/>
          <w:bCs/>
          <w:iCs/>
          <w:szCs w:val="22"/>
          <w:lang w:val="es-ES"/>
        </w:rPr>
        <w:t>Que la emisión de la versión pública de las declaraciones patrimoniales se encontraba condicionada a que el Comité Coordinador, a propuesta del Comité de Participación Ciudadana, emitiera los formatos respectivos, lo cual no había acontecido.</w:t>
      </w:r>
    </w:p>
    <w:p w14:paraId="4CE46EBB" w14:textId="77777777" w:rsidR="001A3D7C" w:rsidRPr="001A3D7C" w:rsidRDefault="001A3D7C" w:rsidP="00CD7DE8">
      <w:pPr>
        <w:pStyle w:val="Prrafodelista"/>
        <w:spacing w:line="360" w:lineRule="auto"/>
        <w:rPr>
          <w:rFonts w:ascii="Palatino Linotype" w:hAnsi="Palatino Linotype" w:cs="Tahoma"/>
          <w:bCs/>
          <w:iCs/>
          <w:szCs w:val="22"/>
          <w:lang w:val="es-ES"/>
        </w:rPr>
      </w:pPr>
    </w:p>
    <w:p w14:paraId="28142201" w14:textId="59DC2648" w:rsidR="00784E6A" w:rsidRPr="00784E6A" w:rsidRDefault="001A3D7C" w:rsidP="00CD7DE8">
      <w:pPr>
        <w:pStyle w:val="Prrafodelista"/>
        <w:numPr>
          <w:ilvl w:val="0"/>
          <w:numId w:val="23"/>
        </w:numPr>
        <w:spacing w:line="360" w:lineRule="auto"/>
        <w:ind w:right="-28"/>
        <w:jc w:val="both"/>
        <w:rPr>
          <w:rFonts w:ascii="Palatino Linotype" w:hAnsi="Palatino Linotype" w:cs="Tahoma"/>
          <w:bCs/>
          <w:iCs/>
          <w:szCs w:val="22"/>
          <w:lang w:val="es-ES"/>
        </w:rPr>
      </w:pPr>
      <w:r>
        <w:rPr>
          <w:rFonts w:ascii="Palatino Linotype" w:hAnsi="Palatino Linotype" w:cs="Tahoma"/>
          <w:bCs/>
          <w:iCs/>
          <w:szCs w:val="22"/>
          <w:lang w:val="es-ES"/>
        </w:rPr>
        <w:t>Que la actual Ley de Responsabilidades Administrativas del Estado de México y Municipios, había entrado en vigor el diecinueve de julio de dos mil diecisiete, por lo que, las declaraciones presentadas previo a dicha fecha se regulaban por la abrogada Ley.</w:t>
      </w:r>
      <w:r w:rsidR="00784E6A">
        <w:rPr>
          <w:rFonts w:ascii="Palatino Linotype" w:hAnsi="Palatino Linotype" w:cs="Tahoma"/>
          <w:bCs/>
          <w:iCs/>
          <w:szCs w:val="22"/>
          <w:lang w:val="es-ES"/>
        </w:rPr>
        <w:t xml:space="preserve"> </w:t>
      </w:r>
    </w:p>
    <w:p w14:paraId="64C1D29A" w14:textId="77777777" w:rsidR="00FB76C1" w:rsidRPr="00FB76C1" w:rsidRDefault="00FB76C1" w:rsidP="00CD7DE8">
      <w:pPr>
        <w:spacing w:line="360" w:lineRule="auto"/>
        <w:jc w:val="both"/>
        <w:rPr>
          <w:rFonts w:ascii="Palatino Linotype" w:hAnsi="Palatino Linotype" w:cs="Tahoma"/>
          <w:bCs/>
          <w:iCs/>
          <w:sz w:val="22"/>
          <w:szCs w:val="22"/>
          <w:lang w:val="es-ES"/>
        </w:rPr>
      </w:pPr>
    </w:p>
    <w:p w14:paraId="50F42A43" w14:textId="410BABFB" w:rsidR="00D92432" w:rsidRPr="00D92432" w:rsidRDefault="00FB76C1" w:rsidP="00CD7DE8">
      <w:pPr>
        <w:tabs>
          <w:tab w:val="left" w:pos="4962"/>
        </w:tabs>
        <w:spacing w:line="360" w:lineRule="auto"/>
        <w:jc w:val="both"/>
        <w:rPr>
          <w:rFonts w:ascii="Palatino Linotype" w:eastAsia="Calibri" w:hAnsi="Palatino Linotype" w:cs="Tahoma"/>
          <w:iCs/>
          <w:color w:val="000000"/>
          <w:sz w:val="22"/>
          <w:szCs w:val="22"/>
          <w:lang w:eastAsia="en-US"/>
        </w:rPr>
      </w:pPr>
      <w:r w:rsidRPr="00FB76C1">
        <w:rPr>
          <w:rFonts w:ascii="Palatino Linotype" w:eastAsia="Calibri" w:hAnsi="Palatino Linotype" w:cs="Tahoma"/>
          <w:iCs/>
          <w:color w:val="000000"/>
          <w:sz w:val="22"/>
          <w:szCs w:val="22"/>
          <w:lang w:eastAsia="en-US"/>
        </w:rPr>
        <w:t>Lo anterior, se desprende de las documentales que obran en el expediente de referencia, materia de la presente Resolución, consistentes en: las solicitudes de acceso a la información; las respuestas del Sujeto Obligado; los</w:t>
      </w:r>
      <w:r w:rsidRPr="00FB76C1">
        <w:rPr>
          <w:rFonts w:ascii="Palatino Linotype" w:eastAsia="Calibri" w:hAnsi="Palatino Linotype" w:cs="Tahoma"/>
          <w:bCs/>
          <w:iCs/>
          <w:color w:val="000000"/>
          <w:sz w:val="22"/>
          <w:szCs w:val="22"/>
          <w:lang w:eastAsia="en-US"/>
        </w:rPr>
        <w:t xml:space="preserve"> escritos recursales; las manifestaciones del Recurrente; los Informes Justificado y el desahogo del requerimiento de información adicional; </w:t>
      </w:r>
      <w:r w:rsidRPr="00FB76C1">
        <w:rPr>
          <w:rFonts w:ascii="Palatino Linotype" w:eastAsia="Calibri" w:hAnsi="Palatino Linotype" w:cs="Tahoma"/>
          <w:iCs/>
          <w:color w:val="000000"/>
          <w:sz w:val="22"/>
          <w:szCs w:val="22"/>
          <w:lang w:eastAsia="en-US"/>
        </w:rPr>
        <w:t xml:space="preserve"> instrumentales que se toman en cuenta a efecto de resolver el presente medio de impugnación, conforme a lo dispuesto por el artículo 185, fracción IV, de la Ley de Transparencia y Acceso a la Información Pública del Estado de México y Municipios.</w:t>
      </w:r>
    </w:p>
    <w:p w14:paraId="707F958D" w14:textId="77777777" w:rsidR="0087367C" w:rsidRDefault="0087367C" w:rsidP="00CD7DE8">
      <w:pPr>
        <w:spacing w:line="360" w:lineRule="auto"/>
        <w:ind w:right="-28"/>
        <w:contextualSpacing/>
        <w:jc w:val="both"/>
        <w:rPr>
          <w:rFonts w:ascii="Palatino Linotype" w:hAnsi="Palatino Linotype" w:cs="Tahoma"/>
          <w:bCs/>
          <w:sz w:val="22"/>
          <w:szCs w:val="22"/>
          <w:shd w:val="clear" w:color="auto" w:fill="FFFFFF"/>
        </w:rPr>
      </w:pPr>
    </w:p>
    <w:p w14:paraId="37D0D159" w14:textId="1E21E4F6" w:rsidR="00DD2A43" w:rsidRDefault="0031497C" w:rsidP="00CD7DE8">
      <w:pPr>
        <w:spacing w:line="360" w:lineRule="auto"/>
        <w:ind w:right="-28"/>
        <w:contextualSpacing/>
        <w:jc w:val="both"/>
        <w:rPr>
          <w:rFonts w:ascii="Palatino Linotype" w:eastAsia="Calibri" w:hAnsi="Palatino Linotype" w:cs="Tahoma"/>
          <w:bCs/>
          <w:color w:val="000000"/>
          <w:sz w:val="22"/>
          <w:szCs w:val="22"/>
          <w:lang w:val="es-ES" w:eastAsia="en-US"/>
        </w:rPr>
      </w:pPr>
      <w:bookmarkStart w:id="3" w:name="_Hlk68806243"/>
      <w:r w:rsidRPr="00E507AA">
        <w:rPr>
          <w:rFonts w:ascii="Palatino Linotype" w:eastAsia="Calibri" w:hAnsi="Palatino Linotype" w:cs="Tahoma"/>
          <w:bCs/>
          <w:sz w:val="22"/>
          <w:szCs w:val="22"/>
          <w:lang w:eastAsia="en-US"/>
        </w:rPr>
        <w:t>Una vez expuestas las posturas de las partes, se</w:t>
      </w:r>
      <w:r w:rsidRPr="00114865">
        <w:rPr>
          <w:rFonts w:ascii="Palatino Linotype" w:eastAsia="Calibri" w:hAnsi="Palatino Linotype" w:cs="Tahoma"/>
          <w:bCs/>
          <w:color w:val="000000"/>
          <w:sz w:val="22"/>
          <w:szCs w:val="22"/>
          <w:lang w:val="es-ES" w:eastAsia="en-US"/>
        </w:rPr>
        <w:t xml:space="preserve"> procede analizar </w:t>
      </w:r>
      <w:r w:rsidR="00D92432">
        <w:rPr>
          <w:rFonts w:ascii="Palatino Linotype" w:eastAsia="Calibri" w:hAnsi="Palatino Linotype" w:cs="Tahoma"/>
          <w:bCs/>
          <w:color w:val="000000"/>
          <w:sz w:val="22"/>
          <w:szCs w:val="22"/>
          <w:lang w:val="es-ES" w:eastAsia="en-US"/>
        </w:rPr>
        <w:t>si con la modificación</w:t>
      </w:r>
      <w:r w:rsidR="00D92432">
        <w:rPr>
          <w:rFonts w:ascii="Palatino Linotype" w:eastAsia="Calibri" w:hAnsi="Palatino Linotype" w:cs="Tahoma"/>
          <w:bCs/>
          <w:color w:val="000000"/>
          <w:sz w:val="22"/>
          <w:szCs w:val="22"/>
          <w:lang w:val="x-none" w:eastAsia="en-US"/>
        </w:rPr>
        <w:t xml:space="preserve"> de la respuesta, el Recurso de Revisión queda sin materia</w:t>
      </w:r>
      <w:r>
        <w:rPr>
          <w:rFonts w:ascii="Palatino Linotype" w:eastAsia="Calibri" w:hAnsi="Palatino Linotype" w:cs="Tahoma"/>
          <w:bCs/>
          <w:color w:val="000000"/>
          <w:sz w:val="22"/>
          <w:szCs w:val="22"/>
          <w:lang w:val="es-ES" w:eastAsia="en-US"/>
        </w:rPr>
        <w:t>; para lo cual, en un principio es necesario</w:t>
      </w:r>
      <w:r w:rsidR="00DD2A43">
        <w:rPr>
          <w:rFonts w:ascii="Palatino Linotype" w:eastAsia="Calibri" w:hAnsi="Palatino Linotype" w:cs="Tahoma"/>
          <w:bCs/>
          <w:color w:val="000000"/>
          <w:sz w:val="22"/>
          <w:szCs w:val="22"/>
          <w:lang w:val="es-ES" w:eastAsia="en-US"/>
        </w:rPr>
        <w:t xml:space="preserve"> contextualizar la solicitud de información.</w:t>
      </w:r>
    </w:p>
    <w:p w14:paraId="41FDDDE8" w14:textId="1559757B" w:rsidR="00DD2A43" w:rsidRDefault="00DD2A43" w:rsidP="00CD7DE8">
      <w:pPr>
        <w:spacing w:line="360" w:lineRule="auto"/>
        <w:ind w:right="-28"/>
        <w:contextualSpacing/>
        <w:jc w:val="both"/>
        <w:rPr>
          <w:rFonts w:ascii="Palatino Linotype" w:eastAsia="Calibri" w:hAnsi="Palatino Linotype" w:cs="Tahoma"/>
          <w:bCs/>
          <w:color w:val="000000"/>
          <w:sz w:val="22"/>
          <w:szCs w:val="22"/>
          <w:lang w:val="es-ES" w:eastAsia="en-US"/>
        </w:rPr>
      </w:pPr>
      <w:r>
        <w:rPr>
          <w:rFonts w:ascii="Palatino Linotype" w:eastAsia="Calibri" w:hAnsi="Palatino Linotype" w:cs="Tahoma"/>
          <w:bCs/>
          <w:color w:val="000000"/>
          <w:sz w:val="22"/>
          <w:szCs w:val="22"/>
          <w:lang w:val="es-ES" w:eastAsia="en-US"/>
        </w:rPr>
        <w:lastRenderedPageBreak/>
        <w:t>En ese contexto, el artículo 130 de la Constitución Política del Estado Libre y Soberano de México, establece que los servidores públicos estarán obligados a presentar, bajo protesta de decir verdad, su declaración patrimonial.</w:t>
      </w:r>
    </w:p>
    <w:p w14:paraId="4B7166B5" w14:textId="587E0592" w:rsidR="00DD2A43" w:rsidRDefault="00DD2A43" w:rsidP="00CD7DE8">
      <w:pPr>
        <w:spacing w:line="360" w:lineRule="auto"/>
        <w:ind w:right="-28"/>
        <w:contextualSpacing/>
        <w:jc w:val="both"/>
        <w:rPr>
          <w:rFonts w:ascii="Palatino Linotype" w:eastAsia="Calibri" w:hAnsi="Palatino Linotype" w:cs="Tahoma"/>
          <w:bCs/>
          <w:color w:val="000000"/>
          <w:sz w:val="22"/>
          <w:szCs w:val="22"/>
          <w:lang w:val="es-ES" w:eastAsia="en-US"/>
        </w:rPr>
      </w:pPr>
    </w:p>
    <w:p w14:paraId="3D7D5BE4" w14:textId="6F930CAA" w:rsidR="00803460" w:rsidRDefault="00DD2A43" w:rsidP="00CD7DE8">
      <w:pPr>
        <w:spacing w:line="360" w:lineRule="auto"/>
        <w:ind w:right="-28"/>
        <w:contextualSpacing/>
        <w:jc w:val="both"/>
        <w:rPr>
          <w:rFonts w:ascii="Palatino Linotype" w:eastAsia="Calibri" w:hAnsi="Palatino Linotype" w:cs="Tahoma"/>
          <w:bCs/>
          <w:color w:val="000000"/>
          <w:sz w:val="22"/>
          <w:szCs w:val="22"/>
          <w:lang w:val="es-ES" w:eastAsia="en-US"/>
        </w:rPr>
      </w:pPr>
      <w:r>
        <w:rPr>
          <w:rFonts w:ascii="Palatino Linotype" w:eastAsia="Calibri" w:hAnsi="Palatino Linotype" w:cs="Tahoma"/>
          <w:bCs/>
          <w:color w:val="000000"/>
          <w:sz w:val="22"/>
          <w:szCs w:val="22"/>
          <w:lang w:val="es-ES" w:eastAsia="en-US"/>
        </w:rPr>
        <w:t>En ese contexto, los artículos 3°, fracción VIII, 33 y 34</w:t>
      </w:r>
      <w:r w:rsidR="00803460">
        <w:rPr>
          <w:rFonts w:ascii="Palatino Linotype" w:eastAsia="Calibri" w:hAnsi="Palatino Linotype" w:cs="Tahoma"/>
          <w:bCs/>
          <w:color w:val="000000"/>
          <w:sz w:val="22"/>
          <w:szCs w:val="22"/>
          <w:lang w:val="es-ES" w:eastAsia="en-US"/>
        </w:rPr>
        <w:t xml:space="preserve"> de la Ley de Responsabilidades Administrativas del Estado de México y Municipios, que entró en vigencia, a partir del treinta y uno de mayo de dos mil diecisiete, establece que estarán obligados a presentar las declaraciones de situación patrimonial los servidores públicos, las cuales deberán presentarse de la siguiente manera:</w:t>
      </w:r>
    </w:p>
    <w:p w14:paraId="7759D9C7" w14:textId="4D04A998" w:rsidR="00803460" w:rsidRDefault="00803460" w:rsidP="00CD7DE8">
      <w:pPr>
        <w:spacing w:line="360" w:lineRule="auto"/>
        <w:ind w:right="-28"/>
        <w:contextualSpacing/>
        <w:jc w:val="both"/>
        <w:rPr>
          <w:rFonts w:ascii="Palatino Linotype" w:eastAsia="Calibri" w:hAnsi="Palatino Linotype" w:cs="Tahoma"/>
          <w:bCs/>
          <w:color w:val="000000"/>
          <w:sz w:val="22"/>
          <w:szCs w:val="22"/>
          <w:lang w:val="es-ES" w:eastAsia="en-US"/>
        </w:rPr>
      </w:pPr>
    </w:p>
    <w:p w14:paraId="40502026" w14:textId="77777777" w:rsidR="00803460" w:rsidRPr="00803460" w:rsidRDefault="00803460" w:rsidP="00CD7DE8">
      <w:pPr>
        <w:pStyle w:val="Prrafodelista"/>
        <w:numPr>
          <w:ilvl w:val="0"/>
          <w:numId w:val="24"/>
        </w:numPr>
        <w:spacing w:line="360" w:lineRule="auto"/>
        <w:ind w:right="-28"/>
        <w:jc w:val="both"/>
        <w:rPr>
          <w:rFonts w:ascii="Palatino Linotype" w:eastAsia="Calibri" w:hAnsi="Palatino Linotype" w:cs="Tahoma"/>
          <w:b/>
          <w:color w:val="000000"/>
          <w:szCs w:val="22"/>
          <w:lang w:val="es-ES" w:eastAsia="en-US"/>
        </w:rPr>
      </w:pPr>
      <w:r w:rsidRPr="00803460">
        <w:rPr>
          <w:rFonts w:ascii="Palatino Linotype" w:eastAsia="Calibri" w:hAnsi="Palatino Linotype" w:cs="Tahoma"/>
          <w:b/>
          <w:color w:val="000000"/>
          <w:szCs w:val="22"/>
          <w:lang w:val="es-ES" w:eastAsia="en-US"/>
        </w:rPr>
        <w:t>Inicial:</w:t>
      </w:r>
      <w:r>
        <w:rPr>
          <w:rFonts w:ascii="Palatino Linotype" w:eastAsia="Calibri" w:hAnsi="Palatino Linotype" w:cs="Tahoma"/>
          <w:b/>
          <w:color w:val="000000"/>
          <w:szCs w:val="22"/>
          <w:lang w:val="es-ES" w:eastAsia="en-US"/>
        </w:rPr>
        <w:t xml:space="preserve"> </w:t>
      </w:r>
      <w:r>
        <w:rPr>
          <w:rFonts w:ascii="Palatino Linotype" w:eastAsia="Calibri" w:hAnsi="Palatino Linotype" w:cs="Tahoma"/>
          <w:bCs/>
          <w:color w:val="000000"/>
          <w:szCs w:val="22"/>
          <w:lang w:val="es-ES" w:eastAsia="en-US"/>
        </w:rPr>
        <w:t>Dentro de los sesenta días naturales siguientes al ingreso o reingreso al servicio público;</w:t>
      </w:r>
    </w:p>
    <w:p w14:paraId="392E16BF" w14:textId="77777777" w:rsidR="00803460" w:rsidRPr="00803460" w:rsidRDefault="00803460" w:rsidP="00CD7DE8">
      <w:pPr>
        <w:pStyle w:val="Prrafodelista"/>
        <w:numPr>
          <w:ilvl w:val="0"/>
          <w:numId w:val="24"/>
        </w:numPr>
        <w:spacing w:line="360" w:lineRule="auto"/>
        <w:ind w:right="-28"/>
        <w:jc w:val="both"/>
        <w:rPr>
          <w:rFonts w:ascii="Palatino Linotype" w:eastAsia="Calibri" w:hAnsi="Palatino Linotype" w:cs="Tahoma"/>
          <w:b/>
          <w:color w:val="000000"/>
          <w:szCs w:val="22"/>
          <w:lang w:val="es-ES" w:eastAsia="en-US"/>
        </w:rPr>
      </w:pPr>
      <w:r>
        <w:rPr>
          <w:rFonts w:ascii="Palatino Linotype" w:eastAsia="Calibri" w:hAnsi="Palatino Linotype" w:cs="Tahoma"/>
          <w:b/>
          <w:color w:val="000000"/>
          <w:szCs w:val="22"/>
          <w:lang w:val="es-ES" w:eastAsia="en-US"/>
        </w:rPr>
        <w:t xml:space="preserve">Modificación Patrimonial: </w:t>
      </w:r>
      <w:r>
        <w:rPr>
          <w:rFonts w:ascii="Palatino Linotype" w:eastAsia="Calibri" w:hAnsi="Palatino Linotype" w:cs="Tahoma"/>
          <w:bCs/>
          <w:color w:val="000000"/>
          <w:szCs w:val="22"/>
          <w:lang w:val="es-ES" w:eastAsia="en-US"/>
        </w:rPr>
        <w:t>Durante el mes de mayo de dos cada año, y</w:t>
      </w:r>
    </w:p>
    <w:p w14:paraId="46EB0143" w14:textId="32BDFCED" w:rsidR="00803460" w:rsidRPr="00803460" w:rsidRDefault="00803460" w:rsidP="00CD7DE8">
      <w:pPr>
        <w:pStyle w:val="Prrafodelista"/>
        <w:numPr>
          <w:ilvl w:val="0"/>
          <w:numId w:val="24"/>
        </w:numPr>
        <w:spacing w:line="360" w:lineRule="auto"/>
        <w:ind w:right="-28"/>
        <w:jc w:val="both"/>
        <w:rPr>
          <w:rFonts w:ascii="Palatino Linotype" w:eastAsia="Calibri" w:hAnsi="Palatino Linotype" w:cs="Tahoma"/>
          <w:b/>
          <w:color w:val="000000"/>
          <w:szCs w:val="22"/>
          <w:lang w:val="es-ES" w:eastAsia="en-US"/>
        </w:rPr>
      </w:pPr>
      <w:r>
        <w:rPr>
          <w:rFonts w:ascii="Palatino Linotype" w:eastAsia="Calibri" w:hAnsi="Palatino Linotype" w:cs="Tahoma"/>
          <w:b/>
          <w:color w:val="000000"/>
          <w:szCs w:val="22"/>
          <w:lang w:val="es-ES" w:eastAsia="en-US"/>
        </w:rPr>
        <w:t xml:space="preserve">Conclusión: </w:t>
      </w:r>
      <w:r>
        <w:rPr>
          <w:rFonts w:ascii="Palatino Linotype" w:eastAsia="Calibri" w:hAnsi="Palatino Linotype" w:cs="Tahoma"/>
          <w:bCs/>
          <w:color w:val="000000"/>
          <w:szCs w:val="22"/>
          <w:lang w:val="es-ES" w:eastAsia="en-US"/>
        </w:rPr>
        <w:t xml:space="preserve">Dentro de </w:t>
      </w:r>
      <w:r w:rsidR="00A221EE">
        <w:rPr>
          <w:rFonts w:ascii="Palatino Linotype" w:eastAsia="Calibri" w:hAnsi="Palatino Linotype" w:cs="Tahoma"/>
          <w:bCs/>
          <w:color w:val="000000"/>
          <w:szCs w:val="22"/>
          <w:lang w:val="es-ES" w:eastAsia="en-US"/>
        </w:rPr>
        <w:t>los sesenta días naturales siguientes</w:t>
      </w:r>
      <w:r>
        <w:rPr>
          <w:rFonts w:ascii="Palatino Linotype" w:eastAsia="Calibri" w:hAnsi="Palatino Linotype" w:cs="Tahoma"/>
          <w:bCs/>
          <w:color w:val="000000"/>
          <w:szCs w:val="22"/>
          <w:lang w:val="es-ES" w:eastAsia="en-US"/>
        </w:rPr>
        <w:t xml:space="preserve"> a la conclusión del cargo.</w:t>
      </w:r>
      <w:r w:rsidRPr="00803460">
        <w:rPr>
          <w:rFonts w:ascii="Palatino Linotype" w:eastAsia="Calibri" w:hAnsi="Palatino Linotype" w:cs="Tahoma"/>
          <w:b/>
          <w:color w:val="000000"/>
          <w:szCs w:val="22"/>
          <w:lang w:val="es-ES" w:eastAsia="en-US"/>
        </w:rPr>
        <w:t xml:space="preserve"> </w:t>
      </w:r>
    </w:p>
    <w:p w14:paraId="315689E1" w14:textId="69D81F01" w:rsidR="00DD2A43" w:rsidRDefault="00DD2A43" w:rsidP="00CD7DE8">
      <w:pPr>
        <w:spacing w:line="360" w:lineRule="auto"/>
        <w:ind w:right="-28"/>
        <w:contextualSpacing/>
        <w:jc w:val="both"/>
        <w:rPr>
          <w:rFonts w:ascii="Palatino Linotype" w:eastAsia="Calibri" w:hAnsi="Palatino Linotype" w:cs="Tahoma"/>
          <w:bCs/>
          <w:color w:val="000000"/>
          <w:sz w:val="22"/>
          <w:szCs w:val="22"/>
          <w:lang w:val="es-ES" w:eastAsia="en-US"/>
        </w:rPr>
      </w:pPr>
    </w:p>
    <w:p w14:paraId="232A5B68" w14:textId="3A471916" w:rsidR="00A221EE" w:rsidRDefault="00A221EE" w:rsidP="00CD7DE8">
      <w:pPr>
        <w:spacing w:line="360" w:lineRule="auto"/>
        <w:ind w:right="-28"/>
        <w:contextualSpacing/>
        <w:jc w:val="both"/>
        <w:rPr>
          <w:rFonts w:ascii="Palatino Linotype" w:eastAsia="Calibri" w:hAnsi="Palatino Linotype" w:cs="Tahoma"/>
          <w:bCs/>
          <w:color w:val="000000"/>
          <w:sz w:val="22"/>
          <w:szCs w:val="22"/>
          <w:lang w:val="es-ES" w:eastAsia="en-US"/>
        </w:rPr>
      </w:pPr>
      <w:r>
        <w:rPr>
          <w:rFonts w:ascii="Palatino Linotype" w:eastAsia="Calibri" w:hAnsi="Palatino Linotype" w:cs="Tahoma"/>
          <w:bCs/>
          <w:color w:val="000000"/>
          <w:sz w:val="22"/>
          <w:szCs w:val="22"/>
          <w:lang w:val="es-ES" w:eastAsia="en-US"/>
        </w:rPr>
        <w:t>Por otra parte,</w:t>
      </w:r>
      <w:r w:rsidR="00A87021">
        <w:rPr>
          <w:rFonts w:ascii="Palatino Linotype" w:eastAsia="Calibri" w:hAnsi="Palatino Linotype" w:cs="Tahoma"/>
          <w:bCs/>
          <w:color w:val="000000"/>
          <w:sz w:val="22"/>
          <w:szCs w:val="22"/>
          <w:lang w:val="es-ES" w:eastAsia="en-US"/>
        </w:rPr>
        <w:t xml:space="preserve"> los artículos 79 y 80 de</w:t>
      </w:r>
      <w:r>
        <w:rPr>
          <w:rFonts w:ascii="Palatino Linotype" w:eastAsia="Calibri" w:hAnsi="Palatino Linotype" w:cs="Tahoma"/>
          <w:bCs/>
          <w:color w:val="000000"/>
          <w:sz w:val="22"/>
          <w:szCs w:val="22"/>
          <w:lang w:val="es-ES" w:eastAsia="en-US"/>
        </w:rPr>
        <w:t xml:space="preserve"> la Ley de Responsabilidades de Servidores Públicos del Estado de México, abrogada el treinta de mayo de dos mil diecisiete, establece</w:t>
      </w:r>
      <w:r w:rsidR="00A87021">
        <w:rPr>
          <w:rFonts w:ascii="Palatino Linotype" w:eastAsia="Calibri" w:hAnsi="Palatino Linotype" w:cs="Tahoma"/>
          <w:bCs/>
          <w:color w:val="000000"/>
          <w:sz w:val="22"/>
          <w:szCs w:val="22"/>
          <w:lang w:val="es-ES" w:eastAsia="en-US"/>
        </w:rPr>
        <w:t>, que los servidores públicos desde jefes de departamento hasta titulares de las dependencias tienen la obligación de presentar Manifestación de Bienes, de la siguiente manera:</w:t>
      </w:r>
    </w:p>
    <w:p w14:paraId="549A3EA7" w14:textId="3C626875" w:rsidR="00A87021" w:rsidRDefault="00A87021" w:rsidP="00CD7DE8">
      <w:pPr>
        <w:spacing w:line="360" w:lineRule="auto"/>
        <w:ind w:right="-28"/>
        <w:contextualSpacing/>
        <w:jc w:val="both"/>
        <w:rPr>
          <w:rFonts w:ascii="Palatino Linotype" w:eastAsia="Calibri" w:hAnsi="Palatino Linotype" w:cs="Tahoma"/>
          <w:bCs/>
          <w:color w:val="000000"/>
          <w:sz w:val="22"/>
          <w:szCs w:val="22"/>
          <w:lang w:val="es-ES" w:eastAsia="en-US"/>
        </w:rPr>
      </w:pPr>
    </w:p>
    <w:p w14:paraId="264E178A" w14:textId="280FAEE1" w:rsidR="00A87021" w:rsidRDefault="00A87021" w:rsidP="00CD7DE8">
      <w:pPr>
        <w:pStyle w:val="Prrafodelista"/>
        <w:numPr>
          <w:ilvl w:val="0"/>
          <w:numId w:val="25"/>
        </w:numPr>
        <w:spacing w:line="360" w:lineRule="auto"/>
        <w:ind w:right="-28"/>
        <w:jc w:val="both"/>
        <w:rPr>
          <w:rFonts w:ascii="Palatino Linotype" w:eastAsia="Calibri" w:hAnsi="Palatino Linotype" w:cs="Tahoma"/>
          <w:bCs/>
          <w:color w:val="000000"/>
          <w:szCs w:val="22"/>
          <w:lang w:val="es-ES" w:eastAsia="en-US"/>
        </w:rPr>
      </w:pPr>
      <w:r>
        <w:rPr>
          <w:rFonts w:ascii="Palatino Linotype" w:eastAsia="Calibri" w:hAnsi="Palatino Linotype" w:cs="Tahoma"/>
          <w:bCs/>
          <w:color w:val="000000"/>
          <w:szCs w:val="22"/>
          <w:lang w:val="es-ES" w:eastAsia="en-US"/>
        </w:rPr>
        <w:t>Dentro de los sesenta días siguientes a la toma de posesión del cargo;</w:t>
      </w:r>
    </w:p>
    <w:p w14:paraId="7CB4C121" w14:textId="08B98880" w:rsidR="00A87021" w:rsidRDefault="00A87021" w:rsidP="00CD7DE8">
      <w:pPr>
        <w:pStyle w:val="Prrafodelista"/>
        <w:numPr>
          <w:ilvl w:val="0"/>
          <w:numId w:val="25"/>
        </w:numPr>
        <w:spacing w:line="360" w:lineRule="auto"/>
        <w:ind w:right="-28"/>
        <w:jc w:val="both"/>
        <w:rPr>
          <w:rFonts w:ascii="Palatino Linotype" w:eastAsia="Calibri" w:hAnsi="Palatino Linotype" w:cs="Tahoma"/>
          <w:bCs/>
          <w:color w:val="000000"/>
          <w:szCs w:val="22"/>
          <w:lang w:val="es-ES" w:eastAsia="en-US"/>
        </w:rPr>
      </w:pPr>
      <w:r>
        <w:rPr>
          <w:rFonts w:ascii="Palatino Linotype" w:eastAsia="Calibri" w:hAnsi="Palatino Linotype" w:cs="Tahoma"/>
          <w:bCs/>
          <w:color w:val="000000"/>
          <w:szCs w:val="22"/>
          <w:lang w:val="es-ES" w:eastAsia="en-US"/>
        </w:rPr>
        <w:t>Durante el mes de mayo de cada año, y</w:t>
      </w:r>
    </w:p>
    <w:p w14:paraId="50B64149" w14:textId="65399547" w:rsidR="00A87021" w:rsidRPr="00A87021" w:rsidRDefault="00A87021" w:rsidP="00CD7DE8">
      <w:pPr>
        <w:pStyle w:val="Prrafodelista"/>
        <w:numPr>
          <w:ilvl w:val="0"/>
          <w:numId w:val="25"/>
        </w:numPr>
        <w:spacing w:line="360" w:lineRule="auto"/>
        <w:ind w:right="-28"/>
        <w:jc w:val="both"/>
        <w:rPr>
          <w:rFonts w:ascii="Palatino Linotype" w:eastAsia="Calibri" w:hAnsi="Palatino Linotype" w:cs="Tahoma"/>
          <w:bCs/>
          <w:color w:val="000000"/>
          <w:szCs w:val="22"/>
          <w:lang w:val="es-ES" w:eastAsia="en-US"/>
        </w:rPr>
      </w:pPr>
      <w:r>
        <w:rPr>
          <w:rFonts w:ascii="Palatino Linotype" w:eastAsia="Calibri" w:hAnsi="Palatino Linotype" w:cs="Tahoma"/>
          <w:bCs/>
          <w:color w:val="000000"/>
          <w:szCs w:val="22"/>
          <w:lang w:val="es-ES" w:eastAsia="en-US"/>
        </w:rPr>
        <w:t>Dentro de los sesenta días siguientes a la conclusión o baja del empleo.</w:t>
      </w:r>
    </w:p>
    <w:p w14:paraId="70444F62" w14:textId="07A65D1D" w:rsidR="00A221EE" w:rsidRDefault="00A221EE" w:rsidP="00CD7DE8">
      <w:pPr>
        <w:spacing w:line="360" w:lineRule="auto"/>
        <w:ind w:right="-28"/>
        <w:contextualSpacing/>
        <w:jc w:val="both"/>
        <w:rPr>
          <w:rFonts w:ascii="Palatino Linotype" w:eastAsia="Calibri" w:hAnsi="Palatino Linotype" w:cs="Tahoma"/>
          <w:bCs/>
          <w:color w:val="000000"/>
          <w:sz w:val="22"/>
          <w:szCs w:val="22"/>
          <w:lang w:val="es-ES" w:eastAsia="en-US"/>
        </w:rPr>
      </w:pPr>
    </w:p>
    <w:p w14:paraId="0C1D272E" w14:textId="45630C33" w:rsidR="0031497C" w:rsidRDefault="00A87021" w:rsidP="00CD7DE8">
      <w:pPr>
        <w:spacing w:line="360" w:lineRule="auto"/>
        <w:ind w:right="-28"/>
        <w:contextualSpacing/>
        <w:jc w:val="both"/>
        <w:rPr>
          <w:rFonts w:ascii="Palatino Linotype" w:eastAsia="Calibri" w:hAnsi="Palatino Linotype" w:cs="Tahoma"/>
          <w:bCs/>
          <w:color w:val="000000"/>
          <w:sz w:val="22"/>
          <w:szCs w:val="22"/>
          <w:lang w:val="es-ES" w:eastAsia="en-US"/>
        </w:rPr>
      </w:pPr>
      <w:r>
        <w:rPr>
          <w:rFonts w:ascii="Palatino Linotype" w:eastAsia="Calibri" w:hAnsi="Palatino Linotype" w:cs="Tahoma"/>
          <w:bCs/>
          <w:color w:val="000000"/>
          <w:sz w:val="22"/>
          <w:szCs w:val="22"/>
          <w:lang w:val="es-ES" w:eastAsia="en-US"/>
        </w:rPr>
        <w:t xml:space="preserve">Conforme a lo anterior, se logra vislumbrar que la </w:t>
      </w:r>
      <w:r w:rsidR="0031497C">
        <w:rPr>
          <w:rFonts w:ascii="Palatino Linotype" w:eastAsia="Calibri" w:hAnsi="Palatino Linotype" w:cs="Tahoma"/>
          <w:bCs/>
          <w:color w:val="000000"/>
          <w:sz w:val="22"/>
          <w:szCs w:val="22"/>
          <w:lang w:val="es-ES" w:eastAsia="en-US"/>
        </w:rPr>
        <w:t>pretensión del ahora Recurrente es obtener las</w:t>
      </w:r>
      <w:r>
        <w:rPr>
          <w:rFonts w:ascii="Palatino Linotype" w:eastAsia="Calibri" w:hAnsi="Palatino Linotype" w:cs="Tahoma"/>
          <w:bCs/>
          <w:color w:val="000000"/>
          <w:sz w:val="22"/>
          <w:szCs w:val="22"/>
          <w:lang w:val="es-ES" w:eastAsia="en-US"/>
        </w:rPr>
        <w:t xml:space="preserve"> manifestaciones de bienes (del primero de enero de dos mil quince al treinta de mayo de </w:t>
      </w:r>
      <w:r>
        <w:rPr>
          <w:rFonts w:ascii="Palatino Linotype" w:eastAsia="Calibri" w:hAnsi="Palatino Linotype" w:cs="Tahoma"/>
          <w:bCs/>
          <w:color w:val="000000"/>
          <w:sz w:val="22"/>
          <w:szCs w:val="22"/>
          <w:lang w:val="es-ES" w:eastAsia="en-US"/>
        </w:rPr>
        <w:lastRenderedPageBreak/>
        <w:t xml:space="preserve">dos mil diecisiete) y las </w:t>
      </w:r>
      <w:r w:rsidR="0031497C">
        <w:rPr>
          <w:rFonts w:ascii="Palatino Linotype" w:eastAsia="Calibri" w:hAnsi="Palatino Linotype" w:cs="Tahoma"/>
          <w:bCs/>
          <w:color w:val="000000"/>
          <w:sz w:val="22"/>
          <w:szCs w:val="22"/>
          <w:lang w:val="es-ES" w:eastAsia="en-US"/>
        </w:rPr>
        <w:t>declaraciones patrimoniales</w:t>
      </w:r>
      <w:r>
        <w:rPr>
          <w:rFonts w:ascii="Palatino Linotype" w:eastAsia="Calibri" w:hAnsi="Palatino Linotype" w:cs="Tahoma"/>
          <w:bCs/>
          <w:color w:val="000000"/>
          <w:sz w:val="22"/>
          <w:szCs w:val="22"/>
          <w:lang w:val="es-ES" w:eastAsia="en-US"/>
        </w:rPr>
        <w:t xml:space="preserve"> (del treinta y uno de mayo de dos mil diecisiete al veintiuno de octubre de dos mil veintiuno),</w:t>
      </w:r>
      <w:r w:rsidR="0031497C" w:rsidRPr="00D05C0A">
        <w:rPr>
          <w:rFonts w:ascii="Palatino Linotype" w:hAnsi="Palatino Linotype" w:cs="Tahoma"/>
          <w:bCs/>
          <w:color w:val="000000"/>
          <w:sz w:val="22"/>
          <w:szCs w:val="22"/>
        </w:rPr>
        <w:t xml:space="preserve"> </w:t>
      </w:r>
      <w:r w:rsidR="00655FC7">
        <w:rPr>
          <w:rFonts w:ascii="Palatino Linotype" w:hAnsi="Palatino Linotype" w:cs="Tahoma"/>
          <w:bCs/>
          <w:color w:val="000000"/>
          <w:sz w:val="22"/>
          <w:szCs w:val="22"/>
        </w:rPr>
        <w:t>de todos los servidores públicos que laboraron para la Contraloría Interna y Órgano de Control y Vigilancia</w:t>
      </w:r>
      <w:r>
        <w:rPr>
          <w:rFonts w:ascii="Palatino Linotype" w:hAnsi="Palatino Linotype" w:cs="Tahoma"/>
          <w:bCs/>
          <w:color w:val="000000"/>
          <w:sz w:val="22"/>
          <w:szCs w:val="22"/>
        </w:rPr>
        <w:t>, durante los periodos mencionados.</w:t>
      </w:r>
    </w:p>
    <w:p w14:paraId="5574D52B" w14:textId="77777777" w:rsidR="0031497C" w:rsidRDefault="0031497C" w:rsidP="00CD7DE8">
      <w:pPr>
        <w:shd w:val="clear" w:color="auto" w:fill="FFFFFF" w:themeFill="background1"/>
        <w:spacing w:line="360" w:lineRule="auto"/>
        <w:jc w:val="both"/>
        <w:rPr>
          <w:rFonts w:ascii="Palatino Linotype" w:eastAsia="Calibri" w:hAnsi="Palatino Linotype" w:cs="Tahoma"/>
          <w:bCs/>
          <w:color w:val="000000"/>
          <w:sz w:val="22"/>
          <w:szCs w:val="22"/>
          <w:lang w:val="es-ES" w:eastAsia="en-US"/>
        </w:rPr>
      </w:pPr>
    </w:p>
    <w:p w14:paraId="7E22BB11" w14:textId="285424C9" w:rsidR="0031497C" w:rsidRPr="001C468D" w:rsidRDefault="00A87021" w:rsidP="00CD7DE8">
      <w:pPr>
        <w:spacing w:line="360" w:lineRule="auto"/>
        <w:jc w:val="both"/>
        <w:rPr>
          <w:rFonts w:ascii="Palatino Linotype" w:hAnsi="Palatino Linotype" w:cs="Tahoma"/>
          <w:bCs/>
          <w:sz w:val="22"/>
          <w:szCs w:val="22"/>
        </w:rPr>
      </w:pPr>
      <w:r>
        <w:rPr>
          <w:rFonts w:ascii="Palatino Linotype" w:hAnsi="Palatino Linotype" w:cs="Tahoma"/>
          <w:bCs/>
          <w:sz w:val="22"/>
          <w:szCs w:val="22"/>
          <w:shd w:val="clear" w:color="auto" w:fill="FFFFFF"/>
        </w:rPr>
        <w:t>Ahora bien</w:t>
      </w:r>
      <w:r w:rsidR="0031497C" w:rsidRPr="001C468D">
        <w:rPr>
          <w:rFonts w:ascii="Palatino Linotype" w:hAnsi="Palatino Linotype" w:cs="Tahoma"/>
          <w:bCs/>
          <w:sz w:val="22"/>
          <w:szCs w:val="22"/>
          <w:shd w:val="clear" w:color="auto" w:fill="FFFFFF"/>
        </w:rPr>
        <w:t>, de las constancias que obran en el expediente se advierte que el Sujeto Obligado turn</w:t>
      </w:r>
      <w:r w:rsidR="0031497C">
        <w:rPr>
          <w:rFonts w:ascii="Palatino Linotype" w:hAnsi="Palatino Linotype" w:cs="Tahoma"/>
          <w:bCs/>
          <w:sz w:val="22"/>
          <w:szCs w:val="22"/>
          <w:shd w:val="clear" w:color="auto" w:fill="FFFFFF"/>
        </w:rPr>
        <w:t>ó</w:t>
      </w:r>
      <w:r w:rsidR="0031497C" w:rsidRPr="001C468D">
        <w:rPr>
          <w:rFonts w:ascii="Palatino Linotype" w:hAnsi="Palatino Linotype" w:cs="Tahoma"/>
          <w:bCs/>
          <w:sz w:val="22"/>
          <w:szCs w:val="22"/>
          <w:shd w:val="clear" w:color="auto" w:fill="FFFFFF"/>
        </w:rPr>
        <w:t xml:space="preserve"> la solicitud de información</w:t>
      </w:r>
      <w:r w:rsidR="0031497C">
        <w:rPr>
          <w:rFonts w:ascii="Palatino Linotype" w:hAnsi="Palatino Linotype" w:cs="Tahoma"/>
          <w:bCs/>
          <w:sz w:val="22"/>
          <w:szCs w:val="22"/>
          <w:shd w:val="clear" w:color="auto" w:fill="FFFFFF"/>
        </w:rPr>
        <w:t>,</w:t>
      </w:r>
      <w:r w:rsidR="0031497C" w:rsidRPr="001C468D">
        <w:rPr>
          <w:rFonts w:ascii="Palatino Linotype" w:hAnsi="Palatino Linotype" w:cs="Tahoma"/>
          <w:bCs/>
          <w:sz w:val="22"/>
          <w:szCs w:val="22"/>
          <w:shd w:val="clear" w:color="auto" w:fill="FFFFFF"/>
        </w:rPr>
        <w:t xml:space="preserve"> </w:t>
      </w:r>
      <w:r>
        <w:rPr>
          <w:rFonts w:ascii="Palatino Linotype" w:hAnsi="Palatino Linotype" w:cs="Tahoma"/>
          <w:bCs/>
          <w:sz w:val="22"/>
          <w:szCs w:val="22"/>
          <w:shd w:val="clear" w:color="auto" w:fill="FFFFFF"/>
        </w:rPr>
        <w:t>a la Contraloría Interna y Órgano de Control y Vigilancia</w:t>
      </w:r>
      <w:r w:rsidR="0031497C" w:rsidRPr="001C468D">
        <w:rPr>
          <w:rFonts w:ascii="Palatino Linotype" w:hAnsi="Palatino Linotype" w:cs="Tahoma"/>
          <w:bCs/>
          <w:sz w:val="22"/>
          <w:szCs w:val="22"/>
          <w:shd w:val="clear" w:color="auto" w:fill="FFFFFF"/>
        </w:rPr>
        <w:t>;</w:t>
      </w:r>
      <w:r w:rsidR="0031497C" w:rsidRPr="001C468D">
        <w:rPr>
          <w:rFonts w:ascii="Palatino Linotype" w:hAnsi="Palatino Linotype"/>
          <w:noProof/>
          <w:sz w:val="22"/>
          <w:szCs w:val="22"/>
          <w:lang w:eastAsia="es-MX"/>
        </w:rPr>
        <w:t xml:space="preserve"> </w:t>
      </w:r>
      <w:r w:rsidR="0031497C" w:rsidRPr="001C468D">
        <w:rPr>
          <w:rFonts w:ascii="Palatino Linotype" w:hAnsi="Palatino Linotype" w:cs="Tahoma"/>
          <w:bCs/>
          <w:sz w:val="22"/>
          <w:szCs w:val="22"/>
        </w:rPr>
        <w:t xml:space="preserve">por lo que, es necesario hacer referencia, </w:t>
      </w:r>
      <w:r w:rsidR="0031497C" w:rsidRPr="001C468D">
        <w:rPr>
          <w:rFonts w:ascii="Palatino Linotype" w:hAnsi="Palatino Linotype" w:cs="Tahoma"/>
          <w:b/>
          <w:bCs/>
          <w:sz w:val="22"/>
          <w:szCs w:val="22"/>
        </w:rPr>
        <w:t>al</w:t>
      </w:r>
      <w:r w:rsidR="0031497C" w:rsidRPr="001C468D">
        <w:rPr>
          <w:rFonts w:ascii="Palatino Linotype" w:hAnsi="Palatino Linotype" w:cs="Tahoma"/>
          <w:sz w:val="22"/>
          <w:szCs w:val="22"/>
        </w:rPr>
        <w:t xml:space="preserve"> </w:t>
      </w:r>
      <w:r w:rsidR="0031497C" w:rsidRPr="001C468D">
        <w:rPr>
          <w:rFonts w:ascii="Palatino Linotype" w:hAnsi="Palatino Linotype" w:cs="Tahoma"/>
          <w:b/>
          <w:sz w:val="22"/>
          <w:szCs w:val="22"/>
        </w:rPr>
        <w:t>procedimiento de búsqueda que deben de seguir los Sujetos Obligados para localizar la información</w:t>
      </w:r>
      <w:r w:rsidR="0031497C" w:rsidRPr="001C468D">
        <w:rPr>
          <w:rFonts w:ascii="Palatino Linotype" w:hAnsi="Palatino Linotype" w:cs="Tahoma"/>
          <w:sz w:val="22"/>
          <w:szCs w:val="22"/>
        </w:rPr>
        <w:t>, el cual se encuentra previsto en los artículos</w:t>
      </w:r>
      <w:r w:rsidR="0031497C" w:rsidRPr="001C468D">
        <w:rPr>
          <w:rFonts w:ascii="Palatino Linotype" w:hAnsi="Palatino Linotype" w:cs="Tahoma"/>
          <w:bCs/>
          <w:sz w:val="22"/>
          <w:szCs w:val="22"/>
        </w:rPr>
        <w:t xml:space="preserve"> 160 y 162 de la Ley de Transparencia y Acceso a la Información Pública del Estado de México y Municipios, mismo que es el siguiente:</w:t>
      </w:r>
    </w:p>
    <w:p w14:paraId="156F8353" w14:textId="77777777" w:rsidR="0031497C" w:rsidRPr="001C468D" w:rsidRDefault="0031497C" w:rsidP="00CD7DE8">
      <w:pPr>
        <w:spacing w:line="360" w:lineRule="auto"/>
        <w:ind w:right="-93"/>
        <w:jc w:val="both"/>
        <w:rPr>
          <w:rFonts w:ascii="Palatino Linotype" w:hAnsi="Palatino Linotype" w:cs="Tahoma"/>
          <w:sz w:val="22"/>
          <w:szCs w:val="22"/>
          <w:lang w:val="es-ES"/>
        </w:rPr>
      </w:pPr>
    </w:p>
    <w:p w14:paraId="720DBC46" w14:textId="77777777" w:rsidR="0031497C" w:rsidRPr="001C468D" w:rsidRDefault="0031497C" w:rsidP="00CD7DE8">
      <w:pPr>
        <w:numPr>
          <w:ilvl w:val="0"/>
          <w:numId w:val="13"/>
        </w:numPr>
        <w:spacing w:line="360" w:lineRule="auto"/>
        <w:jc w:val="both"/>
        <w:rPr>
          <w:rFonts w:ascii="Palatino Linotype" w:eastAsia="Calibri" w:hAnsi="Palatino Linotype" w:cs="Tahoma"/>
          <w:bCs/>
          <w:sz w:val="22"/>
          <w:szCs w:val="22"/>
          <w:lang w:val="es-ES" w:eastAsia="en-US"/>
        </w:rPr>
      </w:pPr>
      <w:r w:rsidRPr="001C468D">
        <w:rPr>
          <w:rFonts w:ascii="Palatino Linotype" w:eastAsia="Calibri" w:hAnsi="Palatino Linotype" w:cs="Tahoma"/>
          <w:bCs/>
          <w:sz w:val="22"/>
          <w:szCs w:val="22"/>
          <w:lang w:val="es-ES"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3FCC151" w14:textId="77777777" w:rsidR="0031497C" w:rsidRPr="001C468D" w:rsidRDefault="0031497C" w:rsidP="00CD7DE8">
      <w:pPr>
        <w:spacing w:line="360" w:lineRule="auto"/>
        <w:ind w:left="720"/>
        <w:jc w:val="both"/>
        <w:rPr>
          <w:rFonts w:ascii="Palatino Linotype" w:eastAsia="Calibri" w:hAnsi="Palatino Linotype" w:cs="Tahoma"/>
          <w:bCs/>
          <w:sz w:val="22"/>
          <w:szCs w:val="22"/>
          <w:lang w:val="es-ES" w:eastAsia="en-US"/>
        </w:rPr>
      </w:pPr>
    </w:p>
    <w:p w14:paraId="62910BE0" w14:textId="77777777" w:rsidR="0031497C" w:rsidRPr="001C468D" w:rsidRDefault="0031497C" w:rsidP="00CD7DE8">
      <w:pPr>
        <w:numPr>
          <w:ilvl w:val="0"/>
          <w:numId w:val="13"/>
        </w:numPr>
        <w:spacing w:line="360" w:lineRule="auto"/>
        <w:jc w:val="both"/>
        <w:rPr>
          <w:rFonts w:ascii="Palatino Linotype" w:eastAsia="Calibri" w:hAnsi="Palatino Linotype" w:cs="Tahoma"/>
          <w:bCs/>
          <w:sz w:val="22"/>
          <w:szCs w:val="22"/>
          <w:lang w:val="es-ES" w:eastAsia="en-US"/>
        </w:rPr>
      </w:pPr>
      <w:r w:rsidRPr="001C468D">
        <w:rPr>
          <w:rFonts w:ascii="Palatino Linotype" w:eastAsia="Calibri" w:hAnsi="Palatino Linotype" w:cs="Tahoma"/>
          <w:bCs/>
          <w:sz w:val="22"/>
          <w:szCs w:val="22"/>
          <w:lang w:val="es-ES" w:eastAsia="en-U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7F9DEA3A" w14:textId="511515F6" w:rsidR="00F31C6A" w:rsidRDefault="00F31C6A" w:rsidP="00CD7DE8">
      <w:pPr>
        <w:spacing w:line="360" w:lineRule="auto"/>
        <w:jc w:val="both"/>
        <w:rPr>
          <w:rFonts w:ascii="Palatino Linotype" w:hAnsi="Palatino Linotype"/>
          <w:sz w:val="22"/>
          <w:szCs w:val="22"/>
        </w:rPr>
      </w:pPr>
    </w:p>
    <w:p w14:paraId="38C4CA54" w14:textId="7EF78790" w:rsidR="0053326D" w:rsidRDefault="0053326D" w:rsidP="00CD7DE8">
      <w:pPr>
        <w:spacing w:line="360" w:lineRule="auto"/>
        <w:ind w:right="-28"/>
        <w:contextualSpacing/>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Así</w:t>
      </w:r>
      <w:r w:rsidRPr="001C468D">
        <w:rPr>
          <w:rFonts w:ascii="Palatino Linotype" w:eastAsia="Calibri" w:hAnsi="Palatino Linotype" w:cs="Tahoma"/>
          <w:bCs/>
          <w:sz w:val="22"/>
          <w:szCs w:val="22"/>
          <w:lang w:eastAsia="en-US"/>
        </w:rPr>
        <w:t xml:space="preserve">, a efecto de determinar si el Sujeto Obligado siguió el procedimiento antes descrito, es necesario traer a colación, </w:t>
      </w:r>
      <w:r>
        <w:rPr>
          <w:rFonts w:ascii="Palatino Linotype" w:eastAsia="Calibri" w:hAnsi="Palatino Linotype" w:cs="Tahoma"/>
          <w:bCs/>
          <w:sz w:val="22"/>
          <w:szCs w:val="22"/>
          <w:lang w:eastAsia="en-US"/>
        </w:rPr>
        <w:t>artículo 27 del Reglamento Interior del Instituto de Transparencia, Acceso a la Informaci</w:t>
      </w:r>
      <w:r w:rsidR="00A80F0C">
        <w:rPr>
          <w:rFonts w:ascii="Palatino Linotype" w:eastAsia="Calibri" w:hAnsi="Palatino Linotype" w:cs="Tahoma"/>
          <w:bCs/>
          <w:sz w:val="22"/>
          <w:szCs w:val="22"/>
          <w:lang w:eastAsia="en-US"/>
        </w:rPr>
        <w:t xml:space="preserve">ón Pública y Protección de Datos Personales del Estado de México y </w:t>
      </w:r>
      <w:r w:rsidR="00A80F0C">
        <w:rPr>
          <w:rFonts w:ascii="Palatino Linotype" w:eastAsia="Calibri" w:hAnsi="Palatino Linotype" w:cs="Tahoma"/>
          <w:bCs/>
          <w:sz w:val="22"/>
          <w:szCs w:val="22"/>
          <w:lang w:eastAsia="en-US"/>
        </w:rPr>
        <w:lastRenderedPageBreak/>
        <w:t>Municipios, que precisa que el Sujeto Obligado cuenta con diversas unidades administrativas para el ejercicio de sus funciones, entre las cuales se encuentra la Contraloría Interna y Órgano de Control y Vigilancia, encargada de establecer los mecanismos para la presentación de la Declaración de Situación Patrimonial; de realizar verificaciones aleatorias de estas y actualizar la información correspondiente al personal del Instituto en el sistema de evolución patrimonial y declaración patrimonial.</w:t>
      </w:r>
    </w:p>
    <w:p w14:paraId="30F85343" w14:textId="419F0376" w:rsidR="0031497C" w:rsidRDefault="0031497C" w:rsidP="00CD7DE8">
      <w:pPr>
        <w:spacing w:line="360" w:lineRule="auto"/>
        <w:jc w:val="both"/>
        <w:rPr>
          <w:rFonts w:ascii="Palatino Linotype" w:hAnsi="Palatino Linotype"/>
          <w:sz w:val="22"/>
          <w:szCs w:val="22"/>
        </w:rPr>
      </w:pPr>
    </w:p>
    <w:p w14:paraId="59311B60" w14:textId="7FF6E576" w:rsidR="00A80F0C" w:rsidRDefault="00A80F0C" w:rsidP="00CD7DE8">
      <w:pPr>
        <w:tabs>
          <w:tab w:val="left" w:pos="4962"/>
        </w:tabs>
        <w:spacing w:line="360" w:lineRule="auto"/>
        <w:ind w:right="-28"/>
        <w:jc w:val="both"/>
        <w:rPr>
          <w:rFonts w:ascii="Palatino Linotype" w:eastAsia="Calibri" w:hAnsi="Palatino Linotype" w:cs="Tahoma"/>
          <w:iCs/>
          <w:sz w:val="22"/>
          <w:lang w:val="es-ES" w:eastAsia="es-ES_tradnl"/>
        </w:rPr>
      </w:pPr>
      <w:r w:rsidRPr="001C468D">
        <w:rPr>
          <w:rFonts w:ascii="Palatino Linotype" w:eastAsia="Calibri" w:hAnsi="Palatino Linotype" w:cs="Tahoma"/>
          <w:iCs/>
          <w:sz w:val="22"/>
          <w:lang w:val="es-ES" w:eastAsia="es-ES_tradnl"/>
        </w:rPr>
        <w:t>Como se logra observar, el Ente Recurrido,</w:t>
      </w:r>
      <w:r>
        <w:rPr>
          <w:rFonts w:ascii="Palatino Linotype" w:eastAsia="Calibri" w:hAnsi="Palatino Linotype" w:cs="Tahoma"/>
          <w:iCs/>
          <w:sz w:val="22"/>
          <w:lang w:val="es-ES" w:eastAsia="es-ES_tradnl"/>
        </w:rPr>
        <w:t xml:space="preserve"> turnó</w:t>
      </w:r>
      <w:r w:rsidRPr="001C468D">
        <w:rPr>
          <w:rFonts w:ascii="Palatino Linotype" w:eastAsia="Calibri" w:hAnsi="Palatino Linotype" w:cs="Tahoma"/>
          <w:iCs/>
          <w:sz w:val="22"/>
          <w:lang w:val="es-ES" w:eastAsia="es-ES_tradnl"/>
        </w:rPr>
        <w:t xml:space="preserve"> </w:t>
      </w:r>
      <w:r>
        <w:rPr>
          <w:rFonts w:ascii="Palatino Linotype" w:eastAsia="Calibri" w:hAnsi="Palatino Linotype" w:cs="Tahoma"/>
          <w:iCs/>
          <w:sz w:val="22"/>
          <w:lang w:val="es-ES" w:eastAsia="es-ES_tradnl"/>
        </w:rPr>
        <w:t xml:space="preserve">el requerimiento </w:t>
      </w:r>
      <w:r w:rsidRPr="001C468D">
        <w:rPr>
          <w:rFonts w:ascii="Palatino Linotype" w:eastAsia="Calibri" w:hAnsi="Palatino Linotype" w:cs="Tahoma"/>
          <w:iCs/>
          <w:sz w:val="22"/>
          <w:lang w:val="es-ES" w:eastAsia="es-ES_tradnl"/>
        </w:rPr>
        <w:t xml:space="preserve">de información, a </w:t>
      </w:r>
      <w:r>
        <w:rPr>
          <w:rFonts w:ascii="Palatino Linotype" w:eastAsia="Calibri" w:hAnsi="Palatino Linotype" w:cs="Tahoma"/>
          <w:iCs/>
          <w:sz w:val="22"/>
          <w:lang w:val="es-ES" w:eastAsia="es-ES_tradnl"/>
        </w:rPr>
        <w:t>la</w:t>
      </w:r>
      <w:r w:rsidRPr="001C468D">
        <w:rPr>
          <w:rFonts w:ascii="Palatino Linotype" w:eastAsia="Calibri" w:hAnsi="Palatino Linotype" w:cs="Tahoma"/>
          <w:iCs/>
          <w:sz w:val="22"/>
          <w:lang w:val="es-ES" w:eastAsia="es-ES_tradnl"/>
        </w:rPr>
        <w:t xml:space="preserve"> unidad</w:t>
      </w:r>
      <w:r>
        <w:rPr>
          <w:rFonts w:ascii="Palatino Linotype" w:eastAsia="Calibri" w:hAnsi="Palatino Linotype" w:cs="Tahoma"/>
          <w:iCs/>
          <w:sz w:val="22"/>
          <w:lang w:val="es-ES" w:eastAsia="es-ES_tradnl"/>
        </w:rPr>
        <w:t xml:space="preserve"> </w:t>
      </w:r>
      <w:r w:rsidRPr="001C468D">
        <w:rPr>
          <w:rFonts w:ascii="Palatino Linotype" w:eastAsia="Calibri" w:hAnsi="Palatino Linotype" w:cs="Tahoma"/>
          <w:iCs/>
          <w:sz w:val="22"/>
          <w:lang w:val="es-ES" w:eastAsia="es-ES_tradnl"/>
        </w:rPr>
        <w:t xml:space="preserve">administrativa </w:t>
      </w:r>
      <w:r>
        <w:rPr>
          <w:rFonts w:ascii="Palatino Linotype" w:eastAsia="Calibri" w:hAnsi="Palatino Linotype" w:cs="Tahoma"/>
          <w:iCs/>
          <w:sz w:val="22"/>
          <w:lang w:val="es-ES" w:eastAsia="es-ES_tradnl"/>
        </w:rPr>
        <w:t>idónea para conocer de la información solicitada</w:t>
      </w:r>
      <w:r w:rsidRPr="001C468D">
        <w:rPr>
          <w:rFonts w:ascii="Palatino Linotype" w:eastAsia="Calibri" w:hAnsi="Palatino Linotype" w:cs="Tahoma"/>
          <w:iCs/>
          <w:sz w:val="22"/>
          <w:lang w:val="es-ES" w:eastAsia="es-ES_tradnl"/>
        </w:rPr>
        <w:t xml:space="preserve">, a saber, </w:t>
      </w:r>
      <w:r>
        <w:rPr>
          <w:rFonts w:ascii="Palatino Linotype" w:eastAsia="Calibri" w:hAnsi="Palatino Linotype" w:cs="Tahoma"/>
          <w:iCs/>
          <w:sz w:val="22"/>
          <w:lang w:val="es-ES" w:eastAsia="es-ES_tradnl"/>
        </w:rPr>
        <w:t xml:space="preserve">la </w:t>
      </w:r>
      <w:r>
        <w:rPr>
          <w:rFonts w:ascii="Palatino Linotype" w:eastAsia="Calibri" w:hAnsi="Palatino Linotype" w:cs="Tahoma"/>
          <w:bCs/>
          <w:sz w:val="22"/>
          <w:szCs w:val="22"/>
          <w:lang w:eastAsia="en-US"/>
        </w:rPr>
        <w:t>Contraloría Interna y Órgano de Control y Vigilancia</w:t>
      </w:r>
      <w:r>
        <w:rPr>
          <w:rFonts w:ascii="Palatino Linotype" w:eastAsia="Calibri" w:hAnsi="Palatino Linotype" w:cs="Tahoma"/>
          <w:iCs/>
          <w:sz w:val="22"/>
          <w:lang w:val="es-ES" w:eastAsia="es-ES_tradnl"/>
        </w:rPr>
        <w:t>, que ve todas las cuestiones relacionadas con las declaraciones patrimoniales presentadas por los servidores públicos de este Instituto, por lo que, cumplió con el procedimiento de búsqueda establecido en el artículo 162 de la Ley de Transparencia y Acceso a la Información Pública del Estado d</w:t>
      </w:r>
      <w:r w:rsidR="00DC6551">
        <w:rPr>
          <w:rFonts w:ascii="Palatino Linotype" w:eastAsia="Calibri" w:hAnsi="Palatino Linotype" w:cs="Tahoma"/>
          <w:iCs/>
          <w:sz w:val="22"/>
          <w:lang w:val="es-ES" w:eastAsia="es-ES_tradnl"/>
        </w:rPr>
        <w:t>e México.</w:t>
      </w:r>
    </w:p>
    <w:p w14:paraId="0C54A2B5" w14:textId="25F2AF41" w:rsidR="0031497C" w:rsidRDefault="0031497C" w:rsidP="00CD7DE8">
      <w:pPr>
        <w:spacing w:line="360" w:lineRule="auto"/>
        <w:jc w:val="both"/>
        <w:rPr>
          <w:rFonts w:ascii="Palatino Linotype" w:hAnsi="Palatino Linotype"/>
          <w:sz w:val="22"/>
          <w:szCs w:val="22"/>
        </w:rPr>
      </w:pPr>
    </w:p>
    <w:p w14:paraId="273CDB46" w14:textId="6E45DB99" w:rsidR="00CD7DE8" w:rsidRPr="00CD7DE8" w:rsidRDefault="00CD7DE8" w:rsidP="00CD7DE8">
      <w:pPr>
        <w:spacing w:line="360" w:lineRule="auto"/>
        <w:ind w:right="-93"/>
        <w:jc w:val="both"/>
        <w:rPr>
          <w:rFonts w:ascii="Palatino Linotype" w:hAnsi="Palatino Linotype" w:cs="Tahoma"/>
          <w:bCs/>
          <w:color w:val="000000"/>
          <w:sz w:val="22"/>
          <w:szCs w:val="22"/>
        </w:rPr>
      </w:pPr>
      <w:r w:rsidRPr="00CD7DE8">
        <w:rPr>
          <w:rFonts w:ascii="Palatino Linotype" w:eastAsia="Calibri" w:hAnsi="Palatino Linotype" w:cs="Tahoma"/>
          <w:bCs/>
          <w:sz w:val="22"/>
          <w:szCs w:val="22"/>
          <w:lang w:eastAsia="en-US"/>
        </w:rPr>
        <w:t>Una vez precisado dicha situación,</w:t>
      </w:r>
      <w:r>
        <w:rPr>
          <w:rFonts w:ascii="Palatino Linotype" w:eastAsia="Calibri" w:hAnsi="Palatino Linotype" w:cs="Tahoma"/>
          <w:bCs/>
          <w:sz w:val="22"/>
          <w:szCs w:val="22"/>
          <w:lang w:eastAsia="en-US"/>
        </w:rPr>
        <w:t xml:space="preserve"> tanto</w:t>
      </w:r>
      <w:r w:rsidRPr="00CD7DE8">
        <w:rPr>
          <w:rFonts w:ascii="Palatino Linotype" w:eastAsia="Calibri" w:hAnsi="Palatino Linotype" w:cs="Tahoma"/>
          <w:bCs/>
          <w:sz w:val="22"/>
          <w:szCs w:val="22"/>
          <w:lang w:eastAsia="en-US"/>
        </w:rPr>
        <w:t xml:space="preserve"> </w:t>
      </w:r>
      <w:r w:rsidRPr="00CD7DE8">
        <w:rPr>
          <w:rFonts w:ascii="Palatino Linotype" w:eastAsia="Calibri" w:hAnsi="Palatino Linotype" w:cs="Tahoma"/>
          <w:bCs/>
          <w:sz w:val="22"/>
          <w:szCs w:val="22"/>
          <w:lang w:val="es-ES" w:eastAsia="en-US"/>
        </w:rPr>
        <w:t>en respue</w:t>
      </w:r>
      <w:r>
        <w:rPr>
          <w:rFonts w:ascii="Palatino Linotype" w:eastAsia="Calibri" w:hAnsi="Palatino Linotype" w:cs="Tahoma"/>
          <w:bCs/>
          <w:sz w:val="22"/>
          <w:szCs w:val="22"/>
          <w:lang w:val="es-ES" w:eastAsia="en-US"/>
        </w:rPr>
        <w:t>sta, como Informe Justificado</w:t>
      </w:r>
      <w:r w:rsidRPr="00CD7DE8">
        <w:rPr>
          <w:rFonts w:ascii="Palatino Linotype" w:eastAsia="Calibri" w:hAnsi="Palatino Linotype" w:cs="Tahoma"/>
          <w:bCs/>
          <w:sz w:val="22"/>
          <w:szCs w:val="22"/>
          <w:lang w:val="es-ES" w:eastAsia="en-US"/>
        </w:rPr>
        <w:t xml:space="preserve">, </w:t>
      </w:r>
      <w:r>
        <w:rPr>
          <w:rFonts w:ascii="Palatino Linotype" w:eastAsia="Calibri" w:hAnsi="Palatino Linotype" w:cs="Tahoma"/>
          <w:bCs/>
          <w:sz w:val="22"/>
          <w:szCs w:val="22"/>
          <w:lang w:val="es-ES" w:eastAsia="en-US"/>
        </w:rPr>
        <w:t>dicha área</w:t>
      </w:r>
      <w:r w:rsidRPr="00CD7DE8">
        <w:rPr>
          <w:rFonts w:ascii="Palatino Linotype" w:hAnsi="Palatino Linotype" w:cs="Tahoma"/>
          <w:bCs/>
          <w:color w:val="000000"/>
          <w:sz w:val="22"/>
          <w:szCs w:val="22"/>
        </w:rPr>
        <w:t>, precisó que la información peticionada estaba clasificada como confidencial, en términos del artículo 143, fracción I, de la Ley de Transparencia y Acceso a la Información Pública del Estado de México y Municipios.</w:t>
      </w:r>
    </w:p>
    <w:p w14:paraId="64B4C765" w14:textId="77777777" w:rsidR="00CD7DE8" w:rsidRPr="00CD7DE8" w:rsidRDefault="00CD7DE8" w:rsidP="00CD7DE8">
      <w:pPr>
        <w:spacing w:line="360" w:lineRule="auto"/>
        <w:ind w:right="-93"/>
        <w:jc w:val="both"/>
        <w:rPr>
          <w:rFonts w:ascii="Palatino Linotype" w:eastAsia="Calibri" w:hAnsi="Palatino Linotype" w:cs="Tahoma"/>
          <w:bCs/>
          <w:iCs/>
          <w:sz w:val="22"/>
          <w:szCs w:val="22"/>
          <w:lang w:val="es-ES" w:eastAsia="en-US"/>
        </w:rPr>
      </w:pPr>
    </w:p>
    <w:p w14:paraId="06526C06" w14:textId="77777777" w:rsidR="00CD7DE8" w:rsidRPr="00CD7DE8" w:rsidRDefault="00CD7DE8" w:rsidP="00CD7DE8">
      <w:pPr>
        <w:spacing w:line="360" w:lineRule="auto"/>
        <w:jc w:val="both"/>
        <w:rPr>
          <w:rFonts w:ascii="Palatino Linotype" w:hAnsi="Palatino Linotype" w:cs="Tahoma"/>
          <w:sz w:val="22"/>
          <w:szCs w:val="22"/>
          <w:lang w:val="es-ES"/>
        </w:rPr>
      </w:pPr>
      <w:r w:rsidRPr="00CD7DE8">
        <w:rPr>
          <w:rFonts w:ascii="Palatino Linotype" w:hAnsi="Palatino Linotype" w:cs="Tahoma"/>
          <w:sz w:val="22"/>
          <w:szCs w:val="22"/>
          <w:lang w:eastAsia="es-MX"/>
        </w:rPr>
        <w:t xml:space="preserve">Al respecto, cabe precisar, que conforme al artículo 20 de la Ley de Transparencia y Acceso a la Información Pública del Estado de México y Municipios, </w:t>
      </w:r>
      <w:r w:rsidRPr="00CD7DE8">
        <w:rPr>
          <w:rFonts w:ascii="Palatino Linotype" w:hAnsi="Palatino Linotype" w:cs="Tahoma"/>
          <w:b/>
          <w:sz w:val="22"/>
          <w:szCs w:val="22"/>
          <w:lang w:eastAsia="es-MX"/>
        </w:rPr>
        <w:t>ante la negativa de acceso a la información o su inexistencia, el sujeto obligado deberá demostrar que encuadra en alguna de las excepciones establecidas en la normatividad aplicable.</w:t>
      </w:r>
    </w:p>
    <w:p w14:paraId="2306DF19" w14:textId="77777777" w:rsidR="00CD7DE8" w:rsidRPr="00CD7DE8" w:rsidRDefault="00CD7DE8" w:rsidP="00CD7DE8">
      <w:pPr>
        <w:spacing w:line="360" w:lineRule="auto"/>
        <w:jc w:val="both"/>
        <w:rPr>
          <w:rFonts w:ascii="Palatino Linotype" w:hAnsi="Palatino Linotype" w:cs="Tahoma"/>
          <w:sz w:val="22"/>
          <w:szCs w:val="22"/>
          <w:lang w:eastAsia="es-MX"/>
        </w:rPr>
      </w:pPr>
    </w:p>
    <w:p w14:paraId="59A98F68" w14:textId="77777777" w:rsidR="00CD7DE8" w:rsidRPr="00CD7DE8" w:rsidRDefault="00CD7DE8" w:rsidP="00CD7DE8">
      <w:pPr>
        <w:spacing w:line="360" w:lineRule="auto"/>
        <w:jc w:val="both"/>
        <w:rPr>
          <w:rFonts w:ascii="Palatino Linotype" w:hAnsi="Palatino Linotype" w:cs="Arial"/>
          <w:bCs/>
          <w:sz w:val="22"/>
          <w:szCs w:val="22"/>
        </w:rPr>
      </w:pPr>
      <w:r w:rsidRPr="00CD7DE8">
        <w:rPr>
          <w:rFonts w:ascii="Palatino Linotype" w:hAnsi="Palatino Linotype" w:cs="Arial"/>
          <w:bCs/>
          <w:sz w:val="22"/>
          <w:szCs w:val="22"/>
        </w:rPr>
        <w:t xml:space="preserve">En ese sentido, según Trujillo, Humberto (2019), en el “Diccionario de Transparencia y Acceso a la Información Pública” (p. 201), </w:t>
      </w:r>
      <w:r w:rsidRPr="00CD7DE8">
        <w:rPr>
          <w:rFonts w:ascii="Palatino Linotype" w:hAnsi="Palatino Linotype" w:cs="Arial"/>
          <w:b/>
          <w:bCs/>
          <w:sz w:val="22"/>
          <w:szCs w:val="22"/>
        </w:rPr>
        <w:t xml:space="preserve">la negativa de acceso a la información </w:t>
      </w:r>
      <w:r w:rsidRPr="00CD7DE8">
        <w:rPr>
          <w:rFonts w:ascii="Palatino Linotype" w:hAnsi="Palatino Linotype" w:cs="Arial"/>
          <w:bCs/>
          <w:sz w:val="22"/>
          <w:szCs w:val="22"/>
        </w:rPr>
        <w:t xml:space="preserve">ocurre cuanto de </w:t>
      </w:r>
      <w:r w:rsidRPr="00CD7DE8">
        <w:rPr>
          <w:rFonts w:ascii="Palatino Linotype" w:hAnsi="Palatino Linotype" w:cs="Arial"/>
          <w:bCs/>
          <w:sz w:val="22"/>
          <w:szCs w:val="22"/>
        </w:rPr>
        <w:lastRenderedPageBreak/>
        <w:t xml:space="preserve">manera fundada y motivada, una autoridad la niega o la limita, por alguna de las siguientes razones: </w:t>
      </w:r>
    </w:p>
    <w:p w14:paraId="58EF7401" w14:textId="77777777" w:rsidR="00CD7DE8" w:rsidRPr="00CD7DE8" w:rsidRDefault="00CD7DE8" w:rsidP="00CD7DE8">
      <w:pPr>
        <w:spacing w:line="360" w:lineRule="auto"/>
        <w:jc w:val="both"/>
        <w:rPr>
          <w:rFonts w:ascii="Palatino Linotype" w:hAnsi="Palatino Linotype" w:cs="Arial"/>
          <w:bCs/>
          <w:sz w:val="22"/>
          <w:szCs w:val="22"/>
        </w:rPr>
      </w:pPr>
    </w:p>
    <w:p w14:paraId="7542216D" w14:textId="77777777" w:rsidR="00CD7DE8" w:rsidRPr="00CD7DE8" w:rsidRDefault="00CD7DE8" w:rsidP="00CD7DE8">
      <w:pPr>
        <w:numPr>
          <w:ilvl w:val="0"/>
          <w:numId w:val="26"/>
        </w:numPr>
        <w:spacing w:line="360" w:lineRule="auto"/>
        <w:contextualSpacing/>
        <w:jc w:val="both"/>
        <w:rPr>
          <w:rFonts w:ascii="Palatino Linotype" w:hAnsi="Palatino Linotype" w:cs="Arial"/>
          <w:b/>
          <w:bCs/>
          <w:sz w:val="22"/>
          <w:szCs w:val="22"/>
        </w:rPr>
      </w:pPr>
      <w:r w:rsidRPr="00CD7DE8">
        <w:rPr>
          <w:rFonts w:ascii="Palatino Linotype" w:hAnsi="Palatino Linotype" w:cs="Arial"/>
          <w:b/>
          <w:bCs/>
          <w:sz w:val="22"/>
          <w:szCs w:val="22"/>
        </w:rPr>
        <w:t xml:space="preserve">La inexistencia de la información (p. 171): </w:t>
      </w:r>
      <w:r w:rsidRPr="00CD7DE8">
        <w:rPr>
          <w:rFonts w:ascii="Palatino Linotype" w:hAnsi="Palatino Linotype" w:cs="Arial"/>
          <w:bCs/>
          <w:sz w:val="22"/>
          <w:szCs w:val="22"/>
        </w:rPr>
        <w:t>Sucede cuando la información solicitada no se encuentra en los archivos públicos o clasificado de los entes sujetos a las Leyes de Transparencia;</w:t>
      </w:r>
    </w:p>
    <w:p w14:paraId="0509555A" w14:textId="77777777" w:rsidR="00CD7DE8" w:rsidRPr="00CD7DE8" w:rsidRDefault="00CD7DE8" w:rsidP="00CD7DE8">
      <w:pPr>
        <w:spacing w:line="360" w:lineRule="auto"/>
        <w:ind w:left="720"/>
        <w:contextualSpacing/>
        <w:jc w:val="both"/>
        <w:rPr>
          <w:rFonts w:ascii="Palatino Linotype" w:hAnsi="Palatino Linotype" w:cs="Arial"/>
          <w:b/>
          <w:bCs/>
          <w:sz w:val="22"/>
          <w:szCs w:val="22"/>
        </w:rPr>
      </w:pPr>
    </w:p>
    <w:p w14:paraId="521C0FD2" w14:textId="77777777" w:rsidR="00CD7DE8" w:rsidRPr="00CD7DE8" w:rsidRDefault="00CD7DE8" w:rsidP="00CD7DE8">
      <w:pPr>
        <w:numPr>
          <w:ilvl w:val="0"/>
          <w:numId w:val="26"/>
        </w:numPr>
        <w:spacing w:line="360" w:lineRule="auto"/>
        <w:contextualSpacing/>
        <w:jc w:val="both"/>
        <w:rPr>
          <w:rFonts w:ascii="Palatino Linotype" w:hAnsi="Palatino Linotype" w:cs="Arial"/>
          <w:b/>
          <w:bCs/>
          <w:sz w:val="22"/>
          <w:szCs w:val="22"/>
        </w:rPr>
      </w:pPr>
      <w:r w:rsidRPr="00CD7DE8">
        <w:rPr>
          <w:rFonts w:ascii="Palatino Linotype" w:hAnsi="Palatino Linotype" w:cs="Arial"/>
          <w:b/>
          <w:bCs/>
          <w:sz w:val="22"/>
          <w:szCs w:val="22"/>
        </w:rPr>
        <w:t xml:space="preserve">La incompetencia del Sujeto Obligado (p. 171): </w:t>
      </w:r>
      <w:r w:rsidRPr="00CD7DE8">
        <w:rPr>
          <w:rFonts w:ascii="Palatino Linotype" w:hAnsi="Palatino Linotype" w:cs="Arial"/>
          <w:bCs/>
          <w:sz w:val="22"/>
          <w:szCs w:val="22"/>
        </w:rPr>
        <w:t>Ocurre cuando el Sujeto Obligado carece de atribuciones para poseer la información peticionada, y</w:t>
      </w:r>
    </w:p>
    <w:p w14:paraId="1997D8FD" w14:textId="77777777" w:rsidR="00CD7DE8" w:rsidRPr="00CD7DE8" w:rsidRDefault="00CD7DE8" w:rsidP="00CD7DE8">
      <w:pPr>
        <w:spacing w:line="360" w:lineRule="auto"/>
        <w:ind w:left="720"/>
        <w:contextualSpacing/>
        <w:rPr>
          <w:rFonts w:ascii="Palatino Linotype" w:hAnsi="Palatino Linotype" w:cs="Arial"/>
          <w:b/>
          <w:bCs/>
          <w:sz w:val="22"/>
          <w:szCs w:val="22"/>
        </w:rPr>
      </w:pPr>
    </w:p>
    <w:p w14:paraId="716C1263" w14:textId="77777777" w:rsidR="00CD7DE8" w:rsidRPr="00CD7DE8" w:rsidRDefault="00CD7DE8" w:rsidP="00CD7DE8">
      <w:pPr>
        <w:numPr>
          <w:ilvl w:val="0"/>
          <w:numId w:val="26"/>
        </w:numPr>
        <w:spacing w:line="360" w:lineRule="auto"/>
        <w:contextualSpacing/>
        <w:jc w:val="both"/>
        <w:rPr>
          <w:rFonts w:ascii="Palatino Linotype" w:hAnsi="Palatino Linotype" w:cs="Arial"/>
          <w:b/>
          <w:bCs/>
          <w:sz w:val="22"/>
          <w:szCs w:val="22"/>
        </w:rPr>
      </w:pPr>
      <w:r w:rsidRPr="00CD7DE8">
        <w:rPr>
          <w:rFonts w:ascii="Palatino Linotype" w:hAnsi="Palatino Linotype" w:cs="Arial"/>
          <w:b/>
          <w:bCs/>
          <w:sz w:val="22"/>
          <w:szCs w:val="22"/>
        </w:rPr>
        <w:t xml:space="preserve">La clasificación de la información (p. 70): </w:t>
      </w:r>
      <w:r w:rsidRPr="00CD7DE8">
        <w:rPr>
          <w:rFonts w:ascii="Palatino Linotype" w:hAnsi="Palatino Linotype" w:cs="Arial"/>
          <w:bCs/>
          <w:sz w:val="22"/>
          <w:szCs w:val="22"/>
        </w:rPr>
        <w:t>Es el proceso o conjunto de acciones que realizan los sujetos obligados para establecer que determinada información se encuentra en alguno de los supuestos de reserva o confidencialidad establecidos en la legislación en materia de transparencia.</w:t>
      </w:r>
    </w:p>
    <w:p w14:paraId="5A0A4DCF" w14:textId="77777777" w:rsidR="00CD7DE8" w:rsidRPr="00CD7DE8" w:rsidRDefault="00CD7DE8" w:rsidP="00CD7DE8">
      <w:pPr>
        <w:spacing w:line="360" w:lineRule="auto"/>
        <w:jc w:val="both"/>
        <w:rPr>
          <w:rFonts w:ascii="Palatino Linotype" w:hAnsi="Palatino Linotype" w:cs="Tahoma"/>
          <w:sz w:val="22"/>
          <w:szCs w:val="22"/>
          <w:lang w:eastAsia="es-MX"/>
        </w:rPr>
      </w:pPr>
    </w:p>
    <w:p w14:paraId="5857E320" w14:textId="77777777" w:rsidR="00CD7DE8" w:rsidRPr="00CD7DE8" w:rsidRDefault="00CD7DE8" w:rsidP="00CD7DE8">
      <w:pPr>
        <w:spacing w:line="360" w:lineRule="auto"/>
        <w:jc w:val="both"/>
        <w:rPr>
          <w:rFonts w:ascii="Palatino Linotype" w:hAnsi="Palatino Linotype" w:cs="Tahoma"/>
          <w:bCs/>
          <w:iCs/>
          <w:sz w:val="22"/>
          <w:szCs w:val="22"/>
          <w:lang w:val="es-ES" w:eastAsia="es-MX"/>
        </w:rPr>
      </w:pPr>
      <w:r w:rsidRPr="00CD7DE8">
        <w:rPr>
          <w:rFonts w:ascii="Palatino Linotype" w:hAnsi="Palatino Linotype" w:cs="Tahoma"/>
          <w:sz w:val="22"/>
          <w:szCs w:val="22"/>
          <w:lang w:eastAsia="es-MX"/>
        </w:rPr>
        <w:t>En ese orden de ideas y en atención a lo anterior, es de señalar que l</w:t>
      </w:r>
      <w:r w:rsidRPr="00CD7DE8">
        <w:rPr>
          <w:rFonts w:ascii="Palatino Linotype" w:hAnsi="Palatino Linotype" w:cs="Tahoma"/>
          <w:sz w:val="22"/>
          <w:szCs w:val="22"/>
          <w:lang w:val="es-ES" w:eastAsia="es-MX"/>
        </w:rPr>
        <w:t xml:space="preserve">as </w:t>
      </w:r>
      <w:r w:rsidRPr="00CD7DE8">
        <w:rPr>
          <w:rFonts w:ascii="Palatino Linotype" w:hAnsi="Palatino Linotype" w:cs="Tahoma"/>
          <w:bCs/>
          <w:iCs/>
          <w:sz w:val="22"/>
          <w:szCs w:val="22"/>
          <w:lang w:val="es-ES" w:eastAsia="es-MX"/>
        </w:rPr>
        <w:t xml:space="preserve">excepciones al derecho de acceso a la información, consisten en que la documentación sea inexistente, </w:t>
      </w:r>
      <w:r w:rsidRPr="00CD7DE8">
        <w:rPr>
          <w:rFonts w:ascii="Palatino Linotype" w:hAnsi="Palatino Linotype" w:cs="Tahoma"/>
          <w:b/>
          <w:bCs/>
          <w:iCs/>
          <w:sz w:val="22"/>
          <w:szCs w:val="22"/>
          <w:lang w:val="es-ES" w:eastAsia="es-MX"/>
        </w:rPr>
        <w:t>se encuentre clasificada</w:t>
      </w:r>
      <w:r w:rsidRPr="00CD7DE8">
        <w:rPr>
          <w:rFonts w:ascii="Palatino Linotype" w:hAnsi="Palatino Linotype" w:cs="Tahoma"/>
          <w:bCs/>
          <w:iCs/>
          <w:sz w:val="22"/>
          <w:szCs w:val="22"/>
          <w:lang w:val="es-ES" w:eastAsia="es-MX"/>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CD7DE8">
        <w:rPr>
          <w:rFonts w:ascii="Palatino Linotype" w:hAnsi="Palatino Linotype" w:cs="Tahoma"/>
          <w:b/>
          <w:bCs/>
          <w:iCs/>
          <w:sz w:val="22"/>
          <w:szCs w:val="22"/>
          <w:lang w:val="es-ES" w:eastAsia="es-MX"/>
        </w:rPr>
        <w:t>confidenciales o reservados.</w:t>
      </w:r>
    </w:p>
    <w:p w14:paraId="3EB1362A" w14:textId="77777777" w:rsidR="00CD7DE8" w:rsidRPr="00CD7DE8" w:rsidRDefault="00CD7DE8" w:rsidP="00CD7DE8">
      <w:pPr>
        <w:spacing w:line="360" w:lineRule="auto"/>
        <w:ind w:right="-93"/>
        <w:jc w:val="both"/>
        <w:rPr>
          <w:rFonts w:ascii="Palatino Linotype" w:hAnsi="Palatino Linotype" w:cs="Tahoma"/>
          <w:b/>
          <w:sz w:val="22"/>
          <w:szCs w:val="22"/>
        </w:rPr>
      </w:pPr>
    </w:p>
    <w:p w14:paraId="2F77C68B" w14:textId="77777777" w:rsidR="00CD7DE8" w:rsidRPr="00CD7DE8" w:rsidRDefault="00CD7DE8" w:rsidP="00CD7DE8">
      <w:pPr>
        <w:spacing w:line="360" w:lineRule="auto"/>
        <w:jc w:val="both"/>
        <w:rPr>
          <w:rFonts w:ascii="Palatino Linotype" w:hAnsi="Palatino Linotype" w:cs="Tahoma"/>
          <w:sz w:val="22"/>
          <w:szCs w:val="22"/>
          <w:lang w:val="es-ES" w:eastAsia="es-MX"/>
        </w:rPr>
      </w:pPr>
      <w:r w:rsidRPr="00CD7DE8">
        <w:rPr>
          <w:rFonts w:ascii="Palatino Linotype" w:hAnsi="Palatino Linotype" w:cs="Tahoma"/>
          <w:sz w:val="22"/>
          <w:szCs w:val="22"/>
          <w:lang w:eastAsia="es-MX"/>
        </w:rPr>
        <w:t xml:space="preserve">Así, en los artículos 122, 128 y 130 de la Ley de la materia, se prevé que </w:t>
      </w:r>
      <w:r w:rsidRPr="00CD7DE8">
        <w:rPr>
          <w:rFonts w:ascii="Palatino Linotype" w:hAnsi="Palatino Linotype" w:cs="Tahoma"/>
          <w:b/>
          <w:sz w:val="22"/>
          <w:szCs w:val="22"/>
          <w:lang w:eastAsia="es-MX"/>
        </w:rPr>
        <w:t xml:space="preserve">la clasificación </w:t>
      </w:r>
      <w:r w:rsidRPr="00CD7DE8">
        <w:rPr>
          <w:rFonts w:ascii="Palatino Linotype" w:hAnsi="Palatino Linotype" w:cs="Tahoma"/>
          <w:sz w:val="22"/>
          <w:szCs w:val="22"/>
          <w:lang w:eastAsia="es-MX"/>
        </w:rPr>
        <w:t xml:space="preserve">es el proceso mediante el cual los sujetos obligados determinan que la información en su poder, actualiza alguno de los supuestos de reserva o confidencialidad. </w:t>
      </w:r>
      <w:r w:rsidRPr="00CD7DE8">
        <w:rPr>
          <w:rFonts w:ascii="Palatino Linotype" w:hAnsi="Palatino Linotype" w:cs="Tahoma"/>
          <w:sz w:val="22"/>
          <w:szCs w:val="22"/>
          <w:lang w:val="es-ES" w:eastAsia="es-MX"/>
        </w:rPr>
        <w:t xml:space="preserve">Además, que dichos entes </w:t>
      </w:r>
      <w:r w:rsidRPr="00CD7DE8">
        <w:rPr>
          <w:rFonts w:ascii="Palatino Linotype" w:hAnsi="Palatino Linotype" w:cs="Tahoma"/>
          <w:sz w:val="22"/>
          <w:szCs w:val="22"/>
          <w:lang w:val="es-ES" w:eastAsia="es-MX"/>
        </w:rPr>
        <w:lastRenderedPageBreak/>
        <w:t>deberán aplicar de manera restrictiva y limitada, las excepciones al derecho de acceso a la información, por lo que, tendrán que acreditar la procedencia.</w:t>
      </w:r>
    </w:p>
    <w:p w14:paraId="2108A1CF" w14:textId="77777777" w:rsidR="00CD7DE8" w:rsidRPr="00CD7DE8" w:rsidRDefault="00CD7DE8" w:rsidP="00CD7DE8">
      <w:pPr>
        <w:spacing w:line="360" w:lineRule="auto"/>
        <w:jc w:val="both"/>
        <w:rPr>
          <w:rFonts w:ascii="Palatino Linotype" w:hAnsi="Palatino Linotype" w:cs="Tahoma"/>
          <w:sz w:val="22"/>
          <w:szCs w:val="22"/>
          <w:lang w:eastAsia="es-MX"/>
        </w:rPr>
      </w:pPr>
    </w:p>
    <w:p w14:paraId="63343779" w14:textId="77777777" w:rsidR="00CD7DE8" w:rsidRPr="00CD7DE8" w:rsidRDefault="00CD7DE8" w:rsidP="00CD7DE8">
      <w:pPr>
        <w:spacing w:line="360" w:lineRule="auto"/>
        <w:jc w:val="both"/>
        <w:rPr>
          <w:rFonts w:ascii="Palatino Linotype" w:hAnsi="Palatino Linotype" w:cs="Tahoma"/>
          <w:sz w:val="22"/>
          <w:szCs w:val="22"/>
          <w:lang w:val="es-ES" w:eastAsia="es-MX"/>
        </w:rPr>
      </w:pPr>
      <w:r w:rsidRPr="00CD7DE8">
        <w:rPr>
          <w:rFonts w:ascii="Palatino Linotype" w:hAnsi="Palatino Linotype" w:cs="Tahoma"/>
          <w:sz w:val="22"/>
          <w:szCs w:val="22"/>
          <w:lang w:val="es-ES" w:eastAsia="es-MX"/>
        </w:rPr>
        <w:t xml:space="preserve">Por lo cual, en los casos en que se niegue el acceso a la información, por actualizarse alguno de los supuestos de clasificación, </w:t>
      </w:r>
      <w:r w:rsidRPr="00CD7DE8">
        <w:rPr>
          <w:rFonts w:ascii="Palatino Linotype" w:hAnsi="Palatino Linotype" w:cs="Tahoma"/>
          <w:b/>
          <w:sz w:val="22"/>
          <w:szCs w:val="22"/>
          <w:lang w:val="es-ES" w:eastAsia="es-MX"/>
        </w:rPr>
        <w:t xml:space="preserve">el Comité de Transparencia deberá confirmar, modificar o revocar la decisión; </w:t>
      </w:r>
      <w:r w:rsidRPr="00CD7DE8">
        <w:rPr>
          <w:rFonts w:ascii="Palatino Linotype" w:hAnsi="Palatino Linotype" w:cs="Tahoma"/>
          <w:sz w:val="22"/>
          <w:szCs w:val="22"/>
          <w:lang w:val="es-ES" w:eastAsia="es-MX"/>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6540FC6A" w14:textId="77777777" w:rsidR="00CD7DE8" w:rsidRPr="00CD7DE8" w:rsidRDefault="00CD7DE8" w:rsidP="00CD7DE8">
      <w:pPr>
        <w:spacing w:line="360" w:lineRule="auto"/>
        <w:jc w:val="both"/>
        <w:rPr>
          <w:rFonts w:ascii="Palatino Linotype" w:hAnsi="Palatino Linotype" w:cs="Tahoma"/>
          <w:sz w:val="22"/>
          <w:szCs w:val="22"/>
          <w:lang w:val="es-ES" w:eastAsia="es-MX"/>
        </w:rPr>
      </w:pPr>
    </w:p>
    <w:p w14:paraId="09205816" w14:textId="77777777" w:rsidR="00CD7DE8" w:rsidRPr="00CD7DE8" w:rsidRDefault="00CD7DE8" w:rsidP="00CD7DE8">
      <w:pPr>
        <w:spacing w:line="360" w:lineRule="auto"/>
        <w:jc w:val="both"/>
        <w:rPr>
          <w:rFonts w:ascii="Palatino Linotype" w:hAnsi="Palatino Linotype" w:cs="Arial"/>
          <w:b/>
          <w:bCs/>
          <w:sz w:val="22"/>
          <w:szCs w:val="22"/>
        </w:rPr>
      </w:pPr>
      <w:r w:rsidRPr="00CD7DE8">
        <w:rPr>
          <w:rFonts w:ascii="Palatino Linotype" w:hAnsi="Palatino Linotype" w:cs="Tahoma"/>
          <w:sz w:val="22"/>
          <w:szCs w:val="22"/>
          <w:lang w:val="es-ES"/>
        </w:rPr>
        <w:t xml:space="preserve">Por su parte, </w:t>
      </w:r>
      <w:r w:rsidRPr="00CD7DE8">
        <w:rPr>
          <w:rFonts w:ascii="Palatino Linotype" w:hAnsi="Palatino Linotype" w:cs="Arial"/>
          <w:bCs/>
          <w:sz w:val="22"/>
          <w:szCs w:val="22"/>
        </w:rPr>
        <w:t xml:space="preserve">según Bonifaz, Leticia (2016), en la “Ley General de Transparencia y Acceso a la Información Pública Comentada” (p. 342), la </w:t>
      </w:r>
      <w:r w:rsidRPr="00CD7DE8">
        <w:rPr>
          <w:rFonts w:ascii="Palatino Linotype" w:hAnsi="Palatino Linotype" w:cs="Arial"/>
          <w:b/>
          <w:bCs/>
          <w:sz w:val="22"/>
          <w:szCs w:val="22"/>
        </w:rPr>
        <w:t>clasificación de la información</w:t>
      </w:r>
      <w:r w:rsidRPr="00CD7DE8">
        <w:rPr>
          <w:rFonts w:ascii="Palatino Linotype" w:hAnsi="Palatino Linotype" w:cs="Arial"/>
          <w:bCs/>
          <w:sz w:val="22"/>
          <w:szCs w:val="22"/>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CD7DE8">
        <w:rPr>
          <w:rFonts w:ascii="Palatino Linotype" w:hAnsi="Palatino Linotype" w:cs="Arial"/>
          <w:b/>
          <w:bCs/>
          <w:sz w:val="22"/>
          <w:szCs w:val="22"/>
        </w:rPr>
        <w:t>de manera adecuada la negativa de información.</w:t>
      </w:r>
    </w:p>
    <w:p w14:paraId="38DFF4D9" w14:textId="77777777" w:rsidR="00CD7DE8" w:rsidRPr="00CD7DE8" w:rsidRDefault="00CD7DE8" w:rsidP="00CD7DE8">
      <w:pPr>
        <w:spacing w:line="360" w:lineRule="auto"/>
        <w:jc w:val="both"/>
        <w:rPr>
          <w:rFonts w:ascii="Palatino Linotype" w:eastAsia="Calibri" w:hAnsi="Palatino Linotype" w:cs="Tahoma"/>
          <w:bCs/>
          <w:sz w:val="22"/>
          <w:szCs w:val="22"/>
          <w:lang w:eastAsia="en-US"/>
        </w:rPr>
      </w:pPr>
    </w:p>
    <w:p w14:paraId="02C0ECCC" w14:textId="77777777" w:rsidR="00CD7DE8" w:rsidRPr="00CD7DE8" w:rsidRDefault="00CD7DE8" w:rsidP="00CD7DE8">
      <w:pPr>
        <w:spacing w:line="360" w:lineRule="auto"/>
        <w:jc w:val="both"/>
        <w:rPr>
          <w:rFonts w:ascii="Palatino Linotype" w:eastAsia="Calibri" w:hAnsi="Palatino Linotype" w:cs="Tahoma"/>
          <w:bCs/>
          <w:sz w:val="22"/>
          <w:szCs w:val="22"/>
          <w:lang w:eastAsia="en-US"/>
        </w:rPr>
      </w:pPr>
      <w:r w:rsidRPr="00CD7DE8">
        <w:rPr>
          <w:rFonts w:ascii="Palatino Linotype" w:eastAsia="Calibri" w:hAnsi="Palatino Linotype" w:cs="Tahoma"/>
          <w:bCs/>
          <w:sz w:val="22"/>
          <w:szCs w:val="22"/>
          <w:lang w:eastAsia="en-US"/>
        </w:rPr>
        <w:t xml:space="preserve">Conforme a lo anterior, en el presente caso, el Ayuntamiento de San Antonio la Isla, </w:t>
      </w:r>
      <w:r w:rsidRPr="00CD7DE8">
        <w:rPr>
          <w:rFonts w:ascii="Palatino Linotype" w:hAnsi="Palatino Linotype" w:cs="Tahoma"/>
          <w:sz w:val="22"/>
          <w:szCs w:val="22"/>
          <w:lang w:eastAsia="es-MX"/>
        </w:rPr>
        <w:t>no señaló que era inexistente la información; al contrario, precisó que no podía proporcionarla al ser reservada; esto es, aludió a una clasificación; al respecto</w:t>
      </w:r>
      <w:r w:rsidRPr="00CD7DE8">
        <w:rPr>
          <w:rFonts w:ascii="Palatino Linotype" w:eastAsia="Calibri" w:hAnsi="Palatino Linotype" w:cs="Tahoma"/>
          <w:bCs/>
          <w:sz w:val="22"/>
          <w:szCs w:val="22"/>
          <w:lang w:eastAsia="en-US"/>
        </w:rPr>
        <w:t>, el Criterio 29/10, emitido por el Pleno del entonces Instituto Federal de Acceso a la Información y Protección de Datos, precisa lo siguiente:</w:t>
      </w:r>
    </w:p>
    <w:p w14:paraId="3E48F7EB" w14:textId="77777777" w:rsidR="00CD7DE8" w:rsidRPr="00CD7DE8" w:rsidRDefault="00CD7DE8" w:rsidP="00CD7DE8">
      <w:pPr>
        <w:spacing w:line="360" w:lineRule="auto"/>
        <w:jc w:val="both"/>
        <w:rPr>
          <w:rFonts w:ascii="Palatino Linotype" w:eastAsia="Calibri" w:hAnsi="Palatino Linotype" w:cs="Tahoma"/>
          <w:bCs/>
          <w:sz w:val="22"/>
          <w:szCs w:val="22"/>
          <w:lang w:eastAsia="en-US"/>
        </w:rPr>
      </w:pPr>
    </w:p>
    <w:p w14:paraId="105BD9DA" w14:textId="77777777" w:rsidR="00CD7DE8" w:rsidRPr="00CD7DE8" w:rsidRDefault="00CD7DE8" w:rsidP="00CD7DE8">
      <w:pPr>
        <w:spacing w:line="360" w:lineRule="auto"/>
        <w:ind w:left="567" w:right="567"/>
        <w:jc w:val="both"/>
        <w:rPr>
          <w:rFonts w:ascii="Palatino Linotype" w:eastAsia="Calibri" w:hAnsi="Palatino Linotype" w:cs="Tahoma"/>
          <w:bCs/>
          <w:i/>
          <w:szCs w:val="22"/>
          <w:lang w:eastAsia="en-US"/>
        </w:rPr>
      </w:pPr>
      <w:r w:rsidRPr="00CD7DE8">
        <w:rPr>
          <w:rFonts w:ascii="Palatino Linotype" w:eastAsia="Calibri" w:hAnsi="Palatino Linotype" w:cs="Tahoma"/>
          <w:b/>
          <w:bCs/>
          <w:i/>
          <w:szCs w:val="22"/>
          <w:lang w:eastAsia="en-US"/>
        </w:rPr>
        <w:t>“La clasificación y la inexistencia de información son conceptos que no pueden coexistir.</w:t>
      </w:r>
      <w:r w:rsidRPr="00CD7DE8">
        <w:rPr>
          <w:rFonts w:ascii="Palatino Linotype" w:eastAsia="Calibri" w:hAnsi="Palatino Linotype" w:cs="Tahoma"/>
          <w:bCs/>
          <w:i/>
          <w:szCs w:val="22"/>
          <w:lang w:eastAsia="en-US"/>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w:t>
      </w:r>
      <w:r w:rsidRPr="00CD7DE8">
        <w:rPr>
          <w:rFonts w:ascii="Palatino Linotype" w:eastAsia="Calibri" w:hAnsi="Palatino Linotype" w:cs="Tahoma"/>
          <w:bCs/>
          <w:i/>
          <w:szCs w:val="22"/>
          <w:lang w:eastAsia="en-US"/>
        </w:rPr>
        <w:lastRenderedPageBreak/>
        <w:t>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2EC144C2" w14:textId="77777777" w:rsidR="00CD7DE8" w:rsidRPr="00CD7DE8" w:rsidRDefault="00CD7DE8" w:rsidP="00CD7DE8">
      <w:pPr>
        <w:spacing w:line="360" w:lineRule="auto"/>
        <w:rPr>
          <w:rFonts w:ascii="Palatino Linotype" w:eastAsia="Calibri" w:hAnsi="Palatino Linotype" w:cs="Tahoma"/>
          <w:bCs/>
          <w:sz w:val="22"/>
          <w:szCs w:val="22"/>
          <w:lang w:eastAsia="en-US"/>
        </w:rPr>
      </w:pPr>
    </w:p>
    <w:p w14:paraId="477781AB" w14:textId="77777777" w:rsidR="00CD7DE8" w:rsidRPr="00CD7DE8" w:rsidRDefault="00CD7DE8" w:rsidP="00CD7DE8">
      <w:pPr>
        <w:spacing w:line="360" w:lineRule="auto"/>
        <w:jc w:val="both"/>
        <w:rPr>
          <w:rFonts w:ascii="Palatino Linotype" w:eastAsia="Calibri" w:hAnsi="Palatino Linotype" w:cs="Tahoma"/>
          <w:bCs/>
          <w:sz w:val="22"/>
          <w:szCs w:val="22"/>
          <w:lang w:eastAsia="en-US"/>
        </w:rPr>
      </w:pPr>
      <w:r w:rsidRPr="00CD7DE8">
        <w:rPr>
          <w:rFonts w:ascii="Palatino Linotype" w:eastAsia="Calibri" w:hAnsi="Palatino Linotype" w:cs="Tahoma"/>
          <w:bCs/>
          <w:sz w:val="22"/>
          <w:szCs w:val="22"/>
          <w:lang w:eastAsia="en-US"/>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4EB669FE" w14:textId="77777777" w:rsidR="00CD7DE8" w:rsidRPr="00CD7DE8" w:rsidRDefault="00CD7DE8" w:rsidP="00CD7DE8">
      <w:pPr>
        <w:spacing w:line="360" w:lineRule="auto"/>
        <w:jc w:val="both"/>
        <w:rPr>
          <w:rFonts w:ascii="Palatino Linotype" w:eastAsia="Calibri" w:hAnsi="Palatino Linotype" w:cs="Tahoma"/>
          <w:bCs/>
          <w:sz w:val="22"/>
          <w:szCs w:val="22"/>
          <w:lang w:eastAsia="en-US"/>
        </w:rPr>
      </w:pPr>
    </w:p>
    <w:p w14:paraId="470D0C31" w14:textId="77777777" w:rsidR="00CD7DE8" w:rsidRPr="00CD7DE8" w:rsidRDefault="00CD7DE8" w:rsidP="00CD7DE8">
      <w:pPr>
        <w:spacing w:line="360" w:lineRule="auto"/>
        <w:jc w:val="both"/>
        <w:rPr>
          <w:rFonts w:ascii="Palatino Linotype" w:eastAsia="Calibri" w:hAnsi="Palatino Linotype" w:cs="Tahoma"/>
          <w:bCs/>
          <w:sz w:val="22"/>
          <w:szCs w:val="22"/>
          <w:lang w:eastAsia="en-US"/>
        </w:rPr>
      </w:pPr>
      <w:r w:rsidRPr="00CD7DE8">
        <w:rPr>
          <w:rFonts w:ascii="Palatino Linotype" w:eastAsia="Calibri" w:hAnsi="Palatino Linotype" w:cs="Tahoma"/>
          <w:bCs/>
          <w:sz w:val="22"/>
          <w:szCs w:val="22"/>
          <w:lang w:eastAsia="en-US"/>
        </w:rPr>
        <w:t>Conforme a lo anterior, se negó el acceso a la información peticionada, al considerar que estaba clasificada, pues el Sujeto Obligado aludió a la causal de clasificación establecida en el artículo 143, fracción I, de la Ley de Transparencia y Acceso a la Información Pública del Estado de México y Municipios.</w:t>
      </w:r>
    </w:p>
    <w:p w14:paraId="5A998240" w14:textId="77777777" w:rsidR="00CD7DE8" w:rsidRPr="00CD7DE8" w:rsidRDefault="00CD7DE8" w:rsidP="00CD7DE8">
      <w:pPr>
        <w:spacing w:line="360" w:lineRule="auto"/>
        <w:jc w:val="both"/>
        <w:rPr>
          <w:rFonts w:ascii="Palatino Linotype" w:eastAsia="Calibri" w:hAnsi="Palatino Linotype" w:cs="Tahoma"/>
          <w:bCs/>
          <w:sz w:val="22"/>
          <w:szCs w:val="22"/>
          <w:lang w:eastAsia="en-US"/>
        </w:rPr>
      </w:pPr>
    </w:p>
    <w:p w14:paraId="4E26B1E8" w14:textId="77777777" w:rsidR="00CD7DE8" w:rsidRPr="00CD7DE8" w:rsidRDefault="00CD7DE8" w:rsidP="00CD7DE8">
      <w:pPr>
        <w:spacing w:line="360" w:lineRule="auto"/>
        <w:jc w:val="both"/>
        <w:rPr>
          <w:rFonts w:ascii="Palatino Linotype" w:hAnsi="Palatino Linotype" w:cs="Tahoma"/>
          <w:b/>
          <w:sz w:val="22"/>
          <w:szCs w:val="22"/>
        </w:rPr>
      </w:pPr>
      <w:r w:rsidRPr="00CD7DE8">
        <w:rPr>
          <w:rFonts w:ascii="Palatino Linotype" w:hAnsi="Palatino Linotype" w:cs="Tahoma"/>
          <w:sz w:val="22"/>
          <w:szCs w:val="22"/>
        </w:rPr>
        <w:t xml:space="preserve">En ese sentido, conforme al artículo 108 de la Ley General de Transparencia y Acceso a la Información Pública, el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CD7DE8">
        <w:rPr>
          <w:rFonts w:ascii="Palatino Linotype" w:hAnsi="Palatino Linotype" w:cs="Tahoma"/>
          <w:b/>
          <w:sz w:val="22"/>
          <w:szCs w:val="22"/>
        </w:rPr>
        <w:t>análisis caso por caso.</w:t>
      </w:r>
    </w:p>
    <w:p w14:paraId="0AB180FD" w14:textId="364C8439" w:rsidR="00CD7DE8" w:rsidRPr="00CD7DE8" w:rsidRDefault="00CD7DE8" w:rsidP="00CD7DE8">
      <w:pPr>
        <w:spacing w:line="360" w:lineRule="auto"/>
        <w:jc w:val="both"/>
        <w:rPr>
          <w:rFonts w:ascii="Palatino Linotype" w:hAnsi="Palatino Linotype" w:cs="Tahoma"/>
          <w:sz w:val="22"/>
          <w:szCs w:val="22"/>
        </w:rPr>
      </w:pPr>
      <w:r w:rsidRPr="00CD7DE8">
        <w:rPr>
          <w:rFonts w:ascii="Palatino Linotype" w:hAnsi="Palatino Linotype" w:cs="Tahoma"/>
          <w:sz w:val="22"/>
          <w:szCs w:val="22"/>
        </w:rPr>
        <w:lastRenderedPageBreak/>
        <w:t xml:space="preserve">Además, que la clasificación de la </w:t>
      </w:r>
      <w:r w:rsidR="006353ED" w:rsidRPr="00CD7DE8">
        <w:rPr>
          <w:rFonts w:ascii="Palatino Linotype" w:hAnsi="Palatino Linotype" w:cs="Tahoma"/>
          <w:sz w:val="22"/>
          <w:szCs w:val="22"/>
        </w:rPr>
        <w:t>información</w:t>
      </w:r>
      <w:r w:rsidRPr="00CD7DE8">
        <w:rPr>
          <w:rFonts w:ascii="Palatino Linotype" w:hAnsi="Palatino Linotype" w:cs="Tahoma"/>
          <w:sz w:val="22"/>
          <w:szCs w:val="22"/>
        </w:rPr>
        <w:t xml:space="preserve"> se llevará a cabo, en el momento, en que se reciba una solicitud de acceso a la información, de conformidad con el diverso 106, fracción I de la Ley General de Transparencia y Acceso a la Información Pública, el 132, fracción I de la Ley de Transparencia y Acceso a la Información Pública del Estado de México y Municipios y el Séptimo, fracción I, de los Lineamientos Generales.</w:t>
      </w:r>
    </w:p>
    <w:p w14:paraId="56AE0D80" w14:textId="77777777" w:rsidR="00CD7DE8" w:rsidRPr="00CD7DE8" w:rsidRDefault="00CD7DE8" w:rsidP="00CD7DE8">
      <w:pPr>
        <w:spacing w:line="360" w:lineRule="auto"/>
        <w:jc w:val="both"/>
        <w:rPr>
          <w:rFonts w:ascii="Palatino Linotype" w:hAnsi="Palatino Linotype" w:cs="Tahoma"/>
          <w:b/>
          <w:sz w:val="22"/>
          <w:szCs w:val="22"/>
        </w:rPr>
      </w:pPr>
    </w:p>
    <w:p w14:paraId="6E48CC0D" w14:textId="3866B37A" w:rsidR="00CD7DE8" w:rsidRDefault="00CD7DE8" w:rsidP="00CD7DE8">
      <w:pPr>
        <w:spacing w:line="360" w:lineRule="auto"/>
        <w:jc w:val="both"/>
        <w:rPr>
          <w:rFonts w:ascii="Palatino Linotype" w:hAnsi="Palatino Linotype" w:cs="Tahoma"/>
          <w:sz w:val="22"/>
          <w:szCs w:val="22"/>
        </w:rPr>
      </w:pPr>
      <w:r w:rsidRPr="00CD7DE8">
        <w:rPr>
          <w:rFonts w:ascii="Palatino Linotype" w:hAnsi="Palatino Linotype" w:cs="Tahoma"/>
          <w:sz w:val="22"/>
          <w:szCs w:val="22"/>
        </w:rPr>
        <w:t xml:space="preserve">En ese orden de ideas, el artículo 105 de la Ley de General de Transparencia y Acceso a la Información Pública y 131 de la Ley de Transparencia y Acceso a la Información Pública del Estado de México y Municipios, así como el Quinto de los Lineamientos Generales, establecen que los sujetos obligados </w:t>
      </w:r>
      <w:r w:rsidRPr="00CD7DE8">
        <w:rPr>
          <w:rFonts w:ascii="Palatino Linotype" w:hAnsi="Palatino Linotype" w:cs="Tahoma"/>
          <w:b/>
          <w:sz w:val="22"/>
          <w:szCs w:val="22"/>
        </w:rPr>
        <w:t>deberán fundar y motivar</w:t>
      </w:r>
      <w:r w:rsidRPr="00CD7DE8">
        <w:rPr>
          <w:rFonts w:ascii="Palatino Linotype" w:hAnsi="Palatino Linotype" w:cs="Tahoma"/>
          <w:sz w:val="22"/>
          <w:szCs w:val="22"/>
        </w:rPr>
        <w:t xml:space="preserve"> debidamente la clasificación de la información.</w:t>
      </w:r>
    </w:p>
    <w:p w14:paraId="57001F45" w14:textId="77777777" w:rsidR="006353ED" w:rsidRPr="00CD7DE8" w:rsidRDefault="006353ED" w:rsidP="00CD7DE8">
      <w:pPr>
        <w:spacing w:line="360" w:lineRule="auto"/>
        <w:jc w:val="both"/>
        <w:rPr>
          <w:rFonts w:ascii="Palatino Linotype" w:hAnsi="Palatino Linotype" w:cs="Tahoma"/>
          <w:sz w:val="22"/>
          <w:szCs w:val="22"/>
        </w:rPr>
      </w:pPr>
    </w:p>
    <w:p w14:paraId="79C905C8" w14:textId="77777777" w:rsidR="00CD7DE8" w:rsidRPr="00CD7DE8" w:rsidRDefault="00CD7DE8" w:rsidP="00CD7DE8">
      <w:pPr>
        <w:spacing w:line="360" w:lineRule="auto"/>
        <w:jc w:val="both"/>
        <w:rPr>
          <w:rFonts w:ascii="Palatino Linotype" w:hAnsi="Palatino Linotype" w:cs="Tahoma"/>
          <w:bCs/>
          <w:iCs/>
          <w:sz w:val="22"/>
          <w:szCs w:val="22"/>
        </w:rPr>
      </w:pPr>
      <w:r w:rsidRPr="00CD7DE8">
        <w:rPr>
          <w:rFonts w:ascii="Palatino Linotype" w:hAnsi="Palatino Linotype" w:cs="Tahoma"/>
          <w:sz w:val="22"/>
          <w:szCs w:val="22"/>
        </w:rPr>
        <w:t>Al respecto, e</w:t>
      </w:r>
      <w:r w:rsidRPr="00CD7DE8">
        <w:rPr>
          <w:rFonts w:ascii="Palatino Linotype" w:hAnsi="Palatino Linotype" w:cs="Tahoma"/>
          <w:bCs/>
          <w:iCs/>
          <w:sz w:val="22"/>
          <w:szCs w:val="22"/>
        </w:rPr>
        <w:t>l Octavo de los Lineamientos Generales, precisa lo siguiente:</w:t>
      </w:r>
    </w:p>
    <w:p w14:paraId="2FEFBBA0" w14:textId="77777777" w:rsidR="00CD7DE8" w:rsidRPr="00CD7DE8" w:rsidRDefault="00CD7DE8" w:rsidP="00CD7DE8">
      <w:pPr>
        <w:spacing w:line="360" w:lineRule="auto"/>
        <w:jc w:val="both"/>
        <w:rPr>
          <w:rFonts w:ascii="Palatino Linotype" w:hAnsi="Palatino Linotype" w:cs="Tahoma"/>
          <w:bCs/>
          <w:iCs/>
          <w:sz w:val="22"/>
          <w:szCs w:val="22"/>
        </w:rPr>
      </w:pPr>
    </w:p>
    <w:p w14:paraId="1AFDA73E" w14:textId="77777777" w:rsidR="00CD7DE8" w:rsidRPr="00CD7DE8" w:rsidRDefault="00CD7DE8" w:rsidP="00CD7DE8">
      <w:pPr>
        <w:numPr>
          <w:ilvl w:val="0"/>
          <w:numId w:val="27"/>
        </w:numPr>
        <w:spacing w:line="360" w:lineRule="auto"/>
        <w:jc w:val="both"/>
        <w:rPr>
          <w:rFonts w:ascii="Palatino Linotype" w:hAnsi="Palatino Linotype" w:cs="Tahoma"/>
          <w:bCs/>
          <w:sz w:val="22"/>
          <w:szCs w:val="22"/>
        </w:rPr>
      </w:pPr>
      <w:r w:rsidRPr="00CD7DE8">
        <w:rPr>
          <w:rFonts w:ascii="Palatino Linotype" w:hAnsi="Palatino Linotype" w:cs="Tahoma"/>
          <w:b/>
          <w:bCs/>
          <w:sz w:val="22"/>
          <w:szCs w:val="22"/>
        </w:rPr>
        <w:t>Para fundar la clasificación</w:t>
      </w:r>
      <w:r w:rsidRPr="00CD7DE8">
        <w:rPr>
          <w:rFonts w:ascii="Palatino Linotype" w:hAnsi="Palatino Linotype" w:cs="Tahoma"/>
          <w:bCs/>
          <w:sz w:val="22"/>
          <w:szCs w:val="22"/>
        </w:rPr>
        <w:t xml:space="preserve"> de la información se deberán señalar el artículo, fracción, inciso, párrafo o numeral de la Ley aplicable;</w:t>
      </w:r>
    </w:p>
    <w:p w14:paraId="1005BF42" w14:textId="77777777" w:rsidR="00CD7DE8" w:rsidRPr="00CD7DE8" w:rsidRDefault="00CD7DE8" w:rsidP="00CD7DE8">
      <w:pPr>
        <w:spacing w:line="360" w:lineRule="auto"/>
        <w:jc w:val="both"/>
        <w:rPr>
          <w:rFonts w:ascii="Palatino Linotype" w:hAnsi="Palatino Linotype" w:cs="Tahoma"/>
          <w:bCs/>
          <w:sz w:val="22"/>
          <w:szCs w:val="22"/>
        </w:rPr>
      </w:pPr>
    </w:p>
    <w:p w14:paraId="4786F043" w14:textId="77777777" w:rsidR="00CD7DE8" w:rsidRPr="00CD7DE8" w:rsidRDefault="00CD7DE8" w:rsidP="00CD7DE8">
      <w:pPr>
        <w:numPr>
          <w:ilvl w:val="0"/>
          <w:numId w:val="27"/>
        </w:numPr>
        <w:spacing w:line="360" w:lineRule="auto"/>
        <w:jc w:val="both"/>
        <w:rPr>
          <w:rFonts w:ascii="Palatino Linotype" w:hAnsi="Palatino Linotype" w:cs="Tahoma"/>
          <w:bCs/>
          <w:sz w:val="22"/>
          <w:szCs w:val="22"/>
        </w:rPr>
      </w:pPr>
      <w:r w:rsidRPr="00CD7DE8">
        <w:rPr>
          <w:rFonts w:ascii="Palatino Linotype" w:hAnsi="Palatino Linotype" w:cs="Tahoma"/>
          <w:b/>
          <w:bCs/>
          <w:sz w:val="22"/>
          <w:szCs w:val="22"/>
        </w:rPr>
        <w:t>Para motivar la clasificación</w:t>
      </w:r>
      <w:r w:rsidRPr="00CD7DE8">
        <w:rPr>
          <w:rFonts w:ascii="Palatino Linotype" w:hAnsi="Palatino Linotype" w:cs="Tahoma"/>
          <w:bCs/>
          <w:sz w:val="22"/>
          <w:szCs w:val="22"/>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1EBC1767" w14:textId="77777777" w:rsidR="00CD7DE8" w:rsidRPr="00CD7DE8" w:rsidRDefault="00CD7DE8" w:rsidP="00CD7DE8">
      <w:pPr>
        <w:spacing w:line="360" w:lineRule="auto"/>
        <w:ind w:left="720"/>
        <w:contextualSpacing/>
        <w:rPr>
          <w:rFonts w:ascii="Palatino Linotype" w:hAnsi="Palatino Linotype" w:cs="Tahoma"/>
          <w:bCs/>
          <w:sz w:val="22"/>
          <w:szCs w:val="22"/>
        </w:rPr>
      </w:pPr>
    </w:p>
    <w:p w14:paraId="30DA94D3" w14:textId="77777777" w:rsidR="00CD7DE8" w:rsidRPr="00CD7DE8" w:rsidRDefault="00CD7DE8" w:rsidP="00CD7DE8">
      <w:pPr>
        <w:spacing w:line="360" w:lineRule="auto"/>
        <w:jc w:val="both"/>
        <w:rPr>
          <w:rFonts w:ascii="Palatino Linotype" w:hAnsi="Palatino Linotype" w:cs="Tahoma"/>
          <w:sz w:val="22"/>
          <w:szCs w:val="22"/>
        </w:rPr>
      </w:pPr>
      <w:r w:rsidRPr="00CD7DE8">
        <w:rPr>
          <w:rFonts w:ascii="Palatino Linotype" w:hAnsi="Palatino Linotype" w:cs="Tahoma"/>
          <w:sz w:val="22"/>
          <w:szCs w:val="22"/>
        </w:rPr>
        <w:t xml:space="preserve">Lo anterior, toma sustento en la fracción VII, del artículo 1.8, del Código Administrativo del Estado de México, que establece que todo acto administrativo, </w:t>
      </w:r>
      <w:r w:rsidRPr="00CD7DE8">
        <w:rPr>
          <w:rFonts w:ascii="Palatino Linotype" w:hAnsi="Palatino Linotype" w:cs="Tahoma"/>
          <w:b/>
          <w:sz w:val="22"/>
          <w:szCs w:val="22"/>
        </w:rPr>
        <w:t>debe estar fundado y motivado,</w:t>
      </w:r>
      <w:r w:rsidRPr="00CD7DE8">
        <w:rPr>
          <w:rFonts w:ascii="Palatino Linotype" w:hAnsi="Palatino Linotype" w:cs="Tahoma"/>
          <w:sz w:val="22"/>
          <w:szCs w:val="22"/>
        </w:rPr>
        <w:t xml:space="preserve"> esto es, que contenga con precisión, los preceptos legales aplicables, las </w:t>
      </w:r>
      <w:r w:rsidRPr="00CD7DE8">
        <w:rPr>
          <w:rFonts w:ascii="Palatino Linotype" w:hAnsi="Palatino Linotype" w:cs="Tahoma"/>
          <w:sz w:val="22"/>
          <w:szCs w:val="22"/>
        </w:rPr>
        <w:lastRenderedPageBreak/>
        <w:t>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4C8C244A" w14:textId="77777777" w:rsidR="00CD7DE8" w:rsidRPr="00CD7DE8" w:rsidRDefault="00CD7DE8" w:rsidP="00CD7DE8">
      <w:pPr>
        <w:spacing w:line="360" w:lineRule="auto"/>
        <w:jc w:val="both"/>
        <w:rPr>
          <w:rFonts w:ascii="Palatino Linotype" w:hAnsi="Palatino Linotype" w:cs="Tahoma"/>
          <w:sz w:val="22"/>
          <w:szCs w:val="22"/>
        </w:rPr>
      </w:pPr>
    </w:p>
    <w:p w14:paraId="37590938" w14:textId="77777777" w:rsidR="00CD7DE8" w:rsidRPr="00CD7DE8" w:rsidRDefault="00CD7DE8" w:rsidP="00CD7DE8">
      <w:pPr>
        <w:spacing w:line="360" w:lineRule="auto"/>
        <w:ind w:left="567" w:right="567"/>
        <w:jc w:val="both"/>
        <w:rPr>
          <w:rFonts w:ascii="Palatino Linotype" w:hAnsi="Palatino Linotype" w:cs="Tahoma"/>
          <w:i/>
        </w:rPr>
      </w:pPr>
      <w:r w:rsidRPr="00CD7DE8">
        <w:rPr>
          <w:rFonts w:ascii="Palatino Linotype" w:hAnsi="Palatino Linotype" w:cs="Tahoma"/>
          <w:b/>
          <w:i/>
        </w:rPr>
        <w:t xml:space="preserve">“FUNDAMENTACION Y MOTIVACION, CONCEPTO DE. </w:t>
      </w:r>
      <w:r w:rsidRPr="00CD7DE8">
        <w:rPr>
          <w:rFonts w:ascii="Palatino Linotype" w:hAnsi="Palatino Linotype" w:cs="Tahoma"/>
          <w:i/>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6DC3771E" w14:textId="77777777" w:rsidR="00CD7DE8" w:rsidRPr="00CD7DE8" w:rsidRDefault="00CD7DE8" w:rsidP="00CD7DE8">
      <w:pPr>
        <w:spacing w:line="360" w:lineRule="auto"/>
        <w:jc w:val="both"/>
        <w:rPr>
          <w:rFonts w:ascii="Palatino Linotype" w:hAnsi="Palatino Linotype" w:cs="Tahoma"/>
          <w:sz w:val="22"/>
          <w:szCs w:val="22"/>
        </w:rPr>
      </w:pPr>
    </w:p>
    <w:p w14:paraId="7EBDA890" w14:textId="77777777" w:rsidR="00CD7DE8" w:rsidRPr="00CD7DE8" w:rsidRDefault="00CD7DE8" w:rsidP="00CD7DE8">
      <w:pPr>
        <w:spacing w:line="360" w:lineRule="auto"/>
        <w:jc w:val="both"/>
        <w:rPr>
          <w:rFonts w:ascii="Palatino Linotype" w:hAnsi="Palatino Linotype" w:cs="Tahoma"/>
          <w:sz w:val="22"/>
          <w:szCs w:val="22"/>
        </w:rPr>
      </w:pPr>
      <w:r w:rsidRPr="00CD7DE8">
        <w:rPr>
          <w:rFonts w:ascii="Palatino Linotype" w:hAnsi="Palatino Linotype" w:cs="Tahoma"/>
          <w:sz w:val="22"/>
          <w:szCs w:val="22"/>
        </w:rPr>
        <w:t>Conforme a lo anterior, se advierte lo siguiente:</w:t>
      </w:r>
    </w:p>
    <w:p w14:paraId="4CF8A774" w14:textId="77777777" w:rsidR="00CD7DE8" w:rsidRPr="00CD7DE8" w:rsidRDefault="00CD7DE8" w:rsidP="00CD7DE8">
      <w:pPr>
        <w:spacing w:line="360" w:lineRule="auto"/>
        <w:jc w:val="both"/>
        <w:rPr>
          <w:rFonts w:ascii="Palatino Linotype" w:hAnsi="Palatino Linotype" w:cs="Tahoma"/>
          <w:sz w:val="22"/>
          <w:szCs w:val="22"/>
        </w:rPr>
      </w:pPr>
    </w:p>
    <w:p w14:paraId="7A3CF2D1" w14:textId="77777777" w:rsidR="00CD7DE8" w:rsidRPr="00CD7DE8" w:rsidRDefault="00CD7DE8" w:rsidP="00CD7DE8">
      <w:pPr>
        <w:numPr>
          <w:ilvl w:val="0"/>
          <w:numId w:val="28"/>
        </w:numPr>
        <w:spacing w:line="360" w:lineRule="auto"/>
        <w:jc w:val="both"/>
        <w:rPr>
          <w:rFonts w:ascii="Palatino Linotype" w:hAnsi="Palatino Linotype" w:cs="Tahoma"/>
          <w:b/>
          <w:sz w:val="22"/>
          <w:szCs w:val="22"/>
        </w:rPr>
      </w:pPr>
      <w:r w:rsidRPr="00CD7DE8">
        <w:rPr>
          <w:rFonts w:ascii="Palatino Linotype" w:hAnsi="Palatino Linotype" w:cs="Tahoma"/>
          <w:b/>
          <w:sz w:val="22"/>
          <w:szCs w:val="22"/>
        </w:rPr>
        <w:t xml:space="preserve">Fundamentación: </w:t>
      </w:r>
      <w:r w:rsidRPr="00CD7DE8">
        <w:rPr>
          <w:rFonts w:ascii="Palatino Linotype" w:hAnsi="Palatino Linotype" w:cs="Tahoma"/>
          <w:sz w:val="22"/>
          <w:szCs w:val="22"/>
        </w:rPr>
        <w:t>Obligación de la autoridad que emite un acto, para citar los preceptos legales, sustantivos y adjetivos, en que se apoye para la determinación tomada.</w:t>
      </w:r>
    </w:p>
    <w:p w14:paraId="0F3C286D" w14:textId="77777777" w:rsidR="00CD7DE8" w:rsidRPr="00CD7DE8" w:rsidRDefault="00CD7DE8" w:rsidP="00CD7DE8">
      <w:pPr>
        <w:spacing w:line="360" w:lineRule="auto"/>
        <w:ind w:left="720"/>
        <w:contextualSpacing/>
        <w:jc w:val="both"/>
        <w:rPr>
          <w:rFonts w:ascii="Palatino Linotype" w:hAnsi="Palatino Linotype" w:cs="Tahoma"/>
          <w:b/>
          <w:sz w:val="22"/>
          <w:szCs w:val="22"/>
        </w:rPr>
      </w:pPr>
    </w:p>
    <w:p w14:paraId="11E791AD" w14:textId="77777777" w:rsidR="00CD7DE8" w:rsidRPr="00CD7DE8" w:rsidRDefault="00CD7DE8" w:rsidP="00CD7DE8">
      <w:pPr>
        <w:numPr>
          <w:ilvl w:val="0"/>
          <w:numId w:val="28"/>
        </w:numPr>
        <w:spacing w:line="360" w:lineRule="auto"/>
        <w:jc w:val="both"/>
        <w:rPr>
          <w:rFonts w:ascii="Palatino Linotype" w:hAnsi="Palatino Linotype" w:cs="Tahoma"/>
          <w:b/>
          <w:sz w:val="22"/>
          <w:szCs w:val="22"/>
        </w:rPr>
      </w:pPr>
      <w:r w:rsidRPr="00CD7DE8">
        <w:rPr>
          <w:rFonts w:ascii="Palatino Linotype" w:hAnsi="Palatino Linotype" w:cs="Tahoma"/>
          <w:b/>
          <w:sz w:val="22"/>
          <w:szCs w:val="22"/>
        </w:rPr>
        <w:t xml:space="preserve">Motivación: </w:t>
      </w:r>
      <w:r w:rsidRPr="00CD7DE8">
        <w:rPr>
          <w:rFonts w:ascii="Palatino Linotype" w:hAnsi="Palatino Linotype" w:cs="Tahoma"/>
          <w:sz w:val="22"/>
          <w:szCs w:val="22"/>
        </w:rPr>
        <w:t>Razonamientos lógico-jurídicos sobre porque se consideró en el caso en concreto, que se ajusta a la hipótesis normativa.</w:t>
      </w:r>
    </w:p>
    <w:p w14:paraId="7BCC5689" w14:textId="77777777" w:rsidR="00CD7DE8" w:rsidRPr="00CD7DE8" w:rsidRDefault="00CD7DE8" w:rsidP="00CD7DE8">
      <w:pPr>
        <w:spacing w:line="360" w:lineRule="auto"/>
        <w:jc w:val="both"/>
        <w:rPr>
          <w:rFonts w:ascii="Palatino Linotype" w:hAnsi="Palatino Linotype" w:cs="Tahoma"/>
          <w:sz w:val="22"/>
          <w:szCs w:val="22"/>
          <w:lang w:val="es-ES"/>
        </w:rPr>
      </w:pPr>
    </w:p>
    <w:p w14:paraId="6920CAEA" w14:textId="77777777" w:rsidR="00CD7DE8" w:rsidRPr="00CD7DE8" w:rsidRDefault="00CD7DE8" w:rsidP="00CD7DE8">
      <w:pPr>
        <w:spacing w:line="360" w:lineRule="auto"/>
        <w:jc w:val="both"/>
        <w:rPr>
          <w:rFonts w:ascii="Palatino Linotype" w:hAnsi="Palatino Linotype" w:cs="Tahoma"/>
          <w:sz w:val="22"/>
          <w:szCs w:val="22"/>
          <w:lang w:val="es-ES"/>
        </w:rPr>
      </w:pPr>
      <w:r w:rsidRPr="00CD7DE8">
        <w:rPr>
          <w:rFonts w:ascii="Palatino Linotype" w:hAnsi="Palatino Linotype" w:cs="Tahoma"/>
          <w:sz w:val="22"/>
          <w:szCs w:val="22"/>
          <w:lang w:val="es-ES"/>
        </w:rPr>
        <w:t>Además, el artículo 149 de la Ley de Transparencia y Acceso a la Información Pública del Estado de México y Municipios, establece que el Acuerdo donde se clasifique la información como confidencial, deberá contener los razonamientos lógicos con los que se demuestre que la información se encuentra en alguna de las causales previstas en el artículo 143 de la Ley de la materia.</w:t>
      </w:r>
    </w:p>
    <w:p w14:paraId="1FC3315C" w14:textId="5FC4E030" w:rsidR="009259F1" w:rsidRDefault="00CD7DE8" w:rsidP="009259F1">
      <w:pPr>
        <w:autoSpaceDE w:val="0"/>
        <w:autoSpaceDN w:val="0"/>
        <w:adjustRightInd w:val="0"/>
        <w:spacing w:line="360" w:lineRule="auto"/>
        <w:ind w:right="-28"/>
        <w:jc w:val="both"/>
        <w:rPr>
          <w:rFonts w:ascii="Palatino Linotype" w:hAnsi="Palatino Linotype" w:cs="Tahoma"/>
          <w:sz w:val="22"/>
          <w:szCs w:val="22"/>
        </w:rPr>
      </w:pPr>
      <w:r>
        <w:rPr>
          <w:rFonts w:ascii="Palatino Linotype" w:hAnsi="Palatino Linotype"/>
          <w:sz w:val="22"/>
          <w:szCs w:val="22"/>
        </w:rPr>
        <w:lastRenderedPageBreak/>
        <w:t xml:space="preserve">En ese orden de ideas, cabe precisar que </w:t>
      </w:r>
      <w:r w:rsidR="009259F1">
        <w:rPr>
          <w:rFonts w:ascii="Palatino Linotype" w:hAnsi="Palatino Linotype"/>
          <w:sz w:val="22"/>
          <w:szCs w:val="22"/>
        </w:rPr>
        <w:t xml:space="preserve">el Sujeto Obligado proporcionó la Resolución </w:t>
      </w:r>
      <w:r w:rsidR="009259F1">
        <w:rPr>
          <w:rFonts w:ascii="Palatino Linotype" w:hAnsi="Palatino Linotype" w:cs="Tahoma"/>
          <w:sz w:val="22"/>
          <w:szCs w:val="22"/>
        </w:rPr>
        <w:t>RES/10/INFOEM/ORD/COM/20ª/2021, en donde el Comité de Transparencia, confirmó la clasificación como confidencial de las declaraciones patrimoniales de alta, anuales y de baja de los servidores públicos que se encontraban adscritos a la Contraloría Interna y Órgano de Control y Vigilancia, tal como se muestra a continuación:</w:t>
      </w:r>
    </w:p>
    <w:p w14:paraId="1E494C73" w14:textId="77777777" w:rsidR="009259F1" w:rsidRDefault="009259F1" w:rsidP="009259F1">
      <w:pPr>
        <w:autoSpaceDE w:val="0"/>
        <w:autoSpaceDN w:val="0"/>
        <w:adjustRightInd w:val="0"/>
        <w:spacing w:line="360" w:lineRule="auto"/>
        <w:ind w:right="-28"/>
        <w:jc w:val="both"/>
        <w:rPr>
          <w:rFonts w:ascii="Palatino Linotype" w:hAnsi="Palatino Linotype" w:cs="Tahoma"/>
          <w:sz w:val="22"/>
          <w:szCs w:val="22"/>
        </w:rPr>
      </w:pPr>
    </w:p>
    <w:p w14:paraId="7D0689D3" w14:textId="77777777" w:rsidR="009259F1" w:rsidRPr="001F164B" w:rsidRDefault="009259F1" w:rsidP="009259F1">
      <w:pPr>
        <w:autoSpaceDE w:val="0"/>
        <w:autoSpaceDN w:val="0"/>
        <w:adjustRightInd w:val="0"/>
        <w:spacing w:line="360" w:lineRule="auto"/>
        <w:ind w:right="-28"/>
        <w:jc w:val="center"/>
        <w:rPr>
          <w:rFonts w:ascii="Palatino Linotype" w:hAnsi="Palatino Linotype" w:cs="Tahoma"/>
          <w:sz w:val="22"/>
          <w:szCs w:val="22"/>
        </w:rPr>
      </w:pPr>
      <w:r>
        <w:rPr>
          <w:noProof/>
        </w:rPr>
        <w:drawing>
          <wp:inline distT="0" distB="0" distL="0" distR="0" wp14:anchorId="500C0410" wp14:editId="7804A7F6">
            <wp:extent cx="4028943" cy="21532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5981"/>
                    <a:stretch/>
                  </pic:blipFill>
                  <pic:spPr bwMode="auto">
                    <a:xfrm>
                      <a:off x="0" y="0"/>
                      <a:ext cx="4033046" cy="2155478"/>
                    </a:xfrm>
                    <a:prstGeom prst="rect">
                      <a:avLst/>
                    </a:prstGeom>
                    <a:ln>
                      <a:noFill/>
                    </a:ln>
                    <a:extLst>
                      <a:ext uri="{53640926-AAD7-44D8-BBD7-CCE9431645EC}">
                        <a14:shadowObscured xmlns:a14="http://schemas.microsoft.com/office/drawing/2010/main"/>
                      </a:ext>
                    </a:extLst>
                  </pic:spPr>
                </pic:pic>
              </a:graphicData>
            </a:graphic>
          </wp:inline>
        </w:drawing>
      </w:r>
    </w:p>
    <w:p w14:paraId="71AEB463" w14:textId="7EE270BD" w:rsidR="009259F1" w:rsidRDefault="009259F1" w:rsidP="009259F1">
      <w:pPr>
        <w:spacing w:line="360" w:lineRule="auto"/>
        <w:ind w:right="-28"/>
        <w:jc w:val="both"/>
        <w:rPr>
          <w:rFonts w:ascii="Palatino Linotype" w:hAnsi="Palatino Linotype" w:cs="Tahoma"/>
          <w:sz w:val="22"/>
          <w:szCs w:val="22"/>
        </w:rPr>
      </w:pPr>
    </w:p>
    <w:p w14:paraId="6A3A1E9D" w14:textId="4EBEF02A" w:rsidR="0031497C" w:rsidRDefault="005B6818" w:rsidP="00CD7DE8">
      <w:pPr>
        <w:spacing w:line="360" w:lineRule="auto"/>
        <w:jc w:val="both"/>
        <w:rPr>
          <w:rFonts w:ascii="Palatino Linotype" w:hAnsi="Palatino Linotype"/>
          <w:sz w:val="22"/>
          <w:szCs w:val="22"/>
        </w:rPr>
      </w:pPr>
      <w:r>
        <w:rPr>
          <w:rFonts w:ascii="Palatino Linotype" w:hAnsi="Palatino Linotype"/>
          <w:sz w:val="22"/>
          <w:szCs w:val="22"/>
        </w:rPr>
        <w:t>Conforme a la Resolución referida y la respuesta de la unidad administrativa competente, se logra vislumbrar que si bien clasificaron las declaraciones patrimoniales que obraban en sus archivos, lo cierto es que no fueron precisos en aclarar si contaban con las declaraciones patrimoniales manifestación de bienes de todos los servidores públicos que laboraban en la Contraloría Interna y Órgano de Control y Vigilancia, pues como se precisó en párrafos anteriores, hubo una temporalidad, en donde únicamente se encontraban obligados a presentar declaración patrimonial o manifestación de bienes, los jefes de departamento y superiores.</w:t>
      </w:r>
    </w:p>
    <w:p w14:paraId="0FEE2B3B" w14:textId="3EFD2FD4" w:rsidR="0031497C" w:rsidRDefault="0031497C" w:rsidP="00CD7DE8">
      <w:pPr>
        <w:spacing w:line="360" w:lineRule="auto"/>
        <w:jc w:val="both"/>
        <w:rPr>
          <w:rFonts w:ascii="Palatino Linotype" w:hAnsi="Palatino Linotype"/>
          <w:sz w:val="22"/>
          <w:szCs w:val="22"/>
        </w:rPr>
      </w:pPr>
    </w:p>
    <w:p w14:paraId="1F53B4EF" w14:textId="595979CD" w:rsidR="003B5422" w:rsidRDefault="005B6818" w:rsidP="003B5422">
      <w:pPr>
        <w:spacing w:line="360" w:lineRule="auto"/>
        <w:jc w:val="both"/>
        <w:rPr>
          <w:rFonts w:ascii="Palatino Linotype" w:hAnsi="Palatino Linotype"/>
          <w:sz w:val="22"/>
          <w:szCs w:val="22"/>
        </w:rPr>
      </w:pPr>
      <w:r>
        <w:rPr>
          <w:rFonts w:ascii="Palatino Linotype" w:hAnsi="Palatino Linotype"/>
          <w:sz w:val="22"/>
          <w:szCs w:val="22"/>
        </w:rPr>
        <w:t>En ese contexto,</w:t>
      </w:r>
      <w:r w:rsidR="003B5422">
        <w:rPr>
          <w:rFonts w:ascii="Palatino Linotype" w:hAnsi="Palatino Linotype"/>
          <w:sz w:val="22"/>
          <w:szCs w:val="22"/>
        </w:rPr>
        <w:t xml:space="preserve"> mediante el desahogo del requerimiento de información adicional, dicha área aclaró su respuesta y precisó lo siguiente:</w:t>
      </w:r>
    </w:p>
    <w:p w14:paraId="341613B9" w14:textId="04B7A795" w:rsidR="003B5422" w:rsidRDefault="003B5422" w:rsidP="003B5422">
      <w:pPr>
        <w:pStyle w:val="Prrafodelista"/>
        <w:numPr>
          <w:ilvl w:val="0"/>
          <w:numId w:val="30"/>
        </w:numPr>
        <w:spacing w:line="360" w:lineRule="auto"/>
        <w:jc w:val="both"/>
        <w:rPr>
          <w:rFonts w:ascii="Palatino Linotype" w:hAnsi="Palatino Linotype"/>
          <w:szCs w:val="22"/>
        </w:rPr>
      </w:pPr>
      <w:r>
        <w:rPr>
          <w:rFonts w:ascii="Palatino Linotype" w:hAnsi="Palatino Linotype"/>
          <w:szCs w:val="22"/>
        </w:rPr>
        <w:lastRenderedPageBreak/>
        <w:t>Que únicamente contaba con la manifestación de bienes (</w:t>
      </w:r>
      <w:bookmarkStart w:id="4" w:name="_Hlk93568198"/>
      <w:r>
        <w:rPr>
          <w:rFonts w:ascii="Palatino Linotype" w:hAnsi="Palatino Linotype"/>
          <w:szCs w:val="22"/>
        </w:rPr>
        <w:t>del primero de enero de dos mil quince al treinta de mayo de dos mil diecisiete</w:t>
      </w:r>
      <w:bookmarkEnd w:id="4"/>
      <w:r>
        <w:rPr>
          <w:rFonts w:ascii="Palatino Linotype" w:hAnsi="Palatino Linotype"/>
          <w:szCs w:val="22"/>
        </w:rPr>
        <w:t>) y declaraciones patrimoniales (del treinta y uno de mayo de dos mil diecisiete al treinta de abril de dos mil veintiuno)</w:t>
      </w:r>
      <w:r w:rsidR="002D19BE">
        <w:rPr>
          <w:rFonts w:ascii="Palatino Linotype" w:hAnsi="Palatino Linotype"/>
          <w:szCs w:val="22"/>
        </w:rPr>
        <w:t>, presentadas por los servidores públicos que ostentaban un cargo de Jefe de Departamento o superior.</w:t>
      </w:r>
    </w:p>
    <w:p w14:paraId="14A49F47" w14:textId="48AF7FC8" w:rsidR="002D19BE" w:rsidRDefault="002D19BE" w:rsidP="002D19BE">
      <w:pPr>
        <w:pStyle w:val="Prrafodelista"/>
        <w:spacing w:line="360" w:lineRule="auto"/>
        <w:jc w:val="both"/>
        <w:rPr>
          <w:rFonts w:ascii="Palatino Linotype" w:hAnsi="Palatino Linotype"/>
          <w:szCs w:val="22"/>
        </w:rPr>
      </w:pPr>
    </w:p>
    <w:p w14:paraId="36C6D3C9" w14:textId="00CD5CE1" w:rsidR="002D19BE" w:rsidRPr="003B5422" w:rsidRDefault="002D19BE" w:rsidP="003B5422">
      <w:pPr>
        <w:pStyle w:val="Prrafodelista"/>
        <w:numPr>
          <w:ilvl w:val="0"/>
          <w:numId w:val="30"/>
        </w:numPr>
        <w:spacing w:line="360" w:lineRule="auto"/>
        <w:jc w:val="both"/>
        <w:rPr>
          <w:rFonts w:ascii="Palatino Linotype" w:hAnsi="Palatino Linotype"/>
          <w:szCs w:val="22"/>
        </w:rPr>
      </w:pPr>
      <w:r>
        <w:rPr>
          <w:rFonts w:ascii="Palatino Linotype" w:hAnsi="Palatino Linotype"/>
          <w:szCs w:val="22"/>
        </w:rPr>
        <w:t>Que tenía en sus archivos las declaraciones patrimoniales de todos los trabajadores adscritos a la Contraloría Interna y Órgano de Control y Vigilancia, que habían sido presentadas del primero de mayo al veintiuno de octubre de dos mil veintiuno.</w:t>
      </w:r>
    </w:p>
    <w:p w14:paraId="4D1C5D53" w14:textId="6170DB09" w:rsidR="003B5422" w:rsidRDefault="003B5422" w:rsidP="00CD7DE8">
      <w:pPr>
        <w:spacing w:line="360" w:lineRule="auto"/>
        <w:jc w:val="both"/>
        <w:rPr>
          <w:rFonts w:ascii="Palatino Linotype" w:hAnsi="Palatino Linotype"/>
          <w:sz w:val="22"/>
          <w:szCs w:val="22"/>
        </w:rPr>
      </w:pPr>
    </w:p>
    <w:p w14:paraId="05BEBB0B" w14:textId="271E8C95" w:rsidR="00C202A3" w:rsidRDefault="00C202A3" w:rsidP="00CD7DE8">
      <w:pPr>
        <w:spacing w:line="360" w:lineRule="auto"/>
        <w:jc w:val="both"/>
        <w:rPr>
          <w:rFonts w:ascii="Palatino Linotype" w:hAnsi="Palatino Linotype"/>
          <w:sz w:val="22"/>
          <w:szCs w:val="22"/>
        </w:rPr>
      </w:pPr>
      <w:r>
        <w:rPr>
          <w:rFonts w:ascii="Palatino Linotype" w:hAnsi="Palatino Linotype"/>
          <w:sz w:val="22"/>
          <w:szCs w:val="22"/>
        </w:rPr>
        <w:t>En ese sentido</w:t>
      </w:r>
      <w:r w:rsidR="00894E5E">
        <w:rPr>
          <w:rFonts w:ascii="Palatino Linotype" w:hAnsi="Palatino Linotype"/>
          <w:sz w:val="22"/>
          <w:szCs w:val="22"/>
        </w:rPr>
        <w:t xml:space="preserve">, si bien en un principio, el Sujeto Obligado clasificó la información que obraba en sus archivos, durante la sustanciación del Medio de Impugnación, aclaró que no contaba con la información de todos los servidores públicos del área solicitada, pues aquellos que no tuvieran un cargo de Jefe de Departamento, equivalente o superior, no estaban obligados a presentar declaración patrimonial o manifestación de bienes; por lo que, no contaba con la información de dichos trabajadores del </w:t>
      </w:r>
      <w:r w:rsidRPr="00C202A3">
        <w:rPr>
          <w:rFonts w:ascii="Palatino Linotype" w:hAnsi="Palatino Linotype"/>
          <w:sz w:val="22"/>
          <w:szCs w:val="22"/>
        </w:rPr>
        <w:t>primero de enero de dos mil quince al treinta d</w:t>
      </w:r>
      <w:r>
        <w:rPr>
          <w:rFonts w:ascii="Palatino Linotype" w:hAnsi="Palatino Linotype"/>
          <w:sz w:val="22"/>
          <w:szCs w:val="22"/>
        </w:rPr>
        <w:t>e abril de dos mil veintiuno.</w:t>
      </w:r>
    </w:p>
    <w:p w14:paraId="12A231E6" w14:textId="5A03FD4E" w:rsidR="003B5422" w:rsidRDefault="003B5422" w:rsidP="00CD7DE8">
      <w:pPr>
        <w:spacing w:line="360" w:lineRule="auto"/>
        <w:jc w:val="both"/>
        <w:rPr>
          <w:rFonts w:ascii="Palatino Linotype" w:hAnsi="Palatino Linotype"/>
          <w:sz w:val="22"/>
          <w:szCs w:val="22"/>
        </w:rPr>
      </w:pPr>
    </w:p>
    <w:p w14:paraId="58750CE1" w14:textId="71415FB4" w:rsidR="00C202A3" w:rsidRPr="00E2113C" w:rsidRDefault="00C202A3" w:rsidP="00C202A3">
      <w:pPr>
        <w:spacing w:line="360" w:lineRule="auto"/>
        <w:jc w:val="both"/>
        <w:rPr>
          <w:rFonts w:ascii="Palatino Linotype" w:hAnsi="Palatino Linotype" w:cs="Tahoma"/>
          <w:sz w:val="22"/>
          <w:szCs w:val="22"/>
        </w:rPr>
      </w:pPr>
      <w:r w:rsidRPr="00E2113C">
        <w:rPr>
          <w:rFonts w:ascii="Palatino Linotype" w:hAnsi="Palatino Linotype" w:cs="Tahoma"/>
          <w:bCs/>
          <w:sz w:val="22"/>
          <w:szCs w:val="22"/>
        </w:rPr>
        <w:t>Conforme a lo anterior, se logra observar que el Sujeto Obligado aludió a que la información era inexistente</w:t>
      </w:r>
      <w:r w:rsidR="00C40D33">
        <w:rPr>
          <w:rFonts w:ascii="Palatino Linotype" w:hAnsi="Palatino Linotype" w:cs="Tahoma"/>
          <w:bCs/>
          <w:sz w:val="22"/>
          <w:szCs w:val="22"/>
        </w:rPr>
        <w:t xml:space="preserve"> respecto a servidores públicos que no ostentaban un cargo de mando medio o superior, pues obtuvieron la obligación de presentar la declaración patrimonial, el primero de mayo de dos mil veintiuno</w:t>
      </w:r>
      <w:r w:rsidRPr="00E2113C">
        <w:rPr>
          <w:rFonts w:ascii="Palatino Linotype" w:hAnsi="Palatino Linotype" w:cs="Tahoma"/>
          <w:bCs/>
          <w:sz w:val="22"/>
          <w:szCs w:val="22"/>
        </w:rPr>
        <w:t>; al</w:t>
      </w:r>
      <w:r w:rsidRPr="00E2113C">
        <w:rPr>
          <w:rFonts w:ascii="Palatino Linotype" w:hAnsi="Palatino Linotype" w:cs="Tahoma"/>
          <w:sz w:val="22"/>
          <w:szCs w:val="22"/>
        </w:rPr>
        <w:t xml:space="preserve"> respecto, el Criterio 14/17, emitido por el Instituto Nacional de Transparencia, Acceso a la Información Pública y Protección de Datos Personales en el Estado de México y Municipios, señala lo siguiente:</w:t>
      </w:r>
    </w:p>
    <w:p w14:paraId="1D7C0448" w14:textId="77777777" w:rsidR="00C202A3" w:rsidRPr="00E2113C" w:rsidRDefault="00C202A3" w:rsidP="00C202A3">
      <w:pPr>
        <w:spacing w:line="360" w:lineRule="auto"/>
        <w:jc w:val="both"/>
        <w:rPr>
          <w:rFonts w:ascii="Palatino Linotype" w:hAnsi="Palatino Linotype" w:cs="Tahoma"/>
          <w:sz w:val="22"/>
          <w:szCs w:val="22"/>
        </w:rPr>
      </w:pPr>
    </w:p>
    <w:p w14:paraId="39BD1141" w14:textId="77777777" w:rsidR="00C202A3" w:rsidRPr="00E2113C" w:rsidRDefault="00C202A3" w:rsidP="00C202A3">
      <w:pPr>
        <w:spacing w:line="360" w:lineRule="auto"/>
        <w:ind w:left="567" w:right="567"/>
        <w:jc w:val="both"/>
        <w:rPr>
          <w:rFonts w:ascii="Palatino Linotype" w:hAnsi="Palatino Linotype" w:cs="Tahoma"/>
          <w:bCs/>
          <w:i/>
          <w:lang w:val="es-ES"/>
        </w:rPr>
      </w:pPr>
      <w:r w:rsidRPr="00E2113C">
        <w:rPr>
          <w:rFonts w:ascii="Palatino Linotype" w:hAnsi="Palatino Linotype" w:cs="Tahoma"/>
          <w:bCs/>
          <w:i/>
          <w:lang w:val="es-ES"/>
        </w:rPr>
        <w:lastRenderedPageBreak/>
        <w:t>“</w:t>
      </w:r>
      <w:r w:rsidRPr="00E2113C">
        <w:rPr>
          <w:rFonts w:ascii="Palatino Linotype" w:hAnsi="Palatino Linotype" w:cs="Tahoma"/>
          <w:b/>
          <w:bCs/>
          <w:i/>
          <w:lang w:val="es-ES"/>
        </w:rPr>
        <w:t xml:space="preserve">Inexistencia. </w:t>
      </w:r>
      <w:r w:rsidRPr="00E2113C">
        <w:rPr>
          <w:rFonts w:ascii="Palatino Linotype" w:hAnsi="Palatino Linotype" w:cs="Tahoma"/>
          <w:bCs/>
          <w:i/>
          <w:lang w:val="es-ES"/>
        </w:rPr>
        <w:t>La inexistencia es una cuestión de hecho que se atribuye a la información solicitada e implica que ésta no se encuentra en los archivos del sujeto obligado, no obstante que cuenta con facultades para poseerla.”</w:t>
      </w:r>
    </w:p>
    <w:p w14:paraId="254BAEF3" w14:textId="77777777" w:rsidR="00C202A3" w:rsidRPr="00E2113C" w:rsidRDefault="00C202A3" w:rsidP="00C202A3">
      <w:pPr>
        <w:spacing w:line="360" w:lineRule="auto"/>
        <w:jc w:val="both"/>
        <w:rPr>
          <w:rFonts w:ascii="Palatino Linotype" w:hAnsi="Palatino Linotype" w:cs="Tahoma"/>
          <w:sz w:val="22"/>
          <w:szCs w:val="22"/>
        </w:rPr>
      </w:pPr>
    </w:p>
    <w:p w14:paraId="63836CED" w14:textId="77777777" w:rsidR="00C202A3" w:rsidRPr="00E2113C" w:rsidRDefault="00C202A3" w:rsidP="00C202A3">
      <w:pPr>
        <w:spacing w:line="360" w:lineRule="auto"/>
        <w:jc w:val="both"/>
        <w:rPr>
          <w:rFonts w:ascii="Palatino Linotype" w:hAnsi="Palatino Linotype" w:cs="Tahoma"/>
          <w:sz w:val="22"/>
          <w:szCs w:val="22"/>
        </w:rPr>
      </w:pPr>
      <w:r w:rsidRPr="00E2113C">
        <w:rPr>
          <w:rFonts w:ascii="Palatino Linotype" w:hAnsi="Palatino Linotype" w:cs="Tahoma"/>
          <w:sz w:val="22"/>
          <w:szCs w:val="22"/>
        </w:rPr>
        <w:t>Del citado criterio, se desprende que la inexistencia de la información, es una cuestión de hecho que se le atribuye a la misma, cuando ésta no se encuentra en los archivos del sujeto obligado.</w:t>
      </w:r>
    </w:p>
    <w:p w14:paraId="43F6B955" w14:textId="77777777" w:rsidR="00C202A3" w:rsidRPr="00E2113C" w:rsidRDefault="00C202A3" w:rsidP="00C202A3">
      <w:pPr>
        <w:spacing w:line="360" w:lineRule="auto"/>
        <w:jc w:val="both"/>
        <w:rPr>
          <w:rFonts w:ascii="Palatino Linotype" w:hAnsi="Palatino Linotype" w:cs="Tahoma"/>
          <w:sz w:val="22"/>
          <w:szCs w:val="22"/>
          <w:lang w:val="es-ES"/>
        </w:rPr>
      </w:pPr>
    </w:p>
    <w:p w14:paraId="6B30C7AB" w14:textId="77777777" w:rsidR="00C202A3" w:rsidRPr="00E2113C" w:rsidRDefault="00C202A3" w:rsidP="00C202A3">
      <w:pPr>
        <w:spacing w:line="360" w:lineRule="auto"/>
        <w:jc w:val="both"/>
        <w:rPr>
          <w:rFonts w:ascii="Palatino Linotype" w:hAnsi="Palatino Linotype" w:cs="Tahoma"/>
          <w:sz w:val="22"/>
          <w:szCs w:val="22"/>
          <w:lang w:val="es-ES"/>
        </w:rPr>
      </w:pPr>
      <w:r w:rsidRPr="00E2113C">
        <w:rPr>
          <w:rFonts w:ascii="Palatino Linotype" w:hAnsi="Palatino Linotype" w:cs="Tahoma"/>
          <w:sz w:val="22"/>
          <w:szCs w:val="22"/>
          <w:lang w:val="es-ES"/>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4968EA80" w14:textId="77777777" w:rsidR="00C202A3" w:rsidRPr="00E2113C" w:rsidRDefault="00C202A3" w:rsidP="00C202A3">
      <w:pPr>
        <w:spacing w:line="360" w:lineRule="auto"/>
        <w:jc w:val="both"/>
        <w:rPr>
          <w:rFonts w:ascii="Palatino Linotype" w:hAnsi="Palatino Linotype" w:cs="Tahoma"/>
          <w:sz w:val="22"/>
          <w:szCs w:val="22"/>
          <w:lang w:val="es-ES"/>
        </w:rPr>
      </w:pPr>
    </w:p>
    <w:p w14:paraId="58F9023F" w14:textId="54DA4054" w:rsidR="00C202A3" w:rsidRDefault="00C202A3" w:rsidP="00C202A3">
      <w:pPr>
        <w:spacing w:line="360" w:lineRule="auto"/>
        <w:jc w:val="both"/>
        <w:rPr>
          <w:rFonts w:ascii="Palatino Linotype" w:hAnsi="Palatino Linotype" w:cs="Tahoma"/>
          <w:bCs/>
          <w:sz w:val="22"/>
          <w:szCs w:val="22"/>
        </w:rPr>
      </w:pPr>
      <w:r w:rsidRPr="00E2113C">
        <w:rPr>
          <w:rFonts w:ascii="Palatino Linotype" w:hAnsi="Palatino Linotype" w:cs="Tahoma"/>
          <w:sz w:val="22"/>
          <w:szCs w:val="22"/>
          <w:lang w:val="es-ES"/>
        </w:rPr>
        <w:t>Así</w:t>
      </w:r>
      <w:r w:rsidRPr="00E2113C">
        <w:rPr>
          <w:rFonts w:ascii="Palatino Linotype" w:hAnsi="Palatino Linotype" w:cs="Tahoma"/>
          <w:sz w:val="22"/>
          <w:szCs w:val="22"/>
        </w:rPr>
        <w:t xml:space="preserve">, es posible concluir que la </w:t>
      </w:r>
      <w:r w:rsidRPr="00E2113C">
        <w:rPr>
          <w:rFonts w:ascii="Palatino Linotype" w:hAnsi="Palatino Linotype" w:cs="Tahoma"/>
          <w:b/>
          <w:sz w:val="22"/>
          <w:szCs w:val="22"/>
        </w:rPr>
        <w:t>inexistencia</w:t>
      </w:r>
      <w:r w:rsidRPr="00E2113C">
        <w:rPr>
          <w:rFonts w:ascii="Palatino Linotype" w:hAnsi="Palatino Linotype" w:cs="Tahoma"/>
          <w:sz w:val="22"/>
          <w:szCs w:val="22"/>
        </w:rPr>
        <w:t xml:space="preserve"> presupone la competencia del sujeto obligado para conocer de la información, pero por alguna circunstancia, la documentación solicitada no obra en sus archivos; sin embargo, </w:t>
      </w:r>
      <w:r w:rsidRPr="00E2113C">
        <w:rPr>
          <w:rFonts w:ascii="Palatino Linotype" w:hAnsi="Palatino Linotype" w:cs="Tahoma"/>
          <w:bCs/>
          <w:sz w:val="22"/>
          <w:szCs w:val="22"/>
        </w:rPr>
        <w:t>no basta con que los sujetos obligados señalen dicha circunstancia, sino que también debe de señalar las razones por las cuales no contaba con lo peticionado, es decir, las circunstancias que dan lugar a la inexistencia, lo cual aconteció, en el presente caso.</w:t>
      </w:r>
    </w:p>
    <w:p w14:paraId="53E2B2D4" w14:textId="77777777" w:rsidR="00C202A3" w:rsidRPr="00E2113C" w:rsidRDefault="00C202A3" w:rsidP="00C202A3">
      <w:pPr>
        <w:spacing w:line="360" w:lineRule="auto"/>
        <w:jc w:val="both"/>
        <w:rPr>
          <w:rFonts w:ascii="Palatino Linotype" w:hAnsi="Palatino Linotype" w:cs="Tahoma"/>
          <w:bCs/>
          <w:sz w:val="22"/>
          <w:szCs w:val="22"/>
        </w:rPr>
      </w:pPr>
    </w:p>
    <w:p w14:paraId="36B15C86" w14:textId="77777777" w:rsidR="00205503" w:rsidRDefault="00C202A3" w:rsidP="00C202A3">
      <w:pPr>
        <w:spacing w:line="360" w:lineRule="auto"/>
        <w:jc w:val="both"/>
        <w:rPr>
          <w:rFonts w:ascii="Palatino Linotype" w:hAnsi="Palatino Linotype" w:cs="Tahoma"/>
          <w:b/>
          <w:bCs/>
          <w:sz w:val="22"/>
          <w:szCs w:val="22"/>
          <w:lang w:val="es-ES"/>
        </w:rPr>
      </w:pPr>
      <w:r w:rsidRPr="00E2113C">
        <w:rPr>
          <w:rFonts w:ascii="Palatino Linotype" w:hAnsi="Palatino Linotype" w:cs="Tahoma"/>
          <w:sz w:val="22"/>
          <w:szCs w:val="22"/>
          <w:lang w:val="es-ES"/>
        </w:rPr>
        <w:t xml:space="preserve">En ese contexto, </w:t>
      </w:r>
      <w:r w:rsidR="00C40D33">
        <w:rPr>
          <w:rFonts w:ascii="Palatino Linotype" w:hAnsi="Palatino Linotype" w:cs="Tahoma"/>
          <w:sz w:val="22"/>
          <w:szCs w:val="22"/>
          <w:lang w:val="es-ES"/>
        </w:rPr>
        <w:t xml:space="preserve">este Instituto </w:t>
      </w:r>
      <w:r w:rsidR="00D11D40">
        <w:rPr>
          <w:rFonts w:ascii="Palatino Linotype" w:hAnsi="Palatino Linotype" w:cs="Tahoma"/>
          <w:sz w:val="22"/>
          <w:szCs w:val="22"/>
          <w:lang w:val="es-ES"/>
        </w:rPr>
        <w:t xml:space="preserve">localizó el Acuerdo por el que el Comité Coordinador del Sistema Nacional Anticorrupción da a conocer que los formatos de Declaración de Situación Patrimonial y de Intereses, son técnicamente operables con el Sistema de Evolución Patrimonial y de Declaración de Intereses de la Plataforma Nacional, así como el inicio de la Obligación de los Servidores Públicos de Presentar su respectivas declaraciones de situación patrimonial y de intereses conforme a los artículos 32 y 33 de la Ley General de </w:t>
      </w:r>
      <w:r w:rsidR="00D11D40">
        <w:rPr>
          <w:rFonts w:ascii="Palatino Linotype" w:hAnsi="Palatino Linotype" w:cs="Tahoma"/>
          <w:sz w:val="22"/>
          <w:szCs w:val="22"/>
          <w:lang w:val="es-ES"/>
        </w:rPr>
        <w:lastRenderedPageBreak/>
        <w:t>Responsabilidades Administrativas,</w:t>
      </w:r>
      <w:r w:rsidR="00205503">
        <w:rPr>
          <w:rFonts w:ascii="Palatino Linotype" w:hAnsi="Palatino Linotype" w:cs="Tahoma"/>
          <w:sz w:val="22"/>
          <w:szCs w:val="22"/>
          <w:lang w:val="es-ES"/>
        </w:rPr>
        <w:t xml:space="preserve"> que en su numeral CUARTO, precisa que los servidores públicos en el </w:t>
      </w:r>
      <w:r w:rsidR="00205503">
        <w:rPr>
          <w:rFonts w:ascii="Palatino Linotype" w:hAnsi="Palatino Linotype" w:cs="Tahoma"/>
          <w:b/>
          <w:bCs/>
          <w:sz w:val="22"/>
          <w:szCs w:val="22"/>
          <w:lang w:val="es-ES"/>
        </w:rPr>
        <w:t>ámbito estatal y municipal que no se encontraban obligados a presentar declaración de situación patrimonial y de intereses hasta antes del diecinueve de julio de dos mil diecisiete, deberían presentar su declaración correspondiente en el año dos mil veintiuno, en el periodo señalado en la fracción II, del artículo 33 de la Ley General de Responsabilidades Administrativas.</w:t>
      </w:r>
    </w:p>
    <w:p w14:paraId="6005AD12" w14:textId="77777777" w:rsidR="00205503" w:rsidRDefault="00205503" w:rsidP="00C202A3">
      <w:pPr>
        <w:spacing w:line="360" w:lineRule="auto"/>
        <w:jc w:val="both"/>
        <w:rPr>
          <w:rFonts w:ascii="Palatino Linotype" w:hAnsi="Palatino Linotype" w:cs="Tahoma"/>
          <w:b/>
          <w:bCs/>
          <w:sz w:val="22"/>
          <w:szCs w:val="22"/>
          <w:lang w:val="es-ES"/>
        </w:rPr>
      </w:pPr>
    </w:p>
    <w:p w14:paraId="63D80B3E" w14:textId="655D8518" w:rsidR="00C202A3" w:rsidRDefault="00205503" w:rsidP="00C202A3">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En ese contexto, el artículo mencionado, precisa que se tendrá que presentar la declaración patrimonial en mayo de cada año, es decir, del primero al treinta y uno de dicho mes; por su parte, cabe recordar que conforme al artículo 79 de la abrogada Ley de Responsabilidades de los Servidores Públicos del Estado y Municipios, precisaba que los únicos obligados a presentar manifestación de bienes o declaración patrimonial eran aquellos que ostentaran un</w:t>
      </w:r>
      <w:r w:rsidR="00FF4B8C">
        <w:rPr>
          <w:rFonts w:ascii="Palatino Linotype" w:hAnsi="Palatino Linotype" w:cs="Tahoma"/>
          <w:sz w:val="22"/>
          <w:szCs w:val="22"/>
          <w:lang w:val="es-ES"/>
        </w:rPr>
        <w:t xml:space="preserve"> </w:t>
      </w:r>
      <w:r>
        <w:rPr>
          <w:rFonts w:ascii="Palatino Linotype" w:hAnsi="Palatino Linotype" w:cs="Tahoma"/>
          <w:sz w:val="22"/>
          <w:szCs w:val="22"/>
          <w:lang w:val="es-ES"/>
        </w:rPr>
        <w:t>cargo de</w:t>
      </w:r>
      <w:r w:rsidR="00FF4B8C">
        <w:rPr>
          <w:rFonts w:ascii="Palatino Linotype" w:hAnsi="Palatino Linotype" w:cs="Tahoma"/>
          <w:sz w:val="22"/>
          <w:szCs w:val="22"/>
          <w:lang w:val="es-ES"/>
        </w:rPr>
        <w:t>sde Jefe de Departamento hasta Titulares de las instituciones públicos.</w:t>
      </w:r>
    </w:p>
    <w:p w14:paraId="328031A7" w14:textId="3F2DA330" w:rsidR="00C202A3" w:rsidRDefault="00C202A3" w:rsidP="00C202A3">
      <w:pPr>
        <w:spacing w:line="360" w:lineRule="auto"/>
        <w:jc w:val="center"/>
        <w:rPr>
          <w:rFonts w:ascii="Palatino Linotype" w:hAnsi="Palatino Linotype" w:cs="Tahoma"/>
          <w:sz w:val="22"/>
          <w:szCs w:val="22"/>
          <w:lang w:val="es-ES"/>
        </w:rPr>
      </w:pPr>
    </w:p>
    <w:p w14:paraId="7071EBD8" w14:textId="60344AFE" w:rsidR="00C202A3" w:rsidRDefault="00C202A3" w:rsidP="00C202A3">
      <w:pPr>
        <w:spacing w:line="360" w:lineRule="auto"/>
        <w:jc w:val="both"/>
        <w:rPr>
          <w:rFonts w:ascii="Palatino Linotype" w:hAnsi="Palatino Linotype" w:cs="Tahoma"/>
          <w:sz w:val="22"/>
          <w:szCs w:val="22"/>
          <w:lang w:val="es-ES"/>
        </w:rPr>
      </w:pPr>
      <w:r w:rsidRPr="00E2113C">
        <w:rPr>
          <w:rFonts w:ascii="Palatino Linotype" w:hAnsi="Palatino Linotype" w:cs="Tahoma"/>
          <w:sz w:val="22"/>
          <w:szCs w:val="22"/>
          <w:lang w:val="es-ES"/>
        </w:rPr>
        <w:t>Así, se logra colegir que</w:t>
      </w:r>
      <w:r w:rsidR="00FF4B8C">
        <w:rPr>
          <w:rFonts w:ascii="Palatino Linotype" w:hAnsi="Palatino Linotype" w:cs="Tahoma"/>
          <w:sz w:val="22"/>
          <w:szCs w:val="22"/>
          <w:lang w:val="es-ES"/>
        </w:rPr>
        <w:t xml:space="preserve"> parte de</w:t>
      </w:r>
      <w:r w:rsidRPr="00E2113C">
        <w:rPr>
          <w:rFonts w:ascii="Palatino Linotype" w:hAnsi="Palatino Linotype" w:cs="Tahoma"/>
          <w:sz w:val="22"/>
          <w:szCs w:val="22"/>
          <w:lang w:val="es-ES"/>
        </w:rPr>
        <w:t xml:space="preserve"> la información solicitada por la ahora Recurrente es inexistente, pues el Sujeto Obligado, realizó una búsqueda de manera exhaustiva y razonable en sus archivos, al gestionar la solicitud de información al área competente y esta indicó los motivos por las cuales no contaba con </w:t>
      </w:r>
      <w:r w:rsidR="00FF4B8C">
        <w:rPr>
          <w:rFonts w:ascii="Palatino Linotype" w:hAnsi="Palatino Linotype" w:cs="Tahoma"/>
          <w:sz w:val="22"/>
          <w:szCs w:val="22"/>
          <w:lang w:val="es-ES"/>
        </w:rPr>
        <w:t>las manifestaciones de bienes y declaración patrimonial de los servidores públicos adscritos a la Contraloría Interna y Órgano de Control y Vigilancia, que ostentaban cargos inferiores a Jefe de Departamento o equivalente, del primero de enero de dos mil quince al treinta y de abril de dos mil veintiuno, a saber, que no existía una obligación normativa que los obligara a presentarlas.</w:t>
      </w:r>
    </w:p>
    <w:p w14:paraId="76DAB3B8" w14:textId="77777777" w:rsidR="00C202A3" w:rsidRPr="00E2113C" w:rsidRDefault="00C202A3" w:rsidP="00C202A3">
      <w:pPr>
        <w:spacing w:line="360" w:lineRule="auto"/>
        <w:jc w:val="both"/>
        <w:rPr>
          <w:rFonts w:ascii="Palatino Linotype" w:hAnsi="Palatino Linotype" w:cs="Tahoma"/>
          <w:sz w:val="22"/>
          <w:szCs w:val="22"/>
          <w:lang w:val="es-ES"/>
        </w:rPr>
      </w:pPr>
    </w:p>
    <w:p w14:paraId="5D71BAF9" w14:textId="1504B2BE" w:rsidR="00C202A3" w:rsidRPr="00E2113C" w:rsidRDefault="00C202A3" w:rsidP="00C202A3">
      <w:pPr>
        <w:spacing w:line="360" w:lineRule="auto"/>
        <w:jc w:val="both"/>
        <w:rPr>
          <w:rFonts w:ascii="Palatino Linotype" w:hAnsi="Palatino Linotype" w:cs="Tahoma"/>
          <w:sz w:val="22"/>
          <w:szCs w:val="22"/>
          <w:lang w:val="es-ES"/>
        </w:rPr>
      </w:pPr>
      <w:r w:rsidRPr="00E2113C">
        <w:rPr>
          <w:rFonts w:ascii="Palatino Linotype" w:hAnsi="Palatino Linotype" w:cs="Tahoma"/>
          <w:sz w:val="22"/>
          <w:szCs w:val="22"/>
          <w:lang w:val="es-ES"/>
        </w:rPr>
        <w:t xml:space="preserve">Por tales consideraciones, se desprende que </w:t>
      </w:r>
      <w:r w:rsidR="00FF4B8C">
        <w:rPr>
          <w:rFonts w:ascii="Palatino Linotype" w:hAnsi="Palatino Linotype" w:cs="Tahoma"/>
          <w:sz w:val="22"/>
          <w:szCs w:val="22"/>
          <w:lang w:val="es-ES"/>
        </w:rPr>
        <w:t>durante la sustanciación del Medio de Impugnación</w:t>
      </w:r>
      <w:r w:rsidRPr="00E2113C">
        <w:rPr>
          <w:rFonts w:ascii="Palatino Linotype" w:hAnsi="Palatino Linotype" w:cs="Tahoma"/>
          <w:sz w:val="22"/>
          <w:szCs w:val="22"/>
          <w:lang w:val="es-ES"/>
        </w:rPr>
        <w:t>,</w:t>
      </w:r>
      <w:r w:rsidR="00FF4B8C">
        <w:rPr>
          <w:rFonts w:ascii="Palatino Linotype" w:hAnsi="Palatino Linotype" w:cs="Tahoma"/>
          <w:sz w:val="22"/>
          <w:szCs w:val="22"/>
          <w:lang w:val="es-ES"/>
        </w:rPr>
        <w:t xml:space="preserve"> el </w:t>
      </w:r>
      <w:r w:rsidR="00ED5E3D">
        <w:rPr>
          <w:rFonts w:ascii="Palatino Linotype" w:hAnsi="Palatino Linotype" w:cs="Tahoma"/>
          <w:sz w:val="22"/>
          <w:szCs w:val="22"/>
          <w:lang w:val="es-ES"/>
        </w:rPr>
        <w:t>área competente,</w:t>
      </w:r>
      <w:r w:rsidRPr="00E2113C">
        <w:rPr>
          <w:rFonts w:ascii="Palatino Linotype" w:hAnsi="Palatino Linotype" w:cs="Tahoma"/>
          <w:sz w:val="22"/>
          <w:szCs w:val="22"/>
          <w:lang w:val="es-ES"/>
        </w:rPr>
        <w:t xml:space="preserve"> señaló las razones por las cuales no contaba con lo peticionado; </w:t>
      </w:r>
      <w:r w:rsidRPr="00E2113C">
        <w:rPr>
          <w:rFonts w:ascii="Palatino Linotype" w:hAnsi="Palatino Linotype" w:cs="Tahoma"/>
          <w:color w:val="000000"/>
          <w:sz w:val="22"/>
          <w:szCs w:val="22"/>
        </w:rPr>
        <w:t xml:space="preserve">al respecto, se trae a colación, el </w:t>
      </w:r>
      <w:r w:rsidRPr="00E2113C">
        <w:rPr>
          <w:rFonts w:ascii="Palatino Linotype" w:hAnsi="Palatino Linotype" w:cs="Tahoma"/>
          <w:sz w:val="22"/>
          <w:szCs w:val="22"/>
          <w:lang w:val="es-ES"/>
        </w:rPr>
        <w:t xml:space="preserve">artículo 19, segundo párrafo, de la Ley de </w:t>
      </w:r>
      <w:r w:rsidRPr="00E2113C">
        <w:rPr>
          <w:rFonts w:ascii="Palatino Linotype" w:hAnsi="Palatino Linotype" w:cs="Tahoma"/>
          <w:sz w:val="22"/>
          <w:szCs w:val="22"/>
          <w:lang w:val="es-ES"/>
        </w:rPr>
        <w:lastRenderedPageBreak/>
        <w:t xml:space="preserve">Transparencia y Acceso a la Información Pública del Estado de México y Municipios, que establece que en el caso de que ciertas facultades, competencias o funciones no se hayan ejercido, se debe motivar la respuesta en función de las causas que motiven tal circunstancia. </w:t>
      </w:r>
    </w:p>
    <w:p w14:paraId="6F1EC5E2" w14:textId="77777777" w:rsidR="00C202A3" w:rsidRPr="00E2113C" w:rsidRDefault="00C202A3" w:rsidP="00C202A3">
      <w:pPr>
        <w:spacing w:line="360" w:lineRule="auto"/>
        <w:jc w:val="both"/>
        <w:rPr>
          <w:rFonts w:ascii="Palatino Linotype" w:hAnsi="Palatino Linotype" w:cs="Tahoma"/>
          <w:sz w:val="22"/>
          <w:szCs w:val="22"/>
          <w:lang w:val="es-ES"/>
        </w:rPr>
      </w:pPr>
    </w:p>
    <w:p w14:paraId="0A9A70BB" w14:textId="77777777" w:rsidR="00C202A3" w:rsidRPr="00E2113C" w:rsidRDefault="00C202A3" w:rsidP="00C202A3">
      <w:pPr>
        <w:spacing w:line="360" w:lineRule="auto"/>
        <w:jc w:val="both"/>
        <w:rPr>
          <w:rFonts w:ascii="Palatino Linotype" w:hAnsi="Palatino Linotype" w:cs="Tahoma"/>
          <w:bCs/>
          <w:sz w:val="22"/>
          <w:szCs w:val="22"/>
        </w:rPr>
      </w:pPr>
      <w:r w:rsidRPr="00E2113C">
        <w:rPr>
          <w:rFonts w:ascii="Palatino Linotype" w:hAnsi="Palatino Linotype" w:cs="Tahoma"/>
          <w:sz w:val="22"/>
          <w:szCs w:val="22"/>
          <w:lang w:val="es-ES"/>
        </w:rPr>
        <w:t xml:space="preserve">De la misma manera, </w:t>
      </w:r>
      <w:r w:rsidRPr="00E2113C">
        <w:rPr>
          <w:rFonts w:ascii="Palatino Linotype" w:hAnsi="Palatino Linotype" w:cs="Tahoma"/>
          <w:bCs/>
          <w:sz w:val="22"/>
          <w:szCs w:val="22"/>
        </w:rPr>
        <w:t>el Criterio 07/17,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61E372B3" w14:textId="77777777" w:rsidR="00C202A3" w:rsidRPr="00E2113C" w:rsidRDefault="00C202A3" w:rsidP="00C202A3">
      <w:pPr>
        <w:spacing w:line="360" w:lineRule="auto"/>
        <w:jc w:val="both"/>
        <w:rPr>
          <w:rFonts w:ascii="Palatino Linotype" w:hAnsi="Palatino Linotype" w:cs="Tahoma"/>
          <w:sz w:val="22"/>
          <w:szCs w:val="22"/>
          <w:lang w:val="es-ES"/>
        </w:rPr>
      </w:pPr>
    </w:p>
    <w:p w14:paraId="6DB422C7" w14:textId="197740C1" w:rsidR="00C202A3" w:rsidRPr="00AC335B" w:rsidRDefault="00C202A3" w:rsidP="00C202A3">
      <w:pPr>
        <w:spacing w:line="360" w:lineRule="auto"/>
        <w:jc w:val="both"/>
        <w:rPr>
          <w:rFonts w:ascii="Palatino Linotype" w:hAnsi="Palatino Linotype" w:cs="Tahoma"/>
          <w:b/>
          <w:bCs/>
          <w:sz w:val="22"/>
          <w:szCs w:val="22"/>
          <w:lang w:val="es-ES"/>
        </w:rPr>
      </w:pPr>
      <w:r w:rsidRPr="00E2113C">
        <w:rPr>
          <w:rFonts w:ascii="Palatino Linotype" w:hAnsi="Palatino Linotype" w:cs="Tahoma"/>
          <w:color w:val="000000"/>
          <w:sz w:val="22"/>
          <w:szCs w:val="22"/>
        </w:rPr>
        <w:t xml:space="preserve">En ese orden de ideas, dicho criterio aplica al caso en concreto, ya que, </w:t>
      </w:r>
      <w:r w:rsidR="00ED5E3D">
        <w:rPr>
          <w:rFonts w:ascii="Palatino Linotype" w:hAnsi="Palatino Linotype" w:cs="Tahoma"/>
          <w:color w:val="000000"/>
          <w:sz w:val="22"/>
          <w:szCs w:val="22"/>
        </w:rPr>
        <w:t>la obligación de presentar la declaración patrimonial de mandos inferiores, tomo vigencia el primero de mayo de dos mil veintiuno</w:t>
      </w:r>
      <w:r w:rsidRPr="00E2113C">
        <w:rPr>
          <w:rFonts w:ascii="Palatino Linotype" w:hAnsi="Palatino Linotype" w:cs="Tahoma"/>
          <w:color w:val="000000"/>
          <w:sz w:val="22"/>
          <w:szCs w:val="22"/>
        </w:rPr>
        <w:t xml:space="preserve">; </w:t>
      </w:r>
      <w:r w:rsidRPr="00E2113C">
        <w:rPr>
          <w:rFonts w:ascii="Palatino Linotype" w:hAnsi="Palatino Linotype" w:cs="Tahoma"/>
          <w:bCs/>
          <w:sz w:val="22"/>
          <w:szCs w:val="22"/>
        </w:rPr>
        <w:t xml:space="preserve">por lo cual, </w:t>
      </w:r>
      <w:r w:rsidRPr="00E2113C">
        <w:rPr>
          <w:rFonts w:ascii="Palatino Linotype" w:hAnsi="Palatino Linotype" w:cs="Tahoma"/>
          <w:sz w:val="22"/>
          <w:szCs w:val="22"/>
        </w:rPr>
        <w:t>se considera que, el Sujeto Obligado señaló las razones por las cuales no contaba con lo requerido</w:t>
      </w:r>
      <w:r>
        <w:rPr>
          <w:rFonts w:ascii="Palatino Linotype" w:hAnsi="Palatino Linotype" w:cs="Tahoma"/>
          <w:sz w:val="22"/>
          <w:szCs w:val="22"/>
        </w:rPr>
        <w:t xml:space="preserve"> y cumplió con el segundo párrafo, del artículo 19 de la Ley de Transparencia y Acceso a la Información Pública del Estado de México y Municipios</w:t>
      </w:r>
      <w:r w:rsidR="00ED5E3D">
        <w:rPr>
          <w:rFonts w:ascii="Palatino Linotype" w:hAnsi="Palatino Linotype" w:cs="Tahoma"/>
          <w:sz w:val="22"/>
          <w:szCs w:val="22"/>
        </w:rPr>
        <w:t>.</w:t>
      </w:r>
    </w:p>
    <w:p w14:paraId="5981ECCC" w14:textId="77777777" w:rsidR="007C7B85" w:rsidRDefault="007C7B85" w:rsidP="00CD7DE8">
      <w:pPr>
        <w:spacing w:line="360" w:lineRule="auto"/>
        <w:jc w:val="both"/>
        <w:rPr>
          <w:rFonts w:ascii="Palatino Linotype" w:hAnsi="Palatino Linotype"/>
          <w:sz w:val="22"/>
          <w:szCs w:val="22"/>
        </w:rPr>
      </w:pPr>
    </w:p>
    <w:p w14:paraId="6B6AC4D8" w14:textId="2EFB1FB0" w:rsidR="00ED5E3D" w:rsidRDefault="00ED5E3D" w:rsidP="00CD7DE8">
      <w:pPr>
        <w:spacing w:line="360" w:lineRule="auto"/>
        <w:jc w:val="both"/>
        <w:rPr>
          <w:rFonts w:ascii="Palatino Linotype" w:hAnsi="Palatino Linotype"/>
          <w:sz w:val="22"/>
          <w:szCs w:val="22"/>
        </w:rPr>
      </w:pPr>
      <w:r>
        <w:rPr>
          <w:rFonts w:ascii="Palatino Linotype" w:hAnsi="Palatino Linotype"/>
          <w:sz w:val="22"/>
          <w:szCs w:val="22"/>
        </w:rPr>
        <w:t xml:space="preserve">Ahora bien, se procede analizar </w:t>
      </w:r>
      <w:r w:rsidR="009F64F8">
        <w:rPr>
          <w:rFonts w:ascii="Palatino Linotype" w:hAnsi="Palatino Linotype"/>
          <w:sz w:val="22"/>
          <w:szCs w:val="22"/>
        </w:rPr>
        <w:t>la informaci</w:t>
      </w:r>
      <w:r w:rsidR="009F64F8">
        <w:rPr>
          <w:rFonts w:ascii="Palatino Linotype" w:hAnsi="Palatino Linotype"/>
          <w:sz w:val="22"/>
          <w:szCs w:val="22"/>
          <w:lang w:val="x-none"/>
        </w:rPr>
        <w:t>ón referente a las</w:t>
      </w:r>
      <w:r>
        <w:rPr>
          <w:rFonts w:ascii="Palatino Linotype" w:hAnsi="Palatino Linotype"/>
          <w:sz w:val="22"/>
          <w:szCs w:val="22"/>
        </w:rPr>
        <w:t xml:space="preserve"> Manifestaciones de Bienes (del primero de enero de dos mil quince al treinta de mayo de dos mil diecisiete)</w:t>
      </w:r>
      <w:r w:rsidR="001E31E0">
        <w:rPr>
          <w:rFonts w:ascii="Palatino Linotype" w:hAnsi="Palatino Linotype"/>
          <w:sz w:val="22"/>
          <w:szCs w:val="22"/>
        </w:rPr>
        <w:t xml:space="preserve"> y Declaraciones Patrimoniales (del treinta y uno de mayo de dos mil diecisiete al veintiuno de </w:t>
      </w:r>
      <w:r w:rsidR="009F64F8">
        <w:rPr>
          <w:rFonts w:ascii="Palatino Linotype" w:hAnsi="Palatino Linotype"/>
          <w:sz w:val="22"/>
          <w:szCs w:val="22"/>
        </w:rPr>
        <w:t>abril</w:t>
      </w:r>
      <w:r w:rsidR="001E31E0">
        <w:rPr>
          <w:rFonts w:ascii="Palatino Linotype" w:hAnsi="Palatino Linotype"/>
          <w:sz w:val="22"/>
          <w:szCs w:val="22"/>
        </w:rPr>
        <w:t xml:space="preserve"> de dos mil veintiuno).</w:t>
      </w:r>
    </w:p>
    <w:p w14:paraId="6A123B2D" w14:textId="5B170154" w:rsidR="00C202A3" w:rsidRDefault="00C202A3" w:rsidP="00CD7DE8">
      <w:pPr>
        <w:spacing w:line="360" w:lineRule="auto"/>
        <w:jc w:val="both"/>
        <w:rPr>
          <w:rFonts w:ascii="Palatino Linotype" w:hAnsi="Palatino Linotype"/>
          <w:sz w:val="22"/>
          <w:szCs w:val="22"/>
        </w:rPr>
      </w:pPr>
    </w:p>
    <w:p w14:paraId="0965078F" w14:textId="72D07896" w:rsidR="001E31E0" w:rsidRPr="001E31E0" w:rsidRDefault="001E31E0" w:rsidP="001E31E0">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E</w:t>
      </w:r>
      <w:r w:rsidRPr="001E31E0">
        <w:rPr>
          <w:rFonts w:ascii="Palatino Linotype" w:hAnsi="Palatino Linotype" w:cs="Tahoma"/>
          <w:sz w:val="22"/>
          <w:szCs w:val="22"/>
          <w:lang w:val="es-ES"/>
        </w:rPr>
        <w:t>n principio es necesario traer a colación, el artículo 143, fracción I de la Ley de Transparencia y Acceso a la Información Pública del Estado de México y Municipios (homólogo al 116, último párrafo, de la Ley General de transparencia y Acceso a la Información Pública y al Trigésimo octavo, fracción II de los Lineamientos Generales), que establece lo siguiente:</w:t>
      </w:r>
    </w:p>
    <w:p w14:paraId="03DFB98B" w14:textId="77777777" w:rsidR="001E31E0" w:rsidRPr="001E31E0" w:rsidRDefault="001E31E0" w:rsidP="001E31E0">
      <w:pPr>
        <w:spacing w:line="360" w:lineRule="auto"/>
        <w:ind w:left="567" w:right="567"/>
        <w:jc w:val="both"/>
        <w:rPr>
          <w:rFonts w:ascii="Palatino Linotype" w:hAnsi="Palatino Linotype" w:cs="Tahoma"/>
          <w:sz w:val="22"/>
          <w:szCs w:val="22"/>
          <w:lang w:val="es-ES"/>
        </w:rPr>
      </w:pPr>
    </w:p>
    <w:p w14:paraId="38DDACA3" w14:textId="77777777" w:rsidR="001E31E0" w:rsidRPr="001E31E0" w:rsidRDefault="001E31E0" w:rsidP="001E31E0">
      <w:pPr>
        <w:spacing w:line="360" w:lineRule="auto"/>
        <w:ind w:left="567" w:right="567"/>
        <w:jc w:val="both"/>
        <w:rPr>
          <w:rFonts w:ascii="Palatino Linotype" w:hAnsi="Palatino Linotype" w:cs="Tahoma"/>
          <w:i/>
          <w:iCs/>
        </w:rPr>
      </w:pPr>
      <w:r w:rsidRPr="001E31E0">
        <w:rPr>
          <w:rFonts w:ascii="Palatino Linotype" w:hAnsi="Palatino Linotype" w:cs="Tahoma"/>
          <w:b/>
          <w:bCs/>
          <w:i/>
          <w:iCs/>
        </w:rPr>
        <w:lastRenderedPageBreak/>
        <w:t>“Artículo 143.</w:t>
      </w:r>
      <w:r w:rsidRPr="001E31E0">
        <w:rPr>
          <w:rFonts w:ascii="Palatino Linotype" w:hAnsi="Palatino Linotype" w:cs="Tahoma"/>
          <w:i/>
          <w:iCs/>
        </w:rPr>
        <w:t xml:space="preserve"> Para los efectos de esta Ley se considera información confidencial, la clasificada como tal, de manera permanente, por su naturaleza, cuando: </w:t>
      </w:r>
    </w:p>
    <w:p w14:paraId="2B34CA53" w14:textId="77777777" w:rsidR="001E31E0" w:rsidRPr="001E31E0" w:rsidRDefault="001E31E0" w:rsidP="001E31E0">
      <w:pPr>
        <w:spacing w:line="360" w:lineRule="auto"/>
        <w:ind w:left="567" w:right="567"/>
        <w:jc w:val="both"/>
        <w:rPr>
          <w:rFonts w:ascii="Palatino Linotype" w:hAnsi="Palatino Linotype" w:cs="Tahoma"/>
          <w:i/>
          <w:iCs/>
        </w:rPr>
      </w:pPr>
    </w:p>
    <w:p w14:paraId="23429537" w14:textId="77777777" w:rsidR="001E31E0" w:rsidRPr="001E31E0" w:rsidRDefault="001E31E0" w:rsidP="001E31E0">
      <w:pPr>
        <w:spacing w:line="360" w:lineRule="auto"/>
        <w:ind w:left="567" w:right="567"/>
        <w:jc w:val="both"/>
        <w:rPr>
          <w:rFonts w:ascii="Palatino Linotype" w:hAnsi="Palatino Linotype" w:cs="Tahoma"/>
          <w:i/>
          <w:iCs/>
        </w:rPr>
      </w:pPr>
      <w:r w:rsidRPr="001E31E0">
        <w:rPr>
          <w:rFonts w:ascii="Palatino Linotype" w:hAnsi="Palatino Linotype" w:cs="Tahoma"/>
          <w:i/>
          <w:iCs/>
        </w:rPr>
        <w:t>I. Se refiera a la información privada y los datos personales concernientes a una persona física o jurídico colectiva identificada o identificable;</w:t>
      </w:r>
    </w:p>
    <w:p w14:paraId="4C632843" w14:textId="77777777" w:rsidR="001E31E0" w:rsidRPr="001E31E0" w:rsidRDefault="001E31E0" w:rsidP="001E31E0">
      <w:pPr>
        <w:spacing w:line="360" w:lineRule="auto"/>
        <w:ind w:left="567" w:right="567"/>
        <w:jc w:val="both"/>
        <w:rPr>
          <w:rFonts w:ascii="Palatino Linotype" w:hAnsi="Palatino Linotype" w:cs="Tahoma"/>
          <w:i/>
          <w:iCs/>
          <w:lang w:val="es-ES"/>
        </w:rPr>
      </w:pPr>
      <w:r w:rsidRPr="001E31E0">
        <w:rPr>
          <w:rFonts w:ascii="Palatino Linotype" w:hAnsi="Palatino Linotype" w:cs="Tahoma"/>
          <w:i/>
          <w:iCs/>
        </w:rPr>
        <w:t>…”</w:t>
      </w:r>
    </w:p>
    <w:p w14:paraId="130C5E8C" w14:textId="77777777" w:rsidR="001E31E0" w:rsidRPr="001E31E0" w:rsidRDefault="001E31E0" w:rsidP="001E31E0">
      <w:pPr>
        <w:spacing w:line="360" w:lineRule="auto"/>
        <w:jc w:val="both"/>
        <w:rPr>
          <w:rFonts w:ascii="Palatino Linotype" w:hAnsi="Palatino Linotype" w:cs="Tahoma"/>
          <w:sz w:val="22"/>
          <w:szCs w:val="22"/>
          <w:lang w:val="es-ES"/>
        </w:rPr>
      </w:pPr>
    </w:p>
    <w:p w14:paraId="5C93C9EB" w14:textId="77777777" w:rsidR="001E31E0" w:rsidRPr="001E31E0" w:rsidRDefault="001E31E0" w:rsidP="001E31E0">
      <w:pPr>
        <w:spacing w:line="360" w:lineRule="auto"/>
        <w:jc w:val="both"/>
        <w:rPr>
          <w:rFonts w:ascii="Palatino Linotype" w:hAnsi="Palatino Linotype" w:cs="Tahoma"/>
          <w:sz w:val="22"/>
          <w:szCs w:val="22"/>
          <w:lang w:val="es-ES"/>
        </w:rPr>
      </w:pPr>
      <w:r w:rsidRPr="001E31E0">
        <w:rPr>
          <w:rFonts w:ascii="Palatino Linotype" w:hAnsi="Palatino Linotype" w:cs="Tahoma"/>
          <w:sz w:val="22"/>
          <w:szCs w:val="22"/>
          <w:lang w:val="es-ES"/>
        </w:rPr>
        <w:t>Como se logra observar, se considera como información confidencial, aquella que refiera a la información privada y los datos personales concernientes a una persona física o jurídico colectiva identificada o identificable; sobre el tema, el Cuadragésimo de los Lineamientos Generales, establece lo siguiente:</w:t>
      </w:r>
    </w:p>
    <w:p w14:paraId="2CB62AE4" w14:textId="77777777" w:rsidR="001E31E0" w:rsidRPr="001E31E0" w:rsidRDefault="001E31E0" w:rsidP="001E31E0">
      <w:pPr>
        <w:spacing w:line="360" w:lineRule="auto"/>
        <w:jc w:val="both"/>
        <w:rPr>
          <w:rFonts w:ascii="Palatino Linotype" w:hAnsi="Palatino Linotype" w:cs="Tahoma"/>
          <w:sz w:val="22"/>
          <w:szCs w:val="22"/>
          <w:lang w:val="es-ES"/>
        </w:rPr>
      </w:pPr>
    </w:p>
    <w:p w14:paraId="63984398" w14:textId="77777777" w:rsidR="001E31E0" w:rsidRPr="001E31E0" w:rsidRDefault="001E31E0" w:rsidP="001E31E0">
      <w:pPr>
        <w:spacing w:line="360" w:lineRule="auto"/>
        <w:ind w:left="567" w:right="567"/>
        <w:jc w:val="both"/>
        <w:rPr>
          <w:rFonts w:ascii="Palatino Linotype" w:hAnsi="Palatino Linotype" w:cs="Tahoma"/>
          <w:i/>
          <w:iCs/>
        </w:rPr>
      </w:pPr>
      <w:r w:rsidRPr="001E31E0">
        <w:rPr>
          <w:rFonts w:ascii="Palatino Linotype" w:hAnsi="Palatino Linotype" w:cs="Tahoma"/>
          <w:i/>
          <w:iCs/>
        </w:rPr>
        <w:t xml:space="preserve">“Trigésimo octavo. Se considera información confidencial: </w:t>
      </w:r>
    </w:p>
    <w:p w14:paraId="63660518" w14:textId="77777777" w:rsidR="001E31E0" w:rsidRPr="001E31E0" w:rsidRDefault="001E31E0" w:rsidP="001E31E0">
      <w:pPr>
        <w:spacing w:line="360" w:lineRule="auto"/>
        <w:ind w:left="567" w:right="567"/>
        <w:jc w:val="both"/>
        <w:rPr>
          <w:rFonts w:ascii="Palatino Linotype" w:hAnsi="Palatino Linotype" w:cs="Tahoma"/>
          <w:i/>
          <w:iCs/>
        </w:rPr>
      </w:pPr>
    </w:p>
    <w:p w14:paraId="5BDE529E" w14:textId="77777777" w:rsidR="001E31E0" w:rsidRPr="001E31E0" w:rsidRDefault="001E31E0" w:rsidP="001E31E0">
      <w:pPr>
        <w:spacing w:line="360" w:lineRule="auto"/>
        <w:ind w:left="567" w:right="567"/>
        <w:jc w:val="both"/>
        <w:rPr>
          <w:rFonts w:ascii="Palatino Linotype" w:hAnsi="Palatino Linotype" w:cs="Tahoma"/>
          <w:i/>
          <w:iCs/>
        </w:rPr>
      </w:pPr>
      <w:r w:rsidRPr="001E31E0">
        <w:rPr>
          <w:rFonts w:ascii="Palatino Linotype" w:hAnsi="Palatino Linotype" w:cs="Tahoma"/>
          <w:i/>
          <w:iCs/>
        </w:rPr>
        <w:t>I. Los datos personales en los términos de la norma aplicable;</w:t>
      </w:r>
    </w:p>
    <w:p w14:paraId="7B145CA0" w14:textId="77777777" w:rsidR="001E31E0" w:rsidRPr="001E31E0" w:rsidRDefault="001E31E0" w:rsidP="001E31E0">
      <w:pPr>
        <w:spacing w:line="360" w:lineRule="auto"/>
        <w:ind w:left="567" w:right="567"/>
        <w:jc w:val="both"/>
        <w:rPr>
          <w:rFonts w:ascii="Palatino Linotype" w:hAnsi="Palatino Linotype" w:cs="Tahoma"/>
          <w:i/>
          <w:iCs/>
          <w:lang w:val="es-ES"/>
        </w:rPr>
      </w:pPr>
      <w:r w:rsidRPr="001E31E0">
        <w:rPr>
          <w:rFonts w:ascii="Palatino Linotype" w:hAnsi="Palatino Linotype" w:cs="Tahoma"/>
          <w:i/>
          <w:iCs/>
        </w:rPr>
        <w:t>…”</w:t>
      </w:r>
    </w:p>
    <w:p w14:paraId="57324F2C" w14:textId="77777777" w:rsidR="001E31E0" w:rsidRPr="001E31E0" w:rsidRDefault="001E31E0" w:rsidP="001E31E0">
      <w:pPr>
        <w:spacing w:line="360" w:lineRule="auto"/>
        <w:jc w:val="both"/>
        <w:rPr>
          <w:rFonts w:ascii="Palatino Linotype" w:hAnsi="Palatino Linotype" w:cs="Tahoma"/>
          <w:sz w:val="22"/>
          <w:szCs w:val="22"/>
          <w:lang w:val="es-ES"/>
        </w:rPr>
      </w:pPr>
    </w:p>
    <w:p w14:paraId="40143E4D" w14:textId="77777777" w:rsidR="001E31E0" w:rsidRPr="001E31E0" w:rsidRDefault="001E31E0" w:rsidP="001E31E0">
      <w:pPr>
        <w:spacing w:line="360" w:lineRule="auto"/>
        <w:jc w:val="both"/>
        <w:rPr>
          <w:rFonts w:ascii="Palatino Linotype" w:hAnsi="Palatino Linotype" w:cs="Tahoma"/>
          <w:sz w:val="22"/>
          <w:szCs w:val="22"/>
          <w:lang w:val="es-ES"/>
        </w:rPr>
      </w:pPr>
      <w:r w:rsidRPr="001E31E0">
        <w:rPr>
          <w:rFonts w:ascii="Palatino Linotype" w:hAnsi="Palatino Linotype" w:cs="Tahoma"/>
          <w:sz w:val="22"/>
          <w:szCs w:val="22"/>
          <w:lang w:val="es-ES"/>
        </w:rPr>
        <w:t>En ese contexto, se puede advertir que se podrá clasificar como información confidencial, aquella que refiera a la vida privada y los datos personales.</w:t>
      </w:r>
    </w:p>
    <w:p w14:paraId="63A6D85A" w14:textId="794233B5" w:rsidR="001E31E0" w:rsidRDefault="001E31E0" w:rsidP="001E31E0">
      <w:pPr>
        <w:spacing w:line="360" w:lineRule="auto"/>
        <w:ind w:right="-93"/>
        <w:jc w:val="both"/>
        <w:rPr>
          <w:rFonts w:ascii="Palatino Linotype" w:hAnsi="Palatino Linotype" w:cs="Tahoma"/>
          <w:b/>
          <w:sz w:val="22"/>
          <w:szCs w:val="22"/>
          <w:lang w:eastAsia="es-MX"/>
        </w:rPr>
      </w:pPr>
    </w:p>
    <w:p w14:paraId="2C96767B" w14:textId="77777777" w:rsidR="007A6C0D" w:rsidRPr="007A6C0D" w:rsidRDefault="007A6C0D" w:rsidP="007A6C0D">
      <w:pPr>
        <w:tabs>
          <w:tab w:val="left" w:pos="4962"/>
        </w:tabs>
        <w:spacing w:line="360" w:lineRule="auto"/>
        <w:jc w:val="both"/>
        <w:rPr>
          <w:rFonts w:ascii="Palatino Linotype" w:eastAsia="Calibri" w:hAnsi="Palatino Linotype" w:cs="Tahoma"/>
          <w:iCs/>
          <w:sz w:val="22"/>
          <w:szCs w:val="22"/>
          <w:lang w:val="es-ES" w:eastAsia="es-ES_tradnl"/>
        </w:rPr>
      </w:pPr>
      <w:r w:rsidRPr="007A6C0D">
        <w:rPr>
          <w:rFonts w:ascii="Palatino Linotype" w:eastAsia="Calibri" w:hAnsi="Palatino Linotype" w:cs="Tahoma"/>
          <w:iCs/>
          <w:sz w:val="22"/>
          <w:szCs w:val="22"/>
          <w:lang w:val="es-ES" w:eastAsia="es-ES_tradnl"/>
        </w:rPr>
        <w:t>Al respecto, es de mencionar que el artículo 29 de la Ley General de Responsabilidades Administrativas, precisa lo siguiente:</w:t>
      </w:r>
    </w:p>
    <w:p w14:paraId="234C1EF5" w14:textId="77777777" w:rsidR="007A6C0D" w:rsidRPr="007A6C0D" w:rsidRDefault="007A6C0D" w:rsidP="007A6C0D">
      <w:pPr>
        <w:tabs>
          <w:tab w:val="left" w:pos="4962"/>
        </w:tabs>
        <w:spacing w:line="360" w:lineRule="auto"/>
        <w:jc w:val="both"/>
        <w:rPr>
          <w:rFonts w:ascii="Palatino Linotype" w:eastAsia="Calibri" w:hAnsi="Palatino Linotype" w:cs="Tahoma"/>
          <w:iCs/>
          <w:sz w:val="22"/>
          <w:szCs w:val="22"/>
          <w:lang w:val="es-ES" w:eastAsia="es-ES_tradnl"/>
        </w:rPr>
      </w:pPr>
    </w:p>
    <w:p w14:paraId="3A4C616A" w14:textId="77777777" w:rsidR="007A6C0D" w:rsidRPr="007A6C0D" w:rsidRDefault="007A6C0D" w:rsidP="007A6C0D">
      <w:pPr>
        <w:tabs>
          <w:tab w:val="left" w:pos="4962"/>
        </w:tabs>
        <w:spacing w:line="360" w:lineRule="auto"/>
        <w:ind w:left="567" w:right="567"/>
        <w:jc w:val="both"/>
        <w:rPr>
          <w:rFonts w:ascii="Palatino Linotype" w:eastAsia="Calibri" w:hAnsi="Palatino Linotype" w:cs="Tahoma"/>
          <w:bCs/>
          <w:i/>
          <w:iCs/>
          <w:lang w:val="es-ES" w:eastAsia="es-ES_tradnl"/>
        </w:rPr>
      </w:pPr>
      <w:r w:rsidRPr="007A6C0D">
        <w:rPr>
          <w:rFonts w:ascii="Palatino Linotype" w:eastAsia="Calibri" w:hAnsi="Palatino Linotype" w:cs="Tahoma"/>
          <w:b/>
          <w:i/>
          <w:iCs/>
          <w:lang w:val="es-ES" w:eastAsia="es-ES_tradnl"/>
        </w:rPr>
        <w:t xml:space="preserve">“Artículo 29. </w:t>
      </w:r>
      <w:r w:rsidRPr="007A6C0D">
        <w:rPr>
          <w:rFonts w:ascii="Palatino Linotype" w:eastAsia="Calibri" w:hAnsi="Palatino Linotype" w:cs="Tahoma"/>
          <w:bCs/>
          <w:i/>
          <w:iCs/>
          <w:lang w:val="es-ES" w:eastAsia="es-ES_tradnl"/>
        </w:rPr>
        <w:t xml:space="preserve">Las declaraciones patrimoniales y de intereses serán públicas salvo los rubros cuya publicidad pueda afectar la vida privada o los datos personales protegidos por la Constitución. Para tal efecto, el Comité Coordinador, a propuesta del Comité de Participación Ciudadana, emitirá los </w:t>
      </w:r>
      <w:r w:rsidRPr="007A6C0D">
        <w:rPr>
          <w:rFonts w:ascii="Palatino Linotype" w:eastAsia="Calibri" w:hAnsi="Palatino Linotype" w:cs="Tahoma"/>
          <w:bCs/>
          <w:i/>
          <w:iCs/>
          <w:lang w:val="es-ES" w:eastAsia="es-ES_tradnl"/>
        </w:rPr>
        <w:lastRenderedPageBreak/>
        <w:t>formatos respectivos, garantizando que los rubros que pudieran afectar los derechos aludidos queden en resguardo de las autoridades competentes.”</w:t>
      </w:r>
    </w:p>
    <w:p w14:paraId="1F41F321" w14:textId="77777777" w:rsidR="007A6C0D" w:rsidRPr="007A6C0D" w:rsidRDefault="007A6C0D" w:rsidP="007A6C0D">
      <w:pPr>
        <w:tabs>
          <w:tab w:val="left" w:pos="4962"/>
        </w:tabs>
        <w:spacing w:line="360" w:lineRule="auto"/>
        <w:jc w:val="both"/>
        <w:rPr>
          <w:rFonts w:ascii="Palatino Linotype" w:eastAsia="Calibri" w:hAnsi="Palatino Linotype" w:cs="Tahoma"/>
          <w:iCs/>
          <w:sz w:val="22"/>
          <w:szCs w:val="22"/>
          <w:lang w:val="es-ES" w:eastAsia="es-ES_tradnl"/>
        </w:rPr>
      </w:pPr>
    </w:p>
    <w:p w14:paraId="401907BD" w14:textId="77777777" w:rsidR="007A6C0D" w:rsidRPr="007A6C0D" w:rsidRDefault="007A6C0D" w:rsidP="007A6C0D">
      <w:pPr>
        <w:tabs>
          <w:tab w:val="left" w:pos="4962"/>
        </w:tabs>
        <w:spacing w:line="360" w:lineRule="auto"/>
        <w:jc w:val="both"/>
        <w:rPr>
          <w:rFonts w:ascii="Palatino Linotype" w:eastAsia="Calibri" w:hAnsi="Palatino Linotype" w:cs="Tahoma"/>
          <w:iCs/>
          <w:sz w:val="22"/>
          <w:szCs w:val="22"/>
          <w:lang w:val="es-ES" w:eastAsia="es-ES_tradnl"/>
        </w:rPr>
      </w:pPr>
      <w:r w:rsidRPr="007A6C0D">
        <w:rPr>
          <w:rFonts w:ascii="Palatino Linotype" w:eastAsia="Calibri" w:hAnsi="Palatino Linotype" w:cs="Tahoma"/>
          <w:iCs/>
          <w:sz w:val="22"/>
          <w:szCs w:val="22"/>
          <w:lang w:val="es-ES" w:eastAsia="es-ES_tradnl"/>
        </w:rPr>
        <w:t>Por su parte, el artículo 30 de la Ley de Responsabilidades Administrativas del Estado de México y Municipios, establece lo siguiente:</w:t>
      </w:r>
    </w:p>
    <w:p w14:paraId="1B4AB3D5" w14:textId="77777777" w:rsidR="007A6C0D" w:rsidRPr="007A6C0D" w:rsidRDefault="007A6C0D" w:rsidP="007A6C0D">
      <w:pPr>
        <w:tabs>
          <w:tab w:val="left" w:pos="4962"/>
        </w:tabs>
        <w:spacing w:line="360" w:lineRule="auto"/>
        <w:jc w:val="both"/>
        <w:rPr>
          <w:rFonts w:ascii="Palatino Linotype" w:eastAsia="Calibri" w:hAnsi="Palatino Linotype" w:cs="Tahoma"/>
          <w:iCs/>
          <w:sz w:val="22"/>
          <w:szCs w:val="22"/>
          <w:lang w:val="es-ES" w:eastAsia="es-ES_tradnl"/>
        </w:rPr>
      </w:pPr>
    </w:p>
    <w:p w14:paraId="1BE1A183" w14:textId="77777777" w:rsidR="007A6C0D" w:rsidRPr="007A6C0D" w:rsidRDefault="007A6C0D" w:rsidP="007A6C0D">
      <w:pPr>
        <w:tabs>
          <w:tab w:val="left" w:pos="4962"/>
        </w:tabs>
        <w:spacing w:line="360" w:lineRule="auto"/>
        <w:ind w:left="567" w:right="567"/>
        <w:jc w:val="both"/>
        <w:rPr>
          <w:rFonts w:ascii="Palatino Linotype" w:eastAsia="Calibri" w:hAnsi="Palatino Linotype" w:cs="Tahoma"/>
          <w:i/>
          <w:iCs/>
          <w:lang w:val="es-ES" w:eastAsia="es-ES_tradnl"/>
        </w:rPr>
      </w:pPr>
      <w:r w:rsidRPr="007A6C0D">
        <w:rPr>
          <w:rFonts w:ascii="Palatino Linotype" w:eastAsia="Calibri" w:hAnsi="Palatino Linotype" w:cs="Tahoma"/>
          <w:b/>
          <w:i/>
          <w:iCs/>
          <w:lang w:val="es-ES" w:eastAsia="es-ES_tradnl"/>
        </w:rPr>
        <w:t>“Artículo 30.</w:t>
      </w:r>
      <w:r w:rsidRPr="007A6C0D">
        <w:rPr>
          <w:rFonts w:ascii="Palatino Linotype" w:eastAsia="Calibri" w:hAnsi="Palatino Linotype" w:cs="Tahoma"/>
          <w:i/>
          <w:iCs/>
          <w:lang w:val="es-ES" w:eastAsia="es-ES_tradnl"/>
        </w:rPr>
        <w:t xml:space="preserve"> </w:t>
      </w:r>
      <w:r w:rsidRPr="007A6C0D">
        <w:rPr>
          <w:rFonts w:ascii="Palatino Linotype" w:eastAsia="Calibri" w:hAnsi="Palatino Linotype" w:cs="Tahoma"/>
          <w:b/>
          <w:i/>
          <w:iCs/>
          <w:u w:val="single"/>
          <w:lang w:val="es-ES" w:eastAsia="es-ES_tradnl"/>
        </w:rPr>
        <w:t>Las declaraciones patrimonial y de intereses</w:t>
      </w:r>
      <w:r w:rsidRPr="007A6C0D">
        <w:rPr>
          <w:rFonts w:ascii="Palatino Linotype" w:eastAsia="Calibri" w:hAnsi="Palatino Linotype" w:cs="Tahoma"/>
          <w:i/>
          <w:iCs/>
          <w:u w:val="single"/>
          <w:lang w:val="es-ES" w:eastAsia="es-ES_tradnl"/>
        </w:rPr>
        <w:t xml:space="preserve">, </w:t>
      </w:r>
      <w:r w:rsidRPr="007A6C0D">
        <w:rPr>
          <w:rFonts w:ascii="Palatino Linotype" w:eastAsia="Calibri" w:hAnsi="Palatino Linotype" w:cs="Tahoma"/>
          <w:b/>
          <w:i/>
          <w:iCs/>
          <w:u w:val="single"/>
          <w:lang w:val="es-ES" w:eastAsia="es-ES_tradnl"/>
        </w:rPr>
        <w:t>serán públicas</w:t>
      </w:r>
      <w:r w:rsidRPr="007A6C0D">
        <w:rPr>
          <w:rFonts w:ascii="Palatino Linotype" w:eastAsia="Calibri" w:hAnsi="Palatino Linotype" w:cs="Tahoma"/>
          <w:i/>
          <w:iCs/>
          <w:lang w:val="es-ES" w:eastAsia="es-ES_tradnl"/>
        </w:rPr>
        <w:t xml:space="preserve">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w:t>
      </w:r>
    </w:p>
    <w:p w14:paraId="7316C8FD" w14:textId="7092079F" w:rsidR="007A6C0D" w:rsidRDefault="007A6C0D" w:rsidP="007A6C0D">
      <w:pPr>
        <w:tabs>
          <w:tab w:val="left" w:pos="4962"/>
        </w:tabs>
        <w:spacing w:line="360" w:lineRule="auto"/>
        <w:jc w:val="both"/>
        <w:rPr>
          <w:rFonts w:ascii="Palatino Linotype" w:eastAsia="Calibri" w:hAnsi="Palatino Linotype" w:cs="Tahoma"/>
          <w:i/>
          <w:iCs/>
          <w:sz w:val="22"/>
          <w:szCs w:val="22"/>
          <w:lang w:val="es-ES" w:eastAsia="es-ES_tradnl"/>
        </w:rPr>
      </w:pPr>
    </w:p>
    <w:p w14:paraId="667F190C" w14:textId="13E53F15" w:rsidR="007A6C0D" w:rsidRDefault="007A6C0D" w:rsidP="007A6C0D">
      <w:pPr>
        <w:tabs>
          <w:tab w:val="left" w:pos="4962"/>
        </w:tabs>
        <w:spacing w:line="360" w:lineRule="auto"/>
        <w:ind w:right="-28"/>
        <w:jc w:val="both"/>
        <w:rPr>
          <w:rFonts w:ascii="Palatino Linotype" w:eastAsia="Calibri" w:hAnsi="Palatino Linotype" w:cs="Tahoma"/>
          <w:iCs/>
          <w:sz w:val="22"/>
          <w:lang w:val="es-ES" w:eastAsia="es-ES_tradnl"/>
        </w:rPr>
      </w:pPr>
      <w:r>
        <w:rPr>
          <w:rFonts w:ascii="Palatino Linotype" w:eastAsia="Calibri" w:hAnsi="Palatino Linotype" w:cs="Tahoma"/>
          <w:sz w:val="22"/>
          <w:szCs w:val="22"/>
          <w:lang w:val="es-ES" w:eastAsia="es-ES_tradnl"/>
        </w:rPr>
        <w:t xml:space="preserve">De los artículos citados, se logra advertir </w:t>
      </w:r>
      <w:r>
        <w:rPr>
          <w:rFonts w:ascii="Palatino Linotype" w:eastAsia="Calibri" w:hAnsi="Palatino Linotype" w:cs="Tahoma"/>
          <w:iCs/>
          <w:sz w:val="22"/>
          <w:szCs w:val="22"/>
          <w:lang w:val="es-ES" w:eastAsia="es-ES_tradnl"/>
        </w:rPr>
        <w:t>que las declaraciones patrimoniales serán públicas, salvo los rubros cuya publicidad pueda afectar la vida privada y los datos personales; para lo cual, el Comité Coordinador, a propuesta del Comité de Participación Ciudadana, deberá emitir los formatos respectivos para realizar las versiones públicas.</w:t>
      </w:r>
    </w:p>
    <w:p w14:paraId="1D4851AE" w14:textId="77777777" w:rsidR="007A6C0D" w:rsidRDefault="007A6C0D" w:rsidP="007A6C0D">
      <w:pPr>
        <w:tabs>
          <w:tab w:val="left" w:pos="4962"/>
        </w:tabs>
        <w:spacing w:line="360" w:lineRule="auto"/>
        <w:jc w:val="both"/>
        <w:rPr>
          <w:rFonts w:ascii="Palatino Linotype" w:eastAsia="Calibri" w:hAnsi="Palatino Linotype" w:cs="Tahoma"/>
          <w:iCs/>
          <w:sz w:val="22"/>
          <w:szCs w:val="22"/>
          <w:lang w:val="es-ES_tradnl" w:eastAsia="es-ES_tradnl"/>
        </w:rPr>
      </w:pPr>
    </w:p>
    <w:p w14:paraId="03FBCAE2" w14:textId="5692CE2F" w:rsidR="007A6C0D" w:rsidRPr="007A6C0D" w:rsidRDefault="007D70F8" w:rsidP="007A6C0D">
      <w:pPr>
        <w:tabs>
          <w:tab w:val="left" w:pos="4962"/>
        </w:tabs>
        <w:spacing w:line="360" w:lineRule="auto"/>
        <w:jc w:val="both"/>
        <w:rPr>
          <w:rFonts w:ascii="Palatino Linotype" w:eastAsia="Calibri" w:hAnsi="Palatino Linotype" w:cs="Tahoma"/>
          <w:iCs/>
          <w:sz w:val="22"/>
          <w:szCs w:val="22"/>
          <w:lang w:val="es-ES_tradnl" w:eastAsia="es-ES_tradnl"/>
        </w:rPr>
      </w:pPr>
      <w:r>
        <w:rPr>
          <w:rFonts w:ascii="Palatino Linotype" w:eastAsia="Calibri" w:hAnsi="Palatino Linotype" w:cs="Tahoma"/>
          <w:iCs/>
          <w:sz w:val="22"/>
          <w:szCs w:val="22"/>
          <w:lang w:val="es-ES_tradnl" w:eastAsia="es-ES_tradnl"/>
        </w:rPr>
        <w:t>Asimismo</w:t>
      </w:r>
      <w:r w:rsidR="007A6C0D" w:rsidRPr="007A6C0D">
        <w:rPr>
          <w:rFonts w:ascii="Palatino Linotype" w:eastAsia="Calibri" w:hAnsi="Palatino Linotype" w:cs="Tahoma"/>
          <w:iCs/>
          <w:sz w:val="22"/>
          <w:szCs w:val="22"/>
          <w:lang w:val="es-ES_tradnl" w:eastAsia="es-ES_tradnl"/>
        </w:rPr>
        <w:t xml:space="preserve">, el Transitorio Tercero de la Ley General de Responsabilidades Administrativas, determina: </w:t>
      </w:r>
    </w:p>
    <w:p w14:paraId="6DA30508" w14:textId="77777777" w:rsidR="007A6C0D" w:rsidRPr="007A6C0D" w:rsidRDefault="007A6C0D" w:rsidP="007A6C0D">
      <w:pPr>
        <w:tabs>
          <w:tab w:val="left" w:pos="4962"/>
        </w:tabs>
        <w:spacing w:line="360" w:lineRule="auto"/>
        <w:jc w:val="both"/>
        <w:rPr>
          <w:rFonts w:ascii="Palatino Linotype" w:eastAsia="Calibri" w:hAnsi="Palatino Linotype" w:cs="Tahoma"/>
          <w:iCs/>
          <w:lang w:val="es-ES_tradnl" w:eastAsia="es-ES_tradnl"/>
        </w:rPr>
      </w:pPr>
    </w:p>
    <w:p w14:paraId="2205084F" w14:textId="77777777" w:rsidR="007A6C0D" w:rsidRPr="007A6C0D" w:rsidRDefault="007A6C0D" w:rsidP="007A6C0D">
      <w:pPr>
        <w:tabs>
          <w:tab w:val="left" w:pos="4962"/>
        </w:tabs>
        <w:spacing w:line="360" w:lineRule="auto"/>
        <w:ind w:left="567" w:right="567"/>
        <w:jc w:val="both"/>
        <w:rPr>
          <w:rFonts w:ascii="Palatino Linotype" w:eastAsia="Calibri" w:hAnsi="Palatino Linotype" w:cs="Tahoma"/>
          <w:i/>
          <w:iCs/>
          <w:lang w:val="es-ES_tradnl" w:eastAsia="es-ES_tradnl"/>
        </w:rPr>
      </w:pPr>
      <w:r w:rsidRPr="007A6C0D">
        <w:rPr>
          <w:rFonts w:ascii="Palatino Linotype" w:eastAsia="Calibri" w:hAnsi="Palatino Linotype" w:cs="Tahoma"/>
          <w:b/>
          <w:i/>
          <w:iCs/>
          <w:lang w:val="es-ES_tradnl" w:eastAsia="es-ES_tradnl"/>
        </w:rPr>
        <w:t>“Tercero.</w:t>
      </w:r>
      <w:r w:rsidRPr="007A6C0D">
        <w:rPr>
          <w:rFonts w:ascii="Palatino Linotype" w:eastAsia="Calibri" w:hAnsi="Palatino Linotype" w:cs="Tahoma"/>
          <w:i/>
          <w:iCs/>
          <w:lang w:val="es-ES_tradnl" w:eastAsia="es-ES_tradnl"/>
        </w:rPr>
        <w:t xml:space="preserve"> …</w:t>
      </w:r>
    </w:p>
    <w:p w14:paraId="361C70AD" w14:textId="77777777" w:rsidR="007A6C0D" w:rsidRPr="007A6C0D" w:rsidRDefault="007A6C0D" w:rsidP="007A6C0D">
      <w:pPr>
        <w:tabs>
          <w:tab w:val="left" w:pos="4962"/>
        </w:tabs>
        <w:spacing w:line="360" w:lineRule="auto"/>
        <w:ind w:left="567" w:right="567"/>
        <w:jc w:val="both"/>
        <w:rPr>
          <w:rFonts w:ascii="Palatino Linotype" w:eastAsia="Calibri" w:hAnsi="Palatino Linotype" w:cs="Tahoma"/>
          <w:bCs/>
          <w:i/>
          <w:iCs/>
          <w:lang w:val="es-ES_tradnl" w:eastAsia="es-ES_tradnl"/>
        </w:rPr>
      </w:pPr>
      <w:r w:rsidRPr="007A6C0D">
        <w:rPr>
          <w:rFonts w:ascii="Palatino Linotype" w:eastAsia="Calibri" w:hAnsi="Palatino Linotype" w:cs="Tahoma"/>
          <w:bCs/>
          <w:i/>
          <w:iCs/>
          <w:lang w:val="es-ES_tradnl" w:eastAsia="es-ES_tradnl"/>
        </w:rPr>
        <w:t>…</w:t>
      </w:r>
    </w:p>
    <w:p w14:paraId="7C1B7C9A" w14:textId="77777777" w:rsidR="007A6C0D" w:rsidRPr="007A6C0D" w:rsidRDefault="007A6C0D" w:rsidP="007A6C0D">
      <w:pPr>
        <w:tabs>
          <w:tab w:val="left" w:pos="4962"/>
        </w:tabs>
        <w:spacing w:line="360" w:lineRule="auto"/>
        <w:ind w:left="567" w:right="567"/>
        <w:jc w:val="both"/>
        <w:rPr>
          <w:rFonts w:ascii="Palatino Linotype" w:eastAsia="Calibri" w:hAnsi="Palatino Linotype" w:cs="Tahoma"/>
          <w:i/>
          <w:iCs/>
          <w:lang w:val="es-ES_tradnl" w:eastAsia="es-ES_tradnl"/>
        </w:rPr>
      </w:pPr>
      <w:r w:rsidRPr="007A6C0D">
        <w:rPr>
          <w:rFonts w:ascii="Palatino Linotype" w:eastAsia="Calibri" w:hAnsi="Palatino Linotype" w:cs="Tahoma"/>
          <w:b/>
          <w:i/>
          <w:iCs/>
          <w:lang w:val="es-ES_tradnl" w:eastAsia="es-ES_tradnl"/>
        </w:rPr>
        <w:t>El cumplimiento de las obligaciones</w:t>
      </w:r>
      <w:r w:rsidRPr="007A6C0D">
        <w:rPr>
          <w:rFonts w:ascii="Palatino Linotype" w:eastAsia="Calibri" w:hAnsi="Palatino Linotype" w:cs="Tahoma"/>
          <w:i/>
          <w:iCs/>
          <w:lang w:val="es-ES_tradnl" w:eastAsia="es-ES_tradnl"/>
        </w:rPr>
        <w:t xml:space="preserve"> previstas en la Ley General de Responsabilidades Administrativas, una vez que ésta entre en vigor, </w:t>
      </w:r>
      <w:r w:rsidRPr="007A6C0D">
        <w:rPr>
          <w:rFonts w:ascii="Palatino Linotype" w:eastAsia="Calibri" w:hAnsi="Palatino Linotype" w:cs="Tahoma"/>
          <w:b/>
          <w:i/>
          <w:iCs/>
          <w:lang w:val="es-ES_tradnl" w:eastAsia="es-ES_tradnl"/>
        </w:rPr>
        <w:t xml:space="preserve">serán exigibles, en lo que resulte aplicable, hasta en tanto el Comité Coordinador del Sistema Nacional Anticorrupción, de </w:t>
      </w:r>
      <w:r w:rsidRPr="007A6C0D">
        <w:rPr>
          <w:rFonts w:ascii="Palatino Linotype" w:eastAsia="Calibri" w:hAnsi="Palatino Linotype" w:cs="Tahoma"/>
          <w:b/>
          <w:i/>
          <w:iCs/>
          <w:lang w:val="es-ES_tradnl" w:eastAsia="es-ES_tradnl"/>
        </w:rPr>
        <w:lastRenderedPageBreak/>
        <w:t>conformidad con la ley de la materia, emita los lineamientos, criterios y demás resoluciones conducentes de su competencia</w:t>
      </w:r>
      <w:r w:rsidRPr="007A6C0D">
        <w:rPr>
          <w:rFonts w:ascii="Palatino Linotype" w:eastAsia="Calibri" w:hAnsi="Palatino Linotype" w:cs="Tahoma"/>
          <w:i/>
          <w:iCs/>
          <w:lang w:val="es-ES_tradnl" w:eastAsia="es-ES_tradnl"/>
        </w:rPr>
        <w:t>.</w:t>
      </w:r>
    </w:p>
    <w:p w14:paraId="45882565" w14:textId="77777777" w:rsidR="007A6C0D" w:rsidRPr="007A6C0D" w:rsidRDefault="007A6C0D" w:rsidP="007A6C0D">
      <w:pPr>
        <w:tabs>
          <w:tab w:val="left" w:pos="4962"/>
        </w:tabs>
        <w:spacing w:line="360" w:lineRule="auto"/>
        <w:ind w:left="567" w:right="567"/>
        <w:jc w:val="both"/>
        <w:rPr>
          <w:rFonts w:ascii="Palatino Linotype" w:eastAsia="Calibri" w:hAnsi="Palatino Linotype" w:cs="Tahoma"/>
          <w:i/>
          <w:iCs/>
          <w:lang w:val="es-ES" w:eastAsia="es-ES_tradnl"/>
        </w:rPr>
      </w:pPr>
      <w:r w:rsidRPr="007A6C0D">
        <w:rPr>
          <w:rFonts w:ascii="Palatino Linotype" w:eastAsia="Calibri" w:hAnsi="Palatino Linotype" w:cs="Tahoma"/>
          <w:i/>
          <w:iCs/>
          <w:lang w:val="es-ES_tradnl" w:eastAsia="es-ES_tradnl"/>
        </w:rPr>
        <w:t>…”</w:t>
      </w:r>
    </w:p>
    <w:p w14:paraId="130F5A80" w14:textId="77777777" w:rsidR="007A6C0D" w:rsidRPr="007A6C0D" w:rsidRDefault="007A6C0D" w:rsidP="007A6C0D">
      <w:pPr>
        <w:tabs>
          <w:tab w:val="left" w:pos="4962"/>
        </w:tabs>
        <w:spacing w:line="360" w:lineRule="auto"/>
        <w:jc w:val="both"/>
        <w:rPr>
          <w:rFonts w:ascii="Palatino Linotype" w:eastAsia="Calibri" w:hAnsi="Palatino Linotype" w:cs="Tahoma"/>
          <w:iCs/>
          <w:sz w:val="22"/>
          <w:szCs w:val="22"/>
          <w:lang w:val="es-ES_tradnl" w:eastAsia="es-ES_tradnl"/>
        </w:rPr>
      </w:pPr>
    </w:p>
    <w:p w14:paraId="4F0FACED" w14:textId="77777777" w:rsidR="007A6C0D" w:rsidRPr="007A6C0D" w:rsidRDefault="007A6C0D" w:rsidP="007A6C0D">
      <w:pPr>
        <w:tabs>
          <w:tab w:val="left" w:pos="4962"/>
        </w:tabs>
        <w:spacing w:line="360" w:lineRule="auto"/>
        <w:jc w:val="both"/>
        <w:rPr>
          <w:rFonts w:ascii="Palatino Linotype" w:eastAsia="Calibri" w:hAnsi="Palatino Linotype" w:cs="Tahoma"/>
          <w:iCs/>
          <w:sz w:val="22"/>
          <w:szCs w:val="22"/>
          <w:lang w:val="es-ES_tradnl" w:eastAsia="es-ES_tradnl"/>
        </w:rPr>
      </w:pPr>
      <w:r w:rsidRPr="007A6C0D">
        <w:rPr>
          <w:rFonts w:ascii="Palatino Linotype" w:eastAsia="Calibri" w:hAnsi="Palatino Linotype" w:cs="Tahoma"/>
          <w:iCs/>
          <w:sz w:val="22"/>
          <w:szCs w:val="22"/>
          <w:lang w:val="es-ES_tradnl" w:eastAsia="es-ES_tradnl"/>
        </w:rPr>
        <w:t>A su vez, el Transitorio Tercero de la Ley General del Sistema Nacional Anticorrupción indica lo siguiente:</w:t>
      </w:r>
    </w:p>
    <w:p w14:paraId="2769E46E" w14:textId="77777777" w:rsidR="007A6C0D" w:rsidRPr="007A6C0D" w:rsidRDefault="007A6C0D" w:rsidP="007A6C0D">
      <w:pPr>
        <w:tabs>
          <w:tab w:val="left" w:pos="4962"/>
        </w:tabs>
        <w:spacing w:line="360" w:lineRule="auto"/>
        <w:jc w:val="both"/>
        <w:rPr>
          <w:rFonts w:ascii="Palatino Linotype" w:eastAsia="Calibri" w:hAnsi="Palatino Linotype" w:cs="Tahoma"/>
          <w:b/>
          <w:i/>
          <w:iCs/>
          <w:sz w:val="22"/>
          <w:szCs w:val="22"/>
          <w:lang w:val="es-ES_tradnl" w:eastAsia="es-ES_tradnl"/>
        </w:rPr>
      </w:pPr>
    </w:p>
    <w:p w14:paraId="246D0BC1" w14:textId="77777777" w:rsidR="007A6C0D" w:rsidRPr="007A6C0D" w:rsidRDefault="007A6C0D" w:rsidP="007A6C0D">
      <w:pPr>
        <w:tabs>
          <w:tab w:val="left" w:pos="4962"/>
        </w:tabs>
        <w:spacing w:line="360" w:lineRule="auto"/>
        <w:ind w:left="567" w:right="567"/>
        <w:jc w:val="both"/>
        <w:rPr>
          <w:rFonts w:ascii="Palatino Linotype" w:eastAsia="Calibri" w:hAnsi="Palatino Linotype" w:cs="Tahoma"/>
          <w:b/>
          <w:i/>
          <w:iCs/>
          <w:lang w:val="es-ES_tradnl" w:eastAsia="es-ES_tradnl"/>
        </w:rPr>
      </w:pPr>
      <w:r w:rsidRPr="007A6C0D">
        <w:rPr>
          <w:rFonts w:ascii="Palatino Linotype" w:eastAsia="Calibri" w:hAnsi="Palatino Linotype" w:cs="Tahoma"/>
          <w:b/>
          <w:i/>
          <w:iCs/>
          <w:lang w:val="es-ES_tradnl" w:eastAsia="es-ES_tradnl"/>
        </w:rPr>
        <w:t xml:space="preserve">“Tercero. </w:t>
      </w:r>
      <w:r w:rsidRPr="007A6C0D">
        <w:rPr>
          <w:rFonts w:ascii="Palatino Linotype" w:eastAsia="Calibri" w:hAnsi="Palatino Linotype" w:cs="Tahoma"/>
          <w:i/>
          <w:iCs/>
          <w:lang w:val="es-ES_tradnl" w:eastAsia="es-ES_tradnl"/>
        </w:rPr>
        <w:t>…</w:t>
      </w:r>
    </w:p>
    <w:p w14:paraId="0668C302" w14:textId="77777777" w:rsidR="007A6C0D" w:rsidRPr="007A6C0D" w:rsidRDefault="007A6C0D" w:rsidP="007A6C0D">
      <w:pPr>
        <w:tabs>
          <w:tab w:val="left" w:pos="4962"/>
        </w:tabs>
        <w:spacing w:line="360" w:lineRule="auto"/>
        <w:ind w:left="567" w:right="567"/>
        <w:jc w:val="both"/>
        <w:rPr>
          <w:rFonts w:ascii="Palatino Linotype" w:eastAsia="Calibri" w:hAnsi="Palatino Linotype" w:cs="Tahoma"/>
          <w:i/>
          <w:iCs/>
          <w:lang w:val="es-ES_tradnl" w:eastAsia="es-ES_tradnl"/>
        </w:rPr>
      </w:pPr>
      <w:r w:rsidRPr="007A6C0D">
        <w:rPr>
          <w:rFonts w:ascii="Palatino Linotype" w:eastAsia="Calibri" w:hAnsi="Palatino Linotype" w:cs="Tahoma"/>
          <w:i/>
          <w:iCs/>
          <w:lang w:val="es-ES_tradnl" w:eastAsia="es-ES_tradnl"/>
        </w:rPr>
        <w:t>…</w:t>
      </w:r>
    </w:p>
    <w:p w14:paraId="7C0DD9AC" w14:textId="77777777" w:rsidR="007A6C0D" w:rsidRPr="007A6C0D" w:rsidRDefault="007A6C0D" w:rsidP="007A6C0D">
      <w:pPr>
        <w:tabs>
          <w:tab w:val="left" w:pos="4962"/>
        </w:tabs>
        <w:spacing w:line="360" w:lineRule="auto"/>
        <w:ind w:left="567" w:right="567"/>
        <w:jc w:val="both"/>
        <w:rPr>
          <w:rFonts w:ascii="Palatino Linotype" w:eastAsia="Calibri" w:hAnsi="Palatino Linotype" w:cs="Tahoma"/>
          <w:i/>
          <w:iCs/>
          <w:lang w:val="es-ES_tradnl" w:eastAsia="es-ES_tradnl"/>
        </w:rPr>
      </w:pPr>
      <w:r w:rsidRPr="007A6C0D">
        <w:rPr>
          <w:rFonts w:ascii="Palatino Linotype" w:eastAsia="Calibri" w:hAnsi="Palatino Linotype" w:cs="Tahoma"/>
          <w:i/>
          <w:iCs/>
          <w:lang w:val="es-ES_tradnl" w:eastAsia="es-ES_tradnl"/>
        </w:rPr>
        <w:t>El cumplimiento de las obligaciones previstas en la Ley General de Responsabilidades Administrativas, una vez que ésta entre en vigor,</w:t>
      </w:r>
      <w:r w:rsidRPr="007A6C0D">
        <w:rPr>
          <w:rFonts w:ascii="Palatino Linotype" w:eastAsia="Calibri" w:hAnsi="Palatino Linotype" w:cs="Tahoma"/>
          <w:b/>
          <w:i/>
          <w:iCs/>
          <w:lang w:val="es-ES_tradnl" w:eastAsia="es-ES_tradnl"/>
        </w:rPr>
        <w:t xml:space="preserve"> serán exigibles, en lo que resulte aplicable, </w:t>
      </w:r>
      <w:r w:rsidRPr="007A6C0D">
        <w:rPr>
          <w:rFonts w:ascii="Palatino Linotype" w:eastAsia="Calibri" w:hAnsi="Palatino Linotype" w:cs="Tahoma"/>
          <w:b/>
          <w:i/>
          <w:iCs/>
          <w:u w:val="single"/>
          <w:lang w:val="es-ES_tradnl" w:eastAsia="es-ES_tradnl"/>
        </w:rPr>
        <w:t>hasta en tanto</w:t>
      </w:r>
      <w:r w:rsidRPr="007A6C0D">
        <w:rPr>
          <w:rFonts w:ascii="Palatino Linotype" w:eastAsia="Calibri" w:hAnsi="Palatino Linotype" w:cs="Tahoma"/>
          <w:b/>
          <w:i/>
          <w:iCs/>
          <w:lang w:val="es-ES_tradnl" w:eastAsia="es-ES_tradnl"/>
        </w:rPr>
        <w:t xml:space="preserve"> el Comité Coordinador del Sistema Nacional Anticorrupción, de conformidad con la ley de la materia, emita los lineamientos, criterios y demás resoluciones conducentes de su competencia.</w:t>
      </w:r>
      <w:r w:rsidRPr="007A6C0D">
        <w:rPr>
          <w:rFonts w:ascii="Palatino Linotype" w:eastAsia="Calibri" w:hAnsi="Palatino Linotype" w:cs="Tahoma"/>
          <w:b/>
          <w:i/>
          <w:iCs/>
          <w:lang w:val="es-ES_tradnl" w:eastAsia="es-ES_tradnl"/>
        </w:rPr>
        <w:cr/>
      </w:r>
      <w:r w:rsidRPr="007A6C0D">
        <w:rPr>
          <w:rFonts w:ascii="Palatino Linotype" w:eastAsia="Calibri" w:hAnsi="Palatino Linotype" w:cs="Tahoma"/>
          <w:i/>
          <w:iCs/>
          <w:lang w:val="es-ES_tradnl" w:eastAsia="es-ES_tradnl"/>
        </w:rPr>
        <w:t>...</w:t>
      </w:r>
    </w:p>
    <w:p w14:paraId="3A64934C" w14:textId="77777777" w:rsidR="007A6C0D" w:rsidRPr="007A6C0D" w:rsidRDefault="007A6C0D" w:rsidP="007A6C0D">
      <w:pPr>
        <w:tabs>
          <w:tab w:val="left" w:pos="4962"/>
        </w:tabs>
        <w:spacing w:line="360" w:lineRule="auto"/>
        <w:ind w:left="567" w:right="567"/>
        <w:jc w:val="both"/>
        <w:rPr>
          <w:rFonts w:ascii="Palatino Linotype" w:eastAsia="Calibri" w:hAnsi="Palatino Linotype" w:cs="Tahoma"/>
          <w:b/>
          <w:i/>
          <w:iCs/>
          <w:lang w:val="es-ES_tradnl" w:eastAsia="es-ES_tradnl"/>
        </w:rPr>
      </w:pPr>
      <w:r w:rsidRPr="007A6C0D">
        <w:rPr>
          <w:rFonts w:ascii="Palatino Linotype" w:eastAsia="Calibri" w:hAnsi="Palatino Linotype" w:cs="Tahoma"/>
          <w:i/>
          <w:iCs/>
          <w:lang w:val="es-ES_tradnl" w:eastAsia="es-ES_tradnl"/>
        </w:rPr>
        <w:t>Una vez en vigor la Ley General de Responsabilidades Administrativas y hasta en tanto el Comité Coordinador del Sistema Nacional Anticorrupción determina los formatos para la presentación de las declaraciones patrimonial y de intereses,</w:t>
      </w:r>
      <w:r w:rsidRPr="007A6C0D">
        <w:rPr>
          <w:rFonts w:ascii="Palatino Linotype" w:eastAsia="Calibri" w:hAnsi="Palatino Linotype" w:cs="Tahoma"/>
          <w:b/>
          <w:i/>
          <w:iCs/>
          <w:lang w:val="es-ES_tradnl" w:eastAsia="es-ES_tradnl"/>
        </w:rPr>
        <w:t xml:space="preserve"> </w:t>
      </w:r>
      <w:r w:rsidRPr="007A6C0D">
        <w:rPr>
          <w:rFonts w:ascii="Palatino Linotype" w:eastAsia="Calibri" w:hAnsi="Palatino Linotype" w:cs="Tahoma"/>
          <w:b/>
          <w:i/>
          <w:iCs/>
          <w:u w:val="single"/>
          <w:lang w:val="es-ES_tradnl" w:eastAsia="es-ES_tradnl"/>
        </w:rPr>
        <w:t>los servidores públicos de todos los órdenes de gobierno presentarán sus declaraciones en los formatos que</w:t>
      </w:r>
      <w:r w:rsidRPr="007A6C0D">
        <w:rPr>
          <w:rFonts w:ascii="Palatino Linotype" w:eastAsia="Calibri" w:hAnsi="Palatino Linotype" w:cs="Tahoma"/>
          <w:b/>
          <w:i/>
          <w:iCs/>
          <w:lang w:val="es-ES_tradnl" w:eastAsia="es-ES_tradnl"/>
        </w:rPr>
        <w:t xml:space="preserve"> a la entrada en vigor de la referida Ley General, </w:t>
      </w:r>
      <w:r w:rsidRPr="007A6C0D">
        <w:rPr>
          <w:rFonts w:ascii="Palatino Linotype" w:eastAsia="Calibri" w:hAnsi="Palatino Linotype" w:cs="Tahoma"/>
          <w:b/>
          <w:i/>
          <w:iCs/>
          <w:u w:val="single"/>
          <w:lang w:val="es-ES_tradnl" w:eastAsia="es-ES_tradnl"/>
        </w:rPr>
        <w:t>se utilicen</w:t>
      </w:r>
      <w:r w:rsidRPr="007A6C0D">
        <w:rPr>
          <w:rFonts w:ascii="Palatino Linotype" w:eastAsia="Calibri" w:hAnsi="Palatino Linotype" w:cs="Tahoma"/>
          <w:b/>
          <w:i/>
          <w:iCs/>
          <w:lang w:val="es-ES_tradnl" w:eastAsia="es-ES_tradnl"/>
        </w:rPr>
        <w:t xml:space="preserve"> en el ámbito federal. </w:t>
      </w:r>
    </w:p>
    <w:p w14:paraId="3F738F2B" w14:textId="77777777" w:rsidR="007A6C0D" w:rsidRPr="007A6C0D" w:rsidRDefault="007A6C0D" w:rsidP="007A6C0D">
      <w:pPr>
        <w:tabs>
          <w:tab w:val="left" w:pos="4962"/>
        </w:tabs>
        <w:spacing w:line="360" w:lineRule="auto"/>
        <w:ind w:left="567" w:right="567"/>
        <w:jc w:val="both"/>
        <w:rPr>
          <w:rFonts w:ascii="Palatino Linotype" w:eastAsia="Calibri" w:hAnsi="Palatino Linotype" w:cs="Tahoma"/>
          <w:i/>
          <w:iCs/>
          <w:lang w:val="es-ES_tradnl" w:eastAsia="es-ES_tradnl"/>
        </w:rPr>
      </w:pPr>
      <w:r w:rsidRPr="007A6C0D">
        <w:rPr>
          <w:rFonts w:ascii="Palatino Linotype" w:eastAsia="Calibri" w:hAnsi="Palatino Linotype" w:cs="Tahoma"/>
          <w:iCs/>
          <w:lang w:val="es-ES_tradnl" w:eastAsia="es-ES_tradnl"/>
        </w:rPr>
        <w:t>…”</w:t>
      </w:r>
    </w:p>
    <w:bookmarkEnd w:id="3"/>
    <w:p w14:paraId="6833253B" w14:textId="77777777" w:rsidR="007D70F8" w:rsidRDefault="007D70F8" w:rsidP="007D70F8">
      <w:pPr>
        <w:tabs>
          <w:tab w:val="left" w:pos="4962"/>
        </w:tabs>
        <w:spacing w:line="360" w:lineRule="auto"/>
        <w:jc w:val="both"/>
        <w:rPr>
          <w:rFonts w:ascii="Palatino Linotype" w:hAnsi="Palatino Linotype" w:cs="Tahoma"/>
          <w:b/>
          <w:sz w:val="22"/>
          <w:szCs w:val="22"/>
          <w:lang w:eastAsia="es-MX"/>
        </w:rPr>
      </w:pPr>
    </w:p>
    <w:p w14:paraId="58FCC52D" w14:textId="64DC3792" w:rsidR="007D70F8" w:rsidRPr="007A6C0D" w:rsidRDefault="007D70F8" w:rsidP="007D70F8">
      <w:pPr>
        <w:tabs>
          <w:tab w:val="left" w:pos="4962"/>
        </w:tabs>
        <w:spacing w:line="360" w:lineRule="auto"/>
        <w:jc w:val="both"/>
        <w:rPr>
          <w:rFonts w:ascii="Palatino Linotype" w:eastAsia="Calibri" w:hAnsi="Palatino Linotype" w:cs="Tahoma"/>
          <w:iCs/>
          <w:sz w:val="22"/>
          <w:szCs w:val="22"/>
          <w:lang w:val="es-ES_tradnl" w:eastAsia="es-ES_tradnl"/>
        </w:rPr>
      </w:pPr>
      <w:r>
        <w:rPr>
          <w:rFonts w:ascii="Palatino Linotype" w:hAnsi="Palatino Linotype" w:cs="Tahoma"/>
          <w:bCs/>
          <w:sz w:val="22"/>
          <w:szCs w:val="22"/>
          <w:lang w:eastAsia="es-MX"/>
        </w:rPr>
        <w:t>Por su parte</w:t>
      </w:r>
      <w:r w:rsidRPr="007A6C0D">
        <w:rPr>
          <w:rFonts w:ascii="Palatino Linotype" w:eastAsia="Calibri" w:hAnsi="Palatino Linotype" w:cs="Tahoma"/>
          <w:iCs/>
          <w:sz w:val="22"/>
          <w:szCs w:val="22"/>
          <w:lang w:val="es-ES_tradnl" w:eastAsia="es-ES_tradnl"/>
        </w:rPr>
        <w:t>, el</w:t>
      </w:r>
      <w:r w:rsidRPr="007A6C0D">
        <w:rPr>
          <w:rFonts w:ascii="Palatino Linotype" w:eastAsia="Calibri" w:hAnsi="Palatino Linotype" w:cs="Tahoma"/>
          <w:b/>
          <w:iCs/>
          <w:sz w:val="22"/>
          <w:szCs w:val="22"/>
          <w:lang w:val="es-ES_tradnl" w:eastAsia="es-ES_tradnl"/>
        </w:rPr>
        <w:t xml:space="preserve"> </w:t>
      </w:r>
      <w:r w:rsidRPr="007A6C0D">
        <w:rPr>
          <w:rFonts w:ascii="Palatino Linotype" w:eastAsia="Calibri" w:hAnsi="Palatino Linotype" w:cs="Tahoma"/>
          <w:iCs/>
          <w:sz w:val="22"/>
          <w:szCs w:val="22"/>
          <w:lang w:val="es-ES_tradnl" w:eastAsia="es-ES_tradnl"/>
        </w:rPr>
        <w:t>Transitorio Noveno de la Ley de Responsabilidades Administrativas del Estado de México y Municipios, establece:</w:t>
      </w:r>
    </w:p>
    <w:p w14:paraId="742542F6" w14:textId="77777777" w:rsidR="007D70F8" w:rsidRPr="007A6C0D" w:rsidRDefault="007D70F8" w:rsidP="007D70F8">
      <w:pPr>
        <w:tabs>
          <w:tab w:val="left" w:pos="4962"/>
        </w:tabs>
        <w:spacing w:line="360" w:lineRule="auto"/>
        <w:jc w:val="both"/>
        <w:rPr>
          <w:rFonts w:ascii="Palatino Linotype" w:eastAsia="Calibri" w:hAnsi="Palatino Linotype" w:cs="Tahoma"/>
          <w:iCs/>
          <w:sz w:val="22"/>
          <w:szCs w:val="22"/>
          <w:lang w:val="es-ES_tradnl" w:eastAsia="es-ES_tradnl"/>
        </w:rPr>
      </w:pPr>
    </w:p>
    <w:p w14:paraId="5486BB9F" w14:textId="77777777" w:rsidR="007D70F8" w:rsidRPr="007A6C0D" w:rsidRDefault="007D70F8" w:rsidP="007D70F8">
      <w:pPr>
        <w:tabs>
          <w:tab w:val="left" w:pos="4962"/>
        </w:tabs>
        <w:spacing w:line="360" w:lineRule="auto"/>
        <w:ind w:left="567" w:right="567"/>
        <w:jc w:val="both"/>
        <w:rPr>
          <w:rFonts w:ascii="Palatino Linotype" w:eastAsia="Calibri" w:hAnsi="Palatino Linotype" w:cs="Tahoma"/>
          <w:i/>
          <w:iCs/>
          <w:lang w:val="es-ES_tradnl" w:eastAsia="es-ES_tradnl"/>
        </w:rPr>
      </w:pPr>
      <w:r w:rsidRPr="007A6C0D">
        <w:rPr>
          <w:rFonts w:ascii="Palatino Linotype" w:eastAsia="Calibri" w:hAnsi="Palatino Linotype" w:cs="Tahoma"/>
          <w:b/>
          <w:i/>
          <w:iCs/>
          <w:lang w:val="es-ES_tradnl" w:eastAsia="es-ES_tradnl"/>
        </w:rPr>
        <w:t xml:space="preserve">“NOVENO. </w:t>
      </w:r>
      <w:r w:rsidRPr="007A6C0D">
        <w:rPr>
          <w:rFonts w:ascii="Palatino Linotype" w:eastAsia="Calibri" w:hAnsi="Palatino Linotype" w:cs="Tahoma"/>
          <w:i/>
          <w:iCs/>
          <w:lang w:val="es-ES_tradnl" w:eastAsia="es-ES_tradnl"/>
        </w:rPr>
        <w:t>…</w:t>
      </w:r>
    </w:p>
    <w:p w14:paraId="4FD89E19" w14:textId="77777777" w:rsidR="007D70F8" w:rsidRPr="007A6C0D" w:rsidRDefault="007D70F8" w:rsidP="007D70F8">
      <w:pPr>
        <w:tabs>
          <w:tab w:val="left" w:pos="4962"/>
        </w:tabs>
        <w:spacing w:line="360" w:lineRule="auto"/>
        <w:ind w:left="567" w:right="567"/>
        <w:jc w:val="both"/>
        <w:rPr>
          <w:rFonts w:ascii="Palatino Linotype" w:eastAsia="Calibri" w:hAnsi="Palatino Linotype" w:cs="Tahoma"/>
          <w:i/>
          <w:iCs/>
          <w:lang w:val="es-ES_tradnl" w:eastAsia="es-ES_tradnl"/>
        </w:rPr>
      </w:pPr>
      <w:r w:rsidRPr="007A6C0D">
        <w:rPr>
          <w:rFonts w:ascii="Palatino Linotype" w:eastAsia="Calibri" w:hAnsi="Palatino Linotype" w:cs="Tahoma"/>
          <w:i/>
          <w:iCs/>
          <w:lang w:val="es-ES_tradnl" w:eastAsia="es-ES_tradnl"/>
        </w:rPr>
        <w:t>…</w:t>
      </w:r>
    </w:p>
    <w:p w14:paraId="6FC7AA68" w14:textId="4E55F0D5" w:rsidR="00841CB3" w:rsidRPr="009F64F8" w:rsidRDefault="007D70F8" w:rsidP="009F64F8">
      <w:pPr>
        <w:widowControl w:val="0"/>
        <w:tabs>
          <w:tab w:val="left" w:pos="4962"/>
        </w:tabs>
        <w:spacing w:line="360" w:lineRule="auto"/>
        <w:ind w:left="567" w:right="567"/>
        <w:jc w:val="both"/>
        <w:rPr>
          <w:rFonts w:ascii="Palatino Linotype" w:eastAsia="Calibri" w:hAnsi="Palatino Linotype" w:cs="Tahoma"/>
          <w:i/>
          <w:iCs/>
          <w:lang w:val="es-ES_tradnl" w:eastAsia="es-ES_tradnl"/>
        </w:rPr>
      </w:pPr>
      <w:r w:rsidRPr="007A6C0D">
        <w:rPr>
          <w:rFonts w:ascii="Palatino Linotype" w:eastAsia="Calibri" w:hAnsi="Palatino Linotype" w:cs="Tahoma"/>
          <w:i/>
          <w:iCs/>
          <w:lang w:val="es-ES_tradnl" w:eastAsia="es-ES_tradnl"/>
        </w:rPr>
        <w:lastRenderedPageBreak/>
        <w:t>Hasta en tanto el Comité Coordinador del Sistema Estatal Anticorrupción, determina los formatos para la presentación de las declaraciones patrimonial y de intereses, los servidores públicos estatales y municipales</w:t>
      </w:r>
      <w:r w:rsidRPr="007A6C0D">
        <w:rPr>
          <w:rFonts w:ascii="Palatino Linotype" w:eastAsia="Calibri" w:hAnsi="Palatino Linotype" w:cs="Tahoma"/>
          <w:b/>
          <w:i/>
          <w:iCs/>
          <w:lang w:val="es-ES_tradnl" w:eastAsia="es-ES_tradnl"/>
        </w:rPr>
        <w:t>, presentarán sus declaraciones en los formatos que</w:t>
      </w:r>
      <w:r w:rsidRPr="007A6C0D">
        <w:rPr>
          <w:rFonts w:ascii="Palatino Linotype" w:eastAsia="Calibri" w:hAnsi="Palatino Linotype" w:cs="Tahoma"/>
          <w:i/>
          <w:iCs/>
          <w:lang w:val="es-ES_tradnl" w:eastAsia="es-ES_tradnl"/>
        </w:rPr>
        <w:t xml:space="preserve">, a la entrada en vigor del presente Decreto, </w:t>
      </w:r>
      <w:r w:rsidRPr="007A6C0D">
        <w:rPr>
          <w:rFonts w:ascii="Palatino Linotype" w:eastAsia="Calibri" w:hAnsi="Palatino Linotype" w:cs="Tahoma"/>
          <w:b/>
          <w:i/>
          <w:iCs/>
          <w:lang w:val="es-ES_tradnl" w:eastAsia="es-ES_tradnl"/>
        </w:rPr>
        <w:t>se utilicen en la Entidad</w:t>
      </w:r>
      <w:r w:rsidRPr="007A6C0D">
        <w:rPr>
          <w:rFonts w:ascii="Palatino Linotype" w:eastAsia="Calibri" w:hAnsi="Palatino Linotype" w:cs="Tahoma"/>
          <w:i/>
          <w:iCs/>
          <w:lang w:val="es-ES_tradnl" w:eastAsia="es-ES_tradnl"/>
        </w:rPr>
        <w:t>.”</w:t>
      </w:r>
    </w:p>
    <w:p w14:paraId="6F378FE5" w14:textId="4AEADA50" w:rsidR="007D70F8" w:rsidRDefault="000A1961" w:rsidP="007D70F8">
      <w:pPr>
        <w:tabs>
          <w:tab w:val="left" w:pos="4962"/>
        </w:tabs>
        <w:spacing w:line="360" w:lineRule="auto"/>
        <w:ind w:right="-28"/>
        <w:jc w:val="both"/>
        <w:rPr>
          <w:rFonts w:ascii="Palatino Linotype" w:eastAsia="Calibri" w:hAnsi="Palatino Linotype" w:cs="Tahoma"/>
          <w:iCs/>
          <w:sz w:val="22"/>
          <w:lang w:val="es-ES" w:eastAsia="es-ES_tradnl"/>
        </w:rPr>
      </w:pPr>
      <w:r>
        <w:rPr>
          <w:rFonts w:ascii="Palatino Linotype" w:eastAsia="Calibri" w:hAnsi="Palatino Linotype" w:cs="Tahoma"/>
          <w:iCs/>
          <w:sz w:val="22"/>
          <w:lang w:val="es-ES" w:eastAsia="es-ES_tradnl"/>
        </w:rPr>
        <w:t>Dichas disposiciones normativas, a</w:t>
      </w:r>
      <w:r w:rsidR="007D70F8">
        <w:rPr>
          <w:rFonts w:ascii="Palatino Linotype" w:eastAsia="Calibri" w:hAnsi="Palatino Linotype" w:cs="Tahoma"/>
          <w:iCs/>
          <w:sz w:val="22"/>
          <w:lang w:val="es-ES" w:eastAsia="es-ES_tradnl"/>
        </w:rPr>
        <w:t>claran que el cumplimiento de las obligaciones previstas en dicha normatividad, serán exigibles hasta que el Comité Coordinador emita los lineamientos, criterios y demás disposiciones necesarias.</w:t>
      </w:r>
    </w:p>
    <w:p w14:paraId="2EC6193D" w14:textId="00C2FB67" w:rsidR="000A1961" w:rsidRDefault="000A1961" w:rsidP="007D70F8">
      <w:pPr>
        <w:tabs>
          <w:tab w:val="left" w:pos="4962"/>
        </w:tabs>
        <w:spacing w:line="360" w:lineRule="auto"/>
        <w:ind w:right="-28"/>
        <w:jc w:val="both"/>
        <w:rPr>
          <w:rFonts w:ascii="Palatino Linotype" w:eastAsia="Calibri" w:hAnsi="Palatino Linotype" w:cs="Tahoma"/>
          <w:iCs/>
          <w:sz w:val="22"/>
          <w:lang w:val="es-ES" w:eastAsia="es-ES_tradnl"/>
        </w:rPr>
      </w:pPr>
    </w:p>
    <w:p w14:paraId="23843410" w14:textId="713A025C" w:rsidR="00313DEA" w:rsidRDefault="00313DEA" w:rsidP="00313DEA">
      <w:pPr>
        <w:tabs>
          <w:tab w:val="left" w:pos="4962"/>
        </w:tabs>
        <w:spacing w:line="360" w:lineRule="auto"/>
        <w:jc w:val="both"/>
        <w:rPr>
          <w:rFonts w:ascii="Palatino Linotype" w:eastAsia="Calibri" w:hAnsi="Palatino Linotype" w:cs="Tahoma"/>
          <w:iCs/>
          <w:sz w:val="22"/>
          <w:szCs w:val="22"/>
          <w:lang w:val="es-ES_tradnl" w:eastAsia="es-ES_tradnl"/>
        </w:rPr>
      </w:pPr>
      <w:r>
        <w:rPr>
          <w:rFonts w:ascii="Palatino Linotype" w:eastAsia="Calibri" w:hAnsi="Palatino Linotype" w:cs="Tahoma"/>
          <w:iCs/>
          <w:sz w:val="22"/>
          <w:szCs w:val="22"/>
          <w:lang w:val="es-ES_tradnl" w:eastAsia="es-ES_tradnl"/>
        </w:rPr>
        <w:t>Conforme a lo anterior, se logra vislumbrar que las Declaraciones Patrimoniales serán públicas, hasta que la autoridad referida emita los formatos respectivos y estos se utilicen para recabar la información de los servidores públicos; lo anterior es así, pues mientras que se autorizan estos, los servidores públicos presentarían sus declaraciones en los formatos que se encontrarán en vigor.</w:t>
      </w:r>
    </w:p>
    <w:p w14:paraId="53334169" w14:textId="5979747D" w:rsidR="000A1961" w:rsidRDefault="000A1961" w:rsidP="007D70F8">
      <w:pPr>
        <w:tabs>
          <w:tab w:val="left" w:pos="4962"/>
        </w:tabs>
        <w:spacing w:line="360" w:lineRule="auto"/>
        <w:ind w:right="-28"/>
        <w:jc w:val="both"/>
        <w:rPr>
          <w:rFonts w:ascii="Palatino Linotype" w:eastAsia="Calibri" w:hAnsi="Palatino Linotype" w:cs="Tahoma"/>
          <w:iCs/>
          <w:sz w:val="22"/>
          <w:lang w:val="es-ES" w:eastAsia="es-ES_tradnl"/>
        </w:rPr>
      </w:pPr>
    </w:p>
    <w:p w14:paraId="2376BCFF" w14:textId="04E6567E" w:rsidR="00313DEA" w:rsidRDefault="00313DEA" w:rsidP="007D70F8">
      <w:pPr>
        <w:tabs>
          <w:tab w:val="left" w:pos="4962"/>
        </w:tabs>
        <w:spacing w:line="360" w:lineRule="auto"/>
        <w:ind w:right="-28"/>
        <w:jc w:val="both"/>
        <w:rPr>
          <w:rFonts w:ascii="Palatino Linotype" w:eastAsia="Calibri" w:hAnsi="Palatino Linotype" w:cs="Tahoma"/>
          <w:iCs/>
          <w:sz w:val="22"/>
          <w:lang w:val="es-ES" w:eastAsia="es-ES_tradnl"/>
        </w:rPr>
      </w:pPr>
      <w:r>
        <w:rPr>
          <w:rFonts w:ascii="Palatino Linotype" w:eastAsia="Calibri" w:hAnsi="Palatino Linotype" w:cs="Tahoma"/>
          <w:iCs/>
          <w:sz w:val="22"/>
          <w:lang w:val="es-ES" w:eastAsia="es-ES_tradnl"/>
        </w:rPr>
        <w:t>En ese orden de ideas, es de señalar que la Contraloría Interna y Órgano de Control y Vigilancia</w:t>
      </w:r>
      <w:r w:rsidR="00222511">
        <w:rPr>
          <w:rFonts w:ascii="Palatino Linotype" w:eastAsia="Calibri" w:hAnsi="Palatino Linotype" w:cs="Tahoma"/>
          <w:iCs/>
          <w:sz w:val="22"/>
          <w:lang w:val="es-ES" w:eastAsia="es-ES_tradnl"/>
        </w:rPr>
        <w:t>, precisó que en los formatos que se utilizaban, se necesitaba la autorización del servidor público, para dar a conocer la información de sus manifestaciones de bienes y declaraciones patrimoniales.</w:t>
      </w:r>
    </w:p>
    <w:p w14:paraId="1390CE4F" w14:textId="35475875" w:rsidR="00222511" w:rsidRDefault="00222511" w:rsidP="007D70F8">
      <w:pPr>
        <w:tabs>
          <w:tab w:val="left" w:pos="4962"/>
        </w:tabs>
        <w:spacing w:line="360" w:lineRule="auto"/>
        <w:ind w:right="-28"/>
        <w:jc w:val="both"/>
        <w:rPr>
          <w:rFonts w:ascii="Palatino Linotype" w:eastAsia="Calibri" w:hAnsi="Palatino Linotype" w:cs="Tahoma"/>
          <w:iCs/>
          <w:sz w:val="22"/>
          <w:lang w:val="es-ES" w:eastAsia="es-ES_tradnl"/>
        </w:rPr>
      </w:pPr>
    </w:p>
    <w:p w14:paraId="0D195D58" w14:textId="0100A113" w:rsidR="00222511" w:rsidRDefault="00222511" w:rsidP="007D70F8">
      <w:pPr>
        <w:tabs>
          <w:tab w:val="left" w:pos="4962"/>
        </w:tabs>
        <w:spacing w:line="360" w:lineRule="auto"/>
        <w:ind w:right="-28"/>
        <w:jc w:val="both"/>
        <w:rPr>
          <w:rFonts w:ascii="Palatino Linotype" w:eastAsia="Calibri" w:hAnsi="Palatino Linotype" w:cs="Tahoma"/>
          <w:iCs/>
          <w:sz w:val="22"/>
          <w:lang w:val="es-ES" w:eastAsia="es-ES_tradnl"/>
        </w:rPr>
      </w:pPr>
      <w:r>
        <w:rPr>
          <w:rFonts w:ascii="Palatino Linotype" w:eastAsia="Calibri" w:hAnsi="Palatino Linotype" w:cs="Tahoma"/>
          <w:iCs/>
          <w:sz w:val="22"/>
          <w:lang w:val="es-ES" w:eastAsia="es-ES_tradnl"/>
        </w:rPr>
        <w:t>No obstante lo anterior, el Acuerdo</w:t>
      </w:r>
      <w:r w:rsidRPr="00222511">
        <w:rPr>
          <w:rFonts w:ascii="Palatino Linotype" w:eastAsia="Calibri" w:hAnsi="Palatino Linotype" w:cs="Tahoma"/>
          <w:iCs/>
          <w:sz w:val="22"/>
          <w:lang w:val="es-ES" w:eastAsia="es-ES_tradnl"/>
        </w:rPr>
        <w:t xml:space="preserve"> por el que el Comité Coordinador del Sistema Nacional Anticorrupción da a conocer que los formatos de declaración de situación patrimonial y de intereses son técnicamente operables con el Sistema de Evolución Patrimonial y de Declaración de Intereses de la Plataforma Digital Nacional, así como el inicio de la obligación de los servidores públicos de presentar sus respectivas declaraciones de situación patrimonial y de intereses conforme a los artículos 32 y 33 de la Ley General de Responsabilidades Administrativas.</w:t>
      </w:r>
      <w:r>
        <w:rPr>
          <w:rFonts w:ascii="Palatino Linotype" w:eastAsia="Calibri" w:hAnsi="Palatino Linotype" w:cs="Tahoma"/>
          <w:iCs/>
          <w:sz w:val="22"/>
          <w:lang w:val="es-ES" w:eastAsia="es-ES_tradnl"/>
        </w:rPr>
        <w:t xml:space="preserve">, publicado en el Diario Oficial de la Federación el veinticuatro de diciembre </w:t>
      </w:r>
      <w:r>
        <w:rPr>
          <w:rFonts w:ascii="Palatino Linotype" w:eastAsia="Calibri" w:hAnsi="Palatino Linotype" w:cs="Tahoma"/>
          <w:iCs/>
          <w:sz w:val="22"/>
          <w:lang w:val="es-ES" w:eastAsia="es-ES_tradnl"/>
        </w:rPr>
        <w:lastRenderedPageBreak/>
        <w:t xml:space="preserve">de dos mil diecinueve (consultable en la página electrónica </w:t>
      </w:r>
      <w:hyperlink r:id="rId12" w:history="1">
        <w:r w:rsidR="004B07A1" w:rsidRPr="00E1593A">
          <w:rPr>
            <w:rStyle w:val="Hipervnculo"/>
            <w:rFonts w:ascii="Palatino Linotype" w:eastAsia="Calibri" w:hAnsi="Palatino Linotype" w:cs="Tahoma"/>
            <w:iCs/>
            <w:sz w:val="22"/>
            <w:lang w:val="es-ES" w:eastAsia="es-ES_tradnl"/>
          </w:rPr>
          <w:t>https://www.dof.gob.mx/nota_detalle.php?codigo=5573194&amp;fecha=23/09/2019</w:t>
        </w:r>
      </w:hyperlink>
      <w:r>
        <w:rPr>
          <w:rFonts w:ascii="Palatino Linotype" w:eastAsia="Calibri" w:hAnsi="Palatino Linotype" w:cs="Tahoma"/>
          <w:iCs/>
          <w:sz w:val="22"/>
          <w:lang w:val="es-ES" w:eastAsia="es-ES_tradnl"/>
        </w:rPr>
        <w:t>)</w:t>
      </w:r>
      <w:r w:rsidR="004B07A1">
        <w:rPr>
          <w:rFonts w:ascii="Palatino Linotype" w:eastAsia="Calibri" w:hAnsi="Palatino Linotype" w:cs="Tahoma"/>
          <w:iCs/>
          <w:sz w:val="22"/>
          <w:lang w:val="es-ES" w:eastAsia="es-ES_tradnl"/>
        </w:rPr>
        <w:t xml:space="preserve">, establece en su numeral Tercero, Cuarto y Quinto, que a partir, del primero de mayo de dos mil veintiuno, serán operables en el ámbito estatal y municipal los formatos de declaración patrimonial y de intereses publicados en el </w:t>
      </w:r>
      <w:r w:rsidR="004B07A1" w:rsidRPr="004B07A1">
        <w:rPr>
          <w:rFonts w:ascii="Palatino Linotype" w:eastAsia="Calibri" w:hAnsi="Palatino Linotype" w:cs="Tahoma"/>
          <w:iCs/>
          <w:sz w:val="22"/>
          <w:lang w:val="es-ES" w:eastAsia="es-ES_tradnl"/>
        </w:rPr>
        <w:t>Diario Oficial de la Federación el 23 de septiembre de 2019</w:t>
      </w:r>
      <w:r w:rsidR="004B07A1">
        <w:rPr>
          <w:rFonts w:ascii="Palatino Linotype" w:eastAsia="Calibri" w:hAnsi="Palatino Linotype" w:cs="Tahoma"/>
          <w:iCs/>
          <w:sz w:val="22"/>
          <w:lang w:val="es-ES" w:eastAsia="es-ES_tradnl"/>
        </w:rPr>
        <w:t>; por lo que, los servidores públicos debían presentar sus declaraciones respectivas en estos formatos, a partir de dicha fecha, tal como se cita a continuación:</w:t>
      </w:r>
    </w:p>
    <w:p w14:paraId="102FFCB9" w14:textId="1BFEECC4" w:rsidR="004B07A1" w:rsidRDefault="004B07A1" w:rsidP="007D70F8">
      <w:pPr>
        <w:tabs>
          <w:tab w:val="left" w:pos="4962"/>
        </w:tabs>
        <w:spacing w:line="360" w:lineRule="auto"/>
        <w:ind w:right="-28"/>
        <w:jc w:val="both"/>
        <w:rPr>
          <w:rFonts w:ascii="Palatino Linotype" w:eastAsia="Calibri" w:hAnsi="Palatino Linotype" w:cs="Tahoma"/>
          <w:iCs/>
          <w:sz w:val="22"/>
          <w:lang w:val="es-ES" w:eastAsia="es-ES_tradnl"/>
        </w:rPr>
      </w:pPr>
    </w:p>
    <w:p w14:paraId="1DCDDE53" w14:textId="7156F760" w:rsidR="004B07A1" w:rsidRDefault="004B07A1" w:rsidP="007D70F8">
      <w:pPr>
        <w:tabs>
          <w:tab w:val="left" w:pos="4962"/>
        </w:tabs>
        <w:spacing w:line="360" w:lineRule="auto"/>
        <w:ind w:right="-28"/>
        <w:jc w:val="both"/>
        <w:rPr>
          <w:rFonts w:ascii="Palatino Linotype" w:eastAsia="Calibri" w:hAnsi="Palatino Linotype" w:cs="Tahoma"/>
          <w:iCs/>
          <w:sz w:val="22"/>
          <w:lang w:val="es-ES" w:eastAsia="es-ES_tradnl"/>
        </w:rPr>
      </w:pPr>
      <w:r>
        <w:rPr>
          <w:noProof/>
        </w:rPr>
        <mc:AlternateContent>
          <mc:Choice Requires="wps">
            <w:drawing>
              <wp:anchor distT="0" distB="0" distL="114300" distR="114300" simplePos="0" relativeHeight="251659264" behindDoc="0" locked="0" layoutInCell="1" allowOverlap="1" wp14:anchorId="305D1BD5" wp14:editId="50C88725">
                <wp:simplePos x="0" y="0"/>
                <wp:positionH relativeFrom="column">
                  <wp:posOffset>1270</wp:posOffset>
                </wp:positionH>
                <wp:positionV relativeFrom="paragraph">
                  <wp:posOffset>1974850</wp:posOffset>
                </wp:positionV>
                <wp:extent cx="5705475" cy="1447800"/>
                <wp:effectExtent l="19050" t="19050" r="28575" b="19050"/>
                <wp:wrapNone/>
                <wp:docPr id="7" name="Rectángulo 7"/>
                <wp:cNvGraphicFramePr/>
                <a:graphic xmlns:a="http://schemas.openxmlformats.org/drawingml/2006/main">
                  <a:graphicData uri="http://schemas.microsoft.com/office/word/2010/wordprocessingShape">
                    <wps:wsp>
                      <wps:cNvSpPr/>
                      <wps:spPr>
                        <a:xfrm>
                          <a:off x="0" y="0"/>
                          <a:ext cx="5705475" cy="14478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82C8E" id="Rectángulo 7" o:spid="_x0000_s1026" style="position:absolute;margin-left:.1pt;margin-top:155.5pt;width:449.25pt;height:11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" filled="f" strokecolor="black [3213]" strokeweight="2.25pt"/>
            </w:pict>
          </mc:Fallback>
        </mc:AlternateContent>
      </w:r>
      <w:r>
        <w:rPr>
          <w:noProof/>
        </w:rPr>
        <w:drawing>
          <wp:inline distT="0" distB="0" distL="0" distR="0" wp14:anchorId="5E613947" wp14:editId="052F40AD">
            <wp:extent cx="5742940" cy="33870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3387090"/>
                    </a:xfrm>
                    <a:prstGeom prst="rect">
                      <a:avLst/>
                    </a:prstGeom>
                  </pic:spPr>
                </pic:pic>
              </a:graphicData>
            </a:graphic>
          </wp:inline>
        </w:drawing>
      </w:r>
    </w:p>
    <w:p w14:paraId="6B9C66D9" w14:textId="46BED5C2" w:rsidR="003A7BAC" w:rsidRDefault="003A7BAC" w:rsidP="00CD7DE8">
      <w:pPr>
        <w:spacing w:line="360" w:lineRule="auto"/>
        <w:jc w:val="both"/>
        <w:rPr>
          <w:rFonts w:ascii="Palatino Linotype" w:hAnsi="Palatino Linotype" w:cs="Tahoma"/>
          <w:b/>
          <w:bCs/>
          <w:sz w:val="22"/>
          <w:szCs w:val="22"/>
          <w:lang w:val="es-ES"/>
        </w:rPr>
      </w:pPr>
    </w:p>
    <w:p w14:paraId="221B3F75" w14:textId="53CDA5CC" w:rsidR="003A7BAC" w:rsidRDefault="003A7BAC" w:rsidP="00CD7DE8">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En ese contexto, el Acuerdo </w:t>
      </w:r>
      <w:r w:rsidRPr="003A7BAC">
        <w:rPr>
          <w:rFonts w:ascii="Palatino Linotype" w:hAnsi="Palatino Linotype" w:cs="Tahoma"/>
          <w:sz w:val="22"/>
          <w:szCs w:val="22"/>
          <w:lang w:val="es-ES"/>
        </w:rPr>
        <w:t>por el que se modifican los Anexos Primero y Segundo del Acuerdo por el que el Comité Coordinador del Sistema Nacional Anticorrupción emite el formato de declaraciones: de situación patrimonial y de intereses; y expide las normas e instructivo para su llenado y presentación</w:t>
      </w:r>
      <w:r>
        <w:rPr>
          <w:rFonts w:ascii="Palatino Linotype" w:hAnsi="Palatino Linotype" w:cs="Tahoma"/>
          <w:sz w:val="22"/>
          <w:szCs w:val="22"/>
          <w:lang w:val="es-ES"/>
        </w:rPr>
        <w:t xml:space="preserve">, publicado en el Diario Oficial de la Federación, el </w:t>
      </w:r>
      <w:r>
        <w:rPr>
          <w:rFonts w:ascii="Palatino Linotype" w:hAnsi="Palatino Linotype" w:cs="Tahoma"/>
          <w:sz w:val="22"/>
          <w:szCs w:val="22"/>
          <w:lang w:val="es-ES"/>
        </w:rPr>
        <w:lastRenderedPageBreak/>
        <w:t xml:space="preserve">veintitrés de septiembre de dos mil diecinueve (consultable en la página electrónica </w:t>
      </w:r>
      <w:hyperlink r:id="rId14" w:history="1">
        <w:r w:rsidRPr="00E1593A">
          <w:rPr>
            <w:rStyle w:val="Hipervnculo"/>
            <w:rFonts w:ascii="Palatino Linotype" w:hAnsi="Palatino Linotype" w:cs="Tahoma"/>
            <w:sz w:val="22"/>
            <w:szCs w:val="22"/>
            <w:lang w:val="es-ES"/>
          </w:rPr>
          <w:t>https://www.dof.gob.mx/nota_detalle.php?codigo=5573194&amp;fecha=23/09/2019</w:t>
        </w:r>
      </w:hyperlink>
      <w:r>
        <w:rPr>
          <w:rFonts w:ascii="Palatino Linotype" w:hAnsi="Palatino Linotype" w:cs="Tahoma"/>
          <w:sz w:val="22"/>
          <w:szCs w:val="22"/>
          <w:lang w:val="es-ES"/>
        </w:rPr>
        <w:t>), establece</w:t>
      </w:r>
      <w:r w:rsidR="005161A9">
        <w:rPr>
          <w:rFonts w:ascii="Palatino Linotype" w:hAnsi="Palatino Linotype" w:cs="Tahoma"/>
          <w:sz w:val="22"/>
          <w:szCs w:val="22"/>
          <w:lang w:val="es-ES"/>
        </w:rPr>
        <w:t xml:space="preserve"> en su Anexo 1,</w:t>
      </w:r>
      <w:r>
        <w:rPr>
          <w:rFonts w:ascii="Palatino Linotype" w:hAnsi="Palatino Linotype" w:cs="Tahoma"/>
          <w:sz w:val="22"/>
          <w:szCs w:val="22"/>
          <w:lang w:val="es-ES"/>
        </w:rPr>
        <w:t xml:space="preserve"> el formato para la presentación de la Declaración Patrimonial Inicial, Modificación y Conclusión</w:t>
      </w:r>
      <w:r w:rsidR="005161A9">
        <w:rPr>
          <w:rFonts w:ascii="Palatino Linotype" w:hAnsi="Palatino Linotype" w:cs="Tahoma"/>
          <w:sz w:val="22"/>
          <w:szCs w:val="22"/>
          <w:lang w:val="es-ES"/>
        </w:rPr>
        <w:t>; mientras que en el Anexo 2 corresponde a las Normas e Instructivo para el llenado y presentación del formato de declaraciones: de situación patrimonial y de intereses, que precisa en su numeral Decimonovena, establece que toda la información contenida en las Declaraciones será visible; sin embargo, que se considerará información clasificada, determinados datos, tal como se muestra a continuación:</w:t>
      </w:r>
    </w:p>
    <w:p w14:paraId="7C51B495" w14:textId="1BB7A447" w:rsidR="005161A9" w:rsidRDefault="005161A9" w:rsidP="00CD7DE8">
      <w:pPr>
        <w:spacing w:line="360" w:lineRule="auto"/>
        <w:jc w:val="both"/>
        <w:rPr>
          <w:rFonts w:ascii="Palatino Linotype" w:hAnsi="Palatino Linotype" w:cs="Tahoma"/>
          <w:sz w:val="22"/>
          <w:szCs w:val="22"/>
          <w:lang w:val="es-ES"/>
        </w:rPr>
      </w:pPr>
    </w:p>
    <w:p w14:paraId="6F26050B" w14:textId="7A2F8A33" w:rsidR="005161A9" w:rsidRDefault="005161A9" w:rsidP="00C1741B">
      <w:pPr>
        <w:spacing w:line="360" w:lineRule="auto"/>
        <w:jc w:val="center"/>
        <w:rPr>
          <w:rFonts w:ascii="Palatino Linotype" w:hAnsi="Palatino Linotype" w:cs="Tahoma"/>
          <w:sz w:val="22"/>
          <w:szCs w:val="22"/>
          <w:lang w:val="es-ES"/>
        </w:rPr>
      </w:pPr>
      <w:r>
        <w:rPr>
          <w:noProof/>
        </w:rPr>
        <w:drawing>
          <wp:inline distT="0" distB="0" distL="0" distR="0" wp14:anchorId="2DBD21D2" wp14:editId="35FA6AEC">
            <wp:extent cx="4320000" cy="4377889"/>
            <wp:effectExtent l="0" t="0" r="444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0000" cy="4377889"/>
                    </a:xfrm>
                    <a:prstGeom prst="rect">
                      <a:avLst/>
                    </a:prstGeom>
                  </pic:spPr>
                </pic:pic>
              </a:graphicData>
            </a:graphic>
          </wp:inline>
        </w:drawing>
      </w:r>
    </w:p>
    <w:p w14:paraId="0CD5AE3B" w14:textId="77777777" w:rsidR="00C1741B" w:rsidRPr="003A7BAC" w:rsidRDefault="00C1741B" w:rsidP="00C1741B">
      <w:pPr>
        <w:spacing w:line="360" w:lineRule="auto"/>
        <w:jc w:val="center"/>
        <w:rPr>
          <w:rFonts w:ascii="Palatino Linotype" w:hAnsi="Palatino Linotype" w:cs="Tahoma"/>
          <w:sz w:val="22"/>
          <w:szCs w:val="22"/>
          <w:lang w:val="es-ES"/>
        </w:rPr>
      </w:pPr>
    </w:p>
    <w:p w14:paraId="4BB76EB5" w14:textId="50112B52" w:rsidR="003A7BAC" w:rsidRDefault="00C1741B" w:rsidP="00C1741B">
      <w:pPr>
        <w:spacing w:line="360" w:lineRule="auto"/>
        <w:jc w:val="center"/>
        <w:rPr>
          <w:rFonts w:ascii="Palatino Linotype" w:hAnsi="Palatino Linotype" w:cs="Tahoma"/>
          <w:b/>
          <w:bCs/>
          <w:sz w:val="22"/>
          <w:szCs w:val="22"/>
          <w:lang w:val="es-ES"/>
        </w:rPr>
      </w:pPr>
      <w:r>
        <w:rPr>
          <w:noProof/>
        </w:rPr>
        <w:lastRenderedPageBreak/>
        <w:drawing>
          <wp:inline distT="0" distB="0" distL="0" distR="0" wp14:anchorId="3DB7BD89" wp14:editId="5D96DF99">
            <wp:extent cx="4320000" cy="4399332"/>
            <wp:effectExtent l="0" t="0" r="444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0000" cy="4399332"/>
                    </a:xfrm>
                    <a:prstGeom prst="rect">
                      <a:avLst/>
                    </a:prstGeom>
                  </pic:spPr>
                </pic:pic>
              </a:graphicData>
            </a:graphic>
          </wp:inline>
        </w:drawing>
      </w:r>
    </w:p>
    <w:p w14:paraId="62AD9A6A" w14:textId="786D5B1A" w:rsidR="00C1741B" w:rsidRDefault="00C1741B" w:rsidP="00C1741B">
      <w:pPr>
        <w:spacing w:line="360" w:lineRule="auto"/>
        <w:jc w:val="center"/>
        <w:rPr>
          <w:rFonts w:ascii="Palatino Linotype" w:hAnsi="Palatino Linotype" w:cs="Tahoma"/>
          <w:b/>
          <w:bCs/>
          <w:sz w:val="22"/>
          <w:szCs w:val="22"/>
          <w:lang w:val="es-ES"/>
        </w:rPr>
      </w:pPr>
      <w:r>
        <w:rPr>
          <w:noProof/>
        </w:rPr>
        <w:drawing>
          <wp:inline distT="0" distB="0" distL="0" distR="0" wp14:anchorId="164CF746" wp14:editId="3578E680">
            <wp:extent cx="4319270" cy="2238375"/>
            <wp:effectExtent l="0" t="0" r="508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518" b="44923"/>
                    <a:stretch/>
                  </pic:blipFill>
                  <pic:spPr bwMode="auto">
                    <a:xfrm>
                      <a:off x="0" y="0"/>
                      <a:ext cx="4320000" cy="2238753"/>
                    </a:xfrm>
                    <a:prstGeom prst="rect">
                      <a:avLst/>
                    </a:prstGeom>
                    <a:ln>
                      <a:noFill/>
                    </a:ln>
                    <a:extLst>
                      <a:ext uri="{53640926-AAD7-44D8-BBD7-CCE9431645EC}">
                        <a14:shadowObscured xmlns:a14="http://schemas.microsoft.com/office/drawing/2010/main"/>
                      </a:ext>
                    </a:extLst>
                  </pic:spPr>
                </pic:pic>
              </a:graphicData>
            </a:graphic>
          </wp:inline>
        </w:drawing>
      </w:r>
    </w:p>
    <w:p w14:paraId="486EA495" w14:textId="31ECE68C" w:rsidR="00C1741B" w:rsidRDefault="00C1741B" w:rsidP="00CD7DE8">
      <w:pPr>
        <w:spacing w:line="360" w:lineRule="auto"/>
        <w:jc w:val="both"/>
        <w:rPr>
          <w:rFonts w:ascii="Palatino Linotype" w:hAnsi="Palatino Linotype" w:cs="Tahoma"/>
          <w:b/>
          <w:bCs/>
          <w:sz w:val="22"/>
          <w:szCs w:val="22"/>
          <w:lang w:val="es-ES"/>
        </w:rPr>
      </w:pPr>
    </w:p>
    <w:p w14:paraId="68554626" w14:textId="5CB52FF3" w:rsidR="00C1741B" w:rsidRDefault="00C1741B" w:rsidP="00C1741B">
      <w:pPr>
        <w:spacing w:line="360" w:lineRule="auto"/>
        <w:jc w:val="center"/>
        <w:rPr>
          <w:noProof/>
        </w:rPr>
      </w:pPr>
      <w:r>
        <w:rPr>
          <w:noProof/>
        </w:rPr>
        <w:lastRenderedPageBreak/>
        <w:drawing>
          <wp:inline distT="0" distB="0" distL="0" distR="0" wp14:anchorId="2DFD62BB" wp14:editId="107C907A">
            <wp:extent cx="4320000" cy="2602063"/>
            <wp:effectExtent l="0" t="0" r="444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0000" cy="2602063"/>
                    </a:xfrm>
                    <a:prstGeom prst="rect">
                      <a:avLst/>
                    </a:prstGeom>
                  </pic:spPr>
                </pic:pic>
              </a:graphicData>
            </a:graphic>
          </wp:inline>
        </w:drawing>
      </w:r>
    </w:p>
    <w:p w14:paraId="3B93A799" w14:textId="77777777" w:rsidR="00C1741B" w:rsidRDefault="00C1741B" w:rsidP="00CD7DE8">
      <w:pPr>
        <w:spacing w:line="360" w:lineRule="auto"/>
        <w:jc w:val="both"/>
        <w:rPr>
          <w:rFonts w:ascii="Palatino Linotype" w:hAnsi="Palatino Linotype" w:cs="Tahoma"/>
          <w:b/>
          <w:bCs/>
          <w:sz w:val="22"/>
          <w:szCs w:val="22"/>
          <w:lang w:val="es-ES"/>
        </w:rPr>
      </w:pPr>
    </w:p>
    <w:p w14:paraId="13BCEDCB" w14:textId="14DFAC50" w:rsidR="007A6C0D" w:rsidRDefault="003A7BAC" w:rsidP="00CD7DE8">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Conforme a lo anterior</w:t>
      </w:r>
      <w:r w:rsidR="006353ED">
        <w:rPr>
          <w:rFonts w:ascii="Palatino Linotype" w:hAnsi="Palatino Linotype" w:cs="Tahoma"/>
          <w:sz w:val="22"/>
          <w:szCs w:val="22"/>
          <w:lang w:val="es-ES"/>
        </w:rPr>
        <w:t>,</w:t>
      </w:r>
      <w:r>
        <w:rPr>
          <w:rFonts w:ascii="Palatino Linotype" w:hAnsi="Palatino Linotype" w:cs="Tahoma"/>
          <w:sz w:val="22"/>
          <w:szCs w:val="22"/>
          <w:lang w:val="es-ES"/>
        </w:rPr>
        <w:t xml:space="preserve"> se logra vislumbrar que a partir del primero de mayo de dos mil veintiuno, se empezaron aplicar los formatos </w:t>
      </w:r>
      <w:r w:rsidR="00C1741B">
        <w:rPr>
          <w:rFonts w:ascii="Palatino Linotype" w:hAnsi="Palatino Linotype" w:cs="Tahoma"/>
          <w:sz w:val="22"/>
          <w:szCs w:val="22"/>
          <w:lang w:val="es-ES"/>
        </w:rPr>
        <w:t>para la presentación de las declaraciones patrimoniales, en donde se establecen qu</w:t>
      </w:r>
      <w:r w:rsidR="006353ED">
        <w:rPr>
          <w:rFonts w:ascii="Palatino Linotype" w:hAnsi="Palatino Linotype" w:cs="Tahoma"/>
          <w:sz w:val="22"/>
          <w:szCs w:val="22"/>
          <w:lang w:val="es-ES"/>
        </w:rPr>
        <w:t>é</w:t>
      </w:r>
      <w:r w:rsidR="00C1741B">
        <w:rPr>
          <w:rFonts w:ascii="Palatino Linotype" w:hAnsi="Palatino Linotype" w:cs="Tahoma"/>
          <w:sz w:val="22"/>
          <w:szCs w:val="22"/>
          <w:lang w:val="es-ES"/>
        </w:rPr>
        <w:t xml:space="preserve"> datos son de naturaleza pública y cu</w:t>
      </w:r>
      <w:r w:rsidR="006353ED">
        <w:rPr>
          <w:rFonts w:ascii="Palatino Linotype" w:hAnsi="Palatino Linotype" w:cs="Tahoma"/>
          <w:sz w:val="22"/>
          <w:szCs w:val="22"/>
          <w:lang w:val="es-ES"/>
        </w:rPr>
        <w:t>á</w:t>
      </w:r>
      <w:r w:rsidR="00C1741B">
        <w:rPr>
          <w:rFonts w:ascii="Palatino Linotype" w:hAnsi="Palatino Linotype" w:cs="Tahoma"/>
          <w:sz w:val="22"/>
          <w:szCs w:val="22"/>
          <w:lang w:val="es-ES"/>
        </w:rPr>
        <w:t>les son confidenciales</w:t>
      </w:r>
      <w:r w:rsidR="00531DD0">
        <w:rPr>
          <w:rFonts w:ascii="Palatino Linotype" w:hAnsi="Palatino Linotype" w:cs="Tahoma"/>
          <w:sz w:val="22"/>
          <w:szCs w:val="22"/>
          <w:lang w:val="es-ES"/>
        </w:rPr>
        <w:t>, para su publicación en versión pública.</w:t>
      </w:r>
    </w:p>
    <w:p w14:paraId="0BF8CD18" w14:textId="62E0C21F" w:rsidR="00531DD0" w:rsidRDefault="00531DD0" w:rsidP="00CD7DE8">
      <w:pPr>
        <w:spacing w:line="360" w:lineRule="auto"/>
        <w:jc w:val="both"/>
        <w:rPr>
          <w:rFonts w:ascii="Palatino Linotype" w:hAnsi="Palatino Linotype" w:cs="Tahoma"/>
          <w:sz w:val="22"/>
          <w:szCs w:val="22"/>
          <w:lang w:val="es-ES"/>
        </w:rPr>
      </w:pPr>
    </w:p>
    <w:p w14:paraId="63840623" w14:textId="3AB11FBF" w:rsidR="00531DD0" w:rsidRDefault="00531DD0" w:rsidP="00CD7DE8">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Dicha circunstancia toma relevancia, pues de la revisión del sistema Decl@raNET de la Secretaría de la </w:t>
      </w:r>
      <w:r w:rsidR="006353ED">
        <w:rPr>
          <w:rFonts w:ascii="Palatino Linotype" w:hAnsi="Palatino Linotype" w:cs="Tahoma"/>
          <w:sz w:val="22"/>
          <w:szCs w:val="22"/>
          <w:lang w:val="es-ES"/>
        </w:rPr>
        <w:t>Contraloría (</w:t>
      </w:r>
      <w:r>
        <w:rPr>
          <w:rFonts w:ascii="Palatino Linotype" w:hAnsi="Palatino Linotype" w:cs="Tahoma"/>
          <w:sz w:val="22"/>
          <w:szCs w:val="22"/>
          <w:lang w:val="es-ES"/>
        </w:rPr>
        <w:t xml:space="preserve">consulta el diecinueve de enero de dos mil veintidós, a las trece horas, en la liga </w:t>
      </w:r>
      <w:hyperlink r:id="rId19" w:history="1">
        <w:r w:rsidRPr="00E1593A">
          <w:rPr>
            <w:rStyle w:val="Hipervnculo"/>
            <w:rFonts w:ascii="Palatino Linotype" w:hAnsi="Palatino Linotype" w:cs="Tahoma"/>
            <w:sz w:val="22"/>
            <w:szCs w:val="22"/>
            <w:lang w:val="es-ES"/>
          </w:rPr>
          <w:t>https://declaranet.secogem.gob.mx/</w:t>
        </w:r>
      </w:hyperlink>
      <w:r>
        <w:rPr>
          <w:rFonts w:ascii="Palatino Linotype" w:hAnsi="Palatino Linotype" w:cs="Tahoma"/>
          <w:sz w:val="22"/>
          <w:szCs w:val="22"/>
          <w:lang w:val="es-ES"/>
        </w:rPr>
        <w:t>), se logra advertir que ya se están ocupando los formatos previamente referidos, tal como se muestra a continuación:</w:t>
      </w:r>
    </w:p>
    <w:p w14:paraId="2B6AC2AE" w14:textId="20391CB6" w:rsidR="00531DD0" w:rsidRDefault="00531DD0" w:rsidP="00CD7DE8">
      <w:pPr>
        <w:spacing w:line="360" w:lineRule="auto"/>
        <w:jc w:val="both"/>
        <w:rPr>
          <w:rFonts w:ascii="Palatino Linotype" w:hAnsi="Palatino Linotype" w:cs="Tahoma"/>
          <w:sz w:val="22"/>
          <w:szCs w:val="22"/>
          <w:lang w:val="es-ES"/>
        </w:rPr>
      </w:pPr>
    </w:p>
    <w:p w14:paraId="4A0F4117" w14:textId="5D887509" w:rsidR="00531DD0" w:rsidRDefault="00531DD0" w:rsidP="00CD7DE8">
      <w:pPr>
        <w:spacing w:line="360" w:lineRule="auto"/>
        <w:jc w:val="both"/>
        <w:rPr>
          <w:rFonts w:ascii="Palatino Linotype" w:hAnsi="Palatino Linotype" w:cs="Tahoma"/>
          <w:sz w:val="22"/>
          <w:szCs w:val="22"/>
          <w:lang w:val="es-ES"/>
        </w:rPr>
      </w:pPr>
      <w:r>
        <w:rPr>
          <w:noProof/>
        </w:rPr>
        <w:drawing>
          <wp:inline distT="0" distB="0" distL="0" distR="0" wp14:anchorId="644C7B33" wp14:editId="76029E86">
            <wp:extent cx="5742940" cy="80518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2940" cy="805180"/>
                    </a:xfrm>
                    <a:prstGeom prst="rect">
                      <a:avLst/>
                    </a:prstGeom>
                  </pic:spPr>
                </pic:pic>
              </a:graphicData>
            </a:graphic>
          </wp:inline>
        </w:drawing>
      </w:r>
    </w:p>
    <w:p w14:paraId="56FECBEF" w14:textId="0E0824E7" w:rsidR="00531DD0" w:rsidRDefault="00531DD0" w:rsidP="00CD7DE8">
      <w:pPr>
        <w:spacing w:line="360" w:lineRule="auto"/>
        <w:jc w:val="both"/>
        <w:rPr>
          <w:rFonts w:ascii="Palatino Linotype" w:hAnsi="Palatino Linotype" w:cs="Tahoma"/>
          <w:sz w:val="22"/>
          <w:szCs w:val="22"/>
          <w:lang w:val="es-ES"/>
        </w:rPr>
      </w:pPr>
    </w:p>
    <w:p w14:paraId="697C5F2C" w14:textId="635C1018" w:rsidR="00531DD0" w:rsidRDefault="00531DD0" w:rsidP="00CD7DE8">
      <w:pPr>
        <w:spacing w:line="360" w:lineRule="auto"/>
        <w:jc w:val="both"/>
        <w:rPr>
          <w:rFonts w:ascii="Palatino Linotype" w:hAnsi="Palatino Linotype" w:cs="Tahoma"/>
          <w:sz w:val="22"/>
          <w:szCs w:val="22"/>
          <w:lang w:val="es-ES"/>
        </w:rPr>
      </w:pPr>
    </w:p>
    <w:p w14:paraId="64AC980F" w14:textId="5019114E" w:rsidR="00531DD0" w:rsidRDefault="00531DD0" w:rsidP="00531DD0">
      <w:pPr>
        <w:spacing w:line="360" w:lineRule="auto"/>
        <w:jc w:val="both"/>
        <w:rPr>
          <w:rFonts w:ascii="Palatino Linotype" w:hAnsi="Palatino Linotype" w:cs="Tahoma"/>
          <w:sz w:val="22"/>
          <w:szCs w:val="22"/>
          <w:lang w:val="es-ES"/>
        </w:rPr>
      </w:pPr>
      <w:r>
        <w:rPr>
          <w:noProof/>
        </w:rPr>
        <w:lastRenderedPageBreak/>
        <w:drawing>
          <wp:inline distT="0" distB="0" distL="0" distR="0" wp14:anchorId="1177F1E1" wp14:editId="13B6A052">
            <wp:extent cx="5742940" cy="203327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2940" cy="2033270"/>
                    </a:xfrm>
                    <a:prstGeom prst="rect">
                      <a:avLst/>
                    </a:prstGeom>
                  </pic:spPr>
                </pic:pic>
              </a:graphicData>
            </a:graphic>
          </wp:inline>
        </w:drawing>
      </w:r>
    </w:p>
    <w:p w14:paraId="6CB9C57C" w14:textId="310D0ECE" w:rsidR="00531DD0" w:rsidRDefault="00531DD0" w:rsidP="00531DD0">
      <w:pPr>
        <w:spacing w:line="360" w:lineRule="auto"/>
        <w:jc w:val="both"/>
        <w:rPr>
          <w:rFonts w:ascii="Palatino Linotype" w:hAnsi="Palatino Linotype" w:cs="Tahoma"/>
          <w:sz w:val="22"/>
          <w:szCs w:val="22"/>
          <w:lang w:val="es-ES"/>
        </w:rPr>
      </w:pPr>
    </w:p>
    <w:p w14:paraId="3F01672B" w14:textId="049EBA71" w:rsidR="00131BEC" w:rsidRDefault="00131BEC" w:rsidP="00531DD0">
      <w:pPr>
        <w:spacing w:line="360" w:lineRule="auto"/>
        <w:jc w:val="both"/>
        <w:rPr>
          <w:rFonts w:ascii="Palatino Linotype" w:hAnsi="Palatino Linotype" w:cs="Tahoma"/>
          <w:sz w:val="22"/>
          <w:szCs w:val="22"/>
        </w:rPr>
      </w:pPr>
      <w:r>
        <w:rPr>
          <w:rFonts w:ascii="Palatino Linotype" w:hAnsi="Palatino Linotype" w:cs="Tahoma"/>
          <w:sz w:val="22"/>
          <w:szCs w:val="22"/>
          <w:lang w:val="es-ES"/>
        </w:rPr>
        <w:t xml:space="preserve">Además, se localizó el Acuerdo </w:t>
      </w:r>
      <w:r w:rsidRPr="00131BEC">
        <w:rPr>
          <w:rFonts w:ascii="Palatino Linotype" w:hAnsi="Palatino Linotype" w:cs="Tahoma"/>
          <w:sz w:val="22"/>
          <w:szCs w:val="22"/>
        </w:rPr>
        <w:t>mediante el cual el Pleno del Instituto de Transparencia, Acceso a la Información Pública y Protección de Datos Personales del Estado de México y Municipios, tiene como causa justificada la no presentación de las declaraciones de situación patrimonial y de intereses, en los plazos previstos en los artículos 34, fracciones I y II, y 46 párrafo segundo de la Ley de Responsabilidades Administrativas del Estado de México y Municipios</w:t>
      </w:r>
      <w:r>
        <w:rPr>
          <w:rFonts w:ascii="Palatino Linotype" w:hAnsi="Palatino Linotype" w:cs="Tahoma"/>
          <w:sz w:val="22"/>
          <w:szCs w:val="22"/>
        </w:rPr>
        <w:t xml:space="preserve"> (consultado el diecinueve de enero de dos mil veintiuno, a las trece horas, en la liga </w:t>
      </w:r>
      <w:r w:rsidRPr="00131BEC">
        <w:rPr>
          <w:rFonts w:ascii="Palatino Linotype" w:hAnsi="Palatino Linotype" w:cs="Tahoma"/>
          <w:sz w:val="22"/>
          <w:szCs w:val="22"/>
        </w:rPr>
        <w:t>https://www.infoem.org.mx/doc/acuerdos/20210528_Acuerdo_declaraciones.pdf</w:t>
      </w:r>
      <w:r>
        <w:rPr>
          <w:rFonts w:ascii="Palatino Linotype" w:hAnsi="Palatino Linotype" w:cs="Tahoma"/>
          <w:sz w:val="22"/>
          <w:szCs w:val="22"/>
        </w:rPr>
        <w:t>), del cual se desprende lo siguiente:</w:t>
      </w:r>
    </w:p>
    <w:p w14:paraId="258216E9" w14:textId="77777777" w:rsidR="00131BEC" w:rsidRDefault="00131BEC" w:rsidP="00531DD0">
      <w:pPr>
        <w:spacing w:line="360" w:lineRule="auto"/>
        <w:jc w:val="both"/>
        <w:rPr>
          <w:rFonts w:ascii="Palatino Linotype" w:hAnsi="Palatino Linotype" w:cs="Tahoma"/>
          <w:sz w:val="22"/>
          <w:szCs w:val="22"/>
        </w:rPr>
      </w:pPr>
    </w:p>
    <w:p w14:paraId="5CFDD0FF" w14:textId="6F236572" w:rsidR="00531DD0" w:rsidRPr="003A7BAC" w:rsidRDefault="00A17785" w:rsidP="00A17785">
      <w:pPr>
        <w:spacing w:line="360" w:lineRule="auto"/>
        <w:jc w:val="center"/>
        <w:rPr>
          <w:rFonts w:ascii="Palatino Linotype" w:hAnsi="Palatino Linotype" w:cs="Tahoma"/>
          <w:sz w:val="22"/>
          <w:szCs w:val="22"/>
          <w:lang w:val="es-ES"/>
        </w:rPr>
      </w:pPr>
      <w:r>
        <w:rPr>
          <w:noProof/>
        </w:rPr>
        <w:drawing>
          <wp:inline distT="0" distB="0" distL="0" distR="0" wp14:anchorId="61F9792E" wp14:editId="54983B2F">
            <wp:extent cx="4114800" cy="195002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25246" cy="1954976"/>
                    </a:xfrm>
                    <a:prstGeom prst="rect">
                      <a:avLst/>
                    </a:prstGeom>
                  </pic:spPr>
                </pic:pic>
              </a:graphicData>
            </a:graphic>
          </wp:inline>
        </w:drawing>
      </w:r>
    </w:p>
    <w:p w14:paraId="2C21C5F8" w14:textId="26B48580" w:rsidR="007A6C0D" w:rsidRDefault="007A6C0D" w:rsidP="00CD7DE8">
      <w:pPr>
        <w:spacing w:line="360" w:lineRule="auto"/>
        <w:jc w:val="both"/>
        <w:rPr>
          <w:rFonts w:ascii="Palatino Linotype" w:hAnsi="Palatino Linotype" w:cs="Tahoma"/>
          <w:b/>
          <w:bCs/>
          <w:sz w:val="22"/>
          <w:szCs w:val="22"/>
          <w:lang w:val="es-ES"/>
        </w:rPr>
      </w:pPr>
    </w:p>
    <w:p w14:paraId="76724122" w14:textId="57A8252E" w:rsidR="007A6C0D" w:rsidRDefault="00A17785" w:rsidP="00A17785">
      <w:pPr>
        <w:spacing w:line="360" w:lineRule="auto"/>
        <w:jc w:val="center"/>
        <w:rPr>
          <w:rFonts w:ascii="Palatino Linotype" w:hAnsi="Palatino Linotype" w:cs="Tahoma"/>
          <w:b/>
          <w:bCs/>
          <w:sz w:val="22"/>
          <w:szCs w:val="22"/>
          <w:lang w:val="es-ES"/>
        </w:rPr>
      </w:pPr>
      <w:r>
        <w:rPr>
          <w:noProof/>
        </w:rPr>
        <w:lastRenderedPageBreak/>
        <w:drawing>
          <wp:inline distT="0" distB="0" distL="0" distR="0" wp14:anchorId="68A72F40" wp14:editId="6CA4A821">
            <wp:extent cx="4114120" cy="207645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5609"/>
                    <a:stretch/>
                  </pic:blipFill>
                  <pic:spPr bwMode="auto">
                    <a:xfrm>
                      <a:off x="0" y="0"/>
                      <a:ext cx="4114800" cy="2076793"/>
                    </a:xfrm>
                    <a:prstGeom prst="rect">
                      <a:avLst/>
                    </a:prstGeom>
                    <a:ln>
                      <a:noFill/>
                    </a:ln>
                    <a:extLst>
                      <a:ext uri="{53640926-AAD7-44D8-BBD7-CCE9431645EC}">
                        <a14:shadowObscured xmlns:a14="http://schemas.microsoft.com/office/drawing/2010/main"/>
                      </a:ext>
                    </a:extLst>
                  </pic:spPr>
                </pic:pic>
              </a:graphicData>
            </a:graphic>
          </wp:inline>
        </w:drawing>
      </w:r>
    </w:p>
    <w:p w14:paraId="79A35292" w14:textId="01E94496" w:rsidR="007A6C0D" w:rsidRDefault="00A17785" w:rsidP="00A17785">
      <w:pPr>
        <w:spacing w:line="360" w:lineRule="auto"/>
        <w:jc w:val="center"/>
        <w:rPr>
          <w:rFonts w:ascii="Palatino Linotype" w:hAnsi="Palatino Linotype" w:cs="Tahoma"/>
          <w:b/>
          <w:bCs/>
          <w:sz w:val="22"/>
          <w:szCs w:val="22"/>
          <w:lang w:val="es-ES"/>
        </w:rPr>
      </w:pPr>
      <w:r>
        <w:rPr>
          <w:rFonts w:ascii="Palatino Linotype" w:hAnsi="Palatino Linotype" w:cs="Tahoma"/>
          <w:b/>
          <w:bCs/>
          <w:sz w:val="22"/>
          <w:szCs w:val="22"/>
          <w:lang w:val="es-ES"/>
        </w:rPr>
        <w:t>…</w:t>
      </w:r>
    </w:p>
    <w:p w14:paraId="4F6D8034" w14:textId="718157E2" w:rsidR="00A17785" w:rsidRDefault="00A17785" w:rsidP="00A17785">
      <w:pPr>
        <w:spacing w:line="360" w:lineRule="auto"/>
        <w:jc w:val="center"/>
        <w:rPr>
          <w:rFonts w:ascii="Palatino Linotype" w:hAnsi="Palatino Linotype" w:cs="Tahoma"/>
          <w:b/>
          <w:bCs/>
          <w:sz w:val="22"/>
          <w:szCs w:val="22"/>
          <w:lang w:val="es-ES"/>
        </w:rPr>
      </w:pPr>
      <w:r>
        <w:rPr>
          <w:noProof/>
        </w:rPr>
        <mc:AlternateContent>
          <mc:Choice Requires="wps">
            <w:drawing>
              <wp:anchor distT="0" distB="0" distL="114300" distR="114300" simplePos="0" relativeHeight="251660288" behindDoc="0" locked="0" layoutInCell="1" allowOverlap="1" wp14:anchorId="0A1579D5" wp14:editId="103E48AF">
                <wp:simplePos x="0" y="0"/>
                <wp:positionH relativeFrom="column">
                  <wp:posOffset>801370</wp:posOffset>
                </wp:positionH>
                <wp:positionV relativeFrom="paragraph">
                  <wp:posOffset>515620</wp:posOffset>
                </wp:positionV>
                <wp:extent cx="4095750" cy="323850"/>
                <wp:effectExtent l="19050" t="19050" r="19050" b="19050"/>
                <wp:wrapNone/>
                <wp:docPr id="19" name="Rectángulo 19"/>
                <wp:cNvGraphicFramePr/>
                <a:graphic xmlns:a="http://schemas.openxmlformats.org/drawingml/2006/main">
                  <a:graphicData uri="http://schemas.microsoft.com/office/word/2010/wordprocessingShape">
                    <wps:wsp>
                      <wps:cNvSpPr/>
                      <wps:spPr>
                        <a:xfrm>
                          <a:off x="0" y="0"/>
                          <a:ext cx="4095750" cy="3238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E66521" id="Rectángulo 19" o:spid="_x0000_s1026" style="position:absolute;margin-left:63.1pt;margin-top:40.6pt;width:322.5pt;height:2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" filled="f" strokecolor="black [3213]" strokeweight="2.25pt"/>
            </w:pict>
          </mc:Fallback>
        </mc:AlternateContent>
      </w:r>
      <w:r>
        <w:rPr>
          <w:noProof/>
        </w:rPr>
        <w:drawing>
          <wp:inline distT="0" distB="0" distL="0" distR="0" wp14:anchorId="54AA1E14" wp14:editId="25BF7C87">
            <wp:extent cx="4114800" cy="152962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14800" cy="1529628"/>
                    </a:xfrm>
                    <a:prstGeom prst="rect">
                      <a:avLst/>
                    </a:prstGeom>
                  </pic:spPr>
                </pic:pic>
              </a:graphicData>
            </a:graphic>
          </wp:inline>
        </w:drawing>
      </w:r>
    </w:p>
    <w:p w14:paraId="6557ED94" w14:textId="4077266F" w:rsidR="007A6C0D" w:rsidRDefault="007A6C0D" w:rsidP="00CD7DE8">
      <w:pPr>
        <w:spacing w:line="360" w:lineRule="auto"/>
        <w:jc w:val="both"/>
        <w:rPr>
          <w:rFonts w:ascii="Palatino Linotype" w:hAnsi="Palatino Linotype" w:cs="Tahoma"/>
          <w:b/>
          <w:bCs/>
          <w:sz w:val="22"/>
          <w:szCs w:val="22"/>
          <w:lang w:val="es-ES"/>
        </w:rPr>
      </w:pPr>
    </w:p>
    <w:p w14:paraId="360A4764" w14:textId="2CCC1974" w:rsidR="00A17785" w:rsidRDefault="00A17785" w:rsidP="00CD7DE8">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Conforme a lo anterior, se logra vislumbrar que a partir del primero de mayo de dos mil veintiuno, también empezó a utilizar los nuevos formatos para la presentación de la declaración patrimonial</w:t>
      </w:r>
      <w:r w:rsidR="00DB4C07">
        <w:rPr>
          <w:rFonts w:ascii="Palatino Linotype" w:hAnsi="Palatino Linotype" w:cs="Tahoma"/>
          <w:sz w:val="22"/>
          <w:szCs w:val="22"/>
          <w:lang w:val="es-ES"/>
        </w:rPr>
        <w:t>, los cuales ya establecen que datos son de naturaleza pública, y cuales son de naturaleza confidencial.</w:t>
      </w:r>
    </w:p>
    <w:p w14:paraId="2CF93FD3" w14:textId="71123C78" w:rsidR="00DB4C07" w:rsidRDefault="00DB4C07" w:rsidP="00CD7DE8">
      <w:pPr>
        <w:spacing w:line="360" w:lineRule="auto"/>
        <w:jc w:val="both"/>
        <w:rPr>
          <w:rFonts w:ascii="Palatino Linotype" w:hAnsi="Palatino Linotype" w:cs="Tahoma"/>
          <w:sz w:val="22"/>
          <w:szCs w:val="22"/>
          <w:lang w:val="es-ES"/>
        </w:rPr>
      </w:pPr>
    </w:p>
    <w:p w14:paraId="63A6B7FC" w14:textId="5C71702B" w:rsidR="00DB4C07" w:rsidRDefault="00DB4C07" w:rsidP="00CD7DE8">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En ese contexto, se considera que se debe dividir el análisis de la siguiente manera:</w:t>
      </w:r>
    </w:p>
    <w:p w14:paraId="06E8FE16" w14:textId="33684B04" w:rsidR="00DB4C07" w:rsidRDefault="00DB4C07" w:rsidP="00CD7DE8">
      <w:pPr>
        <w:spacing w:line="360" w:lineRule="auto"/>
        <w:jc w:val="both"/>
        <w:rPr>
          <w:rFonts w:ascii="Palatino Linotype" w:hAnsi="Palatino Linotype" w:cs="Tahoma"/>
          <w:sz w:val="22"/>
          <w:szCs w:val="22"/>
          <w:lang w:val="es-ES"/>
        </w:rPr>
      </w:pPr>
    </w:p>
    <w:p w14:paraId="431294B2" w14:textId="4638875D" w:rsidR="00DB4C07" w:rsidRDefault="00DB4C07" w:rsidP="00DB4C07">
      <w:pPr>
        <w:pStyle w:val="Prrafodelista"/>
        <w:numPr>
          <w:ilvl w:val="0"/>
          <w:numId w:val="31"/>
        </w:numPr>
        <w:spacing w:line="360" w:lineRule="auto"/>
        <w:jc w:val="both"/>
        <w:rPr>
          <w:rFonts w:ascii="Palatino Linotype" w:hAnsi="Palatino Linotype" w:cs="Tahoma"/>
          <w:szCs w:val="22"/>
          <w:lang w:val="es-ES"/>
        </w:rPr>
      </w:pPr>
      <w:r>
        <w:rPr>
          <w:rFonts w:ascii="Palatino Linotype" w:hAnsi="Palatino Linotype" w:cs="Tahoma"/>
          <w:szCs w:val="22"/>
          <w:lang w:val="es-ES"/>
        </w:rPr>
        <w:t>Manifestación de Bienes y Declaraciones Patrimoniales presentadas del primero de enero de dos mil quince al treinta de abril de dos mil veintiuno, y</w:t>
      </w:r>
    </w:p>
    <w:p w14:paraId="01ADD18E" w14:textId="77777777" w:rsidR="00DB4C07" w:rsidRDefault="00DB4C07" w:rsidP="00DB4C07">
      <w:pPr>
        <w:pStyle w:val="Prrafodelista"/>
        <w:spacing w:line="360" w:lineRule="auto"/>
        <w:jc w:val="both"/>
        <w:rPr>
          <w:rFonts w:ascii="Palatino Linotype" w:hAnsi="Palatino Linotype" w:cs="Tahoma"/>
          <w:szCs w:val="22"/>
          <w:lang w:val="es-ES"/>
        </w:rPr>
      </w:pPr>
    </w:p>
    <w:p w14:paraId="21AE5B04" w14:textId="1761A92A" w:rsidR="00DB4C07" w:rsidRPr="00DB4C07" w:rsidRDefault="00DB4C07" w:rsidP="00DB4C07">
      <w:pPr>
        <w:pStyle w:val="Prrafodelista"/>
        <w:numPr>
          <w:ilvl w:val="0"/>
          <w:numId w:val="31"/>
        </w:numPr>
        <w:spacing w:line="360" w:lineRule="auto"/>
        <w:jc w:val="both"/>
        <w:rPr>
          <w:rFonts w:ascii="Palatino Linotype" w:hAnsi="Palatino Linotype" w:cs="Tahoma"/>
          <w:szCs w:val="22"/>
          <w:lang w:val="es-ES"/>
        </w:rPr>
      </w:pPr>
      <w:r>
        <w:rPr>
          <w:rFonts w:ascii="Palatino Linotype" w:hAnsi="Palatino Linotype" w:cs="Tahoma"/>
          <w:szCs w:val="22"/>
          <w:lang w:val="es-ES"/>
        </w:rPr>
        <w:lastRenderedPageBreak/>
        <w:t>Declaraciones Patrimoniales presentadas del primero de mayo al veintiuno de octubre de dos mil veintiuno.</w:t>
      </w:r>
    </w:p>
    <w:p w14:paraId="6D06421C" w14:textId="302237B0" w:rsidR="00DB4C07" w:rsidRDefault="00DB4C07" w:rsidP="00CD7DE8">
      <w:pPr>
        <w:spacing w:line="360" w:lineRule="auto"/>
        <w:jc w:val="both"/>
        <w:rPr>
          <w:rFonts w:ascii="Palatino Linotype" w:hAnsi="Palatino Linotype" w:cs="Tahoma"/>
          <w:sz w:val="22"/>
          <w:szCs w:val="22"/>
          <w:lang w:val="es-ES"/>
        </w:rPr>
      </w:pPr>
    </w:p>
    <w:p w14:paraId="2BBF1815" w14:textId="57A470F1" w:rsidR="00DB4C07" w:rsidRPr="00DB4C07" w:rsidRDefault="00DB4C07" w:rsidP="00CD7DE8">
      <w:pPr>
        <w:spacing w:line="360" w:lineRule="auto"/>
        <w:jc w:val="both"/>
        <w:rPr>
          <w:rFonts w:ascii="Palatino Linotype" w:hAnsi="Palatino Linotype" w:cs="Tahoma"/>
          <w:b/>
          <w:bCs/>
          <w:sz w:val="22"/>
          <w:szCs w:val="22"/>
          <w:lang w:val="es-ES"/>
        </w:rPr>
      </w:pPr>
      <w:r w:rsidRPr="00DB4C07">
        <w:rPr>
          <w:rFonts w:ascii="Palatino Linotype" w:hAnsi="Palatino Linotype" w:cs="Tahoma"/>
          <w:b/>
          <w:bCs/>
          <w:sz w:val="22"/>
          <w:szCs w:val="22"/>
          <w:lang w:val="es-ES"/>
        </w:rPr>
        <w:t>Manifestación de Bienes y Declaraciones Patrimoniales presentadas del primero de enero de dos mil quince al treinta de abril de dos mil veintiuno</w:t>
      </w:r>
      <w:r>
        <w:rPr>
          <w:rFonts w:ascii="Palatino Linotype" w:hAnsi="Palatino Linotype" w:cs="Tahoma"/>
          <w:b/>
          <w:bCs/>
          <w:sz w:val="22"/>
          <w:szCs w:val="22"/>
          <w:lang w:val="es-ES"/>
        </w:rPr>
        <w:t>.</w:t>
      </w:r>
    </w:p>
    <w:p w14:paraId="743C32B0" w14:textId="3044202C" w:rsidR="00DB4C07" w:rsidRDefault="00DB4C07" w:rsidP="00CD7DE8">
      <w:pPr>
        <w:spacing w:line="360" w:lineRule="auto"/>
        <w:jc w:val="both"/>
        <w:rPr>
          <w:rFonts w:ascii="Palatino Linotype" w:hAnsi="Palatino Linotype" w:cs="Tahoma"/>
          <w:sz w:val="22"/>
          <w:szCs w:val="22"/>
          <w:lang w:val="es-ES"/>
        </w:rPr>
      </w:pPr>
    </w:p>
    <w:p w14:paraId="466252C9" w14:textId="33D7B9AD" w:rsidR="00705CE6" w:rsidRPr="00705CE6" w:rsidRDefault="00705CE6" w:rsidP="00705CE6">
      <w:pPr>
        <w:tabs>
          <w:tab w:val="left" w:pos="4962"/>
        </w:tabs>
        <w:spacing w:line="360" w:lineRule="auto"/>
        <w:jc w:val="both"/>
        <w:rPr>
          <w:rFonts w:ascii="Palatino Linotype" w:eastAsia="Calibri" w:hAnsi="Palatino Linotype" w:cs="Tahoma"/>
          <w:iCs/>
          <w:sz w:val="22"/>
          <w:szCs w:val="22"/>
          <w:lang w:val="es-ES_tradnl" w:eastAsia="es-ES_tradnl"/>
        </w:rPr>
      </w:pPr>
      <w:bookmarkStart w:id="5" w:name="_Hlk93572469"/>
      <w:r w:rsidRPr="00705CE6">
        <w:rPr>
          <w:rFonts w:ascii="Palatino Linotype" w:eastAsia="Calibri" w:hAnsi="Palatino Linotype" w:cs="Tahoma"/>
          <w:iCs/>
          <w:sz w:val="22"/>
          <w:szCs w:val="22"/>
          <w:lang w:val="es-ES_tradnl" w:eastAsia="es-ES_tradnl"/>
        </w:rPr>
        <w:t xml:space="preserve">Conforme </w:t>
      </w:r>
      <w:r>
        <w:rPr>
          <w:rFonts w:ascii="Palatino Linotype" w:eastAsia="Calibri" w:hAnsi="Palatino Linotype" w:cs="Tahoma"/>
          <w:iCs/>
          <w:sz w:val="22"/>
          <w:szCs w:val="22"/>
          <w:lang w:val="es-ES_tradnl" w:eastAsia="es-ES_tradnl"/>
        </w:rPr>
        <w:t>a lo que se ha establecido en la presente Resolución</w:t>
      </w:r>
      <w:r w:rsidRPr="00705CE6">
        <w:rPr>
          <w:rFonts w:ascii="Palatino Linotype" w:eastAsia="Calibri" w:hAnsi="Palatino Linotype" w:cs="Tahoma"/>
          <w:iCs/>
          <w:sz w:val="22"/>
          <w:szCs w:val="22"/>
          <w:lang w:val="es-ES_tradnl" w:eastAsia="es-ES_tradnl"/>
        </w:rPr>
        <w:t xml:space="preserve">, se logra vislumbrar que las Declaraciones Patrimoniales serán públicas, hasta que la autoridad emita los formatos respectivos y estos se utilicen para recabar la información de los servidores públicos; lo cual </w:t>
      </w:r>
      <w:r>
        <w:rPr>
          <w:rFonts w:ascii="Palatino Linotype" w:eastAsia="Calibri" w:hAnsi="Palatino Linotype" w:cs="Tahoma"/>
          <w:iCs/>
          <w:sz w:val="22"/>
          <w:szCs w:val="22"/>
          <w:lang w:val="es-ES_tradnl" w:eastAsia="es-ES_tradnl"/>
        </w:rPr>
        <w:t>al treinta de abril de dos mil veintiuno, no había acontecido y, por lo tanto, se utilizaban los formatos vigentes en dicha fecha, los cuales, conforme a lo señalado por la Contraloría Interna y Órgano de Control y Vigilancia, permitían al servidor público autorizar o no la publicación y divulgación de la información.</w:t>
      </w:r>
    </w:p>
    <w:bookmarkEnd w:id="5"/>
    <w:p w14:paraId="450EB55F" w14:textId="77777777" w:rsidR="00705CE6" w:rsidRPr="00705CE6" w:rsidRDefault="00705CE6" w:rsidP="00705CE6">
      <w:pPr>
        <w:tabs>
          <w:tab w:val="left" w:pos="4962"/>
        </w:tabs>
        <w:spacing w:line="360" w:lineRule="auto"/>
        <w:jc w:val="both"/>
        <w:rPr>
          <w:rFonts w:ascii="Palatino Linotype" w:eastAsia="Calibri" w:hAnsi="Palatino Linotype" w:cs="Tahoma"/>
          <w:iCs/>
          <w:sz w:val="22"/>
          <w:szCs w:val="22"/>
          <w:lang w:val="es-ES_tradnl" w:eastAsia="es-ES_tradnl"/>
        </w:rPr>
      </w:pPr>
    </w:p>
    <w:p w14:paraId="6050DADF" w14:textId="4099AFEB" w:rsidR="00705CE6" w:rsidRPr="00705CE6" w:rsidRDefault="00705CE6" w:rsidP="00705CE6">
      <w:pPr>
        <w:tabs>
          <w:tab w:val="left" w:pos="4962"/>
        </w:tabs>
        <w:spacing w:line="360" w:lineRule="auto"/>
        <w:jc w:val="both"/>
        <w:rPr>
          <w:rFonts w:ascii="Palatino Linotype" w:eastAsia="Calibri" w:hAnsi="Palatino Linotype" w:cs="Tahoma"/>
          <w:iCs/>
          <w:sz w:val="22"/>
          <w:szCs w:val="22"/>
          <w:lang w:val="es-ES_tradnl" w:eastAsia="es-ES_tradnl"/>
        </w:rPr>
      </w:pPr>
      <w:r w:rsidRPr="00705CE6">
        <w:rPr>
          <w:rFonts w:ascii="Palatino Linotype" w:eastAsia="Calibri" w:hAnsi="Palatino Linotype" w:cs="Tahoma"/>
          <w:iCs/>
          <w:sz w:val="22"/>
          <w:szCs w:val="22"/>
          <w:lang w:val="es-ES_tradnl" w:eastAsia="es-ES_tradnl"/>
        </w:rPr>
        <w:t xml:space="preserve">Por lo que, se logra vislumbrar que, </w:t>
      </w:r>
      <w:r>
        <w:rPr>
          <w:rFonts w:ascii="Palatino Linotype" w:eastAsia="Calibri" w:hAnsi="Palatino Linotype" w:cs="Tahoma"/>
          <w:iCs/>
          <w:sz w:val="22"/>
          <w:szCs w:val="22"/>
          <w:lang w:val="es-ES_tradnl" w:eastAsia="es-ES_tradnl"/>
        </w:rPr>
        <w:t>del primero de enero de dos mil quince al treinta de abril de dos mil veintiuno</w:t>
      </w:r>
      <w:r w:rsidRPr="00705CE6">
        <w:rPr>
          <w:rFonts w:ascii="Palatino Linotype" w:eastAsia="Calibri" w:hAnsi="Palatino Linotype" w:cs="Tahoma"/>
          <w:iCs/>
          <w:sz w:val="22"/>
          <w:szCs w:val="22"/>
          <w:lang w:val="es-ES_tradnl" w:eastAsia="es-ES_tradnl"/>
        </w:rPr>
        <w:t>, las</w:t>
      </w:r>
      <w:r>
        <w:rPr>
          <w:rFonts w:ascii="Palatino Linotype" w:eastAsia="Calibri" w:hAnsi="Palatino Linotype" w:cs="Tahoma"/>
          <w:iCs/>
          <w:sz w:val="22"/>
          <w:szCs w:val="22"/>
          <w:lang w:val="es-ES_tradnl" w:eastAsia="es-ES_tradnl"/>
        </w:rPr>
        <w:t xml:space="preserve"> Manifestaciones de Bienes y las</w:t>
      </w:r>
      <w:r w:rsidRPr="00705CE6">
        <w:rPr>
          <w:rFonts w:ascii="Palatino Linotype" w:eastAsia="Calibri" w:hAnsi="Palatino Linotype" w:cs="Tahoma"/>
          <w:iCs/>
          <w:sz w:val="22"/>
          <w:szCs w:val="22"/>
          <w:lang w:val="es-ES_tradnl" w:eastAsia="es-ES_tradnl"/>
        </w:rPr>
        <w:t xml:space="preserve"> Declaraciones Patrimoniales, son confidenciales, </w:t>
      </w:r>
      <w:r>
        <w:rPr>
          <w:rFonts w:ascii="Palatino Linotype" w:eastAsia="Calibri" w:hAnsi="Palatino Linotype" w:cs="Tahoma"/>
          <w:iCs/>
          <w:sz w:val="22"/>
          <w:szCs w:val="22"/>
          <w:lang w:val="es-ES_tradnl" w:eastAsia="es-ES_tradnl"/>
        </w:rPr>
        <w:t>pues los servidores públicos adscritos a la Contraloría Interna y Órgano de Control y Vigilancia, que presentaron alguna de estas, no dieron su consentimiento para divulgar su información</w:t>
      </w:r>
      <w:r w:rsidRPr="00705CE6">
        <w:rPr>
          <w:rFonts w:ascii="Palatino Linotype" w:eastAsia="Calibri" w:hAnsi="Palatino Linotype" w:cs="Tahoma"/>
          <w:iCs/>
          <w:sz w:val="22"/>
          <w:szCs w:val="22"/>
          <w:lang w:val="es-ES_tradnl" w:eastAsia="es-ES_tradnl"/>
        </w:rPr>
        <w:t>.</w:t>
      </w:r>
    </w:p>
    <w:p w14:paraId="18E9834B" w14:textId="77777777" w:rsidR="00705CE6" w:rsidRPr="00705CE6" w:rsidRDefault="00705CE6" w:rsidP="00705CE6">
      <w:pPr>
        <w:tabs>
          <w:tab w:val="left" w:pos="4962"/>
        </w:tabs>
        <w:spacing w:line="360" w:lineRule="auto"/>
        <w:jc w:val="both"/>
        <w:rPr>
          <w:rFonts w:ascii="Palatino Linotype" w:eastAsia="Calibri" w:hAnsi="Palatino Linotype" w:cs="Tahoma"/>
          <w:iCs/>
          <w:sz w:val="22"/>
          <w:szCs w:val="22"/>
          <w:lang w:val="es-ES_tradnl" w:eastAsia="es-ES_tradnl"/>
        </w:rPr>
      </w:pPr>
    </w:p>
    <w:p w14:paraId="515E8566" w14:textId="22F550E8" w:rsidR="00705CE6" w:rsidRPr="00705CE6" w:rsidRDefault="00965980" w:rsidP="00705CE6">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S</w:t>
      </w:r>
      <w:r w:rsidR="00705CE6" w:rsidRPr="00705CE6">
        <w:rPr>
          <w:rFonts w:ascii="Palatino Linotype" w:eastAsia="Calibri" w:hAnsi="Palatino Linotype" w:cs="Tahoma"/>
          <w:iCs/>
          <w:sz w:val="22"/>
          <w:szCs w:val="22"/>
          <w:lang w:val="es-ES" w:eastAsia="es-ES_tradnl"/>
        </w:rPr>
        <w:t>obre esto, es de señalar que el artículo</w:t>
      </w:r>
      <w:r>
        <w:rPr>
          <w:rFonts w:ascii="Palatino Linotype" w:eastAsia="Calibri" w:hAnsi="Palatino Linotype" w:cs="Tahoma"/>
          <w:iCs/>
          <w:sz w:val="22"/>
          <w:szCs w:val="22"/>
          <w:lang w:val="es-ES" w:eastAsia="es-ES_tradnl"/>
        </w:rPr>
        <w:t xml:space="preserve"> 3°, fracción VIII y</w:t>
      </w:r>
      <w:r w:rsidR="00705CE6" w:rsidRPr="00705CE6">
        <w:rPr>
          <w:rFonts w:ascii="Palatino Linotype" w:eastAsia="Calibri" w:hAnsi="Palatino Linotype" w:cs="Tahoma"/>
          <w:iCs/>
          <w:sz w:val="22"/>
          <w:szCs w:val="22"/>
          <w:lang w:val="es-ES" w:eastAsia="es-ES_tradnl"/>
        </w:rPr>
        <w:t xml:space="preserve"> 4° de la Ley de Protección de Datos Personales en Posesión de Sujetos Obligados del Estado de México y Municipios, precisa</w:t>
      </w:r>
      <w:r>
        <w:rPr>
          <w:rFonts w:ascii="Palatino Linotype" w:eastAsia="Calibri" w:hAnsi="Palatino Linotype" w:cs="Tahoma"/>
          <w:iCs/>
          <w:sz w:val="22"/>
          <w:szCs w:val="22"/>
          <w:lang w:val="es-ES" w:eastAsia="es-ES_tradnl"/>
        </w:rPr>
        <w:t>n</w:t>
      </w:r>
      <w:r w:rsidR="00705CE6" w:rsidRPr="00705CE6">
        <w:rPr>
          <w:rFonts w:ascii="Palatino Linotype" w:eastAsia="Calibri" w:hAnsi="Palatino Linotype" w:cs="Tahoma"/>
          <w:iCs/>
          <w:sz w:val="22"/>
          <w:szCs w:val="22"/>
          <w:lang w:val="es-ES" w:eastAsia="es-ES_tradnl"/>
        </w:rPr>
        <w:t xml:space="preserve"> que el consentimiento es la manifestación de la voluntad libre, específica, informada e inequívoca del titular de los datos para aceptar su tratamiento, en el presente caso, de la publicación.</w:t>
      </w:r>
    </w:p>
    <w:p w14:paraId="323079E4" w14:textId="77777777" w:rsidR="00705CE6" w:rsidRPr="00705CE6" w:rsidRDefault="00705CE6" w:rsidP="00705CE6">
      <w:pPr>
        <w:tabs>
          <w:tab w:val="left" w:pos="4962"/>
        </w:tabs>
        <w:spacing w:line="360" w:lineRule="auto"/>
        <w:jc w:val="both"/>
        <w:rPr>
          <w:rFonts w:ascii="Palatino Linotype" w:eastAsia="Calibri" w:hAnsi="Palatino Linotype" w:cs="Tahoma"/>
          <w:iCs/>
          <w:sz w:val="22"/>
          <w:szCs w:val="22"/>
          <w:lang w:val="es-ES" w:eastAsia="es-ES_tradnl"/>
        </w:rPr>
      </w:pPr>
    </w:p>
    <w:p w14:paraId="08C0DF85" w14:textId="546DDE48" w:rsidR="00705CE6" w:rsidRDefault="00705CE6" w:rsidP="00705CE6">
      <w:pPr>
        <w:tabs>
          <w:tab w:val="left" w:pos="4962"/>
        </w:tabs>
        <w:spacing w:line="360" w:lineRule="auto"/>
        <w:jc w:val="both"/>
        <w:rPr>
          <w:rFonts w:ascii="Palatino Linotype" w:eastAsia="Calibri" w:hAnsi="Palatino Linotype" w:cs="Tahoma"/>
          <w:iCs/>
          <w:sz w:val="22"/>
          <w:szCs w:val="22"/>
          <w:lang w:val="es-ES" w:eastAsia="es-ES_tradnl"/>
        </w:rPr>
      </w:pPr>
      <w:r w:rsidRPr="00705CE6">
        <w:rPr>
          <w:rFonts w:ascii="Palatino Linotype" w:eastAsia="Calibri" w:hAnsi="Palatino Linotype" w:cs="Tahoma"/>
          <w:iCs/>
          <w:sz w:val="22"/>
          <w:szCs w:val="22"/>
          <w:lang w:val="es-ES" w:eastAsia="es-ES_tradnl"/>
        </w:rPr>
        <w:lastRenderedPageBreak/>
        <w:t>Además, el artículo</w:t>
      </w:r>
      <w:r w:rsidR="00965980">
        <w:rPr>
          <w:rFonts w:ascii="Palatino Linotype" w:eastAsia="Calibri" w:hAnsi="Palatino Linotype" w:cs="Tahoma"/>
          <w:iCs/>
          <w:sz w:val="22"/>
          <w:szCs w:val="22"/>
          <w:lang w:val="es-ES" w:eastAsia="es-ES_tradnl"/>
        </w:rPr>
        <w:t xml:space="preserve"> 120, de la Ley General de Transparencia y Acceso a la Información Pública,</w:t>
      </w:r>
      <w:r w:rsidRPr="00705CE6">
        <w:rPr>
          <w:rFonts w:ascii="Palatino Linotype" w:eastAsia="Calibri" w:hAnsi="Palatino Linotype" w:cs="Tahoma"/>
          <w:iCs/>
          <w:sz w:val="22"/>
          <w:szCs w:val="22"/>
          <w:lang w:val="es-ES" w:eastAsia="es-ES_tradnl"/>
        </w:rPr>
        <w:t xml:space="preserve"> 14</w:t>
      </w:r>
      <w:r w:rsidR="00965980">
        <w:rPr>
          <w:rFonts w:ascii="Palatino Linotype" w:eastAsia="Calibri" w:hAnsi="Palatino Linotype" w:cs="Tahoma"/>
          <w:iCs/>
          <w:sz w:val="22"/>
          <w:szCs w:val="22"/>
          <w:lang w:val="es-ES" w:eastAsia="es-ES_tradnl"/>
        </w:rPr>
        <w:t>7</w:t>
      </w:r>
      <w:r w:rsidRPr="00705CE6">
        <w:rPr>
          <w:rFonts w:ascii="Palatino Linotype" w:eastAsia="Calibri" w:hAnsi="Palatino Linotype" w:cs="Tahoma"/>
          <w:iCs/>
          <w:sz w:val="22"/>
          <w:szCs w:val="22"/>
          <w:lang w:val="es-ES" w:eastAsia="es-ES_tradnl"/>
        </w:rPr>
        <w:t xml:space="preserve"> de la Ley de Transparencia y Acceso a la Información Pública del Estado de México y Municipios</w:t>
      </w:r>
      <w:r w:rsidR="00965980">
        <w:rPr>
          <w:rFonts w:ascii="Palatino Linotype" w:eastAsia="Calibri" w:hAnsi="Palatino Linotype" w:cs="Tahoma"/>
          <w:iCs/>
          <w:sz w:val="22"/>
          <w:szCs w:val="22"/>
          <w:lang w:val="es-ES" w:eastAsia="es-ES_tradnl"/>
        </w:rPr>
        <w:t xml:space="preserve"> y Cuadragésimo octavo</w:t>
      </w:r>
      <w:r w:rsidR="00CE5563">
        <w:rPr>
          <w:rFonts w:ascii="Palatino Linotype" w:eastAsia="Calibri" w:hAnsi="Palatino Linotype" w:cs="Tahoma"/>
          <w:iCs/>
          <w:sz w:val="22"/>
          <w:szCs w:val="22"/>
          <w:lang w:val="es-ES" w:eastAsia="es-ES_tradnl"/>
        </w:rPr>
        <w:t xml:space="preserve"> de los </w:t>
      </w:r>
      <w:r w:rsidR="00CE5563" w:rsidRPr="00CE5563">
        <w:rPr>
          <w:rFonts w:ascii="Palatino Linotype" w:eastAsia="Calibri" w:hAnsi="Palatino Linotype" w:cs="Tahoma"/>
          <w:iCs/>
          <w:sz w:val="22"/>
          <w:szCs w:val="22"/>
          <w:lang w:eastAsia="es-ES_tradnl"/>
        </w:rPr>
        <w:t>Lineamientos Generales en Materia de Clasificación y Desclasificación de la Información, así como para la Elaboración de Versiones Públicas</w:t>
      </w:r>
      <w:r w:rsidRPr="00705CE6">
        <w:rPr>
          <w:rFonts w:ascii="Palatino Linotype" w:eastAsia="Calibri" w:hAnsi="Palatino Linotype" w:cs="Tahoma"/>
          <w:iCs/>
          <w:sz w:val="22"/>
          <w:szCs w:val="22"/>
          <w:lang w:val="es-ES" w:eastAsia="es-ES_tradnl"/>
        </w:rPr>
        <w:t xml:space="preserve"> de manera clara y precisa, establece</w:t>
      </w:r>
      <w:r w:rsidR="00CE5563">
        <w:rPr>
          <w:rFonts w:ascii="Palatino Linotype" w:eastAsia="Calibri" w:hAnsi="Palatino Linotype" w:cs="Tahoma"/>
          <w:iCs/>
          <w:sz w:val="22"/>
          <w:szCs w:val="22"/>
          <w:lang w:val="es-ES" w:eastAsia="es-ES_tradnl"/>
        </w:rPr>
        <w:t>n</w:t>
      </w:r>
      <w:r w:rsidRPr="00705CE6">
        <w:rPr>
          <w:rFonts w:ascii="Palatino Linotype" w:eastAsia="Calibri" w:hAnsi="Palatino Linotype" w:cs="Tahoma"/>
          <w:iCs/>
          <w:sz w:val="22"/>
          <w:szCs w:val="22"/>
          <w:lang w:val="es-ES" w:eastAsia="es-ES_tradnl"/>
        </w:rPr>
        <w:t xml:space="preserve"> que los sujetos obligados no pueden permitir el acceso a información confidencial, si no cuenta con el consentimiento de los titulares; lo cual acontece, en el presente caso, pues </w:t>
      </w:r>
      <w:r w:rsidR="00CE5563">
        <w:rPr>
          <w:rFonts w:ascii="Palatino Linotype" w:eastAsia="Calibri" w:hAnsi="Palatino Linotype" w:cs="Tahoma"/>
          <w:iCs/>
          <w:sz w:val="22"/>
          <w:szCs w:val="22"/>
          <w:lang w:val="es-ES" w:eastAsia="es-ES_tradnl"/>
        </w:rPr>
        <w:t>los servidores públicos</w:t>
      </w:r>
      <w:r w:rsidRPr="00705CE6">
        <w:rPr>
          <w:rFonts w:ascii="Palatino Linotype" w:eastAsia="Calibri" w:hAnsi="Palatino Linotype" w:cs="Tahoma"/>
          <w:iCs/>
          <w:sz w:val="22"/>
          <w:szCs w:val="22"/>
          <w:lang w:val="es-ES" w:eastAsia="es-ES_tradnl"/>
        </w:rPr>
        <w:t>, no di</w:t>
      </w:r>
      <w:r w:rsidR="00CE5563">
        <w:rPr>
          <w:rFonts w:ascii="Palatino Linotype" w:eastAsia="Calibri" w:hAnsi="Palatino Linotype" w:cs="Tahoma"/>
          <w:iCs/>
          <w:sz w:val="22"/>
          <w:szCs w:val="22"/>
          <w:lang w:val="es-ES" w:eastAsia="es-ES_tradnl"/>
        </w:rPr>
        <w:t>eron</w:t>
      </w:r>
      <w:r w:rsidRPr="00705CE6">
        <w:rPr>
          <w:rFonts w:ascii="Palatino Linotype" w:eastAsia="Calibri" w:hAnsi="Palatino Linotype" w:cs="Tahoma"/>
          <w:iCs/>
          <w:sz w:val="22"/>
          <w:szCs w:val="22"/>
          <w:lang w:val="es-ES" w:eastAsia="es-ES_tradnl"/>
        </w:rPr>
        <w:t xml:space="preserve"> su autorización para revelar su situación patrimonial.</w:t>
      </w:r>
    </w:p>
    <w:p w14:paraId="15F55C81" w14:textId="00EA8D5F" w:rsidR="00CE5563" w:rsidRDefault="00CE5563" w:rsidP="00705CE6">
      <w:pPr>
        <w:tabs>
          <w:tab w:val="left" w:pos="4962"/>
        </w:tabs>
        <w:spacing w:line="360" w:lineRule="auto"/>
        <w:jc w:val="both"/>
        <w:rPr>
          <w:rFonts w:ascii="Palatino Linotype" w:eastAsia="Calibri" w:hAnsi="Palatino Linotype" w:cs="Tahoma"/>
          <w:iCs/>
          <w:sz w:val="22"/>
          <w:szCs w:val="22"/>
          <w:lang w:val="es-ES" w:eastAsia="es-ES_tradnl"/>
        </w:rPr>
      </w:pPr>
    </w:p>
    <w:p w14:paraId="413E1415" w14:textId="49EE3A33" w:rsidR="00CE5563" w:rsidRDefault="00CE5563" w:rsidP="00705CE6">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Lo anterior</w:t>
      </w:r>
      <w:r w:rsidR="00B57142">
        <w:rPr>
          <w:rFonts w:ascii="Palatino Linotype" w:eastAsia="Calibri" w:hAnsi="Palatino Linotype" w:cs="Tahoma"/>
          <w:iCs/>
          <w:sz w:val="22"/>
          <w:szCs w:val="22"/>
          <w:lang w:val="es-ES" w:eastAsia="es-ES_tradnl"/>
        </w:rPr>
        <w:t xml:space="preserve">, toma relevancia pues se realizó una búsqueda en el Portal de Información Pública de Oficio Mexiquense de este Instituto, en específico en la fracción XIII “Declaraciones patrimoniales de los servidores públicos”, de los ejercicios fiscales del dos mil diecisiete a dos mil veinte (consultado el diecinueve de enero de dos mil veintidós, a las diecisiete horas, en las ligas </w:t>
      </w:r>
      <w:hyperlink r:id="rId25" w:history="1">
        <w:r w:rsidR="00B57142" w:rsidRPr="00E1593A">
          <w:rPr>
            <w:rStyle w:val="Hipervnculo"/>
            <w:rFonts w:ascii="Palatino Linotype" w:eastAsia="Calibri" w:hAnsi="Palatino Linotype" w:cs="Tahoma"/>
            <w:iCs/>
            <w:sz w:val="22"/>
            <w:szCs w:val="22"/>
            <w:lang w:val="es-ES" w:eastAsia="es-ES_tradnl"/>
          </w:rPr>
          <w:t>https://www.ipomex.org.mx/ipo/lgt/indice/infoem/declaraciones.web</w:t>
        </w:r>
      </w:hyperlink>
      <w:r w:rsidR="00B57142">
        <w:rPr>
          <w:rFonts w:ascii="Palatino Linotype" w:eastAsia="Calibri" w:hAnsi="Palatino Linotype" w:cs="Tahoma"/>
          <w:iCs/>
          <w:sz w:val="22"/>
          <w:szCs w:val="22"/>
          <w:lang w:val="es-ES" w:eastAsia="es-ES_tradnl"/>
        </w:rPr>
        <w:t xml:space="preserve"> y </w:t>
      </w:r>
      <w:hyperlink r:id="rId26" w:history="1">
        <w:r w:rsidR="00B57142" w:rsidRPr="00E1593A">
          <w:rPr>
            <w:rStyle w:val="Hipervnculo"/>
            <w:rFonts w:ascii="Palatino Linotype" w:eastAsia="Calibri" w:hAnsi="Palatino Linotype" w:cs="Tahoma"/>
            <w:iCs/>
            <w:sz w:val="22"/>
            <w:szCs w:val="22"/>
            <w:lang w:val="es-ES" w:eastAsia="es-ES_tradnl"/>
          </w:rPr>
          <w:t>https://www.ipomex.org.mx/ipo3/lgt/indice/INFOEM/art_92_xiii.web</w:t>
        </w:r>
      </w:hyperlink>
      <w:r w:rsidR="00B57142">
        <w:rPr>
          <w:rFonts w:ascii="Palatino Linotype" w:eastAsia="Calibri" w:hAnsi="Palatino Linotype" w:cs="Tahoma"/>
          <w:iCs/>
          <w:sz w:val="22"/>
          <w:szCs w:val="22"/>
          <w:lang w:val="es-ES" w:eastAsia="es-ES_tradnl"/>
        </w:rPr>
        <w:t>) y se logra advertir que los servidores públicos no dieron autorización para publicar la información de sus declaraciones patrimoniales, se muestra un ejemplo a continuación:</w:t>
      </w:r>
    </w:p>
    <w:p w14:paraId="533B995B" w14:textId="3077284D" w:rsidR="00B57142" w:rsidRDefault="00B57142" w:rsidP="00705CE6">
      <w:pPr>
        <w:tabs>
          <w:tab w:val="left" w:pos="4962"/>
        </w:tabs>
        <w:spacing w:line="360" w:lineRule="auto"/>
        <w:jc w:val="both"/>
        <w:rPr>
          <w:rFonts w:ascii="Palatino Linotype" w:eastAsia="Calibri" w:hAnsi="Palatino Linotype" w:cs="Tahoma"/>
          <w:iCs/>
          <w:sz w:val="22"/>
          <w:szCs w:val="22"/>
          <w:lang w:val="es-ES" w:eastAsia="es-ES_tradnl"/>
        </w:rPr>
      </w:pPr>
    </w:p>
    <w:p w14:paraId="6651EF8E" w14:textId="5C1A0792" w:rsidR="00B57142" w:rsidRDefault="00B57142" w:rsidP="00B57142">
      <w:pPr>
        <w:tabs>
          <w:tab w:val="left" w:pos="4962"/>
        </w:tabs>
        <w:spacing w:line="360" w:lineRule="auto"/>
        <w:jc w:val="center"/>
        <w:rPr>
          <w:rFonts w:ascii="Palatino Linotype" w:eastAsia="Calibri" w:hAnsi="Palatino Linotype" w:cs="Tahoma"/>
          <w:iCs/>
          <w:sz w:val="22"/>
          <w:szCs w:val="22"/>
          <w:lang w:val="es-ES" w:eastAsia="es-ES_tradnl"/>
        </w:rPr>
      </w:pPr>
      <w:r>
        <w:rPr>
          <w:noProof/>
        </w:rPr>
        <w:drawing>
          <wp:inline distT="0" distB="0" distL="0" distR="0" wp14:anchorId="1214A951" wp14:editId="3DB0421F">
            <wp:extent cx="4686300" cy="21431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6300" cy="2143125"/>
                    </a:xfrm>
                    <a:prstGeom prst="rect">
                      <a:avLst/>
                    </a:prstGeom>
                  </pic:spPr>
                </pic:pic>
              </a:graphicData>
            </a:graphic>
          </wp:inline>
        </w:drawing>
      </w:r>
    </w:p>
    <w:p w14:paraId="6DA14C52" w14:textId="77777777" w:rsidR="00544F9C" w:rsidRPr="00705CE6" w:rsidRDefault="00544F9C" w:rsidP="00B57142">
      <w:pPr>
        <w:tabs>
          <w:tab w:val="left" w:pos="4962"/>
        </w:tabs>
        <w:spacing w:line="360" w:lineRule="auto"/>
        <w:jc w:val="center"/>
        <w:rPr>
          <w:rFonts w:ascii="Palatino Linotype" w:eastAsia="Calibri" w:hAnsi="Palatino Linotype" w:cs="Tahoma"/>
          <w:iCs/>
          <w:sz w:val="22"/>
          <w:szCs w:val="22"/>
          <w:lang w:val="es-ES" w:eastAsia="es-ES_tradnl"/>
        </w:rPr>
      </w:pPr>
    </w:p>
    <w:p w14:paraId="7542774B" w14:textId="179566A1" w:rsidR="00705CE6" w:rsidRDefault="00705CE6" w:rsidP="00705CE6">
      <w:pPr>
        <w:tabs>
          <w:tab w:val="left" w:pos="4962"/>
        </w:tabs>
        <w:spacing w:line="360" w:lineRule="auto"/>
        <w:jc w:val="both"/>
        <w:rPr>
          <w:rFonts w:ascii="Palatino Linotype" w:eastAsia="Calibri" w:hAnsi="Palatino Linotype" w:cs="Tahoma"/>
          <w:iCs/>
          <w:sz w:val="22"/>
          <w:szCs w:val="22"/>
          <w:lang w:val="es-ES" w:eastAsia="es-ES_tradnl"/>
        </w:rPr>
      </w:pPr>
      <w:r w:rsidRPr="00705CE6">
        <w:rPr>
          <w:rFonts w:ascii="Palatino Linotype" w:eastAsia="Calibri" w:hAnsi="Palatino Linotype" w:cs="Tahoma"/>
          <w:iCs/>
          <w:sz w:val="22"/>
          <w:szCs w:val="22"/>
          <w:lang w:val="es-ES" w:eastAsia="es-ES_tradnl"/>
        </w:rPr>
        <w:t xml:space="preserve">Por lo que se considera, que, en el presente caso, las </w:t>
      </w:r>
      <w:r w:rsidR="00B57142" w:rsidRPr="00B57142">
        <w:rPr>
          <w:rFonts w:ascii="Palatino Linotype" w:eastAsia="Calibri" w:hAnsi="Palatino Linotype" w:cs="Tahoma"/>
          <w:iCs/>
          <w:sz w:val="22"/>
          <w:szCs w:val="22"/>
          <w:lang w:val="es-ES" w:eastAsia="es-ES_tradnl"/>
        </w:rPr>
        <w:t>Manifestación de Bienes y Declaraciones Patrimoniales presentadas del primero de enero de dos mil quince al treinta de abril de dos mil veintiuno</w:t>
      </w:r>
      <w:r w:rsidR="00B57142">
        <w:rPr>
          <w:rFonts w:ascii="Palatino Linotype" w:eastAsia="Calibri" w:hAnsi="Palatino Linotype" w:cs="Tahoma"/>
          <w:iCs/>
          <w:sz w:val="22"/>
          <w:szCs w:val="22"/>
          <w:lang w:val="es-ES" w:eastAsia="es-ES_tradnl"/>
        </w:rPr>
        <w:t xml:space="preserve">, </w:t>
      </w:r>
      <w:r w:rsidRPr="00705CE6">
        <w:rPr>
          <w:rFonts w:ascii="Palatino Linotype" w:eastAsia="Calibri" w:hAnsi="Palatino Linotype" w:cs="Tahoma"/>
          <w:iCs/>
          <w:sz w:val="22"/>
          <w:szCs w:val="22"/>
          <w:lang w:val="es-ES" w:eastAsia="es-ES_tradnl"/>
        </w:rPr>
        <w:t>solicitadas actualizan la causal de clasificación prevista en el artículo 143, fracción I, de la Ley de Transparencia y Acceso a la Información Pública del Estado de México y Municipios.</w:t>
      </w:r>
    </w:p>
    <w:p w14:paraId="598EDB5E" w14:textId="58829DC8" w:rsidR="005C0F53" w:rsidRDefault="005C0F53" w:rsidP="00705CE6">
      <w:pPr>
        <w:tabs>
          <w:tab w:val="left" w:pos="4962"/>
        </w:tabs>
        <w:spacing w:line="360" w:lineRule="auto"/>
        <w:jc w:val="both"/>
        <w:rPr>
          <w:rFonts w:ascii="Palatino Linotype" w:eastAsia="Calibri" w:hAnsi="Palatino Linotype" w:cs="Tahoma"/>
          <w:iCs/>
          <w:sz w:val="22"/>
          <w:szCs w:val="22"/>
          <w:lang w:val="es-ES" w:eastAsia="es-ES_tradnl"/>
        </w:rPr>
      </w:pPr>
    </w:p>
    <w:p w14:paraId="25EBEC6E" w14:textId="6B3D40DD" w:rsidR="005C0F53" w:rsidRPr="00705CE6" w:rsidRDefault="00544F9C" w:rsidP="00705CE6">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Al respecto, de las constancias que obran en el expediente, se logra colegir que el Sujeto Obligado desde respuesta </w:t>
      </w:r>
      <w:r w:rsidR="00913079">
        <w:rPr>
          <w:rFonts w:ascii="Palatino Linotype" w:eastAsia="Calibri" w:hAnsi="Palatino Linotype" w:cs="Tahoma"/>
          <w:iCs/>
          <w:sz w:val="22"/>
          <w:szCs w:val="22"/>
          <w:lang w:val="es-ES" w:eastAsia="es-ES_tradnl"/>
        </w:rPr>
        <w:t>entregó</w:t>
      </w:r>
      <w:r>
        <w:rPr>
          <w:rFonts w:ascii="Palatino Linotype" w:eastAsia="Calibri" w:hAnsi="Palatino Linotype" w:cs="Tahoma"/>
          <w:iCs/>
          <w:sz w:val="22"/>
          <w:szCs w:val="22"/>
          <w:lang w:val="x-none" w:eastAsia="es-ES_tradnl"/>
        </w:rPr>
        <w:t xml:space="preserve"> el </w:t>
      </w:r>
      <w:r w:rsidRPr="00544F9C">
        <w:rPr>
          <w:rFonts w:ascii="Palatino Linotype" w:eastAsia="Calibri" w:hAnsi="Palatino Linotype" w:cs="Tahoma"/>
          <w:iCs/>
          <w:sz w:val="22"/>
          <w:szCs w:val="22"/>
          <w:lang w:val="x-none" w:eastAsia="es-ES_tradnl"/>
        </w:rPr>
        <w:t xml:space="preserve">Acuerdo emitido por el Comité de Transparencia, en donde de manera fundada y motivada, </w:t>
      </w:r>
      <w:r>
        <w:rPr>
          <w:rFonts w:ascii="Palatino Linotype" w:eastAsia="Calibri" w:hAnsi="Palatino Linotype" w:cs="Tahoma"/>
          <w:iCs/>
          <w:sz w:val="22"/>
          <w:szCs w:val="22"/>
          <w:lang w:val="x-none" w:eastAsia="es-ES_tradnl"/>
        </w:rPr>
        <w:t>confirmó</w:t>
      </w:r>
      <w:r w:rsidRPr="00544F9C">
        <w:rPr>
          <w:rFonts w:ascii="Palatino Linotype" w:eastAsia="Calibri" w:hAnsi="Palatino Linotype" w:cs="Tahoma"/>
          <w:iCs/>
          <w:sz w:val="22"/>
          <w:szCs w:val="22"/>
          <w:lang w:val="x-none" w:eastAsia="es-ES_tradnl"/>
        </w:rPr>
        <w:t xml:space="preserve"> la clasificación, de las Manifestaciones de Bienes y las Declaraciones de Situación Patrimonial presentadas por los servidores públicos obligados, adscritos a la Contraloría Interna y Órgano de Control y Vigilancia, del primero de enero de dos mil quince al treinta de abril de dos mil veintiuno, de conformidad con los artículos 49, fracción II y 132, fracción II de la Ley de Transparencia y Acceso a la Información Pública del Estado de México y Municipios</w:t>
      </w:r>
      <w:r>
        <w:rPr>
          <w:rFonts w:ascii="Palatino Linotype" w:eastAsia="Calibri" w:hAnsi="Palatino Linotype" w:cs="Tahoma"/>
          <w:iCs/>
          <w:sz w:val="22"/>
          <w:szCs w:val="22"/>
          <w:lang w:val="x-none" w:eastAsia="es-ES_tradnl"/>
        </w:rPr>
        <w:t>; por lo que, se tiene por atendido el requerimiento de información.</w:t>
      </w:r>
    </w:p>
    <w:p w14:paraId="409316EB" w14:textId="65E31487" w:rsidR="002F6EFD" w:rsidRDefault="002F6EFD" w:rsidP="00CD7DE8">
      <w:pPr>
        <w:spacing w:line="360" w:lineRule="auto"/>
        <w:jc w:val="both"/>
        <w:rPr>
          <w:rFonts w:ascii="Palatino Linotype" w:hAnsi="Palatino Linotype" w:cs="Tahoma"/>
          <w:sz w:val="22"/>
          <w:szCs w:val="22"/>
          <w:lang w:val="es-ES"/>
        </w:rPr>
      </w:pPr>
    </w:p>
    <w:p w14:paraId="5397731B" w14:textId="15A4BB66" w:rsidR="002F6EFD" w:rsidRDefault="002D2554" w:rsidP="00CD7DE8">
      <w:pPr>
        <w:spacing w:line="360" w:lineRule="auto"/>
        <w:jc w:val="both"/>
        <w:rPr>
          <w:rFonts w:ascii="Palatino Linotype" w:hAnsi="Palatino Linotype" w:cs="Tahoma"/>
          <w:b/>
          <w:bCs/>
          <w:sz w:val="22"/>
          <w:szCs w:val="22"/>
          <w:lang w:val="es-ES"/>
        </w:rPr>
      </w:pPr>
      <w:bookmarkStart w:id="6" w:name="_Hlk93580009"/>
      <w:r w:rsidRPr="002D2554">
        <w:rPr>
          <w:rFonts w:ascii="Palatino Linotype" w:hAnsi="Palatino Linotype" w:cs="Tahoma"/>
          <w:b/>
          <w:bCs/>
          <w:sz w:val="22"/>
          <w:szCs w:val="22"/>
          <w:lang w:val="es-ES"/>
        </w:rPr>
        <w:t>Declaraciones Patrimoniales presentadas del primero de mayo al veintiuno de octubre de dos mil veintiuno</w:t>
      </w:r>
      <w:bookmarkEnd w:id="6"/>
      <w:r w:rsidRPr="002D2554">
        <w:rPr>
          <w:rFonts w:ascii="Palatino Linotype" w:hAnsi="Palatino Linotype" w:cs="Tahoma"/>
          <w:b/>
          <w:bCs/>
          <w:sz w:val="22"/>
          <w:szCs w:val="22"/>
          <w:lang w:val="es-ES"/>
        </w:rPr>
        <w:t>.</w:t>
      </w:r>
    </w:p>
    <w:p w14:paraId="6BB5F173" w14:textId="6BAC631A" w:rsidR="002D2554" w:rsidRDefault="002D2554" w:rsidP="00CD7DE8">
      <w:pPr>
        <w:spacing w:line="360" w:lineRule="auto"/>
        <w:jc w:val="both"/>
        <w:rPr>
          <w:rFonts w:ascii="Palatino Linotype" w:hAnsi="Palatino Linotype" w:cs="Tahoma"/>
          <w:b/>
          <w:bCs/>
          <w:sz w:val="22"/>
          <w:szCs w:val="22"/>
          <w:lang w:val="es-ES"/>
        </w:rPr>
      </w:pPr>
    </w:p>
    <w:p w14:paraId="0BE73E96" w14:textId="72D8FDB6" w:rsidR="002D2554" w:rsidRDefault="002D2554" w:rsidP="002D2554">
      <w:pPr>
        <w:tabs>
          <w:tab w:val="left" w:pos="4962"/>
        </w:tabs>
        <w:spacing w:line="360" w:lineRule="auto"/>
        <w:ind w:right="-28"/>
        <w:jc w:val="both"/>
        <w:rPr>
          <w:rFonts w:ascii="Palatino Linotype" w:eastAsia="Calibri" w:hAnsi="Palatino Linotype" w:cs="Tahoma"/>
          <w:iCs/>
          <w:sz w:val="22"/>
          <w:lang w:val="es-ES" w:eastAsia="es-ES_tradnl"/>
        </w:rPr>
      </w:pPr>
      <w:r>
        <w:rPr>
          <w:rFonts w:ascii="Palatino Linotype" w:eastAsia="Calibri" w:hAnsi="Palatino Linotype" w:cs="Tahoma"/>
          <w:iCs/>
          <w:sz w:val="22"/>
          <w:lang w:val="es-ES" w:eastAsia="es-ES_tradnl"/>
        </w:rPr>
        <w:t xml:space="preserve">En ese contexto, cabe recordar que </w:t>
      </w:r>
      <w:r w:rsidRPr="00A640DD">
        <w:rPr>
          <w:rFonts w:ascii="Palatino Linotype" w:eastAsia="Calibri" w:hAnsi="Palatino Linotype" w:cs="Tahoma"/>
          <w:iCs/>
          <w:sz w:val="22"/>
          <w:szCs w:val="22"/>
          <w:lang w:eastAsia="es-ES_tradnl"/>
        </w:rPr>
        <w:t>el artículo 29 de la Ley General de Responsabilidades Administrativas</w:t>
      </w:r>
      <w:r>
        <w:rPr>
          <w:rFonts w:ascii="Palatino Linotype" w:eastAsia="Calibri" w:hAnsi="Palatino Linotype" w:cs="Tahoma"/>
          <w:iCs/>
          <w:sz w:val="22"/>
          <w:szCs w:val="22"/>
          <w:lang w:eastAsia="es-ES_tradnl"/>
        </w:rPr>
        <w:t xml:space="preserve"> y </w:t>
      </w:r>
      <w:r w:rsidRPr="00A640DD">
        <w:rPr>
          <w:rFonts w:ascii="Palatino Linotype" w:eastAsia="Calibri" w:hAnsi="Palatino Linotype" w:cs="Tahoma"/>
          <w:iCs/>
          <w:sz w:val="22"/>
          <w:szCs w:val="22"/>
          <w:lang w:val="es-ES" w:eastAsia="es-ES_tradnl"/>
        </w:rPr>
        <w:t>30 de la Ley de Responsabilidades Administrativas del Estado de México y Municipios</w:t>
      </w:r>
      <w:r>
        <w:rPr>
          <w:rFonts w:ascii="Palatino Linotype" w:eastAsia="Calibri" w:hAnsi="Palatino Linotype" w:cs="Tahoma"/>
          <w:iCs/>
          <w:sz w:val="22"/>
          <w:szCs w:val="22"/>
          <w:lang w:val="es-ES" w:eastAsia="es-ES_tradnl"/>
        </w:rPr>
        <w:t xml:space="preserve">, establecen </w:t>
      </w:r>
      <w:bookmarkStart w:id="7" w:name="_Hlk93571779"/>
      <w:r>
        <w:rPr>
          <w:rFonts w:ascii="Palatino Linotype" w:eastAsia="Calibri" w:hAnsi="Palatino Linotype" w:cs="Tahoma"/>
          <w:iCs/>
          <w:sz w:val="22"/>
          <w:szCs w:val="22"/>
          <w:lang w:val="es-ES" w:eastAsia="es-ES_tradnl"/>
        </w:rPr>
        <w:t>que las declaraciones patrimoniales serán públicas, salvo los rubros cuya publicidad pueda afectar la vida privada y los datos personales; para lo cual, el Comité Coordinador deberá emitir los formatos respectivos para realizar las versiones públicas.</w:t>
      </w:r>
    </w:p>
    <w:bookmarkEnd w:id="7"/>
    <w:p w14:paraId="20C09018" w14:textId="3FA5AC19" w:rsidR="002D2554" w:rsidRDefault="002D2554" w:rsidP="00CD7DE8">
      <w:pPr>
        <w:spacing w:line="360" w:lineRule="auto"/>
        <w:jc w:val="both"/>
        <w:rPr>
          <w:rFonts w:ascii="Palatino Linotype" w:hAnsi="Palatino Linotype" w:cs="Tahoma"/>
          <w:b/>
          <w:bCs/>
          <w:sz w:val="22"/>
          <w:szCs w:val="22"/>
          <w:lang w:val="es-ES"/>
        </w:rPr>
      </w:pPr>
    </w:p>
    <w:p w14:paraId="6D778188" w14:textId="77777777" w:rsidR="002D2554" w:rsidRPr="002D2554" w:rsidRDefault="002D2554" w:rsidP="002D2554">
      <w:pPr>
        <w:tabs>
          <w:tab w:val="left" w:pos="4962"/>
        </w:tabs>
        <w:spacing w:line="360" w:lineRule="auto"/>
        <w:jc w:val="both"/>
        <w:rPr>
          <w:rFonts w:ascii="Palatino Linotype" w:eastAsia="Calibri" w:hAnsi="Palatino Linotype" w:cs="Tahoma"/>
          <w:iCs/>
          <w:sz w:val="22"/>
          <w:szCs w:val="22"/>
          <w:lang w:val="es-ES" w:eastAsia="es-ES_tradnl"/>
        </w:rPr>
      </w:pPr>
      <w:r w:rsidRPr="002D2554">
        <w:rPr>
          <w:rFonts w:ascii="Palatino Linotype" w:eastAsia="Calibri" w:hAnsi="Palatino Linotype" w:cs="Tahoma"/>
          <w:iCs/>
          <w:sz w:val="22"/>
          <w:szCs w:val="22"/>
          <w:lang w:val="es-ES" w:eastAsia="es-ES_tradnl"/>
        </w:rPr>
        <w:lastRenderedPageBreak/>
        <w:t>Lo anterior toma relevancia, pues conforme a los artículos 70, fracción XII, de la Ley General de Transparencia y Acceso a la Información Pública, y el 92, fracción XIII, de la Ley de Transparencia y Acceso a la Información Pública del Estado de México y Municipios, precisar que será una obligación común de todos los sujetos obligados, publicar las versiones públicas de las declaraciones patrimoniales y de interés de los servidores públicos.</w:t>
      </w:r>
    </w:p>
    <w:p w14:paraId="1CB130F9" w14:textId="77777777" w:rsidR="002D2554" w:rsidRPr="002D2554" w:rsidRDefault="002D2554" w:rsidP="002D2554">
      <w:pPr>
        <w:tabs>
          <w:tab w:val="left" w:pos="4962"/>
        </w:tabs>
        <w:spacing w:line="360" w:lineRule="auto"/>
        <w:jc w:val="both"/>
        <w:rPr>
          <w:rFonts w:ascii="Palatino Linotype" w:eastAsia="Calibri" w:hAnsi="Palatino Linotype" w:cs="Tahoma"/>
          <w:iCs/>
          <w:sz w:val="22"/>
          <w:szCs w:val="22"/>
          <w:lang w:val="es-ES" w:eastAsia="es-ES_tradnl"/>
        </w:rPr>
      </w:pPr>
    </w:p>
    <w:p w14:paraId="54B08FF4" w14:textId="6FA1936D" w:rsidR="002D2554" w:rsidRDefault="002D2554" w:rsidP="002D2554">
      <w:pPr>
        <w:tabs>
          <w:tab w:val="left" w:pos="4962"/>
        </w:tabs>
        <w:spacing w:line="360" w:lineRule="auto"/>
        <w:jc w:val="both"/>
        <w:rPr>
          <w:rFonts w:ascii="Palatino Linotype" w:eastAsia="Calibri" w:hAnsi="Palatino Linotype" w:cs="Tahoma"/>
          <w:iCs/>
          <w:sz w:val="22"/>
          <w:szCs w:val="22"/>
          <w:lang w:val="es-ES" w:eastAsia="es-ES_tradnl"/>
        </w:rPr>
      </w:pPr>
      <w:r w:rsidRPr="002D2554">
        <w:rPr>
          <w:rFonts w:ascii="Palatino Linotype" w:eastAsia="Calibri" w:hAnsi="Palatino Linotype" w:cs="Tahoma"/>
          <w:iCs/>
          <w:sz w:val="22"/>
          <w:szCs w:val="22"/>
          <w:lang w:val="es-ES" w:eastAsia="es-ES_tradnl"/>
        </w:rPr>
        <w:t xml:space="preserve">Lo cual, es retomado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precisan que los sujetos obligados deben publicar la versión pública, aprobada por el Comité de Transparencia, de la declaración de situación patrimonial y de intereses de todos los servidores públicos, en sus tres modalidades </w:t>
      </w:r>
      <w:r w:rsidRPr="002D2554">
        <w:rPr>
          <w:rFonts w:ascii="Palatino Linotype" w:eastAsia="Calibri" w:hAnsi="Palatino Linotype" w:cs="Tahoma"/>
          <w:b/>
          <w:bCs/>
          <w:iCs/>
          <w:sz w:val="22"/>
          <w:szCs w:val="22"/>
          <w:lang w:val="es-ES" w:eastAsia="es-ES_tradnl"/>
        </w:rPr>
        <w:t>(inicio, modificación y conclusión)</w:t>
      </w:r>
      <w:r w:rsidRPr="002D2554">
        <w:rPr>
          <w:rFonts w:ascii="Palatino Linotype" w:eastAsia="Calibri" w:hAnsi="Palatino Linotype" w:cs="Tahoma"/>
          <w:iCs/>
          <w:sz w:val="22"/>
          <w:szCs w:val="22"/>
          <w:lang w:val="es-ES" w:eastAsia="es-ES_tradnl"/>
        </w:rPr>
        <w:t>.</w:t>
      </w:r>
    </w:p>
    <w:p w14:paraId="24A1A4AD" w14:textId="6A169C34" w:rsidR="006D275E" w:rsidRDefault="006D275E" w:rsidP="002D2554">
      <w:pPr>
        <w:tabs>
          <w:tab w:val="left" w:pos="4962"/>
        </w:tabs>
        <w:spacing w:line="360" w:lineRule="auto"/>
        <w:jc w:val="both"/>
        <w:rPr>
          <w:rFonts w:ascii="Palatino Linotype" w:eastAsia="Calibri" w:hAnsi="Palatino Linotype" w:cs="Tahoma"/>
          <w:iCs/>
          <w:sz w:val="22"/>
          <w:szCs w:val="22"/>
          <w:lang w:val="es-ES" w:eastAsia="es-ES_tradnl"/>
        </w:rPr>
      </w:pPr>
    </w:p>
    <w:p w14:paraId="00735874" w14:textId="2CE52963" w:rsidR="006D275E" w:rsidRDefault="006D275E" w:rsidP="002D2554">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En ese contexto, cabe recordar que</w:t>
      </w:r>
      <w:r w:rsidR="00F13BEF">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 xml:space="preserve"> en el presente caso, las Declaraciones Patrimoniales presentadas a partir del primero de mayo de dos mil veintiuno, se realizaron con los formatos mediante los cuales la autoridad, determina que datos son confidenciales y </w:t>
      </w:r>
      <w:r w:rsidR="00F13BEF">
        <w:rPr>
          <w:rFonts w:ascii="Palatino Linotype" w:eastAsia="Calibri" w:hAnsi="Palatino Linotype" w:cs="Tahoma"/>
          <w:iCs/>
          <w:sz w:val="22"/>
          <w:szCs w:val="22"/>
          <w:lang w:val="es-ES" w:eastAsia="es-ES_tradnl"/>
        </w:rPr>
        <w:t>públicos, con el fin de elaborar las versiones públicas.</w:t>
      </w:r>
    </w:p>
    <w:p w14:paraId="7CBA4ACE" w14:textId="6E717E79" w:rsidR="00F13BEF" w:rsidRDefault="00F13BEF" w:rsidP="002D2554">
      <w:pPr>
        <w:tabs>
          <w:tab w:val="left" w:pos="4962"/>
        </w:tabs>
        <w:spacing w:line="360" w:lineRule="auto"/>
        <w:jc w:val="both"/>
        <w:rPr>
          <w:rFonts w:ascii="Palatino Linotype" w:eastAsia="Calibri" w:hAnsi="Palatino Linotype" w:cs="Tahoma"/>
          <w:iCs/>
          <w:sz w:val="22"/>
          <w:szCs w:val="22"/>
          <w:lang w:val="es-ES" w:eastAsia="es-ES_tradnl"/>
        </w:rPr>
      </w:pPr>
    </w:p>
    <w:p w14:paraId="130DDB0D" w14:textId="0214CC0C" w:rsidR="00F13BEF" w:rsidRDefault="00F13BEF" w:rsidP="002D2554">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Por lo que, dichas declaraciones, ya no dan la posibilidad de elección de los servidores públicos, de divulgar su información, pues con estos formatos, se busca cumplir la obligación normativa establecida en la </w:t>
      </w:r>
      <w:r w:rsidRPr="00A640DD">
        <w:rPr>
          <w:rFonts w:ascii="Palatino Linotype" w:eastAsia="Calibri" w:hAnsi="Palatino Linotype" w:cs="Tahoma"/>
          <w:iCs/>
          <w:sz w:val="22"/>
          <w:szCs w:val="22"/>
          <w:lang w:eastAsia="es-ES_tradnl"/>
        </w:rPr>
        <w:t>Ley General de Responsabilidades Administrativas</w:t>
      </w:r>
      <w:r>
        <w:rPr>
          <w:rFonts w:ascii="Palatino Linotype" w:eastAsia="Calibri" w:hAnsi="Palatino Linotype" w:cs="Tahoma"/>
          <w:iCs/>
          <w:sz w:val="22"/>
          <w:szCs w:val="22"/>
          <w:lang w:eastAsia="es-ES_tradnl"/>
        </w:rPr>
        <w:t>,</w:t>
      </w:r>
      <w:r w:rsidR="00526903">
        <w:rPr>
          <w:rFonts w:ascii="Palatino Linotype" w:eastAsia="Calibri" w:hAnsi="Palatino Linotype" w:cs="Tahoma"/>
          <w:iCs/>
          <w:sz w:val="22"/>
          <w:szCs w:val="22"/>
          <w:lang w:eastAsia="es-ES_tradnl"/>
        </w:rPr>
        <w:t xml:space="preserve"> la</w:t>
      </w:r>
      <w:r>
        <w:rPr>
          <w:rFonts w:ascii="Palatino Linotype" w:eastAsia="Calibri" w:hAnsi="Palatino Linotype" w:cs="Tahoma"/>
          <w:iCs/>
          <w:sz w:val="22"/>
          <w:szCs w:val="22"/>
          <w:lang w:eastAsia="es-ES_tradnl"/>
        </w:rPr>
        <w:t xml:space="preserve"> </w:t>
      </w:r>
      <w:r w:rsidRPr="00A640DD">
        <w:rPr>
          <w:rFonts w:ascii="Palatino Linotype" w:eastAsia="Calibri" w:hAnsi="Palatino Linotype" w:cs="Tahoma"/>
          <w:iCs/>
          <w:sz w:val="22"/>
          <w:szCs w:val="22"/>
          <w:lang w:val="es-ES" w:eastAsia="es-ES_tradnl"/>
        </w:rPr>
        <w:t>Ley de Responsabilidades Administrativas del Estado de México y Municipios</w:t>
      </w:r>
      <w:r>
        <w:rPr>
          <w:rFonts w:ascii="Palatino Linotype" w:eastAsia="Calibri" w:hAnsi="Palatino Linotype" w:cs="Tahoma"/>
          <w:iCs/>
          <w:sz w:val="22"/>
          <w:szCs w:val="22"/>
          <w:lang w:val="es-ES" w:eastAsia="es-ES_tradnl"/>
        </w:rPr>
        <w:t xml:space="preserve">, </w:t>
      </w:r>
      <w:r w:rsidR="00526903">
        <w:rPr>
          <w:rFonts w:ascii="Palatino Linotype" w:eastAsia="Calibri" w:hAnsi="Palatino Linotype" w:cs="Tahoma"/>
          <w:iCs/>
          <w:sz w:val="22"/>
          <w:szCs w:val="22"/>
          <w:lang w:val="es-ES" w:eastAsia="es-ES_tradnl"/>
        </w:rPr>
        <w:t xml:space="preserve">la Ley </w:t>
      </w:r>
      <w:r w:rsidRPr="002D2554">
        <w:rPr>
          <w:rFonts w:ascii="Palatino Linotype" w:eastAsia="Calibri" w:hAnsi="Palatino Linotype" w:cs="Tahoma"/>
          <w:iCs/>
          <w:sz w:val="22"/>
          <w:szCs w:val="22"/>
          <w:lang w:val="es-ES" w:eastAsia="es-ES_tradnl"/>
        </w:rPr>
        <w:t xml:space="preserve">General de Transparencia y Acceso a la Información Pública y la Ley de Transparencia y Acceso a la </w:t>
      </w:r>
      <w:r w:rsidRPr="002D2554">
        <w:rPr>
          <w:rFonts w:ascii="Palatino Linotype" w:eastAsia="Calibri" w:hAnsi="Palatino Linotype" w:cs="Tahoma"/>
          <w:iCs/>
          <w:sz w:val="22"/>
          <w:szCs w:val="22"/>
          <w:lang w:val="es-ES" w:eastAsia="es-ES_tradnl"/>
        </w:rPr>
        <w:lastRenderedPageBreak/>
        <w:t>Información Pública del Estado de México y Municipios</w:t>
      </w:r>
      <w:r w:rsidR="00526903">
        <w:rPr>
          <w:rFonts w:ascii="Palatino Linotype" w:eastAsia="Calibri" w:hAnsi="Palatino Linotype" w:cs="Tahoma"/>
          <w:iCs/>
          <w:sz w:val="22"/>
          <w:szCs w:val="22"/>
          <w:lang w:val="es-ES" w:eastAsia="es-ES_tradnl"/>
        </w:rPr>
        <w:t>, referente a que se deben publicar las declaraciones patrimoniales de los trabajadores gubernamentales, en versión pública.</w:t>
      </w:r>
    </w:p>
    <w:p w14:paraId="28C51C8E" w14:textId="77777777" w:rsidR="00F13BEF" w:rsidRPr="002D2554" w:rsidRDefault="00F13BEF" w:rsidP="002D2554">
      <w:pPr>
        <w:tabs>
          <w:tab w:val="left" w:pos="4962"/>
        </w:tabs>
        <w:spacing w:line="360" w:lineRule="auto"/>
        <w:jc w:val="both"/>
        <w:rPr>
          <w:rFonts w:ascii="Palatino Linotype" w:eastAsia="Calibri" w:hAnsi="Palatino Linotype" w:cs="Tahoma"/>
          <w:iCs/>
          <w:sz w:val="22"/>
          <w:szCs w:val="22"/>
          <w:lang w:val="es-ES" w:eastAsia="es-ES_tradnl"/>
        </w:rPr>
      </w:pPr>
    </w:p>
    <w:p w14:paraId="33A2E907" w14:textId="31414E78" w:rsidR="00D32FAD" w:rsidRPr="00D32FAD" w:rsidRDefault="00D32FAD" w:rsidP="00D32FAD">
      <w:pPr>
        <w:spacing w:line="360" w:lineRule="auto"/>
        <w:jc w:val="both"/>
        <w:rPr>
          <w:rFonts w:ascii="Palatino Linotype" w:hAnsi="Palatino Linotype" w:cs="Tahoma"/>
          <w:iCs/>
          <w:sz w:val="22"/>
          <w:szCs w:val="22"/>
          <w:lang w:val="es-ES"/>
        </w:rPr>
      </w:pPr>
      <w:r>
        <w:rPr>
          <w:rFonts w:ascii="Palatino Linotype" w:hAnsi="Palatino Linotype" w:cs="Tahoma"/>
          <w:sz w:val="22"/>
          <w:szCs w:val="22"/>
          <w:lang w:val="es-ES"/>
        </w:rPr>
        <w:t xml:space="preserve">Situación que guarda relevancia, pues conforme </w:t>
      </w:r>
      <w:r w:rsidRPr="00D32FAD">
        <w:rPr>
          <w:rFonts w:ascii="Palatino Linotype" w:hAnsi="Palatino Linotype" w:cs="Tahoma"/>
          <w:iCs/>
          <w:sz w:val="22"/>
          <w:szCs w:val="22"/>
          <w:lang w:val="es-ES"/>
        </w:rPr>
        <w:t>a los artículos 120, fracción II, de la Ley General de Transparencia y Acceso a la Información Pública y 148, fracción II, de la Ley de Transparencia y Acceso a la Información Pública del Estado de México y Municipios, no se requerirá consentimiento del titular de la información confidencial, cuando por ley tenga el carácter de pública; lo cual acontece en el presente caso, pues conforme a la normatividad aplicable, las declaraciones</w:t>
      </w:r>
      <w:r>
        <w:rPr>
          <w:rFonts w:ascii="Palatino Linotype" w:hAnsi="Palatino Linotype" w:cs="Tahoma"/>
          <w:iCs/>
          <w:sz w:val="22"/>
          <w:szCs w:val="22"/>
          <w:lang w:val="es-ES"/>
        </w:rPr>
        <w:t xml:space="preserve"> patrimoniales</w:t>
      </w:r>
      <w:r w:rsidRPr="00D32FAD">
        <w:rPr>
          <w:rFonts w:ascii="Palatino Linotype" w:hAnsi="Palatino Linotype" w:cs="Tahoma"/>
          <w:iCs/>
          <w:sz w:val="22"/>
          <w:szCs w:val="22"/>
          <w:lang w:val="es-ES"/>
        </w:rPr>
        <w:t xml:space="preserve"> son de naturaleza pública.</w:t>
      </w:r>
    </w:p>
    <w:p w14:paraId="51C81765" w14:textId="0BD27E20" w:rsidR="002D2554" w:rsidRPr="00D32FAD" w:rsidRDefault="002D2554" w:rsidP="00CD7DE8">
      <w:pPr>
        <w:spacing w:line="360" w:lineRule="auto"/>
        <w:jc w:val="both"/>
        <w:rPr>
          <w:rFonts w:ascii="Palatino Linotype" w:hAnsi="Palatino Linotype" w:cs="Tahoma"/>
          <w:sz w:val="22"/>
          <w:szCs w:val="22"/>
          <w:lang w:val="es-ES"/>
        </w:rPr>
      </w:pPr>
    </w:p>
    <w:p w14:paraId="408C3FE4" w14:textId="5A5204F7" w:rsidR="009F64F8" w:rsidRDefault="009F64F8" w:rsidP="009F64F8">
      <w:pPr>
        <w:spacing w:line="360" w:lineRule="auto"/>
        <w:jc w:val="both"/>
        <w:rPr>
          <w:rFonts w:ascii="Palatino Linotype" w:hAnsi="Palatino Linotype"/>
          <w:sz w:val="22"/>
          <w:szCs w:val="22"/>
          <w:lang w:val="x-none"/>
        </w:rPr>
      </w:pPr>
      <w:r>
        <w:rPr>
          <w:rFonts w:ascii="Palatino Linotype" w:hAnsi="Palatino Linotype" w:cs="Tahoma"/>
          <w:sz w:val="22"/>
          <w:szCs w:val="22"/>
          <w:lang w:val="es-ES"/>
        </w:rPr>
        <w:t>En ese orden de ideas, durante la sustanciación</w:t>
      </w:r>
      <w:r>
        <w:rPr>
          <w:rFonts w:ascii="Palatino Linotype" w:hAnsi="Palatino Linotype" w:cs="Tahoma"/>
          <w:sz w:val="22"/>
          <w:szCs w:val="22"/>
          <w:lang w:val="x-none"/>
        </w:rPr>
        <w:t xml:space="preserve"> del Medio de Impugnación</w:t>
      </w:r>
      <w:r>
        <w:rPr>
          <w:rFonts w:ascii="Palatino Linotype" w:hAnsi="Palatino Linotype"/>
          <w:sz w:val="22"/>
          <w:szCs w:val="22"/>
        </w:rPr>
        <w:t>, la Contralor</w:t>
      </w:r>
      <w:r>
        <w:rPr>
          <w:rFonts w:ascii="Palatino Linotype" w:hAnsi="Palatino Linotype"/>
          <w:sz w:val="22"/>
          <w:szCs w:val="22"/>
          <w:lang w:val="x-none"/>
        </w:rPr>
        <w:t xml:space="preserve">ía </w:t>
      </w:r>
      <w:r w:rsidRPr="00D4741A">
        <w:rPr>
          <w:rFonts w:ascii="Palatino Linotype" w:hAnsi="Palatino Linotype"/>
          <w:sz w:val="22"/>
          <w:szCs w:val="22"/>
          <w:lang w:val="x-none"/>
        </w:rPr>
        <w:t>Contraloría Interna y Órgano de Control y Vigilancia</w:t>
      </w:r>
      <w:r>
        <w:rPr>
          <w:rFonts w:ascii="Palatino Linotype" w:hAnsi="Palatino Linotype"/>
          <w:sz w:val="22"/>
          <w:szCs w:val="22"/>
          <w:lang w:val="x-none"/>
        </w:rPr>
        <w:t>, modificó su respuesta primigenia</w:t>
      </w:r>
      <w:r w:rsidR="005C0F53">
        <w:rPr>
          <w:rFonts w:ascii="Palatino Linotype" w:hAnsi="Palatino Linotype"/>
          <w:sz w:val="22"/>
          <w:szCs w:val="22"/>
          <w:lang w:val="x-none"/>
        </w:rPr>
        <w:t xml:space="preserve"> y precisó</w:t>
      </w:r>
      <w:r>
        <w:rPr>
          <w:rFonts w:ascii="Palatino Linotype" w:hAnsi="Palatino Linotype"/>
          <w:sz w:val="22"/>
          <w:szCs w:val="22"/>
          <w:lang w:val="x-none"/>
        </w:rPr>
        <w:t xml:space="preserve"> que la información estaba publicada en la liga electrónica </w:t>
      </w:r>
      <w:hyperlink r:id="rId28" w:history="1">
        <w:r w:rsidRPr="00827C22">
          <w:rPr>
            <w:rStyle w:val="Hipervnculo"/>
            <w:rFonts w:ascii="Palatino Linotype" w:hAnsi="Palatino Linotype"/>
            <w:sz w:val="22"/>
            <w:szCs w:val="22"/>
            <w:lang w:val="x-none"/>
          </w:rPr>
          <w:t>https://saemm.gob.mx/</w:t>
        </w:r>
      </w:hyperlink>
      <w:r>
        <w:rPr>
          <w:rFonts w:ascii="Palatino Linotype" w:hAnsi="Palatino Linotype"/>
          <w:sz w:val="22"/>
          <w:szCs w:val="22"/>
          <w:lang w:val="x-none"/>
        </w:rPr>
        <w:t>.</w:t>
      </w:r>
    </w:p>
    <w:p w14:paraId="5F7BF42E" w14:textId="77777777" w:rsidR="009F64F8" w:rsidRDefault="009F64F8" w:rsidP="009F64F8">
      <w:pPr>
        <w:spacing w:line="360" w:lineRule="auto"/>
        <w:jc w:val="both"/>
        <w:rPr>
          <w:rFonts w:ascii="Palatino Linotype" w:hAnsi="Palatino Linotype"/>
          <w:sz w:val="22"/>
          <w:szCs w:val="22"/>
        </w:rPr>
      </w:pPr>
    </w:p>
    <w:p w14:paraId="31536732" w14:textId="77777777" w:rsidR="009F64F8" w:rsidRDefault="009F64F8" w:rsidP="009F64F8">
      <w:pPr>
        <w:spacing w:line="360" w:lineRule="auto"/>
        <w:jc w:val="both"/>
        <w:rPr>
          <w:rFonts w:ascii="Palatino Linotype" w:hAnsi="Palatino Linotype"/>
          <w:sz w:val="22"/>
          <w:szCs w:val="22"/>
          <w:lang w:val="x-none"/>
        </w:rPr>
      </w:pPr>
      <w:r>
        <w:rPr>
          <w:rFonts w:ascii="Palatino Linotype" w:hAnsi="Palatino Linotype"/>
          <w:sz w:val="22"/>
          <w:szCs w:val="22"/>
        </w:rPr>
        <w:t>Adem</w:t>
      </w:r>
      <w:r>
        <w:rPr>
          <w:rFonts w:ascii="Palatino Linotype" w:hAnsi="Palatino Linotype"/>
          <w:sz w:val="22"/>
          <w:szCs w:val="22"/>
          <w:lang w:val="x-none"/>
        </w:rPr>
        <w:t>ás, precisó los nombres de todos los servidores públicos adscritos a dicha área que habían presentado su Declaración Correspondiente; en ese sentido, este Instituto revisó el vinculo referido, el cual remite a la Plataforma Digital Estatal, tal como se muestra a continuación:</w:t>
      </w:r>
    </w:p>
    <w:p w14:paraId="67AAC4E0" w14:textId="77777777" w:rsidR="009F64F8" w:rsidRDefault="009F64F8" w:rsidP="009F64F8">
      <w:pPr>
        <w:spacing w:line="360" w:lineRule="auto"/>
        <w:jc w:val="both"/>
        <w:rPr>
          <w:rFonts w:ascii="Palatino Linotype" w:hAnsi="Palatino Linotype"/>
          <w:sz w:val="22"/>
          <w:szCs w:val="22"/>
          <w:lang w:val="x-none"/>
        </w:rPr>
      </w:pPr>
    </w:p>
    <w:p w14:paraId="1D4FABCE" w14:textId="304E39D7" w:rsidR="009F64F8" w:rsidRDefault="009F64F8" w:rsidP="009F64F8">
      <w:pPr>
        <w:spacing w:line="360" w:lineRule="auto"/>
        <w:jc w:val="both"/>
        <w:rPr>
          <w:rFonts w:ascii="Palatino Linotype" w:hAnsi="Palatino Linotype"/>
          <w:sz w:val="22"/>
          <w:szCs w:val="22"/>
          <w:lang w:val="x-none"/>
        </w:rPr>
      </w:pPr>
      <w:r w:rsidRPr="00C21ABE">
        <w:rPr>
          <w:rFonts w:ascii="Palatino Linotype" w:hAnsi="Palatino Linotype"/>
          <w:noProof/>
          <w:sz w:val="22"/>
          <w:szCs w:val="22"/>
          <w:lang w:val="x-none"/>
        </w:rPr>
        <w:drawing>
          <wp:inline distT="0" distB="0" distL="0" distR="0" wp14:anchorId="09C744CF" wp14:editId="34B48D14">
            <wp:extent cx="5739983" cy="171450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 b="68525"/>
                    <a:stretch/>
                  </pic:blipFill>
                  <pic:spPr bwMode="auto">
                    <a:xfrm>
                      <a:off x="0" y="0"/>
                      <a:ext cx="5742940" cy="1715383"/>
                    </a:xfrm>
                    <a:prstGeom prst="rect">
                      <a:avLst/>
                    </a:prstGeom>
                    <a:ln>
                      <a:noFill/>
                    </a:ln>
                    <a:extLst>
                      <a:ext uri="{53640926-AAD7-44D8-BBD7-CCE9431645EC}">
                        <a14:shadowObscured xmlns:a14="http://schemas.microsoft.com/office/drawing/2010/main"/>
                      </a:ext>
                    </a:extLst>
                  </pic:spPr>
                </pic:pic>
              </a:graphicData>
            </a:graphic>
          </wp:inline>
        </w:drawing>
      </w:r>
    </w:p>
    <w:p w14:paraId="440DB8DC" w14:textId="5D799BE6" w:rsidR="00544F9C" w:rsidRDefault="00544F9C" w:rsidP="009F64F8">
      <w:pPr>
        <w:spacing w:line="360" w:lineRule="auto"/>
        <w:jc w:val="both"/>
        <w:rPr>
          <w:rFonts w:ascii="Palatino Linotype" w:hAnsi="Palatino Linotype"/>
          <w:sz w:val="22"/>
          <w:szCs w:val="22"/>
          <w:lang w:val="x-none"/>
        </w:rPr>
      </w:pPr>
      <w:r w:rsidRPr="00C21ABE">
        <w:rPr>
          <w:rFonts w:ascii="Palatino Linotype" w:hAnsi="Palatino Linotype"/>
          <w:noProof/>
          <w:sz w:val="22"/>
          <w:szCs w:val="22"/>
          <w:lang w:val="x-none"/>
        </w:rPr>
        <w:lastRenderedPageBreak/>
        <w:drawing>
          <wp:inline distT="0" distB="0" distL="0" distR="0" wp14:anchorId="1D5EA770" wp14:editId="2840E5E0">
            <wp:extent cx="5742940" cy="339280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7749"/>
                    <a:stretch/>
                  </pic:blipFill>
                  <pic:spPr bwMode="auto">
                    <a:xfrm>
                      <a:off x="0" y="0"/>
                      <a:ext cx="5742940" cy="3392805"/>
                    </a:xfrm>
                    <a:prstGeom prst="rect">
                      <a:avLst/>
                    </a:prstGeom>
                    <a:ln>
                      <a:noFill/>
                    </a:ln>
                    <a:extLst>
                      <a:ext uri="{53640926-AAD7-44D8-BBD7-CCE9431645EC}">
                        <a14:shadowObscured xmlns:a14="http://schemas.microsoft.com/office/drawing/2010/main"/>
                      </a:ext>
                    </a:extLst>
                  </pic:spPr>
                </pic:pic>
              </a:graphicData>
            </a:graphic>
          </wp:inline>
        </w:drawing>
      </w:r>
    </w:p>
    <w:p w14:paraId="147EBCEE" w14:textId="77777777" w:rsidR="009F64F8" w:rsidRDefault="009F64F8" w:rsidP="009F64F8">
      <w:pPr>
        <w:spacing w:line="360" w:lineRule="auto"/>
        <w:jc w:val="both"/>
        <w:rPr>
          <w:rFonts w:ascii="Palatino Linotype" w:hAnsi="Palatino Linotype"/>
          <w:sz w:val="22"/>
          <w:szCs w:val="22"/>
        </w:rPr>
      </w:pPr>
    </w:p>
    <w:p w14:paraId="5D22A7B0" w14:textId="77777777" w:rsidR="009F64F8" w:rsidRDefault="009F64F8" w:rsidP="009F64F8">
      <w:pPr>
        <w:spacing w:line="360" w:lineRule="auto"/>
        <w:jc w:val="both"/>
        <w:rPr>
          <w:rFonts w:ascii="Palatino Linotype" w:hAnsi="Palatino Linotype"/>
          <w:sz w:val="22"/>
          <w:szCs w:val="22"/>
          <w:lang w:val="x-none"/>
        </w:rPr>
      </w:pPr>
      <w:r>
        <w:rPr>
          <w:rFonts w:ascii="Palatino Linotype" w:hAnsi="Palatino Linotype"/>
          <w:sz w:val="22"/>
          <w:szCs w:val="22"/>
        </w:rPr>
        <w:t>En ese contexto, este Instito verific</w:t>
      </w:r>
      <w:r>
        <w:rPr>
          <w:rFonts w:ascii="Palatino Linotype" w:hAnsi="Palatino Linotype"/>
          <w:sz w:val="22"/>
          <w:szCs w:val="22"/>
          <w:lang w:val="x-none"/>
        </w:rPr>
        <w:t>ó cada uno de los nombres proporcionados por la Contraloría Interna y Órgano de Control y Vigilancia, y se logró vislumbrar que dan acceso a las declaraciones presentadas por dichos trabajadores, a partir de mayo de dos mil veintiuno, tal como se muestra a continuación en el siguiente ejemplo:</w:t>
      </w:r>
    </w:p>
    <w:p w14:paraId="1587F1BE" w14:textId="77777777" w:rsidR="009F64F8" w:rsidRDefault="009F64F8" w:rsidP="009F64F8">
      <w:pPr>
        <w:spacing w:line="360" w:lineRule="auto"/>
        <w:jc w:val="both"/>
        <w:rPr>
          <w:rFonts w:ascii="Palatino Linotype" w:hAnsi="Palatino Linotype"/>
          <w:sz w:val="22"/>
          <w:szCs w:val="22"/>
        </w:rPr>
      </w:pPr>
    </w:p>
    <w:p w14:paraId="1B51C198" w14:textId="06805BB6" w:rsidR="009F64F8" w:rsidRDefault="009F64F8" w:rsidP="009F64F8">
      <w:pPr>
        <w:spacing w:line="360" w:lineRule="auto"/>
        <w:jc w:val="both"/>
        <w:rPr>
          <w:rFonts w:ascii="Palatino Linotype" w:hAnsi="Palatino Linotype"/>
          <w:sz w:val="22"/>
          <w:szCs w:val="22"/>
        </w:rPr>
      </w:pPr>
      <w:r w:rsidRPr="007C7B85">
        <w:rPr>
          <w:rFonts w:ascii="Palatino Linotype" w:hAnsi="Palatino Linotype"/>
          <w:noProof/>
          <w:sz w:val="22"/>
          <w:szCs w:val="22"/>
        </w:rPr>
        <w:drawing>
          <wp:inline distT="0" distB="0" distL="0" distR="0" wp14:anchorId="7CAAE9E8" wp14:editId="217B3909">
            <wp:extent cx="5741725" cy="208857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51470"/>
                    <a:stretch/>
                  </pic:blipFill>
                  <pic:spPr bwMode="auto">
                    <a:xfrm>
                      <a:off x="0" y="0"/>
                      <a:ext cx="5742940" cy="2089014"/>
                    </a:xfrm>
                    <a:prstGeom prst="rect">
                      <a:avLst/>
                    </a:prstGeom>
                    <a:ln>
                      <a:noFill/>
                    </a:ln>
                    <a:extLst>
                      <a:ext uri="{53640926-AAD7-44D8-BBD7-CCE9431645EC}">
                        <a14:shadowObscured xmlns:a14="http://schemas.microsoft.com/office/drawing/2010/main"/>
                      </a:ext>
                    </a:extLst>
                  </pic:spPr>
                </pic:pic>
              </a:graphicData>
            </a:graphic>
          </wp:inline>
        </w:drawing>
      </w:r>
    </w:p>
    <w:p w14:paraId="054B097F" w14:textId="2AB7FF57" w:rsidR="00544F9C" w:rsidRDefault="00544F9C" w:rsidP="009F64F8">
      <w:pPr>
        <w:spacing w:line="360" w:lineRule="auto"/>
        <w:jc w:val="both"/>
        <w:rPr>
          <w:rFonts w:ascii="Palatino Linotype" w:hAnsi="Palatino Linotype"/>
          <w:sz w:val="22"/>
          <w:szCs w:val="22"/>
        </w:rPr>
      </w:pPr>
      <w:r w:rsidRPr="007C7B85">
        <w:rPr>
          <w:rFonts w:ascii="Palatino Linotype" w:hAnsi="Palatino Linotype"/>
          <w:noProof/>
          <w:sz w:val="22"/>
          <w:szCs w:val="22"/>
        </w:rPr>
        <w:lastRenderedPageBreak/>
        <w:drawing>
          <wp:inline distT="0" distB="0" distL="0" distR="0" wp14:anchorId="6FCB7AE7" wp14:editId="6C3B0C7D">
            <wp:extent cx="5742940" cy="218492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9243"/>
                    <a:stretch/>
                  </pic:blipFill>
                  <pic:spPr bwMode="auto">
                    <a:xfrm>
                      <a:off x="0" y="0"/>
                      <a:ext cx="5742940" cy="2184920"/>
                    </a:xfrm>
                    <a:prstGeom prst="rect">
                      <a:avLst/>
                    </a:prstGeom>
                    <a:ln>
                      <a:noFill/>
                    </a:ln>
                    <a:extLst>
                      <a:ext uri="{53640926-AAD7-44D8-BBD7-CCE9431645EC}">
                        <a14:shadowObscured xmlns:a14="http://schemas.microsoft.com/office/drawing/2010/main"/>
                      </a:ext>
                    </a:extLst>
                  </pic:spPr>
                </pic:pic>
              </a:graphicData>
            </a:graphic>
          </wp:inline>
        </w:drawing>
      </w:r>
    </w:p>
    <w:p w14:paraId="2A7CA735" w14:textId="77777777" w:rsidR="009F64F8" w:rsidRDefault="009F64F8" w:rsidP="009F64F8">
      <w:pPr>
        <w:spacing w:line="360" w:lineRule="auto"/>
        <w:jc w:val="both"/>
        <w:rPr>
          <w:rFonts w:ascii="Palatino Linotype" w:hAnsi="Palatino Linotype"/>
          <w:sz w:val="22"/>
          <w:szCs w:val="22"/>
        </w:rPr>
      </w:pPr>
    </w:p>
    <w:p w14:paraId="0B275E92" w14:textId="305B05B5" w:rsidR="009F64F8" w:rsidRDefault="009F64F8" w:rsidP="009F64F8">
      <w:pPr>
        <w:spacing w:line="360" w:lineRule="auto"/>
        <w:jc w:val="both"/>
        <w:rPr>
          <w:rFonts w:ascii="Palatino Linotype" w:hAnsi="Palatino Linotype"/>
          <w:sz w:val="22"/>
          <w:szCs w:val="22"/>
        </w:rPr>
      </w:pPr>
      <w:r w:rsidRPr="007C7B85">
        <w:rPr>
          <w:rFonts w:ascii="Palatino Linotype" w:hAnsi="Palatino Linotype"/>
          <w:noProof/>
          <w:sz w:val="22"/>
          <w:szCs w:val="22"/>
        </w:rPr>
        <w:drawing>
          <wp:inline distT="0" distB="0" distL="0" distR="0" wp14:anchorId="78773AFF" wp14:editId="111F45C5">
            <wp:extent cx="5742054" cy="244146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6500" b="3653"/>
                    <a:stretch/>
                  </pic:blipFill>
                  <pic:spPr bwMode="auto">
                    <a:xfrm>
                      <a:off x="0" y="0"/>
                      <a:ext cx="5742940" cy="2441837"/>
                    </a:xfrm>
                    <a:prstGeom prst="rect">
                      <a:avLst/>
                    </a:prstGeom>
                    <a:ln>
                      <a:noFill/>
                    </a:ln>
                    <a:extLst>
                      <a:ext uri="{53640926-AAD7-44D8-BBD7-CCE9431645EC}">
                        <a14:shadowObscured xmlns:a14="http://schemas.microsoft.com/office/drawing/2010/main"/>
                      </a:ext>
                    </a:extLst>
                  </pic:spPr>
                </pic:pic>
              </a:graphicData>
            </a:graphic>
          </wp:inline>
        </w:drawing>
      </w:r>
    </w:p>
    <w:p w14:paraId="2EF6B29E" w14:textId="77777777" w:rsidR="00544F9C" w:rsidRDefault="00544F9C" w:rsidP="009F64F8">
      <w:pPr>
        <w:spacing w:line="360" w:lineRule="auto"/>
        <w:jc w:val="both"/>
        <w:rPr>
          <w:rFonts w:ascii="Palatino Linotype" w:hAnsi="Palatino Linotype"/>
          <w:sz w:val="22"/>
          <w:szCs w:val="22"/>
        </w:rPr>
      </w:pPr>
    </w:p>
    <w:p w14:paraId="0063B101" w14:textId="77777777" w:rsidR="009F64F8" w:rsidRDefault="009F64F8" w:rsidP="009F64F8">
      <w:pPr>
        <w:spacing w:line="360" w:lineRule="auto"/>
        <w:jc w:val="both"/>
        <w:rPr>
          <w:rFonts w:ascii="Palatino Linotype" w:hAnsi="Palatino Linotype" w:cs="Tahoma"/>
          <w:sz w:val="22"/>
          <w:szCs w:val="22"/>
          <w:lang w:val="es-ES"/>
        </w:rPr>
      </w:pPr>
      <w:r>
        <w:rPr>
          <w:rFonts w:ascii="Palatino Linotype" w:hAnsi="Palatino Linotype"/>
          <w:sz w:val="22"/>
          <w:szCs w:val="22"/>
        </w:rPr>
        <w:t>Conforme a lo anterior, se logra vislumbrar que el Sujeto Obligado señal</w:t>
      </w:r>
      <w:r>
        <w:rPr>
          <w:rFonts w:ascii="Palatino Linotype" w:hAnsi="Palatino Linotype"/>
          <w:sz w:val="22"/>
          <w:szCs w:val="22"/>
          <w:lang w:val="x-none"/>
        </w:rPr>
        <w:t>ó la manera de acceder a las Declaraciones de Situación Patrimonial de todos los servidores públicos adscritos a la Contraloría Interna y Órgano de Control y Vigilancia, presentadas a partir del primero de mayo de dos mil veintiuno; sobre dicha situación</w:t>
      </w:r>
      <w:r>
        <w:rPr>
          <w:rFonts w:ascii="Palatino Linotype" w:hAnsi="Palatino Linotype" w:cs="Tahoma"/>
          <w:sz w:val="22"/>
          <w:szCs w:val="22"/>
          <w:lang w:val="es-ES"/>
        </w:rPr>
        <w:t xml:space="preserve">,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w:t>
      </w:r>
      <w:r>
        <w:rPr>
          <w:rFonts w:ascii="Palatino Linotype" w:hAnsi="Palatino Linotype" w:cs="Tahoma"/>
          <w:sz w:val="22"/>
          <w:szCs w:val="22"/>
          <w:lang w:val="es-ES"/>
        </w:rPr>
        <w:lastRenderedPageBreak/>
        <w:t xml:space="preserve">información, cuando le hagan saber de manera precisa a los solicitantes, </w:t>
      </w:r>
      <w:r>
        <w:rPr>
          <w:rFonts w:ascii="Palatino Linotype" w:hAnsi="Palatino Linotype" w:cs="Tahoma"/>
          <w:b/>
          <w:sz w:val="22"/>
          <w:szCs w:val="22"/>
          <w:lang w:val="es-ES"/>
        </w:rPr>
        <w:t>la fuente, el lugar y la forma</w:t>
      </w:r>
      <w:r>
        <w:rPr>
          <w:rFonts w:ascii="Palatino Linotype" w:hAnsi="Palatino Linotype" w:cs="Tahoma"/>
          <w:sz w:val="22"/>
          <w:szCs w:val="22"/>
          <w:lang w:val="es-ES"/>
        </w:rPr>
        <w:t xml:space="preserve"> en que se puede obtener la información.</w:t>
      </w:r>
    </w:p>
    <w:p w14:paraId="0B8A1C0E" w14:textId="77777777" w:rsidR="009F64F8" w:rsidRDefault="009F64F8" w:rsidP="009F64F8">
      <w:pPr>
        <w:spacing w:line="360" w:lineRule="auto"/>
        <w:jc w:val="both"/>
        <w:rPr>
          <w:rFonts w:ascii="Palatino Linotype" w:hAnsi="Palatino Linotype"/>
          <w:sz w:val="22"/>
          <w:szCs w:val="22"/>
        </w:rPr>
      </w:pPr>
    </w:p>
    <w:p w14:paraId="4C62EA67" w14:textId="77777777" w:rsidR="009F64F8" w:rsidRDefault="009F64F8" w:rsidP="009F64F8">
      <w:pPr>
        <w:spacing w:line="360" w:lineRule="auto"/>
        <w:jc w:val="both"/>
        <w:rPr>
          <w:rFonts w:ascii="Palatino Linotype" w:hAnsi="Palatino Linotype"/>
          <w:sz w:val="22"/>
          <w:szCs w:val="22"/>
        </w:rPr>
      </w:pPr>
      <w:r>
        <w:rPr>
          <w:rFonts w:ascii="Palatino Linotype" w:hAnsi="Palatino Linotype"/>
          <w:sz w:val="22"/>
          <w:szCs w:val="22"/>
        </w:rPr>
        <w:t>En el presente caso, el Sujeto Obligado al proporcionar la fuente, el lugar y la forma de acceder a las declaraciones patrimoniales previamente señaladas, es que atendi</w:t>
      </w:r>
      <w:r>
        <w:rPr>
          <w:rFonts w:ascii="Palatino Linotype" w:hAnsi="Palatino Linotype"/>
          <w:sz w:val="22"/>
          <w:szCs w:val="22"/>
          <w:lang w:val="x-none"/>
        </w:rPr>
        <w:t>ó de manera correcta parte de la solicitud de información y por lo tanto, se tiene por atendido.</w:t>
      </w:r>
    </w:p>
    <w:p w14:paraId="3589E8FB" w14:textId="6E858FC5" w:rsidR="009F64F8" w:rsidRDefault="009F64F8" w:rsidP="00CD7DE8">
      <w:pPr>
        <w:spacing w:line="360" w:lineRule="auto"/>
        <w:jc w:val="both"/>
        <w:rPr>
          <w:rFonts w:ascii="Palatino Linotype" w:hAnsi="Palatino Linotype" w:cs="Tahoma"/>
          <w:sz w:val="22"/>
          <w:szCs w:val="22"/>
          <w:lang w:val="es-ES"/>
        </w:rPr>
      </w:pPr>
    </w:p>
    <w:p w14:paraId="7CF9EFDB" w14:textId="236B12E5" w:rsidR="00544F9C" w:rsidRDefault="00544F9C" w:rsidP="00544F9C">
      <w:pPr>
        <w:spacing w:line="360" w:lineRule="auto"/>
        <w:jc w:val="both"/>
        <w:rPr>
          <w:rFonts w:ascii="Palatino Linotype" w:eastAsiaTheme="minorHAnsi" w:hAnsi="Palatino Linotype" w:cstheme="minorBidi"/>
          <w:color w:val="000000" w:themeColor="text1"/>
          <w:sz w:val="22"/>
          <w:szCs w:val="22"/>
          <w:lang w:val="x-none" w:eastAsia="en-US"/>
        </w:rPr>
      </w:pPr>
      <w:r w:rsidRPr="00544F9C">
        <w:rPr>
          <w:rFonts w:ascii="Palatino Linotype" w:eastAsiaTheme="minorHAnsi" w:hAnsi="Palatino Linotype" w:cstheme="minorBidi"/>
          <w:color w:val="000000" w:themeColor="text1"/>
          <w:sz w:val="22"/>
          <w:szCs w:val="22"/>
          <w:lang w:eastAsia="en-US"/>
        </w:rPr>
        <w:t>Por todo lo expuesto</w:t>
      </w:r>
      <w:r>
        <w:rPr>
          <w:rFonts w:ascii="Palatino Linotype" w:eastAsiaTheme="minorHAnsi" w:hAnsi="Palatino Linotype" w:cstheme="minorBidi"/>
          <w:color w:val="000000" w:themeColor="text1"/>
          <w:sz w:val="22"/>
          <w:szCs w:val="22"/>
          <w:lang w:eastAsia="en-US"/>
        </w:rPr>
        <w:t>, se considera que el Sujeto Obligado atendi</w:t>
      </w:r>
      <w:r>
        <w:rPr>
          <w:rFonts w:ascii="Palatino Linotype" w:eastAsiaTheme="minorHAnsi" w:hAnsi="Palatino Linotype" w:cstheme="minorBidi"/>
          <w:color w:val="000000" w:themeColor="text1"/>
          <w:sz w:val="22"/>
          <w:szCs w:val="22"/>
          <w:lang w:val="x-none" w:eastAsia="en-US"/>
        </w:rPr>
        <w:t>ó de manera correcta el requerimiento de información, al realizar lo siguiente:</w:t>
      </w:r>
    </w:p>
    <w:p w14:paraId="5DC08FB7" w14:textId="3F5645FC" w:rsidR="00544F9C" w:rsidRDefault="00544F9C" w:rsidP="00544F9C">
      <w:pPr>
        <w:spacing w:line="360" w:lineRule="auto"/>
        <w:jc w:val="both"/>
        <w:rPr>
          <w:rFonts w:ascii="Palatino Linotype" w:eastAsiaTheme="minorHAnsi" w:hAnsi="Palatino Linotype" w:cstheme="minorBidi"/>
          <w:color w:val="000000" w:themeColor="text1"/>
          <w:sz w:val="22"/>
          <w:szCs w:val="22"/>
          <w:lang w:eastAsia="en-US"/>
        </w:rPr>
      </w:pPr>
    </w:p>
    <w:p w14:paraId="6BC79A9A" w14:textId="6ED07018" w:rsidR="00544F9C" w:rsidRPr="00544F9C" w:rsidRDefault="00544F9C" w:rsidP="00544F9C">
      <w:pPr>
        <w:pStyle w:val="Prrafodelista"/>
        <w:numPr>
          <w:ilvl w:val="0"/>
          <w:numId w:val="36"/>
        </w:numPr>
        <w:spacing w:line="360" w:lineRule="auto"/>
        <w:jc w:val="both"/>
        <w:rPr>
          <w:rFonts w:ascii="Palatino Linotype" w:eastAsiaTheme="minorHAnsi" w:hAnsi="Palatino Linotype" w:cstheme="minorBidi"/>
          <w:color w:val="000000" w:themeColor="text1"/>
          <w:szCs w:val="22"/>
          <w:lang w:eastAsia="en-US"/>
        </w:rPr>
      </w:pPr>
      <w:r>
        <w:rPr>
          <w:rFonts w:ascii="Palatino Linotype" w:eastAsiaTheme="minorHAnsi" w:hAnsi="Palatino Linotype" w:cstheme="minorBidi"/>
          <w:color w:val="000000" w:themeColor="text1"/>
          <w:szCs w:val="22"/>
          <w:lang w:eastAsia="en-US"/>
        </w:rPr>
        <w:t>Señal</w:t>
      </w:r>
      <w:r>
        <w:rPr>
          <w:rFonts w:ascii="Palatino Linotype" w:eastAsiaTheme="minorHAnsi" w:hAnsi="Palatino Linotype" w:cstheme="minorBidi"/>
          <w:color w:val="000000" w:themeColor="text1"/>
          <w:szCs w:val="22"/>
          <w:lang w:val="x-none" w:eastAsia="en-US"/>
        </w:rPr>
        <w:t>ó las razones por las cuales no contaba con la manifestación de bienes y declaraciones de situación patrimonial de mandos inferiores, del primero de enero de dos mil quince al treinta de abril de dos mil veintiuno.</w:t>
      </w:r>
    </w:p>
    <w:p w14:paraId="4D692C5F" w14:textId="77777777" w:rsidR="00544F9C" w:rsidRPr="00544F9C" w:rsidRDefault="00544F9C" w:rsidP="00544F9C">
      <w:pPr>
        <w:pStyle w:val="Prrafodelista"/>
        <w:spacing w:line="360" w:lineRule="auto"/>
        <w:jc w:val="both"/>
        <w:rPr>
          <w:rFonts w:ascii="Palatino Linotype" w:eastAsiaTheme="minorHAnsi" w:hAnsi="Palatino Linotype" w:cstheme="minorBidi"/>
          <w:color w:val="000000" w:themeColor="text1"/>
          <w:szCs w:val="22"/>
          <w:lang w:eastAsia="en-US"/>
        </w:rPr>
      </w:pPr>
    </w:p>
    <w:p w14:paraId="369A7B04" w14:textId="0C7C7745" w:rsidR="00544F9C" w:rsidRPr="001028FC" w:rsidRDefault="001028FC" w:rsidP="00544F9C">
      <w:pPr>
        <w:pStyle w:val="Prrafodelista"/>
        <w:numPr>
          <w:ilvl w:val="0"/>
          <w:numId w:val="36"/>
        </w:numPr>
        <w:spacing w:line="360" w:lineRule="auto"/>
        <w:jc w:val="both"/>
        <w:rPr>
          <w:rFonts w:ascii="Palatino Linotype" w:eastAsiaTheme="minorHAnsi" w:hAnsi="Palatino Linotype" w:cstheme="minorBidi"/>
          <w:color w:val="000000" w:themeColor="text1"/>
          <w:szCs w:val="22"/>
          <w:lang w:eastAsia="en-US"/>
        </w:rPr>
      </w:pPr>
      <w:r>
        <w:rPr>
          <w:rFonts w:ascii="Palatino Linotype" w:eastAsiaTheme="minorHAnsi" w:hAnsi="Palatino Linotype" w:cstheme="minorBidi"/>
          <w:color w:val="000000" w:themeColor="text1"/>
          <w:szCs w:val="22"/>
          <w:lang w:eastAsia="en-US"/>
        </w:rPr>
        <w:t>Precis</w:t>
      </w:r>
      <w:r>
        <w:rPr>
          <w:rFonts w:ascii="Palatino Linotype" w:eastAsiaTheme="minorHAnsi" w:hAnsi="Palatino Linotype" w:cstheme="minorBidi"/>
          <w:color w:val="000000" w:themeColor="text1"/>
          <w:szCs w:val="22"/>
          <w:lang w:val="x-none" w:eastAsia="en-US"/>
        </w:rPr>
        <w:t xml:space="preserve">ó la fuente, el lugar y la forma para </w:t>
      </w:r>
      <w:r>
        <w:rPr>
          <w:rFonts w:ascii="Palatino Linotype" w:hAnsi="Palatino Linotype"/>
          <w:szCs w:val="22"/>
          <w:lang w:val="x-none"/>
        </w:rPr>
        <w:t>acceder a las Declaraciones de Situación Patrimonial de todos los servidores públicos adscritos a la Contraloría Interna y Órgano de Control y Vigilancia, presentadas a partir del primero de mayo al veintiuno de octubre de dos mil veintiuno.</w:t>
      </w:r>
    </w:p>
    <w:p w14:paraId="5AE69C44" w14:textId="77777777" w:rsidR="001028FC" w:rsidRPr="001028FC" w:rsidRDefault="001028FC" w:rsidP="001028FC">
      <w:pPr>
        <w:pStyle w:val="Prrafodelista"/>
        <w:rPr>
          <w:rFonts w:ascii="Palatino Linotype" w:eastAsiaTheme="minorHAnsi" w:hAnsi="Palatino Linotype" w:cstheme="minorBidi"/>
          <w:color w:val="000000" w:themeColor="text1"/>
          <w:szCs w:val="22"/>
          <w:lang w:eastAsia="en-US"/>
        </w:rPr>
      </w:pPr>
    </w:p>
    <w:p w14:paraId="34ED3D22" w14:textId="40341ADD" w:rsidR="00544F9C" w:rsidRPr="001028FC" w:rsidRDefault="001028FC" w:rsidP="00544F9C">
      <w:pPr>
        <w:pStyle w:val="Prrafodelista"/>
        <w:numPr>
          <w:ilvl w:val="0"/>
          <w:numId w:val="36"/>
        </w:numPr>
        <w:spacing w:line="360" w:lineRule="auto"/>
        <w:jc w:val="both"/>
        <w:rPr>
          <w:rFonts w:ascii="Palatino Linotype" w:eastAsiaTheme="minorHAnsi" w:hAnsi="Palatino Linotype" w:cstheme="minorBidi"/>
          <w:color w:val="000000" w:themeColor="text1"/>
          <w:szCs w:val="22"/>
          <w:lang w:eastAsia="en-US"/>
        </w:rPr>
      </w:pPr>
      <w:r w:rsidRPr="001028FC">
        <w:rPr>
          <w:rFonts w:ascii="Palatino Linotype" w:eastAsiaTheme="minorHAnsi" w:hAnsi="Palatino Linotype" w:cstheme="minorBidi"/>
          <w:color w:val="000000" w:themeColor="text1"/>
          <w:szCs w:val="22"/>
          <w:lang w:eastAsia="en-US"/>
        </w:rPr>
        <w:t>Proporcion</w:t>
      </w:r>
      <w:r w:rsidRPr="001028FC">
        <w:rPr>
          <w:rFonts w:ascii="Palatino Linotype" w:eastAsiaTheme="minorHAnsi" w:hAnsi="Palatino Linotype" w:cstheme="minorBidi"/>
          <w:color w:val="000000" w:themeColor="text1"/>
          <w:szCs w:val="22"/>
          <w:lang w:val="x-none" w:eastAsia="en-US"/>
        </w:rPr>
        <w:t>ó el Acuerdo emitido por el Comité de Transparencia, en donde de manera fundada y motivada, confirmó la clasificación, de las Manifestaciones de Bienes y las Declaraciones de Situación Patrimonial presentadas por los servidores públicos obligados, adscritos a la Contraloría Interna y Órgano de Control y Vigilancia, del primero de enero de dos mil quince al treinta de abril de dos mil veintiuno</w:t>
      </w:r>
      <w:r>
        <w:rPr>
          <w:rFonts w:ascii="Palatino Linotype" w:eastAsiaTheme="minorHAnsi" w:hAnsi="Palatino Linotype" w:cstheme="minorBidi"/>
          <w:color w:val="000000" w:themeColor="text1"/>
          <w:szCs w:val="22"/>
          <w:lang w:val="x-none" w:eastAsia="en-US"/>
        </w:rPr>
        <w:t>.</w:t>
      </w:r>
    </w:p>
    <w:p w14:paraId="12BDAA2A" w14:textId="77777777" w:rsidR="001028FC" w:rsidRPr="001028FC" w:rsidRDefault="001028FC" w:rsidP="001028FC">
      <w:pPr>
        <w:pStyle w:val="Prrafodelista"/>
        <w:rPr>
          <w:rFonts w:ascii="Palatino Linotype" w:eastAsiaTheme="minorHAnsi" w:hAnsi="Palatino Linotype" w:cstheme="minorBidi"/>
          <w:color w:val="000000" w:themeColor="text1"/>
          <w:szCs w:val="22"/>
          <w:lang w:eastAsia="en-US"/>
        </w:rPr>
      </w:pPr>
    </w:p>
    <w:p w14:paraId="29F763D5" w14:textId="5600268A" w:rsidR="001028FC" w:rsidRDefault="001028FC" w:rsidP="001028FC">
      <w:pPr>
        <w:pStyle w:val="Prrafodelista"/>
        <w:spacing w:line="360" w:lineRule="auto"/>
        <w:jc w:val="both"/>
        <w:rPr>
          <w:rFonts w:ascii="Palatino Linotype" w:eastAsiaTheme="minorHAnsi" w:hAnsi="Palatino Linotype" w:cstheme="minorBidi"/>
          <w:color w:val="000000" w:themeColor="text1"/>
          <w:szCs w:val="22"/>
          <w:lang w:eastAsia="en-US"/>
        </w:rPr>
      </w:pPr>
    </w:p>
    <w:p w14:paraId="5ED360C3" w14:textId="77777777" w:rsidR="001028FC" w:rsidRPr="001028FC" w:rsidRDefault="001028FC" w:rsidP="001028FC">
      <w:pPr>
        <w:pStyle w:val="Prrafodelista"/>
        <w:spacing w:line="360" w:lineRule="auto"/>
        <w:jc w:val="both"/>
        <w:rPr>
          <w:rFonts w:ascii="Palatino Linotype" w:eastAsiaTheme="minorHAnsi" w:hAnsi="Palatino Linotype" w:cstheme="minorBidi"/>
          <w:color w:val="000000" w:themeColor="text1"/>
          <w:szCs w:val="22"/>
          <w:lang w:eastAsia="en-US"/>
        </w:rPr>
      </w:pPr>
    </w:p>
    <w:p w14:paraId="682AA4DB" w14:textId="0C9B053E" w:rsidR="00544F9C" w:rsidRPr="00544F9C" w:rsidRDefault="001028FC" w:rsidP="00544F9C">
      <w:pPr>
        <w:spacing w:line="360" w:lineRule="auto"/>
        <w:jc w:val="both"/>
        <w:rPr>
          <w:rFonts w:ascii="Palatino Linotype" w:eastAsiaTheme="minorHAnsi" w:hAnsi="Palatino Linotype" w:cstheme="minorBidi"/>
          <w:b/>
          <w:color w:val="000000" w:themeColor="text1"/>
          <w:sz w:val="22"/>
          <w:szCs w:val="22"/>
          <w:lang w:eastAsia="en-US"/>
        </w:rPr>
      </w:pPr>
      <w:r>
        <w:rPr>
          <w:rFonts w:ascii="Palatino Linotype" w:eastAsiaTheme="minorHAnsi" w:hAnsi="Palatino Linotype" w:cstheme="minorBidi"/>
          <w:color w:val="000000" w:themeColor="text1"/>
          <w:sz w:val="22"/>
          <w:szCs w:val="22"/>
          <w:lang w:eastAsia="en-US"/>
        </w:rPr>
        <w:t>Conforme a lo anterior</w:t>
      </w:r>
      <w:r w:rsidR="00544F9C" w:rsidRPr="00544F9C">
        <w:rPr>
          <w:rFonts w:ascii="Palatino Linotype" w:eastAsiaTheme="minorHAnsi" w:hAnsi="Palatino Linotype" w:cstheme="minorBidi"/>
          <w:color w:val="000000" w:themeColor="text1"/>
          <w:sz w:val="22"/>
          <w:szCs w:val="22"/>
          <w:lang w:eastAsia="en-US"/>
        </w:rPr>
        <w:t>, durante la sustanciación</w:t>
      </w:r>
      <w:r w:rsidR="00544F9C" w:rsidRPr="00544F9C">
        <w:rPr>
          <w:rFonts w:ascii="Palatino Linotype" w:eastAsiaTheme="minorHAnsi" w:hAnsi="Palatino Linotype" w:cstheme="minorBidi"/>
          <w:color w:val="000000" w:themeColor="text1"/>
          <w:sz w:val="22"/>
          <w:szCs w:val="22"/>
          <w:lang w:val="x-none" w:eastAsia="en-US"/>
        </w:rPr>
        <w:t xml:space="preserve"> del presente Medio de Impugnación, el Ente Recurrido</w:t>
      </w:r>
      <w:r w:rsidR="00544F9C" w:rsidRPr="00544F9C">
        <w:rPr>
          <w:rFonts w:ascii="Palatino Linotype" w:eastAsiaTheme="minorHAnsi" w:hAnsi="Palatino Linotype" w:cstheme="minorBidi"/>
          <w:b/>
          <w:color w:val="000000" w:themeColor="text1"/>
          <w:sz w:val="22"/>
          <w:szCs w:val="22"/>
          <w:lang w:val="x-none" w:eastAsia="en-US"/>
        </w:rPr>
        <w:t xml:space="preserve">, modificó su actuar, </w:t>
      </w:r>
      <w:r>
        <w:rPr>
          <w:rFonts w:ascii="Palatino Linotype" w:eastAsiaTheme="minorHAnsi" w:hAnsi="Palatino Linotype" w:cstheme="minorBidi"/>
          <w:b/>
          <w:color w:val="000000" w:themeColor="text1"/>
          <w:sz w:val="22"/>
          <w:szCs w:val="22"/>
          <w:lang w:val="x-none" w:eastAsia="en-US"/>
        </w:rPr>
        <w:t>al realizar las acciones previamente referidas, con las cuales dieron por atendido el requerimiento de información, y, por lo tanto</w:t>
      </w:r>
      <w:r w:rsidR="00544F9C" w:rsidRPr="00544F9C">
        <w:rPr>
          <w:rFonts w:ascii="Palatino Linotype" w:eastAsiaTheme="minorHAnsi" w:hAnsi="Palatino Linotype" w:cstheme="minorBidi"/>
          <w:b/>
          <w:color w:val="000000" w:themeColor="text1"/>
          <w:sz w:val="22"/>
          <w:szCs w:val="22"/>
          <w:lang w:val="x-none" w:eastAsia="en-US"/>
        </w:rPr>
        <w:t>, se considera que la impugnación que se dirime ha quedado sin materia.</w:t>
      </w:r>
    </w:p>
    <w:p w14:paraId="6CB00E6F" w14:textId="77777777" w:rsidR="009F64F8" w:rsidRDefault="009F64F8" w:rsidP="00CD7DE8">
      <w:pPr>
        <w:spacing w:line="360" w:lineRule="auto"/>
        <w:jc w:val="both"/>
        <w:rPr>
          <w:rFonts w:ascii="Palatino Linotype" w:hAnsi="Palatino Linotype" w:cs="Tahoma"/>
          <w:sz w:val="22"/>
          <w:szCs w:val="22"/>
          <w:lang w:val="es-ES"/>
        </w:rPr>
      </w:pPr>
    </w:p>
    <w:p w14:paraId="2ACB3EBA" w14:textId="7E4E4553" w:rsidR="00401071" w:rsidRDefault="001028FC" w:rsidP="00CD7DE8">
      <w:pPr>
        <w:spacing w:line="360" w:lineRule="auto"/>
        <w:ind w:right="-28"/>
        <w:contextualSpacing/>
        <w:jc w:val="both"/>
        <w:rPr>
          <w:rFonts w:ascii="Palatino Linotype" w:eastAsia="Calibri" w:hAnsi="Palatino Linotype" w:cs="Tahoma"/>
          <w:bCs/>
          <w:sz w:val="22"/>
          <w:szCs w:val="22"/>
          <w:lang w:eastAsia="en-US"/>
        </w:rPr>
      </w:pPr>
      <w:r>
        <w:rPr>
          <w:rFonts w:ascii="Palatino Linotype" w:hAnsi="Palatino Linotype" w:cs="Tahoma"/>
          <w:b/>
          <w:sz w:val="22"/>
          <w:szCs w:val="22"/>
          <w:lang w:val="es-ES"/>
        </w:rPr>
        <w:t>CUARTO.</w:t>
      </w:r>
      <w:r w:rsidR="00401071">
        <w:rPr>
          <w:rFonts w:ascii="Palatino Linotype" w:hAnsi="Palatino Linotype" w:cs="Tahoma"/>
          <w:b/>
          <w:sz w:val="22"/>
          <w:szCs w:val="22"/>
          <w:lang w:val="es-ES"/>
        </w:rPr>
        <w:t xml:space="preserve"> Decisión.</w:t>
      </w:r>
    </w:p>
    <w:p w14:paraId="5232287B" w14:textId="77777777" w:rsidR="00401071" w:rsidRDefault="00401071" w:rsidP="00CD7DE8">
      <w:pPr>
        <w:spacing w:line="360" w:lineRule="auto"/>
        <w:jc w:val="both"/>
        <w:rPr>
          <w:rFonts w:ascii="Palatino Linotype" w:hAnsi="Palatino Linotype" w:cs="Tahoma"/>
          <w:sz w:val="22"/>
          <w:szCs w:val="22"/>
        </w:rPr>
      </w:pPr>
    </w:p>
    <w:p w14:paraId="044548C7" w14:textId="1E7A124E" w:rsidR="00401071" w:rsidRDefault="001028FC" w:rsidP="00CD7DE8">
      <w:pPr>
        <w:autoSpaceDE w:val="0"/>
        <w:autoSpaceDN w:val="0"/>
        <w:adjustRightInd w:val="0"/>
        <w:spacing w:line="360" w:lineRule="auto"/>
        <w:jc w:val="both"/>
        <w:rPr>
          <w:rFonts w:ascii="Palatino Linotype" w:hAnsi="Palatino Linotype" w:cs="Tahoma"/>
          <w:sz w:val="22"/>
          <w:szCs w:val="22"/>
        </w:rPr>
      </w:pPr>
      <w:bookmarkStart w:id="8" w:name="_Hlk68806260"/>
      <w:r w:rsidRPr="001028FC">
        <w:rPr>
          <w:rFonts w:ascii="Palatino Linotype" w:hAnsi="Palatino Linotype" w:cs="Tahoma"/>
          <w:sz w:val="22"/>
          <w:szCs w:val="22"/>
        </w:rPr>
        <w:t xml:space="preserve">Con fundamento en lo dispuesto en el artículo 186, fracción I de la Ley de Transparencia y Acceso a la Información Pública del Estado de México y Municipios, se considera procedente </w:t>
      </w:r>
      <w:r w:rsidRPr="001028FC">
        <w:rPr>
          <w:rFonts w:ascii="Palatino Linotype" w:hAnsi="Palatino Linotype" w:cs="Tahoma"/>
          <w:b/>
          <w:sz w:val="22"/>
          <w:szCs w:val="22"/>
        </w:rPr>
        <w:t>SOBRESEER</w:t>
      </w:r>
      <w:r w:rsidRPr="001028FC">
        <w:rPr>
          <w:rFonts w:ascii="Palatino Linotype" w:hAnsi="Palatino Linotype" w:cs="Tahoma"/>
          <w:sz w:val="22"/>
          <w:szCs w:val="22"/>
        </w:rPr>
        <w:t xml:space="preserve"> los Recursos de Revisión, en virtud de que se actualiza la hipótesis normativa prevista en la fracción III, del artículo 192, del citado ordenamiento legal.</w:t>
      </w:r>
    </w:p>
    <w:p w14:paraId="607ECA71" w14:textId="77777777" w:rsidR="001028FC" w:rsidRDefault="001028FC" w:rsidP="00CD7DE8">
      <w:pPr>
        <w:autoSpaceDE w:val="0"/>
        <w:autoSpaceDN w:val="0"/>
        <w:adjustRightInd w:val="0"/>
        <w:spacing w:line="360" w:lineRule="auto"/>
        <w:jc w:val="both"/>
        <w:rPr>
          <w:rFonts w:ascii="Palatino Linotype" w:eastAsia="Calibri" w:hAnsi="Palatino Linotype" w:cs="Tahoma"/>
          <w:b/>
          <w:bCs/>
          <w:iCs/>
          <w:sz w:val="22"/>
          <w:szCs w:val="22"/>
          <w:lang w:eastAsia="en-US"/>
        </w:rPr>
      </w:pPr>
    </w:p>
    <w:p w14:paraId="1059DA85" w14:textId="77777777" w:rsidR="00401071" w:rsidRPr="00146732" w:rsidRDefault="00401071" w:rsidP="00CD7DE8">
      <w:pPr>
        <w:autoSpaceDE w:val="0"/>
        <w:autoSpaceDN w:val="0"/>
        <w:adjustRightInd w:val="0"/>
        <w:spacing w:line="360" w:lineRule="auto"/>
        <w:jc w:val="both"/>
        <w:rPr>
          <w:rFonts w:ascii="Palatino Linotype" w:eastAsia="Calibri" w:hAnsi="Palatino Linotype" w:cs="Tahoma"/>
          <w:b/>
          <w:bCs/>
          <w:iCs/>
          <w:sz w:val="22"/>
          <w:szCs w:val="22"/>
          <w:lang w:val="es-ES" w:eastAsia="en-US"/>
        </w:rPr>
      </w:pPr>
      <w:r w:rsidRPr="00146732">
        <w:rPr>
          <w:rFonts w:ascii="Palatino Linotype" w:eastAsia="Calibri" w:hAnsi="Palatino Linotype" w:cs="Tahoma"/>
          <w:b/>
          <w:bCs/>
          <w:iCs/>
          <w:sz w:val="22"/>
          <w:szCs w:val="22"/>
          <w:lang w:val="es-ES" w:eastAsia="en-US"/>
        </w:rPr>
        <w:t>Términos de la Resolución para conocimiento del Particular.</w:t>
      </w:r>
    </w:p>
    <w:p w14:paraId="49A08781" w14:textId="77777777" w:rsidR="001028FC" w:rsidRPr="001028FC" w:rsidRDefault="001028FC" w:rsidP="001028FC">
      <w:pPr>
        <w:spacing w:line="360" w:lineRule="auto"/>
        <w:jc w:val="both"/>
        <w:rPr>
          <w:rFonts w:ascii="Palatino Linotype" w:eastAsia="Calibri" w:hAnsi="Palatino Linotype" w:cs="Tahoma"/>
          <w:bCs/>
          <w:sz w:val="22"/>
          <w:szCs w:val="22"/>
          <w:lang w:eastAsia="en-US"/>
        </w:rPr>
      </w:pPr>
    </w:p>
    <w:p w14:paraId="306D70AE" w14:textId="6013528E" w:rsidR="00544F9C" w:rsidRDefault="001028FC" w:rsidP="001028FC">
      <w:pPr>
        <w:spacing w:line="360" w:lineRule="auto"/>
        <w:jc w:val="both"/>
        <w:rPr>
          <w:rFonts w:ascii="Palatino Linotype" w:eastAsia="Calibri" w:hAnsi="Palatino Linotype" w:cs="Tahoma"/>
          <w:bCs/>
          <w:sz w:val="22"/>
          <w:szCs w:val="22"/>
          <w:lang w:eastAsia="en-US"/>
        </w:rPr>
      </w:pPr>
      <w:r w:rsidRPr="001028FC">
        <w:rPr>
          <w:rFonts w:ascii="Palatino Linotype" w:eastAsia="Calibri" w:hAnsi="Palatino Linotype" w:cs="Tahoma"/>
          <w:bCs/>
          <w:sz w:val="22"/>
          <w:szCs w:val="22"/>
          <w:lang w:eastAsia="en-US"/>
        </w:rPr>
        <w:t xml:space="preserve">Se le hace del conocimiento del Particular, que, si bien en un principio se le daba </w:t>
      </w:r>
      <w:r>
        <w:rPr>
          <w:rFonts w:ascii="Palatino Linotype" w:eastAsia="Calibri" w:hAnsi="Palatino Linotype" w:cs="Tahoma"/>
          <w:bCs/>
          <w:sz w:val="22"/>
          <w:szCs w:val="22"/>
          <w:lang w:eastAsia="en-US"/>
        </w:rPr>
        <w:t xml:space="preserve">parcialmente </w:t>
      </w:r>
      <w:r w:rsidRPr="001028FC">
        <w:rPr>
          <w:rFonts w:ascii="Palatino Linotype" w:eastAsia="Calibri" w:hAnsi="Palatino Linotype" w:cs="Tahoma"/>
          <w:bCs/>
          <w:sz w:val="22"/>
          <w:szCs w:val="22"/>
          <w:lang w:eastAsia="en-US"/>
        </w:rPr>
        <w:t xml:space="preserve">la razón, pues el Sujeto Obligado había entregado </w:t>
      </w:r>
      <w:r>
        <w:rPr>
          <w:rFonts w:ascii="Palatino Linotype" w:eastAsia="Calibri" w:hAnsi="Palatino Linotype" w:cs="Tahoma"/>
          <w:bCs/>
          <w:sz w:val="22"/>
          <w:szCs w:val="22"/>
          <w:lang w:eastAsia="en-US"/>
        </w:rPr>
        <w:t>el Acuerdo de Clasificaci</w:t>
      </w:r>
      <w:r>
        <w:rPr>
          <w:rFonts w:ascii="Palatino Linotype" w:eastAsia="Calibri" w:hAnsi="Palatino Linotype" w:cs="Tahoma"/>
          <w:bCs/>
          <w:sz w:val="22"/>
          <w:szCs w:val="22"/>
          <w:lang w:val="x-none" w:eastAsia="en-US"/>
        </w:rPr>
        <w:t>ón, lo cierto es que durante la sustanciación del Medio de Impugnación, proporcionó la liga para acceder a las declaraciones patrimoniales presentadas a partir de mayo de dos mil veintiuno y señaló las razones por las cuales no contaba con la información, de mandos inferiores.</w:t>
      </w:r>
    </w:p>
    <w:p w14:paraId="46FC3479" w14:textId="77777777" w:rsidR="001028FC" w:rsidRDefault="001028FC" w:rsidP="001028FC">
      <w:pPr>
        <w:spacing w:line="360" w:lineRule="auto"/>
        <w:jc w:val="both"/>
        <w:rPr>
          <w:rFonts w:ascii="Palatino Linotype" w:eastAsia="Calibri" w:hAnsi="Palatino Linotype" w:cs="Tahoma"/>
          <w:bCs/>
          <w:sz w:val="22"/>
          <w:szCs w:val="22"/>
          <w:lang w:eastAsia="en-US"/>
        </w:rPr>
      </w:pPr>
    </w:p>
    <w:p w14:paraId="50655233" w14:textId="6C5E96DD" w:rsidR="009A7C8A" w:rsidRDefault="009A7C8A" w:rsidP="00CD7DE8">
      <w:pPr>
        <w:spacing w:line="360" w:lineRule="auto"/>
        <w:jc w:val="both"/>
        <w:rPr>
          <w:rFonts w:ascii="Palatino Linotype" w:eastAsia="Calibri" w:hAnsi="Palatino Linotype" w:cs="Tahoma"/>
          <w:bCs/>
          <w:iCs/>
          <w:sz w:val="22"/>
          <w:szCs w:val="22"/>
          <w:lang w:val="es-ES_tradnl" w:eastAsia="en-US"/>
        </w:rPr>
      </w:pPr>
      <w:r w:rsidRPr="009A7C8A">
        <w:rPr>
          <w:rFonts w:ascii="Palatino Linotype" w:eastAsia="Calibri" w:hAnsi="Palatino Linotype" w:cs="Tahoma"/>
          <w:bCs/>
          <w:iCs/>
          <w:sz w:val="22"/>
          <w:szCs w:val="22"/>
          <w:lang w:val="es-ES_tradnl" w:eastAsia="en-US"/>
        </w:rPr>
        <w:t xml:space="preserve">La labor </w:t>
      </w:r>
      <w:r w:rsidR="001028FC">
        <w:rPr>
          <w:rFonts w:ascii="Palatino Linotype" w:eastAsia="Calibri" w:hAnsi="Palatino Linotype" w:cs="Tahoma"/>
          <w:bCs/>
          <w:iCs/>
          <w:sz w:val="22"/>
          <w:szCs w:val="22"/>
          <w:lang w:val="es-ES_tradnl" w:eastAsia="en-US"/>
        </w:rPr>
        <w:t>del Instituto de Transparencia, Acceso a la Información</w:t>
      </w:r>
      <w:r w:rsidR="001028FC">
        <w:rPr>
          <w:rFonts w:ascii="Palatino Linotype" w:eastAsia="Calibri" w:hAnsi="Palatino Linotype" w:cs="Tahoma"/>
          <w:bCs/>
          <w:iCs/>
          <w:sz w:val="22"/>
          <w:szCs w:val="22"/>
          <w:lang w:val="x-none" w:eastAsia="en-US"/>
        </w:rPr>
        <w:t xml:space="preserve"> Pública y Protección de Datos Personales del Estado de México y Municipios</w:t>
      </w:r>
      <w:r w:rsidRPr="009A7C8A">
        <w:rPr>
          <w:rFonts w:ascii="Palatino Linotype" w:eastAsia="Calibri" w:hAnsi="Palatino Linotype" w:cs="Tahoma"/>
          <w:bCs/>
          <w:iCs/>
          <w:sz w:val="22"/>
          <w:szCs w:val="22"/>
          <w:lang w:val="es-ES_tradnl" w:eastAsia="en-US"/>
        </w:rPr>
        <w:t>, es apoyar a la población a acceder a la información pública y garantizar la protección de los datos personales.</w:t>
      </w:r>
    </w:p>
    <w:p w14:paraId="2A2F74F2" w14:textId="77777777" w:rsidR="001028FC" w:rsidRDefault="001028FC" w:rsidP="00CD7DE8">
      <w:pPr>
        <w:autoSpaceDE w:val="0"/>
        <w:autoSpaceDN w:val="0"/>
        <w:adjustRightInd w:val="0"/>
        <w:spacing w:line="360" w:lineRule="auto"/>
        <w:jc w:val="both"/>
        <w:rPr>
          <w:rFonts w:ascii="Palatino Linotype" w:eastAsia="Calibri" w:hAnsi="Palatino Linotype" w:cs="Tahoma"/>
          <w:bCs/>
          <w:iCs/>
          <w:sz w:val="22"/>
          <w:szCs w:val="22"/>
          <w:lang w:eastAsia="en-US"/>
        </w:rPr>
      </w:pPr>
    </w:p>
    <w:p w14:paraId="657007D9" w14:textId="5D479163" w:rsidR="0087367C" w:rsidRPr="00913079" w:rsidRDefault="00401071" w:rsidP="00913079">
      <w:pPr>
        <w:autoSpaceDE w:val="0"/>
        <w:autoSpaceDN w:val="0"/>
        <w:adjustRightInd w:val="0"/>
        <w:spacing w:line="360" w:lineRule="auto"/>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n-US"/>
        </w:rPr>
        <w:t>Por lo expuesto y fundado, este Pleno:</w:t>
      </w:r>
      <w:bookmarkEnd w:id="8"/>
    </w:p>
    <w:p w14:paraId="1493CBEB" w14:textId="77777777" w:rsidR="00401071" w:rsidRDefault="00401071" w:rsidP="00CD7DE8">
      <w:pPr>
        <w:spacing w:line="360" w:lineRule="auto"/>
        <w:jc w:val="center"/>
        <w:rPr>
          <w:rFonts w:ascii="Palatino Linotype" w:hAnsi="Palatino Linotype" w:cs="Tahoma"/>
          <w:b/>
          <w:bCs/>
          <w:sz w:val="22"/>
          <w:szCs w:val="22"/>
        </w:rPr>
      </w:pPr>
      <w:r>
        <w:rPr>
          <w:rFonts w:ascii="Palatino Linotype" w:hAnsi="Palatino Linotype" w:cs="Tahoma"/>
          <w:b/>
          <w:bCs/>
          <w:sz w:val="22"/>
          <w:szCs w:val="22"/>
        </w:rPr>
        <w:lastRenderedPageBreak/>
        <w:t xml:space="preserve">R E S U E L V E: </w:t>
      </w:r>
    </w:p>
    <w:p w14:paraId="0502BA1D" w14:textId="77777777" w:rsidR="00401071" w:rsidRDefault="00401071" w:rsidP="00CD7DE8">
      <w:pPr>
        <w:spacing w:line="360" w:lineRule="auto"/>
        <w:ind w:right="113"/>
        <w:jc w:val="both"/>
        <w:rPr>
          <w:rFonts w:ascii="Palatino Linotype" w:hAnsi="Palatino Linotype" w:cs="Arial"/>
          <w:b/>
          <w:sz w:val="22"/>
          <w:szCs w:val="22"/>
        </w:rPr>
      </w:pPr>
    </w:p>
    <w:p w14:paraId="30A392F6" w14:textId="045D2C2C" w:rsidR="001028FC" w:rsidRPr="001028FC" w:rsidRDefault="00261A45" w:rsidP="001028FC">
      <w:pPr>
        <w:spacing w:line="360" w:lineRule="auto"/>
        <w:jc w:val="both"/>
        <w:rPr>
          <w:rFonts w:ascii="Palatino Linotype" w:eastAsia="Calibri" w:hAnsi="Palatino Linotype" w:cs="Tahoma"/>
          <w:b/>
          <w:bCs/>
          <w:iCs/>
          <w:sz w:val="22"/>
          <w:szCs w:val="22"/>
          <w:lang w:eastAsia="en-US"/>
        </w:rPr>
      </w:pPr>
      <w:bookmarkStart w:id="9" w:name="_Hlk68806277"/>
      <w:r w:rsidRPr="00261A45">
        <w:rPr>
          <w:rFonts w:ascii="Palatino Linotype" w:hAnsi="Palatino Linotype" w:cs="Tahoma"/>
          <w:b/>
          <w:bCs/>
          <w:sz w:val="22"/>
          <w:szCs w:val="22"/>
        </w:rPr>
        <w:t>PRIMERO.</w:t>
      </w:r>
      <w:r w:rsidRPr="00261A45">
        <w:rPr>
          <w:rFonts w:ascii="Palatino Linotype" w:hAnsi="Palatino Linotype" w:cs="Tahoma"/>
          <w:sz w:val="22"/>
          <w:szCs w:val="22"/>
        </w:rPr>
        <w:t xml:space="preserve"> </w:t>
      </w:r>
      <w:r w:rsidR="001028FC" w:rsidRPr="001028FC">
        <w:rPr>
          <w:rFonts w:ascii="Palatino Linotype" w:eastAsia="Calibri" w:hAnsi="Palatino Linotype" w:cs="Tahoma"/>
          <w:iCs/>
          <w:sz w:val="22"/>
          <w:szCs w:val="22"/>
          <w:lang w:eastAsia="en-US"/>
        </w:rPr>
        <w:t xml:space="preserve">Se </w:t>
      </w:r>
      <w:r w:rsidR="001028FC" w:rsidRPr="001028FC">
        <w:rPr>
          <w:rFonts w:ascii="Palatino Linotype" w:eastAsia="Calibri" w:hAnsi="Palatino Linotype" w:cs="Tahoma"/>
          <w:b/>
          <w:bCs/>
          <w:iCs/>
          <w:sz w:val="22"/>
          <w:szCs w:val="22"/>
          <w:lang w:eastAsia="en-US"/>
        </w:rPr>
        <w:t xml:space="preserve">SOBRESEE </w:t>
      </w:r>
      <w:r w:rsidR="001028FC" w:rsidRPr="001028FC">
        <w:rPr>
          <w:rFonts w:ascii="Palatino Linotype" w:eastAsia="Calibri" w:hAnsi="Palatino Linotype" w:cs="Tahoma"/>
          <w:iCs/>
          <w:sz w:val="22"/>
          <w:szCs w:val="22"/>
          <w:lang w:eastAsia="en-US"/>
        </w:rPr>
        <w:t>el Recurso de Revisión con número</w:t>
      </w:r>
      <w:r w:rsidR="001028FC">
        <w:rPr>
          <w:rFonts w:ascii="Palatino Linotype" w:eastAsia="Calibri" w:hAnsi="Palatino Linotype" w:cs="Tahoma"/>
          <w:b/>
          <w:bCs/>
          <w:iCs/>
          <w:sz w:val="22"/>
          <w:szCs w:val="22"/>
          <w:lang w:eastAsia="en-US"/>
        </w:rPr>
        <w:t xml:space="preserve"> </w:t>
      </w:r>
      <w:r w:rsidR="001028FC" w:rsidRPr="001028FC">
        <w:rPr>
          <w:rFonts w:ascii="Palatino Linotype" w:eastAsia="Calibri" w:hAnsi="Palatino Linotype" w:cs="Tahoma"/>
          <w:b/>
          <w:bCs/>
          <w:iCs/>
          <w:sz w:val="22"/>
          <w:szCs w:val="22"/>
          <w:lang w:eastAsia="en-US"/>
        </w:rPr>
        <w:t>0</w:t>
      </w:r>
      <w:r w:rsidR="001028FC">
        <w:rPr>
          <w:rFonts w:ascii="Palatino Linotype" w:eastAsia="Calibri" w:hAnsi="Palatino Linotype" w:cs="Tahoma"/>
          <w:b/>
          <w:bCs/>
          <w:iCs/>
          <w:sz w:val="22"/>
          <w:szCs w:val="22"/>
          <w:lang w:eastAsia="en-US"/>
        </w:rPr>
        <w:t>5411</w:t>
      </w:r>
      <w:r w:rsidR="001028FC" w:rsidRPr="001028FC">
        <w:rPr>
          <w:rFonts w:ascii="Palatino Linotype" w:eastAsia="Calibri" w:hAnsi="Palatino Linotype" w:cs="Tahoma"/>
          <w:b/>
          <w:bCs/>
          <w:iCs/>
          <w:sz w:val="22"/>
          <w:szCs w:val="22"/>
          <w:lang w:eastAsia="en-US"/>
        </w:rPr>
        <w:t xml:space="preserve">/INFOEM/IP/RR/2021, </w:t>
      </w:r>
      <w:r w:rsidR="001028FC" w:rsidRPr="001028FC">
        <w:rPr>
          <w:rFonts w:ascii="Palatino Linotype" w:eastAsia="Calibri" w:hAnsi="Palatino Linotype" w:cs="Tahoma"/>
          <w:iCs/>
          <w:sz w:val="22"/>
          <w:szCs w:val="22"/>
          <w:lang w:eastAsia="en-US"/>
        </w:rPr>
        <w:t>porque el Sujeto Obligado, al modificar la respuesta a la solicitud de acceso a la información con número</w:t>
      </w:r>
      <w:r w:rsidR="001028FC" w:rsidRPr="001028FC">
        <w:rPr>
          <w:rFonts w:ascii="Palatino Linotype" w:eastAsia="Calibri" w:hAnsi="Palatino Linotype" w:cs="Tahoma"/>
          <w:b/>
          <w:bCs/>
          <w:iCs/>
          <w:sz w:val="22"/>
          <w:szCs w:val="22"/>
          <w:lang w:eastAsia="en-US"/>
        </w:rPr>
        <w:t xml:space="preserve"> </w:t>
      </w:r>
      <w:r w:rsidR="001028FC">
        <w:rPr>
          <w:rFonts w:ascii="Palatino Linotype" w:hAnsi="Palatino Linotype" w:cs="Tahoma"/>
          <w:sz w:val="22"/>
          <w:szCs w:val="22"/>
        </w:rPr>
        <w:t>00919/INFOEM/IP/2021</w:t>
      </w:r>
      <w:r w:rsidR="001028FC" w:rsidRPr="001028FC">
        <w:rPr>
          <w:rFonts w:ascii="Palatino Linotype" w:eastAsia="Calibri" w:hAnsi="Palatino Linotype" w:cs="Tahoma"/>
          <w:bCs/>
          <w:iCs/>
          <w:sz w:val="22"/>
          <w:szCs w:val="22"/>
          <w:lang w:eastAsia="en-US"/>
        </w:rPr>
        <w:t>,</w:t>
      </w:r>
      <w:r w:rsidR="001028FC" w:rsidRPr="001028FC">
        <w:rPr>
          <w:rFonts w:ascii="Palatino Linotype" w:eastAsia="Calibri" w:hAnsi="Palatino Linotype" w:cs="Tahoma"/>
          <w:b/>
          <w:bCs/>
          <w:iCs/>
          <w:sz w:val="22"/>
          <w:szCs w:val="22"/>
          <w:lang w:eastAsia="en-US"/>
        </w:rPr>
        <w:t xml:space="preserve"> </w:t>
      </w:r>
      <w:r w:rsidR="001028FC" w:rsidRPr="001028FC">
        <w:rPr>
          <w:rFonts w:ascii="Palatino Linotype" w:eastAsia="Calibri" w:hAnsi="Palatino Linotype" w:cs="Tahoma"/>
          <w:iCs/>
          <w:sz w:val="22"/>
          <w:szCs w:val="22"/>
          <w:lang w:eastAsia="en-US"/>
        </w:rPr>
        <w:t>el Medio de Impugnación, quedó sin materia, en términos de los Considerandos</w:t>
      </w:r>
      <w:r w:rsidR="001028FC" w:rsidRPr="001028FC">
        <w:rPr>
          <w:rFonts w:ascii="Palatino Linotype" w:eastAsia="Calibri" w:hAnsi="Palatino Linotype" w:cs="Tahoma"/>
          <w:b/>
          <w:bCs/>
          <w:iCs/>
          <w:sz w:val="22"/>
          <w:szCs w:val="22"/>
          <w:lang w:eastAsia="en-US"/>
        </w:rPr>
        <w:t xml:space="preserve"> TERCERO y CUARTO </w:t>
      </w:r>
      <w:r w:rsidR="001028FC" w:rsidRPr="001028FC">
        <w:rPr>
          <w:rFonts w:ascii="Palatino Linotype" w:eastAsia="Calibri" w:hAnsi="Palatino Linotype" w:cs="Tahoma"/>
          <w:iCs/>
          <w:sz w:val="22"/>
          <w:szCs w:val="22"/>
          <w:lang w:eastAsia="en-US"/>
        </w:rPr>
        <w:t>de la presente Resolución.</w:t>
      </w:r>
    </w:p>
    <w:p w14:paraId="0E49A736" w14:textId="77777777" w:rsidR="001028FC" w:rsidRPr="001028FC" w:rsidRDefault="001028FC" w:rsidP="001028FC">
      <w:pPr>
        <w:spacing w:line="360" w:lineRule="auto"/>
        <w:jc w:val="both"/>
        <w:rPr>
          <w:rFonts w:ascii="Palatino Linotype" w:eastAsia="Calibri" w:hAnsi="Palatino Linotype" w:cs="Tahoma"/>
          <w:b/>
          <w:bCs/>
          <w:i/>
          <w:iCs/>
          <w:sz w:val="22"/>
          <w:szCs w:val="22"/>
          <w:lang w:eastAsia="en-US"/>
        </w:rPr>
      </w:pPr>
    </w:p>
    <w:p w14:paraId="3AA06CCD" w14:textId="77777777" w:rsidR="001028FC" w:rsidRPr="001028FC" w:rsidRDefault="001028FC" w:rsidP="001028FC">
      <w:pPr>
        <w:spacing w:line="360" w:lineRule="auto"/>
        <w:jc w:val="both"/>
        <w:rPr>
          <w:rFonts w:ascii="Palatino Linotype" w:eastAsia="Calibri" w:hAnsi="Palatino Linotype" w:cs="Tahoma"/>
          <w:b/>
          <w:bCs/>
          <w:iCs/>
          <w:sz w:val="22"/>
          <w:szCs w:val="22"/>
          <w:lang w:eastAsia="en-US"/>
        </w:rPr>
      </w:pPr>
      <w:r w:rsidRPr="001028FC">
        <w:rPr>
          <w:rFonts w:ascii="Palatino Linotype" w:eastAsia="Calibri" w:hAnsi="Palatino Linotype" w:cs="Tahoma"/>
          <w:b/>
          <w:bCs/>
          <w:iCs/>
          <w:sz w:val="22"/>
          <w:szCs w:val="22"/>
          <w:lang w:eastAsia="en-US"/>
        </w:rPr>
        <w:t xml:space="preserve">SEGUNDO. NOTIFÍQUESE </w:t>
      </w:r>
      <w:r w:rsidRPr="001028FC">
        <w:rPr>
          <w:rFonts w:ascii="Palatino Linotype" w:eastAsia="Calibri" w:hAnsi="Palatino Linotype" w:cs="Tahoma"/>
          <w:iCs/>
          <w:sz w:val="22"/>
          <w:szCs w:val="22"/>
          <w:lang w:eastAsia="en-US"/>
        </w:rPr>
        <w:t>la presente Resolución al Titular de la Unidad de Transparencia del Sujeto Obligado.</w:t>
      </w:r>
    </w:p>
    <w:p w14:paraId="377AD86E" w14:textId="77777777" w:rsidR="001028FC" w:rsidRPr="001028FC" w:rsidRDefault="001028FC" w:rsidP="001028FC">
      <w:pPr>
        <w:spacing w:line="360" w:lineRule="auto"/>
        <w:jc w:val="both"/>
        <w:rPr>
          <w:rFonts w:ascii="Palatino Linotype" w:eastAsia="Calibri" w:hAnsi="Palatino Linotype" w:cs="Tahoma"/>
          <w:b/>
          <w:bCs/>
          <w:i/>
          <w:iCs/>
          <w:sz w:val="22"/>
          <w:szCs w:val="22"/>
          <w:lang w:eastAsia="en-US"/>
        </w:rPr>
      </w:pPr>
    </w:p>
    <w:p w14:paraId="7ECDB346" w14:textId="52B21D4E" w:rsidR="001028FC" w:rsidRPr="001028FC" w:rsidRDefault="001028FC" w:rsidP="00913079">
      <w:pPr>
        <w:spacing w:line="360" w:lineRule="auto"/>
        <w:jc w:val="both"/>
        <w:rPr>
          <w:rFonts w:ascii="Palatino Linotype" w:eastAsia="Calibri" w:hAnsi="Palatino Linotype" w:cs="Tahoma"/>
          <w:iCs/>
          <w:sz w:val="22"/>
          <w:szCs w:val="22"/>
          <w:lang w:eastAsia="en-US"/>
        </w:rPr>
      </w:pPr>
      <w:r w:rsidRPr="001028FC">
        <w:rPr>
          <w:rFonts w:ascii="Palatino Linotype" w:eastAsia="Calibri" w:hAnsi="Palatino Linotype" w:cs="Tahoma"/>
          <w:b/>
          <w:bCs/>
          <w:iCs/>
          <w:sz w:val="22"/>
          <w:szCs w:val="22"/>
          <w:lang w:eastAsia="en-US"/>
        </w:rPr>
        <w:t xml:space="preserve">TERCERO. NOTIFÍQUESE </w:t>
      </w:r>
      <w:r w:rsidRPr="001028FC">
        <w:rPr>
          <w:rFonts w:ascii="Palatino Linotype" w:eastAsia="Calibri" w:hAnsi="Palatino Linotype" w:cs="Tahoma"/>
          <w:iCs/>
          <w:sz w:val="22"/>
          <w:szCs w:val="22"/>
          <w:lang w:eastAsia="en-US"/>
        </w:rPr>
        <w:t xml:space="preserve">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w:t>
      </w:r>
      <w:r w:rsidR="00913079" w:rsidRPr="00913079">
        <w:rPr>
          <w:rFonts w:ascii="Palatino Linotype" w:eastAsia="Calibri" w:hAnsi="Palatino Linotype" w:cs="Tahoma"/>
          <w:iCs/>
          <w:sz w:val="22"/>
          <w:szCs w:val="22"/>
          <w:lang w:eastAsia="en-US"/>
        </w:rPr>
        <w:t>aplicables, o, promover Recurso</w:t>
      </w:r>
      <w:r w:rsidR="00913079">
        <w:rPr>
          <w:rFonts w:ascii="Palatino Linotype" w:eastAsia="Calibri" w:hAnsi="Palatino Linotype" w:cs="Tahoma"/>
          <w:iCs/>
          <w:sz w:val="22"/>
          <w:szCs w:val="22"/>
          <w:lang w:eastAsia="en-US"/>
        </w:rPr>
        <w:t xml:space="preserve"> </w:t>
      </w:r>
      <w:r w:rsidR="00913079" w:rsidRPr="00913079">
        <w:rPr>
          <w:rFonts w:ascii="Palatino Linotype" w:eastAsia="Calibri" w:hAnsi="Palatino Linotype" w:cs="Tahoma"/>
          <w:iCs/>
          <w:sz w:val="22"/>
          <w:szCs w:val="22"/>
          <w:lang w:eastAsia="en-US"/>
        </w:rPr>
        <w:t>de Inconformidad, en términos de los artículos 159 y 160, fracción I, de la Ley General de</w:t>
      </w:r>
      <w:r w:rsidR="00913079">
        <w:rPr>
          <w:rFonts w:ascii="Palatino Linotype" w:eastAsia="Calibri" w:hAnsi="Palatino Linotype" w:cs="Tahoma"/>
          <w:iCs/>
          <w:sz w:val="22"/>
          <w:szCs w:val="22"/>
          <w:lang w:eastAsia="en-US"/>
        </w:rPr>
        <w:t xml:space="preserve"> </w:t>
      </w:r>
      <w:r w:rsidR="00913079" w:rsidRPr="00913079">
        <w:rPr>
          <w:rFonts w:ascii="Palatino Linotype" w:eastAsia="Calibri" w:hAnsi="Palatino Linotype" w:cs="Tahoma"/>
          <w:iCs/>
          <w:sz w:val="22"/>
          <w:szCs w:val="22"/>
          <w:lang w:eastAsia="en-US"/>
        </w:rPr>
        <w:t>Transparencia y Acceso a la Información Pública.</w:t>
      </w:r>
    </w:p>
    <w:p w14:paraId="6CC77099" w14:textId="77777777" w:rsidR="001028FC" w:rsidRDefault="001028FC" w:rsidP="00261A45">
      <w:pPr>
        <w:autoSpaceDE w:val="0"/>
        <w:autoSpaceDN w:val="0"/>
        <w:adjustRightInd w:val="0"/>
        <w:spacing w:line="360" w:lineRule="auto"/>
        <w:ind w:right="-28"/>
        <w:jc w:val="both"/>
        <w:rPr>
          <w:rFonts w:ascii="Palatino Linotype" w:hAnsi="Palatino Linotype" w:cs="Tahoma"/>
          <w:sz w:val="22"/>
          <w:szCs w:val="22"/>
        </w:rPr>
      </w:pPr>
    </w:p>
    <w:bookmarkEnd w:id="9"/>
    <w:p w14:paraId="409BB239" w14:textId="6CABB9BD" w:rsidR="00AF3DAB" w:rsidRDefault="00440331" w:rsidP="00AF3DAB">
      <w:pPr>
        <w:spacing w:line="360" w:lineRule="auto"/>
        <w:contextualSpacing/>
        <w:jc w:val="both"/>
        <w:rPr>
          <w:rFonts w:ascii="Palatino Linotype" w:eastAsia="Calibri" w:hAnsi="Palatino Linotype" w:cs="Tahoma"/>
          <w:bCs/>
          <w:iCs/>
          <w:color w:val="000000"/>
          <w:sz w:val="22"/>
          <w:szCs w:val="22"/>
          <w:lang w:eastAsia="en-US"/>
        </w:rPr>
      </w:pPr>
      <w:r w:rsidRPr="00440331">
        <w:rPr>
          <w:rFonts w:ascii="Palatino Linotype" w:hAnsi="Palatino Linotype" w:cs="Tahoma"/>
          <w:sz w:val="22"/>
          <w:szCs w:val="22"/>
          <w:lang w:val="es-ES" w:eastAsia="es-MX"/>
        </w:rPr>
        <w:t xml:space="preserve">ASÍ LO RESUELVE, POR </w:t>
      </w:r>
      <w:r w:rsidRPr="00440331">
        <w:rPr>
          <w:rFonts w:ascii="Palatino Linotype" w:hAnsi="Palatino Linotype" w:cs="Tahoma"/>
          <w:b/>
          <w:bCs/>
          <w:sz w:val="22"/>
          <w:szCs w:val="22"/>
          <w:lang w:val="es-ES" w:eastAsia="es-MX"/>
        </w:rPr>
        <w:t>UNANIMIDAD</w:t>
      </w:r>
      <w:r w:rsidRPr="00440331">
        <w:rPr>
          <w:rFonts w:ascii="Palatino Linotype" w:hAnsi="Palatino Linotype" w:cs="Tahoma"/>
          <w:sz w:val="22"/>
          <w:szCs w:val="22"/>
          <w:lang w:val="es-ES"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1028FC">
        <w:rPr>
          <w:rFonts w:ascii="Palatino Linotype" w:hAnsi="Palatino Linotype" w:cs="Tahoma"/>
          <w:sz w:val="22"/>
          <w:szCs w:val="22"/>
          <w:lang w:val="es-ES" w:eastAsia="es-MX"/>
        </w:rPr>
        <w:t xml:space="preserve"> (AUSENCIA JUSTIFICADA)</w:t>
      </w:r>
      <w:r w:rsidRPr="00440331">
        <w:rPr>
          <w:rFonts w:ascii="Palatino Linotype" w:hAnsi="Palatino Linotype" w:cs="Tahoma"/>
          <w:sz w:val="22"/>
          <w:szCs w:val="22"/>
          <w:lang w:val="es-ES" w:eastAsia="es-MX"/>
        </w:rPr>
        <w:t xml:space="preserve">, LUIS GUSTAVO PARRA NORIEGA </w:t>
      </w:r>
      <w:r>
        <w:rPr>
          <w:rFonts w:ascii="Palatino Linotype" w:hAnsi="Palatino Linotype" w:cs="Tahoma"/>
          <w:sz w:val="22"/>
          <w:szCs w:val="22"/>
          <w:lang w:val="es-ES" w:eastAsia="es-MX"/>
        </w:rPr>
        <w:t xml:space="preserve">CON VOTO PARTICULAR </w:t>
      </w:r>
      <w:r w:rsidRPr="00440331">
        <w:rPr>
          <w:rFonts w:ascii="Palatino Linotype" w:hAnsi="Palatino Linotype" w:cs="Tahoma"/>
          <w:sz w:val="22"/>
          <w:szCs w:val="22"/>
          <w:lang w:val="es-ES" w:eastAsia="es-MX"/>
        </w:rPr>
        <w:t xml:space="preserve">Y GUADALUPE RAMÍREZ PEÑA, EN LA </w:t>
      </w:r>
      <w:r w:rsidR="001028FC">
        <w:rPr>
          <w:rFonts w:ascii="Palatino Linotype" w:hAnsi="Palatino Linotype" w:cs="Tahoma"/>
          <w:sz w:val="22"/>
          <w:szCs w:val="22"/>
          <w:lang w:val="es-ES" w:eastAsia="es-MX"/>
        </w:rPr>
        <w:t>CUARTA</w:t>
      </w:r>
      <w:r w:rsidRPr="00440331">
        <w:rPr>
          <w:rFonts w:ascii="Palatino Linotype" w:hAnsi="Palatino Linotype" w:cs="Tahoma"/>
          <w:sz w:val="22"/>
          <w:szCs w:val="22"/>
          <w:lang w:val="es-ES" w:eastAsia="es-MX"/>
        </w:rPr>
        <w:t xml:space="preserve"> SESIÓN ORDINARIA, CELEBRADA EL </w:t>
      </w:r>
      <w:r w:rsidR="00504D3C">
        <w:rPr>
          <w:rFonts w:ascii="Palatino Linotype" w:hAnsi="Palatino Linotype" w:cs="Tahoma"/>
          <w:sz w:val="22"/>
          <w:szCs w:val="22"/>
          <w:lang w:val="es-ES" w:eastAsia="es-MX"/>
        </w:rPr>
        <w:t>CUATRO</w:t>
      </w:r>
      <w:r w:rsidR="001028FC">
        <w:rPr>
          <w:rFonts w:ascii="Palatino Linotype" w:hAnsi="Palatino Linotype" w:cs="Tahoma"/>
          <w:sz w:val="22"/>
          <w:szCs w:val="22"/>
          <w:lang w:val="es-ES" w:eastAsia="es-MX"/>
        </w:rPr>
        <w:t xml:space="preserve"> DE FEBRERO</w:t>
      </w:r>
      <w:r w:rsidRPr="00440331">
        <w:rPr>
          <w:rFonts w:ascii="Palatino Linotype" w:hAnsi="Palatino Linotype" w:cs="Tahoma"/>
          <w:sz w:val="22"/>
          <w:szCs w:val="22"/>
          <w:lang w:val="es-ES" w:eastAsia="es-MX"/>
        </w:rPr>
        <w:t xml:space="preserve"> DE DOS MIL VEINTIDÓS, ANTE EL SECRETARIO TÉCNICO DEL PLENO, ALEXIS TAPIA RAMÍREZ</w:t>
      </w:r>
      <w:r w:rsidR="001028FC">
        <w:rPr>
          <w:rFonts w:ascii="Palatino Linotype" w:hAnsi="Palatino Linotype" w:cs="Tahoma"/>
          <w:sz w:val="22"/>
          <w:szCs w:val="22"/>
          <w:lang w:val="es-ES" w:eastAsia="es-MX"/>
        </w:rPr>
        <w:t>.</w:t>
      </w:r>
      <w:r w:rsidR="00AF3DAB">
        <w:rPr>
          <w:rFonts w:ascii="Palatino Linotype" w:eastAsia="Calibri" w:hAnsi="Palatino Linotype" w:cs="Tahoma"/>
          <w:bCs/>
          <w:iCs/>
          <w:color w:val="000000"/>
          <w:sz w:val="22"/>
          <w:szCs w:val="22"/>
          <w:lang w:eastAsia="en-US"/>
        </w:rPr>
        <w:br w:type="page"/>
      </w:r>
    </w:p>
    <w:p w14:paraId="32A72681" w14:textId="77777777" w:rsidR="0087367C" w:rsidRPr="00AF3DAB" w:rsidRDefault="0087367C" w:rsidP="00CD7DE8">
      <w:pPr>
        <w:spacing w:line="360" w:lineRule="auto"/>
        <w:contextualSpacing/>
        <w:jc w:val="both"/>
        <w:rPr>
          <w:rFonts w:ascii="Palatino Linotype" w:eastAsia="Calibri" w:hAnsi="Palatino Linotype" w:cs="Tahoma"/>
          <w:bCs/>
          <w:iCs/>
          <w:color w:val="000000"/>
          <w:sz w:val="22"/>
          <w:szCs w:val="22"/>
          <w:lang w:eastAsia="en-US"/>
        </w:rPr>
      </w:pPr>
    </w:p>
    <w:sectPr w:rsidR="0087367C" w:rsidRPr="00AF3DAB" w:rsidSect="00F1285A">
      <w:headerReference w:type="even" r:id="rId32"/>
      <w:headerReference w:type="default" r:id="rId33"/>
      <w:footerReference w:type="default" r:id="rId34"/>
      <w:headerReference w:type="first" r:id="rId35"/>
      <w:footerReference w:type="first" r:id="rId36"/>
      <w:type w:val="continuous"/>
      <w:pgSz w:w="12240" w:h="15840"/>
      <w:pgMar w:top="80" w:right="1608" w:bottom="1418" w:left="1588" w:header="709" w:footer="9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5B0A6" w14:textId="77777777" w:rsidR="006C3467" w:rsidRDefault="006C3467" w:rsidP="00B31222">
      <w:r>
        <w:separator/>
      </w:r>
    </w:p>
  </w:endnote>
  <w:endnote w:type="continuationSeparator" w:id="0">
    <w:p w14:paraId="1A270D96" w14:textId="77777777" w:rsidR="006C3467" w:rsidRDefault="006C3467"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156707"/>
      <w:docPartObj>
        <w:docPartGallery w:val="Page Numbers (Bottom of Page)"/>
        <w:docPartUnique/>
      </w:docPartObj>
    </w:sdtPr>
    <w:sdtEndPr/>
    <w:sdtContent>
      <w:sdt>
        <w:sdtPr>
          <w:id w:val="-1769616900"/>
          <w:docPartObj>
            <w:docPartGallery w:val="Page Numbers (Top of Page)"/>
            <w:docPartUnique/>
          </w:docPartObj>
        </w:sdtPr>
        <w:sdtEndPr/>
        <w:sdtContent>
          <w:p w14:paraId="11FF7C34" w14:textId="415F1E92" w:rsidR="009C5BB3" w:rsidRDefault="009C5BB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19</w:t>
            </w:r>
            <w:r>
              <w:rPr>
                <w:b/>
                <w:bCs/>
                <w:sz w:val="24"/>
                <w:szCs w:val="24"/>
              </w:rPr>
              <w:fldChar w:fldCharType="end"/>
            </w:r>
          </w:p>
        </w:sdtContent>
      </w:sdt>
    </w:sdtContent>
  </w:sdt>
  <w:p w14:paraId="2637F45B" w14:textId="77777777" w:rsidR="009C5BB3" w:rsidRDefault="009C5B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27CAB63" w14:textId="61874F73" w:rsidR="009C5BB3" w:rsidRDefault="009C5BB3">
            <w:pPr>
              <w:pStyle w:val="Piedepgina"/>
              <w:jc w:val="right"/>
            </w:pPr>
          </w:p>
          <w:p w14:paraId="63C7D70B" w14:textId="77777777" w:rsidR="009C5BB3" w:rsidRDefault="009C5BB3">
            <w:pPr>
              <w:pStyle w:val="Piedepgina"/>
              <w:jc w:val="right"/>
            </w:pPr>
          </w:p>
          <w:p w14:paraId="0491B849" w14:textId="77777777" w:rsidR="009C5BB3" w:rsidRDefault="009C5BB3">
            <w:pPr>
              <w:pStyle w:val="Piedepgina"/>
              <w:jc w:val="right"/>
            </w:pPr>
          </w:p>
          <w:p w14:paraId="65578296" w14:textId="2756B46D" w:rsidR="009C5BB3" w:rsidRDefault="009C5BB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19</w:t>
            </w:r>
            <w:r>
              <w:rPr>
                <w:b/>
                <w:bCs/>
                <w:sz w:val="24"/>
                <w:szCs w:val="24"/>
              </w:rPr>
              <w:fldChar w:fldCharType="end"/>
            </w:r>
          </w:p>
        </w:sdtContent>
      </w:sdt>
    </w:sdtContent>
  </w:sdt>
  <w:p w14:paraId="75B99463" w14:textId="77777777" w:rsidR="009C5BB3" w:rsidRDefault="009C5B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A5096" w14:textId="77777777" w:rsidR="006C3467" w:rsidRDefault="006C3467" w:rsidP="00B31222">
      <w:r>
        <w:separator/>
      </w:r>
    </w:p>
  </w:footnote>
  <w:footnote w:type="continuationSeparator" w:id="0">
    <w:p w14:paraId="0B97BB12" w14:textId="77777777" w:rsidR="006C3467" w:rsidRDefault="006C3467"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B1279" w14:textId="74DCBF8F" w:rsidR="009C5BB3" w:rsidRDefault="003522CF">
    <w:pPr>
      <w:pStyle w:val="Encabezado"/>
    </w:pPr>
    <w:r>
      <w:rPr>
        <w:noProof/>
        <w:lang w:eastAsia="es-MX"/>
      </w:rPr>
      <w:pict w14:anchorId="2FAAA9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2" o:spid="_x0000_s1027" type="#_x0000_t75" alt="marcaaguaINFOEM" style="position:absolute;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aguaINFOEM"/>
          <w10:wrap anchorx="margin" anchory="margin"/>
        </v:shape>
      </w:pict>
    </w:r>
  </w:p>
  <w:p w14:paraId="1C930381" w14:textId="77777777" w:rsidR="009C5BB3" w:rsidRDefault="009C5BB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1"/>
      <w:gridCol w:w="4395"/>
    </w:tblGrid>
    <w:tr w:rsidR="009C5BB3" w14:paraId="5293DE37" w14:textId="77777777" w:rsidTr="00FA4A90">
      <w:trPr>
        <w:trHeight w:val="144"/>
      </w:trPr>
      <w:tc>
        <w:tcPr>
          <w:tcW w:w="2551" w:type="dxa"/>
          <w:vAlign w:val="bottom"/>
        </w:tcPr>
        <w:p w14:paraId="7AF80103" w14:textId="59EF163A" w:rsidR="009C5BB3" w:rsidRPr="00026EBB" w:rsidRDefault="009C5BB3" w:rsidP="003F6415">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4395" w:type="dxa"/>
        </w:tcPr>
        <w:p w14:paraId="174BD0BF" w14:textId="1DBB22EB" w:rsidR="009C5BB3" w:rsidRPr="00D3618F" w:rsidRDefault="009C5BB3" w:rsidP="0097466F">
          <w:pPr>
            <w:tabs>
              <w:tab w:val="right" w:pos="8838"/>
            </w:tabs>
            <w:jc w:val="both"/>
            <w:rPr>
              <w:rFonts w:ascii="Palatino Linotype" w:eastAsia="Calibri" w:hAnsi="Palatino Linotype" w:cs="Tahoma"/>
              <w:sz w:val="22"/>
              <w:szCs w:val="22"/>
              <w:lang w:eastAsia="en-US"/>
            </w:rPr>
          </w:pPr>
          <w:r w:rsidRPr="00D3618F">
            <w:rPr>
              <w:rFonts w:ascii="Palatino Linotype" w:eastAsia="Calibri" w:hAnsi="Palatino Linotype" w:cs="Tahoma"/>
              <w:sz w:val="22"/>
              <w:szCs w:val="22"/>
              <w:lang w:val="es-MX" w:eastAsia="en-US"/>
            </w:rPr>
            <w:t>0</w:t>
          </w:r>
          <w:r>
            <w:rPr>
              <w:rFonts w:ascii="Palatino Linotype" w:eastAsia="Calibri" w:hAnsi="Palatino Linotype" w:cs="Tahoma"/>
              <w:sz w:val="22"/>
              <w:szCs w:val="22"/>
              <w:lang w:val="es-MX" w:eastAsia="en-US"/>
            </w:rPr>
            <w:t>5411/INFOEM/IP/RR/2021</w:t>
          </w:r>
          <w:r w:rsidRPr="00D3618F">
            <w:rPr>
              <w:rFonts w:ascii="Palatino Linotype" w:eastAsia="Calibri" w:hAnsi="Palatino Linotype" w:cs="Tahoma"/>
              <w:sz w:val="22"/>
              <w:szCs w:val="22"/>
              <w:lang w:val="es-MX" w:eastAsia="en-US"/>
            </w:rPr>
            <w:t xml:space="preserve"> </w:t>
          </w:r>
        </w:p>
      </w:tc>
    </w:tr>
    <w:tr w:rsidR="009C5BB3" w14:paraId="07F8E559" w14:textId="77777777" w:rsidTr="00FA4A90">
      <w:trPr>
        <w:trHeight w:val="144"/>
      </w:trPr>
      <w:tc>
        <w:tcPr>
          <w:tcW w:w="2551" w:type="dxa"/>
        </w:tcPr>
        <w:p w14:paraId="0DC0D1FB" w14:textId="77777777" w:rsidR="009C5BB3" w:rsidRPr="00026EBB" w:rsidRDefault="009C5BB3" w:rsidP="003F6415">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4395" w:type="dxa"/>
        </w:tcPr>
        <w:p w14:paraId="3944302C" w14:textId="2AAC7720" w:rsidR="009C5BB3" w:rsidRPr="00026EBB" w:rsidRDefault="009C5BB3" w:rsidP="009F789C">
          <w:pPr>
            <w:tabs>
              <w:tab w:val="right" w:pos="8838"/>
            </w:tabs>
            <w:jc w:val="both"/>
            <w:rPr>
              <w:rFonts w:ascii="Palatino Linotype" w:eastAsia="Calibri" w:hAnsi="Palatino Linotype" w:cs="Tahoma"/>
              <w:sz w:val="22"/>
              <w:szCs w:val="22"/>
              <w:lang w:val="es-MX" w:eastAsia="en-US"/>
            </w:rPr>
          </w:pPr>
          <w:r w:rsidRPr="0097466F">
            <w:rPr>
              <w:rFonts w:ascii="Palatino Linotype" w:eastAsia="Calibri" w:hAnsi="Palatino Linotype" w:cs="Tahoma"/>
              <w:sz w:val="22"/>
              <w:szCs w:val="22"/>
              <w:lang w:eastAsia="en-US"/>
            </w:rPr>
            <w:t>Instituto de Transparencia, Acceso a la Información Pública y Protección de Datos Personales del Estado de México y Municipios</w:t>
          </w:r>
        </w:p>
      </w:tc>
    </w:tr>
    <w:tr w:rsidR="009C5BB3" w14:paraId="0E623641" w14:textId="77777777" w:rsidTr="00FA4A90">
      <w:trPr>
        <w:trHeight w:val="138"/>
      </w:trPr>
      <w:tc>
        <w:tcPr>
          <w:tcW w:w="2551" w:type="dxa"/>
        </w:tcPr>
        <w:p w14:paraId="7283473E" w14:textId="77777777" w:rsidR="009C5BB3" w:rsidRPr="00026EBB" w:rsidRDefault="009C5BB3" w:rsidP="003F6415">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395" w:type="dxa"/>
        </w:tcPr>
        <w:p w14:paraId="4B7A920B" w14:textId="77777777" w:rsidR="009C5BB3" w:rsidRDefault="009C5BB3" w:rsidP="003F6415">
          <w:pPr>
            <w:tabs>
              <w:tab w:val="right" w:pos="8838"/>
            </w:tabs>
            <w:jc w:val="both"/>
            <w:rPr>
              <w:rFonts w:ascii="Palatino Linotype" w:eastAsia="Calibri" w:hAnsi="Palatino Linotype" w:cs="Tahoma"/>
              <w:sz w:val="22"/>
              <w:szCs w:val="22"/>
              <w:lang w:val="es-MX" w:eastAsia="en-US"/>
            </w:rPr>
          </w:pPr>
          <w:r w:rsidRPr="00026EBB">
            <w:rPr>
              <w:rFonts w:ascii="Palatino Linotype" w:eastAsia="Calibri" w:hAnsi="Palatino Linotype" w:cs="Tahoma"/>
              <w:sz w:val="22"/>
              <w:szCs w:val="22"/>
              <w:lang w:val="es-MX" w:eastAsia="en-US"/>
            </w:rPr>
            <w:t>Luis Gustavo Parra Noriega</w:t>
          </w:r>
        </w:p>
        <w:p w14:paraId="31511367" w14:textId="26F977ED" w:rsidR="009C5BB3" w:rsidRPr="00026EBB" w:rsidRDefault="009C5BB3" w:rsidP="003F6415">
          <w:pPr>
            <w:tabs>
              <w:tab w:val="right" w:pos="8838"/>
            </w:tabs>
            <w:jc w:val="both"/>
            <w:rPr>
              <w:rFonts w:ascii="Palatino Linotype" w:eastAsia="Calibri" w:hAnsi="Palatino Linotype" w:cs="Tahoma"/>
              <w:b/>
              <w:sz w:val="22"/>
              <w:szCs w:val="22"/>
              <w:lang w:val="es-MX" w:eastAsia="en-US"/>
            </w:rPr>
          </w:pPr>
        </w:p>
      </w:tc>
    </w:tr>
  </w:tbl>
  <w:p w14:paraId="5173184F" w14:textId="38418CC2" w:rsidR="009C5BB3" w:rsidRPr="004B7285" w:rsidRDefault="003522CF" w:rsidP="004B7285">
    <w:pPr>
      <w:pStyle w:val="Encabezado"/>
      <w:rPr>
        <w:sz w:val="14"/>
      </w:rPr>
    </w:pPr>
    <w:r>
      <w:rPr>
        <w:noProof/>
        <w:sz w:val="14"/>
        <w:lang w:eastAsia="es-MX"/>
      </w:rPr>
      <w:pict w14:anchorId="51500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3" o:spid="_x0000_s1026" type="#_x0000_t75" alt="marcaaguaINFOEM" style="position:absolute;margin-left:-82.4pt;margin-top:-134.65pt;width:663.5pt;height:12in;z-index:-251656192;mso-wrap-edited:f;mso-width-percent:0;mso-height-percent:0;mso-position-horizontal-relative:margin;mso-position-vertical-relative:margin;mso-width-percent:0;mso-height-percent:0" o:allowincell="f">
          <v:imagedata r:id="rId1" o:title="marcaaguaINFOE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087"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4677"/>
    </w:tblGrid>
    <w:tr w:rsidR="009C5BB3" w:rsidRPr="00264223" w14:paraId="4FD3E646" w14:textId="77777777" w:rsidTr="00A4023D">
      <w:trPr>
        <w:trHeight w:val="284"/>
      </w:trPr>
      <w:tc>
        <w:tcPr>
          <w:tcW w:w="2410" w:type="dxa"/>
          <w:vAlign w:val="bottom"/>
        </w:tcPr>
        <w:p w14:paraId="6C3F733B" w14:textId="082196B1" w:rsidR="009C5BB3" w:rsidRPr="00D3618F" w:rsidRDefault="009C5BB3" w:rsidP="00D3618F">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Recurso de Revisión:</w:t>
          </w:r>
        </w:p>
      </w:tc>
      <w:tc>
        <w:tcPr>
          <w:tcW w:w="4677" w:type="dxa"/>
        </w:tcPr>
        <w:p w14:paraId="461510A7" w14:textId="77777777" w:rsidR="009C5BB3" w:rsidRPr="003842FD" w:rsidRDefault="009C5BB3" w:rsidP="009F789C">
          <w:pPr>
            <w:tabs>
              <w:tab w:val="right" w:pos="8838"/>
            </w:tabs>
            <w:ind w:left="-28"/>
            <w:jc w:val="both"/>
            <w:rPr>
              <w:rFonts w:ascii="Palatino Linotype" w:eastAsia="Calibri" w:hAnsi="Palatino Linotype" w:cs="Tahoma"/>
              <w:sz w:val="4"/>
              <w:szCs w:val="4"/>
              <w:lang w:eastAsia="en-US"/>
            </w:rPr>
          </w:pPr>
        </w:p>
        <w:p w14:paraId="123981B6" w14:textId="77777777" w:rsidR="009C5BB3" w:rsidRPr="00C11FAF" w:rsidRDefault="009C5BB3" w:rsidP="00F77239">
          <w:pPr>
            <w:tabs>
              <w:tab w:val="right" w:pos="8838"/>
            </w:tabs>
            <w:ind w:left="-28"/>
            <w:jc w:val="both"/>
            <w:rPr>
              <w:rFonts w:ascii="Palatino Linotype" w:eastAsia="Calibri" w:hAnsi="Palatino Linotype" w:cs="Tahoma"/>
              <w:sz w:val="6"/>
              <w:szCs w:val="6"/>
              <w:lang w:eastAsia="en-US"/>
            </w:rPr>
          </w:pPr>
        </w:p>
        <w:p w14:paraId="59348B61" w14:textId="7AFF14F6" w:rsidR="009C5BB3" w:rsidRPr="00D3618F" w:rsidRDefault="009C5BB3" w:rsidP="0097466F">
          <w:pPr>
            <w:tabs>
              <w:tab w:val="right" w:pos="8838"/>
            </w:tabs>
            <w:ind w:left="-28"/>
            <w:jc w:val="both"/>
            <w:rPr>
              <w:rFonts w:ascii="Palatino Linotype" w:eastAsia="Calibri" w:hAnsi="Palatino Linotype" w:cs="Tahoma"/>
              <w:sz w:val="22"/>
              <w:szCs w:val="22"/>
              <w:lang w:eastAsia="en-US"/>
            </w:rPr>
          </w:pPr>
          <w:r w:rsidRPr="00D3618F">
            <w:rPr>
              <w:rFonts w:ascii="Palatino Linotype" w:eastAsia="Calibri" w:hAnsi="Palatino Linotype" w:cs="Tahoma"/>
              <w:sz w:val="22"/>
              <w:szCs w:val="22"/>
              <w:lang w:eastAsia="en-US"/>
            </w:rPr>
            <w:t>0</w:t>
          </w:r>
          <w:r>
            <w:rPr>
              <w:rFonts w:ascii="Palatino Linotype" w:eastAsia="Calibri" w:hAnsi="Palatino Linotype" w:cs="Tahoma"/>
              <w:sz w:val="22"/>
              <w:szCs w:val="22"/>
              <w:lang w:eastAsia="en-US"/>
            </w:rPr>
            <w:t>5411/INFOEM/IP/RR/2021</w:t>
          </w:r>
        </w:p>
      </w:tc>
    </w:tr>
    <w:tr w:rsidR="009C5BB3" w:rsidRPr="00264223" w14:paraId="6D1DD158" w14:textId="77777777" w:rsidTr="00A4023D">
      <w:trPr>
        <w:trHeight w:val="104"/>
      </w:trPr>
      <w:tc>
        <w:tcPr>
          <w:tcW w:w="2410" w:type="dxa"/>
        </w:tcPr>
        <w:p w14:paraId="0F35E3B3" w14:textId="77777777" w:rsidR="009C5BB3" w:rsidRPr="00D3618F" w:rsidRDefault="009C5BB3" w:rsidP="00D3618F">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Recurrente:</w:t>
          </w:r>
        </w:p>
      </w:tc>
      <w:tc>
        <w:tcPr>
          <w:tcW w:w="4677" w:type="dxa"/>
        </w:tcPr>
        <w:p w14:paraId="216CFC75" w14:textId="00E5FD7F" w:rsidR="009C5BB3" w:rsidRPr="00960890" w:rsidRDefault="009C5BB3" w:rsidP="00D3618F">
          <w:pPr>
            <w:tabs>
              <w:tab w:val="right" w:pos="8838"/>
            </w:tabs>
            <w:jc w:val="both"/>
            <w:rPr>
              <w:rFonts w:ascii="Palatino Linotype" w:eastAsia="Calibri" w:hAnsi="Palatino Linotype" w:cs="Tahoma"/>
              <w:sz w:val="22"/>
              <w:szCs w:val="22"/>
              <w:lang w:val="es-MX" w:eastAsia="en-US"/>
            </w:rPr>
          </w:pPr>
        </w:p>
      </w:tc>
    </w:tr>
    <w:tr w:rsidR="009C5BB3" w:rsidRPr="00264223" w14:paraId="702544B7" w14:textId="77777777" w:rsidTr="00A4023D">
      <w:trPr>
        <w:trHeight w:val="234"/>
      </w:trPr>
      <w:tc>
        <w:tcPr>
          <w:tcW w:w="2410" w:type="dxa"/>
        </w:tcPr>
        <w:p w14:paraId="2BF509B1" w14:textId="77777777" w:rsidR="009C5BB3" w:rsidRPr="00D3618F" w:rsidRDefault="009C5BB3" w:rsidP="00D3618F">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Sujeto Obligado:</w:t>
          </w:r>
        </w:p>
      </w:tc>
      <w:tc>
        <w:tcPr>
          <w:tcW w:w="4677" w:type="dxa"/>
        </w:tcPr>
        <w:p w14:paraId="7281945A" w14:textId="7B2D0ED7" w:rsidR="009C5BB3" w:rsidRPr="00D3618F" w:rsidRDefault="009C5BB3" w:rsidP="009F789C">
          <w:pPr>
            <w:tabs>
              <w:tab w:val="right" w:pos="8838"/>
            </w:tabs>
            <w:jc w:val="both"/>
            <w:rPr>
              <w:rFonts w:ascii="Palatino Linotype" w:eastAsia="Calibri" w:hAnsi="Palatino Linotype" w:cs="Tahoma"/>
              <w:sz w:val="22"/>
              <w:szCs w:val="22"/>
              <w:lang w:val="es-MX" w:eastAsia="en-US"/>
            </w:rPr>
          </w:pPr>
          <w:r w:rsidRPr="0097466F">
            <w:rPr>
              <w:rFonts w:ascii="Palatino Linotype" w:eastAsia="Calibri" w:hAnsi="Palatino Linotype" w:cs="Tahoma"/>
              <w:sz w:val="22"/>
              <w:szCs w:val="22"/>
              <w:lang w:val="es-MX" w:eastAsia="en-US"/>
            </w:rPr>
            <w:t>Instituto de Transparencia, Acceso a la Información Pública y Protección de Datos Personales del Estado de México y Municipios</w:t>
          </w:r>
        </w:p>
      </w:tc>
    </w:tr>
    <w:tr w:rsidR="009C5BB3" w:rsidRPr="00264223" w14:paraId="6BF0DE15" w14:textId="77777777" w:rsidTr="00A4023D">
      <w:trPr>
        <w:trHeight w:val="234"/>
      </w:trPr>
      <w:tc>
        <w:tcPr>
          <w:tcW w:w="2410" w:type="dxa"/>
        </w:tcPr>
        <w:p w14:paraId="60CA22C7" w14:textId="77777777" w:rsidR="009C5BB3" w:rsidRPr="00D3618F" w:rsidRDefault="009C5BB3" w:rsidP="00D3618F">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Comisionado Ponente:</w:t>
          </w:r>
        </w:p>
      </w:tc>
      <w:tc>
        <w:tcPr>
          <w:tcW w:w="4677" w:type="dxa"/>
        </w:tcPr>
        <w:p w14:paraId="45A527B3" w14:textId="77777777" w:rsidR="009C5BB3" w:rsidRPr="00D3618F" w:rsidRDefault="009C5BB3" w:rsidP="00D3618F">
          <w:pPr>
            <w:tabs>
              <w:tab w:val="right" w:pos="8838"/>
            </w:tabs>
            <w:rPr>
              <w:rFonts w:ascii="Palatino Linotype" w:eastAsia="Calibri" w:hAnsi="Palatino Linotype" w:cs="Tahoma"/>
              <w:sz w:val="22"/>
              <w:szCs w:val="22"/>
              <w:lang w:val="es-MX" w:eastAsia="en-US"/>
            </w:rPr>
          </w:pPr>
          <w:r w:rsidRPr="00D3618F">
            <w:rPr>
              <w:rFonts w:ascii="Palatino Linotype" w:eastAsia="Calibri" w:hAnsi="Palatino Linotype" w:cs="Tahoma"/>
              <w:sz w:val="22"/>
              <w:szCs w:val="22"/>
              <w:lang w:val="es-MX" w:eastAsia="en-US"/>
            </w:rPr>
            <w:t>Luis Gustavo Parra Noriega</w:t>
          </w:r>
        </w:p>
      </w:tc>
    </w:tr>
  </w:tbl>
  <w:p w14:paraId="7ED64CF1" w14:textId="78810767" w:rsidR="009C5BB3" w:rsidRDefault="003522CF">
    <w:r>
      <w:rPr>
        <w:noProof/>
        <w:lang w:eastAsia="es-MX"/>
      </w:rPr>
      <w:pict w14:anchorId="195FE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1" o:spid="_x0000_s1025" type="#_x0000_t75" alt="marcaaguaINFOEM" style="position:absolute;margin-left:-94.8pt;margin-top:-132.2pt;width:663.5pt;height:12in;z-index:-251658240;mso-wrap-edited:f;mso-width-percent:0;mso-height-percent:0;mso-position-horizontal-relative:margin;mso-position-vertical-relative:margin;mso-width-percent:0;mso-height-percent:0" o:allowincell="f">
          <v:imagedata r:id="rId1" o:title="marcaaguaINFOEM"/>
          <w10:wrap anchorx="margin" anchory="margin"/>
        </v:shape>
      </w:pict>
    </w:r>
  </w:p>
  <w:p w14:paraId="4B0F3367" w14:textId="77777777" w:rsidR="009C5BB3" w:rsidRDefault="009C5B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DC0153"/>
    <w:multiLevelType w:val="hybridMultilevel"/>
    <w:tmpl w:val="DA962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4A459B"/>
    <w:multiLevelType w:val="hybridMultilevel"/>
    <w:tmpl w:val="1A629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15:restartNumberingAfterBreak="0">
    <w:nsid w:val="13C76E96"/>
    <w:multiLevelType w:val="hybridMultilevel"/>
    <w:tmpl w:val="68863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7F619A"/>
    <w:multiLevelType w:val="hybridMultilevel"/>
    <w:tmpl w:val="6374E5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680B3E"/>
    <w:multiLevelType w:val="hybridMultilevel"/>
    <w:tmpl w:val="DCEE2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E2715B"/>
    <w:multiLevelType w:val="hybridMultilevel"/>
    <w:tmpl w:val="99E20FC2"/>
    <w:lvl w:ilvl="0" w:tplc="080A0017">
      <w:start w:val="1"/>
      <w:numFmt w:val="lowerLetter"/>
      <w:lvlText w:val="%1)"/>
      <w:lvlJc w:val="left"/>
      <w:pPr>
        <w:ind w:left="2062" w:hanging="360"/>
      </w:pPr>
    </w:lvl>
    <w:lvl w:ilvl="1" w:tplc="080A0019" w:tentative="1">
      <w:start w:val="1"/>
      <w:numFmt w:val="lowerLetter"/>
      <w:lvlText w:val="%2."/>
      <w:lvlJc w:val="left"/>
      <w:pPr>
        <w:ind w:left="2782" w:hanging="360"/>
      </w:pPr>
    </w:lvl>
    <w:lvl w:ilvl="2" w:tplc="080A001B" w:tentative="1">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12" w15:restartNumberingAfterBreak="0">
    <w:nsid w:val="2D7C257D"/>
    <w:multiLevelType w:val="hybridMultilevel"/>
    <w:tmpl w:val="D732453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B50355"/>
    <w:multiLevelType w:val="hybridMultilevel"/>
    <w:tmpl w:val="E6F631AA"/>
    <w:lvl w:ilvl="0" w:tplc="BCE08220">
      <w:start w:val="1"/>
      <w:numFmt w:val="decimal"/>
      <w:lvlText w:val="%1."/>
      <w:lvlJc w:val="left"/>
      <w:pPr>
        <w:ind w:left="822" w:hanging="360"/>
      </w:pPr>
      <w:rPr>
        <w:rFonts w:ascii="Calibri" w:eastAsia="Calibri" w:hAnsi="Calibri" w:cs="Calibri" w:hint="default"/>
        <w:w w:val="100"/>
        <w:sz w:val="22"/>
        <w:szCs w:val="22"/>
        <w:lang w:val="es-ES" w:eastAsia="en-US" w:bidi="ar-SA"/>
      </w:rPr>
    </w:lvl>
    <w:lvl w:ilvl="1" w:tplc="7A7C6E08">
      <w:numFmt w:val="bullet"/>
      <w:lvlText w:val="•"/>
      <w:lvlJc w:val="left"/>
      <w:pPr>
        <w:ind w:left="1644" w:hanging="360"/>
      </w:pPr>
      <w:rPr>
        <w:rFonts w:hint="default"/>
        <w:lang w:val="es-ES" w:eastAsia="en-US" w:bidi="ar-SA"/>
      </w:rPr>
    </w:lvl>
    <w:lvl w:ilvl="2" w:tplc="B5260E36">
      <w:numFmt w:val="bullet"/>
      <w:lvlText w:val="•"/>
      <w:lvlJc w:val="left"/>
      <w:pPr>
        <w:ind w:left="2468" w:hanging="360"/>
      </w:pPr>
      <w:rPr>
        <w:rFonts w:hint="default"/>
        <w:lang w:val="es-ES" w:eastAsia="en-US" w:bidi="ar-SA"/>
      </w:rPr>
    </w:lvl>
    <w:lvl w:ilvl="3" w:tplc="8ACEA098">
      <w:numFmt w:val="bullet"/>
      <w:lvlText w:val="•"/>
      <w:lvlJc w:val="left"/>
      <w:pPr>
        <w:ind w:left="3292" w:hanging="360"/>
      </w:pPr>
      <w:rPr>
        <w:rFonts w:hint="default"/>
        <w:lang w:val="es-ES" w:eastAsia="en-US" w:bidi="ar-SA"/>
      </w:rPr>
    </w:lvl>
    <w:lvl w:ilvl="4" w:tplc="5D1A4004">
      <w:numFmt w:val="bullet"/>
      <w:lvlText w:val="•"/>
      <w:lvlJc w:val="left"/>
      <w:pPr>
        <w:ind w:left="4116" w:hanging="360"/>
      </w:pPr>
      <w:rPr>
        <w:rFonts w:hint="default"/>
        <w:lang w:val="es-ES" w:eastAsia="en-US" w:bidi="ar-SA"/>
      </w:rPr>
    </w:lvl>
    <w:lvl w:ilvl="5" w:tplc="5E86BE20">
      <w:numFmt w:val="bullet"/>
      <w:lvlText w:val="•"/>
      <w:lvlJc w:val="left"/>
      <w:pPr>
        <w:ind w:left="4940" w:hanging="360"/>
      </w:pPr>
      <w:rPr>
        <w:rFonts w:hint="default"/>
        <w:lang w:val="es-ES" w:eastAsia="en-US" w:bidi="ar-SA"/>
      </w:rPr>
    </w:lvl>
    <w:lvl w:ilvl="6" w:tplc="423439CC">
      <w:numFmt w:val="bullet"/>
      <w:lvlText w:val="•"/>
      <w:lvlJc w:val="left"/>
      <w:pPr>
        <w:ind w:left="5764" w:hanging="360"/>
      </w:pPr>
      <w:rPr>
        <w:rFonts w:hint="default"/>
        <w:lang w:val="es-ES" w:eastAsia="en-US" w:bidi="ar-SA"/>
      </w:rPr>
    </w:lvl>
    <w:lvl w:ilvl="7" w:tplc="D384F34C">
      <w:numFmt w:val="bullet"/>
      <w:lvlText w:val="•"/>
      <w:lvlJc w:val="left"/>
      <w:pPr>
        <w:ind w:left="6588" w:hanging="360"/>
      </w:pPr>
      <w:rPr>
        <w:rFonts w:hint="default"/>
        <w:lang w:val="es-ES" w:eastAsia="en-US" w:bidi="ar-SA"/>
      </w:rPr>
    </w:lvl>
    <w:lvl w:ilvl="8" w:tplc="564617E6">
      <w:numFmt w:val="bullet"/>
      <w:lvlText w:val="•"/>
      <w:lvlJc w:val="left"/>
      <w:pPr>
        <w:ind w:left="7412" w:hanging="360"/>
      </w:pPr>
      <w:rPr>
        <w:rFonts w:hint="default"/>
        <w:lang w:val="es-ES" w:eastAsia="en-US" w:bidi="ar-SA"/>
      </w:rPr>
    </w:lvl>
  </w:abstractNum>
  <w:abstractNum w:abstractNumId="14" w15:restartNumberingAfterBreak="0">
    <w:nsid w:val="3ADE2373"/>
    <w:multiLevelType w:val="hybridMultilevel"/>
    <w:tmpl w:val="43CC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09B466B"/>
    <w:multiLevelType w:val="hybridMultilevel"/>
    <w:tmpl w:val="69903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587416"/>
    <w:multiLevelType w:val="hybridMultilevel"/>
    <w:tmpl w:val="8702C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1D7A1B"/>
    <w:multiLevelType w:val="hybridMultilevel"/>
    <w:tmpl w:val="A6C0A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A71508"/>
    <w:multiLevelType w:val="hybridMultilevel"/>
    <w:tmpl w:val="0F0A6A34"/>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51BC6475"/>
    <w:multiLevelType w:val="hybridMultilevel"/>
    <w:tmpl w:val="327AC4CE"/>
    <w:lvl w:ilvl="0" w:tplc="F3B282B0">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2" w15:restartNumberingAfterBreak="0">
    <w:nsid w:val="538A2D01"/>
    <w:multiLevelType w:val="hybridMultilevel"/>
    <w:tmpl w:val="8CC4D2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6BD61D1"/>
    <w:multiLevelType w:val="hybridMultilevel"/>
    <w:tmpl w:val="C4C67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8A1721D"/>
    <w:multiLevelType w:val="hybridMultilevel"/>
    <w:tmpl w:val="4522A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952DF3"/>
    <w:multiLevelType w:val="hybridMultilevel"/>
    <w:tmpl w:val="06006E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F9F2F3D"/>
    <w:multiLevelType w:val="hybridMultilevel"/>
    <w:tmpl w:val="3DA0AD8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82339A"/>
    <w:multiLevelType w:val="hybridMultilevel"/>
    <w:tmpl w:val="D47884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665B783D"/>
    <w:multiLevelType w:val="hybridMultilevel"/>
    <w:tmpl w:val="30BAA1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950650D"/>
    <w:multiLevelType w:val="hybridMultilevel"/>
    <w:tmpl w:val="E0002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1" w15:restartNumberingAfterBreak="0">
    <w:nsid w:val="717D107A"/>
    <w:multiLevelType w:val="hybridMultilevel"/>
    <w:tmpl w:val="BCBAB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84126A"/>
    <w:multiLevelType w:val="hybridMultilevel"/>
    <w:tmpl w:val="704EE8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9B0EB7"/>
    <w:multiLevelType w:val="hybridMultilevel"/>
    <w:tmpl w:val="513CFBF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4"/>
  </w:num>
  <w:num w:numId="4">
    <w:abstractNumId w:val="15"/>
  </w:num>
  <w:num w:numId="5">
    <w:abstractNumId w:val="2"/>
  </w:num>
  <w:num w:numId="6">
    <w:abstractNumId w:val="9"/>
  </w:num>
  <w:num w:numId="7">
    <w:abstractNumId w:val="32"/>
  </w:num>
  <w:num w:numId="8">
    <w:abstractNumId w:val="33"/>
  </w:num>
  <w:num w:numId="9">
    <w:abstractNumId w:val="12"/>
  </w:num>
  <w:num w:numId="10">
    <w:abstractNumId w:val="18"/>
  </w:num>
  <w:num w:numId="11">
    <w:abstractNumId w:val="19"/>
  </w:num>
  <w:num w:numId="12">
    <w:abstractNumId w:val="23"/>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
  </w:num>
  <w:num w:numId="16">
    <w:abstractNumId w:val="28"/>
  </w:num>
  <w:num w:numId="17">
    <w:abstractNumId w:val="11"/>
  </w:num>
  <w:num w:numId="18">
    <w:abstractNumId w:val="25"/>
  </w:num>
  <w:num w:numId="19">
    <w:abstractNumId w:val="13"/>
  </w:num>
  <w:num w:numId="20">
    <w:abstractNumId w:val="17"/>
  </w:num>
  <w:num w:numId="21">
    <w:abstractNumId w:val="26"/>
  </w:num>
  <w:num w:numId="22">
    <w:abstractNumId w:val="3"/>
  </w:num>
  <w:num w:numId="23">
    <w:abstractNumId w:val="8"/>
  </w:num>
  <w:num w:numId="24">
    <w:abstractNumId w:val="16"/>
  </w:num>
  <w:num w:numId="25">
    <w:abstractNumId w:val="31"/>
  </w:num>
  <w:num w:numId="26">
    <w:abstractNumId w:val="6"/>
  </w:num>
  <w:num w:numId="27">
    <w:abstractNumId w:val="35"/>
  </w:num>
  <w:num w:numId="28">
    <w:abstractNumId w:val="7"/>
  </w:num>
  <w:num w:numId="29">
    <w:abstractNumId w:val="29"/>
  </w:num>
  <w:num w:numId="30">
    <w:abstractNumId w:val="24"/>
  </w:num>
  <w:num w:numId="31">
    <w:abstractNumId w:val="14"/>
  </w:num>
  <w:num w:numId="32">
    <w:abstractNumId w:val="4"/>
  </w:num>
  <w:num w:numId="33">
    <w:abstractNumId w:val="5"/>
  </w:num>
  <w:num w:numId="34">
    <w:abstractNumId w:val="22"/>
  </w:num>
  <w:num w:numId="35">
    <w:abstractNumId w:val="20"/>
  </w:num>
  <w:num w:numId="36">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1BE"/>
    <w:rsid w:val="000027EB"/>
    <w:rsid w:val="0000328D"/>
    <w:rsid w:val="0000485A"/>
    <w:rsid w:val="00004DF1"/>
    <w:rsid w:val="0000512B"/>
    <w:rsid w:val="00006543"/>
    <w:rsid w:val="00010E18"/>
    <w:rsid w:val="00011AF5"/>
    <w:rsid w:val="00013A19"/>
    <w:rsid w:val="00014465"/>
    <w:rsid w:val="0001559E"/>
    <w:rsid w:val="00017019"/>
    <w:rsid w:val="00020FAA"/>
    <w:rsid w:val="000212E5"/>
    <w:rsid w:val="00021C64"/>
    <w:rsid w:val="00023837"/>
    <w:rsid w:val="0002405C"/>
    <w:rsid w:val="000241C5"/>
    <w:rsid w:val="00026EBB"/>
    <w:rsid w:val="00027CA1"/>
    <w:rsid w:val="000313A7"/>
    <w:rsid w:val="000313C2"/>
    <w:rsid w:val="000316CB"/>
    <w:rsid w:val="00032F5B"/>
    <w:rsid w:val="00033B8E"/>
    <w:rsid w:val="00034E9D"/>
    <w:rsid w:val="00035A90"/>
    <w:rsid w:val="0003645D"/>
    <w:rsid w:val="000373BC"/>
    <w:rsid w:val="00037B34"/>
    <w:rsid w:val="00037F4B"/>
    <w:rsid w:val="0004168D"/>
    <w:rsid w:val="00041F0F"/>
    <w:rsid w:val="00043C4B"/>
    <w:rsid w:val="0004646B"/>
    <w:rsid w:val="00046977"/>
    <w:rsid w:val="000475E4"/>
    <w:rsid w:val="00047889"/>
    <w:rsid w:val="00047D67"/>
    <w:rsid w:val="00050DF6"/>
    <w:rsid w:val="00051A65"/>
    <w:rsid w:val="00051C89"/>
    <w:rsid w:val="00052121"/>
    <w:rsid w:val="000528E6"/>
    <w:rsid w:val="00053EBE"/>
    <w:rsid w:val="000551C1"/>
    <w:rsid w:val="00055782"/>
    <w:rsid w:val="00056B1A"/>
    <w:rsid w:val="00057236"/>
    <w:rsid w:val="0006017B"/>
    <w:rsid w:val="00060978"/>
    <w:rsid w:val="00063366"/>
    <w:rsid w:val="00063CA0"/>
    <w:rsid w:val="000717D3"/>
    <w:rsid w:val="00073274"/>
    <w:rsid w:val="000813B0"/>
    <w:rsid w:val="0008148B"/>
    <w:rsid w:val="0008165E"/>
    <w:rsid w:val="00081C8C"/>
    <w:rsid w:val="00081E61"/>
    <w:rsid w:val="00082F59"/>
    <w:rsid w:val="00086B27"/>
    <w:rsid w:val="00087B93"/>
    <w:rsid w:val="000930AE"/>
    <w:rsid w:val="00093D95"/>
    <w:rsid w:val="00094124"/>
    <w:rsid w:val="000959D5"/>
    <w:rsid w:val="00097211"/>
    <w:rsid w:val="0009793B"/>
    <w:rsid w:val="000A1961"/>
    <w:rsid w:val="000A20A4"/>
    <w:rsid w:val="000A2275"/>
    <w:rsid w:val="000A2389"/>
    <w:rsid w:val="000A238F"/>
    <w:rsid w:val="000A2C7C"/>
    <w:rsid w:val="000A7211"/>
    <w:rsid w:val="000B0B4E"/>
    <w:rsid w:val="000B1D37"/>
    <w:rsid w:val="000B2C93"/>
    <w:rsid w:val="000B36DD"/>
    <w:rsid w:val="000B523A"/>
    <w:rsid w:val="000B5711"/>
    <w:rsid w:val="000B6020"/>
    <w:rsid w:val="000B6349"/>
    <w:rsid w:val="000B691A"/>
    <w:rsid w:val="000C2283"/>
    <w:rsid w:val="000C27CA"/>
    <w:rsid w:val="000C46DF"/>
    <w:rsid w:val="000C5210"/>
    <w:rsid w:val="000C5940"/>
    <w:rsid w:val="000C59CB"/>
    <w:rsid w:val="000C6D13"/>
    <w:rsid w:val="000D0B08"/>
    <w:rsid w:val="000D0CE1"/>
    <w:rsid w:val="000D199C"/>
    <w:rsid w:val="000D2122"/>
    <w:rsid w:val="000D514C"/>
    <w:rsid w:val="000D71F7"/>
    <w:rsid w:val="000E087D"/>
    <w:rsid w:val="000E0BEA"/>
    <w:rsid w:val="000E33AA"/>
    <w:rsid w:val="000E67E4"/>
    <w:rsid w:val="000F24C8"/>
    <w:rsid w:val="000F2FF0"/>
    <w:rsid w:val="000F3DA0"/>
    <w:rsid w:val="000F4876"/>
    <w:rsid w:val="000F555D"/>
    <w:rsid w:val="000F57B1"/>
    <w:rsid w:val="000F7A45"/>
    <w:rsid w:val="000F7FD8"/>
    <w:rsid w:val="00100BAC"/>
    <w:rsid w:val="001017B7"/>
    <w:rsid w:val="001028FC"/>
    <w:rsid w:val="001034C6"/>
    <w:rsid w:val="00103D64"/>
    <w:rsid w:val="001049B0"/>
    <w:rsid w:val="00104ADB"/>
    <w:rsid w:val="001057BC"/>
    <w:rsid w:val="00106127"/>
    <w:rsid w:val="00107D2F"/>
    <w:rsid w:val="001133D5"/>
    <w:rsid w:val="00114068"/>
    <w:rsid w:val="001150E9"/>
    <w:rsid w:val="001224BA"/>
    <w:rsid w:val="00127757"/>
    <w:rsid w:val="00127E51"/>
    <w:rsid w:val="00130F33"/>
    <w:rsid w:val="00131BEC"/>
    <w:rsid w:val="00132A80"/>
    <w:rsid w:val="00132F95"/>
    <w:rsid w:val="00135F5A"/>
    <w:rsid w:val="001373A9"/>
    <w:rsid w:val="001424FE"/>
    <w:rsid w:val="001426E4"/>
    <w:rsid w:val="00142762"/>
    <w:rsid w:val="0014307A"/>
    <w:rsid w:val="00144D0B"/>
    <w:rsid w:val="00146080"/>
    <w:rsid w:val="00147566"/>
    <w:rsid w:val="001478DA"/>
    <w:rsid w:val="001507FD"/>
    <w:rsid w:val="00151053"/>
    <w:rsid w:val="00151442"/>
    <w:rsid w:val="00151FBB"/>
    <w:rsid w:val="0015211F"/>
    <w:rsid w:val="00153259"/>
    <w:rsid w:val="0015590E"/>
    <w:rsid w:val="00155F96"/>
    <w:rsid w:val="00156408"/>
    <w:rsid w:val="00156A6B"/>
    <w:rsid w:val="00156E5D"/>
    <w:rsid w:val="00157FAC"/>
    <w:rsid w:val="00161DF9"/>
    <w:rsid w:val="00161ED0"/>
    <w:rsid w:val="00162801"/>
    <w:rsid w:val="00162CCE"/>
    <w:rsid w:val="00165891"/>
    <w:rsid w:val="00167281"/>
    <w:rsid w:val="00170545"/>
    <w:rsid w:val="00171ADD"/>
    <w:rsid w:val="001720DD"/>
    <w:rsid w:val="00173688"/>
    <w:rsid w:val="0017459B"/>
    <w:rsid w:val="00175B2F"/>
    <w:rsid w:val="0017695F"/>
    <w:rsid w:val="001816A6"/>
    <w:rsid w:val="00182F0F"/>
    <w:rsid w:val="00183AF2"/>
    <w:rsid w:val="00183C9D"/>
    <w:rsid w:val="00183D24"/>
    <w:rsid w:val="001843F8"/>
    <w:rsid w:val="001851A6"/>
    <w:rsid w:val="001875A7"/>
    <w:rsid w:val="001875B7"/>
    <w:rsid w:val="001879E1"/>
    <w:rsid w:val="00190871"/>
    <w:rsid w:val="0019389B"/>
    <w:rsid w:val="00194314"/>
    <w:rsid w:val="00194582"/>
    <w:rsid w:val="0019576A"/>
    <w:rsid w:val="001967D7"/>
    <w:rsid w:val="001A1B88"/>
    <w:rsid w:val="001A1B94"/>
    <w:rsid w:val="001A2086"/>
    <w:rsid w:val="001A22F5"/>
    <w:rsid w:val="001A3D7C"/>
    <w:rsid w:val="001A7FD2"/>
    <w:rsid w:val="001B107D"/>
    <w:rsid w:val="001B2CD9"/>
    <w:rsid w:val="001B3581"/>
    <w:rsid w:val="001B3680"/>
    <w:rsid w:val="001B6049"/>
    <w:rsid w:val="001B62A0"/>
    <w:rsid w:val="001B790F"/>
    <w:rsid w:val="001B7D42"/>
    <w:rsid w:val="001C1264"/>
    <w:rsid w:val="001C282F"/>
    <w:rsid w:val="001C4E35"/>
    <w:rsid w:val="001C5D12"/>
    <w:rsid w:val="001C7DAE"/>
    <w:rsid w:val="001D0086"/>
    <w:rsid w:val="001D0094"/>
    <w:rsid w:val="001D0B67"/>
    <w:rsid w:val="001D1236"/>
    <w:rsid w:val="001D33B5"/>
    <w:rsid w:val="001D425D"/>
    <w:rsid w:val="001D7012"/>
    <w:rsid w:val="001D7BD2"/>
    <w:rsid w:val="001E1355"/>
    <w:rsid w:val="001E2177"/>
    <w:rsid w:val="001E2A4D"/>
    <w:rsid w:val="001E31E0"/>
    <w:rsid w:val="001E53C2"/>
    <w:rsid w:val="001E551B"/>
    <w:rsid w:val="001E5BCF"/>
    <w:rsid w:val="001F0E9C"/>
    <w:rsid w:val="001F1540"/>
    <w:rsid w:val="001F164B"/>
    <w:rsid w:val="001F352F"/>
    <w:rsid w:val="001F652C"/>
    <w:rsid w:val="001F739F"/>
    <w:rsid w:val="001F78D9"/>
    <w:rsid w:val="002020FC"/>
    <w:rsid w:val="00202DB8"/>
    <w:rsid w:val="00205503"/>
    <w:rsid w:val="00205B1E"/>
    <w:rsid w:val="00207736"/>
    <w:rsid w:val="00212460"/>
    <w:rsid w:val="0021577A"/>
    <w:rsid w:val="00215D0D"/>
    <w:rsid w:val="00217AEF"/>
    <w:rsid w:val="0022119B"/>
    <w:rsid w:val="00221576"/>
    <w:rsid w:val="00221EC9"/>
    <w:rsid w:val="00222511"/>
    <w:rsid w:val="00223ECD"/>
    <w:rsid w:val="002240FC"/>
    <w:rsid w:val="002241A6"/>
    <w:rsid w:val="002241E8"/>
    <w:rsid w:val="00224774"/>
    <w:rsid w:val="002247B0"/>
    <w:rsid w:val="00224F7A"/>
    <w:rsid w:val="00225152"/>
    <w:rsid w:val="00226633"/>
    <w:rsid w:val="00230E81"/>
    <w:rsid w:val="0023161F"/>
    <w:rsid w:val="00232673"/>
    <w:rsid w:val="00232890"/>
    <w:rsid w:val="00236863"/>
    <w:rsid w:val="00237B3E"/>
    <w:rsid w:val="00237C1F"/>
    <w:rsid w:val="00237D0D"/>
    <w:rsid w:val="0024089F"/>
    <w:rsid w:val="002433A4"/>
    <w:rsid w:val="002435DC"/>
    <w:rsid w:val="00247B17"/>
    <w:rsid w:val="00250389"/>
    <w:rsid w:val="00251F2E"/>
    <w:rsid w:val="00252669"/>
    <w:rsid w:val="002534FB"/>
    <w:rsid w:val="00254209"/>
    <w:rsid w:val="00254288"/>
    <w:rsid w:val="002545AA"/>
    <w:rsid w:val="0025469C"/>
    <w:rsid w:val="00255DE6"/>
    <w:rsid w:val="002579CE"/>
    <w:rsid w:val="00257F01"/>
    <w:rsid w:val="0026006C"/>
    <w:rsid w:val="00260D0F"/>
    <w:rsid w:val="00260FEC"/>
    <w:rsid w:val="00261A45"/>
    <w:rsid w:val="00261DD6"/>
    <w:rsid w:val="00264223"/>
    <w:rsid w:val="00264534"/>
    <w:rsid w:val="002657E2"/>
    <w:rsid w:val="0026609C"/>
    <w:rsid w:val="002705D2"/>
    <w:rsid w:val="002727CC"/>
    <w:rsid w:val="00273679"/>
    <w:rsid w:val="0028009F"/>
    <w:rsid w:val="0028090C"/>
    <w:rsid w:val="00281A35"/>
    <w:rsid w:val="00281D63"/>
    <w:rsid w:val="0028241A"/>
    <w:rsid w:val="00282D99"/>
    <w:rsid w:val="00283E90"/>
    <w:rsid w:val="00284486"/>
    <w:rsid w:val="00284BF6"/>
    <w:rsid w:val="00285644"/>
    <w:rsid w:val="0028581E"/>
    <w:rsid w:val="002921EB"/>
    <w:rsid w:val="0029246E"/>
    <w:rsid w:val="00292DE5"/>
    <w:rsid w:val="00293150"/>
    <w:rsid w:val="0029330C"/>
    <w:rsid w:val="00293491"/>
    <w:rsid w:val="00293A8C"/>
    <w:rsid w:val="002957CC"/>
    <w:rsid w:val="002A0FB8"/>
    <w:rsid w:val="002A1290"/>
    <w:rsid w:val="002A3B3C"/>
    <w:rsid w:val="002A5A94"/>
    <w:rsid w:val="002A6193"/>
    <w:rsid w:val="002A6E29"/>
    <w:rsid w:val="002A7BD4"/>
    <w:rsid w:val="002A7F32"/>
    <w:rsid w:val="002B20A1"/>
    <w:rsid w:val="002B2147"/>
    <w:rsid w:val="002B226E"/>
    <w:rsid w:val="002B46D4"/>
    <w:rsid w:val="002B4CA6"/>
    <w:rsid w:val="002B54CF"/>
    <w:rsid w:val="002C1274"/>
    <w:rsid w:val="002C1A9C"/>
    <w:rsid w:val="002C1B25"/>
    <w:rsid w:val="002C51F7"/>
    <w:rsid w:val="002C5F39"/>
    <w:rsid w:val="002D19BE"/>
    <w:rsid w:val="002D1BE4"/>
    <w:rsid w:val="002D2554"/>
    <w:rsid w:val="002D3C25"/>
    <w:rsid w:val="002D3FB8"/>
    <w:rsid w:val="002D5DDD"/>
    <w:rsid w:val="002D724D"/>
    <w:rsid w:val="002D7B5B"/>
    <w:rsid w:val="002E07C6"/>
    <w:rsid w:val="002E134F"/>
    <w:rsid w:val="002E3701"/>
    <w:rsid w:val="002E5015"/>
    <w:rsid w:val="002E5910"/>
    <w:rsid w:val="002E7ACF"/>
    <w:rsid w:val="002F0CE9"/>
    <w:rsid w:val="002F1820"/>
    <w:rsid w:val="002F18C3"/>
    <w:rsid w:val="002F199F"/>
    <w:rsid w:val="002F3691"/>
    <w:rsid w:val="002F3BD0"/>
    <w:rsid w:val="002F5B19"/>
    <w:rsid w:val="002F6EFD"/>
    <w:rsid w:val="002F7E3C"/>
    <w:rsid w:val="00300A0B"/>
    <w:rsid w:val="00300D70"/>
    <w:rsid w:val="00300D90"/>
    <w:rsid w:val="00301B76"/>
    <w:rsid w:val="00301F46"/>
    <w:rsid w:val="00302FE7"/>
    <w:rsid w:val="0030387B"/>
    <w:rsid w:val="00303CAD"/>
    <w:rsid w:val="00304689"/>
    <w:rsid w:val="003046FD"/>
    <w:rsid w:val="003053CA"/>
    <w:rsid w:val="00305CA6"/>
    <w:rsid w:val="00306418"/>
    <w:rsid w:val="0030726B"/>
    <w:rsid w:val="003100F3"/>
    <w:rsid w:val="00310C11"/>
    <w:rsid w:val="00312072"/>
    <w:rsid w:val="00313DEA"/>
    <w:rsid w:val="0031497C"/>
    <w:rsid w:val="00315492"/>
    <w:rsid w:val="00316600"/>
    <w:rsid w:val="00316AB7"/>
    <w:rsid w:val="003172EC"/>
    <w:rsid w:val="003201BA"/>
    <w:rsid w:val="0032170B"/>
    <w:rsid w:val="00321C94"/>
    <w:rsid w:val="00323325"/>
    <w:rsid w:val="003243B0"/>
    <w:rsid w:val="00325EC0"/>
    <w:rsid w:val="003337B6"/>
    <w:rsid w:val="003340EC"/>
    <w:rsid w:val="003350FF"/>
    <w:rsid w:val="00335DE5"/>
    <w:rsid w:val="0034057C"/>
    <w:rsid w:val="00343E36"/>
    <w:rsid w:val="00345BE7"/>
    <w:rsid w:val="0034711B"/>
    <w:rsid w:val="00350142"/>
    <w:rsid w:val="00350787"/>
    <w:rsid w:val="00351628"/>
    <w:rsid w:val="00351AA8"/>
    <w:rsid w:val="00351F58"/>
    <w:rsid w:val="003522CF"/>
    <w:rsid w:val="003526FB"/>
    <w:rsid w:val="00352791"/>
    <w:rsid w:val="003533B8"/>
    <w:rsid w:val="00353B6D"/>
    <w:rsid w:val="00354920"/>
    <w:rsid w:val="00355AA1"/>
    <w:rsid w:val="00355DC6"/>
    <w:rsid w:val="0036028D"/>
    <w:rsid w:val="003604D7"/>
    <w:rsid w:val="003609CA"/>
    <w:rsid w:val="00360D39"/>
    <w:rsid w:val="0036351E"/>
    <w:rsid w:val="00364521"/>
    <w:rsid w:val="00365026"/>
    <w:rsid w:val="00367F82"/>
    <w:rsid w:val="00370D29"/>
    <w:rsid w:val="003756AF"/>
    <w:rsid w:val="00375815"/>
    <w:rsid w:val="00376EC8"/>
    <w:rsid w:val="00380441"/>
    <w:rsid w:val="00380A6B"/>
    <w:rsid w:val="003816A3"/>
    <w:rsid w:val="00382696"/>
    <w:rsid w:val="0038405F"/>
    <w:rsid w:val="003842FD"/>
    <w:rsid w:val="0038438A"/>
    <w:rsid w:val="003864D2"/>
    <w:rsid w:val="00390249"/>
    <w:rsid w:val="00390BF8"/>
    <w:rsid w:val="00392082"/>
    <w:rsid w:val="00392877"/>
    <w:rsid w:val="00392E12"/>
    <w:rsid w:val="003944AC"/>
    <w:rsid w:val="00394645"/>
    <w:rsid w:val="00394D7E"/>
    <w:rsid w:val="00395650"/>
    <w:rsid w:val="003956E9"/>
    <w:rsid w:val="003965EC"/>
    <w:rsid w:val="00396BA0"/>
    <w:rsid w:val="003A0E17"/>
    <w:rsid w:val="003A111E"/>
    <w:rsid w:val="003A16D4"/>
    <w:rsid w:val="003A357E"/>
    <w:rsid w:val="003A626A"/>
    <w:rsid w:val="003A6757"/>
    <w:rsid w:val="003A6E62"/>
    <w:rsid w:val="003A78B5"/>
    <w:rsid w:val="003A7BAC"/>
    <w:rsid w:val="003A7BE8"/>
    <w:rsid w:val="003A7C85"/>
    <w:rsid w:val="003A7FBE"/>
    <w:rsid w:val="003B0D09"/>
    <w:rsid w:val="003B165A"/>
    <w:rsid w:val="003B2140"/>
    <w:rsid w:val="003B3EF3"/>
    <w:rsid w:val="003B51A0"/>
    <w:rsid w:val="003B5422"/>
    <w:rsid w:val="003B6C11"/>
    <w:rsid w:val="003C0AC2"/>
    <w:rsid w:val="003C1510"/>
    <w:rsid w:val="003C2478"/>
    <w:rsid w:val="003C28B8"/>
    <w:rsid w:val="003C2948"/>
    <w:rsid w:val="003C3768"/>
    <w:rsid w:val="003C4782"/>
    <w:rsid w:val="003C6934"/>
    <w:rsid w:val="003C6C3F"/>
    <w:rsid w:val="003C74F9"/>
    <w:rsid w:val="003C7827"/>
    <w:rsid w:val="003C7FD0"/>
    <w:rsid w:val="003D0268"/>
    <w:rsid w:val="003D0323"/>
    <w:rsid w:val="003D1A43"/>
    <w:rsid w:val="003D1A64"/>
    <w:rsid w:val="003D3757"/>
    <w:rsid w:val="003D37E4"/>
    <w:rsid w:val="003D3A9C"/>
    <w:rsid w:val="003E13A6"/>
    <w:rsid w:val="003E31E5"/>
    <w:rsid w:val="003E32ED"/>
    <w:rsid w:val="003E3A39"/>
    <w:rsid w:val="003E4693"/>
    <w:rsid w:val="003E56BD"/>
    <w:rsid w:val="003E58C9"/>
    <w:rsid w:val="003E79C7"/>
    <w:rsid w:val="003F12E0"/>
    <w:rsid w:val="003F204B"/>
    <w:rsid w:val="003F36D7"/>
    <w:rsid w:val="003F578D"/>
    <w:rsid w:val="003F6415"/>
    <w:rsid w:val="003F650B"/>
    <w:rsid w:val="003F67B8"/>
    <w:rsid w:val="003F7A60"/>
    <w:rsid w:val="003F7EDC"/>
    <w:rsid w:val="004004E9"/>
    <w:rsid w:val="00400FDE"/>
    <w:rsid w:val="00401071"/>
    <w:rsid w:val="00402109"/>
    <w:rsid w:val="00402595"/>
    <w:rsid w:val="004033A7"/>
    <w:rsid w:val="004052C5"/>
    <w:rsid w:val="00405671"/>
    <w:rsid w:val="00407074"/>
    <w:rsid w:val="004100AA"/>
    <w:rsid w:val="00412203"/>
    <w:rsid w:val="004130C7"/>
    <w:rsid w:val="00414815"/>
    <w:rsid w:val="0041563A"/>
    <w:rsid w:val="00417DE3"/>
    <w:rsid w:val="004203EE"/>
    <w:rsid w:val="00420B07"/>
    <w:rsid w:val="00422869"/>
    <w:rsid w:val="00426448"/>
    <w:rsid w:val="0043197C"/>
    <w:rsid w:val="0043257A"/>
    <w:rsid w:val="00436FD3"/>
    <w:rsid w:val="00440331"/>
    <w:rsid w:val="004406CF"/>
    <w:rsid w:val="00441804"/>
    <w:rsid w:val="0044293C"/>
    <w:rsid w:val="004435B4"/>
    <w:rsid w:val="00444335"/>
    <w:rsid w:val="0044446C"/>
    <w:rsid w:val="004471B4"/>
    <w:rsid w:val="00450248"/>
    <w:rsid w:val="004517E5"/>
    <w:rsid w:val="004520DF"/>
    <w:rsid w:val="0046048A"/>
    <w:rsid w:val="00461690"/>
    <w:rsid w:val="00462ED7"/>
    <w:rsid w:val="004631D5"/>
    <w:rsid w:val="00464C62"/>
    <w:rsid w:val="00466346"/>
    <w:rsid w:val="00471CCA"/>
    <w:rsid w:val="00472E5E"/>
    <w:rsid w:val="00473F17"/>
    <w:rsid w:val="004751D6"/>
    <w:rsid w:val="00476345"/>
    <w:rsid w:val="00477DBA"/>
    <w:rsid w:val="00477E20"/>
    <w:rsid w:val="00480BB8"/>
    <w:rsid w:val="00481674"/>
    <w:rsid w:val="00481D51"/>
    <w:rsid w:val="0048519E"/>
    <w:rsid w:val="00485EC7"/>
    <w:rsid w:val="00485F1D"/>
    <w:rsid w:val="004860BD"/>
    <w:rsid w:val="00487430"/>
    <w:rsid w:val="00492519"/>
    <w:rsid w:val="00492DCA"/>
    <w:rsid w:val="00493283"/>
    <w:rsid w:val="0049667A"/>
    <w:rsid w:val="004979A2"/>
    <w:rsid w:val="004A0A7B"/>
    <w:rsid w:val="004A0BB0"/>
    <w:rsid w:val="004A1167"/>
    <w:rsid w:val="004A1FE5"/>
    <w:rsid w:val="004A26CD"/>
    <w:rsid w:val="004A2A21"/>
    <w:rsid w:val="004A3584"/>
    <w:rsid w:val="004A5121"/>
    <w:rsid w:val="004A577A"/>
    <w:rsid w:val="004A7990"/>
    <w:rsid w:val="004A7F16"/>
    <w:rsid w:val="004B07A1"/>
    <w:rsid w:val="004B134D"/>
    <w:rsid w:val="004B1796"/>
    <w:rsid w:val="004B2C95"/>
    <w:rsid w:val="004B2DBA"/>
    <w:rsid w:val="004B368B"/>
    <w:rsid w:val="004B591D"/>
    <w:rsid w:val="004B6965"/>
    <w:rsid w:val="004B7285"/>
    <w:rsid w:val="004B7542"/>
    <w:rsid w:val="004C0059"/>
    <w:rsid w:val="004C37AA"/>
    <w:rsid w:val="004C4ACC"/>
    <w:rsid w:val="004C6AC1"/>
    <w:rsid w:val="004C7E83"/>
    <w:rsid w:val="004D2A6A"/>
    <w:rsid w:val="004D5893"/>
    <w:rsid w:val="004D5DB3"/>
    <w:rsid w:val="004E0096"/>
    <w:rsid w:val="004E345F"/>
    <w:rsid w:val="004E3545"/>
    <w:rsid w:val="004E41C7"/>
    <w:rsid w:val="004E58C3"/>
    <w:rsid w:val="004E5A21"/>
    <w:rsid w:val="004E7FE7"/>
    <w:rsid w:val="004F0865"/>
    <w:rsid w:val="004F2D88"/>
    <w:rsid w:val="004F41A2"/>
    <w:rsid w:val="004F432B"/>
    <w:rsid w:val="004F57EA"/>
    <w:rsid w:val="005001F3"/>
    <w:rsid w:val="005008D7"/>
    <w:rsid w:val="005022E9"/>
    <w:rsid w:val="0050434B"/>
    <w:rsid w:val="0050485B"/>
    <w:rsid w:val="00504D3C"/>
    <w:rsid w:val="005070C3"/>
    <w:rsid w:val="005113AD"/>
    <w:rsid w:val="005113FE"/>
    <w:rsid w:val="005124DC"/>
    <w:rsid w:val="00512F7F"/>
    <w:rsid w:val="00513CA7"/>
    <w:rsid w:val="00515991"/>
    <w:rsid w:val="00516141"/>
    <w:rsid w:val="005161A9"/>
    <w:rsid w:val="00521C93"/>
    <w:rsid w:val="005220BE"/>
    <w:rsid w:val="00526667"/>
    <w:rsid w:val="00526903"/>
    <w:rsid w:val="00531DD0"/>
    <w:rsid w:val="00532129"/>
    <w:rsid w:val="0053326D"/>
    <w:rsid w:val="00540DFD"/>
    <w:rsid w:val="005412D9"/>
    <w:rsid w:val="00541D46"/>
    <w:rsid w:val="00542D5F"/>
    <w:rsid w:val="005435DE"/>
    <w:rsid w:val="0054457A"/>
    <w:rsid w:val="0054474A"/>
    <w:rsid w:val="00544C28"/>
    <w:rsid w:val="00544F9C"/>
    <w:rsid w:val="00545159"/>
    <w:rsid w:val="00546BAE"/>
    <w:rsid w:val="00552EBD"/>
    <w:rsid w:val="00553827"/>
    <w:rsid w:val="00555F71"/>
    <w:rsid w:val="005612CF"/>
    <w:rsid w:val="00562299"/>
    <w:rsid w:val="00564276"/>
    <w:rsid w:val="005643DB"/>
    <w:rsid w:val="0056521E"/>
    <w:rsid w:val="0057338D"/>
    <w:rsid w:val="005740F6"/>
    <w:rsid w:val="005743D2"/>
    <w:rsid w:val="00575D92"/>
    <w:rsid w:val="00575DE3"/>
    <w:rsid w:val="005761B3"/>
    <w:rsid w:val="00576F74"/>
    <w:rsid w:val="00577048"/>
    <w:rsid w:val="0057709B"/>
    <w:rsid w:val="005802BD"/>
    <w:rsid w:val="005810EF"/>
    <w:rsid w:val="00586FA8"/>
    <w:rsid w:val="00587430"/>
    <w:rsid w:val="005875B0"/>
    <w:rsid w:val="00587F23"/>
    <w:rsid w:val="00591E3A"/>
    <w:rsid w:val="00593CB4"/>
    <w:rsid w:val="0059517D"/>
    <w:rsid w:val="00595F78"/>
    <w:rsid w:val="00597A04"/>
    <w:rsid w:val="005A1156"/>
    <w:rsid w:val="005A1803"/>
    <w:rsid w:val="005A2440"/>
    <w:rsid w:val="005A3131"/>
    <w:rsid w:val="005A4096"/>
    <w:rsid w:val="005B0D7C"/>
    <w:rsid w:val="005B0E86"/>
    <w:rsid w:val="005B27D6"/>
    <w:rsid w:val="005B2CD4"/>
    <w:rsid w:val="005B3A3B"/>
    <w:rsid w:val="005B5DEE"/>
    <w:rsid w:val="005B6818"/>
    <w:rsid w:val="005B6854"/>
    <w:rsid w:val="005C027A"/>
    <w:rsid w:val="005C0DBE"/>
    <w:rsid w:val="005C0F53"/>
    <w:rsid w:val="005C3721"/>
    <w:rsid w:val="005C4034"/>
    <w:rsid w:val="005C465F"/>
    <w:rsid w:val="005C5B4A"/>
    <w:rsid w:val="005C651C"/>
    <w:rsid w:val="005C6D3A"/>
    <w:rsid w:val="005D0D06"/>
    <w:rsid w:val="005D1427"/>
    <w:rsid w:val="005D2B62"/>
    <w:rsid w:val="005D3B24"/>
    <w:rsid w:val="005D49C8"/>
    <w:rsid w:val="005D4C33"/>
    <w:rsid w:val="005D5607"/>
    <w:rsid w:val="005D573F"/>
    <w:rsid w:val="005E15BB"/>
    <w:rsid w:val="005E37E9"/>
    <w:rsid w:val="005E61D4"/>
    <w:rsid w:val="005E7FB2"/>
    <w:rsid w:val="005F03DB"/>
    <w:rsid w:val="005F11C2"/>
    <w:rsid w:val="005F1701"/>
    <w:rsid w:val="005F3C27"/>
    <w:rsid w:val="005F77BB"/>
    <w:rsid w:val="005F7B7F"/>
    <w:rsid w:val="00602E30"/>
    <w:rsid w:val="00603A46"/>
    <w:rsid w:val="00611A49"/>
    <w:rsid w:val="00613017"/>
    <w:rsid w:val="00613A54"/>
    <w:rsid w:val="00616189"/>
    <w:rsid w:val="006166F0"/>
    <w:rsid w:val="00620EE6"/>
    <w:rsid w:val="00621760"/>
    <w:rsid w:val="006217BB"/>
    <w:rsid w:val="00622159"/>
    <w:rsid w:val="00622A27"/>
    <w:rsid w:val="00624BB7"/>
    <w:rsid w:val="00625BD5"/>
    <w:rsid w:val="00625DFB"/>
    <w:rsid w:val="00626B71"/>
    <w:rsid w:val="0062725F"/>
    <w:rsid w:val="00627D5D"/>
    <w:rsid w:val="006312B6"/>
    <w:rsid w:val="00634CEB"/>
    <w:rsid w:val="006353ED"/>
    <w:rsid w:val="00637179"/>
    <w:rsid w:val="0063734D"/>
    <w:rsid w:val="00646100"/>
    <w:rsid w:val="006476CA"/>
    <w:rsid w:val="006507A4"/>
    <w:rsid w:val="0065100D"/>
    <w:rsid w:val="006510BE"/>
    <w:rsid w:val="00652D65"/>
    <w:rsid w:val="00653AD3"/>
    <w:rsid w:val="00653D74"/>
    <w:rsid w:val="00653F19"/>
    <w:rsid w:val="006549B0"/>
    <w:rsid w:val="006552AE"/>
    <w:rsid w:val="00655773"/>
    <w:rsid w:val="00655FC7"/>
    <w:rsid w:val="006563CA"/>
    <w:rsid w:val="006578FC"/>
    <w:rsid w:val="00657AC8"/>
    <w:rsid w:val="006608AB"/>
    <w:rsid w:val="00662E00"/>
    <w:rsid w:val="00663B2D"/>
    <w:rsid w:val="00664587"/>
    <w:rsid w:val="006649C1"/>
    <w:rsid w:val="00665164"/>
    <w:rsid w:val="00666F25"/>
    <w:rsid w:val="00667C1C"/>
    <w:rsid w:val="006714B4"/>
    <w:rsid w:val="00671885"/>
    <w:rsid w:val="00673DD4"/>
    <w:rsid w:val="00674AEB"/>
    <w:rsid w:val="006753B0"/>
    <w:rsid w:val="0067635F"/>
    <w:rsid w:val="00676F42"/>
    <w:rsid w:val="00681656"/>
    <w:rsid w:val="00683CB5"/>
    <w:rsid w:val="0068455C"/>
    <w:rsid w:val="00685328"/>
    <w:rsid w:val="00690562"/>
    <w:rsid w:val="00692EC3"/>
    <w:rsid w:val="006932A2"/>
    <w:rsid w:val="0069333E"/>
    <w:rsid w:val="00693C8E"/>
    <w:rsid w:val="00695F12"/>
    <w:rsid w:val="006969BA"/>
    <w:rsid w:val="006A026A"/>
    <w:rsid w:val="006A0425"/>
    <w:rsid w:val="006A1D62"/>
    <w:rsid w:val="006A27A0"/>
    <w:rsid w:val="006A3759"/>
    <w:rsid w:val="006A6D7F"/>
    <w:rsid w:val="006A73F2"/>
    <w:rsid w:val="006B0298"/>
    <w:rsid w:val="006B0E83"/>
    <w:rsid w:val="006B199C"/>
    <w:rsid w:val="006B3F47"/>
    <w:rsid w:val="006B49AE"/>
    <w:rsid w:val="006B50AC"/>
    <w:rsid w:val="006B5493"/>
    <w:rsid w:val="006B6FCB"/>
    <w:rsid w:val="006C0ADF"/>
    <w:rsid w:val="006C10C0"/>
    <w:rsid w:val="006C1B1D"/>
    <w:rsid w:val="006C2DF5"/>
    <w:rsid w:val="006C32BB"/>
    <w:rsid w:val="006C3467"/>
    <w:rsid w:val="006C3747"/>
    <w:rsid w:val="006C4132"/>
    <w:rsid w:val="006C6F31"/>
    <w:rsid w:val="006C7760"/>
    <w:rsid w:val="006C7EEA"/>
    <w:rsid w:val="006D275E"/>
    <w:rsid w:val="006D32A6"/>
    <w:rsid w:val="006D522C"/>
    <w:rsid w:val="006D56AA"/>
    <w:rsid w:val="006D7795"/>
    <w:rsid w:val="006D7ACB"/>
    <w:rsid w:val="006E0064"/>
    <w:rsid w:val="006E00EF"/>
    <w:rsid w:val="006E1340"/>
    <w:rsid w:val="006E1A7A"/>
    <w:rsid w:val="006E1E89"/>
    <w:rsid w:val="006E38AF"/>
    <w:rsid w:val="006E4819"/>
    <w:rsid w:val="006E4846"/>
    <w:rsid w:val="006E6817"/>
    <w:rsid w:val="006E7ED1"/>
    <w:rsid w:val="006F01E7"/>
    <w:rsid w:val="006F1F3A"/>
    <w:rsid w:val="006F3C5E"/>
    <w:rsid w:val="006F59CF"/>
    <w:rsid w:val="006F7630"/>
    <w:rsid w:val="006F76DD"/>
    <w:rsid w:val="006F7A9A"/>
    <w:rsid w:val="006F7EB8"/>
    <w:rsid w:val="00702DD7"/>
    <w:rsid w:val="00703208"/>
    <w:rsid w:val="007047D3"/>
    <w:rsid w:val="007052DC"/>
    <w:rsid w:val="00705C40"/>
    <w:rsid w:val="00705CE6"/>
    <w:rsid w:val="00706723"/>
    <w:rsid w:val="0070722F"/>
    <w:rsid w:val="007073E2"/>
    <w:rsid w:val="0071087E"/>
    <w:rsid w:val="0071540F"/>
    <w:rsid w:val="00717731"/>
    <w:rsid w:val="00720266"/>
    <w:rsid w:val="007229A1"/>
    <w:rsid w:val="00723390"/>
    <w:rsid w:val="007235AA"/>
    <w:rsid w:val="0072794B"/>
    <w:rsid w:val="00727AC1"/>
    <w:rsid w:val="007302B2"/>
    <w:rsid w:val="00731AE5"/>
    <w:rsid w:val="00732289"/>
    <w:rsid w:val="0073268D"/>
    <w:rsid w:val="00733CB9"/>
    <w:rsid w:val="00734A47"/>
    <w:rsid w:val="00735915"/>
    <w:rsid w:val="00735C21"/>
    <w:rsid w:val="0073614A"/>
    <w:rsid w:val="00736FF2"/>
    <w:rsid w:val="00740885"/>
    <w:rsid w:val="00740C8C"/>
    <w:rsid w:val="00741426"/>
    <w:rsid w:val="00741AC4"/>
    <w:rsid w:val="0074285B"/>
    <w:rsid w:val="007430C0"/>
    <w:rsid w:val="00745AEC"/>
    <w:rsid w:val="00745CF2"/>
    <w:rsid w:val="00746791"/>
    <w:rsid w:val="00746FCF"/>
    <w:rsid w:val="00750B13"/>
    <w:rsid w:val="007515BC"/>
    <w:rsid w:val="007573B2"/>
    <w:rsid w:val="007574BB"/>
    <w:rsid w:val="007575E2"/>
    <w:rsid w:val="0075764C"/>
    <w:rsid w:val="00761779"/>
    <w:rsid w:val="00761D32"/>
    <w:rsid w:val="00762198"/>
    <w:rsid w:val="00762F88"/>
    <w:rsid w:val="00763800"/>
    <w:rsid w:val="00763CE8"/>
    <w:rsid w:val="00764E7C"/>
    <w:rsid w:val="0076758C"/>
    <w:rsid w:val="00770792"/>
    <w:rsid w:val="00770EAD"/>
    <w:rsid w:val="00773903"/>
    <w:rsid w:val="00774FFE"/>
    <w:rsid w:val="00775638"/>
    <w:rsid w:val="00775677"/>
    <w:rsid w:val="0077568B"/>
    <w:rsid w:val="0077599A"/>
    <w:rsid w:val="00777353"/>
    <w:rsid w:val="007808B3"/>
    <w:rsid w:val="00780BEC"/>
    <w:rsid w:val="00780CD6"/>
    <w:rsid w:val="007810CC"/>
    <w:rsid w:val="00782EA4"/>
    <w:rsid w:val="00784E6A"/>
    <w:rsid w:val="00785461"/>
    <w:rsid w:val="00785CCD"/>
    <w:rsid w:val="00786C13"/>
    <w:rsid w:val="00786FF3"/>
    <w:rsid w:val="007875AA"/>
    <w:rsid w:val="007876CF"/>
    <w:rsid w:val="00787778"/>
    <w:rsid w:val="00791CF1"/>
    <w:rsid w:val="00793090"/>
    <w:rsid w:val="00796BBC"/>
    <w:rsid w:val="00796F2A"/>
    <w:rsid w:val="0079735A"/>
    <w:rsid w:val="007A0094"/>
    <w:rsid w:val="007A0176"/>
    <w:rsid w:val="007A2F67"/>
    <w:rsid w:val="007A38C9"/>
    <w:rsid w:val="007A3918"/>
    <w:rsid w:val="007A5707"/>
    <w:rsid w:val="007A6C0D"/>
    <w:rsid w:val="007B0B08"/>
    <w:rsid w:val="007B0E89"/>
    <w:rsid w:val="007B2C38"/>
    <w:rsid w:val="007B2E54"/>
    <w:rsid w:val="007B41BA"/>
    <w:rsid w:val="007B5D5F"/>
    <w:rsid w:val="007B69E4"/>
    <w:rsid w:val="007B6F5A"/>
    <w:rsid w:val="007B7498"/>
    <w:rsid w:val="007B7AEE"/>
    <w:rsid w:val="007C05C4"/>
    <w:rsid w:val="007C1752"/>
    <w:rsid w:val="007C18A8"/>
    <w:rsid w:val="007C19B2"/>
    <w:rsid w:val="007C26DE"/>
    <w:rsid w:val="007C45E9"/>
    <w:rsid w:val="007C6E6C"/>
    <w:rsid w:val="007C7B85"/>
    <w:rsid w:val="007C7EB6"/>
    <w:rsid w:val="007D037A"/>
    <w:rsid w:val="007D1103"/>
    <w:rsid w:val="007D19B1"/>
    <w:rsid w:val="007D240B"/>
    <w:rsid w:val="007D2F75"/>
    <w:rsid w:val="007D3C0E"/>
    <w:rsid w:val="007D4BEF"/>
    <w:rsid w:val="007D70F8"/>
    <w:rsid w:val="007D7FE7"/>
    <w:rsid w:val="007D7FF1"/>
    <w:rsid w:val="007E22E7"/>
    <w:rsid w:val="007E41BC"/>
    <w:rsid w:val="007E4232"/>
    <w:rsid w:val="007E44BF"/>
    <w:rsid w:val="007E69BB"/>
    <w:rsid w:val="007E6AB8"/>
    <w:rsid w:val="007F2109"/>
    <w:rsid w:val="007F21C5"/>
    <w:rsid w:val="007F253F"/>
    <w:rsid w:val="007F3ACF"/>
    <w:rsid w:val="007F3EF1"/>
    <w:rsid w:val="007F564B"/>
    <w:rsid w:val="007F63B4"/>
    <w:rsid w:val="00800FD0"/>
    <w:rsid w:val="00801BCE"/>
    <w:rsid w:val="00802515"/>
    <w:rsid w:val="008025A3"/>
    <w:rsid w:val="00803460"/>
    <w:rsid w:val="00806694"/>
    <w:rsid w:val="00807670"/>
    <w:rsid w:val="00812625"/>
    <w:rsid w:val="0081283F"/>
    <w:rsid w:val="0081480A"/>
    <w:rsid w:val="00817E2A"/>
    <w:rsid w:val="008202EB"/>
    <w:rsid w:val="0082180A"/>
    <w:rsid w:val="00823C68"/>
    <w:rsid w:val="008240D3"/>
    <w:rsid w:val="008267CD"/>
    <w:rsid w:val="00827F88"/>
    <w:rsid w:val="008336A5"/>
    <w:rsid w:val="0083420A"/>
    <w:rsid w:val="0083437E"/>
    <w:rsid w:val="00835474"/>
    <w:rsid w:val="00835EFC"/>
    <w:rsid w:val="008360D7"/>
    <w:rsid w:val="008373C0"/>
    <w:rsid w:val="0084145F"/>
    <w:rsid w:val="008419FB"/>
    <w:rsid w:val="00841CB3"/>
    <w:rsid w:val="00841DA2"/>
    <w:rsid w:val="008434ED"/>
    <w:rsid w:val="008458F6"/>
    <w:rsid w:val="00845AED"/>
    <w:rsid w:val="00845CA0"/>
    <w:rsid w:val="0084708E"/>
    <w:rsid w:val="008506B4"/>
    <w:rsid w:val="00851AE4"/>
    <w:rsid w:val="00852121"/>
    <w:rsid w:val="0085598D"/>
    <w:rsid w:val="00856700"/>
    <w:rsid w:val="008609FC"/>
    <w:rsid w:val="00861107"/>
    <w:rsid w:val="00862771"/>
    <w:rsid w:val="00862EC5"/>
    <w:rsid w:val="00863B11"/>
    <w:rsid w:val="0086538F"/>
    <w:rsid w:val="0086682F"/>
    <w:rsid w:val="00871940"/>
    <w:rsid w:val="0087367C"/>
    <w:rsid w:val="0087655E"/>
    <w:rsid w:val="00876F54"/>
    <w:rsid w:val="00877292"/>
    <w:rsid w:val="0087754A"/>
    <w:rsid w:val="0087766C"/>
    <w:rsid w:val="00880552"/>
    <w:rsid w:val="008839DA"/>
    <w:rsid w:val="00884EE8"/>
    <w:rsid w:val="00885168"/>
    <w:rsid w:val="0089173B"/>
    <w:rsid w:val="00891760"/>
    <w:rsid w:val="00891E76"/>
    <w:rsid w:val="0089220F"/>
    <w:rsid w:val="008935AA"/>
    <w:rsid w:val="008935C3"/>
    <w:rsid w:val="00894E5E"/>
    <w:rsid w:val="008963F0"/>
    <w:rsid w:val="0089659E"/>
    <w:rsid w:val="00896C53"/>
    <w:rsid w:val="008A03A5"/>
    <w:rsid w:val="008A0886"/>
    <w:rsid w:val="008A0DF3"/>
    <w:rsid w:val="008A137F"/>
    <w:rsid w:val="008A4138"/>
    <w:rsid w:val="008A4E02"/>
    <w:rsid w:val="008A5D96"/>
    <w:rsid w:val="008A791B"/>
    <w:rsid w:val="008B1B3B"/>
    <w:rsid w:val="008B5C93"/>
    <w:rsid w:val="008B61DA"/>
    <w:rsid w:val="008B6848"/>
    <w:rsid w:val="008B7067"/>
    <w:rsid w:val="008C2AD9"/>
    <w:rsid w:val="008C2FA1"/>
    <w:rsid w:val="008C7925"/>
    <w:rsid w:val="008C7D74"/>
    <w:rsid w:val="008C7F6B"/>
    <w:rsid w:val="008D2C4C"/>
    <w:rsid w:val="008D4CF9"/>
    <w:rsid w:val="008D6263"/>
    <w:rsid w:val="008D6344"/>
    <w:rsid w:val="008D7E0D"/>
    <w:rsid w:val="008D7EDB"/>
    <w:rsid w:val="008E1829"/>
    <w:rsid w:val="008E2327"/>
    <w:rsid w:val="008E5077"/>
    <w:rsid w:val="008E64F0"/>
    <w:rsid w:val="008E6FF3"/>
    <w:rsid w:val="008E707C"/>
    <w:rsid w:val="008E7B05"/>
    <w:rsid w:val="008F05F9"/>
    <w:rsid w:val="008F18ED"/>
    <w:rsid w:val="008F3EA1"/>
    <w:rsid w:val="008F46C2"/>
    <w:rsid w:val="008F4B45"/>
    <w:rsid w:val="009001FC"/>
    <w:rsid w:val="009020A8"/>
    <w:rsid w:val="009031E7"/>
    <w:rsid w:val="00903D37"/>
    <w:rsid w:val="00907CDA"/>
    <w:rsid w:val="0091033F"/>
    <w:rsid w:val="0091055D"/>
    <w:rsid w:val="00910E4D"/>
    <w:rsid w:val="00913079"/>
    <w:rsid w:val="009140A3"/>
    <w:rsid w:val="00914C61"/>
    <w:rsid w:val="0091633A"/>
    <w:rsid w:val="00917D6F"/>
    <w:rsid w:val="00921B1A"/>
    <w:rsid w:val="00921DDA"/>
    <w:rsid w:val="009259F1"/>
    <w:rsid w:val="0092600D"/>
    <w:rsid w:val="00927D70"/>
    <w:rsid w:val="00927ED6"/>
    <w:rsid w:val="0093039D"/>
    <w:rsid w:val="00931E4F"/>
    <w:rsid w:val="0093364D"/>
    <w:rsid w:val="00936574"/>
    <w:rsid w:val="00943BCE"/>
    <w:rsid w:val="0095551B"/>
    <w:rsid w:val="00957104"/>
    <w:rsid w:val="009578D8"/>
    <w:rsid w:val="00957CA8"/>
    <w:rsid w:val="00960346"/>
    <w:rsid w:val="0096046C"/>
    <w:rsid w:val="00960890"/>
    <w:rsid w:val="009617D3"/>
    <w:rsid w:val="00963DC8"/>
    <w:rsid w:val="0096463B"/>
    <w:rsid w:val="00965980"/>
    <w:rsid w:val="00967869"/>
    <w:rsid w:val="00970475"/>
    <w:rsid w:val="00971F54"/>
    <w:rsid w:val="009725C5"/>
    <w:rsid w:val="00973F40"/>
    <w:rsid w:val="00973FDF"/>
    <w:rsid w:val="009741C3"/>
    <w:rsid w:val="00974249"/>
    <w:rsid w:val="0097466F"/>
    <w:rsid w:val="00976CB9"/>
    <w:rsid w:val="009806E2"/>
    <w:rsid w:val="009839DA"/>
    <w:rsid w:val="00983AA1"/>
    <w:rsid w:val="009849EF"/>
    <w:rsid w:val="00984BE6"/>
    <w:rsid w:val="00986DB7"/>
    <w:rsid w:val="0099315B"/>
    <w:rsid w:val="009934CF"/>
    <w:rsid w:val="00993B80"/>
    <w:rsid w:val="00994D5D"/>
    <w:rsid w:val="00994E30"/>
    <w:rsid w:val="00995364"/>
    <w:rsid w:val="00995AD7"/>
    <w:rsid w:val="009A095D"/>
    <w:rsid w:val="009A0D75"/>
    <w:rsid w:val="009A32D7"/>
    <w:rsid w:val="009A347A"/>
    <w:rsid w:val="009A620E"/>
    <w:rsid w:val="009A7C8A"/>
    <w:rsid w:val="009B4A61"/>
    <w:rsid w:val="009B548D"/>
    <w:rsid w:val="009B6578"/>
    <w:rsid w:val="009B68DB"/>
    <w:rsid w:val="009B6A6F"/>
    <w:rsid w:val="009C0007"/>
    <w:rsid w:val="009C04A3"/>
    <w:rsid w:val="009C0D49"/>
    <w:rsid w:val="009C155B"/>
    <w:rsid w:val="009C1AFE"/>
    <w:rsid w:val="009C3FA3"/>
    <w:rsid w:val="009C4081"/>
    <w:rsid w:val="009C5531"/>
    <w:rsid w:val="009C5BB3"/>
    <w:rsid w:val="009C5F24"/>
    <w:rsid w:val="009D0234"/>
    <w:rsid w:val="009D048B"/>
    <w:rsid w:val="009D2179"/>
    <w:rsid w:val="009D3DB3"/>
    <w:rsid w:val="009D5C3E"/>
    <w:rsid w:val="009D69C6"/>
    <w:rsid w:val="009D7EDD"/>
    <w:rsid w:val="009E5419"/>
    <w:rsid w:val="009E5A6E"/>
    <w:rsid w:val="009F46DC"/>
    <w:rsid w:val="009F46F2"/>
    <w:rsid w:val="009F64F8"/>
    <w:rsid w:val="009F789C"/>
    <w:rsid w:val="00A00BF3"/>
    <w:rsid w:val="00A0195F"/>
    <w:rsid w:val="00A01B25"/>
    <w:rsid w:val="00A01C00"/>
    <w:rsid w:val="00A05C27"/>
    <w:rsid w:val="00A060A7"/>
    <w:rsid w:val="00A06D9C"/>
    <w:rsid w:val="00A1086B"/>
    <w:rsid w:val="00A10AB8"/>
    <w:rsid w:val="00A112F7"/>
    <w:rsid w:val="00A11CAD"/>
    <w:rsid w:val="00A14169"/>
    <w:rsid w:val="00A14880"/>
    <w:rsid w:val="00A14949"/>
    <w:rsid w:val="00A1620A"/>
    <w:rsid w:val="00A1620D"/>
    <w:rsid w:val="00A16AC0"/>
    <w:rsid w:val="00A17785"/>
    <w:rsid w:val="00A20835"/>
    <w:rsid w:val="00A20877"/>
    <w:rsid w:val="00A221EE"/>
    <w:rsid w:val="00A23D31"/>
    <w:rsid w:val="00A24C9B"/>
    <w:rsid w:val="00A26E26"/>
    <w:rsid w:val="00A27124"/>
    <w:rsid w:val="00A27D2B"/>
    <w:rsid w:val="00A301A7"/>
    <w:rsid w:val="00A305C4"/>
    <w:rsid w:val="00A30C34"/>
    <w:rsid w:val="00A30FD3"/>
    <w:rsid w:val="00A33629"/>
    <w:rsid w:val="00A33A31"/>
    <w:rsid w:val="00A34D3F"/>
    <w:rsid w:val="00A35E2F"/>
    <w:rsid w:val="00A37533"/>
    <w:rsid w:val="00A37891"/>
    <w:rsid w:val="00A37A11"/>
    <w:rsid w:val="00A4023D"/>
    <w:rsid w:val="00A40A51"/>
    <w:rsid w:val="00A42292"/>
    <w:rsid w:val="00A42F10"/>
    <w:rsid w:val="00A44B26"/>
    <w:rsid w:val="00A46A8D"/>
    <w:rsid w:val="00A47916"/>
    <w:rsid w:val="00A47B53"/>
    <w:rsid w:val="00A50746"/>
    <w:rsid w:val="00A509EC"/>
    <w:rsid w:val="00A536DA"/>
    <w:rsid w:val="00A571CD"/>
    <w:rsid w:val="00A57C3D"/>
    <w:rsid w:val="00A61E0F"/>
    <w:rsid w:val="00A61F25"/>
    <w:rsid w:val="00A633BB"/>
    <w:rsid w:val="00A63630"/>
    <w:rsid w:val="00A65CD8"/>
    <w:rsid w:val="00A668B7"/>
    <w:rsid w:val="00A6697B"/>
    <w:rsid w:val="00A74C2D"/>
    <w:rsid w:val="00A76B34"/>
    <w:rsid w:val="00A80644"/>
    <w:rsid w:val="00A80F0C"/>
    <w:rsid w:val="00A83487"/>
    <w:rsid w:val="00A84169"/>
    <w:rsid w:val="00A854FF"/>
    <w:rsid w:val="00A87021"/>
    <w:rsid w:val="00A87035"/>
    <w:rsid w:val="00A870D7"/>
    <w:rsid w:val="00A8745D"/>
    <w:rsid w:val="00A90F9B"/>
    <w:rsid w:val="00A92694"/>
    <w:rsid w:val="00A93072"/>
    <w:rsid w:val="00A95FB6"/>
    <w:rsid w:val="00A9629C"/>
    <w:rsid w:val="00AA35D5"/>
    <w:rsid w:val="00AA417B"/>
    <w:rsid w:val="00AA533F"/>
    <w:rsid w:val="00AA549A"/>
    <w:rsid w:val="00AA5897"/>
    <w:rsid w:val="00AA5A86"/>
    <w:rsid w:val="00AA70FB"/>
    <w:rsid w:val="00AB010D"/>
    <w:rsid w:val="00AB0749"/>
    <w:rsid w:val="00AB1209"/>
    <w:rsid w:val="00AB3B2F"/>
    <w:rsid w:val="00AB5709"/>
    <w:rsid w:val="00AB76D8"/>
    <w:rsid w:val="00AB7E6A"/>
    <w:rsid w:val="00AC1B61"/>
    <w:rsid w:val="00AC2C6E"/>
    <w:rsid w:val="00AC4A31"/>
    <w:rsid w:val="00AC5EE6"/>
    <w:rsid w:val="00AC63CF"/>
    <w:rsid w:val="00AC641F"/>
    <w:rsid w:val="00AC6C0A"/>
    <w:rsid w:val="00AD0D24"/>
    <w:rsid w:val="00AD0FA2"/>
    <w:rsid w:val="00AD1923"/>
    <w:rsid w:val="00AD2611"/>
    <w:rsid w:val="00AD268D"/>
    <w:rsid w:val="00AD3AC5"/>
    <w:rsid w:val="00AD3D57"/>
    <w:rsid w:val="00AD477B"/>
    <w:rsid w:val="00AD4882"/>
    <w:rsid w:val="00AD6775"/>
    <w:rsid w:val="00AE0C5D"/>
    <w:rsid w:val="00AE1BA2"/>
    <w:rsid w:val="00AE4507"/>
    <w:rsid w:val="00AE47BF"/>
    <w:rsid w:val="00AE5024"/>
    <w:rsid w:val="00AE6260"/>
    <w:rsid w:val="00AF060E"/>
    <w:rsid w:val="00AF1985"/>
    <w:rsid w:val="00AF36A2"/>
    <w:rsid w:val="00AF3DAB"/>
    <w:rsid w:val="00AF47CE"/>
    <w:rsid w:val="00AF6432"/>
    <w:rsid w:val="00AF6B9D"/>
    <w:rsid w:val="00AF75BE"/>
    <w:rsid w:val="00AF7614"/>
    <w:rsid w:val="00AF79BD"/>
    <w:rsid w:val="00B014BD"/>
    <w:rsid w:val="00B03F7D"/>
    <w:rsid w:val="00B07F12"/>
    <w:rsid w:val="00B1415B"/>
    <w:rsid w:val="00B15278"/>
    <w:rsid w:val="00B21671"/>
    <w:rsid w:val="00B217E2"/>
    <w:rsid w:val="00B234EC"/>
    <w:rsid w:val="00B23DCB"/>
    <w:rsid w:val="00B26473"/>
    <w:rsid w:val="00B27245"/>
    <w:rsid w:val="00B2732B"/>
    <w:rsid w:val="00B274AE"/>
    <w:rsid w:val="00B274BF"/>
    <w:rsid w:val="00B31222"/>
    <w:rsid w:val="00B32215"/>
    <w:rsid w:val="00B32C53"/>
    <w:rsid w:val="00B42E81"/>
    <w:rsid w:val="00B4329D"/>
    <w:rsid w:val="00B434FC"/>
    <w:rsid w:val="00B440AA"/>
    <w:rsid w:val="00B443F5"/>
    <w:rsid w:val="00B44D40"/>
    <w:rsid w:val="00B4561F"/>
    <w:rsid w:val="00B46640"/>
    <w:rsid w:val="00B51F5F"/>
    <w:rsid w:val="00B520F9"/>
    <w:rsid w:val="00B52812"/>
    <w:rsid w:val="00B5495A"/>
    <w:rsid w:val="00B54E2E"/>
    <w:rsid w:val="00B57142"/>
    <w:rsid w:val="00B577A3"/>
    <w:rsid w:val="00B6087A"/>
    <w:rsid w:val="00B6258B"/>
    <w:rsid w:val="00B63C6B"/>
    <w:rsid w:val="00B641ED"/>
    <w:rsid w:val="00B64641"/>
    <w:rsid w:val="00B667D0"/>
    <w:rsid w:val="00B67D24"/>
    <w:rsid w:val="00B67D38"/>
    <w:rsid w:val="00B7262F"/>
    <w:rsid w:val="00B727C5"/>
    <w:rsid w:val="00B73FD4"/>
    <w:rsid w:val="00B74FC5"/>
    <w:rsid w:val="00B75A6C"/>
    <w:rsid w:val="00B81B8B"/>
    <w:rsid w:val="00B82F2D"/>
    <w:rsid w:val="00B83E2A"/>
    <w:rsid w:val="00B83E38"/>
    <w:rsid w:val="00B855DE"/>
    <w:rsid w:val="00B85DF3"/>
    <w:rsid w:val="00B86869"/>
    <w:rsid w:val="00B86C19"/>
    <w:rsid w:val="00B86E6F"/>
    <w:rsid w:val="00B870C6"/>
    <w:rsid w:val="00B92EDF"/>
    <w:rsid w:val="00B93510"/>
    <w:rsid w:val="00B93E33"/>
    <w:rsid w:val="00B94324"/>
    <w:rsid w:val="00B94F72"/>
    <w:rsid w:val="00B954F3"/>
    <w:rsid w:val="00B95BCD"/>
    <w:rsid w:val="00B95CDC"/>
    <w:rsid w:val="00B95CE5"/>
    <w:rsid w:val="00BA0D0B"/>
    <w:rsid w:val="00BA0ED5"/>
    <w:rsid w:val="00BA37A8"/>
    <w:rsid w:val="00BA3B4C"/>
    <w:rsid w:val="00BA3EA8"/>
    <w:rsid w:val="00BB1891"/>
    <w:rsid w:val="00BB375D"/>
    <w:rsid w:val="00BB49A0"/>
    <w:rsid w:val="00BB5067"/>
    <w:rsid w:val="00BB515F"/>
    <w:rsid w:val="00BB5DFF"/>
    <w:rsid w:val="00BC1FA5"/>
    <w:rsid w:val="00BC2651"/>
    <w:rsid w:val="00BC2922"/>
    <w:rsid w:val="00BC2C0C"/>
    <w:rsid w:val="00BC55E5"/>
    <w:rsid w:val="00BC64F5"/>
    <w:rsid w:val="00BC732A"/>
    <w:rsid w:val="00BC758B"/>
    <w:rsid w:val="00BD181B"/>
    <w:rsid w:val="00BD2EAC"/>
    <w:rsid w:val="00BD4BB3"/>
    <w:rsid w:val="00BD508F"/>
    <w:rsid w:val="00BD5CDF"/>
    <w:rsid w:val="00BE17C6"/>
    <w:rsid w:val="00BE2BD3"/>
    <w:rsid w:val="00BE4865"/>
    <w:rsid w:val="00BE69BF"/>
    <w:rsid w:val="00BE6A3C"/>
    <w:rsid w:val="00BE725A"/>
    <w:rsid w:val="00BE7430"/>
    <w:rsid w:val="00BE7B48"/>
    <w:rsid w:val="00BF166F"/>
    <w:rsid w:val="00BF3381"/>
    <w:rsid w:val="00BF5FA5"/>
    <w:rsid w:val="00BF6AA8"/>
    <w:rsid w:val="00C05514"/>
    <w:rsid w:val="00C05543"/>
    <w:rsid w:val="00C105B6"/>
    <w:rsid w:val="00C10FCF"/>
    <w:rsid w:val="00C11FAF"/>
    <w:rsid w:val="00C12969"/>
    <w:rsid w:val="00C13895"/>
    <w:rsid w:val="00C143EE"/>
    <w:rsid w:val="00C1575E"/>
    <w:rsid w:val="00C16B4B"/>
    <w:rsid w:val="00C1741B"/>
    <w:rsid w:val="00C17427"/>
    <w:rsid w:val="00C202A3"/>
    <w:rsid w:val="00C20C00"/>
    <w:rsid w:val="00C210FD"/>
    <w:rsid w:val="00C21ABE"/>
    <w:rsid w:val="00C21EB2"/>
    <w:rsid w:val="00C22901"/>
    <w:rsid w:val="00C2295B"/>
    <w:rsid w:val="00C22F6B"/>
    <w:rsid w:val="00C23131"/>
    <w:rsid w:val="00C25238"/>
    <w:rsid w:val="00C305C8"/>
    <w:rsid w:val="00C305F2"/>
    <w:rsid w:val="00C307AF"/>
    <w:rsid w:val="00C30D1B"/>
    <w:rsid w:val="00C3345C"/>
    <w:rsid w:val="00C33C9A"/>
    <w:rsid w:val="00C3688D"/>
    <w:rsid w:val="00C407E5"/>
    <w:rsid w:val="00C40D33"/>
    <w:rsid w:val="00C42DAC"/>
    <w:rsid w:val="00C4342B"/>
    <w:rsid w:val="00C436FC"/>
    <w:rsid w:val="00C459A9"/>
    <w:rsid w:val="00C45A59"/>
    <w:rsid w:val="00C502A5"/>
    <w:rsid w:val="00C509C7"/>
    <w:rsid w:val="00C521F7"/>
    <w:rsid w:val="00C53008"/>
    <w:rsid w:val="00C55151"/>
    <w:rsid w:val="00C558FF"/>
    <w:rsid w:val="00C560FA"/>
    <w:rsid w:val="00C5682B"/>
    <w:rsid w:val="00C570C5"/>
    <w:rsid w:val="00C57FF9"/>
    <w:rsid w:val="00C64434"/>
    <w:rsid w:val="00C659E5"/>
    <w:rsid w:val="00C6622F"/>
    <w:rsid w:val="00C7063C"/>
    <w:rsid w:val="00C721C2"/>
    <w:rsid w:val="00C73C57"/>
    <w:rsid w:val="00C74101"/>
    <w:rsid w:val="00C74D43"/>
    <w:rsid w:val="00C75CA7"/>
    <w:rsid w:val="00C766D6"/>
    <w:rsid w:val="00C8079B"/>
    <w:rsid w:val="00C81C46"/>
    <w:rsid w:val="00C85675"/>
    <w:rsid w:val="00C901BB"/>
    <w:rsid w:val="00C90CD3"/>
    <w:rsid w:val="00C923D7"/>
    <w:rsid w:val="00C92552"/>
    <w:rsid w:val="00C93F1B"/>
    <w:rsid w:val="00C976D1"/>
    <w:rsid w:val="00CA0E6B"/>
    <w:rsid w:val="00CA19C7"/>
    <w:rsid w:val="00CA1FCA"/>
    <w:rsid w:val="00CA1FD7"/>
    <w:rsid w:val="00CA35E0"/>
    <w:rsid w:val="00CA4CBD"/>
    <w:rsid w:val="00CA71D4"/>
    <w:rsid w:val="00CB1F3C"/>
    <w:rsid w:val="00CB4FC8"/>
    <w:rsid w:val="00CB5D29"/>
    <w:rsid w:val="00CB675A"/>
    <w:rsid w:val="00CB6D8D"/>
    <w:rsid w:val="00CB782B"/>
    <w:rsid w:val="00CC0525"/>
    <w:rsid w:val="00CC0E77"/>
    <w:rsid w:val="00CC1745"/>
    <w:rsid w:val="00CC2092"/>
    <w:rsid w:val="00CC248A"/>
    <w:rsid w:val="00CC302A"/>
    <w:rsid w:val="00CC5D85"/>
    <w:rsid w:val="00CC5E76"/>
    <w:rsid w:val="00CC765A"/>
    <w:rsid w:val="00CC7B01"/>
    <w:rsid w:val="00CD3A5D"/>
    <w:rsid w:val="00CD5CBA"/>
    <w:rsid w:val="00CD5FD4"/>
    <w:rsid w:val="00CD7789"/>
    <w:rsid w:val="00CD7DE8"/>
    <w:rsid w:val="00CE0DCE"/>
    <w:rsid w:val="00CE1A0F"/>
    <w:rsid w:val="00CE1BC9"/>
    <w:rsid w:val="00CE1DAA"/>
    <w:rsid w:val="00CE33C1"/>
    <w:rsid w:val="00CE3AFD"/>
    <w:rsid w:val="00CE4DD6"/>
    <w:rsid w:val="00CE5178"/>
    <w:rsid w:val="00CE5563"/>
    <w:rsid w:val="00CE692A"/>
    <w:rsid w:val="00CE76FF"/>
    <w:rsid w:val="00CF4012"/>
    <w:rsid w:val="00CF5C25"/>
    <w:rsid w:val="00CF7AA3"/>
    <w:rsid w:val="00CF7F57"/>
    <w:rsid w:val="00D00EAC"/>
    <w:rsid w:val="00D0153B"/>
    <w:rsid w:val="00D01BAA"/>
    <w:rsid w:val="00D02BC6"/>
    <w:rsid w:val="00D0310D"/>
    <w:rsid w:val="00D05803"/>
    <w:rsid w:val="00D05C7C"/>
    <w:rsid w:val="00D06906"/>
    <w:rsid w:val="00D07742"/>
    <w:rsid w:val="00D100AE"/>
    <w:rsid w:val="00D110D4"/>
    <w:rsid w:val="00D11D40"/>
    <w:rsid w:val="00D1276A"/>
    <w:rsid w:val="00D13D25"/>
    <w:rsid w:val="00D14DB7"/>
    <w:rsid w:val="00D14E1A"/>
    <w:rsid w:val="00D15ED5"/>
    <w:rsid w:val="00D1652E"/>
    <w:rsid w:val="00D20771"/>
    <w:rsid w:val="00D22B6A"/>
    <w:rsid w:val="00D23161"/>
    <w:rsid w:val="00D255CF"/>
    <w:rsid w:val="00D25CC9"/>
    <w:rsid w:val="00D2649C"/>
    <w:rsid w:val="00D26B5D"/>
    <w:rsid w:val="00D319F1"/>
    <w:rsid w:val="00D32FAD"/>
    <w:rsid w:val="00D348F7"/>
    <w:rsid w:val="00D351E9"/>
    <w:rsid w:val="00D3618F"/>
    <w:rsid w:val="00D36FAC"/>
    <w:rsid w:val="00D3703D"/>
    <w:rsid w:val="00D37ADF"/>
    <w:rsid w:val="00D37F2B"/>
    <w:rsid w:val="00D4063A"/>
    <w:rsid w:val="00D40BC3"/>
    <w:rsid w:val="00D422ED"/>
    <w:rsid w:val="00D4260E"/>
    <w:rsid w:val="00D434EC"/>
    <w:rsid w:val="00D444D0"/>
    <w:rsid w:val="00D44E9D"/>
    <w:rsid w:val="00D45C06"/>
    <w:rsid w:val="00D46E5C"/>
    <w:rsid w:val="00D472A7"/>
    <w:rsid w:val="00D4741A"/>
    <w:rsid w:val="00D5653C"/>
    <w:rsid w:val="00D569DE"/>
    <w:rsid w:val="00D56F64"/>
    <w:rsid w:val="00D61A0E"/>
    <w:rsid w:val="00D64076"/>
    <w:rsid w:val="00D6495D"/>
    <w:rsid w:val="00D64985"/>
    <w:rsid w:val="00D65317"/>
    <w:rsid w:val="00D717D8"/>
    <w:rsid w:val="00D71CF9"/>
    <w:rsid w:val="00D735AE"/>
    <w:rsid w:val="00D75B45"/>
    <w:rsid w:val="00D75FF9"/>
    <w:rsid w:val="00D77FCD"/>
    <w:rsid w:val="00D80ED6"/>
    <w:rsid w:val="00D80F9D"/>
    <w:rsid w:val="00D81BAE"/>
    <w:rsid w:val="00D849DD"/>
    <w:rsid w:val="00D84B17"/>
    <w:rsid w:val="00D8507D"/>
    <w:rsid w:val="00D86735"/>
    <w:rsid w:val="00D86C7D"/>
    <w:rsid w:val="00D8718E"/>
    <w:rsid w:val="00D871FB"/>
    <w:rsid w:val="00D90C57"/>
    <w:rsid w:val="00D90C9D"/>
    <w:rsid w:val="00D90E57"/>
    <w:rsid w:val="00D91910"/>
    <w:rsid w:val="00D91AA8"/>
    <w:rsid w:val="00D92432"/>
    <w:rsid w:val="00D944A6"/>
    <w:rsid w:val="00D95B92"/>
    <w:rsid w:val="00D95C7A"/>
    <w:rsid w:val="00D96BF1"/>
    <w:rsid w:val="00D96FC3"/>
    <w:rsid w:val="00DA12C3"/>
    <w:rsid w:val="00DA1E68"/>
    <w:rsid w:val="00DA2571"/>
    <w:rsid w:val="00DA33C6"/>
    <w:rsid w:val="00DA3D83"/>
    <w:rsid w:val="00DA45F0"/>
    <w:rsid w:val="00DA495D"/>
    <w:rsid w:val="00DA49A7"/>
    <w:rsid w:val="00DA7BA0"/>
    <w:rsid w:val="00DB0995"/>
    <w:rsid w:val="00DB3C6E"/>
    <w:rsid w:val="00DB469A"/>
    <w:rsid w:val="00DB4C07"/>
    <w:rsid w:val="00DB52C3"/>
    <w:rsid w:val="00DB54C3"/>
    <w:rsid w:val="00DB58C7"/>
    <w:rsid w:val="00DB5DA3"/>
    <w:rsid w:val="00DB7E5F"/>
    <w:rsid w:val="00DB7F62"/>
    <w:rsid w:val="00DC10B0"/>
    <w:rsid w:val="00DC1594"/>
    <w:rsid w:val="00DC3DA9"/>
    <w:rsid w:val="00DC4BCD"/>
    <w:rsid w:val="00DC597C"/>
    <w:rsid w:val="00DC6551"/>
    <w:rsid w:val="00DC79C7"/>
    <w:rsid w:val="00DD1107"/>
    <w:rsid w:val="00DD178F"/>
    <w:rsid w:val="00DD1FE4"/>
    <w:rsid w:val="00DD2A43"/>
    <w:rsid w:val="00DD3288"/>
    <w:rsid w:val="00DD4737"/>
    <w:rsid w:val="00DD7075"/>
    <w:rsid w:val="00DE01D8"/>
    <w:rsid w:val="00DE02D0"/>
    <w:rsid w:val="00DE0964"/>
    <w:rsid w:val="00DE0DF0"/>
    <w:rsid w:val="00DE2847"/>
    <w:rsid w:val="00DE2966"/>
    <w:rsid w:val="00DE4107"/>
    <w:rsid w:val="00DE436F"/>
    <w:rsid w:val="00DF0B5E"/>
    <w:rsid w:val="00DF0ED5"/>
    <w:rsid w:val="00DF72D9"/>
    <w:rsid w:val="00DF79E6"/>
    <w:rsid w:val="00DF7EC8"/>
    <w:rsid w:val="00E028ED"/>
    <w:rsid w:val="00E02A57"/>
    <w:rsid w:val="00E02AA7"/>
    <w:rsid w:val="00E04660"/>
    <w:rsid w:val="00E04BA2"/>
    <w:rsid w:val="00E104F6"/>
    <w:rsid w:val="00E10748"/>
    <w:rsid w:val="00E1094C"/>
    <w:rsid w:val="00E1100F"/>
    <w:rsid w:val="00E11413"/>
    <w:rsid w:val="00E12975"/>
    <w:rsid w:val="00E12F57"/>
    <w:rsid w:val="00E14282"/>
    <w:rsid w:val="00E17ABD"/>
    <w:rsid w:val="00E200BA"/>
    <w:rsid w:val="00E215C5"/>
    <w:rsid w:val="00E2194D"/>
    <w:rsid w:val="00E2346B"/>
    <w:rsid w:val="00E2716B"/>
    <w:rsid w:val="00E27DDF"/>
    <w:rsid w:val="00E27E01"/>
    <w:rsid w:val="00E30A90"/>
    <w:rsid w:val="00E32DBA"/>
    <w:rsid w:val="00E350F4"/>
    <w:rsid w:val="00E4249F"/>
    <w:rsid w:val="00E43469"/>
    <w:rsid w:val="00E43716"/>
    <w:rsid w:val="00E44303"/>
    <w:rsid w:val="00E4458D"/>
    <w:rsid w:val="00E445DA"/>
    <w:rsid w:val="00E45379"/>
    <w:rsid w:val="00E47D9F"/>
    <w:rsid w:val="00E50B22"/>
    <w:rsid w:val="00E50C4F"/>
    <w:rsid w:val="00E51E18"/>
    <w:rsid w:val="00E522D9"/>
    <w:rsid w:val="00E533BD"/>
    <w:rsid w:val="00E53706"/>
    <w:rsid w:val="00E567AD"/>
    <w:rsid w:val="00E573C6"/>
    <w:rsid w:val="00E57CE2"/>
    <w:rsid w:val="00E61343"/>
    <w:rsid w:val="00E613BA"/>
    <w:rsid w:val="00E617BD"/>
    <w:rsid w:val="00E618D9"/>
    <w:rsid w:val="00E63BDE"/>
    <w:rsid w:val="00E6696D"/>
    <w:rsid w:val="00E67B7B"/>
    <w:rsid w:val="00E70503"/>
    <w:rsid w:val="00E705B4"/>
    <w:rsid w:val="00E70BBB"/>
    <w:rsid w:val="00E713BD"/>
    <w:rsid w:val="00E715DE"/>
    <w:rsid w:val="00E72967"/>
    <w:rsid w:val="00E72A19"/>
    <w:rsid w:val="00E74768"/>
    <w:rsid w:val="00E759B2"/>
    <w:rsid w:val="00E770B3"/>
    <w:rsid w:val="00E77BF2"/>
    <w:rsid w:val="00E801F1"/>
    <w:rsid w:val="00E8155D"/>
    <w:rsid w:val="00E829A2"/>
    <w:rsid w:val="00E8531B"/>
    <w:rsid w:val="00E86361"/>
    <w:rsid w:val="00E90C37"/>
    <w:rsid w:val="00E90EB9"/>
    <w:rsid w:val="00EA0E04"/>
    <w:rsid w:val="00EA0F11"/>
    <w:rsid w:val="00EA1E39"/>
    <w:rsid w:val="00EA220D"/>
    <w:rsid w:val="00EA3156"/>
    <w:rsid w:val="00EA39C8"/>
    <w:rsid w:val="00EA40A2"/>
    <w:rsid w:val="00EA4CD5"/>
    <w:rsid w:val="00EA518C"/>
    <w:rsid w:val="00EA58FB"/>
    <w:rsid w:val="00EA5D2C"/>
    <w:rsid w:val="00EA5D8E"/>
    <w:rsid w:val="00EA68DA"/>
    <w:rsid w:val="00EB07CF"/>
    <w:rsid w:val="00EB092D"/>
    <w:rsid w:val="00EB1E67"/>
    <w:rsid w:val="00EB2028"/>
    <w:rsid w:val="00EB3B88"/>
    <w:rsid w:val="00EB3C58"/>
    <w:rsid w:val="00EC3B8F"/>
    <w:rsid w:val="00EC5CA0"/>
    <w:rsid w:val="00EC7372"/>
    <w:rsid w:val="00EC763F"/>
    <w:rsid w:val="00ED30E8"/>
    <w:rsid w:val="00ED3B69"/>
    <w:rsid w:val="00ED48BE"/>
    <w:rsid w:val="00ED554A"/>
    <w:rsid w:val="00ED57FE"/>
    <w:rsid w:val="00ED5E3D"/>
    <w:rsid w:val="00ED6CD1"/>
    <w:rsid w:val="00EE14AC"/>
    <w:rsid w:val="00EE2E66"/>
    <w:rsid w:val="00EE3548"/>
    <w:rsid w:val="00EE5F2E"/>
    <w:rsid w:val="00EE693B"/>
    <w:rsid w:val="00EE6B2A"/>
    <w:rsid w:val="00EE783F"/>
    <w:rsid w:val="00EE7C15"/>
    <w:rsid w:val="00EF045F"/>
    <w:rsid w:val="00EF17CF"/>
    <w:rsid w:val="00EF26B5"/>
    <w:rsid w:val="00EF35DA"/>
    <w:rsid w:val="00EF4A64"/>
    <w:rsid w:val="00EF4D79"/>
    <w:rsid w:val="00EF7891"/>
    <w:rsid w:val="00F00407"/>
    <w:rsid w:val="00F02171"/>
    <w:rsid w:val="00F033EF"/>
    <w:rsid w:val="00F05DC3"/>
    <w:rsid w:val="00F061A6"/>
    <w:rsid w:val="00F107AF"/>
    <w:rsid w:val="00F11A06"/>
    <w:rsid w:val="00F11AB3"/>
    <w:rsid w:val="00F1285A"/>
    <w:rsid w:val="00F12DD0"/>
    <w:rsid w:val="00F13BEF"/>
    <w:rsid w:val="00F15D77"/>
    <w:rsid w:val="00F20633"/>
    <w:rsid w:val="00F218DA"/>
    <w:rsid w:val="00F231F4"/>
    <w:rsid w:val="00F23595"/>
    <w:rsid w:val="00F23E81"/>
    <w:rsid w:val="00F25CFE"/>
    <w:rsid w:val="00F3060F"/>
    <w:rsid w:val="00F30788"/>
    <w:rsid w:val="00F31C6A"/>
    <w:rsid w:val="00F32886"/>
    <w:rsid w:val="00F35243"/>
    <w:rsid w:val="00F368AF"/>
    <w:rsid w:val="00F4018F"/>
    <w:rsid w:val="00F43E6E"/>
    <w:rsid w:val="00F44363"/>
    <w:rsid w:val="00F44423"/>
    <w:rsid w:val="00F454DD"/>
    <w:rsid w:val="00F45C9D"/>
    <w:rsid w:val="00F51236"/>
    <w:rsid w:val="00F51B47"/>
    <w:rsid w:val="00F5374C"/>
    <w:rsid w:val="00F541B8"/>
    <w:rsid w:val="00F5474D"/>
    <w:rsid w:val="00F54F4F"/>
    <w:rsid w:val="00F56CC2"/>
    <w:rsid w:val="00F574B7"/>
    <w:rsid w:val="00F60BC0"/>
    <w:rsid w:val="00F61B7F"/>
    <w:rsid w:val="00F61C75"/>
    <w:rsid w:val="00F62370"/>
    <w:rsid w:val="00F62437"/>
    <w:rsid w:val="00F628D3"/>
    <w:rsid w:val="00F62DC7"/>
    <w:rsid w:val="00F6497E"/>
    <w:rsid w:val="00F677E2"/>
    <w:rsid w:val="00F67C16"/>
    <w:rsid w:val="00F71FD1"/>
    <w:rsid w:val="00F73751"/>
    <w:rsid w:val="00F75A95"/>
    <w:rsid w:val="00F75EAD"/>
    <w:rsid w:val="00F77154"/>
    <w:rsid w:val="00F77239"/>
    <w:rsid w:val="00F80F33"/>
    <w:rsid w:val="00F846D6"/>
    <w:rsid w:val="00F906D2"/>
    <w:rsid w:val="00F9173A"/>
    <w:rsid w:val="00F91800"/>
    <w:rsid w:val="00F94BA1"/>
    <w:rsid w:val="00F94E99"/>
    <w:rsid w:val="00F95447"/>
    <w:rsid w:val="00F9650A"/>
    <w:rsid w:val="00F965BB"/>
    <w:rsid w:val="00F967C7"/>
    <w:rsid w:val="00F96908"/>
    <w:rsid w:val="00FA0437"/>
    <w:rsid w:val="00FA0ACD"/>
    <w:rsid w:val="00FA16EC"/>
    <w:rsid w:val="00FA233F"/>
    <w:rsid w:val="00FA2E05"/>
    <w:rsid w:val="00FA2E5F"/>
    <w:rsid w:val="00FA32DB"/>
    <w:rsid w:val="00FA4A90"/>
    <w:rsid w:val="00FA6902"/>
    <w:rsid w:val="00FA7D57"/>
    <w:rsid w:val="00FB0008"/>
    <w:rsid w:val="00FB071C"/>
    <w:rsid w:val="00FB3EA0"/>
    <w:rsid w:val="00FB4127"/>
    <w:rsid w:val="00FB55F4"/>
    <w:rsid w:val="00FB6B37"/>
    <w:rsid w:val="00FB76C1"/>
    <w:rsid w:val="00FB7962"/>
    <w:rsid w:val="00FC0B63"/>
    <w:rsid w:val="00FC1A4F"/>
    <w:rsid w:val="00FC2209"/>
    <w:rsid w:val="00FC3860"/>
    <w:rsid w:val="00FC44B0"/>
    <w:rsid w:val="00FC5F6B"/>
    <w:rsid w:val="00FC61D1"/>
    <w:rsid w:val="00FC638E"/>
    <w:rsid w:val="00FC7531"/>
    <w:rsid w:val="00FC7EAA"/>
    <w:rsid w:val="00FD1156"/>
    <w:rsid w:val="00FD3F39"/>
    <w:rsid w:val="00FD4B62"/>
    <w:rsid w:val="00FD4FA5"/>
    <w:rsid w:val="00FD5166"/>
    <w:rsid w:val="00FD5AA4"/>
    <w:rsid w:val="00FE46AD"/>
    <w:rsid w:val="00FE52E4"/>
    <w:rsid w:val="00FE5410"/>
    <w:rsid w:val="00FE66C4"/>
    <w:rsid w:val="00FF2D44"/>
    <w:rsid w:val="00FF3D95"/>
    <w:rsid w:val="00FF456A"/>
    <w:rsid w:val="00FF4B8C"/>
    <w:rsid w:val="00FF6204"/>
    <w:rsid w:val="00FF62CB"/>
    <w:rsid w:val="00FF634D"/>
    <w:rsid w:val="00FF6BDF"/>
    <w:rsid w:val="00FF6D25"/>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E203EB"/>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762"/>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31D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ar"/>
    <w:uiPriority w:val="9"/>
    <w:semiHidden/>
    <w:unhideWhenUsed/>
    <w:qFormat/>
    <w:rsid w:val="00C5682B"/>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AF7614"/>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891760"/>
    <w:rPr>
      <w:color w:val="605E5C"/>
      <w:shd w:val="clear" w:color="auto" w:fill="E1DFDD"/>
    </w:rPr>
  </w:style>
  <w:style w:type="paragraph" w:styleId="NormalWeb">
    <w:name w:val="Normal (Web)"/>
    <w:basedOn w:val="Normal"/>
    <w:uiPriority w:val="99"/>
    <w:unhideWhenUsed/>
    <w:rsid w:val="00255DE6"/>
    <w:pPr>
      <w:spacing w:before="100" w:beforeAutospacing="1" w:after="100" w:afterAutospacing="1"/>
    </w:pPr>
    <w:rPr>
      <w:sz w:val="24"/>
      <w:szCs w:val="24"/>
      <w:lang w:val="es-ES"/>
    </w:rPr>
  </w:style>
  <w:style w:type="character" w:customStyle="1" w:styleId="Ttulo6Car">
    <w:name w:val="Título 6 Car"/>
    <w:basedOn w:val="Fuentedeprrafopredeter"/>
    <w:link w:val="Ttulo6"/>
    <w:uiPriority w:val="9"/>
    <w:semiHidden/>
    <w:rsid w:val="00AF7614"/>
    <w:rPr>
      <w:rFonts w:asciiTheme="majorHAnsi" w:eastAsiaTheme="majorEastAsia" w:hAnsiTheme="majorHAnsi" w:cstheme="majorBidi"/>
      <w:color w:val="1F3763" w:themeColor="accent1" w:themeShade="7F"/>
      <w:sz w:val="20"/>
      <w:szCs w:val="20"/>
      <w:lang w:eastAsia="es-ES"/>
    </w:rPr>
  </w:style>
  <w:style w:type="character" w:customStyle="1" w:styleId="Mencinsinresolver2">
    <w:name w:val="Mención sin resolver2"/>
    <w:basedOn w:val="Fuentedeprrafopredeter"/>
    <w:uiPriority w:val="99"/>
    <w:semiHidden/>
    <w:unhideWhenUsed/>
    <w:rsid w:val="007C1752"/>
    <w:rPr>
      <w:color w:val="605E5C"/>
      <w:shd w:val="clear" w:color="auto" w:fill="E1DFDD"/>
    </w:rPr>
  </w:style>
  <w:style w:type="character" w:customStyle="1" w:styleId="Ttulo5Car">
    <w:name w:val="Título 5 Car"/>
    <w:basedOn w:val="Fuentedeprrafopredeter"/>
    <w:link w:val="Ttulo5"/>
    <w:uiPriority w:val="9"/>
    <w:semiHidden/>
    <w:rsid w:val="00C5682B"/>
    <w:rPr>
      <w:rFonts w:asciiTheme="majorHAnsi" w:eastAsiaTheme="majorEastAsia" w:hAnsiTheme="majorHAnsi" w:cstheme="majorBidi"/>
      <w:color w:val="2F5496" w:themeColor="accent1" w:themeShade="BF"/>
      <w:sz w:val="20"/>
      <w:szCs w:val="20"/>
      <w:lang w:eastAsia="es-ES"/>
    </w:rPr>
  </w:style>
  <w:style w:type="character" w:customStyle="1" w:styleId="Mencinsinresolver3">
    <w:name w:val="Mención sin resolver3"/>
    <w:basedOn w:val="Fuentedeprrafopredeter"/>
    <w:uiPriority w:val="99"/>
    <w:semiHidden/>
    <w:unhideWhenUsed/>
    <w:rsid w:val="002E5910"/>
    <w:rPr>
      <w:color w:val="605E5C"/>
      <w:shd w:val="clear" w:color="auto" w:fill="E1DFDD"/>
    </w:rPr>
  </w:style>
  <w:style w:type="character" w:styleId="Mencinsinresolver">
    <w:name w:val="Unresolved Mention"/>
    <w:basedOn w:val="Fuentedeprrafopredeter"/>
    <w:uiPriority w:val="99"/>
    <w:semiHidden/>
    <w:unhideWhenUsed/>
    <w:rsid w:val="004B07A1"/>
    <w:rPr>
      <w:color w:val="605E5C"/>
      <w:shd w:val="clear" w:color="auto" w:fill="E1DFDD"/>
    </w:rPr>
  </w:style>
  <w:style w:type="character" w:customStyle="1" w:styleId="Ttulo2Car">
    <w:name w:val="Título 2 Car"/>
    <w:basedOn w:val="Fuentedeprrafopredeter"/>
    <w:link w:val="Ttulo2"/>
    <w:uiPriority w:val="9"/>
    <w:rsid w:val="00531DD0"/>
    <w:rPr>
      <w:rFonts w:asciiTheme="majorHAnsi" w:eastAsiaTheme="majorEastAsia" w:hAnsiTheme="majorHAnsi" w:cstheme="majorBidi"/>
      <w:color w:val="2F5496" w:themeColor="accent1" w:themeShade="BF"/>
      <w:sz w:val="26"/>
      <w:szCs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20345385">
      <w:bodyDiv w:val="1"/>
      <w:marLeft w:val="0"/>
      <w:marRight w:val="0"/>
      <w:marTop w:val="0"/>
      <w:marBottom w:val="0"/>
      <w:divBdr>
        <w:top w:val="none" w:sz="0" w:space="0" w:color="auto"/>
        <w:left w:val="none" w:sz="0" w:space="0" w:color="auto"/>
        <w:bottom w:val="none" w:sz="0" w:space="0" w:color="auto"/>
        <w:right w:val="none" w:sz="0" w:space="0" w:color="auto"/>
      </w:divBdr>
    </w:div>
    <w:div w:id="138234821">
      <w:bodyDiv w:val="1"/>
      <w:marLeft w:val="0"/>
      <w:marRight w:val="0"/>
      <w:marTop w:val="0"/>
      <w:marBottom w:val="0"/>
      <w:divBdr>
        <w:top w:val="none" w:sz="0" w:space="0" w:color="auto"/>
        <w:left w:val="none" w:sz="0" w:space="0" w:color="auto"/>
        <w:bottom w:val="none" w:sz="0" w:space="0" w:color="auto"/>
        <w:right w:val="none" w:sz="0" w:space="0" w:color="auto"/>
      </w:divBdr>
    </w:div>
    <w:div w:id="142739494">
      <w:bodyDiv w:val="1"/>
      <w:marLeft w:val="0"/>
      <w:marRight w:val="0"/>
      <w:marTop w:val="0"/>
      <w:marBottom w:val="0"/>
      <w:divBdr>
        <w:top w:val="none" w:sz="0" w:space="0" w:color="auto"/>
        <w:left w:val="none" w:sz="0" w:space="0" w:color="auto"/>
        <w:bottom w:val="none" w:sz="0" w:space="0" w:color="auto"/>
        <w:right w:val="none" w:sz="0" w:space="0" w:color="auto"/>
      </w:divBdr>
    </w:div>
    <w:div w:id="156116579">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191918027">
      <w:bodyDiv w:val="1"/>
      <w:marLeft w:val="0"/>
      <w:marRight w:val="0"/>
      <w:marTop w:val="0"/>
      <w:marBottom w:val="0"/>
      <w:divBdr>
        <w:top w:val="none" w:sz="0" w:space="0" w:color="auto"/>
        <w:left w:val="none" w:sz="0" w:space="0" w:color="auto"/>
        <w:bottom w:val="none" w:sz="0" w:space="0" w:color="auto"/>
        <w:right w:val="none" w:sz="0" w:space="0" w:color="auto"/>
      </w:divBdr>
    </w:div>
    <w:div w:id="198053936">
      <w:bodyDiv w:val="1"/>
      <w:marLeft w:val="0"/>
      <w:marRight w:val="0"/>
      <w:marTop w:val="0"/>
      <w:marBottom w:val="0"/>
      <w:divBdr>
        <w:top w:val="none" w:sz="0" w:space="0" w:color="auto"/>
        <w:left w:val="none" w:sz="0" w:space="0" w:color="auto"/>
        <w:bottom w:val="none" w:sz="0" w:space="0" w:color="auto"/>
        <w:right w:val="none" w:sz="0" w:space="0" w:color="auto"/>
      </w:divBdr>
    </w:div>
    <w:div w:id="208804969">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1862910">
      <w:bodyDiv w:val="1"/>
      <w:marLeft w:val="0"/>
      <w:marRight w:val="0"/>
      <w:marTop w:val="0"/>
      <w:marBottom w:val="0"/>
      <w:divBdr>
        <w:top w:val="none" w:sz="0" w:space="0" w:color="auto"/>
        <w:left w:val="none" w:sz="0" w:space="0" w:color="auto"/>
        <w:bottom w:val="none" w:sz="0" w:space="0" w:color="auto"/>
        <w:right w:val="none" w:sz="0" w:space="0" w:color="auto"/>
      </w:divBdr>
    </w:div>
    <w:div w:id="272248118">
      <w:bodyDiv w:val="1"/>
      <w:marLeft w:val="0"/>
      <w:marRight w:val="0"/>
      <w:marTop w:val="0"/>
      <w:marBottom w:val="0"/>
      <w:divBdr>
        <w:top w:val="none" w:sz="0" w:space="0" w:color="auto"/>
        <w:left w:val="none" w:sz="0" w:space="0" w:color="auto"/>
        <w:bottom w:val="none" w:sz="0" w:space="0" w:color="auto"/>
        <w:right w:val="none" w:sz="0" w:space="0" w:color="auto"/>
      </w:divBdr>
    </w:div>
    <w:div w:id="285427073">
      <w:bodyDiv w:val="1"/>
      <w:marLeft w:val="0"/>
      <w:marRight w:val="0"/>
      <w:marTop w:val="0"/>
      <w:marBottom w:val="0"/>
      <w:divBdr>
        <w:top w:val="none" w:sz="0" w:space="0" w:color="auto"/>
        <w:left w:val="none" w:sz="0" w:space="0" w:color="auto"/>
        <w:bottom w:val="none" w:sz="0" w:space="0" w:color="auto"/>
        <w:right w:val="none" w:sz="0" w:space="0" w:color="auto"/>
      </w:divBdr>
      <w:divsChild>
        <w:div w:id="1781023983">
          <w:marLeft w:val="0"/>
          <w:marRight w:val="0"/>
          <w:marTop w:val="0"/>
          <w:marBottom w:val="0"/>
          <w:divBdr>
            <w:top w:val="none" w:sz="0" w:space="0" w:color="auto"/>
            <w:left w:val="none" w:sz="0" w:space="0" w:color="auto"/>
            <w:bottom w:val="none" w:sz="0" w:space="0" w:color="auto"/>
            <w:right w:val="none" w:sz="0" w:space="0" w:color="auto"/>
          </w:divBdr>
          <w:divsChild>
            <w:div w:id="1597135751">
              <w:marLeft w:val="0"/>
              <w:marRight w:val="0"/>
              <w:marTop w:val="0"/>
              <w:marBottom w:val="0"/>
              <w:divBdr>
                <w:top w:val="none" w:sz="0" w:space="0" w:color="auto"/>
                <w:left w:val="none" w:sz="0" w:space="0" w:color="auto"/>
                <w:bottom w:val="none" w:sz="0" w:space="0" w:color="auto"/>
                <w:right w:val="none" w:sz="0" w:space="0" w:color="auto"/>
              </w:divBdr>
              <w:divsChild>
                <w:div w:id="181744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041240">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0008886">
      <w:bodyDiv w:val="1"/>
      <w:marLeft w:val="0"/>
      <w:marRight w:val="0"/>
      <w:marTop w:val="0"/>
      <w:marBottom w:val="0"/>
      <w:divBdr>
        <w:top w:val="none" w:sz="0" w:space="0" w:color="auto"/>
        <w:left w:val="none" w:sz="0" w:space="0" w:color="auto"/>
        <w:bottom w:val="none" w:sz="0" w:space="0" w:color="auto"/>
        <w:right w:val="none" w:sz="0" w:space="0" w:color="auto"/>
      </w:divBdr>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727374">
      <w:bodyDiv w:val="1"/>
      <w:marLeft w:val="0"/>
      <w:marRight w:val="0"/>
      <w:marTop w:val="0"/>
      <w:marBottom w:val="0"/>
      <w:divBdr>
        <w:top w:val="none" w:sz="0" w:space="0" w:color="auto"/>
        <w:left w:val="none" w:sz="0" w:space="0" w:color="auto"/>
        <w:bottom w:val="none" w:sz="0" w:space="0" w:color="auto"/>
        <w:right w:val="none" w:sz="0" w:space="0" w:color="auto"/>
      </w:divBdr>
    </w:div>
    <w:div w:id="369578009">
      <w:bodyDiv w:val="1"/>
      <w:marLeft w:val="0"/>
      <w:marRight w:val="0"/>
      <w:marTop w:val="0"/>
      <w:marBottom w:val="0"/>
      <w:divBdr>
        <w:top w:val="none" w:sz="0" w:space="0" w:color="auto"/>
        <w:left w:val="none" w:sz="0" w:space="0" w:color="auto"/>
        <w:bottom w:val="none" w:sz="0" w:space="0" w:color="auto"/>
        <w:right w:val="none" w:sz="0" w:space="0" w:color="auto"/>
      </w:divBdr>
      <w:divsChild>
        <w:div w:id="777484007">
          <w:marLeft w:val="0"/>
          <w:marRight w:val="0"/>
          <w:marTop w:val="0"/>
          <w:marBottom w:val="0"/>
          <w:divBdr>
            <w:top w:val="none" w:sz="0" w:space="0" w:color="auto"/>
            <w:left w:val="none" w:sz="0" w:space="0" w:color="auto"/>
            <w:bottom w:val="none" w:sz="0" w:space="0" w:color="auto"/>
            <w:right w:val="none" w:sz="0" w:space="0" w:color="auto"/>
          </w:divBdr>
          <w:divsChild>
            <w:div w:id="1864172969">
              <w:marLeft w:val="0"/>
              <w:marRight w:val="0"/>
              <w:marTop w:val="0"/>
              <w:marBottom w:val="0"/>
              <w:divBdr>
                <w:top w:val="none" w:sz="0" w:space="0" w:color="auto"/>
                <w:left w:val="none" w:sz="0" w:space="0" w:color="auto"/>
                <w:bottom w:val="none" w:sz="0" w:space="0" w:color="auto"/>
                <w:right w:val="none" w:sz="0" w:space="0" w:color="auto"/>
              </w:divBdr>
              <w:divsChild>
                <w:div w:id="152405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4471483">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390854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168658">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426431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1274106">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08844788">
      <w:bodyDiv w:val="1"/>
      <w:marLeft w:val="0"/>
      <w:marRight w:val="0"/>
      <w:marTop w:val="0"/>
      <w:marBottom w:val="0"/>
      <w:divBdr>
        <w:top w:val="none" w:sz="0" w:space="0" w:color="auto"/>
        <w:left w:val="none" w:sz="0" w:space="0" w:color="auto"/>
        <w:bottom w:val="none" w:sz="0" w:space="0" w:color="auto"/>
        <w:right w:val="none" w:sz="0" w:space="0" w:color="auto"/>
      </w:divBdr>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7362013">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7550302">
      <w:bodyDiv w:val="1"/>
      <w:marLeft w:val="0"/>
      <w:marRight w:val="0"/>
      <w:marTop w:val="0"/>
      <w:marBottom w:val="0"/>
      <w:divBdr>
        <w:top w:val="none" w:sz="0" w:space="0" w:color="auto"/>
        <w:left w:val="none" w:sz="0" w:space="0" w:color="auto"/>
        <w:bottom w:val="none" w:sz="0" w:space="0" w:color="auto"/>
        <w:right w:val="none" w:sz="0" w:space="0" w:color="auto"/>
      </w:divBdr>
    </w:div>
    <w:div w:id="855115951">
      <w:bodyDiv w:val="1"/>
      <w:marLeft w:val="0"/>
      <w:marRight w:val="0"/>
      <w:marTop w:val="0"/>
      <w:marBottom w:val="0"/>
      <w:divBdr>
        <w:top w:val="none" w:sz="0" w:space="0" w:color="auto"/>
        <w:left w:val="none" w:sz="0" w:space="0" w:color="auto"/>
        <w:bottom w:val="none" w:sz="0" w:space="0" w:color="auto"/>
        <w:right w:val="none" w:sz="0" w:space="0" w:color="auto"/>
      </w:divBdr>
    </w:div>
    <w:div w:id="865292237">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9146365">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5860439">
      <w:bodyDiv w:val="1"/>
      <w:marLeft w:val="0"/>
      <w:marRight w:val="0"/>
      <w:marTop w:val="0"/>
      <w:marBottom w:val="0"/>
      <w:divBdr>
        <w:top w:val="none" w:sz="0" w:space="0" w:color="auto"/>
        <w:left w:val="none" w:sz="0" w:space="0" w:color="auto"/>
        <w:bottom w:val="none" w:sz="0" w:space="0" w:color="auto"/>
        <w:right w:val="none" w:sz="0" w:space="0" w:color="auto"/>
      </w:divBdr>
    </w:div>
    <w:div w:id="1016005999">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48992560">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095204274">
      <w:bodyDiv w:val="1"/>
      <w:marLeft w:val="0"/>
      <w:marRight w:val="0"/>
      <w:marTop w:val="0"/>
      <w:marBottom w:val="0"/>
      <w:divBdr>
        <w:top w:val="none" w:sz="0" w:space="0" w:color="auto"/>
        <w:left w:val="none" w:sz="0" w:space="0" w:color="auto"/>
        <w:bottom w:val="none" w:sz="0" w:space="0" w:color="auto"/>
        <w:right w:val="none" w:sz="0" w:space="0" w:color="auto"/>
      </w:divBdr>
    </w:div>
    <w:div w:id="1105923685">
      <w:bodyDiv w:val="1"/>
      <w:marLeft w:val="0"/>
      <w:marRight w:val="0"/>
      <w:marTop w:val="0"/>
      <w:marBottom w:val="0"/>
      <w:divBdr>
        <w:top w:val="none" w:sz="0" w:space="0" w:color="auto"/>
        <w:left w:val="none" w:sz="0" w:space="0" w:color="auto"/>
        <w:bottom w:val="none" w:sz="0" w:space="0" w:color="auto"/>
        <w:right w:val="none" w:sz="0" w:space="0" w:color="auto"/>
      </w:divBdr>
      <w:divsChild>
        <w:div w:id="1863935922">
          <w:marLeft w:val="0"/>
          <w:marRight w:val="0"/>
          <w:marTop w:val="0"/>
          <w:marBottom w:val="0"/>
          <w:divBdr>
            <w:top w:val="none" w:sz="0" w:space="0" w:color="auto"/>
            <w:left w:val="none" w:sz="0" w:space="0" w:color="auto"/>
            <w:bottom w:val="none" w:sz="0" w:space="0" w:color="auto"/>
            <w:right w:val="none" w:sz="0" w:space="0" w:color="auto"/>
          </w:divBdr>
          <w:divsChild>
            <w:div w:id="2119138449">
              <w:marLeft w:val="0"/>
              <w:marRight w:val="0"/>
              <w:marTop w:val="0"/>
              <w:marBottom w:val="0"/>
              <w:divBdr>
                <w:top w:val="none" w:sz="0" w:space="0" w:color="auto"/>
                <w:left w:val="none" w:sz="0" w:space="0" w:color="auto"/>
                <w:bottom w:val="none" w:sz="0" w:space="0" w:color="auto"/>
                <w:right w:val="none" w:sz="0" w:space="0" w:color="auto"/>
              </w:divBdr>
              <w:divsChild>
                <w:div w:id="112971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35971">
      <w:bodyDiv w:val="1"/>
      <w:marLeft w:val="0"/>
      <w:marRight w:val="0"/>
      <w:marTop w:val="0"/>
      <w:marBottom w:val="0"/>
      <w:divBdr>
        <w:top w:val="none" w:sz="0" w:space="0" w:color="auto"/>
        <w:left w:val="none" w:sz="0" w:space="0" w:color="auto"/>
        <w:bottom w:val="none" w:sz="0" w:space="0" w:color="auto"/>
        <w:right w:val="none" w:sz="0" w:space="0" w:color="auto"/>
      </w:divBdr>
    </w:div>
    <w:div w:id="1120346498">
      <w:bodyDiv w:val="1"/>
      <w:marLeft w:val="0"/>
      <w:marRight w:val="0"/>
      <w:marTop w:val="0"/>
      <w:marBottom w:val="0"/>
      <w:divBdr>
        <w:top w:val="none" w:sz="0" w:space="0" w:color="auto"/>
        <w:left w:val="none" w:sz="0" w:space="0" w:color="auto"/>
        <w:bottom w:val="none" w:sz="0" w:space="0" w:color="auto"/>
        <w:right w:val="none" w:sz="0" w:space="0" w:color="auto"/>
      </w:divBdr>
      <w:divsChild>
        <w:div w:id="1121462196">
          <w:marLeft w:val="0"/>
          <w:marRight w:val="0"/>
          <w:marTop w:val="0"/>
          <w:marBottom w:val="0"/>
          <w:divBdr>
            <w:top w:val="none" w:sz="0" w:space="0" w:color="auto"/>
            <w:left w:val="none" w:sz="0" w:space="0" w:color="auto"/>
            <w:bottom w:val="none" w:sz="0" w:space="0" w:color="auto"/>
            <w:right w:val="none" w:sz="0" w:space="0" w:color="auto"/>
          </w:divBdr>
          <w:divsChild>
            <w:div w:id="717708236">
              <w:marLeft w:val="0"/>
              <w:marRight w:val="0"/>
              <w:marTop w:val="0"/>
              <w:marBottom w:val="0"/>
              <w:divBdr>
                <w:top w:val="none" w:sz="0" w:space="0" w:color="auto"/>
                <w:left w:val="none" w:sz="0" w:space="0" w:color="auto"/>
                <w:bottom w:val="none" w:sz="0" w:space="0" w:color="auto"/>
                <w:right w:val="none" w:sz="0" w:space="0" w:color="auto"/>
              </w:divBdr>
              <w:divsChild>
                <w:div w:id="166967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56200">
      <w:bodyDiv w:val="1"/>
      <w:marLeft w:val="0"/>
      <w:marRight w:val="0"/>
      <w:marTop w:val="0"/>
      <w:marBottom w:val="0"/>
      <w:divBdr>
        <w:top w:val="none" w:sz="0" w:space="0" w:color="auto"/>
        <w:left w:val="none" w:sz="0" w:space="0" w:color="auto"/>
        <w:bottom w:val="none" w:sz="0" w:space="0" w:color="auto"/>
        <w:right w:val="none" w:sz="0" w:space="0" w:color="auto"/>
      </w:divBdr>
    </w:div>
    <w:div w:id="114192507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2165216">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44686411">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09045357">
      <w:bodyDiv w:val="1"/>
      <w:marLeft w:val="0"/>
      <w:marRight w:val="0"/>
      <w:marTop w:val="0"/>
      <w:marBottom w:val="0"/>
      <w:divBdr>
        <w:top w:val="none" w:sz="0" w:space="0" w:color="auto"/>
        <w:left w:val="none" w:sz="0" w:space="0" w:color="auto"/>
        <w:bottom w:val="none" w:sz="0" w:space="0" w:color="auto"/>
        <w:right w:val="none" w:sz="0" w:space="0" w:color="auto"/>
      </w:divBdr>
    </w:div>
    <w:div w:id="1335575480">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49678738">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9935069">
      <w:bodyDiv w:val="1"/>
      <w:marLeft w:val="0"/>
      <w:marRight w:val="0"/>
      <w:marTop w:val="0"/>
      <w:marBottom w:val="0"/>
      <w:divBdr>
        <w:top w:val="none" w:sz="0" w:space="0" w:color="auto"/>
        <w:left w:val="none" w:sz="0" w:space="0" w:color="auto"/>
        <w:bottom w:val="none" w:sz="0" w:space="0" w:color="auto"/>
        <w:right w:val="none" w:sz="0" w:space="0" w:color="auto"/>
      </w:divBdr>
      <w:divsChild>
        <w:div w:id="1063603968">
          <w:marLeft w:val="0"/>
          <w:marRight w:val="0"/>
          <w:marTop w:val="0"/>
          <w:marBottom w:val="0"/>
          <w:divBdr>
            <w:top w:val="none" w:sz="0" w:space="0" w:color="auto"/>
            <w:left w:val="none" w:sz="0" w:space="0" w:color="auto"/>
            <w:bottom w:val="none" w:sz="0" w:space="0" w:color="auto"/>
            <w:right w:val="none" w:sz="0" w:space="0" w:color="auto"/>
          </w:divBdr>
          <w:divsChild>
            <w:div w:id="1896742943">
              <w:marLeft w:val="0"/>
              <w:marRight w:val="0"/>
              <w:marTop w:val="0"/>
              <w:marBottom w:val="0"/>
              <w:divBdr>
                <w:top w:val="none" w:sz="0" w:space="0" w:color="auto"/>
                <w:left w:val="none" w:sz="0" w:space="0" w:color="auto"/>
                <w:bottom w:val="none" w:sz="0" w:space="0" w:color="auto"/>
                <w:right w:val="none" w:sz="0" w:space="0" w:color="auto"/>
              </w:divBdr>
              <w:divsChild>
                <w:div w:id="16736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2919964">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4809409">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604503">
      <w:bodyDiv w:val="1"/>
      <w:marLeft w:val="0"/>
      <w:marRight w:val="0"/>
      <w:marTop w:val="0"/>
      <w:marBottom w:val="0"/>
      <w:divBdr>
        <w:top w:val="none" w:sz="0" w:space="0" w:color="auto"/>
        <w:left w:val="none" w:sz="0" w:space="0" w:color="auto"/>
        <w:bottom w:val="none" w:sz="0" w:space="0" w:color="auto"/>
        <w:right w:val="none" w:sz="0" w:space="0" w:color="auto"/>
      </w:divBdr>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0874330">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625433">
      <w:bodyDiv w:val="1"/>
      <w:marLeft w:val="0"/>
      <w:marRight w:val="0"/>
      <w:marTop w:val="0"/>
      <w:marBottom w:val="0"/>
      <w:divBdr>
        <w:top w:val="none" w:sz="0" w:space="0" w:color="auto"/>
        <w:left w:val="none" w:sz="0" w:space="0" w:color="auto"/>
        <w:bottom w:val="none" w:sz="0" w:space="0" w:color="auto"/>
        <w:right w:val="none" w:sz="0" w:space="0" w:color="auto"/>
      </w:divBdr>
    </w:div>
    <w:div w:id="1597980479">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29312404">
      <w:bodyDiv w:val="1"/>
      <w:marLeft w:val="0"/>
      <w:marRight w:val="0"/>
      <w:marTop w:val="0"/>
      <w:marBottom w:val="0"/>
      <w:divBdr>
        <w:top w:val="none" w:sz="0" w:space="0" w:color="auto"/>
        <w:left w:val="none" w:sz="0" w:space="0" w:color="auto"/>
        <w:bottom w:val="none" w:sz="0" w:space="0" w:color="auto"/>
        <w:right w:val="none" w:sz="0" w:space="0" w:color="auto"/>
      </w:divBdr>
      <w:divsChild>
        <w:div w:id="1388914133">
          <w:marLeft w:val="0"/>
          <w:marRight w:val="0"/>
          <w:marTop w:val="0"/>
          <w:marBottom w:val="0"/>
          <w:divBdr>
            <w:top w:val="none" w:sz="0" w:space="0" w:color="auto"/>
            <w:left w:val="none" w:sz="0" w:space="0" w:color="auto"/>
            <w:bottom w:val="none" w:sz="0" w:space="0" w:color="auto"/>
            <w:right w:val="none" w:sz="0" w:space="0" w:color="auto"/>
          </w:divBdr>
          <w:divsChild>
            <w:div w:id="2126919839">
              <w:marLeft w:val="0"/>
              <w:marRight w:val="0"/>
              <w:marTop w:val="0"/>
              <w:marBottom w:val="0"/>
              <w:divBdr>
                <w:top w:val="none" w:sz="0" w:space="0" w:color="auto"/>
                <w:left w:val="none" w:sz="0" w:space="0" w:color="auto"/>
                <w:bottom w:val="none" w:sz="0" w:space="0" w:color="auto"/>
                <w:right w:val="none" w:sz="0" w:space="0" w:color="auto"/>
              </w:divBdr>
              <w:divsChild>
                <w:div w:id="12985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365434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686790230">
      <w:bodyDiv w:val="1"/>
      <w:marLeft w:val="0"/>
      <w:marRight w:val="0"/>
      <w:marTop w:val="0"/>
      <w:marBottom w:val="0"/>
      <w:divBdr>
        <w:top w:val="none" w:sz="0" w:space="0" w:color="auto"/>
        <w:left w:val="none" w:sz="0" w:space="0" w:color="auto"/>
        <w:bottom w:val="none" w:sz="0" w:space="0" w:color="auto"/>
        <w:right w:val="none" w:sz="0" w:space="0" w:color="auto"/>
      </w:divBdr>
    </w:div>
    <w:div w:id="1687905518">
      <w:bodyDiv w:val="1"/>
      <w:marLeft w:val="0"/>
      <w:marRight w:val="0"/>
      <w:marTop w:val="0"/>
      <w:marBottom w:val="0"/>
      <w:divBdr>
        <w:top w:val="none" w:sz="0" w:space="0" w:color="auto"/>
        <w:left w:val="none" w:sz="0" w:space="0" w:color="auto"/>
        <w:bottom w:val="none" w:sz="0" w:space="0" w:color="auto"/>
        <w:right w:val="none" w:sz="0" w:space="0" w:color="auto"/>
      </w:divBdr>
    </w:div>
    <w:div w:id="170054708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75397013">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76306026">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6785527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5521590">
      <w:bodyDiv w:val="1"/>
      <w:marLeft w:val="0"/>
      <w:marRight w:val="0"/>
      <w:marTop w:val="0"/>
      <w:marBottom w:val="0"/>
      <w:divBdr>
        <w:top w:val="none" w:sz="0" w:space="0" w:color="auto"/>
        <w:left w:val="none" w:sz="0" w:space="0" w:color="auto"/>
        <w:bottom w:val="none" w:sz="0" w:space="0" w:color="auto"/>
        <w:right w:val="none" w:sz="0" w:space="0" w:color="auto"/>
      </w:divBdr>
    </w:div>
    <w:div w:id="1990018802">
      <w:bodyDiv w:val="1"/>
      <w:marLeft w:val="0"/>
      <w:marRight w:val="0"/>
      <w:marTop w:val="0"/>
      <w:marBottom w:val="0"/>
      <w:divBdr>
        <w:top w:val="none" w:sz="0" w:space="0" w:color="auto"/>
        <w:left w:val="none" w:sz="0" w:space="0" w:color="auto"/>
        <w:bottom w:val="none" w:sz="0" w:space="0" w:color="auto"/>
        <w:right w:val="none" w:sz="0" w:space="0" w:color="auto"/>
      </w:divBdr>
      <w:divsChild>
        <w:div w:id="235626726">
          <w:marLeft w:val="0"/>
          <w:marRight w:val="0"/>
          <w:marTop w:val="0"/>
          <w:marBottom w:val="0"/>
          <w:divBdr>
            <w:top w:val="none" w:sz="0" w:space="0" w:color="auto"/>
            <w:left w:val="none" w:sz="0" w:space="0" w:color="auto"/>
            <w:bottom w:val="none" w:sz="0" w:space="0" w:color="auto"/>
            <w:right w:val="none" w:sz="0" w:space="0" w:color="auto"/>
          </w:divBdr>
          <w:divsChild>
            <w:div w:id="1279070703">
              <w:marLeft w:val="0"/>
              <w:marRight w:val="0"/>
              <w:marTop w:val="0"/>
              <w:marBottom w:val="0"/>
              <w:divBdr>
                <w:top w:val="none" w:sz="0" w:space="0" w:color="auto"/>
                <w:left w:val="none" w:sz="0" w:space="0" w:color="auto"/>
                <w:bottom w:val="none" w:sz="0" w:space="0" w:color="auto"/>
                <w:right w:val="none" w:sz="0" w:space="0" w:color="auto"/>
              </w:divBdr>
              <w:divsChild>
                <w:div w:id="9517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18475">
      <w:bodyDiv w:val="1"/>
      <w:marLeft w:val="0"/>
      <w:marRight w:val="0"/>
      <w:marTop w:val="0"/>
      <w:marBottom w:val="0"/>
      <w:divBdr>
        <w:top w:val="none" w:sz="0" w:space="0" w:color="auto"/>
        <w:left w:val="none" w:sz="0" w:space="0" w:color="auto"/>
        <w:bottom w:val="none" w:sz="0" w:space="0" w:color="auto"/>
        <w:right w:val="none" w:sz="0" w:space="0" w:color="auto"/>
      </w:divBdr>
      <w:divsChild>
        <w:div w:id="49503675">
          <w:marLeft w:val="0"/>
          <w:marRight w:val="0"/>
          <w:marTop w:val="0"/>
          <w:marBottom w:val="0"/>
          <w:divBdr>
            <w:top w:val="none" w:sz="0" w:space="0" w:color="auto"/>
            <w:left w:val="none" w:sz="0" w:space="0" w:color="auto"/>
            <w:bottom w:val="none" w:sz="0" w:space="0" w:color="auto"/>
            <w:right w:val="none" w:sz="0" w:space="0" w:color="auto"/>
          </w:divBdr>
          <w:divsChild>
            <w:div w:id="876308631">
              <w:marLeft w:val="0"/>
              <w:marRight w:val="0"/>
              <w:marTop w:val="0"/>
              <w:marBottom w:val="0"/>
              <w:divBdr>
                <w:top w:val="none" w:sz="0" w:space="0" w:color="auto"/>
                <w:left w:val="none" w:sz="0" w:space="0" w:color="auto"/>
                <w:bottom w:val="none" w:sz="0" w:space="0" w:color="auto"/>
                <w:right w:val="none" w:sz="0" w:space="0" w:color="auto"/>
              </w:divBdr>
              <w:divsChild>
                <w:div w:id="18512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09927">
      <w:bodyDiv w:val="1"/>
      <w:marLeft w:val="0"/>
      <w:marRight w:val="0"/>
      <w:marTop w:val="0"/>
      <w:marBottom w:val="0"/>
      <w:divBdr>
        <w:top w:val="none" w:sz="0" w:space="0" w:color="auto"/>
        <w:left w:val="none" w:sz="0" w:space="0" w:color="auto"/>
        <w:bottom w:val="none" w:sz="0" w:space="0" w:color="auto"/>
        <w:right w:val="none" w:sz="0" w:space="0" w:color="auto"/>
      </w:divBdr>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55427520">
      <w:bodyDiv w:val="1"/>
      <w:marLeft w:val="0"/>
      <w:marRight w:val="0"/>
      <w:marTop w:val="0"/>
      <w:marBottom w:val="0"/>
      <w:divBdr>
        <w:top w:val="none" w:sz="0" w:space="0" w:color="auto"/>
        <w:left w:val="none" w:sz="0" w:space="0" w:color="auto"/>
        <w:bottom w:val="none" w:sz="0" w:space="0" w:color="auto"/>
        <w:right w:val="none" w:sz="0" w:space="0" w:color="auto"/>
      </w:divBdr>
    </w:div>
    <w:div w:id="20607851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69104769">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8890646">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ipomex.org.mx/ipo3/lgt/indice/INFOEM/art_92_xiii.web" TargetMode="Externa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dof.gob.mx/nota_detalle.php?codigo=5573194&amp;fecha=23/09/2019" TargetMode="External"/><Relationship Id="rId17" Type="http://schemas.openxmlformats.org/officeDocument/2006/relationships/image" Target="media/image6.png"/><Relationship Id="rId25" Type="http://schemas.openxmlformats.org/officeDocument/2006/relationships/hyperlink" Target="https://www.ipomex.org.mx/ipo/lgt/indice/infoem/declaraciones.web"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emm.gob.mx/" TargetMode="Externa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saemm.gob.mx/"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declaranet.secogem.gob.mx/"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saemm.gob.mx/" TargetMode="External"/><Relationship Id="rId14" Type="http://schemas.openxmlformats.org/officeDocument/2006/relationships/hyperlink" Target="https://www.dof.gob.mx/nota_detalle.php?codigo=5573194&amp;fecha=23/09/2019"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52932-2A2B-8A49-AEB5-318202A21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50</Pages>
  <Words>10940</Words>
  <Characters>60174</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Lima Estrada</dc:creator>
  <cp:lastModifiedBy>Oswaldo Hernández</cp:lastModifiedBy>
  <cp:revision>7</cp:revision>
  <cp:lastPrinted>2018-10-17T21:03:00Z</cp:lastPrinted>
  <dcterms:created xsi:type="dcterms:W3CDTF">2022-01-27T22:26:00Z</dcterms:created>
  <dcterms:modified xsi:type="dcterms:W3CDTF">2022-02-08T03:35:00Z</dcterms:modified>
</cp:coreProperties>
</file>