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Revisión </w:t>
      </w:r>
      <w:r w:rsidDel="00000000" w:rsidR="00000000" w:rsidRPr="00000000">
        <w:rPr>
          <w:rFonts w:ascii="Palatino Linotype" w:cs="Palatino Linotype" w:eastAsia="Palatino Linotype" w:hAnsi="Palatino Linotype"/>
          <w:b w:val="1"/>
          <w:rtl w:val="0"/>
        </w:rPr>
        <w:t xml:space="preserve">05317/INFOEM/IP/RR/2022</w:t>
      </w:r>
      <w:r w:rsidDel="00000000" w:rsidR="00000000" w:rsidRPr="00000000">
        <w:rPr>
          <w:rFonts w:ascii="Palatino Linotype" w:cs="Palatino Linotype" w:eastAsia="Palatino Linotype" w:hAnsi="Palatino Linotype"/>
          <w:rtl w:val="0"/>
        </w:rPr>
        <w:t xml:space="preserve">, promovido por </w:t>
      </w:r>
      <w:r w:rsidDel="00000000" w:rsidR="00000000" w:rsidRPr="00000000">
        <w:rPr>
          <w:rFonts w:ascii="Palatino Linotype" w:cs="Palatino Linotype" w:eastAsia="Palatino Linotype" w:hAnsi="Palatino Linotype"/>
          <w:color w:val="000000"/>
          <w:rtl w:val="0"/>
        </w:rPr>
        <w:t xml:space="preserve">promovido por </w:t>
      </w:r>
      <w:r w:rsidDel="00000000" w:rsidR="00000000" w:rsidRPr="00000000">
        <w:rPr>
          <w:rFonts w:ascii="Palatino Linotype" w:cs="Palatino Linotype" w:eastAsia="Palatino Linotype" w:hAnsi="Palatino Linotype"/>
          <w:b w:val="1"/>
          <w:sz w:val="22"/>
          <w:szCs w:val="22"/>
          <w:rtl w:val="0"/>
        </w:rPr>
        <w:t xml:space="preserve">XXXXX XXXXXX XXXXXXXXX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a quien en lo sucesivo se denominará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rtl w:val="0"/>
        </w:rPr>
        <w:t xml:space="preserve"> en contra de </w:t>
      </w:r>
      <w:r w:rsidDel="00000000" w:rsidR="00000000" w:rsidRPr="00000000">
        <w:rPr>
          <w:rFonts w:ascii="Palatino Linotype" w:cs="Palatino Linotype" w:eastAsia="Palatino Linotype" w:hAnsi="Palatino Linotype"/>
          <w:color w:val="000000"/>
          <w:rtl w:val="0"/>
        </w:rPr>
        <w:t xml:space="preserve">la falta de respuesta del </w:t>
      </w:r>
      <w:r w:rsidDel="00000000" w:rsidR="00000000" w:rsidRPr="00000000">
        <w:rPr>
          <w:rFonts w:ascii="Palatino Linotype" w:cs="Palatino Linotype" w:eastAsia="Palatino Linotype" w:hAnsi="Palatino Linotype"/>
          <w:b w:val="1"/>
          <w:rtl w:val="0"/>
        </w:rPr>
        <w:t xml:space="preserve">Ayuntamiento de Otumba, </w:t>
      </w:r>
      <w:r w:rsidDel="00000000" w:rsidR="00000000" w:rsidRPr="00000000">
        <w:rPr>
          <w:rFonts w:ascii="Palatino Linotype" w:cs="Palatino Linotype" w:eastAsia="Palatino Linotype" w:hAnsi="Palatino Linotype"/>
          <w:rtl w:val="0"/>
        </w:rPr>
        <w:t xml:space="preserve">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lo sucesivo se le denominará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se procede a dictar la presente resolución con base en lo siguiente: </w:t>
      </w: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6">
      <w:pPr>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RESULTANDO</w:t>
      </w:r>
    </w:p>
    <w:p w:rsidR="00000000" w:rsidDel="00000000" w:rsidP="00000000" w:rsidRDefault="00000000" w:rsidRPr="00000000" w14:paraId="00000007">
      <w:pP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 De la Solicitud de Información</w:t>
      </w:r>
    </w:p>
    <w:p w:rsidR="00000000" w:rsidDel="00000000" w:rsidP="00000000" w:rsidRDefault="00000000" w:rsidRPr="00000000" w14:paraId="0000000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 </w:t>
      </w:r>
      <w:r w:rsidDel="00000000" w:rsidR="00000000" w:rsidRPr="00000000">
        <w:rPr>
          <w:rFonts w:ascii="Palatino Linotype" w:cs="Palatino Linotype" w:eastAsia="Palatino Linotype" w:hAnsi="Palatino Linotype"/>
          <w:b w:val="1"/>
          <w:rtl w:val="0"/>
        </w:rPr>
        <w:t xml:space="preserve">00052/OTUMBA/IP/2022</w:t>
      </w:r>
      <w:r w:rsidDel="00000000" w:rsidR="00000000" w:rsidRPr="00000000">
        <w:rPr>
          <w:rFonts w:ascii="Palatino Linotype" w:cs="Palatino Linotype" w:eastAsia="Palatino Linotype" w:hAnsi="Palatino Linotype"/>
          <w:rtl w:val="0"/>
        </w:rPr>
        <w:t xml:space="preserve">, mediante la cual requirió:</w:t>
      </w:r>
      <w:r w:rsidDel="00000000" w:rsidR="00000000" w:rsidRPr="00000000">
        <w:rPr>
          <w:rtl w:val="0"/>
        </w:rPr>
      </w:r>
    </w:p>
    <w:p w:rsidR="00000000" w:rsidDel="00000000" w:rsidP="00000000" w:rsidRDefault="00000000" w:rsidRPr="00000000" w14:paraId="0000000A">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 (Sic)</w:t>
      </w:r>
    </w:p>
    <w:p w:rsidR="00000000" w:rsidDel="00000000" w:rsidP="00000000" w:rsidRDefault="00000000" w:rsidRPr="00000000" w14:paraId="0000000C">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 Turno de requerimiento del Sujeto Obligado</w:t>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color w:val="000000"/>
          <w:rtl w:val="0"/>
        </w:rPr>
        <w:t xml:space="preserve">En cumplimiento al artículo 162 de la Ley de Transparencia y Acceso a la Información Pública del Estado de México y Municipios, el </w:t>
      </w:r>
      <w:r w:rsidDel="00000000" w:rsidR="00000000" w:rsidRPr="00000000">
        <w:rPr>
          <w:rFonts w:ascii="Palatino Linotype" w:cs="Palatino Linotype" w:eastAsia="Palatino Linotype" w:hAnsi="Palatino Linotype"/>
          <w:b w:val="1"/>
          <w:color w:val="000000"/>
          <w:rtl w:val="0"/>
        </w:rPr>
        <w:t xml:space="preserve">quince de febrero de dos mil veintidós</w:t>
      </w:r>
      <w:r w:rsidDel="00000000" w:rsidR="00000000" w:rsidRPr="00000000">
        <w:rPr>
          <w:rFonts w:ascii="Palatino Linotype" w:cs="Palatino Linotype" w:eastAsia="Palatino Linotype" w:hAnsi="Palatino Linotype"/>
          <w:color w:val="000000"/>
          <w:rtl w:val="0"/>
        </w:rPr>
        <w:t xml:space="preserve">, el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turnó el requerimiento de información al servidor público habilitado que estimó pertinente, a fin de colmar las solicitudes de acceso a la información; tal y como, se aprecia en la imagen siguiente:</w:t>
      </w:r>
      <w:r w:rsidDel="00000000" w:rsidR="00000000" w:rsidRPr="00000000">
        <w:rPr>
          <w:rtl w:val="0"/>
        </w:rPr>
      </w:r>
    </w:p>
    <w:p w:rsidR="00000000" w:rsidDel="00000000" w:rsidP="00000000" w:rsidRDefault="00000000" w:rsidRPr="00000000" w14:paraId="00000011">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2">
      <w:pPr>
        <w:spacing w:line="360" w:lineRule="auto"/>
        <w:jc w:val="both"/>
        <w:rPr>
          <w:rFonts w:ascii="Palatino Linotype" w:cs="Palatino Linotype" w:eastAsia="Palatino Linotype" w:hAnsi="Palatino Linotype"/>
          <w:b w:val="1"/>
          <w:sz w:val="28"/>
          <w:szCs w:val="28"/>
        </w:rPr>
      </w:pPr>
      <w:r w:rsidDel="00000000" w:rsidR="00000000" w:rsidRPr="00000000">
        <w:rPr/>
        <w:drawing>
          <wp:inline distB="0" distT="0" distL="0" distR="0">
            <wp:extent cx="5963965" cy="762109"/>
            <wp:effectExtent b="0" l="0" r="0" t="0"/>
            <wp:docPr id="12" name="image3.png"/>
            <a:graphic>
              <a:graphicData uri="http://schemas.openxmlformats.org/drawingml/2006/picture">
                <pic:pic>
                  <pic:nvPicPr>
                    <pic:cNvPr id="0" name="image3.png"/>
                    <pic:cNvPicPr preferRelativeResize="0"/>
                  </pic:nvPicPr>
                  <pic:blipFill>
                    <a:blip r:embed="rId8"/>
                    <a:srcRect b="36707" l="3915" r="3958" t="41976"/>
                    <a:stretch>
                      <a:fillRect/>
                    </a:stretch>
                  </pic:blipFill>
                  <pic:spPr>
                    <a:xfrm>
                      <a:off x="0" y="0"/>
                      <a:ext cx="5963965" cy="76210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III. Respuesta del Sujeto Obligado</w:t>
      </w:r>
    </w:p>
    <w:p w:rsidR="00000000" w:rsidDel="00000000" w:rsidP="00000000" w:rsidRDefault="00000000" w:rsidRPr="00000000" w14:paraId="0000001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constancias que obran en 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advierte que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no entregó la respuesta a la solicitud de Información Pública del particular.</w:t>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IV. Del Recurso Revisión</w:t>
      </w: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Inconforme por la falta de respuesta, en fecha </w:t>
      </w:r>
      <w:r w:rsidDel="00000000" w:rsidR="00000000" w:rsidRPr="00000000">
        <w:rPr>
          <w:rFonts w:ascii="Palatino Linotype" w:cs="Palatino Linotype" w:eastAsia="Palatino Linotype" w:hAnsi="Palatino Linotype"/>
          <w:b w:val="1"/>
          <w:color w:val="000000"/>
          <w:rtl w:val="0"/>
        </w:rPr>
        <w:t xml:space="preserve">uno de abril de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 interpuso el Recurso Revisión sujeto del presente estudio, el cual fue registrado en </w:t>
      </w:r>
      <w:r w:rsidDel="00000000" w:rsidR="00000000" w:rsidRPr="00000000">
        <w:rPr>
          <w:rFonts w:ascii="Palatino Linotype" w:cs="Palatino Linotype" w:eastAsia="Palatino Linotype" w:hAnsi="Palatino Linotype"/>
          <w:b w:val="1"/>
          <w:color w:val="000000"/>
          <w:rtl w:val="0"/>
        </w:rPr>
        <w:t xml:space="preserve">EL SAIMEX, </w:t>
      </w:r>
      <w:r w:rsidDel="00000000" w:rsidR="00000000" w:rsidRPr="00000000">
        <w:rPr>
          <w:rFonts w:ascii="Palatino Linotype" w:cs="Palatino Linotype" w:eastAsia="Palatino Linotype" w:hAnsi="Palatino Linotype"/>
          <w:color w:val="000000"/>
          <w:rtl w:val="0"/>
        </w:rPr>
        <w:t xml:space="preserve">y se le asignó el número de expediente </w:t>
      </w:r>
      <w:r w:rsidDel="00000000" w:rsidR="00000000" w:rsidRPr="00000000">
        <w:rPr>
          <w:rFonts w:ascii="Palatino Linotype" w:cs="Palatino Linotype" w:eastAsia="Palatino Linotype" w:hAnsi="Palatino Linotype"/>
          <w:b w:val="1"/>
          <w:color w:val="000000"/>
          <w:rtl w:val="0"/>
        </w:rPr>
        <w:t xml:space="preserve">05317/INFOEM/IP/RR/2022,</w:t>
      </w:r>
      <w:r w:rsidDel="00000000" w:rsidR="00000000" w:rsidRPr="00000000">
        <w:rPr>
          <w:rFonts w:ascii="Palatino Linotype" w:cs="Palatino Linotype" w:eastAsia="Palatino Linotype" w:hAnsi="Palatino Linotype"/>
          <w:color w:val="000000"/>
          <w:rtl w:val="0"/>
        </w:rPr>
        <w:t xml:space="preserve"> en el que señaló como:</w:t>
      </w:r>
    </w:p>
    <w:p w:rsidR="00000000" w:rsidDel="00000000" w:rsidP="00000000" w:rsidRDefault="00000000" w:rsidRPr="00000000" w14:paraId="0000001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p>
    <w:p w:rsidR="00000000" w:rsidDel="00000000" w:rsidP="00000000" w:rsidRDefault="00000000" w:rsidRPr="00000000" w14:paraId="0000001C">
      <w:pPr>
        <w:spacing w:line="360" w:lineRule="auto"/>
        <w:jc w:val="both"/>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1D">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obtuve respuesta a la solicitud de información” (Sic)</w:t>
      </w:r>
    </w:p>
    <w:p w:rsidR="00000000" w:rsidDel="00000000" w:rsidP="00000000" w:rsidRDefault="00000000" w:rsidRPr="00000000" w14:paraId="0000001E">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b w:val="1"/>
          <w:color w:val="000000"/>
          <w:sz w:val="16"/>
          <w:szCs w:val="16"/>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Así como razones o motivos de inconformidad:</w:t>
      </w:r>
    </w:p>
    <w:p w:rsidR="00000000" w:rsidDel="00000000" w:rsidP="00000000" w:rsidRDefault="00000000" w:rsidRPr="00000000" w14:paraId="00000021">
      <w:pPr>
        <w:tabs>
          <w:tab w:val="left" w:pos="851"/>
        </w:tabs>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obtuve respuesta a la solicitud de acceso a la información” (Sic)</w:t>
      </w:r>
    </w:p>
    <w:p w:rsidR="00000000" w:rsidDel="00000000" w:rsidP="00000000" w:rsidRDefault="00000000" w:rsidRPr="00000000" w14:paraId="00000022">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V. </w:t>
      </w:r>
      <w:r w:rsidDel="00000000" w:rsidR="00000000" w:rsidRPr="00000000">
        <w:rPr>
          <w:rFonts w:ascii="Palatino Linotype" w:cs="Palatino Linotype" w:eastAsia="Palatino Linotype" w:hAnsi="Palatino Linotype"/>
          <w:b w:val="1"/>
          <w:sz w:val="28"/>
          <w:szCs w:val="28"/>
          <w:rtl w:val="0"/>
        </w:rPr>
        <w:t xml:space="preserve">Del turno del Recurso Revisión</w:t>
      </w: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fecha </w:t>
      </w:r>
      <w:r w:rsidDel="00000000" w:rsidR="00000000" w:rsidRPr="00000000">
        <w:rPr>
          <w:rFonts w:ascii="Palatino Linotype" w:cs="Palatino Linotype" w:eastAsia="Palatino Linotype" w:hAnsi="Palatino Linotype"/>
          <w:b w:val="1"/>
          <w:color w:val="000000"/>
          <w:rtl w:val="0"/>
        </w:rPr>
        <w:t xml:space="preserve">primero de abril de dos mil veintidós</w:t>
      </w:r>
      <w:r w:rsidDel="00000000" w:rsidR="00000000" w:rsidRPr="00000000">
        <w:rPr>
          <w:rFonts w:ascii="Palatino Linotype" w:cs="Palatino Linotype" w:eastAsia="Palatino Linotype" w:hAnsi="Palatino Linotype"/>
          <w:color w:val="000000"/>
          <w:rtl w:val="0"/>
        </w:rPr>
        <w:t xml:space="preserve">,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Del="00000000" w:rsidR="00000000" w:rsidRPr="00000000">
        <w:rPr>
          <w:rFonts w:ascii="Palatino Linotype" w:cs="Palatino Linotype" w:eastAsia="Palatino Linotype" w:hAnsi="Palatino Linotype"/>
          <w:b w:val="1"/>
          <w:color w:val="000000"/>
          <w:rtl w:val="0"/>
        </w:rPr>
        <w:t xml:space="preserve">EL SAIMEX</w:t>
      </w:r>
      <w:r w:rsidDel="00000000" w:rsidR="00000000" w:rsidRPr="00000000">
        <w:rPr>
          <w:rFonts w:ascii="Palatino Linotype" w:cs="Palatino Linotype" w:eastAsia="Palatino Linotype" w:hAnsi="Palatino Linotype"/>
          <w:color w:val="000000"/>
          <w:rtl w:val="0"/>
        </w:rPr>
        <w:t xml:space="preserve">, a la </w:t>
      </w:r>
      <w:r w:rsidDel="00000000" w:rsidR="00000000" w:rsidRPr="00000000">
        <w:rPr>
          <w:rFonts w:ascii="Palatino Linotype" w:cs="Palatino Linotype" w:eastAsia="Palatino Linotype" w:hAnsi="Palatino Linotype"/>
          <w:b w:val="1"/>
          <w:color w:val="000000"/>
          <w:rtl w:val="0"/>
        </w:rPr>
        <w:t xml:space="preserve">Comisionada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rtl w:val="0"/>
        </w:rPr>
        <w:t xml:space="preserve">Sharon Cristina Morales Martínez</w:t>
      </w:r>
      <w:r w:rsidDel="00000000" w:rsidR="00000000" w:rsidRPr="00000000">
        <w:rPr>
          <w:rFonts w:ascii="Palatino Linotype" w:cs="Palatino Linotype" w:eastAsia="Palatino Linotype" w:hAnsi="Palatino Linotype"/>
          <w:color w:val="000000"/>
          <w:rtl w:val="0"/>
        </w:rPr>
        <w:t xml:space="preserve">, a efecto de decretar su admisión o desechamiento.</w:t>
      </w:r>
    </w:p>
    <w:p w:rsidR="00000000" w:rsidDel="00000000" w:rsidP="00000000" w:rsidRDefault="00000000" w:rsidRPr="00000000" w14:paraId="00000025">
      <w:pPr>
        <w:tabs>
          <w:tab w:val="center" w:pos="4252"/>
          <w:tab w:val="right" w:pos="8504"/>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6">
      <w:pPr>
        <w:tabs>
          <w:tab w:val="center" w:pos="4252"/>
          <w:tab w:val="right" w:pos="8504"/>
        </w:tabs>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Admisión del Recurso Revisión</w:t>
      </w:r>
    </w:p>
    <w:p w:rsidR="00000000" w:rsidDel="00000000" w:rsidP="00000000" w:rsidRDefault="00000000" w:rsidRPr="00000000" w14:paraId="00000027">
      <w:pPr>
        <w:tabs>
          <w:tab w:val="center" w:pos="4252"/>
          <w:tab w:val="right" w:pos="8504"/>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las constancias del expediente electrónico del</w:t>
      </w:r>
      <w:r w:rsidDel="00000000" w:rsidR="00000000" w:rsidRPr="00000000">
        <w:rPr>
          <w:rFonts w:ascii="Palatino Linotype" w:cs="Palatino Linotype" w:eastAsia="Palatino Linotype" w:hAnsi="Palatino Linotype"/>
          <w:b w:val="1"/>
          <w:color w:val="000000"/>
          <w:rtl w:val="0"/>
        </w:rPr>
        <w:t xml:space="preserve"> SAIMEX</w:t>
      </w:r>
      <w:r w:rsidDel="00000000" w:rsidR="00000000" w:rsidRPr="00000000">
        <w:rPr>
          <w:rFonts w:ascii="Palatino Linotype" w:cs="Palatino Linotype" w:eastAsia="Palatino Linotype" w:hAnsi="Palatino Linotype"/>
          <w:color w:val="000000"/>
          <w:rtl w:val="0"/>
        </w:rPr>
        <w:t xml:space="preserve">, se advierte que el </w:t>
      </w:r>
      <w:r w:rsidDel="00000000" w:rsidR="00000000" w:rsidRPr="00000000">
        <w:rPr>
          <w:rFonts w:ascii="Palatino Linotype" w:cs="Palatino Linotype" w:eastAsia="Palatino Linotype" w:hAnsi="Palatino Linotype"/>
          <w:b w:val="1"/>
          <w:color w:val="000000"/>
          <w:rtl w:val="0"/>
        </w:rPr>
        <w:t xml:space="preserve">cuatro de abril de dos mil veintidós</w:t>
      </w:r>
      <w:r w:rsidDel="00000000" w:rsidR="00000000" w:rsidRPr="00000000">
        <w:rPr>
          <w:rFonts w:ascii="Palatino Linotype" w:cs="Palatino Linotype" w:eastAsia="Palatino Linotype" w:hAnsi="Palatino Linotype"/>
          <w:color w:val="000000"/>
          <w:rtl w:val="0"/>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Del="00000000" w:rsidR="00000000" w:rsidRPr="00000000">
        <w:rPr>
          <w:rFonts w:ascii="Palatino Linotype" w:cs="Palatino Linotype" w:eastAsia="Palatino Linotype" w:hAnsi="Palatino Linotype"/>
          <w:b w:val="1"/>
          <w:color w:val="000000"/>
          <w:rtl w:val="0"/>
        </w:rPr>
        <w:t xml:space="preserve">EL RECURRENTE </w:t>
      </w:r>
      <w:r w:rsidDel="00000000" w:rsidR="00000000" w:rsidRPr="00000000">
        <w:rPr>
          <w:rFonts w:ascii="Palatino Linotype" w:cs="Palatino Linotype" w:eastAsia="Palatino Linotype" w:hAnsi="Palatino Linotype"/>
          <w:color w:val="000000"/>
          <w:rtl w:val="0"/>
        </w:rPr>
        <w:t xml:space="preserve">manifestara lo que a su derecho conviniera, a efecto de presentar pruebas o alegatos y, en su caso, </w:t>
      </w:r>
      <w:r w:rsidDel="00000000" w:rsidR="00000000" w:rsidRPr="00000000">
        <w:rPr>
          <w:rFonts w:ascii="Palatino Linotype" w:cs="Palatino Linotype" w:eastAsia="Palatino Linotype" w:hAnsi="Palatino Linotype"/>
          <w:b w:val="1"/>
          <w:color w:val="000000"/>
          <w:rtl w:val="0"/>
        </w:rPr>
        <w:t xml:space="preserve">EL SUJETO OBLIGADO </w:t>
      </w:r>
      <w:r w:rsidDel="00000000" w:rsidR="00000000" w:rsidRPr="00000000">
        <w:rPr>
          <w:rFonts w:ascii="Palatino Linotype" w:cs="Palatino Linotype" w:eastAsia="Palatino Linotype" w:hAnsi="Palatino Linotype"/>
          <w:color w:val="000000"/>
          <w:rtl w:val="0"/>
        </w:rPr>
        <w:t xml:space="preserve">rindiera su correspondiente Informe Justificado.</w:t>
      </w:r>
    </w:p>
    <w:p w:rsidR="00000000" w:rsidDel="00000000" w:rsidP="00000000" w:rsidRDefault="00000000" w:rsidRPr="00000000" w14:paraId="00000028">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b) </w:t>
      </w:r>
      <w:r w:rsidDel="00000000" w:rsidR="00000000" w:rsidRPr="00000000">
        <w:rPr>
          <w:rFonts w:ascii="Palatino Linotype" w:cs="Palatino Linotype" w:eastAsia="Palatino Linotype" w:hAnsi="Palatino Linotype"/>
          <w:b w:val="1"/>
          <w:rtl w:val="0"/>
        </w:rPr>
        <w:t xml:space="preserve">Informe Justificado</w:t>
      </w: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las constancias digitales que obran en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conforme a lo dispuesto en el artículo 185 de la Ley de Transparencia y Acceso a la Información Pública del Estado de México y Municipios, dentro del término legalmente concedido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éste no realizó manifestación alguna, ni presentó pruebas o alegatos, así como tampoco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rtl w:val="0"/>
        </w:rPr>
        <w:t xml:space="preserve"> rindió su Informe Justificado, tal y como se aprecia en la siguiente imagen:</w:t>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934168" cy="1194282"/>
            <wp:effectExtent b="0" l="0" r="0" t="0"/>
            <wp:docPr id="13" name="image2.png"/>
            <a:graphic>
              <a:graphicData uri="http://schemas.openxmlformats.org/drawingml/2006/picture">
                <pic:pic>
                  <pic:nvPicPr>
                    <pic:cNvPr id="0" name="image2.png"/>
                    <pic:cNvPicPr preferRelativeResize="0"/>
                  </pic:nvPicPr>
                  <pic:blipFill>
                    <a:blip r:embed="rId9"/>
                    <a:srcRect b="26725" l="13560" r="13970" t="41964"/>
                    <a:stretch>
                      <a:fillRect/>
                    </a:stretch>
                  </pic:blipFill>
                  <pic:spPr>
                    <a:xfrm>
                      <a:off x="0" y="0"/>
                      <a:ext cx="5934168" cy="119428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Cierre de Instrucción</w:t>
      </w:r>
    </w:p>
    <w:p w:rsidR="00000000" w:rsidDel="00000000" w:rsidP="00000000" w:rsidRDefault="00000000" w:rsidRPr="00000000" w14:paraId="0000002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Una vez analizado el estado procesal que guarda el expediente, </w:t>
      </w:r>
      <w:r w:rsidDel="00000000" w:rsidR="00000000" w:rsidRPr="00000000">
        <w:rPr>
          <w:rFonts w:ascii="Palatino Linotype" w:cs="Palatino Linotype" w:eastAsia="Palatino Linotype" w:hAnsi="Palatino Linotype"/>
          <w:b w:val="1"/>
          <w:color w:val="000000"/>
          <w:rtl w:val="0"/>
        </w:rPr>
        <w:t xml:space="preserve">el nueve de mayo de dos mil veintidós</w:t>
      </w:r>
      <w:r w:rsidDel="00000000" w:rsidR="00000000" w:rsidRPr="00000000">
        <w:rPr>
          <w:rFonts w:ascii="Palatino Linotype" w:cs="Palatino Linotype" w:eastAsia="Palatino Linotype" w:hAnsi="Palatino Linotype"/>
          <w:color w:val="000000"/>
          <w:rtl w:val="0"/>
        </w:rPr>
        <w:t xml:space="preserve">, la </w:t>
      </w:r>
      <w:r w:rsidDel="00000000" w:rsidR="00000000" w:rsidRPr="00000000">
        <w:rPr>
          <w:rFonts w:ascii="Palatino Linotype" w:cs="Palatino Linotype" w:eastAsia="Palatino Linotype" w:hAnsi="Palatino Linotype"/>
          <w:b w:val="1"/>
          <w:color w:val="000000"/>
          <w:rtl w:val="0"/>
        </w:rPr>
        <w:t xml:space="preserve">Comisionada Sharon Cristina Morales Martínez</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acordó el cierre de instrucción;</w:t>
      </w:r>
      <w:r w:rsidDel="00000000" w:rsidR="00000000" w:rsidRPr="00000000">
        <w:rPr>
          <w:rFonts w:ascii="Palatino Linotype" w:cs="Palatino Linotype" w:eastAsia="Palatino Linotype" w:hAnsi="Palatino Linotype"/>
          <w:rtl w:val="0"/>
        </w:rPr>
        <w:t xml:space="preserve"> así como, la remisión del mismo a efecto de ser resuelto, de conformidad con lo establecido en el artículo 185 fracciones VI y VIII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2F">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0">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1">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2">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3">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4">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5">
      <w:pPr>
        <w:jc w:val="center"/>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CONSIDERANDO</w:t>
      </w:r>
    </w:p>
    <w:p w:rsidR="00000000" w:rsidDel="00000000" w:rsidP="00000000" w:rsidRDefault="00000000" w:rsidRPr="00000000" w14:paraId="00000036">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7">
      <w:pPr>
        <w:spacing w:line="360" w:lineRule="auto"/>
        <w:ind w:right="5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PRIMERO</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Competencia</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38">
      <w:pPr>
        <w:spacing w:line="360" w:lineRule="auto"/>
        <w:ind w:right="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9">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SEGUNDO</w:t>
      </w:r>
      <w:r w:rsidDel="00000000" w:rsidR="00000000" w:rsidRPr="00000000">
        <w:rPr>
          <w:rFonts w:ascii="Palatino Linotype" w:cs="Palatino Linotype" w:eastAsia="Palatino Linotype" w:hAnsi="Palatino Linotype"/>
          <w:b w:val="1"/>
          <w:color w:val="000000"/>
          <w:rtl w:val="0"/>
        </w:rPr>
        <w:t xml:space="preserve">. Interés. </w:t>
      </w:r>
    </w:p>
    <w:p w:rsidR="00000000" w:rsidDel="00000000" w:rsidP="00000000" w:rsidRDefault="00000000" w:rsidRPr="00000000" w14:paraId="0000003B">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El Recurso Revisión fue interpuesto por parte legítima, en atención a que se presentó por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pues para ello, es necesario que el particular ingrese al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mediante la utilización de su clave de usuario y contraseña.</w:t>
      </w:r>
      <w:r w:rsidDel="00000000" w:rsidR="00000000" w:rsidRPr="00000000">
        <w:rPr>
          <w:rtl w:val="0"/>
        </w:rPr>
      </w:r>
    </w:p>
    <w:p w:rsidR="00000000" w:rsidDel="00000000" w:rsidP="00000000" w:rsidRDefault="00000000" w:rsidRPr="00000000" w14:paraId="0000003C">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E">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3F">
      <w:pPr>
        <w:spacing w:line="360" w:lineRule="auto"/>
        <w:ind w:right="49"/>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TERCERO. </w:t>
      </w:r>
      <w:r w:rsidDel="00000000" w:rsidR="00000000" w:rsidRPr="00000000">
        <w:rPr>
          <w:rFonts w:ascii="Palatino Linotype" w:cs="Palatino Linotype" w:eastAsia="Palatino Linotype" w:hAnsi="Palatino Linotype"/>
          <w:b w:val="1"/>
          <w:color w:val="000000"/>
          <w:rtl w:val="0"/>
        </w:rPr>
        <w:t xml:space="preserve">Oportunidad. </w:t>
      </w:r>
    </w:p>
    <w:p w:rsidR="00000000" w:rsidDel="00000000" w:rsidP="00000000" w:rsidRDefault="00000000" w:rsidRPr="00000000" w14:paraId="00000040">
      <w:pPr>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 precisar que la Ley de Transparencia y Acceso a la Información Pública del Estado de México y Municipios, describe el mecanismo de procedencia de los Recurso Revisión, como se puede apreciar en el siguiente artículo:</w:t>
      </w:r>
    </w:p>
    <w:p w:rsidR="00000000" w:rsidDel="00000000" w:rsidP="00000000" w:rsidRDefault="00000000" w:rsidRPr="00000000" w14:paraId="00000041">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163.</w:t>
      </w:r>
      <w:r w:rsidDel="00000000" w:rsidR="00000000" w:rsidRPr="00000000">
        <w:rPr>
          <w:rFonts w:ascii="Palatino Linotype" w:cs="Palatino Linotype" w:eastAsia="Palatino Linotype" w:hAnsi="Palatino Linotype"/>
          <w:i w:val="1"/>
          <w:color w:val="000000"/>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w:t>
      </w:r>
    </w:p>
    <w:p w:rsidR="00000000" w:rsidDel="00000000" w:rsidP="00000000" w:rsidRDefault="00000000" w:rsidRPr="00000000" w14:paraId="00000043">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44">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45">
      <w:pPr>
        <w:ind w:left="851" w:right="901"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rsidR="00000000" w:rsidDel="00000000" w:rsidP="00000000" w:rsidRDefault="00000000" w:rsidRPr="00000000" w14:paraId="0000004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Derivado de lo anterior, se constituye la figura jurídica de la </w:t>
      </w:r>
      <w:r w:rsidDel="00000000" w:rsidR="00000000" w:rsidRPr="00000000">
        <w:rPr>
          <w:rFonts w:ascii="Palatino Linotype" w:cs="Palatino Linotype" w:eastAsia="Palatino Linotype" w:hAnsi="Palatino Linotype"/>
          <w:b w:val="1"/>
          <w:color w:val="000000"/>
          <w:rtl w:val="0"/>
        </w:rPr>
        <w:t xml:space="preserve">NEGATIVA FICTA</w:t>
      </w:r>
      <w:r w:rsidDel="00000000" w:rsidR="00000000" w:rsidRPr="00000000">
        <w:rPr>
          <w:rFonts w:ascii="Palatino Linotype" w:cs="Palatino Linotype" w:eastAsia="Palatino Linotype" w:hAnsi="Palatino Linotype"/>
          <w:color w:val="000000"/>
          <w:rtl w:val="0"/>
        </w:rPr>
        <w:t xml:space="preserve">, la cual consiste en atribuir un efecto negativo al silencio de la autoridad administrativa frente a las instancias y solicitudes que hagan los particulares.</w:t>
      </w:r>
    </w:p>
    <w:p w:rsidR="00000000" w:rsidDel="00000000" w:rsidP="00000000" w:rsidRDefault="00000000" w:rsidRPr="00000000" w14:paraId="0000004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parte, el artículo 178 de la Ley de Transparencia y Acceso a la Información Pública del Estado de México y Municipios, establece:</w:t>
      </w:r>
    </w:p>
    <w:p w:rsidR="00000000" w:rsidDel="00000000" w:rsidP="00000000" w:rsidRDefault="00000000" w:rsidRPr="00000000" w14:paraId="0000004B">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C">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178. </w:t>
      </w:r>
      <w:r w:rsidDel="00000000" w:rsidR="00000000" w:rsidRPr="00000000">
        <w:rPr>
          <w:rFonts w:ascii="Palatino Linotype" w:cs="Palatino Linotype" w:eastAsia="Palatino Linotype" w:hAnsi="Palatino Linotype"/>
          <w:i w:val="1"/>
          <w:color w:val="000000"/>
          <w:sz w:val="22"/>
          <w:szCs w:val="22"/>
          <w:rtl w:val="0"/>
        </w:rPr>
        <w:t xml:space="preserve">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D">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4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 falta de respuesta del sujeto obligado, dentro de los plazos establecidos en esta Ley, a una solicitud de acceso a la Información Pública, el recurso podrá ser interpuesto en cualquier momento</w:t>
      </w:r>
      <w:r w:rsidDel="00000000" w:rsidR="00000000" w:rsidRPr="00000000">
        <w:rPr>
          <w:rFonts w:ascii="Palatino Linotype" w:cs="Palatino Linotype" w:eastAsia="Palatino Linotype" w:hAnsi="Palatino Linotype"/>
          <w:i w:val="1"/>
          <w:color w:val="000000"/>
          <w:sz w:val="22"/>
          <w:szCs w:val="22"/>
          <w:rtl w:val="0"/>
        </w:rPr>
        <w:t xml:space="preserve">, acompañado con el documento que pruebe la fecha en que presentó la solicitud.</w:t>
      </w:r>
    </w:p>
    <w:p w:rsidR="00000000" w:rsidDel="00000000" w:rsidP="00000000" w:rsidRDefault="00000000" w:rsidRPr="00000000" w14:paraId="0000004F">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50">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de que se interponga ante la Unidad de Transparencia, ésta deberá remitir el Recurso Revisión al Instituto a más tardar al día siguiente de haberlo recibido.”</w:t>
      </w:r>
    </w:p>
    <w:p w:rsidR="00000000" w:rsidDel="00000000" w:rsidP="00000000" w:rsidRDefault="00000000" w:rsidRPr="00000000" w14:paraId="00000051">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 </w:t>
      </w:r>
    </w:p>
    <w:p w:rsidR="00000000" w:rsidDel="00000000" w:rsidP="00000000" w:rsidRDefault="00000000" w:rsidRPr="00000000" w14:paraId="00000052">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Del="00000000" w:rsidR="00000000" w:rsidRPr="00000000">
        <w:rPr>
          <w:rFonts w:ascii="Palatino Linotype" w:cs="Palatino Linotype" w:eastAsia="Palatino Linotype" w:hAnsi="Palatino Linotype"/>
          <w:b w:val="1"/>
          <w:color w:val="000000"/>
          <w:rtl w:val="0"/>
        </w:rPr>
        <w:t xml:space="preserve">EL RECURRENTE </w:t>
      </w:r>
      <w:r w:rsidDel="00000000" w:rsidR="00000000" w:rsidRPr="00000000">
        <w:rPr>
          <w:rFonts w:ascii="Palatino Linotype" w:cs="Palatino Linotype" w:eastAsia="Palatino Linotype" w:hAnsi="Palatino Linotype"/>
          <w:color w:val="000000"/>
          <w:rtl w:val="0"/>
        </w:rPr>
        <w:t xml:space="preserve">está en libertad de presentar su medio de impugnación en cualquier momento; en consecuencia, se tiene que el presente recurso se interpuso oportunamente.</w:t>
      </w:r>
    </w:p>
    <w:p w:rsidR="00000000" w:rsidDel="00000000" w:rsidP="00000000" w:rsidRDefault="00000000" w:rsidRPr="00000000" w14:paraId="00000054">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 </w:t>
      </w:r>
    </w:p>
    <w:p w:rsidR="00000000" w:rsidDel="00000000" w:rsidP="00000000" w:rsidRDefault="00000000" w:rsidRPr="00000000" w14:paraId="00000057">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r w:rsidDel="00000000" w:rsidR="00000000" w:rsidRPr="00000000">
        <w:rPr>
          <w:rtl w:val="0"/>
        </w:rPr>
      </w:r>
    </w:p>
    <w:p w:rsidR="00000000" w:rsidDel="00000000" w:rsidP="00000000" w:rsidRDefault="00000000" w:rsidRPr="00000000" w14:paraId="00000058">
      <w:pPr>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180. </w:t>
      </w:r>
      <w:r w:rsidDel="00000000" w:rsidR="00000000" w:rsidRPr="00000000">
        <w:rPr>
          <w:rFonts w:ascii="Palatino Linotype" w:cs="Palatino Linotype" w:eastAsia="Palatino Linotype" w:hAnsi="Palatino Linotype"/>
          <w:i w:val="1"/>
          <w:sz w:val="22"/>
          <w:szCs w:val="22"/>
          <w:rtl w:val="0"/>
        </w:rPr>
        <w:t xml:space="preserve">El recurso </w:t>
      </w:r>
      <w:r w:rsidDel="00000000" w:rsidR="00000000" w:rsidRPr="00000000">
        <w:rPr>
          <w:rFonts w:ascii="Palatino Linotype" w:cs="Palatino Linotype" w:eastAsia="Palatino Linotype" w:hAnsi="Palatino Linotype"/>
          <w:i w:val="1"/>
          <w:color w:val="222222"/>
          <w:sz w:val="22"/>
          <w:szCs w:val="22"/>
          <w:rtl w:val="0"/>
        </w:rPr>
        <w:t xml:space="preserve">de</w:t>
      </w:r>
      <w:r w:rsidDel="00000000" w:rsidR="00000000" w:rsidRPr="00000000">
        <w:rPr>
          <w:rFonts w:ascii="Palatino Linotype" w:cs="Palatino Linotype" w:eastAsia="Palatino Linotype" w:hAnsi="Palatino Linotype"/>
          <w:i w:val="1"/>
          <w:sz w:val="22"/>
          <w:szCs w:val="22"/>
          <w:rtl w:val="0"/>
        </w:rPr>
        <w:t xml:space="preserve"> revisión contendrá:</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A">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El sujeto obligado ante la cual </w:t>
      </w:r>
      <w:r w:rsidDel="00000000" w:rsidR="00000000" w:rsidRPr="00000000">
        <w:rPr>
          <w:rFonts w:ascii="Palatino Linotype" w:cs="Palatino Linotype" w:eastAsia="Palatino Linotype" w:hAnsi="Palatino Linotype"/>
          <w:i w:val="1"/>
          <w:color w:val="222222"/>
          <w:sz w:val="22"/>
          <w:szCs w:val="22"/>
          <w:rtl w:val="0"/>
        </w:rPr>
        <w:t xml:space="preserve">se</w:t>
      </w:r>
      <w:r w:rsidDel="00000000" w:rsidR="00000000" w:rsidRPr="00000000">
        <w:rPr>
          <w:rFonts w:ascii="Palatino Linotype" w:cs="Palatino Linotype" w:eastAsia="Palatino Linotype" w:hAnsi="Palatino Linotype"/>
          <w:i w:val="1"/>
          <w:sz w:val="22"/>
          <w:szCs w:val="22"/>
          <w:rtl w:val="0"/>
        </w:rPr>
        <w:t xml:space="preserve"> presentó la solicitud;</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B">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El nombre del solicitante </w:t>
      </w:r>
      <w:r w:rsidDel="00000000" w:rsidR="00000000" w:rsidRPr="00000000">
        <w:rPr>
          <w:rFonts w:ascii="Palatino Linotype" w:cs="Palatino Linotype" w:eastAsia="Palatino Linotype" w:hAnsi="Palatino Linotype"/>
          <w:i w:val="1"/>
          <w:color w:val="222222"/>
          <w:sz w:val="22"/>
          <w:szCs w:val="22"/>
          <w:rtl w:val="0"/>
        </w:rPr>
        <w:t xml:space="preserve">que</w:t>
      </w:r>
      <w:r w:rsidDel="00000000" w:rsidR="00000000" w:rsidRPr="00000000">
        <w:rPr>
          <w:rFonts w:ascii="Palatino Linotype" w:cs="Palatino Linotype" w:eastAsia="Palatino Linotype" w:hAnsi="Palatino Linotype"/>
          <w:i w:val="1"/>
          <w:sz w:val="22"/>
          <w:szCs w:val="22"/>
          <w:rtl w:val="0"/>
        </w:rPr>
        <w:t xml:space="preserve"> recurre o de su representante y, en su caso, del tercero interesado, así como la dirección o medio que señale para recibir notificaciones;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C">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El número de folio de </w:t>
      </w:r>
      <w:r w:rsidDel="00000000" w:rsidR="00000000" w:rsidRPr="00000000">
        <w:rPr>
          <w:rFonts w:ascii="Palatino Linotype" w:cs="Palatino Linotype" w:eastAsia="Palatino Linotype" w:hAnsi="Palatino Linotype"/>
          <w:i w:val="1"/>
          <w:color w:val="222222"/>
          <w:sz w:val="22"/>
          <w:szCs w:val="22"/>
          <w:rtl w:val="0"/>
        </w:rPr>
        <w:t xml:space="preserve">respuesta</w:t>
      </w:r>
      <w:r w:rsidDel="00000000" w:rsidR="00000000" w:rsidRPr="00000000">
        <w:rPr>
          <w:rFonts w:ascii="Palatino Linotype" w:cs="Palatino Linotype" w:eastAsia="Palatino Linotype" w:hAnsi="Palatino Linotype"/>
          <w:i w:val="1"/>
          <w:sz w:val="22"/>
          <w:szCs w:val="22"/>
          <w:rtl w:val="0"/>
        </w:rPr>
        <w:t xml:space="preserve"> de la solicitud de acceso; </w:t>
      </w:r>
      <w:r w:rsidDel="00000000" w:rsidR="00000000" w:rsidRPr="00000000">
        <w:rPr>
          <w:rtl w:val="0"/>
        </w:rPr>
      </w:r>
    </w:p>
    <w:p w:rsidR="00000000" w:rsidDel="00000000" w:rsidP="00000000" w:rsidRDefault="00000000" w:rsidRPr="00000000" w14:paraId="0000005D">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La fecha en que fue </w:t>
      </w:r>
      <w:r w:rsidDel="00000000" w:rsidR="00000000" w:rsidRPr="00000000">
        <w:rPr>
          <w:rFonts w:ascii="Palatino Linotype" w:cs="Palatino Linotype" w:eastAsia="Palatino Linotype" w:hAnsi="Palatino Linotype"/>
          <w:i w:val="1"/>
          <w:color w:val="222222"/>
          <w:sz w:val="22"/>
          <w:szCs w:val="22"/>
          <w:rtl w:val="0"/>
        </w:rPr>
        <w:t xml:space="preserve">notificada</w:t>
      </w:r>
      <w:r w:rsidDel="00000000" w:rsidR="00000000" w:rsidRPr="00000000">
        <w:rPr>
          <w:rFonts w:ascii="Palatino Linotype" w:cs="Palatino Linotype" w:eastAsia="Palatino Linotype" w:hAnsi="Palatino Linotype"/>
          <w:i w:val="1"/>
          <w:sz w:val="22"/>
          <w:szCs w:val="22"/>
          <w:rtl w:val="0"/>
        </w:rPr>
        <w:t xml:space="preserve"> la respuesta al solicitante o tuvo conocimiento del acto reclamado, o de presentación de la solicitud, en caso de falta de respuesta;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E">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El acto que se </w:t>
      </w:r>
      <w:r w:rsidDel="00000000" w:rsidR="00000000" w:rsidRPr="00000000">
        <w:rPr>
          <w:rFonts w:ascii="Palatino Linotype" w:cs="Palatino Linotype" w:eastAsia="Palatino Linotype" w:hAnsi="Palatino Linotype"/>
          <w:i w:val="1"/>
          <w:color w:val="222222"/>
          <w:sz w:val="22"/>
          <w:szCs w:val="22"/>
          <w:rtl w:val="0"/>
        </w:rPr>
        <w:t xml:space="preserve">recurre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5F">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razones o </w:t>
      </w:r>
      <w:r w:rsidDel="00000000" w:rsidR="00000000" w:rsidRPr="00000000">
        <w:rPr>
          <w:rFonts w:ascii="Palatino Linotype" w:cs="Palatino Linotype" w:eastAsia="Palatino Linotype" w:hAnsi="Palatino Linotype"/>
          <w:i w:val="1"/>
          <w:color w:val="222222"/>
          <w:sz w:val="22"/>
          <w:szCs w:val="22"/>
          <w:rtl w:val="0"/>
        </w:rPr>
        <w:t xml:space="preserve">motivos</w:t>
      </w:r>
      <w:r w:rsidDel="00000000" w:rsidR="00000000" w:rsidRPr="00000000">
        <w:rPr>
          <w:rFonts w:ascii="Palatino Linotype" w:cs="Palatino Linotype" w:eastAsia="Palatino Linotype" w:hAnsi="Palatino Linotype"/>
          <w:i w:val="1"/>
          <w:sz w:val="22"/>
          <w:szCs w:val="22"/>
          <w:rtl w:val="0"/>
        </w:rPr>
        <w:t xml:space="preserve"> de inconformidad;</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0">
      <w:pPr>
        <w:tabs>
          <w:tab w:val="left" w:pos="851"/>
        </w:tabs>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copia de la respuesta que se impugna y, en su caso, de la notificación correspondiente, en el caso de respuesta de la solicitud; y</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61">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Firma del recurrente, en su caso, cuando se presente por escrito, requisito sin el cual se dará trámite al recurso.</w:t>
      </w:r>
    </w:p>
    <w:p w:rsidR="00000000" w:rsidDel="00000000" w:rsidP="00000000" w:rsidRDefault="00000000" w:rsidRPr="00000000" w14:paraId="00000062">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se podrán anexar las pruebas y demás elementos que considere procedentes someter a juicio del Instituto. </w:t>
      </w:r>
    </w:p>
    <w:p w:rsidR="00000000" w:rsidDel="00000000" w:rsidP="00000000" w:rsidRDefault="00000000" w:rsidRPr="00000000" w14:paraId="00000063">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será necesario que el particular ratifique el recurso de revisión interpuesto. </w:t>
      </w:r>
    </w:p>
    <w:p w:rsidR="00000000" w:rsidDel="00000000" w:rsidP="00000000" w:rsidRDefault="00000000" w:rsidRPr="00000000" w14:paraId="00000064">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caso de que el recurso se interponga de manera electrónica no será indispensable que contengan los requisitos establecidos en las fracciones II, IV, VII y VIII.”</w:t>
      </w:r>
    </w:p>
    <w:p w:rsidR="00000000" w:rsidDel="00000000" w:rsidP="00000000" w:rsidRDefault="00000000" w:rsidRPr="00000000" w14:paraId="00000065">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6">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67">
      <w:pPr>
        <w:spacing w:line="360" w:lineRule="auto"/>
        <w:jc w:val="both"/>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8"/>
          <w:szCs w:val="28"/>
          <w:rtl w:val="0"/>
        </w:rPr>
        <w:t xml:space="preserve">QUINTO</w:t>
      </w:r>
      <w:r w:rsidDel="00000000" w:rsidR="00000000" w:rsidRPr="00000000">
        <w:rPr>
          <w:rFonts w:ascii="Palatino Linotype" w:cs="Palatino Linotype" w:eastAsia="Palatino Linotype" w:hAnsi="Palatino Linotype"/>
          <w:b w:val="1"/>
          <w:color w:val="000000"/>
          <w:rtl w:val="0"/>
        </w:rPr>
        <w:t xml:space="preserve">. Estudio y resolución del asunto.</w:t>
      </w:r>
    </w:p>
    <w:p w:rsidR="00000000" w:rsidDel="00000000" w:rsidP="00000000" w:rsidRDefault="00000000" w:rsidRPr="00000000" w14:paraId="0000006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Una vez determinada la vía sobre la que versará el presente recurso, y previa revisión del expediente electrónico formado en </w:t>
      </w:r>
      <w:r w:rsidDel="00000000" w:rsidR="00000000" w:rsidRPr="00000000">
        <w:rPr>
          <w:rFonts w:ascii="Palatino Linotype" w:cs="Palatino Linotype" w:eastAsia="Palatino Linotype" w:hAnsi="Palatino Linotype"/>
          <w:b w:val="1"/>
          <w:color w:val="000000"/>
          <w:rtl w:val="0"/>
        </w:rPr>
        <w:t xml:space="preserve">EL SAIMEX</w:t>
      </w:r>
      <w:r w:rsidDel="00000000" w:rsidR="00000000" w:rsidRPr="00000000">
        <w:rPr>
          <w:rFonts w:ascii="Palatino Linotype" w:cs="Palatino Linotype" w:eastAsia="Palatino Linotype" w:hAnsi="Palatino Linotype"/>
          <w:color w:val="000000"/>
          <w:rtl w:val="0"/>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Del="00000000" w:rsidR="00000000" w:rsidRPr="00000000">
        <w:rPr>
          <w:rFonts w:ascii="Palatino Linotype" w:cs="Palatino Linotype" w:eastAsia="Palatino Linotype" w:hAnsi="Palatino Linotype"/>
          <w:rtl w:val="0"/>
        </w:rPr>
        <w:t xml:space="preserve">Constitución Política de los Estados Unidos Mexicanos, Constitución Política del Estado Libre y Soberano de México</w:t>
      </w:r>
      <w:r w:rsidDel="00000000" w:rsidR="00000000" w:rsidRPr="00000000">
        <w:rPr>
          <w:rFonts w:ascii="Palatino Linotype" w:cs="Palatino Linotype" w:eastAsia="Palatino Linotype" w:hAnsi="Palatino Linotype"/>
          <w:color w:val="000000"/>
          <w:rtl w:val="0"/>
        </w:rPr>
        <w:t xml:space="preserve"> y demás leyes aplicables en la materia; así como, en los Tratados Internacionales en los que el Estado Mexicano sea parte, en concordancia con el párrafo tercero del artículo 1 de la </w:t>
      </w:r>
      <w:r w:rsidDel="00000000" w:rsidR="00000000" w:rsidRPr="00000000">
        <w:rPr>
          <w:rFonts w:ascii="Palatino Linotype" w:cs="Palatino Linotype" w:eastAsia="Palatino Linotype" w:hAnsi="Palatino Linotype"/>
          <w:rtl w:val="0"/>
        </w:rPr>
        <w:t xml:space="preserve">Constitución Política de los Estados Unidos Mexicanos</w:t>
      </w:r>
      <w:r w:rsidDel="00000000" w:rsidR="00000000" w:rsidRPr="00000000">
        <w:rPr>
          <w:rFonts w:ascii="Palatino Linotype" w:cs="Palatino Linotype" w:eastAsia="Palatino Linotype" w:hAnsi="Palatino Linotype"/>
          <w:color w:val="000000"/>
          <w:rtl w:val="0"/>
        </w:rPr>
        <w:t xml:space="preserve"> y los numerales 8 y 9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del análisis efectuado a las constancias que obran en el expediente del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 se advierte que el presente Recurso Revisión es procedente, pues se actualiza la hipótesis prevista en las fracciones VII y IX, del artículo 179 de la Ley de la Materia, la cual dispone:</w:t>
      </w:r>
    </w:p>
    <w:p w:rsidR="00000000" w:rsidDel="00000000" w:rsidP="00000000" w:rsidRDefault="00000000" w:rsidRPr="00000000" w14:paraId="0000006C">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El Recurso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D">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6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VII. La falta de respuesta a una solicitud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6F">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p>
    <w:p w:rsidR="00000000" w:rsidDel="00000000" w:rsidP="00000000" w:rsidRDefault="00000000" w:rsidRPr="00000000" w14:paraId="00000070">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La falta de trámite a una solicitud;</w:t>
      </w:r>
    </w:p>
    <w:p w:rsidR="00000000" w:rsidDel="00000000" w:rsidP="00000000" w:rsidRDefault="00000000" w:rsidRPr="00000000" w14:paraId="00000071">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73">
      <w:pPr>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4">
      <w:pPr>
        <w:widowControl w:val="0"/>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El precepto legal citado, establece como supuestos de procedencia del Recurso Revisión, en aquellos casos en que no se dé tramite a una solicitud y por tanto respuesta a lo solicitado; por lo que, en el presente caso,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turnar a las áreas competentes y dar respuesta a lo requerido por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en su solicitud de Información Pública; atento a ello, este Órgano Garante considera que las razones o motivos de inconformidad son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Ya que ante la falta de respuesta a la solicitud, como el envío del Informe Justificado por parte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este Órgano Garante considera pertinente analizar si se encuentra constreñido a trasparentar sus acciones; así como, garantizar y respetar el derecho de acceso a la Información Pública. </w:t>
      </w:r>
    </w:p>
    <w:p w:rsidR="00000000" w:rsidDel="00000000" w:rsidP="00000000" w:rsidRDefault="00000000" w:rsidRPr="00000000" w14:paraId="00000077">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 pertinente enfatizar lo que el derecho de acceso a la Información Pública, se refiere al contemplado en el artículo 6°, Apartado A de la Constitución Política de los Estados Unidos Mexicanos, que señala:</w:t>
      </w:r>
    </w:p>
    <w:p w:rsidR="00000000" w:rsidDel="00000000" w:rsidP="00000000" w:rsidRDefault="00000000" w:rsidRPr="00000000" w14:paraId="00000079">
      <w:pPr>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07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Fonts w:ascii="Palatino Linotype" w:cs="Palatino Linotype" w:eastAsia="Palatino Linotype" w:hAnsi="Palatino Linotype"/>
          <w:i w:val="1"/>
          <w:sz w:val="22"/>
          <w:szCs w:val="22"/>
          <w:rtl w:val="0"/>
        </w:rPr>
        <w:t xml:space="preserve">  . . .</w:t>
      </w:r>
    </w:p>
    <w:p w:rsidR="00000000" w:rsidDel="00000000" w:rsidP="00000000" w:rsidRDefault="00000000" w:rsidRPr="00000000" w14:paraId="0000007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i w:val="1"/>
          <w:sz w:val="22"/>
          <w:szCs w:val="22"/>
          <w:rtl w:val="0"/>
        </w:rPr>
        <w:t xml:space="preserve">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7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00000" w:rsidDel="00000000" w:rsidP="00000000" w:rsidRDefault="00000000" w:rsidRPr="00000000" w14:paraId="0000007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La información que se refiere a la vida privada y los datos personales será protegida en los términos y con las excepciones que fijen las leyes. </w:t>
      </w:r>
    </w:p>
    <w:p w:rsidR="00000000" w:rsidDel="00000000" w:rsidP="00000000" w:rsidRDefault="00000000" w:rsidRPr="00000000" w14:paraId="0000007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Toda persona, sin necesidad de acreditar interés alguno o justificar su utilización, tendrá acceso gratuito a la Información Pública, a sus datos personales o a la rectificación de éstos. </w:t>
      </w:r>
    </w:p>
    <w:p w:rsidR="00000000" w:rsidDel="00000000" w:rsidP="00000000" w:rsidRDefault="00000000" w:rsidRPr="00000000" w14:paraId="0000007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 </w:t>
      </w:r>
    </w:p>
    <w:p w:rsidR="00000000" w:rsidDel="00000000" w:rsidP="00000000" w:rsidRDefault="00000000" w:rsidRPr="00000000" w14:paraId="0000008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000000" w:rsidDel="00000000" w:rsidP="00000000" w:rsidRDefault="00000000" w:rsidRPr="00000000" w14:paraId="0000008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 </w:t>
      </w:r>
    </w:p>
    <w:p w:rsidR="00000000" w:rsidDel="00000000" w:rsidP="00000000" w:rsidRDefault="00000000" w:rsidRPr="00000000" w14:paraId="0000008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83">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8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Constitución Política del Estado Libre y Soberano de México, en su artículo 5°, párrafo trigésimo, trigésimo primero y trigésimo segundo, fracción I, dispone lo siguiente:</w:t>
      </w:r>
    </w:p>
    <w:p w:rsidR="00000000" w:rsidDel="00000000" w:rsidP="00000000" w:rsidRDefault="00000000" w:rsidRPr="00000000" w14:paraId="00000085">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  … </w:t>
      </w:r>
    </w:p>
    <w:p w:rsidR="00000000" w:rsidDel="00000000" w:rsidP="00000000" w:rsidRDefault="00000000" w:rsidRPr="00000000" w14:paraId="0000008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w:t>
      </w:r>
    </w:p>
    <w:p w:rsidR="00000000" w:rsidDel="00000000" w:rsidP="00000000" w:rsidRDefault="00000000" w:rsidRPr="00000000" w14:paraId="0000008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 </w:t>
      </w:r>
    </w:p>
    <w:p w:rsidR="00000000" w:rsidDel="00000000" w:rsidP="00000000" w:rsidRDefault="00000000" w:rsidRPr="00000000" w14:paraId="0000008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00000" w:rsidDel="00000000" w:rsidP="00000000" w:rsidRDefault="00000000" w:rsidRPr="00000000" w14:paraId="0000008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derecho se regirá por los principios y bases siguientes:</w:t>
      </w:r>
    </w:p>
    <w:p w:rsidR="00000000" w:rsidDel="00000000" w:rsidP="00000000" w:rsidRDefault="00000000" w:rsidRPr="00000000" w14:paraId="0000008A">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organismos de los Poderes Ejecutivo, Legislativo y Judicial, órganos autónomos, partidos políticos, fideicomisos y fondos públicos estatales y municipales</w:t>
      </w:r>
      <w:r w:rsidDel="00000000" w:rsidR="00000000" w:rsidRPr="00000000">
        <w:rPr>
          <w:rFonts w:ascii="Palatino Linotype" w:cs="Palatino Linotype" w:eastAsia="Palatino Linotype" w:hAnsi="Palatino Linotype"/>
          <w:i w:val="1"/>
          <w:sz w:val="22"/>
          <w:szCs w:val="22"/>
          <w:rtl w:val="0"/>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B">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8C">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tiene que la Ley de Transparencia y Acceso a la Información Pública del Estado de México y Municipios, prevé en su artículo 23, lo siguiente:</w:t>
      </w:r>
    </w:p>
    <w:p w:rsidR="00000000" w:rsidDel="00000000" w:rsidP="00000000" w:rsidRDefault="00000000" w:rsidRPr="00000000" w14:paraId="0000008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Son sujetos obligados a transparentar y permitir el acceso a su información y proteger los datos personales que obren en su poder:</w:t>
      </w:r>
    </w:p>
    <w:p w:rsidR="00000000" w:rsidDel="00000000" w:rsidP="00000000" w:rsidRDefault="00000000" w:rsidRPr="00000000" w14:paraId="0000009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Poder Ejecutivo del Estado de México, las dependencias, organismos auxiliares, órganos, entidades, fideicomisos y fondos públicos, así como la Procuraduría General de Justicia;</w:t>
      </w:r>
    </w:p>
    <w:p w:rsidR="00000000" w:rsidDel="00000000" w:rsidP="00000000" w:rsidRDefault="00000000" w:rsidRPr="00000000" w14:paraId="0000009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Poder Legislativo del Estado, los organismos, órganos y entidades de la Legislatura y sus dependencias;</w:t>
      </w:r>
    </w:p>
    <w:p w:rsidR="00000000" w:rsidDel="00000000" w:rsidP="00000000" w:rsidRDefault="00000000" w:rsidRPr="00000000" w14:paraId="0000009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Poder Judicial, sus organismos, órganos y entidades, así como el Consejo de la Judicatura del Estado;</w:t>
      </w:r>
    </w:p>
    <w:p w:rsidR="00000000" w:rsidDel="00000000" w:rsidP="00000000" w:rsidRDefault="00000000" w:rsidRPr="00000000" w14:paraId="00000093">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ayuntamientos y las dependencias, organismos, órganos y entidades de la administración municipal;</w:t>
      </w:r>
    </w:p>
    <w:p w:rsidR="00000000" w:rsidDel="00000000" w:rsidP="00000000" w:rsidRDefault="00000000" w:rsidRPr="00000000" w14:paraId="0000009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órganos autónomos;</w:t>
      </w:r>
    </w:p>
    <w:p w:rsidR="00000000" w:rsidDel="00000000" w:rsidP="00000000" w:rsidRDefault="00000000" w:rsidRPr="00000000" w14:paraId="0000009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tribunales administrativos y autoridades jurisdiccionales en materia laboral;</w:t>
      </w:r>
    </w:p>
    <w:p w:rsidR="00000000" w:rsidDel="00000000" w:rsidP="00000000" w:rsidRDefault="00000000" w:rsidRPr="00000000" w14:paraId="0000009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Los partidos políticos y agrupaciones políticas, en los términos de las disposiciones aplicables;</w:t>
      </w:r>
    </w:p>
    <w:p w:rsidR="00000000" w:rsidDel="00000000" w:rsidP="00000000" w:rsidRDefault="00000000" w:rsidRPr="00000000" w14:paraId="0000009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Los fideicomisos y fondos públicos que cuenten con financiamiento público, parcial o total, o con participación de entidades de gobierno;</w:t>
      </w:r>
    </w:p>
    <w:p w:rsidR="00000000" w:rsidDel="00000000" w:rsidP="00000000" w:rsidRDefault="00000000" w:rsidRPr="00000000" w14:paraId="0000009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Los sindicatos que reciban y/o ejerzan recursos públicos en el ámbito estatal y municipal;</w:t>
      </w:r>
    </w:p>
    <w:p w:rsidR="00000000" w:rsidDel="00000000" w:rsidP="00000000" w:rsidRDefault="00000000" w:rsidRPr="00000000" w14:paraId="0000009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Cualquier persona física o jurídico colectiva que reciba y ejerza recursos públicos en el ámbito estatal o municipal; y</w:t>
      </w:r>
    </w:p>
    <w:p w:rsidR="00000000" w:rsidDel="00000000" w:rsidP="00000000" w:rsidRDefault="00000000" w:rsidRPr="00000000" w14:paraId="0000009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Cualquier otra autoridad, entidad, órgano u organismo de los poderes estatal o municipal, que reciba recursos públicos.</w:t>
      </w:r>
    </w:p>
    <w:p w:rsidR="00000000" w:rsidDel="00000000" w:rsidP="00000000" w:rsidRDefault="00000000" w:rsidRPr="00000000" w14:paraId="0000009B">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9C">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servidores públicos deberán transparentar sus acciones así como garantizar y respetar el derecho de acceso a la Información Pública.</w:t>
      </w:r>
    </w:p>
    <w:p w:rsidR="00000000" w:rsidDel="00000000" w:rsidP="00000000" w:rsidRDefault="00000000" w:rsidRPr="00000000" w14:paraId="0000009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E">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rsidR="00000000" w:rsidDel="00000000" w:rsidP="00000000" w:rsidRDefault="00000000" w:rsidRPr="00000000" w14:paraId="000000A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115</w:t>
      </w:r>
      <w:r w:rsidDel="00000000" w:rsidR="00000000" w:rsidRPr="00000000">
        <w:rPr>
          <w:rFonts w:ascii="Palatino Linotype" w:cs="Palatino Linotype" w:eastAsia="Palatino Linotype" w:hAnsi="Palatino Linotype"/>
          <w:i w:val="1"/>
          <w:sz w:val="22"/>
          <w:szCs w:val="22"/>
          <w:rtl w:val="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00000" w:rsidDel="00000000" w:rsidP="00000000" w:rsidRDefault="00000000" w:rsidRPr="00000000" w14:paraId="000000A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000000" w:rsidDel="00000000" w:rsidP="00000000" w:rsidRDefault="00000000" w:rsidRPr="00000000" w14:paraId="000000A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municipios estarán investidos de personalidad jurídica y manejarán su patrimonio conforme a la ley.</w:t>
      </w:r>
    </w:p>
    <w:p w:rsidR="00000000" w:rsidDel="00000000" w:rsidP="00000000" w:rsidRDefault="00000000" w:rsidRPr="00000000" w14:paraId="000000A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Los municipios administrarán libremente su hacienda, la cual se formará de los rendimientos de los bienes que les pertenezcan, así como de las contribuciones y otros ingresos que las legislaturas establezcan a su favor…</w:t>
      </w:r>
    </w:p>
    <w:p w:rsidR="00000000" w:rsidDel="00000000" w:rsidP="00000000" w:rsidRDefault="00000000" w:rsidRPr="00000000" w14:paraId="000000A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9">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000000" w:rsidDel="00000000" w:rsidP="00000000" w:rsidRDefault="00000000" w:rsidRPr="00000000" w14:paraId="000000A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el numeral 3</w:t>
      </w:r>
      <w:r w:rsidDel="00000000" w:rsidR="00000000" w:rsidRPr="00000000">
        <w:rPr>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000000" w:rsidDel="00000000" w:rsidP="00000000" w:rsidRDefault="00000000" w:rsidRPr="00000000" w14:paraId="000000AD">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resulta importante traer a colación el contenido de los artículos 4 y 12 de la Ley de Transparencia y Acceso a la Información Pública del Estado de México y Municipios, mismos que a la letra señalan:</w:t>
      </w:r>
    </w:p>
    <w:p w:rsidR="00000000" w:rsidDel="00000000" w:rsidP="00000000" w:rsidRDefault="00000000" w:rsidRPr="00000000" w14:paraId="000000AE">
      <w:pPr>
        <w:tabs>
          <w:tab w:val="left" w:pos="709"/>
        </w:tabs>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0B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0B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B2">
      <w:pPr>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w:t>
      </w:r>
    </w:p>
    <w:p w:rsidR="00000000" w:rsidDel="00000000" w:rsidP="00000000" w:rsidRDefault="00000000" w:rsidRPr="00000000" w14:paraId="000000B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B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6">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podemos observar, de los preceptos legales antes señalados establecen que </w:t>
      </w:r>
      <w:r w:rsidDel="00000000" w:rsidR="00000000" w:rsidRPr="00000000">
        <w:rPr>
          <w:rFonts w:ascii="Palatino Linotype" w:cs="Palatino Linotype" w:eastAsia="Palatino Linotype" w:hAnsi="Palatino Linotype"/>
          <w:b w:val="1"/>
          <w:rtl w:val="0"/>
        </w:rPr>
        <w:t xml:space="preserve">los Sujetos Obligados se encuentran constreñidos a entregar la Información Pública solicitada por los particulares</w:t>
      </w:r>
      <w:r w:rsidDel="00000000" w:rsidR="00000000" w:rsidRPr="00000000">
        <w:rPr>
          <w:rFonts w:ascii="Palatino Linotype" w:cs="Palatino Linotype" w:eastAsia="Palatino Linotype" w:hAnsi="Palatino Linotype"/>
          <w:rtl w:val="0"/>
        </w:rPr>
        <w:t xml:space="preserve"> y que ésta misma se encuentre en sus archivos o que obre en su posesión, </w:t>
      </w:r>
      <w:r w:rsidDel="00000000" w:rsidR="00000000" w:rsidRPr="00000000">
        <w:rPr>
          <w:rFonts w:ascii="Palatino Linotype" w:cs="Palatino Linotype" w:eastAsia="Palatino Linotype" w:hAnsi="Palatino Linotype"/>
          <w:b w:val="1"/>
          <w:rtl w:val="0"/>
        </w:rPr>
        <w:t xml:space="preserve">privilegiando en todo momento el principio de máxima publicidad,</w:t>
      </w:r>
      <w:r w:rsidDel="00000000" w:rsidR="00000000" w:rsidRPr="00000000">
        <w:rPr>
          <w:rFonts w:ascii="Palatino Linotype" w:cs="Palatino Linotype" w:eastAsia="Palatino Linotype" w:hAnsi="Palatino Linotype"/>
          <w:rtl w:val="0"/>
        </w:rPr>
        <w:t xml:space="preserve"> sin generarla, procesarla, resumirla, ni presentarla conforme al interés del solicitante. </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 de manifiesto entonces que, </w:t>
      </w:r>
      <w:r w:rsidDel="00000000" w:rsidR="00000000" w:rsidRPr="00000000">
        <w:rPr>
          <w:rFonts w:ascii="Palatino Linotype" w:cs="Palatino Linotype" w:eastAsia="Palatino Linotype" w:hAnsi="Palatino Linotype"/>
          <w:b w:val="1"/>
          <w:rtl w:val="0"/>
        </w:rPr>
        <w:t xml:space="preserve">se considera Información Pública al conjunto de datos que posee cualquier autoridad, obtenidos en virtud del ejercicio de sus funciones de derecho público</w:t>
      </w:r>
      <w:r w:rsidDel="00000000" w:rsidR="00000000" w:rsidRPr="00000000">
        <w:rPr>
          <w:rFonts w:ascii="Palatino Linotype" w:cs="Palatino Linotype" w:eastAsia="Palatino Linotype" w:hAnsi="Palatino Linotype"/>
          <w:rtl w:val="0"/>
        </w:rPr>
        <w:t xml:space="preserve">;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ES AQUELLA QUE SE ENCUENTRA EN POSESIÓN DE CUALQUIER AUTORIDAD, ENTIDAD, ÓRGANO Y ORGANISMO FEDERAL, ESTATAL Y MUNICIPAL, SIEMPRE QUE SE HAYA OBTENIDO POR CAUSA DEL EJERCICIO DE FUNCIONES DE DERECHO PÚBLICO.</w:t>
      </w:r>
      <w:r w:rsidDel="00000000" w:rsidR="00000000" w:rsidRPr="00000000">
        <w:rPr>
          <w:rFonts w:ascii="Palatino Linotype" w:cs="Palatino Linotype" w:eastAsia="Palatino Linotype" w:hAnsi="Palatino Linotype"/>
          <w:i w:val="1"/>
          <w:sz w:val="22"/>
          <w:szCs w:val="22"/>
          <w:rtl w:val="0"/>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00000" w:rsidDel="00000000" w:rsidP="00000000" w:rsidRDefault="00000000" w:rsidRPr="00000000" w14:paraId="000000C0">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C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00000" w:rsidDel="00000000" w:rsidP="00000000" w:rsidRDefault="00000000" w:rsidRPr="00000000" w14:paraId="000000C3">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que nos ocupa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00000" w:rsidDel="00000000" w:rsidP="00000000" w:rsidRDefault="00000000" w:rsidRPr="00000000" w14:paraId="000000C5">
      <w:pPr>
        <w:ind w:left="851" w:right="901" w:firstLine="0"/>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ind w:left="851" w:right="90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C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C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C9">
      <w:pPr>
        <w:ind w:left="851"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C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w:t>
      </w:r>
      <w:r w:rsidDel="00000000" w:rsidR="00000000" w:rsidRPr="00000000">
        <w:rPr>
          <w:rFonts w:ascii="Palatino Linotype" w:cs="Palatino Linotype" w:eastAsia="Palatino Linotype" w:hAnsi="Palatino Linotype"/>
          <w:b w:val="1"/>
          <w:i w:val="1"/>
          <w:sz w:val="22"/>
          <w:szCs w:val="22"/>
          <w:u w:val="single"/>
          <w:rtl w:val="0"/>
        </w:rPr>
        <w:t xml:space="preserve">información</w:t>
      </w:r>
      <w:r w:rsidDel="00000000" w:rsidR="00000000" w:rsidRPr="00000000">
        <w:rPr>
          <w:rFonts w:ascii="Palatino Linotype" w:cs="Palatino Linotype" w:eastAsia="Palatino Linotype" w:hAnsi="Palatino Linotype"/>
          <w:i w:val="1"/>
          <w:sz w:val="22"/>
          <w:szCs w:val="22"/>
          <w:rtl w:val="0"/>
        </w:rPr>
        <w:t xml:space="preserve"> registrada en cualquier soporte documental, que en ejercicio de las atribuciones conferidas, sea administrada por los Sujetos Obligados, y</w:t>
      </w:r>
    </w:p>
    <w:p w:rsidR="00000000" w:rsidDel="00000000" w:rsidP="00000000" w:rsidRDefault="00000000" w:rsidRPr="00000000" w14:paraId="000000C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CC">
      <w:pPr>
        <w:ind w:left="851" w:right="90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CD">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precisado lo anterior, es importante destacar que los Sujetos Obligados 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000000" w:rsidDel="00000000" w:rsidP="00000000" w:rsidRDefault="00000000" w:rsidRPr="00000000" w14:paraId="000000D1">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widowControl w:val="0"/>
        <w:tabs>
          <w:tab w:val="left" w:pos="127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w:t>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materia de transparencia ya citada, se desprende que la Unidad de Transparencia debe notificar la respuesta a las solicitudes de acceso a la información, en el menor tiempo posible, el cual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en la especie no aconteció, para lo cual sirve de sustento el precepto legal en cita:</w:t>
      </w:r>
    </w:p>
    <w:p w:rsidR="00000000" w:rsidDel="00000000" w:rsidP="00000000" w:rsidRDefault="00000000" w:rsidRPr="00000000" w14:paraId="000000D9">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D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DC">
      <w:pP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0DD">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la Unidad de Transparencia incumplió la normatividad aplicable a la materia, puesto que no dio respuesta a la solicitud de acceso a la información que en el presente caso nos ocupa, limitando el derecho de acceso a la información, accionado por el particular.</w:t>
      </w:r>
    </w:p>
    <w:p w:rsidR="00000000" w:rsidDel="00000000" w:rsidP="00000000" w:rsidRDefault="00000000" w:rsidRPr="00000000" w14:paraId="000000DF">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tramité y respuesta a la solicitud del particular</w:t>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importante referir lo que dispone el artículo 172, último párrafo de la Ley de Transparencia y Acceso a la Información Pública del Estado de México y Municipios, el cual refiere que los argumentos para justificar cualquier negativa de acceso a la información debe recaer 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vertAlign w:val="superscript"/>
        </w:rPr>
        <w:footnoteReference w:customMarkFollows="0" w:id="1"/>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éste Órgano Garante no omite señalar que, si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advierte que dentro de la información solicitada contiene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cuando clasifique algún documento o información, ya sea todo o en parte, debe atender lo dispuesto por la Ley de la materia, ya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de presentar ante la Unidad de Transparencia la propuesta de clasificación de la información, para que luego ésta se exhiba ante al Comité de Transparencia y, en su caso, de resultar procedente el proyecto de clasificación de la información sea éste último quien apruebe, modifique o revoque la misma, de manera fundada y motivada, en atención a lo previsto en el artículo 143 de la Constitución Política del Estado Libre y Soberano de México.</w:t>
      </w:r>
    </w:p>
    <w:p w:rsidR="00000000" w:rsidDel="00000000" w:rsidP="00000000" w:rsidRDefault="00000000" w:rsidRPr="00000000" w14:paraId="000000E9">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dentro de los datos personales que pudieran contenerse se destacan los datos personales sensibles, los cuales son aquellos referentes de la esfera de su titular cuya utilización indebida pueda dar origen a discriminación o conlleve un riesgo grave para éste. </w:t>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éste Órgano Garante no omite mencionar que, si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advierte información que, por su propia y especial naturaleza, encuadre en alguno de los supuestos de reserva que enmarca la Ley de Transparencia y Acceso a la Información Pública del Estado de México y Municipios deberá efectuar la clasificación correspondiente, debidamente fundada y motivada. </w:t>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las hipótesis previstas en el numeral 140 de la Ley de Transparencia y Acceso a la Información Pública del Estado de México y Municipios; así como, en términos de lo dispuesto por los Lineamientos Generales en Materia de Clasificación y Desclasificación de la Información, para la elaboración de Versiones Públicas.</w:t>
      </w:r>
    </w:p>
    <w:p w:rsidR="00000000" w:rsidDel="00000000" w:rsidP="00000000" w:rsidRDefault="00000000" w:rsidRPr="00000000" w14:paraId="000000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sin perder de vista que la Constitución Política de los Estados Unidos Mexicanos otorga a </w:t>
      </w:r>
      <w:r w:rsidDel="00000000" w:rsidR="00000000" w:rsidRPr="00000000">
        <w:rPr>
          <w:rFonts w:ascii="Palatino Linotype" w:cs="Palatino Linotype" w:eastAsia="Palatino Linotype" w:hAnsi="Palatino Linotype"/>
          <w:b w:val="1"/>
          <w:rtl w:val="0"/>
        </w:rPr>
        <w:t xml:space="preserve">todos los documentos</w:t>
      </w:r>
      <w:r w:rsidDel="00000000" w:rsidR="00000000" w:rsidRPr="00000000">
        <w:rPr>
          <w:rFonts w:ascii="Palatino Linotype" w:cs="Palatino Linotype" w:eastAsia="Palatino Linotype" w:hAnsi="Palatino Linotype"/>
          <w:rtl w:val="0"/>
        </w:rPr>
        <w:t xml:space="preserve"> en posesión de las autoridades </w:t>
      </w:r>
      <w:r w:rsidDel="00000000" w:rsidR="00000000" w:rsidRPr="00000000">
        <w:rPr>
          <w:rFonts w:ascii="Palatino Linotype" w:cs="Palatino Linotype" w:eastAsia="Palatino Linotype" w:hAnsi="Palatino Linotype"/>
          <w:b w:val="1"/>
          <w:rtl w:val="0"/>
        </w:rPr>
        <w:t xml:space="preserve">la calidad de públicos</w:t>
      </w:r>
      <w:r w:rsidDel="00000000" w:rsidR="00000000" w:rsidRPr="00000000">
        <w:rPr>
          <w:rFonts w:ascii="Palatino Linotype" w:cs="Palatino Linotype" w:eastAsia="Palatino Linotype" w:hAnsi="Palatino Linotype"/>
          <w:rtl w:val="0"/>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000000" w:rsidDel="00000000" w:rsidP="00000000" w:rsidRDefault="00000000" w:rsidRPr="00000000" w14:paraId="000000F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F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FA">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000000" w:rsidDel="00000000" w:rsidP="00000000" w:rsidRDefault="00000000" w:rsidRPr="00000000" w14:paraId="000000FC">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antecede, respecto de la reserva de la información implica una clasificación, que debe entenderse como el proceso mediante el cual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determina que la información en su poder actualiza alguno de los supuestos conforme a las normas aplicables.</w:t>
      </w:r>
    </w:p>
    <w:p w:rsidR="00000000" w:rsidDel="00000000" w:rsidP="00000000" w:rsidRDefault="00000000" w:rsidRPr="00000000" w14:paraId="000000F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puede confirmar, modificar o revocar la decisión, que para motivar la clasificación de la información y la ampliación del plazo de reserva,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además,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en todo momento tiene que aplicar una prueba de daño.</w:t>
      </w:r>
    </w:p>
    <w:p w:rsidR="00000000" w:rsidDel="00000000" w:rsidP="00000000" w:rsidRDefault="00000000" w:rsidRPr="00000000" w14:paraId="0000010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000000" w:rsidDel="00000000" w:rsidP="00000000" w:rsidRDefault="00000000" w:rsidRPr="00000000" w14:paraId="000001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1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106">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107">
      <w:pPr>
        <w:numPr>
          <w:ilvl w:val="0"/>
          <w:numId w:val="2"/>
        </w:numPr>
        <w:spacing w:line="360" w:lineRule="auto"/>
        <w:ind w:left="1276" w:hanging="425"/>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108">
      <w:pPr>
        <w:spacing w:line="360" w:lineRule="auto"/>
        <w:ind w:left="127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artículo 141 de la misma Ley, que señala que las causales de reserva previstas, se deberán fundar y motivar, a través de la aplicación de la prueba de daño.</w:t>
      </w:r>
    </w:p>
    <w:p w:rsidR="00000000" w:rsidDel="00000000" w:rsidP="00000000" w:rsidRDefault="00000000" w:rsidRPr="00000000" w14:paraId="0000010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D">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10E">
      <w:pPr>
        <w:numPr>
          <w:ilvl w:val="0"/>
          <w:numId w:val="1"/>
        </w:numPr>
        <w:spacing w:line="360" w:lineRule="auto"/>
        <w:ind w:left="1134" w:hanging="28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10F">
      <w:pPr>
        <w:spacing w:line="360" w:lineRule="auto"/>
        <w:ind w:left="1134"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widowControl w:val="0"/>
        <w:tabs>
          <w:tab w:val="left" w:pos="1276"/>
          <w:tab w:val="left" w:pos="1701"/>
          <w:tab w:val="left" w:pos="1843"/>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000000" w:rsidDel="00000000" w:rsidP="00000000" w:rsidRDefault="00000000" w:rsidRPr="00000000" w14:paraId="00000111">
      <w:pPr>
        <w:widowControl w:val="0"/>
        <w:tabs>
          <w:tab w:val="left" w:pos="1276"/>
          <w:tab w:val="left" w:pos="1701"/>
          <w:tab w:val="left" w:pos="1843"/>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este Órgano Garante de la Protección de Datos Personales no omite mencionar que, si dentro de la información que se ordena su entrega,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advierte documentos que por su propia y especial naturaleza son privados, deberá efectuar el Acuerdo de Clasificación como confidencial, en términos de la legislación aplicable y en los términos abordados con antelación.</w:t>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es importante referir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seguir el procedimiento legal establecido para su clasificación, esto es, que su Comité de Transparencia emita un Acuerdo de Clasificación que cumpla con las formalidades antes citadas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11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11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11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11B">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C">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reiterado número </w:t>
      </w:r>
      <w:r w:rsidDel="00000000" w:rsidR="00000000" w:rsidRPr="00000000">
        <w:rPr>
          <w:rFonts w:ascii="Palatino Linotype" w:cs="Palatino Linotype" w:eastAsia="Palatino Linotype" w:hAnsi="Palatino Linotype"/>
          <w:b w:val="1"/>
          <w:rtl w:val="0"/>
        </w:rPr>
        <w:t xml:space="preserve">08/19</w:t>
      </w:r>
      <w:r w:rsidDel="00000000" w:rsidR="00000000" w:rsidRPr="00000000">
        <w:rPr>
          <w:rFonts w:ascii="Palatino Linotype" w:cs="Palatino Linotype" w:eastAsia="Palatino Linotype" w:hAnsi="Palatino Linotype"/>
          <w:rtl w:val="0"/>
        </w:rPr>
        <w:t xml:space="preserve">, emitidos por Acuerdo del Pleno del Instituto de Transparencia y Acceso a la Información Pública del Estado de México y Municipios, que a la letra dice:</w:t>
      </w:r>
    </w:p>
    <w:p w:rsidR="00000000" w:rsidDel="00000000" w:rsidP="00000000" w:rsidRDefault="00000000" w:rsidRPr="00000000" w14:paraId="0000011D">
      <w:pPr>
        <w:shd w:fill="ffffff" w:val="clear"/>
        <w:ind w:left="851" w:right="902" w:firstLine="0"/>
        <w:jc w:val="center"/>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E">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w:t>
      </w:r>
      <w:r w:rsidDel="00000000" w:rsidR="00000000" w:rsidRPr="00000000">
        <w:rPr>
          <w:rFonts w:ascii="Palatino Linotype" w:cs="Palatino Linotype" w:eastAsia="Palatino Linotype" w:hAnsi="Palatino Linotype"/>
          <w:i w:val="1"/>
          <w:sz w:val="22"/>
          <w:szCs w:val="22"/>
          <w:rtl w:val="0"/>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w:t>
      </w:r>
      <w:r w:rsidDel="00000000" w:rsidR="00000000" w:rsidRPr="00000000">
        <w:rPr>
          <w:rFonts w:ascii="Palatino Linotype" w:cs="Palatino Linotype" w:eastAsia="Palatino Linotype" w:hAnsi="Palatino Linotype"/>
          <w:rtl w:val="0"/>
        </w:rPr>
        <w:t xml:space="preserve">Transparencia</w:t>
      </w:r>
      <w:r w:rsidDel="00000000" w:rsidR="00000000" w:rsidRPr="00000000">
        <w:rPr>
          <w:rFonts w:ascii="Palatino Linotype" w:cs="Palatino Linotype" w:eastAsia="Palatino Linotype" w:hAnsi="Palatino Linotype"/>
          <w:i w:val="1"/>
          <w:sz w:val="22"/>
          <w:szCs w:val="22"/>
          <w:rtl w:val="0"/>
        </w:rPr>
        <w:t xml:space="preserve">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1F">
      <w:pPr>
        <w:ind w:left="851" w:right="89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20">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anterior, se determinan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por lo que el Pleno de este Instituto estima pertinente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trámite y respuesta a la solicitud de acceso a la información, atendiendo lo señalado en el presente Considerando.</w:t>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atendiendo 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fue omiso en entregar la respuesta a la solicitud de Información Pública sujeta a estudio y dado que el Recurso Revisión materia del presente asunto, no es el medio para investigar y en su caso, sancionar a servidores públicos </w:t>
      </w:r>
      <w:r w:rsidDel="00000000" w:rsidR="00000000" w:rsidRPr="00000000">
        <w:rPr>
          <w:rFonts w:ascii="Palatino Linotype" w:cs="Palatino Linotype" w:eastAsia="Palatino Linotype" w:hAnsi="Palatino Linotype"/>
          <w:b w:val="1"/>
          <w:rtl w:val="0"/>
        </w:rPr>
        <w:t xml:space="preserve">por la omisión de la entrega de Información Pública</w:t>
      </w:r>
      <w:r w:rsidDel="00000000" w:rsidR="00000000" w:rsidRPr="00000000">
        <w:rPr>
          <w:rFonts w:ascii="Palatino Linotype" w:cs="Palatino Linotype" w:eastAsia="Palatino Linotype" w:hAnsi="Palatino Linotype"/>
          <w:rtl w:val="0"/>
        </w:rPr>
        <w:t xml:space="preserve">, en atención a lo previsto en el artículo 163 de la Ley de la Materia, que señala el plazo de respuesta y atención a solicitudes de información; se hará  del conocimiento al Contralor de este Instituto a fin de que en términos del ordinal 190 de la Ley de la materia determine lo conducente. </w:t>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000000" w:rsidDel="00000000" w:rsidP="00000000" w:rsidRDefault="00000000" w:rsidRPr="00000000" w14:paraId="00000126">
      <w:pPr>
        <w:jc w:val="center"/>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27">
      <w:pPr>
        <w:jc w:val="center"/>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128">
      <w:pPr>
        <w:jc w:val="center"/>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color w:val="000000"/>
          <w:sz w:val="28"/>
          <w:szCs w:val="28"/>
          <w:rtl w:val="0"/>
        </w:rPr>
        <w:t xml:space="preserve">RESUELVE</w:t>
      </w:r>
    </w:p>
    <w:p w:rsidR="00000000" w:rsidDel="00000000" w:rsidP="00000000" w:rsidRDefault="00000000" w:rsidRPr="00000000" w14:paraId="00000129">
      <w:pPr>
        <w:jc w:val="center"/>
        <w:rPr>
          <w:rFonts w:ascii="Palatino Linotype" w:cs="Palatino Linotype" w:eastAsia="Palatino Linotype" w:hAnsi="Palatino Linotype"/>
          <w:b w:val="1"/>
          <w:color w:val="000000"/>
          <w:sz w:val="28"/>
          <w:szCs w:val="28"/>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PRIMERO</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w:t>
      </w:r>
      <w:r w:rsidDel="00000000" w:rsidR="00000000" w:rsidRPr="00000000">
        <w:rPr>
          <w:rFonts w:ascii="Palatino Linotype" w:cs="Palatino Linotype" w:eastAsia="Palatino Linotype" w:hAnsi="Palatino Linotype"/>
          <w:color w:val="000000"/>
          <w:rtl w:val="0"/>
        </w:rPr>
        <w:t xml:space="preserve">razones</w:t>
      </w:r>
      <w:r w:rsidDel="00000000" w:rsidR="00000000" w:rsidRPr="00000000">
        <w:rPr>
          <w:rFonts w:ascii="Palatino Linotype" w:cs="Palatino Linotype" w:eastAsia="Palatino Linotype" w:hAnsi="Palatino Linotype"/>
          <w:rtl w:val="0"/>
        </w:rPr>
        <w:t xml:space="preserve"> o motivos de inconformidad hechas valer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2B">
      <w:pPr>
        <w:widowControl w:val="0"/>
        <w:tabs>
          <w:tab w:val="left" w:pos="1701"/>
        </w:tabs>
        <w:spacing w:line="360" w:lineRule="auto"/>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2C">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atienda la Solicitud de Acceso a la Información Pública que dio origen al Recurso Revisión número </w:t>
      </w:r>
      <w:r w:rsidDel="00000000" w:rsidR="00000000" w:rsidRPr="00000000">
        <w:rPr>
          <w:rFonts w:ascii="Palatino Linotype" w:cs="Palatino Linotype" w:eastAsia="Palatino Linotype" w:hAnsi="Palatino Linotype"/>
          <w:b w:val="1"/>
          <w:rtl w:val="0"/>
        </w:rPr>
        <w:t xml:space="preserve">05317/INFOEM/IP/RR/2022,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términos del Considerando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y en su caso haga entrega de la información solicitada, debiendo observar las excepciones contenidas en la Ley de Transparencia y Acceso a la Información Pública del Estado de México y Municipios, que en su caso resulten aplicables.</w:t>
      </w:r>
    </w:p>
    <w:p w:rsidR="00000000" w:rsidDel="00000000" w:rsidP="00000000" w:rsidRDefault="00000000" w:rsidRPr="00000000" w14:paraId="0000012D">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TERCERO</w:t>
      </w:r>
      <w:r w:rsidDel="00000000" w:rsidR="00000000" w:rsidRPr="00000000">
        <w:rPr>
          <w:rFonts w:ascii="Palatino Linotype" w:cs="Palatino Linotype" w:eastAsia="Palatino Linotype" w:hAnsi="Palatino Linotype"/>
          <w:b w:val="1"/>
          <w:rtl w:val="0"/>
        </w:rPr>
        <w:t xml:space="preserve">. Notifíquese</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rsidR="00000000" w:rsidDel="00000000" w:rsidP="00000000" w:rsidRDefault="00000000" w:rsidRPr="00000000" w14:paraId="0000012E">
      <w:pPr>
        <w:widowControl w:val="0"/>
        <w:tabs>
          <w:tab w:val="left" w:pos="1701"/>
        </w:tabs>
        <w:spacing w:line="360" w:lineRule="auto"/>
        <w:ind w:left="1701" w:hanging="1701"/>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2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 fundamento en el artículo 198 de la Ley de Transparencia y Acceso a la Información Pública del Estado de México y Municipios, se apercibe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negarse a cumplir la presente resolución o hacerlo de manera parcial se actuará de conformidad con lo previsto en los artículos 213, 214, 216 y 217 de dicha Ley.</w:t>
      </w:r>
    </w:p>
    <w:p w:rsidR="00000000" w:rsidDel="00000000" w:rsidP="00000000" w:rsidRDefault="00000000" w:rsidRPr="00000000" w14:paraId="00000130">
      <w:pPr>
        <w:widowControl w:val="0"/>
        <w:tabs>
          <w:tab w:val="left" w:pos="1701"/>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widowControl w:val="0"/>
        <w:tabs>
          <w:tab w:val="left" w:pos="1560"/>
        </w:tabs>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000000"/>
          <w:rtl w:val="0"/>
        </w:rPr>
        <w:t xml:space="preserve">Notifíquese</w:t>
      </w:r>
      <w:r w:rsidDel="00000000" w:rsidR="00000000" w:rsidRPr="00000000">
        <w:rPr>
          <w:rFonts w:ascii="Palatino Linotype" w:cs="Palatino Linotype" w:eastAsia="Palatino Linotype" w:hAnsi="Palatino Linotype"/>
          <w:color w:val="000000"/>
          <w:rtl w:val="0"/>
        </w:rPr>
        <w:t xml:space="preserve"> al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vía Sistema de Acceso a la Información Mexiquense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132">
      <w:pPr>
        <w:widowControl w:val="0"/>
        <w:tabs>
          <w:tab w:val="left" w:pos="1560"/>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widowControl w:val="0"/>
        <w:tabs>
          <w:tab w:val="left" w:pos="1276"/>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SEXTO.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w:t>
      </w:r>
      <w:r w:rsidDel="00000000" w:rsidR="00000000" w:rsidRPr="00000000">
        <w:rPr>
          <w:rFonts w:ascii="Palatino Linotype" w:cs="Palatino Linotype" w:eastAsia="Palatino Linotype" w:hAnsi="Palatino Linotype"/>
          <w:rtl w:val="0"/>
        </w:rPr>
        <w:t xml:space="preserve"> del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34">
      <w:pPr>
        <w:widowControl w:val="0"/>
        <w:tabs>
          <w:tab w:val="left" w:pos="1276"/>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SÉPTIMO.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 del conocimiento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36">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OCTAVO</w:t>
      </w:r>
      <w:r w:rsidDel="00000000" w:rsidR="00000000" w:rsidRPr="00000000">
        <w:rPr>
          <w:rFonts w:ascii="Palatino Linotype" w:cs="Palatino Linotype" w:eastAsia="Palatino Linotype" w:hAnsi="Palatino Linotype"/>
          <w:b w:val="1"/>
          <w:rtl w:val="0"/>
        </w:rPr>
        <w:t xml:space="preserve">. Gírese oficio </w:t>
      </w:r>
      <w:r w:rsidDel="00000000" w:rsidR="00000000" w:rsidRPr="00000000">
        <w:rPr>
          <w:rFonts w:ascii="Palatino Linotype" w:cs="Palatino Linotype" w:eastAsia="Palatino Linotype" w:hAnsi="Palatino Linotype"/>
          <w:rtl w:val="0"/>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 </w:t>
      </w:r>
    </w:p>
    <w:p w:rsidR="00000000" w:rsidDel="00000000" w:rsidP="00000000" w:rsidRDefault="00000000" w:rsidRPr="00000000" w14:paraId="00000138">
      <w:pPr>
        <w:widowControl w:val="0"/>
        <w:tabs>
          <w:tab w:val="left" w:pos="1701"/>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DE MAYO DE DOS MIL VEINTIDÓS, ANTE EL SECRETARIO TÉCNICO DEL PLENO, ALEXIS TAPIA RAMÍREZ. </w:t>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SCMM/BLA/DEMF/CMP</w:t>
      </w:r>
    </w:p>
    <w:p w:rsidR="00000000" w:rsidDel="00000000" w:rsidP="00000000" w:rsidRDefault="00000000" w:rsidRPr="00000000" w14:paraId="0000013B">
      <w:pPr>
        <w:spacing w:line="360" w:lineRule="auto"/>
        <w:rPr>
          <w:rFonts w:ascii="Palatino Linotype" w:cs="Palatino Linotype" w:eastAsia="Palatino Linotype" w:hAnsi="Palatino Linotype"/>
          <w:b w:val="1"/>
          <w:color w:val="000000"/>
          <w:sz w:val="28"/>
          <w:szCs w:val="28"/>
        </w:rPr>
      </w:pPr>
      <w:r w:rsidDel="00000000" w:rsidR="00000000" w:rsidRPr="00000000">
        <w:br w:type="page"/>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5840" w:w="12240" w:orient="portrait"/>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16"/>
          <w:szCs w:val="16"/>
          <w:u w:val="none"/>
          <w:shd w:fill="auto" w:val="clear"/>
          <w:vertAlign w:val="baseline"/>
          <w:rtl w:val="0"/>
        </w:rPr>
        <w:t xml:space="preserve">Artículo 3.-</w:t>
      </w:r>
      <w:r w:rsidDel="00000000" w:rsidR="00000000" w:rsidRPr="00000000">
        <w:rPr>
          <w:rFonts w:ascii="Palatino Linotype" w:cs="Palatino Linotype" w:eastAsia="Palatino Linotype" w:hAnsi="Palatino Linotype"/>
          <w:b w:val="0"/>
          <w:i w:val="1"/>
          <w:smallCaps w:val="0"/>
          <w:strike w:val="0"/>
          <w:color w:val="000000"/>
          <w:sz w:val="16"/>
          <w:szCs w:val="16"/>
          <w:u w:val="none"/>
          <w:shd w:fill="auto" w:val="clear"/>
          <w:vertAlign w:val="baseline"/>
          <w:rtl w:val="0"/>
        </w:rPr>
        <w:t xml:space="preserve"> Los municipios del Estado regularán su funcionamiento de conformidad con lo que establece esta Ley, los Bandos municipales, reglamentos y demás disposiciones legales aplicables.</w:t>
      </w:r>
    </w:p>
  </w:footnote>
  <w:footnote w:id="1">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Al encontrarse en algún supuesto restrictivo, previsto en la normatividad aplicable.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1" style="position:absolute;width:540.0pt;height:720.0pt;rotation:0;z-index:-503316481;mso-position-horizontal-relative:margin;mso-position-horizontal:absolute;margin-left:-42.0pt;mso-position-vertical-relative:margin;mso-position-vertical:absolute;margin-top:-92.35pt;" alt="" type="#_x0000_t75">
          <v:imagedata cropbottom="0f" cropleft="0f" cropright="0f" croptop="0f" r:id="rId1" o:title="image4.jpg"/>
        </v:shape>
      </w:pict>
    </w:r>
    <w:r w:rsidDel="00000000" w:rsidR="00000000" w:rsidRPr="00000000">
      <w:rPr>
        <w:rtl w:val="0"/>
      </w:rPr>
    </w:r>
  </w:p>
  <w:tbl>
    <w:tblPr>
      <w:tblStyle w:val="Table1"/>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13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40">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1">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05317/INFOEM/IP/RR/2022</w:t>
          </w:r>
        </w:p>
      </w:tc>
    </w:tr>
    <w:tr>
      <w:trPr>
        <w:cantSplit w:val="0"/>
        <w:tblHeader w:val="0"/>
      </w:trPr>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43">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44">
          <w:pPr>
            <w:jc w:val="right"/>
            <w:rPr/>
          </w:pPr>
          <w:r w:rsidDel="00000000" w:rsidR="00000000" w:rsidRPr="00000000">
            <w:rPr>
              <w:rFonts w:ascii="Palatino Linotype" w:cs="Palatino Linotype" w:eastAsia="Palatino Linotype" w:hAnsi="Palatino Linotype"/>
              <w:b w:val="1"/>
              <w:sz w:val="22"/>
              <w:szCs w:val="22"/>
              <w:rtl w:val="0"/>
            </w:rPr>
            <w:t xml:space="preserve">Ayuntamiento de Otumba</w:t>
          </w:r>
          <w:r w:rsidDel="00000000" w:rsidR="00000000" w:rsidRPr="00000000">
            <w:rPr>
              <w:rtl w:val="0"/>
            </w:rPr>
          </w:r>
        </w:p>
      </w:tc>
    </w:tr>
    <w:tr>
      <w:trPr>
        <w:cantSplit w:val="0"/>
        <w:trHeight w:val="228" w:hRule="atLeast"/>
        <w:tblHeader w:val="0"/>
      </w:trPr>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46">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47">
          <w:pPr>
            <w:jc w:val="right"/>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3"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2" style="position:absolute;width:540.0pt;height:720.0pt;rotation:0;z-index:-503316481;mso-position-horizontal-relative:margin;mso-position-horizontal:absolute;margin-left:-54.85pt;mso-position-vertical-relative:margin;mso-position-vertical:absolute;margin-top:-91.05pt;" alt="" type="#_x0000_t75">
          <v:imagedata cropbottom="0f" cropleft="0f" cropright="0f" croptop="0f" r:id="rId1" o:title="image4.jpg"/>
        </v:shape>
      </w:pict>
    </w:r>
    <w:r w:rsidDel="00000000" w:rsidR="00000000" w:rsidRPr="00000000">
      <w:rPr>
        <w:rtl w:val="0"/>
      </w:rPr>
    </w:r>
  </w:p>
  <w:tbl>
    <w:tblPr>
      <w:tblStyle w:val="Table2"/>
      <w:tblW w:w="10490.0" w:type="dxa"/>
      <w:jc w:val="left"/>
      <w:tblInd w:w="-1276.0" w:type="dxa"/>
      <w:tblLayout w:type="fixed"/>
      <w:tblLook w:val="0400"/>
    </w:tblPr>
    <w:tblGrid>
      <w:gridCol w:w="4253"/>
      <w:gridCol w:w="2552"/>
      <w:gridCol w:w="3685"/>
      <w:tblGridChange w:id="0">
        <w:tblGrid>
          <w:gridCol w:w="4253"/>
          <w:gridCol w:w="2552"/>
          <w:gridCol w:w="3685"/>
        </w:tblGrid>
      </w:tblGridChange>
    </w:tblGrid>
    <w:tr>
      <w:trPr>
        <w:cantSplit w:val="0"/>
        <w:tblHeader w:val="0"/>
      </w:trPr>
      <w:tc>
        <w:tcPr>
          <w:vMerge w:val="restart"/>
          <w:shd w:fill="auto" w:val="clear"/>
        </w:tcPr>
        <w:p w:rsidR="00000000" w:rsidDel="00000000" w:rsidP="00000000" w:rsidRDefault="00000000" w:rsidRPr="00000000" w14:paraId="0000014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1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4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4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05317/INFOEM/IP/RR/2022</w:t>
          </w:r>
        </w:p>
      </w:tc>
    </w:tr>
    <w:tr>
      <w:trPr>
        <w:cantSplit w:val="0"/>
        <w:tblHeader w:val="0"/>
      </w:trPr>
      <w:tc>
        <w:tcPr>
          <w:vMerge w:val="continue"/>
          <w:shd w:fill="auto"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4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5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XXXXXX XXXXXXXXX</w:t>
          </w:r>
        </w:p>
      </w:tc>
    </w:tr>
    <w:tr>
      <w:trPr>
        <w:cantSplit w:val="0"/>
        <w:trHeight w:val="228" w:hRule="atLeast"/>
        <w:tblHeader w:val="0"/>
      </w:trPr>
      <w:tc>
        <w:tcPr>
          <w:vMerge w:val="continue"/>
          <w:shd w:fill="auto"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5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53">
          <w:pPr>
            <w:jc w:val="both"/>
            <w:rPr/>
          </w:pPr>
          <w:r w:rsidDel="00000000" w:rsidR="00000000" w:rsidRPr="00000000">
            <w:rPr>
              <w:rFonts w:ascii="Palatino Linotype" w:cs="Palatino Linotype" w:eastAsia="Palatino Linotype" w:hAnsi="Palatino Linotype"/>
              <w:b w:val="1"/>
              <w:sz w:val="22"/>
              <w:szCs w:val="22"/>
              <w:rtl w:val="0"/>
            </w:rPr>
            <w:t xml:space="preserve">Ayuntamiento de Otumba</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5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5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157">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rPr>
      <w:rFonts w:ascii="Calibri" w:cs="Calibri" w:eastAsia="Calibri" w:hAnsi="Calibri"/>
      <w:color w:val="4f81bd"/>
      <w:sz w:val="56"/>
      <w:szCs w:val="56"/>
    </w:rPr>
  </w:style>
  <w:style w:type="paragraph" w:styleId="Normal" w:default="1">
    <w:name w:val="Normal"/>
    <w:qFormat w:val="1"/>
    <w:rsid w:val="002B60B8"/>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paragraph" w:styleId="Ttulo7">
    <w:name w:val="heading 7"/>
    <w:basedOn w:val="Normal"/>
    <w:next w:val="Normal"/>
    <w:link w:val="Ttulo7Car"/>
    <w:uiPriority w:val="9"/>
    <w:semiHidden w:val="1"/>
    <w:unhideWhenUsed w:val="1"/>
    <w:qFormat w:val="1"/>
    <w:rsid w:val="007061E4"/>
    <w:pPr>
      <w:keepNext w:val="1"/>
      <w:keepLines w:val="1"/>
      <w:spacing w:before="40" w:line="264" w:lineRule="auto"/>
      <w:outlineLvl w:val="6"/>
    </w:pPr>
    <w:rPr>
      <w:rFonts w:asciiTheme="majorHAnsi" w:cstheme="majorBidi" w:eastAsiaTheme="majorEastAsia" w:hAnsiTheme="majorHAnsi"/>
      <w:i w:val="1"/>
      <w:iCs w:val="1"/>
      <w:color w:val="244061" w:themeColor="accent1" w:themeShade="000080"/>
      <w:sz w:val="21"/>
      <w:szCs w:val="21"/>
      <w:lang w:eastAsia="es-MX" w:val="es-ES_tradnl"/>
    </w:rPr>
  </w:style>
  <w:style w:type="paragraph" w:styleId="Ttulo8">
    <w:name w:val="heading 8"/>
    <w:basedOn w:val="Normal"/>
    <w:next w:val="Normal"/>
    <w:link w:val="Ttulo8Car"/>
    <w:uiPriority w:val="9"/>
    <w:semiHidden w:val="1"/>
    <w:unhideWhenUsed w:val="1"/>
    <w:qFormat w:val="1"/>
    <w:rsid w:val="007061E4"/>
    <w:pPr>
      <w:keepNext w:val="1"/>
      <w:keepLines w:val="1"/>
      <w:spacing w:before="40" w:line="264" w:lineRule="auto"/>
      <w:outlineLvl w:val="7"/>
    </w:pPr>
    <w:rPr>
      <w:rFonts w:asciiTheme="majorHAnsi" w:cstheme="majorBidi" w:eastAsiaTheme="majorEastAsia" w:hAnsiTheme="majorHAnsi"/>
      <w:b w:val="1"/>
      <w:bCs w:val="1"/>
      <w:color w:val="1f497d" w:themeColor="text2"/>
      <w:sz w:val="20"/>
      <w:szCs w:val="20"/>
      <w:lang w:eastAsia="es-MX" w:val="es-ES_tradnl"/>
    </w:rPr>
  </w:style>
  <w:style w:type="paragraph" w:styleId="Ttulo9">
    <w:name w:val="heading 9"/>
    <w:basedOn w:val="Normal"/>
    <w:next w:val="Normal"/>
    <w:link w:val="Ttulo9Car"/>
    <w:uiPriority w:val="9"/>
    <w:semiHidden w:val="1"/>
    <w:unhideWhenUsed w:val="1"/>
    <w:qFormat w:val="1"/>
    <w:rsid w:val="007061E4"/>
    <w:pPr>
      <w:keepNext w:val="1"/>
      <w:keepLines w:val="1"/>
      <w:spacing w:before="40" w:line="264" w:lineRule="auto"/>
      <w:outlineLvl w:val="8"/>
    </w:pPr>
    <w:rPr>
      <w:rFonts w:asciiTheme="majorHAnsi" w:cstheme="majorBidi" w:eastAsiaTheme="majorEastAsia" w:hAnsiTheme="majorHAnsi"/>
      <w:b w:val="1"/>
      <w:bCs w:val="1"/>
      <w:i w:val="1"/>
      <w:iCs w:val="1"/>
      <w:color w:val="1f497d" w:themeColor="text2"/>
      <w:sz w:val="20"/>
      <w:szCs w:val="20"/>
      <w:lang w:eastAsia="es-MX"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uiPriority w:val="99"/>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styleId="TextosinformatoCar" w:customStyle="1">
    <w:name w:val="Texto sin formato Car"/>
    <w:basedOn w:val="Fuentedeprrafopredeter"/>
    <w:link w:val="Textosinformato"/>
    <w:uiPriority w:val="99"/>
    <w:rsid w:val="0015349A"/>
    <w:rPr>
      <w:rFonts w:ascii="Courier New" w:cs="Times New Roman" w:eastAsia="Times New Roman" w:hAnsi="Courier New"/>
      <w:sz w:val="20"/>
      <w:szCs w:val="20"/>
      <w:lang w:val="es-ES"/>
    </w:rPr>
  </w:style>
  <w:style w:type="paragraph" w:styleId="Standard" w:customStyle="1">
    <w:name w:val="Standard"/>
    <w:uiPriority w:val="99"/>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uiPriority w:val="99"/>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5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uiPriority w:val="99"/>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uiPriority w:val="99"/>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uiPriority w:val="99"/>
    <w:rsid w:val="001C4E80"/>
    <w:pPr>
      <w:spacing w:after="100" w:afterAutospacing="1" w:before="100" w:beforeAutospacing="1"/>
    </w:pPr>
    <w:rPr>
      <w:lang w:eastAsia="es-MX"/>
    </w:rPr>
  </w:style>
  <w:style w:type="paragraph" w:styleId="j" w:customStyle="1">
    <w:name w:val="j"/>
    <w:basedOn w:val="Normal"/>
    <w:uiPriority w:val="99"/>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uiPriority w:val="99"/>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uiPriority w:val="99"/>
    <w:rsid w:val="00B93B76"/>
    <w:pPr>
      <w:spacing w:line="360" w:lineRule="auto"/>
      <w:ind w:left="709" w:right="709"/>
      <w:jc w:val="both"/>
    </w:pPr>
    <w:rPr>
      <w:rFonts w:ascii="Arial" w:cs="Arial" w:hAnsi="Arial"/>
      <w:b w:val="1"/>
      <w:bCs w:val="1"/>
      <w:i w:val="1"/>
      <w:iCs w:val="1"/>
      <w:sz w:val="30"/>
      <w:szCs w:val="30"/>
      <w:lang w:eastAsia="es-MX"/>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lang w:eastAsia="es-MX"/>
    </w:rPr>
  </w:style>
  <w:style w:type="table" w:styleId="Tablaconcuadrcula1" w:customStyle="1">
    <w:name w:val="Tabla con cuadrícula1"/>
    <w:basedOn w:val="Tablanormal"/>
    <w:next w:val="Tablaconcuadrcula"/>
    <w:uiPriority w:val="39"/>
    <w:rsid w:val="00555C12"/>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7Car" w:customStyle="1">
    <w:name w:val="Título 7 Car"/>
    <w:basedOn w:val="Fuentedeprrafopredeter"/>
    <w:link w:val="Ttulo7"/>
    <w:uiPriority w:val="9"/>
    <w:semiHidden w:val="1"/>
    <w:rsid w:val="007061E4"/>
    <w:rPr>
      <w:rFonts w:asciiTheme="majorHAnsi" w:cstheme="majorBidi" w:eastAsiaTheme="majorEastAsia" w:hAnsiTheme="majorHAnsi"/>
      <w:i w:val="1"/>
      <w:iCs w:val="1"/>
      <w:color w:val="244061" w:themeColor="accent1" w:themeShade="000080"/>
      <w:sz w:val="21"/>
      <w:szCs w:val="21"/>
      <w:lang w:eastAsia="es-MX"/>
    </w:rPr>
  </w:style>
  <w:style w:type="character" w:styleId="Ttulo8Car" w:customStyle="1">
    <w:name w:val="Título 8 Car"/>
    <w:basedOn w:val="Fuentedeprrafopredeter"/>
    <w:link w:val="Ttulo8"/>
    <w:uiPriority w:val="9"/>
    <w:semiHidden w:val="1"/>
    <w:rsid w:val="007061E4"/>
    <w:rPr>
      <w:rFonts w:asciiTheme="majorHAnsi" w:cstheme="majorBidi" w:eastAsiaTheme="majorEastAsia" w:hAnsiTheme="majorHAnsi"/>
      <w:b w:val="1"/>
      <w:bCs w:val="1"/>
      <w:color w:val="1f497d" w:themeColor="text2"/>
      <w:sz w:val="20"/>
      <w:szCs w:val="20"/>
      <w:lang w:eastAsia="es-MX"/>
    </w:rPr>
  </w:style>
  <w:style w:type="character" w:styleId="Ttulo9Car" w:customStyle="1">
    <w:name w:val="Título 9 Car"/>
    <w:basedOn w:val="Fuentedeprrafopredeter"/>
    <w:link w:val="Ttulo9"/>
    <w:uiPriority w:val="9"/>
    <w:semiHidden w:val="1"/>
    <w:rsid w:val="007061E4"/>
    <w:rPr>
      <w:rFonts w:asciiTheme="majorHAnsi" w:cstheme="majorBidi" w:eastAsiaTheme="majorEastAsia" w:hAnsiTheme="majorHAnsi"/>
      <w:b w:val="1"/>
      <w:bCs w:val="1"/>
      <w:i w:val="1"/>
      <w:iCs w:val="1"/>
      <w:color w:val="1f497d" w:themeColor="text2"/>
      <w:sz w:val="20"/>
      <w:szCs w:val="20"/>
      <w:lang w:eastAsia="es-MX"/>
    </w:rPr>
  </w:style>
  <w:style w:type="table" w:styleId="TableNormal" w:customStyle="1">
    <w:name w:val="Table Normal"/>
    <w:rsid w:val="007061E4"/>
    <w:rPr>
      <w:rFonts w:ascii="Times New Roman" w:cs="Times New Roman" w:eastAsia="Times New Roman" w:hAnsi="Times New Roman"/>
      <w:lang w:eastAsia="es-MX" w:val="es-MX"/>
    </w:rPr>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7061E4"/>
    <w:pPr>
      <w:contextualSpacing w:val="1"/>
    </w:pPr>
    <w:rPr>
      <w:rFonts w:asciiTheme="majorHAnsi" w:cstheme="majorBidi" w:eastAsiaTheme="majorEastAsia" w:hAnsiTheme="majorHAnsi"/>
      <w:color w:val="4f81bd" w:themeColor="accent1"/>
      <w:spacing w:val="-10"/>
      <w:sz w:val="56"/>
      <w:szCs w:val="56"/>
      <w:lang w:eastAsia="es-MX" w:val="es-ES_tradnl"/>
    </w:rPr>
  </w:style>
  <w:style w:type="character" w:styleId="TtuloCar" w:customStyle="1">
    <w:name w:val="Título Car"/>
    <w:basedOn w:val="Fuentedeprrafopredeter"/>
    <w:link w:val="Ttulo"/>
    <w:uiPriority w:val="10"/>
    <w:rsid w:val="007061E4"/>
    <w:rPr>
      <w:rFonts w:asciiTheme="majorHAnsi" w:cstheme="majorBidi" w:eastAsiaTheme="majorEastAsia" w:hAnsiTheme="majorHAnsi"/>
      <w:color w:val="4f81bd" w:themeColor="accent1"/>
      <w:spacing w:val="-10"/>
      <w:sz w:val="56"/>
      <w:szCs w:val="56"/>
      <w:lang w:eastAsia="es-MX"/>
    </w:rPr>
  </w:style>
  <w:style w:type="character" w:styleId="Mencinsinresolver1" w:customStyle="1">
    <w:name w:val="Mención sin resolver1"/>
    <w:basedOn w:val="Fuentedeprrafopredeter"/>
    <w:uiPriority w:val="99"/>
    <w:semiHidden w:val="1"/>
    <w:unhideWhenUsed w:val="1"/>
    <w:rsid w:val="007061E4"/>
    <w:rPr>
      <w:color w:val="605e5c"/>
      <w:shd w:color="auto" w:fill="e1dfdd" w:val="clear"/>
    </w:rPr>
  </w:style>
  <w:style w:type="paragraph" w:styleId="temp" w:customStyle="1">
    <w:name w:val="temp"/>
    <w:basedOn w:val="Normal"/>
    <w:uiPriority w:val="99"/>
    <w:rsid w:val="007061E4"/>
    <w:pPr>
      <w:spacing w:after="100" w:afterAutospacing="1" w:before="100" w:beforeAutospacing="1"/>
    </w:pPr>
    <w:rPr>
      <w:lang w:eastAsia="es-MX"/>
    </w:rPr>
  </w:style>
  <w:style w:type="character" w:styleId="bold" w:customStyle="1">
    <w:name w:val="bold"/>
    <w:basedOn w:val="Fuentedeprrafopredeter"/>
    <w:rsid w:val="007061E4"/>
  </w:style>
  <w:style w:type="paragraph" w:styleId="ng-star-inserted" w:customStyle="1">
    <w:name w:val="ng-star-inserted"/>
    <w:basedOn w:val="Normal"/>
    <w:uiPriority w:val="99"/>
    <w:rsid w:val="007061E4"/>
    <w:pPr>
      <w:spacing w:after="100" w:afterAutospacing="1" w:before="100" w:beforeAutospacing="1"/>
    </w:pPr>
    <w:rPr>
      <w:lang w:eastAsia="es-MX"/>
    </w:rPr>
  </w:style>
  <w:style w:type="character" w:styleId="Mencinsinresolver2" w:customStyle="1">
    <w:name w:val="Mención sin resolver2"/>
    <w:basedOn w:val="Fuentedeprrafopredeter"/>
    <w:uiPriority w:val="99"/>
    <w:semiHidden w:val="1"/>
    <w:unhideWhenUsed w:val="1"/>
    <w:rsid w:val="007061E4"/>
    <w:rPr>
      <w:color w:val="605e5c"/>
      <w:shd w:color="auto" w:fill="e1dfdd" w:val="clear"/>
    </w:rPr>
  </w:style>
  <w:style w:type="character" w:styleId="Mencinsinresolver3" w:customStyle="1">
    <w:name w:val="Mención sin resolver3"/>
    <w:basedOn w:val="Fuentedeprrafopredeter"/>
    <w:uiPriority w:val="99"/>
    <w:semiHidden w:val="1"/>
    <w:unhideWhenUsed w:val="1"/>
    <w:rsid w:val="007061E4"/>
    <w:rPr>
      <w:color w:val="605e5c"/>
      <w:shd w:color="auto" w:fill="e1dfdd" w:val="clear"/>
    </w:rPr>
  </w:style>
  <w:style w:type="paragraph" w:styleId="Saludo">
    <w:name w:val="Salutation"/>
    <w:basedOn w:val="Normal"/>
    <w:next w:val="Normal"/>
    <w:link w:val="SaludoCar"/>
    <w:uiPriority w:val="99"/>
    <w:unhideWhenUsed w:val="1"/>
    <w:rsid w:val="007061E4"/>
    <w:rPr>
      <w:lang w:eastAsia="es-MX"/>
    </w:rPr>
  </w:style>
  <w:style w:type="character" w:styleId="SaludoCar" w:customStyle="1">
    <w:name w:val="Saludo Car"/>
    <w:basedOn w:val="Fuentedeprrafopredeter"/>
    <w:link w:val="Saludo"/>
    <w:uiPriority w:val="99"/>
    <w:rsid w:val="007061E4"/>
    <w:rPr>
      <w:rFonts w:ascii="Times New Roman" w:cs="Times New Roman" w:eastAsia="Times New Roman" w:hAnsi="Times New Roman"/>
      <w:lang w:eastAsia="es-MX" w:val="es-MX"/>
    </w:rPr>
  </w:style>
  <w:style w:type="character" w:styleId="Caracteresdenotaalpie" w:customStyle="1">
    <w:name w:val="Caracteres de nota al pie"/>
    <w:qFormat w:val="1"/>
    <w:rsid w:val="007061E4"/>
  </w:style>
  <w:style w:type="character" w:styleId="Mencinsinresolver4" w:customStyle="1">
    <w:name w:val="Mención sin resolver4"/>
    <w:basedOn w:val="Fuentedeprrafopredeter"/>
    <w:uiPriority w:val="99"/>
    <w:semiHidden w:val="1"/>
    <w:unhideWhenUsed w:val="1"/>
    <w:rsid w:val="007061E4"/>
    <w:rPr>
      <w:color w:val="605e5c"/>
      <w:shd w:color="auto" w:fill="e1dfdd" w:val="clear"/>
    </w:rPr>
  </w:style>
  <w:style w:type="character" w:styleId="Mencinsinresolver5" w:customStyle="1">
    <w:name w:val="Mención sin resolver5"/>
    <w:basedOn w:val="Fuentedeprrafopredeter"/>
    <w:uiPriority w:val="99"/>
    <w:semiHidden w:val="1"/>
    <w:unhideWhenUsed w:val="1"/>
    <w:rsid w:val="007061E4"/>
    <w:rPr>
      <w:color w:val="605e5c"/>
      <w:shd w:color="auto" w:fill="e1dfdd" w:val="clear"/>
    </w:rPr>
  </w:style>
  <w:style w:type="character" w:styleId="Mencinsinresolver6" w:customStyle="1">
    <w:name w:val="Mención sin resolver6"/>
    <w:basedOn w:val="Fuentedeprrafopredeter"/>
    <w:uiPriority w:val="99"/>
    <w:semiHidden w:val="1"/>
    <w:unhideWhenUsed w:val="1"/>
    <w:rsid w:val="007061E4"/>
    <w:rPr>
      <w:color w:val="605e5c"/>
      <w:shd w:color="auto" w:fill="e1dfdd" w:val="clear"/>
    </w:rPr>
  </w:style>
  <w:style w:type="table" w:styleId="Tablaconcuadrcula111121" w:customStyle="1">
    <w:name w:val="Tabla con cuadrícula11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7061E4"/>
    <w:rPr>
      <w:rFonts w:ascii="Cambria" w:cs="Times New Roman" w:eastAsia="Cambria"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7061E4"/>
    <w:rPr>
      <w:color w:val="605e5c"/>
      <w:shd w:color="auto" w:fill="e1dfdd" w:val="clear"/>
    </w:rPr>
  </w:style>
  <w:style w:type="character" w:styleId="Mencinsinresolver8" w:customStyle="1">
    <w:name w:val="Mención sin resolver8"/>
    <w:basedOn w:val="Fuentedeprrafopredeter"/>
    <w:uiPriority w:val="99"/>
    <w:semiHidden w:val="1"/>
    <w:unhideWhenUsed w:val="1"/>
    <w:rsid w:val="007061E4"/>
    <w:rPr>
      <w:color w:val="605e5c"/>
      <w:shd w:color="auto" w:fill="e1dfdd" w:val="clear"/>
    </w:rPr>
  </w:style>
  <w:style w:type="table" w:styleId="Tablaconcuadrcula1111212" w:customStyle="1">
    <w:name w:val="Tabla con cuadrícula1111212"/>
    <w:basedOn w:val="Tablanormal"/>
    <w:uiPriority w:val="39"/>
    <w:rsid w:val="007061E4"/>
    <w:rPr>
      <w:rFonts w:ascii="Cambria" w:cs="Times New Roman" w:eastAsia="Cambria"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7061E4"/>
    <w:rPr>
      <w:rFonts w:ascii="Times New Roman" w:cs="Times New Roman" w:eastAsia="Times New Roman" w:hAnsi="Times New Roman"/>
      <w:lang w:eastAsia="es-MX" w:val="es-MX"/>
    </w:rPr>
  </w:style>
  <w:style w:type="table" w:styleId="Tablaconcuadrcula3" w:customStyle="1">
    <w:name w:val="Tabla con cuadrícula3"/>
    <w:basedOn w:val="Tablanormal"/>
    <w:next w:val="Tablaconcuadrcula"/>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7061E4"/>
    <w:rPr>
      <w:color w:val="605e5c"/>
      <w:shd w:color="auto" w:fill="e1dfdd" w:val="clear"/>
    </w:rPr>
  </w:style>
  <w:style w:type="paragraph" w:styleId="msonormal0" w:customStyle="1">
    <w:name w:val="msonormal"/>
    <w:basedOn w:val="Normal"/>
    <w:uiPriority w:val="99"/>
    <w:rsid w:val="007061E4"/>
    <w:pPr>
      <w:spacing w:after="100" w:afterAutospacing="1" w:before="100" w:beforeAutospacing="1"/>
    </w:pPr>
    <w:rPr>
      <w:lang w:eastAsia="es-MX"/>
    </w:r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val="1"/>
    <w:rsid w:val="007061E4"/>
    <w:rPr>
      <w:rFonts w:ascii="Times New Roman" w:cs="Times New Roman" w:eastAsia="Times New Roman" w:hAnsi="Times New Roman"/>
      <w:sz w:val="20"/>
      <w:szCs w:val="20"/>
      <w:lang w:val="es-MX"/>
    </w:rPr>
  </w:style>
  <w:style w:type="paragraph" w:styleId="Descripcin">
    <w:name w:val="caption"/>
    <w:basedOn w:val="Normal"/>
    <w:next w:val="Normal"/>
    <w:uiPriority w:val="35"/>
    <w:semiHidden w:val="1"/>
    <w:unhideWhenUsed w:val="1"/>
    <w:qFormat w:val="1"/>
    <w:rsid w:val="007061E4"/>
    <w:pPr>
      <w:spacing w:after="120"/>
    </w:pPr>
    <w:rPr>
      <w:rFonts w:asciiTheme="minorHAnsi" w:cstheme="minorBidi" w:eastAsiaTheme="minorEastAsia" w:hAnsiTheme="minorHAnsi"/>
      <w:b w:val="1"/>
      <w:bCs w:val="1"/>
      <w:smallCaps w:val="1"/>
      <w:color w:val="595959" w:themeColor="text1" w:themeTint="0000A6"/>
      <w:spacing w:val="6"/>
      <w:sz w:val="20"/>
      <w:szCs w:val="20"/>
      <w:lang w:eastAsia="es-MX" w:val="es-ES_tradnl"/>
    </w:rPr>
  </w:style>
  <w:style w:type="paragraph" w:styleId="Subttulo">
    <w:name w:val="Subtitle"/>
    <w:basedOn w:val="Normal"/>
    <w:next w:val="Normal"/>
    <w:link w:val="SubttuloCar"/>
    <w:rsid w:val="007061E4"/>
    <w:pPr>
      <w:spacing w:after="120"/>
    </w:pPr>
    <w:rPr>
      <w:rFonts w:ascii="Calibri" w:cs="Calibri" w:eastAsia="Calibri" w:hAnsi="Calibri"/>
      <w:lang w:eastAsia="es-MX"/>
    </w:rPr>
  </w:style>
  <w:style w:type="character" w:styleId="SubttuloCar" w:customStyle="1">
    <w:name w:val="Subtítulo Car"/>
    <w:basedOn w:val="Fuentedeprrafopredeter"/>
    <w:link w:val="Subttulo"/>
    <w:rsid w:val="007061E4"/>
    <w:rPr>
      <w:rFonts w:ascii="Calibri" w:cs="Calibri" w:eastAsia="Calibri" w:hAnsi="Calibri"/>
      <w:lang w:eastAsia="es-MX" w:val="es-MX"/>
    </w:rPr>
  </w:style>
  <w:style w:type="paragraph" w:styleId="Textoindependiente3">
    <w:name w:val="Body Text 3"/>
    <w:basedOn w:val="Normal"/>
    <w:link w:val="Textoindependiente3Car"/>
    <w:uiPriority w:val="99"/>
    <w:semiHidden w:val="1"/>
    <w:unhideWhenUsed w:val="1"/>
    <w:rsid w:val="007061E4"/>
    <w:pPr>
      <w:spacing w:after="120"/>
    </w:pPr>
    <w:rPr>
      <w:sz w:val="16"/>
      <w:szCs w:val="16"/>
      <w:lang w:eastAsia="es-MX"/>
    </w:rPr>
  </w:style>
  <w:style w:type="character" w:styleId="Textoindependiente3Car" w:customStyle="1">
    <w:name w:val="Texto independiente 3 Car"/>
    <w:basedOn w:val="Fuentedeprrafopredeter"/>
    <w:link w:val="Textoindependiente3"/>
    <w:uiPriority w:val="99"/>
    <w:semiHidden w:val="1"/>
    <w:rsid w:val="007061E4"/>
    <w:rPr>
      <w:rFonts w:ascii="Times New Roman" w:cs="Times New Roman" w:eastAsia="Times New Roman" w:hAnsi="Times New Roman"/>
      <w:sz w:val="16"/>
      <w:szCs w:val="16"/>
      <w:lang w:eastAsia="es-MX" w:val="es-MX"/>
    </w:rPr>
  </w:style>
  <w:style w:type="paragraph" w:styleId="Cita">
    <w:name w:val="Quote"/>
    <w:basedOn w:val="Normal"/>
    <w:next w:val="Normal"/>
    <w:link w:val="CitaCar"/>
    <w:uiPriority w:val="29"/>
    <w:qFormat w:val="1"/>
    <w:rsid w:val="007061E4"/>
    <w:pPr>
      <w:spacing w:after="120" w:before="160" w:line="264" w:lineRule="auto"/>
      <w:ind w:left="720" w:right="720"/>
    </w:pPr>
    <w:rPr>
      <w:rFonts w:asciiTheme="minorHAnsi" w:cstheme="minorBidi" w:eastAsiaTheme="minorEastAsia" w:hAnsiTheme="minorHAnsi"/>
      <w:i w:val="1"/>
      <w:iCs w:val="1"/>
      <w:color w:val="404040" w:themeColor="text1" w:themeTint="0000BF"/>
      <w:sz w:val="20"/>
      <w:szCs w:val="20"/>
      <w:lang w:eastAsia="es-MX" w:val="es-ES_tradnl"/>
    </w:rPr>
  </w:style>
  <w:style w:type="character" w:styleId="CitaCar" w:customStyle="1">
    <w:name w:val="Cita Car"/>
    <w:basedOn w:val="Fuentedeprrafopredeter"/>
    <w:link w:val="Cita"/>
    <w:uiPriority w:val="29"/>
    <w:rsid w:val="007061E4"/>
    <w:rPr>
      <w:i w:val="1"/>
      <w:iCs w:val="1"/>
      <w:color w:val="404040" w:themeColor="text1" w:themeTint="0000BF"/>
      <w:sz w:val="20"/>
      <w:szCs w:val="20"/>
      <w:lang w:eastAsia="es-MX"/>
    </w:rPr>
  </w:style>
  <w:style w:type="paragraph" w:styleId="Citadestacada">
    <w:name w:val="Intense Quote"/>
    <w:basedOn w:val="Normal"/>
    <w:next w:val="Normal"/>
    <w:link w:val="CitadestacadaCar"/>
    <w:uiPriority w:val="30"/>
    <w:qFormat w:val="1"/>
    <w:rsid w:val="007061E4"/>
    <w:pPr>
      <w:pBdr>
        <w:left w:color="4f81bd" w:space="12" w:sz="18" w:themeColor="accent1" w:val="single"/>
      </w:pBdr>
      <w:spacing w:after="120" w:before="100" w:beforeAutospacing="1" w:line="300" w:lineRule="auto"/>
      <w:ind w:left="1224" w:right="1224"/>
    </w:pPr>
    <w:rPr>
      <w:rFonts w:asciiTheme="majorHAnsi" w:cstheme="majorBidi" w:eastAsiaTheme="majorEastAsia" w:hAnsiTheme="majorHAnsi"/>
      <w:color w:val="4f81bd" w:themeColor="accent1"/>
      <w:sz w:val="28"/>
      <w:szCs w:val="28"/>
      <w:lang w:eastAsia="es-MX" w:val="es-ES_tradnl"/>
    </w:rPr>
  </w:style>
  <w:style w:type="character" w:styleId="CitadestacadaCar" w:customStyle="1">
    <w:name w:val="Cita destacada Car"/>
    <w:basedOn w:val="Fuentedeprrafopredeter"/>
    <w:link w:val="Citadestacada"/>
    <w:uiPriority w:val="30"/>
    <w:rsid w:val="007061E4"/>
    <w:rPr>
      <w:rFonts w:asciiTheme="majorHAnsi" w:cstheme="majorBidi" w:eastAsiaTheme="majorEastAsia" w:hAnsiTheme="majorHAnsi"/>
      <w:color w:val="4f81bd" w:themeColor="accent1"/>
      <w:sz w:val="28"/>
      <w:szCs w:val="28"/>
      <w:lang w:eastAsia="es-MX"/>
    </w:rPr>
  </w:style>
  <w:style w:type="paragraph" w:styleId="TtuloTDC">
    <w:name w:val="TOC Heading"/>
    <w:basedOn w:val="Ttulo1"/>
    <w:next w:val="Normal"/>
    <w:uiPriority w:val="39"/>
    <w:semiHidden w:val="1"/>
    <w:unhideWhenUsed w:val="1"/>
    <w:qFormat w:val="1"/>
    <w:rsid w:val="007061E4"/>
    <w:pPr>
      <w:spacing w:before="320"/>
      <w:outlineLvl w:val="9"/>
    </w:pPr>
    <w:rPr>
      <w:lang w:eastAsia="es-MX" w:val="es-ES_tradnl"/>
    </w:rPr>
  </w:style>
  <w:style w:type="paragraph" w:styleId="xmsonormal" w:customStyle="1">
    <w:name w:val="x_msonormal"/>
    <w:basedOn w:val="Normal"/>
    <w:uiPriority w:val="99"/>
    <w:rsid w:val="007061E4"/>
    <w:pPr>
      <w:spacing w:after="100" w:afterAutospacing="1" w:before="100" w:beforeAutospacing="1"/>
    </w:pPr>
    <w:rPr>
      <w:lang w:eastAsia="es-MX"/>
    </w:rPr>
  </w:style>
  <w:style w:type="paragraph" w:styleId="francesa" w:customStyle="1">
    <w:name w:val="francesa"/>
    <w:basedOn w:val="Normal"/>
    <w:uiPriority w:val="99"/>
    <w:rsid w:val="007061E4"/>
    <w:pPr>
      <w:spacing w:after="100" w:afterAutospacing="1" w:before="100" w:beforeAutospacing="1"/>
    </w:pPr>
    <w:rPr>
      <w:lang w:eastAsia="es-MX"/>
    </w:rPr>
  </w:style>
  <w:style w:type="paragraph" w:styleId="Estilo" w:customStyle="1">
    <w:name w:val="Estilo"/>
    <w:uiPriority w:val="99"/>
    <w:rsid w:val="007061E4"/>
    <w:pPr>
      <w:widowControl w:val="0"/>
      <w:autoSpaceDE w:val="0"/>
      <w:autoSpaceDN w:val="0"/>
      <w:adjustRightInd w:val="0"/>
    </w:pPr>
    <w:rPr>
      <w:rFonts w:ascii="Times New Roman" w:cs="Times New Roman" w:eastAsia="Times New Roman" w:hAnsi="Times New Roman"/>
      <w:lang w:eastAsia="es-MX" w:val="es-ES"/>
    </w:rPr>
  </w:style>
  <w:style w:type="character" w:styleId="nfasissutil">
    <w:name w:val="Subtle Emphasis"/>
    <w:basedOn w:val="Fuentedeprrafopredeter"/>
    <w:uiPriority w:val="19"/>
    <w:qFormat w:val="1"/>
    <w:rsid w:val="007061E4"/>
    <w:rPr>
      <w:i w:val="1"/>
      <w:iCs w:val="1"/>
      <w:color w:val="404040" w:themeColor="text1" w:themeTint="0000BF"/>
    </w:rPr>
  </w:style>
  <w:style w:type="character" w:styleId="nfasisintenso">
    <w:name w:val="Intense Emphasis"/>
    <w:basedOn w:val="Fuentedeprrafopredeter"/>
    <w:uiPriority w:val="21"/>
    <w:qFormat w:val="1"/>
    <w:rsid w:val="007061E4"/>
    <w:rPr>
      <w:b w:val="1"/>
      <w:bCs w:val="1"/>
      <w:i w:val="1"/>
      <w:iCs w:val="1"/>
    </w:rPr>
  </w:style>
  <w:style w:type="character" w:styleId="Referenciasutil">
    <w:name w:val="Subtle Reference"/>
    <w:basedOn w:val="Fuentedeprrafopredeter"/>
    <w:uiPriority w:val="31"/>
    <w:qFormat w:val="1"/>
    <w:rsid w:val="007061E4"/>
    <w:rPr>
      <w:smallCaps w:val="1"/>
      <w:color w:val="404040" w:themeColor="text1" w:themeTint="0000BF"/>
      <w:u w:color="7f7f7f" w:themeColor="text1" w:themeTint="000080" w:val="single"/>
    </w:rPr>
  </w:style>
  <w:style w:type="character" w:styleId="Referenciaintensa">
    <w:name w:val="Intense Reference"/>
    <w:basedOn w:val="Fuentedeprrafopredeter"/>
    <w:uiPriority w:val="32"/>
    <w:qFormat w:val="1"/>
    <w:rsid w:val="007061E4"/>
    <w:rPr>
      <w:b w:val="1"/>
      <w:bCs w:val="1"/>
      <w:smallCaps w:val="1"/>
      <w:spacing w:val="5"/>
      <w:u w:val="single"/>
    </w:rPr>
  </w:style>
  <w:style w:type="character" w:styleId="Ttulodellibro">
    <w:name w:val="Book Title"/>
    <w:basedOn w:val="Fuentedeprrafopredeter"/>
    <w:uiPriority w:val="33"/>
    <w:qFormat w:val="1"/>
    <w:rsid w:val="007061E4"/>
    <w:rPr>
      <w:b w:val="1"/>
      <w:bCs w:val="1"/>
      <w:smallCaps w:val="1"/>
    </w:rPr>
  </w:style>
  <w:style w:type="character" w:styleId="eop" w:customStyle="1">
    <w:name w:val="eop"/>
    <w:basedOn w:val="Fuentedeprrafopredeter"/>
    <w:rsid w:val="007061E4"/>
  </w:style>
  <w:style w:type="character" w:styleId="TextodegloboCar1" w:customStyle="1">
    <w:name w:val="Texto de globo Car1"/>
    <w:basedOn w:val="Fuentedeprrafopredeter"/>
    <w:uiPriority w:val="99"/>
    <w:semiHidden w:val="1"/>
    <w:rsid w:val="007061E4"/>
    <w:rPr>
      <w:rFonts w:ascii="Segoe UI" w:cs="Segoe UI" w:eastAsia="Times New Roman" w:hAnsi="Segoe UI" w:hint="default"/>
      <w:sz w:val="18"/>
      <w:szCs w:val="18"/>
      <w:lang w:eastAsia="es-ES" w:val="es-ES"/>
    </w:rPr>
  </w:style>
  <w:style w:type="character" w:styleId="u" w:customStyle="1">
    <w:name w:val="u"/>
    <w:basedOn w:val="Fuentedeprrafopredeter"/>
    <w:rsid w:val="007061E4"/>
  </w:style>
  <w:style w:type="character" w:styleId="ctr" w:customStyle="1">
    <w:name w:val="ctr"/>
    <w:basedOn w:val="Fuentedeprrafopredeter"/>
    <w:rsid w:val="007061E4"/>
  </w:style>
  <w:style w:type="table" w:styleId="Tablaconcuadrcula7" w:customStyle="1">
    <w:name w:val="Tabla con cuadrícula7"/>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 w:customStyle="1">
    <w:name w:val="Tabla con cuadrícula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 w:customStyle="1">
    <w:name w:val="Tabla con cuadrícula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 w:customStyle="1">
    <w:name w:val="Tabla con cuadrícula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 w:customStyle="1">
    <w:name w:val="Tabla con cuadrícula12"/>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 w:customStyle="1">
    <w:name w:val="Tabla con cuadrícula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 w:customStyle="1">
    <w:name w:val="Tabla con cuadrícula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 w:customStyle="1">
    <w:name w:val="Tabla con cuadrícula3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 w:customStyle="1">
    <w:name w:val="Tabla con cuadrícula4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 w:customStyle="1">
    <w:name w:val="Tabla con cuadrícula112"/>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 w:customStyle="1">
    <w:name w:val="Tabla con cuadrícula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 w:customStyle="1">
    <w:name w:val="Tabla con cuadrícula113"/>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 w:customStyle="1">
    <w:name w:val="Tabla con cuadrícula13"/>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 w:customStyle="1">
    <w:name w:val="Tabla con cuadrícula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 w:customStyle="1">
    <w:name w:val="Tabla con cuadrícula3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 w:customStyle="1">
    <w:name w:val="Tabla con cuadrícula4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 w:customStyle="1">
    <w:name w:val="Tabla con cuadrícula5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4" w:customStyle="1">
    <w:name w:val="Tabla con cuadrícula1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1" w:customStyle="1">
    <w:name w:val="Tabla con cuadrícula6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 w:customStyle="1">
    <w:name w:val="Tabla con cuadrícula12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1" w:customStyle="1">
    <w:name w:val="Tabla con cuadrícula2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 w:customStyle="1">
    <w:name w:val="Tabla con cuadrícula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1" w:customStyle="1">
    <w:name w:val="Tabla con cuadrícula3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1" w:customStyle="1">
    <w:name w:val="Tabla con cuadrícula4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8" w:customStyle="1">
    <w:name w:val="Tabla con cuadrícula8"/>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1" w:customStyle="1">
    <w:name w:val="Tabla con cuadrícula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2" w:customStyle="1">
    <w:name w:val="Tabla con cuadrícula11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9" w:customStyle="1">
    <w:name w:val="Tabla con cuadrícula9"/>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4" w:customStyle="1">
    <w:name w:val="Tabla con cuadrícula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3" w:customStyle="1">
    <w:name w:val="Tabla con cuadrícula2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3" w:customStyle="1">
    <w:name w:val="Tabla con cuadrícula3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3" w:customStyle="1">
    <w:name w:val="Tabla con cuadrícula4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2" w:customStyle="1">
    <w:name w:val="Tabla con cuadrícula5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5" w:customStyle="1">
    <w:name w:val="Tabla con cuadrícula11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 w:customStyle="1">
    <w:name w:val="Tabla con cuadrícula7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2" w:customStyle="1">
    <w:name w:val="Tabla con cuadrícula6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2" w:customStyle="1">
    <w:name w:val="Tabla con cuadrícula122"/>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2" w:customStyle="1">
    <w:name w:val="Tabla con cuadrícula2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2" w:customStyle="1">
    <w:name w:val="Tabla con cuadrícula11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2" w:customStyle="1">
    <w:name w:val="Tabla con cuadrícula3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2" w:customStyle="1">
    <w:name w:val="Tabla con cuadrícula4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1" w:customStyle="1">
    <w:name w:val="Tabla con cuadrícula5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81" w:customStyle="1">
    <w:name w:val="Tabla con cuadrícula8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1" w:customStyle="1">
    <w:name w:val="Tabla con cuadrícula13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1" w:customStyle="1">
    <w:name w:val="Tabla con cuadrícula2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3" w:customStyle="1">
    <w:name w:val="Tabla con cuadrícula112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1" w:customStyle="1">
    <w:name w:val="Tabla con cuadrícula3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1" w:customStyle="1">
    <w:name w:val="Tabla con cuadrícula4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0" w:customStyle="1">
    <w:name w:val="Tabla con cuadrícula10"/>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5" w:customStyle="1">
    <w:name w:val="Tabla con cuadrícula1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4" w:customStyle="1">
    <w:name w:val="Tabla con cuadrícula2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6" w:customStyle="1">
    <w:name w:val="Tabla con cuadrícula11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4" w:customStyle="1">
    <w:name w:val="Tabla con cuadrícula3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4" w:customStyle="1">
    <w:name w:val="Tabla con cuadrícula4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3" w:customStyle="1">
    <w:name w:val="Tabla con cuadrícula5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3" w:customStyle="1">
    <w:name w:val="Tabla con cuadrícula123"/>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3" w:customStyle="1">
    <w:name w:val="Tabla con cuadrícula2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3" w:customStyle="1">
    <w:name w:val="Tabla con cuadrícula11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3" w:customStyle="1">
    <w:name w:val="Tabla con cuadrícula3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3" w:customStyle="1">
    <w:name w:val="Tabla con cuadrícula41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4" w:customStyle="1">
    <w:name w:val="Tabla con cuadrícula1124"/>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3" w:customStyle="1">
    <w:name w:val="Tabla con cuadrícula63"/>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7" w:customStyle="1">
    <w:name w:val="Tabla con cuadrícula117"/>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6" w:customStyle="1">
    <w:name w:val="Tabla con cuadrícula16"/>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4" w:customStyle="1">
    <w:name w:val="Tabla con cuadrícula11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7" w:customStyle="1">
    <w:name w:val="Tabla con cuadrícula17"/>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8" w:customStyle="1">
    <w:name w:val="Tabla con cuadrícula118"/>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5" w:customStyle="1">
    <w:name w:val="Tabla con cuadrícula1125"/>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5" w:customStyle="1">
    <w:name w:val="Tabla con cuadrícula2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5" w:customStyle="1">
    <w:name w:val="Tabla con cuadrícula3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5" w:customStyle="1">
    <w:name w:val="Tabla con cuadrícula45"/>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4" w:customStyle="1">
    <w:name w:val="Tabla con cuadrícula5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4" w:customStyle="1">
    <w:name w:val="Tabla con cuadrícula124"/>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4" w:customStyle="1">
    <w:name w:val="Tabla con cuadrícula2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4" w:customStyle="1">
    <w:name w:val="Tabla con cuadrícula3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4" w:customStyle="1">
    <w:name w:val="Tabla con cuadrícula41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 w:customStyle="1">
    <w:name w:val="Tabla con cuadrícula1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4" w:customStyle="1">
    <w:name w:val="Tabla con cuadrícula64"/>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2" w:customStyle="1">
    <w:name w:val="Tabla con cuadrícula7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21" w:customStyle="1">
    <w:name w:val="Tabla con cuadrícula1112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32" w:customStyle="1">
    <w:name w:val="Tabla con cuadrícula13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31" w:customStyle="1">
    <w:name w:val="Tabla con cuadrícula113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11" w:customStyle="1">
    <w:name w:val="Tabla con cuadrícula11211"/>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22" w:customStyle="1">
    <w:name w:val="Tabla con cuadrícula2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22" w:customStyle="1">
    <w:name w:val="Tabla con cuadrícula3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22" w:customStyle="1">
    <w:name w:val="Tabla con cuadrícula42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512" w:customStyle="1">
    <w:name w:val="Tabla con cuadrícula5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211" w:customStyle="1">
    <w:name w:val="Tabla con cuadrícula1211"/>
    <w:basedOn w:val="Tablanormal"/>
    <w:uiPriority w:val="5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111" w:customStyle="1">
    <w:name w:val="Tabla con cuadrícula2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3111" w:customStyle="1">
    <w:name w:val="Tabla con cuadrícula3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4111" w:customStyle="1">
    <w:name w:val="Tabla con cuadrícula4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 w:customStyle="1">
    <w:name w:val="Tabla con cuadrícula11112"/>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11" w:customStyle="1">
    <w:name w:val="Tabla con cuadrícula1111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611" w:customStyle="1">
    <w:name w:val="Tabla con cuadrícula6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711" w:customStyle="1">
    <w:name w:val="Tabla con cuadrícula711"/>
    <w:basedOn w:val="Tablanormal"/>
    <w:uiPriority w:val="39"/>
    <w:rsid w:val="007061E4"/>
    <w:rPr>
      <w:rFonts w:ascii="Times New Roman" w:cs="Times New Roman" w:hAnsi="Times New Roman"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221" w:customStyle="1">
    <w:name w:val="Tabla con cuadrícula11221"/>
    <w:basedOn w:val="Tablanormal"/>
    <w:uiPriority w:val="39"/>
    <w:rsid w:val="007061E4"/>
    <w:rPr>
      <w:rFonts w:ascii="Cambria" w:cs="Times New Roman" w:eastAsia="Calibri" w:hAnsi="Cambria"/>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8" w:customStyle="1">
    <w:name w:val="Tabla con cuadrícula18"/>
    <w:basedOn w:val="Tablanormal"/>
    <w:uiPriority w:val="59"/>
    <w:rsid w:val="007061E4"/>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decuadrcula4-nfasis31" w:customStyle="1">
    <w:name w:val="Tabla de cuadrícula 4 - Énfasis 31"/>
    <w:basedOn w:val="Tablanormal"/>
    <w:uiPriority w:val="49"/>
    <w:rsid w:val="007061E4"/>
    <w:rPr>
      <w:rFonts w:ascii="Times New Roman" w:cs="Times New Roman" w:hAnsi="Times New Roman" w:eastAsiaTheme="minorHAnsi"/>
      <w:sz w:val="22"/>
      <w:szCs w:val="22"/>
      <w:lang w:eastAsia="en-US" w:val="es-MX"/>
    </w:rPr>
    <w:tblPr>
      <w:tblStyleRowBandSize w:val="1"/>
      <w:tblStyleColBandSize w:val="1"/>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Pr>
    <w:tblStylePr w:type="firstRow">
      <w:rPr>
        <w:b w:val="1"/>
        <w:bCs w:val="1"/>
        <w:color w:val="ffffff" w:themeColor="background1"/>
      </w:rPr>
      <w:tblPr/>
      <w:tcPr>
        <w:tcBorders>
          <w:top w:color="9bbb59" w:space="0" w:sz="4" w:themeColor="accent3" w:val="single"/>
          <w:left w:color="9bbb59" w:space="0" w:sz="4" w:themeColor="accent3" w:val="single"/>
          <w:bottom w:color="9bbb59" w:space="0" w:sz="4" w:themeColor="accent3" w:val="single"/>
          <w:right w:color="9bbb59" w:space="0" w:sz="4" w:themeColor="accent3" w:val="single"/>
          <w:insideH w:space="0" w:sz="0" w:val="nil"/>
          <w:insideV w:space="0" w:sz="0" w:val="nil"/>
        </w:tcBorders>
        <w:shd w:color="auto" w:fill="9bbb59" w:themeFill="accent3" w:val="clear"/>
      </w:tcPr>
    </w:tblStylePr>
    <w:tblStylePr w:type="lastRow">
      <w:rPr>
        <w:b w:val="1"/>
        <w:bCs w:val="1"/>
      </w:rPr>
      <w:tblPr/>
      <w:tcPr>
        <w:tcBorders>
          <w:top w:color="9bbb59" w:space="0" w:sz="4" w:themeColor="accent3"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numbering" w:styleId="Estiloimportado12" w:customStyle="1">
    <w:name w:val="Estilo importado 12"/>
    <w:rsid w:val="007061E4"/>
  </w:style>
  <w:style w:type="numbering" w:styleId="Estiloimportado14" w:customStyle="1">
    <w:name w:val="Estilo importado 14"/>
    <w:rsid w:val="007061E4"/>
  </w:style>
  <w:style w:type="numbering" w:styleId="Estiloimportado22" w:customStyle="1">
    <w:name w:val="Estilo importado 22"/>
    <w:rsid w:val="007061E4"/>
  </w:style>
  <w:style w:type="numbering" w:styleId="Estiloimportado212" w:customStyle="1">
    <w:name w:val="Estilo importado 212"/>
    <w:rsid w:val="007061E4"/>
  </w:style>
  <w:style w:type="numbering" w:styleId="Estiloimportado24" w:customStyle="1">
    <w:name w:val="Estilo importado 24"/>
    <w:rsid w:val="007061E4"/>
  </w:style>
  <w:style w:type="numbering" w:styleId="Estiloimportado112" w:customStyle="1">
    <w:name w:val="Estilo importado 112"/>
    <w:rsid w:val="007061E4"/>
  </w:style>
  <w:style w:type="paragraph" w:styleId="Subtitle">
    <w:name w:val="Subtitle"/>
    <w:basedOn w:val="Normal"/>
    <w:next w:val="Normal"/>
    <w:pPr>
      <w:spacing w:after="120" w:lineRule="auto"/>
    </w:pPr>
    <w:rPr>
      <w:rFonts w:ascii="Calibri" w:cs="Calibri" w:eastAsia="Calibri" w:hAnsi="Calibri"/>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PhkT3pZvcUs1F5WexVwkmot/qw==">AMUW2mWftx6W+hIAy/LboZp/Zvtvsq02R44U8CcoUNcrXuMUkR7DdjI7o/+u8qkF4oSlpqJYKGwGLDIkswHubEHPNeXcb8l7cWDklbZDZHur5+7asrJ7GiloDrsyl9wAF9uxDhqOq5NF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2022-05-20T00:16:00Z</dcterms:created>
  <dc:creator>iMac</dc:creator>
</cp:coreProperties>
</file>