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EBC0" w14:textId="77777777" w:rsidR="00810172" w:rsidRDefault="00615D8A">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quince de junio del dos mil veintidós</w:t>
      </w:r>
      <w:r>
        <w:rPr>
          <w:rFonts w:ascii="Palatino Linotype" w:eastAsia="Palatino Linotype" w:hAnsi="Palatino Linotype" w:cs="Palatino Linotype"/>
        </w:rPr>
        <w:t>.</w:t>
      </w:r>
    </w:p>
    <w:p w14:paraId="531311EB" w14:textId="77777777" w:rsidR="00810172" w:rsidRDefault="00615D8A">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07934/INFOEM/IP/RR/2022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un particular de manera anónima,</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 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00116/IXTAPALU/IP/2022,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1DA3573D" w14:textId="77777777" w:rsidR="00810172" w:rsidRDefault="00615D8A">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1E568419"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cinco de abril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78166AC0" w14:textId="77777777" w:rsidR="00810172" w:rsidRDefault="00615D8A">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“1. ¿Se cuenta con la información referente a la incidencia de delitos y de faltas administrativas? Favor de anexar información desde enero 2022 a la fecha de recepción de la presente 2. ¿Se operan programas para la prevención de conductas antisociales? 3. ¿Se tiene coordinación interinstitucional con otros órdenes de gobierno en materia de seguridad pública y de qué forma? 4. ¿Se cuenta con índices e identificación de zonas conflictivas y </w:t>
      </w:r>
      <w:proofErr w:type="spellStart"/>
      <w:r>
        <w:rPr>
          <w:rFonts w:ascii="Palatino Linotype" w:eastAsia="Palatino Linotype" w:hAnsi="Palatino Linotype" w:cs="Palatino Linotype"/>
          <w:i/>
          <w:color w:val="000000"/>
          <w:sz w:val="22"/>
          <w:szCs w:val="22"/>
        </w:rPr>
        <w:t>cual</w:t>
      </w:r>
      <w:proofErr w:type="spellEnd"/>
      <w:r>
        <w:rPr>
          <w:rFonts w:ascii="Palatino Linotype" w:eastAsia="Palatino Linotype" w:hAnsi="Palatino Linotype" w:cs="Palatino Linotype"/>
          <w:i/>
          <w:color w:val="000000"/>
          <w:sz w:val="22"/>
          <w:szCs w:val="22"/>
        </w:rPr>
        <w:t xml:space="preserve"> es la metodología? 5. ¿Se cuenta con un programa de atención especializada para zonas conflictivas? 6. ¿Existen vínculos de coparticipación con la sociedad y </w:t>
      </w:r>
      <w:proofErr w:type="spellStart"/>
      <w:r>
        <w:rPr>
          <w:rFonts w:ascii="Palatino Linotype" w:eastAsia="Palatino Linotype" w:hAnsi="Palatino Linotype" w:cs="Palatino Linotype"/>
          <w:i/>
          <w:color w:val="000000"/>
          <w:sz w:val="22"/>
          <w:szCs w:val="22"/>
        </w:rPr>
        <w:t>cuales</w:t>
      </w:r>
      <w:proofErr w:type="spellEnd"/>
      <w:r>
        <w:rPr>
          <w:rFonts w:ascii="Palatino Linotype" w:eastAsia="Palatino Linotype" w:hAnsi="Palatino Linotype" w:cs="Palatino Linotype"/>
          <w:i/>
          <w:color w:val="000000"/>
          <w:sz w:val="22"/>
          <w:szCs w:val="22"/>
        </w:rPr>
        <w:t xml:space="preserve">? 7. </w:t>
      </w:r>
      <w:proofErr w:type="gramStart"/>
      <w:r>
        <w:rPr>
          <w:rFonts w:ascii="Palatino Linotype" w:eastAsia="Palatino Linotype" w:hAnsi="Palatino Linotype" w:cs="Palatino Linotype"/>
          <w:i/>
          <w:color w:val="000000"/>
          <w:sz w:val="22"/>
          <w:szCs w:val="22"/>
        </w:rPr>
        <w:t>¿Se operan programas para medir el nivel de denuncias ciudadanas 8.</w:t>
      </w:r>
      <w:proofErr w:type="gramEnd"/>
      <w:r>
        <w:rPr>
          <w:rFonts w:ascii="Palatino Linotype" w:eastAsia="Palatino Linotype" w:hAnsi="Palatino Linotype" w:cs="Palatino Linotype"/>
          <w:i/>
          <w:color w:val="000000"/>
          <w:sz w:val="22"/>
          <w:szCs w:val="22"/>
        </w:rPr>
        <w:t xml:space="preserve"> ¿Se reportan sus incidencias a través del Informe Policial Homologado? 9. ¿Cómo se comportan las incidencias de faltas administrativas? 10. ¿Cuenta con un diagnóstico integral de seguridad pública que permita identificar las causas del problema? 11. ¿Cuántas cámaras tiene el C4? Y de ellas cuantas </w:t>
      </w:r>
      <w:r>
        <w:rPr>
          <w:rFonts w:ascii="Palatino Linotype" w:eastAsia="Palatino Linotype" w:hAnsi="Palatino Linotype" w:cs="Palatino Linotype"/>
          <w:i/>
          <w:color w:val="000000"/>
          <w:sz w:val="22"/>
          <w:szCs w:val="22"/>
        </w:rPr>
        <w:lastRenderedPageBreak/>
        <w:t>funcionan y cuantas necesitan reparación, así como ¿</w:t>
      </w:r>
      <w:proofErr w:type="spellStart"/>
      <w:r>
        <w:rPr>
          <w:rFonts w:ascii="Palatino Linotype" w:eastAsia="Palatino Linotype" w:hAnsi="Palatino Linotype" w:cs="Palatino Linotype"/>
          <w:i/>
          <w:color w:val="000000"/>
          <w:sz w:val="22"/>
          <w:szCs w:val="22"/>
        </w:rPr>
        <w:t>cúal</w:t>
      </w:r>
      <w:proofErr w:type="spellEnd"/>
      <w:r>
        <w:rPr>
          <w:rFonts w:ascii="Palatino Linotype" w:eastAsia="Palatino Linotype" w:hAnsi="Palatino Linotype" w:cs="Palatino Linotype"/>
          <w:i/>
          <w:color w:val="000000"/>
          <w:sz w:val="22"/>
          <w:szCs w:val="22"/>
        </w:rPr>
        <w:t xml:space="preserve"> es el tiempo normal en que se reparan? ¿Personal municipal, estatal o privado las reparan?” (Sic)</w:t>
      </w:r>
    </w:p>
    <w:p w14:paraId="0F0A4662"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183AD02E" w14:textId="77777777" w:rsidR="00810172" w:rsidRDefault="00615D8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23513F7E" w14:textId="77777777" w:rsidR="00810172" w:rsidRDefault="00615D8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dieciséis de mayo de dos mil veintidós</w:t>
      </w:r>
      <w:r>
        <w:rPr>
          <w:rFonts w:ascii="Palatino Linotype" w:eastAsia="Palatino Linotype" w:hAnsi="Palatino Linotype" w:cs="Palatino Linotype"/>
        </w:rPr>
        <w:t>, expresando lo siguiente:</w:t>
      </w:r>
    </w:p>
    <w:p w14:paraId="7EFD82E3" w14:textId="77777777" w:rsidR="00810172" w:rsidRDefault="00615D8A">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5E932E8E" w14:textId="77777777" w:rsidR="00810172" w:rsidRDefault="00615D8A">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H. Ayuntamiento de Ixtapaluca no entregó la información requerida en la solicitud con folio 00116/IXTAPALU/IP/2022.” (Sic)</w:t>
      </w:r>
    </w:p>
    <w:p w14:paraId="4F6DF399" w14:textId="77777777" w:rsidR="00810172" w:rsidRDefault="00615D8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82711A5" w14:textId="77777777" w:rsidR="00810172" w:rsidRDefault="00615D8A">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“Por este medio, presento mi inconformidad en relación a la solicitud con folio 00116/IXTAPALU/IP/2022, en contra del Ayuntamiento de Ixtapaluca. Ello, pues considero que se vulnera mi derecho al acceso a la información, consagrado en el artículo sexto constitucional, al no dar respuesta alguna a la solicitud en cuestión en los plazos establecidos en el artículo 163 de la LEY DE TRANSPARENCIA Y ACCESO A LA INFORMACIÓN PÚBLICA DEL ESTADO DE MÉXICO Y MUNICIPIOS, que en su párrafo primero establece lo siguiente: "La Unidad de Transparencia deberá notificar la respuesta a la solicitud al interesado en el menor tiempo posible, que no podrá exceder de quince días hábiles, contados a partir del día siguiente a la presentación de aquélla.", en el caso solicitud referida, ésta fue presentada el 05/04/2022 y tenía como fecha límite de respuesta 03/05/2022; por ello, conforme a lo que establece el artículo 166 en su párrafo cuarto de la ley anteriormente citada: "Cuando el sujeto obligado no entregue la respuesta a la solicitud dentro del plazo previsto en la Ley, la solicitud se entenderá negada y el solicitante podrá interponer el recurso de revisión previsto en este ordenamiento." </w:t>
      </w:r>
      <w:r>
        <w:rPr>
          <w:rFonts w:ascii="Palatino Linotype" w:eastAsia="Palatino Linotype" w:hAnsi="Palatino Linotype" w:cs="Palatino Linotype"/>
          <w:i/>
          <w:color w:val="000000"/>
          <w:sz w:val="22"/>
          <w:szCs w:val="22"/>
        </w:rPr>
        <w:lastRenderedPageBreak/>
        <w:t>Esto, aunado con el artículo 179 en su fracción VII señala como una causa para presentar un recurso de revisión la falta en los plazos establecidos por la ley. Lo anterior, a fin de que el Instituto instruya al sujeto obligado a entregar la información solicitada.” (Sic)</w:t>
      </w:r>
    </w:p>
    <w:p w14:paraId="1DDCB159" w14:textId="77777777" w:rsidR="00810172" w:rsidRDefault="00615D8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07934/INFOEM/IP/RR/2022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368C64F8"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diecinueve de mayo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430A5C6E"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7F88B5BC"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4A8D40FD" wp14:editId="2802F6DD">
            <wp:extent cx="5610225" cy="876300"/>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876300"/>
                    </a:xfrm>
                    <a:prstGeom prst="rect">
                      <a:avLst/>
                    </a:prstGeom>
                    <a:ln/>
                  </pic:spPr>
                </pic:pic>
              </a:graphicData>
            </a:graphic>
          </wp:inline>
        </w:drawing>
      </w:r>
    </w:p>
    <w:p w14:paraId="3AB0DBF7"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diez de junio de dos mil veintidós</w:t>
      </w:r>
      <w:r>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w:t>
      </w:r>
      <w:r>
        <w:rPr>
          <w:rFonts w:ascii="Palatino Linotype" w:eastAsia="Palatino Linotype" w:hAnsi="Palatino Linotype" w:cs="Palatino Linotype"/>
        </w:rPr>
        <w:lastRenderedPageBreak/>
        <w:t>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2DF37783"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03C9BD4" w14:textId="77777777" w:rsidR="00810172" w:rsidRDefault="00615D8A">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2" w:name="_heading=h.3dy6vkm" w:colFirst="0" w:colLast="0"/>
      <w:bookmarkEnd w:id="2"/>
      <w:r>
        <w:rPr>
          <w:rFonts w:ascii="Palatino Linotype" w:eastAsia="Palatino Linotype" w:hAnsi="Palatino Linotype" w:cs="Palatino Linotype"/>
          <w:b/>
          <w:color w:val="000000"/>
        </w:rPr>
        <w:t>C O N S I D E R A N D O S:</w:t>
      </w:r>
    </w:p>
    <w:p w14:paraId="6032F98B"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E9C2822"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w:t>
      </w:r>
      <w:r>
        <w:rPr>
          <w:rFonts w:ascii="Palatino Linotype" w:eastAsia="Palatino Linotype" w:hAnsi="Palatino Linotype" w:cs="Palatino Linotype"/>
        </w:rPr>
        <w:lastRenderedPageBreak/>
        <w:t xml:space="preserve">describe el mecanismo de procedencia de los recursos de revisión, como se dispone en los artículos 163 y 166, del tenor literal siguiente: </w:t>
      </w:r>
    </w:p>
    <w:p w14:paraId="67BC63A3" w14:textId="77777777" w:rsidR="00810172" w:rsidRDefault="00615D8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1474266" w14:textId="77777777" w:rsidR="00810172" w:rsidRDefault="00615D8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65CB2941" w14:textId="77777777" w:rsidR="00810172" w:rsidRDefault="00615D8A">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3DFA9986" w14:textId="77777777" w:rsidR="00810172" w:rsidRDefault="00615D8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1E08DA2"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2EA66588"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091D88A" w14:textId="77777777" w:rsidR="00810172" w:rsidRDefault="00615D8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362D0092" w14:textId="77777777" w:rsidR="00810172" w:rsidRDefault="00615D8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777BC417"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621EAB80"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DA64529"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7EB812CD" w14:textId="77777777" w:rsidR="00810172" w:rsidRDefault="00615D8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6B64BAA" w14:textId="77777777" w:rsidR="00810172" w:rsidRDefault="00615D8A">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4A81A913"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Pr>
          <w:rFonts w:ascii="Palatino Linotype" w:eastAsia="Palatino Linotype" w:hAnsi="Palatino Linotype" w:cs="Palatino Linotype"/>
        </w:rPr>
        <w:lastRenderedPageBreak/>
        <w:t>Municipios, en atención a que fue presentado mediante el formato visible en el SAIMEX.</w:t>
      </w:r>
    </w:p>
    <w:p w14:paraId="6B402287" w14:textId="77777777" w:rsidR="00810172" w:rsidRDefault="00615D8A">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por cuanto hace a la procedibilidad del recurso de revisión,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6799313" w14:textId="77777777" w:rsidR="00810172" w:rsidRDefault="00615D8A">
      <w:pPr>
        <w:spacing w:before="240" w:after="24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10C0775"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5586FF40" w14:textId="77777777" w:rsidR="00810172" w:rsidRDefault="00615D8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6FB1BBC" w14:textId="77777777" w:rsidR="00810172" w:rsidRDefault="00615D8A">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5A63BAD6" w14:textId="77777777" w:rsidR="00810172" w:rsidRDefault="00615D8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3F037EC8" w14:textId="77777777" w:rsidR="00810172" w:rsidRDefault="00615D8A">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04238CBC"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w:t>
      </w:r>
      <w:r>
        <w:rPr>
          <w:rFonts w:ascii="Palatino Linotype" w:eastAsia="Palatino Linotype" w:hAnsi="Palatino Linotype" w:cs="Palatino Linotype"/>
        </w:rPr>
        <w:lastRenderedPageBreak/>
        <w:t xml:space="preserve">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62DAC61C" w14:textId="77777777" w:rsidR="00810172" w:rsidRDefault="00615D8A">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7DEF1AC0" w14:textId="77777777" w:rsidR="00810172" w:rsidRDefault="00615D8A">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00116/IXTAPALU/IP/2022,</w:t>
      </w:r>
      <w:r>
        <w:rPr>
          <w:rFonts w:ascii="Palatino Linotype" w:eastAsia="Palatino Linotype" w:hAnsi="Palatino Linotype" w:cs="Palatino Linotype"/>
        </w:rPr>
        <w:t xml:space="preserve"> dentro del plazo legal previsto para ello.</w:t>
      </w:r>
    </w:p>
    <w:p w14:paraId="58E23E3F"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7A7AD285" w14:textId="77777777" w:rsidR="00810172" w:rsidRDefault="00615D8A">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“1. ¿Se cuenta con la información referente a la incidencia de delitos y de faltas administrativas? Favor de anexar información desde enero 2022 a la fecha de recepción de la presente 2. ¿Se operan programas para la prevención de conductas antisociales? 3. ¿Se tiene coordinación interinstitucional con otros órdenes de gobierno en materia de seguridad pública y de qué forma? 4. ¿Se cuenta con índices e identificación de zonas conflictivas y </w:t>
      </w:r>
      <w:proofErr w:type="spellStart"/>
      <w:r>
        <w:rPr>
          <w:rFonts w:ascii="Palatino Linotype" w:eastAsia="Palatino Linotype" w:hAnsi="Palatino Linotype" w:cs="Palatino Linotype"/>
          <w:i/>
          <w:color w:val="000000"/>
          <w:sz w:val="22"/>
          <w:szCs w:val="22"/>
        </w:rPr>
        <w:t>cual</w:t>
      </w:r>
      <w:proofErr w:type="spellEnd"/>
      <w:r>
        <w:rPr>
          <w:rFonts w:ascii="Palatino Linotype" w:eastAsia="Palatino Linotype" w:hAnsi="Palatino Linotype" w:cs="Palatino Linotype"/>
          <w:i/>
          <w:color w:val="000000"/>
          <w:sz w:val="22"/>
          <w:szCs w:val="22"/>
        </w:rPr>
        <w:t xml:space="preserve"> es la metodología? 5. ¿Se cuenta con un programa de atención especializada para zonas conflictivas? 6. ¿Existen vínculos de coparticipación con la sociedad y </w:t>
      </w:r>
      <w:proofErr w:type="spellStart"/>
      <w:r>
        <w:rPr>
          <w:rFonts w:ascii="Palatino Linotype" w:eastAsia="Palatino Linotype" w:hAnsi="Palatino Linotype" w:cs="Palatino Linotype"/>
          <w:i/>
          <w:color w:val="000000"/>
          <w:sz w:val="22"/>
          <w:szCs w:val="22"/>
        </w:rPr>
        <w:t>cuales</w:t>
      </w:r>
      <w:proofErr w:type="spellEnd"/>
      <w:r>
        <w:rPr>
          <w:rFonts w:ascii="Palatino Linotype" w:eastAsia="Palatino Linotype" w:hAnsi="Palatino Linotype" w:cs="Palatino Linotype"/>
          <w:i/>
          <w:color w:val="000000"/>
          <w:sz w:val="22"/>
          <w:szCs w:val="22"/>
        </w:rPr>
        <w:t xml:space="preserve">? 7. </w:t>
      </w:r>
      <w:proofErr w:type="gramStart"/>
      <w:r>
        <w:rPr>
          <w:rFonts w:ascii="Palatino Linotype" w:eastAsia="Palatino Linotype" w:hAnsi="Palatino Linotype" w:cs="Palatino Linotype"/>
          <w:i/>
          <w:color w:val="000000"/>
          <w:sz w:val="22"/>
          <w:szCs w:val="22"/>
        </w:rPr>
        <w:t>¿Se operan programas para medir el nivel de denuncias ciudadanas 8.</w:t>
      </w:r>
      <w:proofErr w:type="gramEnd"/>
      <w:r>
        <w:rPr>
          <w:rFonts w:ascii="Palatino Linotype" w:eastAsia="Palatino Linotype" w:hAnsi="Palatino Linotype" w:cs="Palatino Linotype"/>
          <w:i/>
          <w:color w:val="000000"/>
          <w:sz w:val="22"/>
          <w:szCs w:val="22"/>
        </w:rPr>
        <w:t xml:space="preserve"> ¿Se reportan sus incidencias a través del Informe Policial Homologado? 9. ¿Cómo se comportan las incidencias de faltas administrativas? 10. ¿Cuenta con un diagnóstico integral de seguridad pública que permita identificar las causas del problema? 11. ¿Cuántas cámaras tiene el C4? Y de ellas cuantas funcionan y cuantas necesitan reparación, así como ¿</w:t>
      </w:r>
      <w:proofErr w:type="spellStart"/>
      <w:r>
        <w:rPr>
          <w:rFonts w:ascii="Palatino Linotype" w:eastAsia="Palatino Linotype" w:hAnsi="Palatino Linotype" w:cs="Palatino Linotype"/>
          <w:i/>
          <w:color w:val="000000"/>
          <w:sz w:val="22"/>
          <w:szCs w:val="22"/>
        </w:rPr>
        <w:t>cúal</w:t>
      </w:r>
      <w:proofErr w:type="spellEnd"/>
      <w:r>
        <w:rPr>
          <w:rFonts w:ascii="Palatino Linotype" w:eastAsia="Palatino Linotype" w:hAnsi="Palatino Linotype" w:cs="Palatino Linotype"/>
          <w:i/>
          <w:color w:val="000000"/>
          <w:sz w:val="22"/>
          <w:szCs w:val="22"/>
        </w:rPr>
        <w:t xml:space="preserve"> es el tiempo normal en que se reparan? ¿Personal municipal, estatal o privado las reparan?” (Sic)</w:t>
      </w:r>
    </w:p>
    <w:p w14:paraId="54EB3E23"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FBBAE70" w14:textId="77777777" w:rsidR="00810172" w:rsidRDefault="00615D8A">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E1FE3D7" w14:textId="77777777" w:rsidR="00810172" w:rsidRDefault="00810172">
      <w:pPr>
        <w:tabs>
          <w:tab w:val="left" w:pos="709"/>
        </w:tabs>
        <w:ind w:left="851" w:right="850"/>
        <w:jc w:val="both"/>
        <w:rPr>
          <w:rFonts w:ascii="Palatino Linotype" w:eastAsia="Palatino Linotype" w:hAnsi="Palatino Linotype" w:cs="Palatino Linotype"/>
        </w:rPr>
      </w:pPr>
    </w:p>
    <w:p w14:paraId="6874912F" w14:textId="77777777" w:rsidR="00810172" w:rsidRDefault="00615D8A">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AF2AF5C" w14:textId="77777777" w:rsidR="00810172" w:rsidRDefault="00615D8A">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B3E3CDB" w14:textId="77777777" w:rsidR="00810172" w:rsidRDefault="00615D8A">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DB16EA2" w14:textId="77777777" w:rsidR="00810172" w:rsidRDefault="00615D8A">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AEE04DB"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483D34C1"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F1D98DE"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D7E64CC" w14:textId="77777777" w:rsidR="00810172" w:rsidRDefault="00615D8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4EDD288"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2B27EE0"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4BA3E8D" w14:textId="77777777" w:rsidR="00810172" w:rsidRDefault="00615D8A">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7FE85A3" w14:textId="77777777" w:rsidR="00810172" w:rsidRDefault="00615D8A">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A596C98"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63A7EDC4"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p>
    <w:p w14:paraId="3C595D48"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B5C6E45" w14:textId="77777777" w:rsidR="00810172" w:rsidRDefault="00810172">
      <w:pPr>
        <w:ind w:left="567" w:right="851"/>
        <w:jc w:val="both"/>
        <w:rPr>
          <w:rFonts w:ascii="Palatino Linotype" w:eastAsia="Palatino Linotype" w:hAnsi="Palatino Linotype" w:cs="Palatino Linotype"/>
          <w:i/>
          <w:sz w:val="22"/>
          <w:szCs w:val="22"/>
        </w:rPr>
      </w:pPr>
    </w:p>
    <w:p w14:paraId="33FF221C"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DCC6C3A"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660E808"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EB23127"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514927E" w14:textId="77777777" w:rsidR="00810172" w:rsidRDefault="00615D8A">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1449FC7" w14:textId="77777777" w:rsidR="00810172" w:rsidRDefault="00615D8A">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0B24B04" w14:textId="77777777" w:rsidR="00810172" w:rsidRDefault="00615D8A">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2F4BB5C"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71C48944" w14:textId="77777777" w:rsidR="00810172" w:rsidRDefault="00615D8A">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1BD2F589"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072237C1"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46C19651" w14:textId="77777777" w:rsidR="00810172" w:rsidRDefault="00615D8A">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0BB08BE7"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0EF3D4AB"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3B325CFE"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162650F2"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56FC1121"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1F2A0831"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2A88F42D"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630C3AE9"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673CF14E" w14:textId="77777777" w:rsidR="00810172" w:rsidRDefault="00615D8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2802366C"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7EE9516"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Pr>
          <w:rFonts w:ascii="Palatino Linotype" w:eastAsia="Palatino Linotype" w:hAnsi="Palatino Linotype" w:cs="Palatino Linotype"/>
        </w:rPr>
        <w:lastRenderedPageBreak/>
        <w:t xml:space="preserve">responsable para atender dicha Unidad, quien fungirá como enlace entre éstos y los solicitantes. </w:t>
      </w:r>
    </w:p>
    <w:p w14:paraId="16DA749E" w14:textId="77777777" w:rsidR="00810172" w:rsidRDefault="00615D8A">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5B87C2E" w14:textId="77777777" w:rsidR="00810172" w:rsidRDefault="00615D8A">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180E60D"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906456E" w14:textId="77777777" w:rsidR="00810172" w:rsidRDefault="00615D8A">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w:t>
      </w:r>
      <w:r>
        <w:rPr>
          <w:rFonts w:ascii="Palatino Linotype" w:eastAsia="Palatino Linotype" w:hAnsi="Palatino Linotype" w:cs="Palatino Linotype"/>
        </w:rPr>
        <w:lastRenderedPageBreak/>
        <w:t>localizar la información que le solicite la Unidad de Transparencia; proporcionar la misma y apoyarla en lo que ésta le solicite para el cumplimiento de sus funciones.</w:t>
      </w:r>
    </w:p>
    <w:p w14:paraId="30A27C75"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48D52C4" w14:textId="77777777" w:rsidR="00810172" w:rsidRDefault="00615D8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1CAD273C" w14:textId="77777777" w:rsidR="00810172" w:rsidRDefault="00615D8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9C6F034"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1FF9D8B4"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4EFB34C0"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16238EE8" w14:textId="77777777" w:rsidR="00810172" w:rsidRDefault="00615D8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6D2E15FF" w14:textId="77777777" w:rsidR="00810172" w:rsidRDefault="00615D8A">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 xml:space="preserve">El acceso a la información pública será </w:t>
      </w:r>
      <w:proofErr w:type="gramStart"/>
      <w:r>
        <w:rPr>
          <w:rFonts w:ascii="Palatino Linotype" w:eastAsia="Palatino Linotype" w:hAnsi="Palatino Linotype" w:cs="Palatino Linotype"/>
          <w:i/>
          <w:sz w:val="22"/>
          <w:szCs w:val="22"/>
        </w:rPr>
        <w:t>restringido  excepcionalmente</w:t>
      </w:r>
      <w:proofErr w:type="gramEnd"/>
      <w:r>
        <w:rPr>
          <w:rFonts w:ascii="Palatino Linotype" w:eastAsia="Palatino Linotype" w:hAnsi="Palatino Linotype" w:cs="Palatino Linotype"/>
          <w:i/>
          <w:sz w:val="22"/>
          <w:szCs w:val="22"/>
        </w:rPr>
        <w:t>, cuando ésta sea clasificada como reservada o confidencial.”</w:t>
      </w:r>
    </w:p>
    <w:p w14:paraId="1C0ECEED"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7F25142A"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C8386B1"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CD322D1"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7AEBA90E"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3DC1651D"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F50DA15"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1BCB3B96"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Aquella cuya divulgación obstruya o pueda causar un serio perjuicio a:</w:t>
      </w:r>
    </w:p>
    <w:p w14:paraId="5EB9A8CE"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38DD356"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42F13E51"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BF08C7B"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64A2979"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3625B1D1"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F2374DE"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E474F99"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0C59073"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6436CF5"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3B7E366"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109B8537"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9525B8F"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78F48DA"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EEAAD1C" w14:textId="77777777" w:rsidR="00810172" w:rsidRDefault="00615D8A">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BFFE3D0" w14:textId="77777777" w:rsidR="00810172" w:rsidRDefault="00615D8A">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2D377D5"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5A8F4FA" w14:textId="77777777" w:rsidR="00810172" w:rsidRDefault="00615D8A">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6DCB0969" w14:textId="77777777" w:rsidR="00810172" w:rsidRDefault="00615D8A">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2135053F" w14:textId="77777777" w:rsidR="00810172" w:rsidRDefault="00615D8A">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0A16FE5C" w14:textId="77777777" w:rsidR="00810172" w:rsidRDefault="00615D8A">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w:t>
      </w:r>
      <w:r>
        <w:rPr>
          <w:rFonts w:ascii="Palatino Linotype" w:eastAsia="Palatino Linotype" w:hAnsi="Palatino Linotype" w:cs="Palatino Linotype"/>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2F28B2F0"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47657EC6"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w:t>
      </w:r>
      <w:r>
        <w:rPr>
          <w:rFonts w:ascii="Palatino Linotype" w:eastAsia="Palatino Linotype" w:hAnsi="Palatino Linotype" w:cs="Palatino Linotype"/>
        </w:rPr>
        <w:lastRenderedPageBreak/>
        <w:t>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BBD46C0" w14:textId="77777777" w:rsidR="00810172" w:rsidRDefault="00615D8A">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74FFEE7"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62F2C4E0" w14:textId="77777777" w:rsidR="00810172" w:rsidRDefault="00615D8A">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1677A0DE" w14:textId="77777777" w:rsidR="00810172" w:rsidRDefault="00615D8A">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06630FD0" w14:textId="77777777" w:rsidR="00810172" w:rsidRDefault="00615D8A">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16243A7" w14:textId="77777777" w:rsidR="00810172" w:rsidRDefault="00615D8A">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51CA3422"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553EEDB8"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Pr>
          <w:rFonts w:ascii="Palatino Linotype" w:eastAsia="Palatino Linotype" w:hAnsi="Palatino Linotype" w:cs="Palatino Linotype"/>
        </w:rPr>
        <w:lastRenderedPageBreak/>
        <w:t>de Circuito, Libro 5, de fecha abril de 2014, pág. 1523, Registro, 2,006,299. I.1o.A.E.3 K (10a.), que literalmente señala:</w:t>
      </w:r>
    </w:p>
    <w:p w14:paraId="6A327EDD" w14:textId="77777777" w:rsidR="00810172" w:rsidRDefault="00615D8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2E39C804" w14:textId="77777777" w:rsidR="00810172" w:rsidRDefault="00615D8A">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79BB1239" w14:textId="77777777" w:rsidR="00810172" w:rsidRDefault="00615D8A">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8B70D92"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1904D11"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w:t>
      </w:r>
      <w:r>
        <w:rPr>
          <w:rFonts w:ascii="Palatino Linotype" w:eastAsia="Palatino Linotype" w:hAnsi="Palatino Linotype" w:cs="Palatino Linotype"/>
        </w:rPr>
        <w:lastRenderedPageBreak/>
        <w:t>los sujetos obligados deben documentar todo acto que derive del ejercicio de sus facultades, competencias o funciones y que se presume que la información debe existir si se refiere a dichas facultades, competencias y/o funciones.</w:t>
      </w:r>
    </w:p>
    <w:p w14:paraId="57E95366"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D31622C"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A8FFDF6" w14:textId="77777777" w:rsidR="00810172" w:rsidRDefault="00615D8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w:t>
      </w:r>
      <w:r>
        <w:rPr>
          <w:rFonts w:ascii="Palatino Linotype" w:eastAsia="Palatino Linotype" w:hAnsi="Palatino Linotype" w:cs="Palatino Linotype"/>
          <w:i/>
          <w:sz w:val="22"/>
          <w:szCs w:val="22"/>
        </w:rPr>
        <w:lastRenderedPageBreak/>
        <w:t>información, acto jurídico que genera certeza jurídica al particular de que se realizó un criterio de búsqueda exhaustivo y razonable con la debida justificación de la falta de información y en su caso, las consecuencias de ello.”</w:t>
      </w:r>
    </w:p>
    <w:p w14:paraId="610EA73F" w14:textId="77777777" w:rsidR="00810172" w:rsidRDefault="00615D8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0A3316C6" w14:textId="77777777" w:rsidR="00810172" w:rsidRDefault="00615D8A">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4FD5935" w14:textId="77777777" w:rsidR="00810172" w:rsidRDefault="00615D8A">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65437B1" w14:textId="77777777" w:rsidR="00810172" w:rsidRDefault="00615D8A">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47E981A7" w14:textId="77777777" w:rsidR="00810172" w:rsidRDefault="00615D8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Primero. </w:t>
      </w:r>
      <w:r>
        <w:rPr>
          <w:rFonts w:ascii="Palatino Linotype" w:eastAsia="Palatino Linotype" w:hAnsi="Palatino Linotype" w:cs="Palatino Linotype"/>
        </w:rPr>
        <w:t xml:space="preserve">Resultan fundados los motivos de inconformidad del Recurrente, en el recurso de revisión </w:t>
      </w:r>
      <w:r>
        <w:rPr>
          <w:rFonts w:ascii="Palatino Linotype" w:eastAsia="Palatino Linotype" w:hAnsi="Palatino Linotype" w:cs="Palatino Linotype"/>
          <w:b/>
        </w:rPr>
        <w:t>07934/INFOEM/IP/RR/2022,</w:t>
      </w:r>
      <w:r>
        <w:rPr>
          <w:rFonts w:ascii="Palatino Linotype" w:eastAsia="Palatino Linotype" w:hAnsi="Palatino Linotype" w:cs="Palatino Linotype"/>
        </w:rPr>
        <w:t xml:space="preserve"> en términos del Considerando Cuarto de la presente resolución.</w:t>
      </w:r>
    </w:p>
    <w:p w14:paraId="641FC346" w14:textId="77777777" w:rsidR="00810172" w:rsidRDefault="00615D8A">
      <w:pPr>
        <w:spacing w:before="240" w:after="240" w:line="360" w:lineRule="auto"/>
        <w:jc w:val="both"/>
        <w:rPr>
          <w:rFonts w:ascii="Palatino Linotype" w:eastAsia="Palatino Linotype" w:hAnsi="Palatino Linotype" w:cs="Palatino Linotype"/>
        </w:rPr>
      </w:pPr>
      <w:bookmarkStart w:id="4" w:name="_heading=h.1t3h5sf" w:colFirst="0" w:colLast="0"/>
      <w:bookmarkEnd w:id="4"/>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a la solicitud de acceso a la información pública </w:t>
      </w:r>
      <w:r>
        <w:rPr>
          <w:rFonts w:ascii="Palatino Linotype" w:eastAsia="Palatino Linotype" w:hAnsi="Palatino Linotype" w:cs="Palatino Linotype"/>
          <w:b/>
        </w:rPr>
        <w:t xml:space="preserve">00116/IXTAPALU/IP/2022,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07934/INFOEM/IP/RR/2022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1934BF1" w14:textId="77777777" w:rsidR="00810172" w:rsidRDefault="00615D8A">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AD52B86" w14:textId="77777777" w:rsidR="00810172" w:rsidRDefault="00615D8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EF39EC0" w14:textId="77777777" w:rsidR="00810172" w:rsidRDefault="00615D8A">
      <w:pPr>
        <w:spacing w:before="240" w:after="240" w:line="360" w:lineRule="auto"/>
        <w:jc w:val="both"/>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lastRenderedPageBreak/>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31E1B52" w14:textId="77777777" w:rsidR="00810172" w:rsidRDefault="00615D8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750ADE05" w14:textId="77777777" w:rsidR="00810172" w:rsidRDefault="00615D8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3CF45FBA" w14:textId="77777777" w:rsidR="00810172" w:rsidRDefault="00615D8A">
      <w:pPr>
        <w:spacing w:line="360" w:lineRule="auto"/>
        <w:ind w:right="49"/>
        <w:jc w:val="both"/>
        <w:rPr>
          <w:rFonts w:ascii="Palatino Linotype" w:eastAsia="Palatino Linotype" w:hAnsi="Palatino Linotype" w:cs="Palatino Linotype"/>
        </w:rPr>
        <w:sectPr w:rsidR="0081017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2et92p0" w:colFirst="0" w:colLast="0"/>
      <w:bookmarkEnd w:id="7"/>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w:t>
      </w:r>
      <w:r>
        <w:rPr>
          <w:rFonts w:ascii="Palatino Linotype" w:eastAsia="Palatino Linotype" w:hAnsi="Palatino Linotype" w:cs="Palatino Linotype"/>
        </w:rPr>
        <w:lastRenderedPageBreak/>
        <w:t xml:space="preserve">CELEBRADA EL QUINCE DE JUNIO DE DOS MIL VEINTIDÓS, ANTE EL </w:t>
      </w:r>
      <w:r w:rsidR="00183478">
        <w:rPr>
          <w:noProof/>
          <w:lang w:val="es-MX" w:eastAsia="es-MX"/>
        </w:rPr>
        <mc:AlternateContent>
          <mc:Choice Requires="wps">
            <w:drawing>
              <wp:anchor distT="0" distB="0" distL="114300" distR="114300" simplePos="0" relativeHeight="251658240" behindDoc="0" locked="0" layoutInCell="1" hidden="0" allowOverlap="1" wp14:anchorId="14C544AB" wp14:editId="6EE8196D">
                <wp:simplePos x="0" y="0"/>
                <wp:positionH relativeFrom="column">
                  <wp:posOffset>186690</wp:posOffset>
                </wp:positionH>
                <wp:positionV relativeFrom="paragraph">
                  <wp:posOffset>632459</wp:posOffset>
                </wp:positionV>
                <wp:extent cx="5238750" cy="6962775"/>
                <wp:effectExtent l="0" t="0" r="19050" b="28575"/>
                <wp:wrapNone/>
                <wp:docPr id="30" name="Conector recto de flecha 30"/>
                <wp:cNvGraphicFramePr/>
                <a:graphic xmlns:a="http://schemas.openxmlformats.org/drawingml/2006/main">
                  <a:graphicData uri="http://schemas.microsoft.com/office/word/2010/wordprocessingShape">
                    <wps:wsp>
                      <wps:cNvCnPr/>
                      <wps:spPr>
                        <a:xfrm>
                          <a:off x="0" y="0"/>
                          <a:ext cx="5238750" cy="6962775"/>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CFC670A" id="_x0000_t32" coordsize="21600,21600" o:spt="32" o:oned="t" path="m,l21600,21600e" filled="f">
                <v:path arrowok="t" fillok="f" o:connecttype="none"/>
                <o:lock v:ext="edit" shapetype="t"/>
              </v:shapetype>
              <v:shape id="Conector recto de flecha 30" o:spid="_x0000_s1026" type="#_x0000_t32" style="position:absolute;margin-left:14.7pt;margin-top:49.8pt;width:412.5pt;height:5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" strokecolor="black [3200]">
                <v:stroke startarrowwidth="narrow" startarrowlength="short" endarrowwidth="narrow" endarrowlength="short" joinstyle="miter"/>
              </v:shape>
            </w:pict>
          </mc:Fallback>
        </mc:AlternateContent>
      </w:r>
      <w:r>
        <w:rPr>
          <w:rFonts w:ascii="Palatino Linotype" w:eastAsia="Palatino Linotype" w:hAnsi="Palatino Linotype" w:cs="Palatino Linotype"/>
        </w:rPr>
        <w:t>SECRETARIO TÉCNICO DEL PLENO ALEXIS TAPIA RAMÍREZ.</w:t>
      </w:r>
    </w:p>
    <w:p w14:paraId="06092A6E" w14:textId="77777777" w:rsidR="00810172" w:rsidRDefault="00810172">
      <w:pPr>
        <w:tabs>
          <w:tab w:val="left" w:pos="709"/>
        </w:tabs>
        <w:spacing w:before="240" w:after="240" w:line="360" w:lineRule="auto"/>
        <w:jc w:val="both"/>
        <w:rPr>
          <w:rFonts w:ascii="Palatino Linotype" w:eastAsia="Palatino Linotype" w:hAnsi="Palatino Linotype" w:cs="Palatino Linotype"/>
        </w:rPr>
      </w:pPr>
    </w:p>
    <w:p w14:paraId="28AD78DB" w14:textId="77777777" w:rsidR="00810172" w:rsidRDefault="00810172"/>
    <w:p w14:paraId="22023A8F" w14:textId="77777777" w:rsidR="00810172" w:rsidRDefault="00810172"/>
    <w:sectPr w:rsidR="0081017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5C9E" w14:textId="77777777" w:rsidR="006E72BA" w:rsidRDefault="006E72BA">
      <w:r>
        <w:separator/>
      </w:r>
    </w:p>
  </w:endnote>
  <w:endnote w:type="continuationSeparator" w:id="0">
    <w:p w14:paraId="692A5AD5" w14:textId="77777777" w:rsidR="006E72BA" w:rsidRDefault="006E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755F" w14:textId="77777777" w:rsidR="00810172" w:rsidRDefault="00615D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13732">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13732">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189E7470" w14:textId="77777777" w:rsidR="00810172" w:rsidRDefault="00810172">
    <w:pPr>
      <w:pBdr>
        <w:top w:val="nil"/>
        <w:left w:val="nil"/>
        <w:bottom w:val="nil"/>
        <w:right w:val="nil"/>
        <w:between w:val="nil"/>
      </w:pBdr>
      <w:tabs>
        <w:tab w:val="center" w:pos="4252"/>
        <w:tab w:val="right" w:pos="8504"/>
      </w:tabs>
      <w:rPr>
        <w:color w:val="000000"/>
      </w:rPr>
    </w:pPr>
  </w:p>
  <w:p w14:paraId="11E5A5A3" w14:textId="77777777" w:rsidR="00810172" w:rsidRDefault="0081017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35F5" w14:textId="77777777" w:rsidR="00810172" w:rsidRDefault="00615D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13732">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13732">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668EC8D9" w14:textId="77777777" w:rsidR="00810172" w:rsidRDefault="0081017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3707" w14:textId="77777777" w:rsidR="006E72BA" w:rsidRDefault="006E72BA">
      <w:r>
        <w:separator/>
      </w:r>
    </w:p>
  </w:footnote>
  <w:footnote w:type="continuationSeparator" w:id="0">
    <w:p w14:paraId="5BFECC3D" w14:textId="77777777" w:rsidR="006E72BA" w:rsidRDefault="006E72BA">
      <w:r>
        <w:continuationSeparator/>
      </w:r>
    </w:p>
  </w:footnote>
  <w:footnote w:id="1">
    <w:p w14:paraId="66FBEE99" w14:textId="77777777" w:rsidR="00810172" w:rsidRDefault="00615D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9FD51A6" w14:textId="77777777" w:rsidR="00810172" w:rsidRDefault="00615D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63246FD" w14:textId="77777777" w:rsidR="00810172" w:rsidRDefault="00615D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1DA3126" w14:textId="77777777" w:rsidR="00810172" w:rsidRDefault="00615D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A9C6574" w14:textId="77777777" w:rsidR="00810172" w:rsidRDefault="00615D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CED0D81" w14:textId="77777777" w:rsidR="00810172" w:rsidRDefault="00615D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D2BB2B9" w14:textId="77777777" w:rsidR="00810172" w:rsidRDefault="00615D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0747180" w14:textId="77777777" w:rsidR="00810172" w:rsidRDefault="00615D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E32EC94" w14:textId="77777777" w:rsidR="00810172" w:rsidRDefault="00615D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FB89" w14:textId="77777777" w:rsidR="00810172" w:rsidRDefault="00615D8A">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DC5D3AD" wp14:editId="1956673F">
          <wp:simplePos x="0" y="0"/>
          <wp:positionH relativeFrom="column">
            <wp:posOffset>-1080126</wp:posOffset>
          </wp:positionH>
          <wp:positionV relativeFrom="paragraph">
            <wp:posOffset>-450839</wp:posOffset>
          </wp:positionV>
          <wp:extent cx="7635163" cy="9944100"/>
          <wp:effectExtent l="0" t="0" r="0" b="0"/>
          <wp:wrapNone/>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2"/>
      <w:tblW w:w="5670" w:type="dxa"/>
      <w:tblInd w:w="3261" w:type="dxa"/>
      <w:tblLayout w:type="fixed"/>
      <w:tblLook w:val="0400" w:firstRow="0" w:lastRow="0" w:firstColumn="0" w:lastColumn="0" w:noHBand="0" w:noVBand="1"/>
    </w:tblPr>
    <w:tblGrid>
      <w:gridCol w:w="2552"/>
      <w:gridCol w:w="3118"/>
    </w:tblGrid>
    <w:tr w:rsidR="00810172" w14:paraId="0352C5FD" w14:textId="77777777">
      <w:tc>
        <w:tcPr>
          <w:tcW w:w="2552" w:type="dxa"/>
          <w:vAlign w:val="center"/>
        </w:tcPr>
        <w:p w14:paraId="6C99630D" w14:textId="77777777" w:rsidR="00810172" w:rsidRDefault="00615D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5379D0F9" w14:textId="77777777" w:rsidR="00810172" w:rsidRDefault="00615D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07934/INFOEM/IP/RR/2022 </w:t>
          </w:r>
        </w:p>
      </w:tc>
    </w:tr>
    <w:tr w:rsidR="00810172" w14:paraId="277B35B9" w14:textId="77777777">
      <w:trPr>
        <w:trHeight w:val="228"/>
      </w:trPr>
      <w:tc>
        <w:tcPr>
          <w:tcW w:w="2552" w:type="dxa"/>
          <w:vAlign w:val="center"/>
        </w:tcPr>
        <w:p w14:paraId="1982331C" w14:textId="77777777" w:rsidR="00810172" w:rsidRDefault="00615D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32EF757E" w14:textId="77777777" w:rsidR="00810172" w:rsidRDefault="00615D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810172" w14:paraId="04EA4004" w14:textId="77777777">
      <w:tc>
        <w:tcPr>
          <w:tcW w:w="2552" w:type="dxa"/>
          <w:vAlign w:val="center"/>
        </w:tcPr>
        <w:p w14:paraId="3CC8B09B" w14:textId="77777777" w:rsidR="00810172" w:rsidRDefault="00615D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7A2BFF33" w14:textId="77777777" w:rsidR="00810172" w:rsidRDefault="00615D8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A68FED" w14:textId="77777777" w:rsidR="00810172" w:rsidRDefault="00615D8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81DF" w14:textId="77777777" w:rsidR="00810172" w:rsidRDefault="00615D8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22C395BC" wp14:editId="44540977">
          <wp:simplePos x="0" y="0"/>
          <wp:positionH relativeFrom="column">
            <wp:posOffset>-1013448</wp:posOffset>
          </wp:positionH>
          <wp:positionV relativeFrom="paragraph">
            <wp:posOffset>-372100</wp:posOffset>
          </wp:positionV>
          <wp:extent cx="7635600" cy="9943200"/>
          <wp:effectExtent l="0" t="0" r="0" b="0"/>
          <wp:wrapNone/>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1"/>
      <w:tblW w:w="6238" w:type="dxa"/>
      <w:tblInd w:w="3119" w:type="dxa"/>
      <w:tblLayout w:type="fixed"/>
      <w:tblLook w:val="0400" w:firstRow="0" w:lastRow="0" w:firstColumn="0" w:lastColumn="0" w:noHBand="0" w:noVBand="1"/>
    </w:tblPr>
    <w:tblGrid>
      <w:gridCol w:w="2551"/>
      <w:gridCol w:w="3687"/>
    </w:tblGrid>
    <w:tr w:rsidR="00810172" w14:paraId="3C45280F" w14:textId="77777777">
      <w:tc>
        <w:tcPr>
          <w:tcW w:w="2551" w:type="dxa"/>
          <w:vAlign w:val="center"/>
        </w:tcPr>
        <w:p w14:paraId="002B0B3A" w14:textId="77777777" w:rsidR="00810172" w:rsidRDefault="00615D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E5A60ED" w14:textId="77777777" w:rsidR="00810172" w:rsidRDefault="00615D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07934/INFOEM/IP/RR/2022</w:t>
          </w:r>
        </w:p>
      </w:tc>
    </w:tr>
    <w:tr w:rsidR="00810172" w14:paraId="3EEDFE95" w14:textId="77777777">
      <w:tc>
        <w:tcPr>
          <w:tcW w:w="2551" w:type="dxa"/>
          <w:vAlign w:val="center"/>
        </w:tcPr>
        <w:p w14:paraId="441EA5FD" w14:textId="77777777" w:rsidR="00810172" w:rsidRDefault="00615D8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6D2C575" w14:textId="77777777" w:rsidR="00810172" w:rsidRDefault="00810172">
          <w:pPr>
            <w:jc w:val="both"/>
            <w:rPr>
              <w:rFonts w:ascii="Palatino Linotype" w:eastAsia="Palatino Linotype" w:hAnsi="Palatino Linotype" w:cs="Palatino Linotype"/>
              <w:b/>
              <w:sz w:val="22"/>
              <w:szCs w:val="22"/>
            </w:rPr>
          </w:pPr>
        </w:p>
      </w:tc>
    </w:tr>
    <w:tr w:rsidR="00810172" w14:paraId="172EBABD" w14:textId="77777777">
      <w:trPr>
        <w:trHeight w:val="228"/>
      </w:trPr>
      <w:tc>
        <w:tcPr>
          <w:tcW w:w="2551" w:type="dxa"/>
          <w:vAlign w:val="center"/>
        </w:tcPr>
        <w:p w14:paraId="4B4C753E" w14:textId="77777777" w:rsidR="00810172" w:rsidRDefault="00615D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F3AA091" w14:textId="77777777" w:rsidR="00810172" w:rsidRDefault="00615D8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810172" w14:paraId="51A7E302" w14:textId="77777777">
      <w:tc>
        <w:tcPr>
          <w:tcW w:w="2551" w:type="dxa"/>
          <w:vAlign w:val="center"/>
        </w:tcPr>
        <w:p w14:paraId="76BE92E3" w14:textId="77777777" w:rsidR="00810172" w:rsidRDefault="00615D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08161171" w14:textId="77777777" w:rsidR="00810172" w:rsidRDefault="00615D8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BC9E17" w14:textId="77777777" w:rsidR="00810172" w:rsidRDefault="0081017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2496" w14:textId="77777777" w:rsidR="00810172" w:rsidRDefault="00615D8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42A7C7C" w14:textId="77777777" w:rsidR="00810172" w:rsidRDefault="0081017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F88"/>
    <w:multiLevelType w:val="multilevel"/>
    <w:tmpl w:val="2B06CC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FE375D"/>
    <w:multiLevelType w:val="multilevel"/>
    <w:tmpl w:val="36CA5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ED02A4"/>
    <w:multiLevelType w:val="multilevel"/>
    <w:tmpl w:val="EE108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72"/>
    <w:rsid w:val="00113732"/>
    <w:rsid w:val="00183478"/>
    <w:rsid w:val="004070EC"/>
    <w:rsid w:val="00536315"/>
    <w:rsid w:val="00615D8A"/>
    <w:rsid w:val="006E72BA"/>
    <w:rsid w:val="00806D1D"/>
    <w:rsid w:val="008101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2FFF"/>
  <w15:docId w15:val="{7AD58A1E-E33E-4E58-A67D-FA76E20B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aJzy9ESKWUKjJe1EDYmjbq0rg==">AMUW2mWokQfl9dE+OdQV1zJG7/TFOoU4ZUZm88/+NOM8ETUvI4MWZ0vZ986+jr8bJLSlO5xdmFdAgHzZnTKWKSbuKHZmOoDwlkaMTD/NKNihDLgscfy7wIHxjBi7JvXt7qr9yDFdLb+YuUqw15td5+euuvA5WIElHklfiq4amkrNWGTrPACTcndagMrFse5H9f50vbOBszLQajj+AeN63tjo8a67sd0+wQa/qLkPQx6KMP3fluydWMk=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7902</Words>
  <Characters>43461</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User 425</cp:lastModifiedBy>
  <cp:revision>4</cp:revision>
  <cp:lastPrinted>2022-06-16T20:26:00Z</cp:lastPrinted>
  <dcterms:created xsi:type="dcterms:W3CDTF">2022-06-16T01:19:00Z</dcterms:created>
  <dcterms:modified xsi:type="dcterms:W3CDTF">2022-06-16T20:26:00Z</dcterms:modified>
</cp:coreProperties>
</file>