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D140C15" w:rsidR="00EA0165" w:rsidRPr="00BC16BD" w:rsidRDefault="00EA0165" w:rsidP="00BC16B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BC16BD">
        <w:rPr>
          <w:rFonts w:ascii="Palatino Linotype" w:eastAsiaTheme="minorEastAsia" w:hAnsi="Palatino Linotype" w:cstheme="minorBidi"/>
          <w:color w:val="000000" w:themeColor="text1"/>
          <w:lang w:val="es-ES_tradnl"/>
        </w:rPr>
        <w:t xml:space="preserve">n Metepec, Estado </w:t>
      </w:r>
      <w:r w:rsidR="005C57D2" w:rsidRPr="00BC16BD">
        <w:rPr>
          <w:rFonts w:ascii="Palatino Linotype" w:eastAsiaTheme="minorEastAsia" w:hAnsi="Palatino Linotype" w:cstheme="minorBidi"/>
          <w:color w:val="000000" w:themeColor="text1"/>
          <w:lang w:val="es-ES_tradnl"/>
        </w:rPr>
        <w:t>de México; de dieciséis</w:t>
      </w:r>
      <w:r w:rsidRPr="00BC16BD">
        <w:rPr>
          <w:rFonts w:ascii="Palatino Linotype" w:eastAsiaTheme="minorEastAsia" w:hAnsi="Palatino Linotype" w:cstheme="minorBidi"/>
          <w:color w:val="000000" w:themeColor="text1"/>
          <w:lang w:val="es-MX"/>
        </w:rPr>
        <w:t xml:space="preserve"> (</w:t>
      </w:r>
      <w:r w:rsidR="005C57D2" w:rsidRPr="00BC16BD">
        <w:rPr>
          <w:rFonts w:ascii="Palatino Linotype" w:eastAsiaTheme="minorEastAsia" w:hAnsi="Palatino Linotype" w:cstheme="minorBidi"/>
          <w:color w:val="000000" w:themeColor="text1"/>
          <w:lang w:val="es-MX"/>
        </w:rPr>
        <w:t>16</w:t>
      </w:r>
      <w:r w:rsidRPr="00BC16BD">
        <w:rPr>
          <w:rFonts w:ascii="Palatino Linotype" w:eastAsiaTheme="minorEastAsia" w:hAnsi="Palatino Linotype" w:cstheme="minorBidi"/>
          <w:color w:val="000000" w:themeColor="text1"/>
          <w:lang w:val="es-MX"/>
        </w:rPr>
        <w:t>) de</w:t>
      </w:r>
      <w:r w:rsidR="005C57D2" w:rsidRPr="00BC16BD">
        <w:rPr>
          <w:rFonts w:ascii="Palatino Linotype" w:eastAsiaTheme="minorEastAsia" w:hAnsi="Palatino Linotype" w:cstheme="minorBidi"/>
          <w:color w:val="000000" w:themeColor="text1"/>
          <w:lang w:val="es-MX"/>
        </w:rPr>
        <w:t xml:space="preserve"> febrero</w:t>
      </w:r>
      <w:r w:rsidR="00F03AFC" w:rsidRPr="00BC16BD">
        <w:rPr>
          <w:rFonts w:ascii="Palatino Linotype" w:eastAsiaTheme="minorEastAsia" w:hAnsi="Palatino Linotype" w:cstheme="minorBidi"/>
          <w:color w:val="000000" w:themeColor="text1"/>
          <w:lang w:val="es-MX"/>
        </w:rPr>
        <w:t xml:space="preserve"> </w:t>
      </w:r>
      <w:r w:rsidRPr="00BC16BD">
        <w:rPr>
          <w:rFonts w:ascii="Palatino Linotype" w:eastAsiaTheme="minorEastAsia" w:hAnsi="Palatino Linotype" w:cstheme="minorBidi"/>
          <w:color w:val="000000" w:themeColor="text1"/>
          <w:lang w:val="es-MX"/>
        </w:rPr>
        <w:t xml:space="preserve">de dos mil </w:t>
      </w:r>
      <w:r w:rsidR="005C57D2" w:rsidRPr="00BC16BD">
        <w:rPr>
          <w:rFonts w:ascii="Palatino Linotype" w:eastAsiaTheme="minorEastAsia" w:hAnsi="Palatino Linotype" w:cstheme="minorBidi"/>
          <w:color w:val="000000" w:themeColor="text1"/>
          <w:lang w:val="es-MX"/>
        </w:rPr>
        <w:t>veintidós.</w:t>
      </w:r>
    </w:p>
    <w:p w14:paraId="68E5E524" w14:textId="576EE7B6" w:rsidR="00EA0165" w:rsidRPr="00BC16BD" w:rsidRDefault="00EA0165" w:rsidP="00BC16BD">
      <w:pPr>
        <w:pStyle w:val="Prrafodelista"/>
        <w:tabs>
          <w:tab w:val="left" w:pos="0"/>
        </w:tabs>
        <w:spacing w:line="360" w:lineRule="auto"/>
        <w:ind w:left="0"/>
        <w:jc w:val="both"/>
        <w:rPr>
          <w:rFonts w:ascii="Palatino Linotype" w:eastAsia="MS Mincho" w:hAnsi="Palatino Linotype"/>
          <w:lang w:val="es-ES_tradnl"/>
        </w:rPr>
      </w:pPr>
      <w:r w:rsidRPr="00BC16BD">
        <w:rPr>
          <w:rFonts w:ascii="Palatino Linotype" w:eastAsia="MS Mincho" w:hAnsi="Palatino Linotype"/>
          <w:b/>
          <w:lang w:val="es-ES_tradnl"/>
        </w:rPr>
        <w:t>VISTO</w:t>
      </w:r>
      <w:r w:rsidRPr="00BC16BD">
        <w:rPr>
          <w:rFonts w:ascii="Palatino Linotype" w:eastAsia="MS Mincho" w:hAnsi="Palatino Linotype"/>
          <w:lang w:val="es-ES_tradnl"/>
        </w:rPr>
        <w:t xml:space="preserve"> el expediente electrónico formado con motivo del recurso de revisión</w:t>
      </w:r>
      <w:r w:rsidR="00923BD9" w:rsidRPr="00BC16BD">
        <w:rPr>
          <w:rFonts w:ascii="Palatino Linotype" w:eastAsia="MS Mincho" w:hAnsi="Palatino Linotype"/>
          <w:b/>
          <w:bCs/>
        </w:rPr>
        <w:t> </w:t>
      </w:r>
      <w:r w:rsidR="005B1401" w:rsidRPr="005B1401">
        <w:rPr>
          <w:rFonts w:ascii="Palatino Linotype" w:eastAsia="MS Mincho" w:hAnsi="Palatino Linotype"/>
          <w:b/>
          <w:bCs/>
        </w:rPr>
        <w:t>05993/INFOEM/IP/RR/2021</w:t>
      </w:r>
      <w:r w:rsidRPr="00BC16BD">
        <w:rPr>
          <w:rFonts w:ascii="Palatino Linotype" w:eastAsia="MS Mincho" w:hAnsi="Palatino Linotype"/>
          <w:b/>
          <w:bCs/>
          <w:lang w:val="es-ES_tradnl"/>
        </w:rPr>
        <w:t xml:space="preserve">, </w:t>
      </w:r>
      <w:r w:rsidRPr="00BC16BD">
        <w:rPr>
          <w:rFonts w:ascii="Palatino Linotype" w:eastAsia="MS Mincho" w:hAnsi="Palatino Linotype"/>
          <w:lang w:val="es-ES_tradnl"/>
        </w:rPr>
        <w:t>promovido por</w:t>
      </w:r>
      <w:r w:rsidR="005C57D2" w:rsidRPr="00BC16BD">
        <w:rPr>
          <w:rFonts w:ascii="Palatino Linotype" w:hAnsi="Palatino Linotype"/>
          <w:color w:val="000000"/>
        </w:rPr>
        <w:t xml:space="preserve"> </w:t>
      </w:r>
      <w:r w:rsidR="00137F03" w:rsidRPr="00137F03">
        <w:rPr>
          <w:rFonts w:ascii="Palatino Linotype" w:eastAsia="MS Mincho" w:hAnsi="Palatino Linotype"/>
          <w:b/>
        </w:rPr>
        <w:t>XXXXXXX XXXX XXXXXXX</w:t>
      </w:r>
      <w:r w:rsidR="00137F03" w:rsidRPr="00137F03">
        <w:rPr>
          <w:rFonts w:ascii="Palatino Linotype" w:eastAsia="MS Mincho" w:hAnsi="Palatino Linotype"/>
          <w:b/>
          <w:lang w:val="es-ES_tradnl"/>
        </w:rPr>
        <w:t xml:space="preserve"> </w:t>
      </w:r>
      <w:r w:rsidRPr="00BC16BD">
        <w:rPr>
          <w:rFonts w:ascii="Palatino Linotype" w:eastAsia="MS Mincho" w:hAnsi="Palatino Linotype"/>
          <w:lang w:val="es-ES_tradnl"/>
        </w:rPr>
        <w:t xml:space="preserve">en su calidad de </w:t>
      </w:r>
      <w:r w:rsidRPr="00BC16BD">
        <w:rPr>
          <w:rFonts w:ascii="Palatino Linotype" w:eastAsia="MS Mincho" w:hAnsi="Palatino Linotype"/>
          <w:b/>
          <w:lang w:val="es-ES_tradnl"/>
        </w:rPr>
        <w:t>RECURRENTE</w:t>
      </w:r>
      <w:r w:rsidR="00B4299A" w:rsidRPr="00BC16BD">
        <w:rPr>
          <w:rFonts w:ascii="Palatino Linotype" w:eastAsia="MS Mincho" w:hAnsi="Palatino Linotype"/>
          <w:lang w:val="es-ES_tradnl"/>
        </w:rPr>
        <w:t xml:space="preserve">, </w:t>
      </w:r>
      <w:r w:rsidR="005C57D2" w:rsidRPr="00BC16BD">
        <w:rPr>
          <w:rFonts w:ascii="Palatino Linotype" w:eastAsia="MS Mincho" w:hAnsi="Palatino Linotype"/>
          <w:lang w:val="es-ES_tradnl"/>
        </w:rPr>
        <w:t>en contra de la respuesta del</w:t>
      </w:r>
      <w:r w:rsidR="00923BD9" w:rsidRPr="00BC16BD">
        <w:rPr>
          <w:rFonts w:ascii="Palatino Linotype" w:eastAsia="MS Mincho" w:hAnsi="Palatino Linotype"/>
          <w:lang w:val="es-ES_tradnl"/>
        </w:rPr>
        <w:t xml:space="preserve"> </w:t>
      </w:r>
      <w:r w:rsidR="005B1401" w:rsidRPr="005B1401">
        <w:rPr>
          <w:rFonts w:ascii="Palatino Linotype" w:eastAsia="MS Mincho" w:hAnsi="Palatino Linotype"/>
          <w:b/>
          <w:lang w:val="es-ES_tradnl"/>
        </w:rPr>
        <w:t>Ayuntamiento de Nextlalpan</w:t>
      </w:r>
      <w:r w:rsidR="005B1401">
        <w:rPr>
          <w:rFonts w:ascii="Palatino Linotype" w:eastAsia="MS Mincho" w:hAnsi="Palatino Linotype"/>
          <w:lang w:val="es-ES_tradnl"/>
        </w:rPr>
        <w:t xml:space="preserve"> </w:t>
      </w:r>
      <w:r w:rsidRPr="00BC16BD">
        <w:rPr>
          <w:rFonts w:ascii="Palatino Linotype" w:eastAsia="MS Mincho" w:hAnsi="Palatino Linotype"/>
          <w:lang w:val="es-ES_tradnl"/>
        </w:rPr>
        <w:t>en lo sucesivo el</w:t>
      </w:r>
      <w:r w:rsidRPr="00BC16BD">
        <w:rPr>
          <w:rFonts w:ascii="Palatino Linotype" w:eastAsia="MS Mincho" w:hAnsi="Palatino Linotype"/>
          <w:b/>
          <w:lang w:val="es-ES_tradnl"/>
        </w:rPr>
        <w:t xml:space="preserve"> SUJETO OBLIGADO, </w:t>
      </w:r>
      <w:r w:rsidRPr="00BC16BD">
        <w:rPr>
          <w:rFonts w:ascii="Palatino Linotype" w:eastAsia="MS Mincho" w:hAnsi="Palatino Linotype"/>
          <w:lang w:val="es-ES_tradnl"/>
        </w:rPr>
        <w:t xml:space="preserve">se procede a dictar la presente resolución, con base en los siguientes: </w:t>
      </w:r>
    </w:p>
    <w:p w14:paraId="64D30E95" w14:textId="2F57A823" w:rsidR="00F216D7" w:rsidRPr="00BC16BD" w:rsidRDefault="00EA0165" w:rsidP="00BC16B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95401038"/>
      <w:r w:rsidRPr="00BC16BD">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7DA27745" w:rsidR="00707416" w:rsidRPr="00BC16BD" w:rsidRDefault="00EA0165" w:rsidP="00BC16B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BC16BD">
        <w:rPr>
          <w:rFonts w:ascii="Palatino Linotype" w:eastAsia="Calibri" w:hAnsi="Palatino Linotype" w:cs="Arial"/>
          <w:color w:val="000000" w:themeColor="text1"/>
        </w:rPr>
        <w:t>El</w:t>
      </w:r>
      <w:r w:rsidR="00F216D7" w:rsidRPr="00BC16BD">
        <w:rPr>
          <w:rFonts w:ascii="Palatino Linotype" w:eastAsia="Calibri" w:hAnsi="Palatino Linotype" w:cs="Arial"/>
          <w:color w:val="000000" w:themeColor="text1"/>
        </w:rPr>
        <w:t xml:space="preserve"> </w:t>
      </w:r>
      <w:r w:rsidR="00A65237" w:rsidRPr="00BC16BD">
        <w:rPr>
          <w:rFonts w:ascii="Palatino Linotype" w:eastAsia="Calibri" w:hAnsi="Palatino Linotype" w:cs="Arial"/>
          <w:color w:val="000000" w:themeColor="text1"/>
        </w:rPr>
        <w:t>venidos</w:t>
      </w:r>
      <w:r w:rsidR="00416E00" w:rsidRPr="00BC16BD">
        <w:rPr>
          <w:rFonts w:ascii="Palatino Linotype" w:eastAsia="Calibri" w:hAnsi="Palatino Linotype" w:cs="Arial"/>
          <w:color w:val="000000" w:themeColor="text1"/>
        </w:rPr>
        <w:t xml:space="preserve"> </w:t>
      </w:r>
      <w:r w:rsidRPr="00BC16BD">
        <w:rPr>
          <w:rFonts w:ascii="Palatino Linotype" w:eastAsia="Calibri" w:hAnsi="Palatino Linotype" w:cs="Arial"/>
          <w:color w:val="000000" w:themeColor="text1"/>
        </w:rPr>
        <w:t>(</w:t>
      </w:r>
      <w:r w:rsidR="00A65237" w:rsidRPr="00BC16BD">
        <w:rPr>
          <w:rFonts w:ascii="Palatino Linotype" w:eastAsia="Calibri" w:hAnsi="Palatino Linotype" w:cs="Arial"/>
          <w:color w:val="000000" w:themeColor="text1"/>
        </w:rPr>
        <w:t>22</w:t>
      </w:r>
      <w:r w:rsidRPr="00BC16BD">
        <w:rPr>
          <w:rFonts w:ascii="Palatino Linotype" w:eastAsia="Calibri" w:hAnsi="Palatino Linotype" w:cs="Arial"/>
          <w:color w:val="000000" w:themeColor="text1"/>
        </w:rPr>
        <w:t>) de</w:t>
      </w:r>
      <w:r w:rsidR="00A65237" w:rsidRPr="00BC16BD">
        <w:rPr>
          <w:rFonts w:ascii="Palatino Linotype" w:eastAsia="Calibri" w:hAnsi="Palatino Linotype" w:cs="Arial"/>
          <w:color w:val="000000" w:themeColor="text1"/>
        </w:rPr>
        <w:t xml:space="preserve"> noviembre</w:t>
      </w:r>
      <w:r w:rsidR="00707416" w:rsidRPr="00BC16BD">
        <w:rPr>
          <w:rFonts w:ascii="Palatino Linotype" w:eastAsia="Calibri" w:hAnsi="Palatino Linotype" w:cs="Arial"/>
          <w:color w:val="000000" w:themeColor="text1"/>
        </w:rPr>
        <w:t xml:space="preserve"> </w:t>
      </w:r>
      <w:r w:rsidRPr="00BC16BD">
        <w:rPr>
          <w:rFonts w:ascii="Palatino Linotype" w:eastAsia="Calibri" w:hAnsi="Palatino Linotype" w:cs="Arial"/>
          <w:color w:val="000000" w:themeColor="text1"/>
        </w:rPr>
        <w:t xml:space="preserve">de dos mil </w:t>
      </w:r>
      <w:r w:rsidR="002B2B24" w:rsidRPr="00BC16BD">
        <w:rPr>
          <w:rFonts w:ascii="Palatino Linotype" w:eastAsia="Calibri" w:hAnsi="Palatino Linotype" w:cs="Arial"/>
          <w:color w:val="000000" w:themeColor="text1"/>
        </w:rPr>
        <w:t>veintiuno</w:t>
      </w:r>
      <w:r w:rsidRPr="00BC16BD">
        <w:rPr>
          <w:rFonts w:ascii="Palatino Linotype" w:eastAsia="Calibri" w:hAnsi="Palatino Linotype" w:cs="Arial"/>
          <w:color w:val="000000" w:themeColor="text1"/>
        </w:rPr>
        <w:t xml:space="preserve">, </w:t>
      </w:r>
      <w:r w:rsidRPr="00BC16BD">
        <w:rPr>
          <w:rFonts w:ascii="Palatino Linotype" w:eastAsiaTheme="minorEastAsia" w:hAnsi="Palatino Linotype" w:cstheme="minorBidi"/>
          <w:color w:val="000000" w:themeColor="text1"/>
          <w:lang w:val="es-ES_tradnl"/>
        </w:rPr>
        <w:t>el particular presentó</w:t>
      </w:r>
      <w:r w:rsidRPr="00BC16BD">
        <w:rPr>
          <w:rFonts w:ascii="Palatino Linotype" w:eastAsiaTheme="minorEastAsia" w:hAnsi="Palatino Linotype" w:cstheme="minorBidi"/>
          <w:b/>
          <w:color w:val="000000" w:themeColor="text1"/>
          <w:lang w:val="es-ES_tradnl"/>
        </w:rPr>
        <w:t xml:space="preserve"> </w:t>
      </w:r>
      <w:r w:rsidR="00936BED" w:rsidRPr="00BC16BD">
        <w:rPr>
          <w:rFonts w:ascii="Palatino Linotype" w:eastAsiaTheme="minorEastAsia" w:hAnsi="Palatino Linotype" w:cstheme="minorBidi"/>
          <w:bCs/>
          <w:color w:val="000000" w:themeColor="text1"/>
          <w:lang w:val="es-ES_tradnl"/>
        </w:rPr>
        <w:t>a través de</w:t>
      </w:r>
      <w:r w:rsidR="00923BD9" w:rsidRPr="00BC16BD">
        <w:rPr>
          <w:rFonts w:ascii="Palatino Linotype" w:eastAsiaTheme="minorEastAsia" w:hAnsi="Palatino Linotype" w:cstheme="minorBidi"/>
          <w:bCs/>
          <w:color w:val="000000" w:themeColor="text1"/>
          <w:lang w:val="es-ES_tradnl"/>
        </w:rPr>
        <w:t>l</w:t>
      </w:r>
      <w:r w:rsidR="00923BD9" w:rsidRPr="00BC16BD">
        <w:rPr>
          <w:rFonts w:ascii="Palatino Linotype" w:eastAsia="Calibri" w:hAnsi="Palatino Linotype" w:cs="Arial"/>
          <w:color w:val="000000" w:themeColor="text1"/>
        </w:rPr>
        <w:t xml:space="preserve"> </w:t>
      </w:r>
      <w:r w:rsidR="00923BD9" w:rsidRPr="00BC16BD">
        <w:rPr>
          <w:rFonts w:ascii="Palatino Linotype" w:eastAsiaTheme="minorEastAsia" w:hAnsi="Palatino Linotype" w:cstheme="minorBidi"/>
          <w:bCs/>
          <w:color w:val="000000" w:themeColor="text1"/>
        </w:rPr>
        <w:t xml:space="preserve">Sistema de Acceso a la Información Mexiquense </w:t>
      </w:r>
      <w:r w:rsidR="00923BD9" w:rsidRPr="00BC16BD">
        <w:rPr>
          <w:rFonts w:ascii="Palatino Linotype" w:eastAsiaTheme="minorEastAsia" w:hAnsi="Palatino Linotype" w:cstheme="minorBidi"/>
          <w:b/>
          <w:bCs/>
          <w:color w:val="000000" w:themeColor="text1"/>
        </w:rPr>
        <w:t>(SAIMEX)</w:t>
      </w:r>
      <w:r w:rsidRPr="00BC16BD">
        <w:rPr>
          <w:rFonts w:ascii="Palatino Linotype" w:eastAsia="Calibri" w:hAnsi="Palatino Linotype" w:cs="Arial"/>
          <w:b/>
          <w:color w:val="000000" w:themeColor="text1"/>
        </w:rPr>
        <w:t xml:space="preserve">, </w:t>
      </w:r>
      <w:r w:rsidRPr="00BC16BD">
        <w:rPr>
          <w:rFonts w:ascii="Palatino Linotype" w:eastAsia="Calibri" w:hAnsi="Palatino Linotype" w:cs="Arial"/>
          <w:color w:val="000000" w:themeColor="text1"/>
        </w:rPr>
        <w:t>la solicitud de información pública registrada con el número</w:t>
      </w:r>
      <w:r w:rsidR="0042280B">
        <w:rPr>
          <w:rFonts w:ascii="Palatino Linotype" w:eastAsia="Calibri" w:hAnsi="Palatino Linotype" w:cs="Arial"/>
          <w:color w:val="000000" w:themeColor="text1"/>
        </w:rPr>
        <w:t xml:space="preserve"> </w:t>
      </w:r>
      <w:r w:rsidR="005B1401" w:rsidRPr="005B1401">
        <w:rPr>
          <w:rFonts w:ascii="Palatino Linotype" w:eastAsia="Calibri" w:hAnsi="Palatino Linotype" w:cs="Arial"/>
          <w:b/>
          <w:bCs/>
          <w:color w:val="000000" w:themeColor="text1"/>
        </w:rPr>
        <w:t>00215/NEXTLAL/IP/2021</w:t>
      </w:r>
      <w:r w:rsidRPr="00BC16BD">
        <w:rPr>
          <w:rFonts w:ascii="Palatino Linotype" w:eastAsiaTheme="minorEastAsia" w:hAnsi="Palatino Linotype" w:cstheme="minorBidi"/>
          <w:b/>
          <w:bCs/>
          <w:color w:val="000000" w:themeColor="text1"/>
          <w:lang w:val="es-ES_tradnl"/>
        </w:rPr>
        <w:t>,</w:t>
      </w:r>
      <w:r w:rsidRPr="00BC16BD">
        <w:rPr>
          <w:rFonts w:ascii="Palatino Linotype" w:eastAsia="Calibri" w:hAnsi="Palatino Linotype" w:cs="Arial"/>
          <w:color w:val="000000" w:themeColor="text1"/>
        </w:rPr>
        <w:t xml:space="preserve"> mediante la cual requirió:</w:t>
      </w:r>
    </w:p>
    <w:p w14:paraId="119BF7E0" w14:textId="11C64F64" w:rsidR="00EA0165" w:rsidRPr="00BC16BD" w:rsidRDefault="00EA0165" w:rsidP="00BC16B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i/>
          <w:color w:val="000000" w:themeColor="text1"/>
          <w:lang w:val="es-ES_tradnl"/>
        </w:rPr>
        <w:t>“</w:t>
      </w:r>
      <w:r w:rsidR="005B1401" w:rsidRPr="005B1401">
        <w:rPr>
          <w:rFonts w:ascii="Palatino Linotype" w:eastAsiaTheme="minorEastAsia" w:hAnsi="Palatino Linotype" w:cstheme="minorBidi"/>
          <w:i/>
          <w:color w:val="000000" w:themeColor="text1"/>
          <w:lang w:val="es-ES_tradnl"/>
        </w:rPr>
        <w:t>Se solicita de la manera más atenta y respetuosa, con fundamento en el artículo 6° de la Constitución Política de los Estados Unidos Mexicanos, que se proporcione la información solicitada en el archivo adjunto de nombre "CensoAP"</w:t>
      </w:r>
      <w:r w:rsidR="00A65237" w:rsidRPr="00BC16BD">
        <w:rPr>
          <w:rFonts w:ascii="Palatino Linotype" w:eastAsiaTheme="minorEastAsia" w:hAnsi="Palatino Linotype" w:cstheme="minorBidi"/>
          <w:i/>
          <w:color w:val="000000" w:themeColor="text1"/>
          <w:lang w:val="es-ES_tradnl"/>
        </w:rPr>
        <w:t>"</w:t>
      </w:r>
      <w:r w:rsidRPr="00BC16BD">
        <w:rPr>
          <w:rFonts w:ascii="Palatino Linotype" w:eastAsiaTheme="minorEastAsia" w:hAnsi="Palatino Linotype" w:cstheme="minorBidi"/>
          <w:i/>
          <w:color w:val="000000" w:themeColor="text1"/>
          <w:lang w:val="es-ES_tradnl"/>
        </w:rPr>
        <w:t xml:space="preserve">.” </w:t>
      </w:r>
      <w:r w:rsidRPr="00BC16BD">
        <w:rPr>
          <w:rFonts w:ascii="Palatino Linotype" w:eastAsiaTheme="minorEastAsia" w:hAnsi="Palatino Linotype" w:cstheme="minorBidi"/>
          <w:color w:val="000000" w:themeColor="text1"/>
          <w:lang w:val="es-ES_tradnl"/>
        </w:rPr>
        <w:t>(Sic).</w:t>
      </w:r>
    </w:p>
    <w:p w14:paraId="1046CCE1" w14:textId="304A6F03" w:rsidR="00A415DB" w:rsidRPr="00BC16BD" w:rsidRDefault="00A415DB" w:rsidP="00BC16B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FCB1201" w14:textId="5150F26C" w:rsidR="00A65237" w:rsidRPr="00BC16BD" w:rsidRDefault="00A65237" w:rsidP="00BC16B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BC16BD">
        <w:rPr>
          <w:rFonts w:ascii="Palatino Linotype" w:hAnsi="Palatino Linotype" w:cs="Arial"/>
          <w:color w:val="000000" w:themeColor="text1"/>
        </w:rPr>
        <w:t xml:space="preserve">A dicha solicitud de información se anexó el siguiente documento: </w:t>
      </w:r>
    </w:p>
    <w:p w14:paraId="2970F21A" w14:textId="5A9EB23E" w:rsidR="00A65237" w:rsidRPr="00BC16BD" w:rsidRDefault="00C811EB" w:rsidP="00BC16BD">
      <w:pPr>
        <w:numPr>
          <w:ilvl w:val="0"/>
          <w:numId w:val="38"/>
        </w:numPr>
        <w:spacing w:before="100" w:beforeAutospacing="1" w:after="100" w:afterAutospacing="1" w:line="360" w:lineRule="auto"/>
        <w:ind w:right="738"/>
        <w:rPr>
          <w:rFonts w:ascii="Palatino Linotype" w:hAnsi="Palatino Linotype" w:cs="Arial"/>
          <w:color w:val="333333"/>
          <w:lang w:val="es-MX"/>
        </w:rPr>
      </w:pPr>
      <w:hyperlink r:id="rId8" w:tgtFrame="_blank" w:history="1">
        <w:r w:rsidR="00A65237" w:rsidRPr="00BC16BD">
          <w:rPr>
            <w:rStyle w:val="Hipervnculo"/>
            <w:rFonts w:ascii="Palatino Linotype" w:hAnsi="Palatino Linotype" w:cs="Arial"/>
            <w:b/>
            <w:bCs/>
            <w:color w:val="auto"/>
            <w:u w:val="none"/>
          </w:rPr>
          <w:t>CensoAP.docx</w:t>
        </w:r>
      </w:hyperlink>
      <w:r w:rsidR="00A65237" w:rsidRPr="00BC16BD">
        <w:rPr>
          <w:rFonts w:ascii="Palatino Linotype" w:hAnsi="Palatino Linotype" w:cs="Arial"/>
          <w:color w:val="333333"/>
          <w:lang w:val="es-MX"/>
        </w:rPr>
        <w:t xml:space="preserve">: </w:t>
      </w:r>
      <w:r w:rsidR="00A65237" w:rsidRPr="00BC16BD">
        <w:rPr>
          <w:rFonts w:ascii="Palatino Linotype" w:hAnsi="Palatino Linotype" w:cs="Arial"/>
          <w:color w:val="000000" w:themeColor="text1"/>
        </w:rPr>
        <w:t xml:space="preserve">Documento electrónico que en dos (02) hojas contiene lo siguiente: </w:t>
      </w:r>
    </w:p>
    <w:p w14:paraId="1528DE66" w14:textId="414524D4" w:rsidR="00A65237" w:rsidRPr="00BC16BD" w:rsidRDefault="00A65237" w:rsidP="00BC16BD">
      <w:pPr>
        <w:spacing w:before="100" w:beforeAutospacing="1" w:after="100" w:afterAutospacing="1" w:line="360" w:lineRule="auto"/>
        <w:ind w:left="720"/>
        <w:rPr>
          <w:rFonts w:ascii="Palatino Linotype" w:hAnsi="Palatino Linotype" w:cs="Arial"/>
          <w:color w:val="333333"/>
          <w:lang w:val="es-MX"/>
        </w:rPr>
      </w:pPr>
    </w:p>
    <w:p w14:paraId="048CC658" w14:textId="6482188B" w:rsidR="00A65237" w:rsidRPr="00BC16BD" w:rsidRDefault="00A65237" w:rsidP="00BC16BD">
      <w:pPr>
        <w:spacing w:after="160" w:line="360" w:lineRule="auto"/>
        <w:rPr>
          <w:rFonts w:ascii="Palatino Linotype" w:eastAsia="Calibri" w:hAnsi="Palatino Linotype"/>
          <w:i/>
          <w:lang w:val="es-MX" w:eastAsia="en-US"/>
        </w:rPr>
      </w:pPr>
      <w:r w:rsidRPr="00BC16BD">
        <w:rPr>
          <w:rFonts w:ascii="Palatino Linotype" w:eastAsia="Calibri" w:hAnsi="Palatino Linotype"/>
          <w:i/>
          <w:lang w:val="es-MX" w:eastAsia="en-US"/>
        </w:rPr>
        <w:t>“Se solicita.</w:t>
      </w:r>
    </w:p>
    <w:p w14:paraId="27A1D2B8" w14:textId="77777777" w:rsidR="00A65237" w:rsidRPr="00BC16BD" w:rsidRDefault="00A65237" w:rsidP="00BC16BD">
      <w:pPr>
        <w:numPr>
          <w:ilvl w:val="0"/>
          <w:numId w:val="39"/>
        </w:numPr>
        <w:spacing w:after="160" w:line="360" w:lineRule="auto"/>
        <w:contextualSpacing/>
        <w:rPr>
          <w:rFonts w:ascii="Palatino Linotype" w:eastAsia="Calibri" w:hAnsi="Palatino Linotype"/>
          <w:i/>
          <w:lang w:val="es-MX" w:eastAsia="en-US"/>
        </w:rPr>
      </w:pPr>
      <w:r w:rsidRPr="00BC16BD">
        <w:rPr>
          <w:rFonts w:ascii="Palatino Linotype" w:eastAsia="Calibri" w:hAnsi="Palatino Linotype"/>
          <w:i/>
          <w:lang w:val="es-MX" w:eastAsia="en-US"/>
        </w:rPr>
        <w:t>Censo de luminarios de alumbrado público realizado y firmado por la Comisión Federal de Electricidad (CFE), correspondiente a los años 2018, 2019, 2020 y 2021;</w:t>
      </w:r>
    </w:p>
    <w:p w14:paraId="061DB1E4" w14:textId="77777777" w:rsidR="00A65237" w:rsidRPr="00BC16BD" w:rsidRDefault="00A65237" w:rsidP="00BC16BD">
      <w:pPr>
        <w:numPr>
          <w:ilvl w:val="0"/>
          <w:numId w:val="39"/>
        </w:numPr>
        <w:spacing w:after="160" w:line="360" w:lineRule="auto"/>
        <w:contextualSpacing/>
        <w:rPr>
          <w:rFonts w:ascii="Palatino Linotype" w:eastAsia="Calibri" w:hAnsi="Palatino Linotype"/>
          <w:i/>
          <w:lang w:val="es-MX" w:eastAsia="en-US"/>
        </w:rPr>
      </w:pPr>
      <w:r w:rsidRPr="00BC16BD">
        <w:rPr>
          <w:rFonts w:ascii="Palatino Linotype" w:eastAsia="Calibri" w:hAnsi="Palatino Linotype"/>
          <w:i/>
          <w:lang w:val="es-MX" w:eastAsia="en-US"/>
        </w:rPr>
        <w:t>Convenio para la recaudación del Derecho de Alumbrado Público (DAP), entre la CFE y el Municipio, correspondiente a los años 2018, 2019, 2020 y 2021;</w:t>
      </w:r>
    </w:p>
    <w:p w14:paraId="3C3E3186" w14:textId="77777777" w:rsidR="00A65237" w:rsidRPr="00BC16BD" w:rsidRDefault="00A65237" w:rsidP="00BC16BD">
      <w:pPr>
        <w:numPr>
          <w:ilvl w:val="0"/>
          <w:numId w:val="39"/>
        </w:numPr>
        <w:spacing w:after="160" w:line="360" w:lineRule="auto"/>
        <w:contextualSpacing/>
        <w:rPr>
          <w:rFonts w:ascii="Palatino Linotype" w:eastAsia="Calibri" w:hAnsi="Palatino Linotype"/>
          <w:i/>
          <w:lang w:val="es-MX" w:eastAsia="en-US"/>
        </w:rPr>
      </w:pPr>
      <w:r w:rsidRPr="00BC16BD">
        <w:rPr>
          <w:rFonts w:ascii="Palatino Linotype" w:eastAsia="Calibri" w:hAnsi="Palatino Linotype"/>
          <w:i/>
          <w:lang w:val="es-MX" w:eastAsia="en-US"/>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38FEB646"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2152"/>
        <w:gridCol w:w="2153"/>
        <w:gridCol w:w="2153"/>
      </w:tblGrid>
      <w:tr w:rsidR="00A65237" w:rsidRPr="00B6182F" w14:paraId="00E30575" w14:textId="77777777" w:rsidTr="00B6182F">
        <w:trPr>
          <w:trHeight w:val="422"/>
          <w:jc w:val="center"/>
        </w:trPr>
        <w:tc>
          <w:tcPr>
            <w:tcW w:w="2152" w:type="dxa"/>
            <w:vAlign w:val="center"/>
          </w:tcPr>
          <w:p w14:paraId="1EA3780B" w14:textId="77777777" w:rsidR="00A65237" w:rsidRPr="00B6182F" w:rsidRDefault="00A65237" w:rsidP="00B6182F">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2018</w:t>
            </w:r>
          </w:p>
        </w:tc>
        <w:tc>
          <w:tcPr>
            <w:tcW w:w="2153" w:type="dxa"/>
            <w:vAlign w:val="center"/>
          </w:tcPr>
          <w:p w14:paraId="004104F5"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Facturación alumbrado público</w:t>
            </w:r>
          </w:p>
        </w:tc>
        <w:tc>
          <w:tcPr>
            <w:tcW w:w="2153" w:type="dxa"/>
            <w:vAlign w:val="center"/>
          </w:tcPr>
          <w:p w14:paraId="5967DF0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DAP</w:t>
            </w:r>
          </w:p>
        </w:tc>
      </w:tr>
      <w:tr w:rsidR="00A65237" w:rsidRPr="00B6182F" w14:paraId="52427856" w14:textId="77777777" w:rsidTr="00B6182F">
        <w:trPr>
          <w:trHeight w:val="400"/>
          <w:jc w:val="center"/>
        </w:trPr>
        <w:tc>
          <w:tcPr>
            <w:tcW w:w="2152" w:type="dxa"/>
            <w:vAlign w:val="center"/>
          </w:tcPr>
          <w:p w14:paraId="2054FE12"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Enero</w:t>
            </w:r>
          </w:p>
        </w:tc>
        <w:tc>
          <w:tcPr>
            <w:tcW w:w="2153" w:type="dxa"/>
            <w:vAlign w:val="center"/>
          </w:tcPr>
          <w:p w14:paraId="77A3C497"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60B9C835"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03DDD146" w14:textId="77777777" w:rsidTr="00B6182F">
        <w:trPr>
          <w:trHeight w:val="422"/>
          <w:jc w:val="center"/>
        </w:trPr>
        <w:tc>
          <w:tcPr>
            <w:tcW w:w="2152" w:type="dxa"/>
            <w:vAlign w:val="center"/>
          </w:tcPr>
          <w:p w14:paraId="5B0F6856"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Febrero</w:t>
            </w:r>
          </w:p>
        </w:tc>
        <w:tc>
          <w:tcPr>
            <w:tcW w:w="2153" w:type="dxa"/>
            <w:vAlign w:val="center"/>
          </w:tcPr>
          <w:p w14:paraId="79229710"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3F0A2943"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5CF4CAF9" w14:textId="77777777" w:rsidTr="00B6182F">
        <w:trPr>
          <w:trHeight w:val="400"/>
          <w:jc w:val="center"/>
        </w:trPr>
        <w:tc>
          <w:tcPr>
            <w:tcW w:w="2152" w:type="dxa"/>
            <w:vAlign w:val="center"/>
          </w:tcPr>
          <w:p w14:paraId="6FB22D6A"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Marzo</w:t>
            </w:r>
          </w:p>
        </w:tc>
        <w:tc>
          <w:tcPr>
            <w:tcW w:w="2153" w:type="dxa"/>
            <w:vAlign w:val="center"/>
          </w:tcPr>
          <w:p w14:paraId="2185242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0BC9EF7A"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10DA4F6E" w14:textId="77777777" w:rsidTr="00B6182F">
        <w:trPr>
          <w:trHeight w:val="422"/>
          <w:jc w:val="center"/>
        </w:trPr>
        <w:tc>
          <w:tcPr>
            <w:tcW w:w="2152" w:type="dxa"/>
            <w:vAlign w:val="center"/>
          </w:tcPr>
          <w:p w14:paraId="361BA06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Abril</w:t>
            </w:r>
          </w:p>
        </w:tc>
        <w:tc>
          <w:tcPr>
            <w:tcW w:w="2153" w:type="dxa"/>
            <w:vAlign w:val="center"/>
          </w:tcPr>
          <w:p w14:paraId="5CE46E9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4274AB3E"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30E72B08" w14:textId="77777777" w:rsidTr="00B6182F">
        <w:trPr>
          <w:trHeight w:val="400"/>
          <w:jc w:val="center"/>
        </w:trPr>
        <w:tc>
          <w:tcPr>
            <w:tcW w:w="2152" w:type="dxa"/>
            <w:vAlign w:val="center"/>
          </w:tcPr>
          <w:p w14:paraId="2225E3A3"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Mayo</w:t>
            </w:r>
          </w:p>
        </w:tc>
        <w:tc>
          <w:tcPr>
            <w:tcW w:w="2153" w:type="dxa"/>
            <w:vAlign w:val="center"/>
          </w:tcPr>
          <w:p w14:paraId="229AB24B"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23B6A510"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30E71F5D" w14:textId="77777777" w:rsidTr="00B6182F">
        <w:trPr>
          <w:trHeight w:val="422"/>
          <w:jc w:val="center"/>
        </w:trPr>
        <w:tc>
          <w:tcPr>
            <w:tcW w:w="2152" w:type="dxa"/>
            <w:vAlign w:val="center"/>
          </w:tcPr>
          <w:p w14:paraId="2F6AB20A"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Junio</w:t>
            </w:r>
          </w:p>
        </w:tc>
        <w:tc>
          <w:tcPr>
            <w:tcW w:w="2153" w:type="dxa"/>
            <w:vAlign w:val="center"/>
          </w:tcPr>
          <w:p w14:paraId="2B3D0532"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5EFD27A7"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4054F29D" w14:textId="77777777" w:rsidTr="00B6182F">
        <w:trPr>
          <w:trHeight w:val="400"/>
          <w:jc w:val="center"/>
        </w:trPr>
        <w:tc>
          <w:tcPr>
            <w:tcW w:w="2152" w:type="dxa"/>
            <w:vAlign w:val="center"/>
          </w:tcPr>
          <w:p w14:paraId="2DAB09A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Julio</w:t>
            </w:r>
          </w:p>
        </w:tc>
        <w:tc>
          <w:tcPr>
            <w:tcW w:w="2153" w:type="dxa"/>
            <w:vAlign w:val="center"/>
          </w:tcPr>
          <w:p w14:paraId="159D2CF9"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49D30AD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176A919C" w14:textId="77777777" w:rsidTr="00B6182F">
        <w:trPr>
          <w:trHeight w:val="422"/>
          <w:jc w:val="center"/>
        </w:trPr>
        <w:tc>
          <w:tcPr>
            <w:tcW w:w="2152" w:type="dxa"/>
            <w:vAlign w:val="center"/>
          </w:tcPr>
          <w:p w14:paraId="15EC569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Agosto</w:t>
            </w:r>
          </w:p>
        </w:tc>
        <w:tc>
          <w:tcPr>
            <w:tcW w:w="2153" w:type="dxa"/>
            <w:vAlign w:val="center"/>
          </w:tcPr>
          <w:p w14:paraId="26C1B0E0"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6FAB3DB1"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1F009187" w14:textId="77777777" w:rsidTr="00B6182F">
        <w:trPr>
          <w:trHeight w:val="422"/>
          <w:jc w:val="center"/>
        </w:trPr>
        <w:tc>
          <w:tcPr>
            <w:tcW w:w="2152" w:type="dxa"/>
            <w:vAlign w:val="center"/>
          </w:tcPr>
          <w:p w14:paraId="6E60CD22"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Septiembre</w:t>
            </w:r>
          </w:p>
        </w:tc>
        <w:tc>
          <w:tcPr>
            <w:tcW w:w="2153" w:type="dxa"/>
            <w:vAlign w:val="center"/>
          </w:tcPr>
          <w:p w14:paraId="12AA8BCA"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33C1705E"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67135908" w14:textId="77777777" w:rsidTr="00B6182F">
        <w:trPr>
          <w:trHeight w:val="400"/>
          <w:jc w:val="center"/>
        </w:trPr>
        <w:tc>
          <w:tcPr>
            <w:tcW w:w="2152" w:type="dxa"/>
            <w:vAlign w:val="center"/>
          </w:tcPr>
          <w:p w14:paraId="73DBB78A"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Octubre</w:t>
            </w:r>
          </w:p>
        </w:tc>
        <w:tc>
          <w:tcPr>
            <w:tcW w:w="2153" w:type="dxa"/>
            <w:vAlign w:val="center"/>
          </w:tcPr>
          <w:p w14:paraId="4F1D1E9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2B2C8C69"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58589B8E" w14:textId="77777777" w:rsidTr="00B6182F">
        <w:trPr>
          <w:trHeight w:val="422"/>
          <w:jc w:val="center"/>
        </w:trPr>
        <w:tc>
          <w:tcPr>
            <w:tcW w:w="2152" w:type="dxa"/>
            <w:vAlign w:val="center"/>
          </w:tcPr>
          <w:p w14:paraId="6C4B6D48"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Noviembre</w:t>
            </w:r>
          </w:p>
        </w:tc>
        <w:tc>
          <w:tcPr>
            <w:tcW w:w="2153" w:type="dxa"/>
            <w:vAlign w:val="center"/>
          </w:tcPr>
          <w:p w14:paraId="24AC5A25"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030B0201"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5BA825D0" w14:textId="77777777" w:rsidTr="00B6182F">
        <w:trPr>
          <w:trHeight w:val="400"/>
          <w:jc w:val="center"/>
        </w:trPr>
        <w:tc>
          <w:tcPr>
            <w:tcW w:w="2152" w:type="dxa"/>
            <w:vAlign w:val="center"/>
          </w:tcPr>
          <w:p w14:paraId="5A548375"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Diciembre</w:t>
            </w:r>
          </w:p>
        </w:tc>
        <w:tc>
          <w:tcPr>
            <w:tcW w:w="2153" w:type="dxa"/>
            <w:vAlign w:val="center"/>
          </w:tcPr>
          <w:p w14:paraId="77440D6C"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08C3D3FC"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bl>
    <w:p w14:paraId="5CBF9066"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2207"/>
        <w:gridCol w:w="2208"/>
        <w:gridCol w:w="2208"/>
      </w:tblGrid>
      <w:tr w:rsidR="00A65237" w:rsidRPr="00B6182F" w14:paraId="05AB56D5" w14:textId="77777777" w:rsidTr="00B6182F">
        <w:trPr>
          <w:trHeight w:val="702"/>
          <w:jc w:val="center"/>
        </w:trPr>
        <w:tc>
          <w:tcPr>
            <w:tcW w:w="2207" w:type="dxa"/>
            <w:vAlign w:val="center"/>
          </w:tcPr>
          <w:p w14:paraId="3C139237"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lastRenderedPageBreak/>
              <w:t>2019</w:t>
            </w:r>
          </w:p>
        </w:tc>
        <w:tc>
          <w:tcPr>
            <w:tcW w:w="2208" w:type="dxa"/>
            <w:vAlign w:val="center"/>
          </w:tcPr>
          <w:p w14:paraId="55DD16CE"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Facturación alumbrado público</w:t>
            </w:r>
          </w:p>
        </w:tc>
        <w:tc>
          <w:tcPr>
            <w:tcW w:w="2208" w:type="dxa"/>
            <w:vAlign w:val="center"/>
          </w:tcPr>
          <w:p w14:paraId="1DC0B9F9"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DAP</w:t>
            </w:r>
          </w:p>
        </w:tc>
      </w:tr>
      <w:tr w:rsidR="00A65237" w:rsidRPr="00B6182F" w14:paraId="77159F0C" w14:textId="77777777" w:rsidTr="00B6182F">
        <w:trPr>
          <w:trHeight w:val="351"/>
          <w:jc w:val="center"/>
        </w:trPr>
        <w:tc>
          <w:tcPr>
            <w:tcW w:w="2207" w:type="dxa"/>
            <w:vAlign w:val="center"/>
          </w:tcPr>
          <w:p w14:paraId="192EE6E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Enero</w:t>
            </w:r>
          </w:p>
        </w:tc>
        <w:tc>
          <w:tcPr>
            <w:tcW w:w="2208" w:type="dxa"/>
            <w:vAlign w:val="center"/>
          </w:tcPr>
          <w:p w14:paraId="375CBDE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7BEE112B"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0836E5D" w14:textId="77777777" w:rsidTr="00B6182F">
        <w:trPr>
          <w:trHeight w:val="362"/>
          <w:jc w:val="center"/>
        </w:trPr>
        <w:tc>
          <w:tcPr>
            <w:tcW w:w="2207" w:type="dxa"/>
            <w:vAlign w:val="center"/>
          </w:tcPr>
          <w:p w14:paraId="13837617"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Febrero</w:t>
            </w:r>
          </w:p>
        </w:tc>
        <w:tc>
          <w:tcPr>
            <w:tcW w:w="2208" w:type="dxa"/>
            <w:vAlign w:val="center"/>
          </w:tcPr>
          <w:p w14:paraId="3556050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400BD1FB"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F4E5A64" w14:textId="77777777" w:rsidTr="00B6182F">
        <w:trPr>
          <w:trHeight w:val="351"/>
          <w:jc w:val="center"/>
        </w:trPr>
        <w:tc>
          <w:tcPr>
            <w:tcW w:w="2207" w:type="dxa"/>
            <w:vAlign w:val="center"/>
          </w:tcPr>
          <w:p w14:paraId="6D2DBA01"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Marzo</w:t>
            </w:r>
          </w:p>
        </w:tc>
        <w:tc>
          <w:tcPr>
            <w:tcW w:w="2208" w:type="dxa"/>
            <w:vAlign w:val="center"/>
          </w:tcPr>
          <w:p w14:paraId="0E459880"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1EF81BC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7A1DF35" w14:textId="77777777" w:rsidTr="00B6182F">
        <w:trPr>
          <w:trHeight w:val="351"/>
          <w:jc w:val="center"/>
        </w:trPr>
        <w:tc>
          <w:tcPr>
            <w:tcW w:w="2207" w:type="dxa"/>
            <w:vAlign w:val="center"/>
          </w:tcPr>
          <w:p w14:paraId="6BEE7189"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Abril</w:t>
            </w:r>
          </w:p>
        </w:tc>
        <w:tc>
          <w:tcPr>
            <w:tcW w:w="2208" w:type="dxa"/>
            <w:vAlign w:val="center"/>
          </w:tcPr>
          <w:p w14:paraId="3586925A"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06A94AA9"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3C889F28" w14:textId="77777777" w:rsidTr="00B6182F">
        <w:trPr>
          <w:trHeight w:val="351"/>
          <w:jc w:val="center"/>
        </w:trPr>
        <w:tc>
          <w:tcPr>
            <w:tcW w:w="2207" w:type="dxa"/>
            <w:vAlign w:val="center"/>
          </w:tcPr>
          <w:p w14:paraId="07FCB55F"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Mayo</w:t>
            </w:r>
          </w:p>
        </w:tc>
        <w:tc>
          <w:tcPr>
            <w:tcW w:w="2208" w:type="dxa"/>
            <w:vAlign w:val="center"/>
          </w:tcPr>
          <w:p w14:paraId="04C6AB12"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549D95C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71194C1" w14:textId="77777777" w:rsidTr="00B6182F">
        <w:trPr>
          <w:trHeight w:val="351"/>
          <w:jc w:val="center"/>
        </w:trPr>
        <w:tc>
          <w:tcPr>
            <w:tcW w:w="2207" w:type="dxa"/>
            <w:vAlign w:val="center"/>
          </w:tcPr>
          <w:p w14:paraId="604E9885"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Junio</w:t>
            </w:r>
          </w:p>
        </w:tc>
        <w:tc>
          <w:tcPr>
            <w:tcW w:w="2208" w:type="dxa"/>
            <w:vAlign w:val="center"/>
          </w:tcPr>
          <w:p w14:paraId="423E2219"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64AEF59E"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481921F" w14:textId="77777777" w:rsidTr="00B6182F">
        <w:trPr>
          <w:trHeight w:val="351"/>
          <w:jc w:val="center"/>
        </w:trPr>
        <w:tc>
          <w:tcPr>
            <w:tcW w:w="2207" w:type="dxa"/>
            <w:vAlign w:val="center"/>
          </w:tcPr>
          <w:p w14:paraId="6884683C"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Julio</w:t>
            </w:r>
          </w:p>
        </w:tc>
        <w:tc>
          <w:tcPr>
            <w:tcW w:w="2208" w:type="dxa"/>
            <w:vAlign w:val="center"/>
          </w:tcPr>
          <w:p w14:paraId="3A9FA182"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1903DEA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6FD3D306" w14:textId="77777777" w:rsidTr="00B6182F">
        <w:trPr>
          <w:trHeight w:val="351"/>
          <w:jc w:val="center"/>
        </w:trPr>
        <w:tc>
          <w:tcPr>
            <w:tcW w:w="2207" w:type="dxa"/>
            <w:vAlign w:val="center"/>
          </w:tcPr>
          <w:p w14:paraId="39CF86DB"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Agosto</w:t>
            </w:r>
          </w:p>
        </w:tc>
        <w:tc>
          <w:tcPr>
            <w:tcW w:w="2208" w:type="dxa"/>
            <w:vAlign w:val="center"/>
          </w:tcPr>
          <w:p w14:paraId="69753FF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5224FB91"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7CB598BC" w14:textId="77777777" w:rsidTr="00B6182F">
        <w:trPr>
          <w:trHeight w:val="351"/>
          <w:jc w:val="center"/>
        </w:trPr>
        <w:tc>
          <w:tcPr>
            <w:tcW w:w="2207" w:type="dxa"/>
            <w:vAlign w:val="center"/>
          </w:tcPr>
          <w:p w14:paraId="2C5375DB"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Septiembre</w:t>
            </w:r>
          </w:p>
        </w:tc>
        <w:tc>
          <w:tcPr>
            <w:tcW w:w="2208" w:type="dxa"/>
            <w:vAlign w:val="center"/>
          </w:tcPr>
          <w:p w14:paraId="18DD22F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7692E705"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03D964FE" w14:textId="77777777" w:rsidTr="00B6182F">
        <w:trPr>
          <w:trHeight w:val="351"/>
          <w:jc w:val="center"/>
        </w:trPr>
        <w:tc>
          <w:tcPr>
            <w:tcW w:w="2207" w:type="dxa"/>
            <w:vAlign w:val="center"/>
          </w:tcPr>
          <w:p w14:paraId="5DB1501E"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Octubre</w:t>
            </w:r>
          </w:p>
        </w:tc>
        <w:tc>
          <w:tcPr>
            <w:tcW w:w="2208" w:type="dxa"/>
            <w:vAlign w:val="center"/>
          </w:tcPr>
          <w:p w14:paraId="765B776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2E0152F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F2F9FB7" w14:textId="77777777" w:rsidTr="00B6182F">
        <w:trPr>
          <w:trHeight w:val="351"/>
          <w:jc w:val="center"/>
        </w:trPr>
        <w:tc>
          <w:tcPr>
            <w:tcW w:w="2207" w:type="dxa"/>
            <w:vAlign w:val="center"/>
          </w:tcPr>
          <w:p w14:paraId="460416C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Noviembre</w:t>
            </w:r>
          </w:p>
        </w:tc>
        <w:tc>
          <w:tcPr>
            <w:tcW w:w="2208" w:type="dxa"/>
            <w:vAlign w:val="center"/>
          </w:tcPr>
          <w:p w14:paraId="25EA941B"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3340920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BD17807" w14:textId="77777777" w:rsidTr="00B6182F">
        <w:trPr>
          <w:trHeight w:val="351"/>
          <w:jc w:val="center"/>
        </w:trPr>
        <w:tc>
          <w:tcPr>
            <w:tcW w:w="2207" w:type="dxa"/>
            <w:vAlign w:val="center"/>
          </w:tcPr>
          <w:p w14:paraId="710F02A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Diciembre</w:t>
            </w:r>
          </w:p>
        </w:tc>
        <w:tc>
          <w:tcPr>
            <w:tcW w:w="2208" w:type="dxa"/>
            <w:vAlign w:val="center"/>
          </w:tcPr>
          <w:p w14:paraId="67E58BF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6C37980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bl>
    <w:p w14:paraId="59E19AE0" w14:textId="046A9E10" w:rsidR="00A65237" w:rsidRPr="00BC16BD" w:rsidRDefault="00A65237" w:rsidP="00BC16BD">
      <w:pPr>
        <w:spacing w:after="160" w:line="360" w:lineRule="auto"/>
        <w:rPr>
          <w:rFonts w:ascii="Palatino Linotype" w:eastAsia="Calibri" w:hAnsi="Palatino Linotype"/>
          <w:i/>
          <w:lang w:val="es-MX" w:eastAsia="en-US"/>
        </w:rPr>
      </w:pPr>
    </w:p>
    <w:p w14:paraId="3EFF63E2"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1932"/>
        <w:gridCol w:w="1933"/>
        <w:gridCol w:w="1933"/>
      </w:tblGrid>
      <w:tr w:rsidR="00A65237" w:rsidRPr="00B6182F" w14:paraId="059B6972" w14:textId="77777777" w:rsidTr="00B6182F">
        <w:trPr>
          <w:trHeight w:val="454"/>
          <w:jc w:val="center"/>
        </w:trPr>
        <w:tc>
          <w:tcPr>
            <w:tcW w:w="1932" w:type="dxa"/>
            <w:vAlign w:val="center"/>
          </w:tcPr>
          <w:p w14:paraId="66A7AD24"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2020</w:t>
            </w:r>
          </w:p>
        </w:tc>
        <w:tc>
          <w:tcPr>
            <w:tcW w:w="1933" w:type="dxa"/>
            <w:vAlign w:val="center"/>
          </w:tcPr>
          <w:p w14:paraId="49AA2854"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Facturación alumbrado público</w:t>
            </w:r>
          </w:p>
        </w:tc>
        <w:tc>
          <w:tcPr>
            <w:tcW w:w="1933" w:type="dxa"/>
            <w:vAlign w:val="center"/>
          </w:tcPr>
          <w:p w14:paraId="1FD9E7B9"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DAP</w:t>
            </w:r>
          </w:p>
        </w:tc>
      </w:tr>
      <w:tr w:rsidR="00A65237" w:rsidRPr="00B6182F" w14:paraId="0CB5B006" w14:textId="77777777" w:rsidTr="00B6182F">
        <w:trPr>
          <w:trHeight w:val="454"/>
          <w:jc w:val="center"/>
        </w:trPr>
        <w:tc>
          <w:tcPr>
            <w:tcW w:w="1932" w:type="dxa"/>
            <w:vAlign w:val="center"/>
          </w:tcPr>
          <w:p w14:paraId="3628E799"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Enero</w:t>
            </w:r>
          </w:p>
        </w:tc>
        <w:tc>
          <w:tcPr>
            <w:tcW w:w="1933" w:type="dxa"/>
            <w:vAlign w:val="center"/>
          </w:tcPr>
          <w:p w14:paraId="5A49A05D"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5599EA13"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41904F92" w14:textId="77777777" w:rsidTr="00B6182F">
        <w:trPr>
          <w:trHeight w:val="454"/>
          <w:jc w:val="center"/>
        </w:trPr>
        <w:tc>
          <w:tcPr>
            <w:tcW w:w="1932" w:type="dxa"/>
            <w:vAlign w:val="center"/>
          </w:tcPr>
          <w:p w14:paraId="312E96D8"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Febrero</w:t>
            </w:r>
          </w:p>
        </w:tc>
        <w:tc>
          <w:tcPr>
            <w:tcW w:w="1933" w:type="dxa"/>
            <w:vAlign w:val="center"/>
          </w:tcPr>
          <w:p w14:paraId="635DACF1"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1BC0768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160332A8" w14:textId="77777777" w:rsidTr="00B6182F">
        <w:trPr>
          <w:trHeight w:val="454"/>
          <w:jc w:val="center"/>
        </w:trPr>
        <w:tc>
          <w:tcPr>
            <w:tcW w:w="1932" w:type="dxa"/>
            <w:vAlign w:val="center"/>
          </w:tcPr>
          <w:p w14:paraId="584959CC"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Marzo</w:t>
            </w:r>
          </w:p>
        </w:tc>
        <w:tc>
          <w:tcPr>
            <w:tcW w:w="1933" w:type="dxa"/>
            <w:vAlign w:val="center"/>
          </w:tcPr>
          <w:p w14:paraId="1106C513"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4BC314D6"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25F59879" w14:textId="77777777" w:rsidTr="00B6182F">
        <w:trPr>
          <w:trHeight w:val="454"/>
          <w:jc w:val="center"/>
        </w:trPr>
        <w:tc>
          <w:tcPr>
            <w:tcW w:w="1932" w:type="dxa"/>
            <w:vAlign w:val="center"/>
          </w:tcPr>
          <w:p w14:paraId="13BB1380"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Abril</w:t>
            </w:r>
          </w:p>
        </w:tc>
        <w:tc>
          <w:tcPr>
            <w:tcW w:w="1933" w:type="dxa"/>
            <w:vAlign w:val="center"/>
          </w:tcPr>
          <w:p w14:paraId="0AE7DF6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7C7169D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72DF36D7" w14:textId="77777777" w:rsidTr="00B6182F">
        <w:trPr>
          <w:trHeight w:val="454"/>
          <w:jc w:val="center"/>
        </w:trPr>
        <w:tc>
          <w:tcPr>
            <w:tcW w:w="1932" w:type="dxa"/>
            <w:vAlign w:val="center"/>
          </w:tcPr>
          <w:p w14:paraId="59E7251C"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Mayo</w:t>
            </w:r>
          </w:p>
        </w:tc>
        <w:tc>
          <w:tcPr>
            <w:tcW w:w="1933" w:type="dxa"/>
            <w:vAlign w:val="center"/>
          </w:tcPr>
          <w:p w14:paraId="1387842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50E4C17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1B2C460D" w14:textId="77777777" w:rsidTr="00B6182F">
        <w:trPr>
          <w:trHeight w:val="435"/>
          <w:jc w:val="center"/>
        </w:trPr>
        <w:tc>
          <w:tcPr>
            <w:tcW w:w="1932" w:type="dxa"/>
            <w:vAlign w:val="center"/>
          </w:tcPr>
          <w:p w14:paraId="7847C7EB"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Junio</w:t>
            </w:r>
          </w:p>
        </w:tc>
        <w:tc>
          <w:tcPr>
            <w:tcW w:w="1933" w:type="dxa"/>
            <w:vAlign w:val="center"/>
          </w:tcPr>
          <w:p w14:paraId="74CD7F46"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0A9898D8"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2FD14C15" w14:textId="77777777" w:rsidTr="00B6182F">
        <w:trPr>
          <w:trHeight w:val="454"/>
          <w:jc w:val="center"/>
        </w:trPr>
        <w:tc>
          <w:tcPr>
            <w:tcW w:w="1932" w:type="dxa"/>
            <w:vAlign w:val="center"/>
          </w:tcPr>
          <w:p w14:paraId="0C882150"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Julio</w:t>
            </w:r>
          </w:p>
        </w:tc>
        <w:tc>
          <w:tcPr>
            <w:tcW w:w="1933" w:type="dxa"/>
            <w:vAlign w:val="center"/>
          </w:tcPr>
          <w:p w14:paraId="5D72C391"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16C572C9"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738CC821" w14:textId="77777777" w:rsidTr="00B6182F">
        <w:trPr>
          <w:trHeight w:val="454"/>
          <w:jc w:val="center"/>
        </w:trPr>
        <w:tc>
          <w:tcPr>
            <w:tcW w:w="1932" w:type="dxa"/>
            <w:vAlign w:val="center"/>
          </w:tcPr>
          <w:p w14:paraId="0B608AEA"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Agosto</w:t>
            </w:r>
          </w:p>
        </w:tc>
        <w:tc>
          <w:tcPr>
            <w:tcW w:w="1933" w:type="dxa"/>
            <w:vAlign w:val="center"/>
          </w:tcPr>
          <w:p w14:paraId="11BDD8D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3B34CC4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1CDE61F9" w14:textId="77777777" w:rsidTr="00B6182F">
        <w:trPr>
          <w:trHeight w:val="454"/>
          <w:jc w:val="center"/>
        </w:trPr>
        <w:tc>
          <w:tcPr>
            <w:tcW w:w="1932" w:type="dxa"/>
            <w:vAlign w:val="center"/>
          </w:tcPr>
          <w:p w14:paraId="7AE6971E"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Septiembre</w:t>
            </w:r>
          </w:p>
        </w:tc>
        <w:tc>
          <w:tcPr>
            <w:tcW w:w="1933" w:type="dxa"/>
            <w:vAlign w:val="center"/>
          </w:tcPr>
          <w:p w14:paraId="7B4040EC"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6B0794A5"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4CEA2B5D" w14:textId="77777777" w:rsidTr="00B6182F">
        <w:trPr>
          <w:trHeight w:val="454"/>
          <w:jc w:val="center"/>
        </w:trPr>
        <w:tc>
          <w:tcPr>
            <w:tcW w:w="1932" w:type="dxa"/>
            <w:vAlign w:val="center"/>
          </w:tcPr>
          <w:p w14:paraId="1A6153D1"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Octubre</w:t>
            </w:r>
          </w:p>
        </w:tc>
        <w:tc>
          <w:tcPr>
            <w:tcW w:w="1933" w:type="dxa"/>
            <w:vAlign w:val="center"/>
          </w:tcPr>
          <w:p w14:paraId="22D941E8"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03C237F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28E27AA3" w14:textId="77777777" w:rsidTr="00B6182F">
        <w:trPr>
          <w:trHeight w:val="454"/>
          <w:jc w:val="center"/>
        </w:trPr>
        <w:tc>
          <w:tcPr>
            <w:tcW w:w="1932" w:type="dxa"/>
            <w:vAlign w:val="center"/>
          </w:tcPr>
          <w:p w14:paraId="4E8E7BCE"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Noviembre</w:t>
            </w:r>
          </w:p>
        </w:tc>
        <w:tc>
          <w:tcPr>
            <w:tcW w:w="1933" w:type="dxa"/>
            <w:vAlign w:val="center"/>
          </w:tcPr>
          <w:p w14:paraId="4B3072B0"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1CACB683"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3D950ED9" w14:textId="77777777" w:rsidTr="00B6182F">
        <w:trPr>
          <w:trHeight w:val="435"/>
          <w:jc w:val="center"/>
        </w:trPr>
        <w:tc>
          <w:tcPr>
            <w:tcW w:w="1932" w:type="dxa"/>
            <w:vAlign w:val="center"/>
          </w:tcPr>
          <w:p w14:paraId="138777CA"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lastRenderedPageBreak/>
              <w:t>Diciembre</w:t>
            </w:r>
          </w:p>
        </w:tc>
        <w:tc>
          <w:tcPr>
            <w:tcW w:w="1933" w:type="dxa"/>
            <w:vAlign w:val="center"/>
          </w:tcPr>
          <w:p w14:paraId="4F0B392E"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7C9D6769"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bl>
    <w:p w14:paraId="1A675D4C"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1968"/>
        <w:gridCol w:w="1968"/>
        <w:gridCol w:w="1968"/>
      </w:tblGrid>
      <w:tr w:rsidR="00A65237" w:rsidRPr="00B6182F" w14:paraId="463547FE" w14:textId="77777777" w:rsidTr="00B6182F">
        <w:trPr>
          <w:trHeight w:val="702"/>
          <w:jc w:val="center"/>
        </w:trPr>
        <w:tc>
          <w:tcPr>
            <w:tcW w:w="1968" w:type="dxa"/>
            <w:vAlign w:val="center"/>
          </w:tcPr>
          <w:p w14:paraId="0A72E482"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2021</w:t>
            </w:r>
          </w:p>
        </w:tc>
        <w:tc>
          <w:tcPr>
            <w:tcW w:w="1968" w:type="dxa"/>
            <w:vAlign w:val="center"/>
          </w:tcPr>
          <w:p w14:paraId="74B51608"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Facturación alumbrado público</w:t>
            </w:r>
          </w:p>
        </w:tc>
        <w:tc>
          <w:tcPr>
            <w:tcW w:w="1968" w:type="dxa"/>
            <w:vAlign w:val="center"/>
          </w:tcPr>
          <w:p w14:paraId="621B23B2"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DAP</w:t>
            </w:r>
          </w:p>
        </w:tc>
      </w:tr>
      <w:tr w:rsidR="00A65237" w:rsidRPr="00B6182F" w14:paraId="062033AD" w14:textId="77777777" w:rsidTr="00B6182F">
        <w:trPr>
          <w:trHeight w:val="351"/>
          <w:jc w:val="center"/>
        </w:trPr>
        <w:tc>
          <w:tcPr>
            <w:tcW w:w="1968" w:type="dxa"/>
            <w:vAlign w:val="center"/>
          </w:tcPr>
          <w:p w14:paraId="0517BD6F"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Enero</w:t>
            </w:r>
          </w:p>
        </w:tc>
        <w:tc>
          <w:tcPr>
            <w:tcW w:w="1968" w:type="dxa"/>
            <w:vAlign w:val="center"/>
          </w:tcPr>
          <w:p w14:paraId="7ACAFCD9"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58531381"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5511F640" w14:textId="77777777" w:rsidTr="00B6182F">
        <w:trPr>
          <w:trHeight w:val="362"/>
          <w:jc w:val="center"/>
        </w:trPr>
        <w:tc>
          <w:tcPr>
            <w:tcW w:w="1968" w:type="dxa"/>
            <w:vAlign w:val="center"/>
          </w:tcPr>
          <w:p w14:paraId="1C6B385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Febrero</w:t>
            </w:r>
          </w:p>
        </w:tc>
        <w:tc>
          <w:tcPr>
            <w:tcW w:w="1968" w:type="dxa"/>
            <w:vAlign w:val="center"/>
          </w:tcPr>
          <w:p w14:paraId="585CEF7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005B993A"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7812C4C3" w14:textId="77777777" w:rsidTr="00B6182F">
        <w:trPr>
          <w:trHeight w:val="351"/>
          <w:jc w:val="center"/>
        </w:trPr>
        <w:tc>
          <w:tcPr>
            <w:tcW w:w="1968" w:type="dxa"/>
            <w:vAlign w:val="center"/>
          </w:tcPr>
          <w:p w14:paraId="2D20C739"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Marzo</w:t>
            </w:r>
          </w:p>
        </w:tc>
        <w:tc>
          <w:tcPr>
            <w:tcW w:w="1968" w:type="dxa"/>
            <w:vAlign w:val="center"/>
          </w:tcPr>
          <w:p w14:paraId="5D87B2FE"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39EA9995"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AB85ECE" w14:textId="77777777" w:rsidTr="00B6182F">
        <w:trPr>
          <w:trHeight w:val="351"/>
          <w:jc w:val="center"/>
        </w:trPr>
        <w:tc>
          <w:tcPr>
            <w:tcW w:w="1968" w:type="dxa"/>
            <w:vAlign w:val="center"/>
          </w:tcPr>
          <w:p w14:paraId="031372AA"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Abril</w:t>
            </w:r>
          </w:p>
        </w:tc>
        <w:tc>
          <w:tcPr>
            <w:tcW w:w="1968" w:type="dxa"/>
            <w:vAlign w:val="center"/>
          </w:tcPr>
          <w:p w14:paraId="1C22A71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78720F0D"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851F422" w14:textId="77777777" w:rsidTr="00B6182F">
        <w:trPr>
          <w:trHeight w:val="351"/>
          <w:jc w:val="center"/>
        </w:trPr>
        <w:tc>
          <w:tcPr>
            <w:tcW w:w="1968" w:type="dxa"/>
            <w:vAlign w:val="center"/>
          </w:tcPr>
          <w:p w14:paraId="1E19F30F"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Mayo</w:t>
            </w:r>
          </w:p>
        </w:tc>
        <w:tc>
          <w:tcPr>
            <w:tcW w:w="1968" w:type="dxa"/>
            <w:vAlign w:val="center"/>
          </w:tcPr>
          <w:p w14:paraId="648E415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406D9DF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19EE8FC2" w14:textId="77777777" w:rsidTr="00B6182F">
        <w:trPr>
          <w:trHeight w:val="351"/>
          <w:jc w:val="center"/>
        </w:trPr>
        <w:tc>
          <w:tcPr>
            <w:tcW w:w="1968" w:type="dxa"/>
            <w:vAlign w:val="center"/>
          </w:tcPr>
          <w:p w14:paraId="0B0F894E"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Junio</w:t>
            </w:r>
          </w:p>
        </w:tc>
        <w:tc>
          <w:tcPr>
            <w:tcW w:w="1968" w:type="dxa"/>
            <w:vAlign w:val="center"/>
          </w:tcPr>
          <w:p w14:paraId="6E133DB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7333812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1E75973A" w14:textId="77777777" w:rsidTr="00B6182F">
        <w:trPr>
          <w:trHeight w:val="351"/>
          <w:jc w:val="center"/>
        </w:trPr>
        <w:tc>
          <w:tcPr>
            <w:tcW w:w="1968" w:type="dxa"/>
            <w:vAlign w:val="center"/>
          </w:tcPr>
          <w:p w14:paraId="700DD02D"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Julio</w:t>
            </w:r>
          </w:p>
        </w:tc>
        <w:tc>
          <w:tcPr>
            <w:tcW w:w="1968" w:type="dxa"/>
            <w:vAlign w:val="center"/>
          </w:tcPr>
          <w:p w14:paraId="5CF8523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3D77228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3A1F0B96" w14:textId="77777777" w:rsidTr="00B6182F">
        <w:trPr>
          <w:trHeight w:val="351"/>
          <w:jc w:val="center"/>
        </w:trPr>
        <w:tc>
          <w:tcPr>
            <w:tcW w:w="1968" w:type="dxa"/>
            <w:vAlign w:val="center"/>
          </w:tcPr>
          <w:p w14:paraId="2037464B"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Agosto</w:t>
            </w:r>
          </w:p>
        </w:tc>
        <w:tc>
          <w:tcPr>
            <w:tcW w:w="1968" w:type="dxa"/>
            <w:vAlign w:val="center"/>
          </w:tcPr>
          <w:p w14:paraId="039063E5"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555507F4"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097630C" w14:textId="77777777" w:rsidTr="00B6182F">
        <w:trPr>
          <w:trHeight w:val="351"/>
          <w:jc w:val="center"/>
        </w:trPr>
        <w:tc>
          <w:tcPr>
            <w:tcW w:w="1968" w:type="dxa"/>
            <w:vAlign w:val="center"/>
          </w:tcPr>
          <w:p w14:paraId="540C3B34"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Septiembre</w:t>
            </w:r>
          </w:p>
        </w:tc>
        <w:tc>
          <w:tcPr>
            <w:tcW w:w="1968" w:type="dxa"/>
            <w:vAlign w:val="center"/>
          </w:tcPr>
          <w:p w14:paraId="74481F31"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0DE18AD2"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71139481" w14:textId="77777777" w:rsidTr="00B6182F">
        <w:trPr>
          <w:trHeight w:val="351"/>
          <w:jc w:val="center"/>
        </w:trPr>
        <w:tc>
          <w:tcPr>
            <w:tcW w:w="1968" w:type="dxa"/>
            <w:vAlign w:val="center"/>
          </w:tcPr>
          <w:p w14:paraId="6ABF8525"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Octubre</w:t>
            </w:r>
          </w:p>
        </w:tc>
        <w:tc>
          <w:tcPr>
            <w:tcW w:w="1968" w:type="dxa"/>
            <w:vAlign w:val="center"/>
          </w:tcPr>
          <w:p w14:paraId="5063C8B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1F17DA04"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3F8FCF34" w14:textId="77777777" w:rsidTr="00B6182F">
        <w:trPr>
          <w:trHeight w:val="351"/>
          <w:jc w:val="center"/>
        </w:trPr>
        <w:tc>
          <w:tcPr>
            <w:tcW w:w="1968" w:type="dxa"/>
            <w:vAlign w:val="center"/>
          </w:tcPr>
          <w:p w14:paraId="17351CE4"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Noviembre</w:t>
            </w:r>
          </w:p>
        </w:tc>
        <w:tc>
          <w:tcPr>
            <w:tcW w:w="1968" w:type="dxa"/>
            <w:vAlign w:val="center"/>
          </w:tcPr>
          <w:p w14:paraId="6BA20C6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42C2A063"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5D121CED" w14:textId="77777777" w:rsidTr="00B6182F">
        <w:trPr>
          <w:trHeight w:val="351"/>
          <w:jc w:val="center"/>
        </w:trPr>
        <w:tc>
          <w:tcPr>
            <w:tcW w:w="1968" w:type="dxa"/>
            <w:vAlign w:val="center"/>
          </w:tcPr>
          <w:p w14:paraId="0B0CE48C"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Diciembre</w:t>
            </w:r>
          </w:p>
        </w:tc>
        <w:tc>
          <w:tcPr>
            <w:tcW w:w="1968" w:type="dxa"/>
            <w:vAlign w:val="center"/>
          </w:tcPr>
          <w:p w14:paraId="08A87C7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42BCB900"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bl>
    <w:p w14:paraId="14A29DBA" w14:textId="5D9B25DA" w:rsidR="00A65237" w:rsidRPr="00BC16BD" w:rsidRDefault="00A65237" w:rsidP="00BC16BD">
      <w:pPr>
        <w:spacing w:after="160" w:line="360" w:lineRule="auto"/>
        <w:rPr>
          <w:rFonts w:ascii="Palatino Linotype" w:eastAsia="Calibri" w:hAnsi="Palatino Linotype"/>
          <w:lang w:val="es-MX" w:eastAsia="en-US"/>
        </w:rPr>
      </w:pPr>
      <w:r w:rsidRPr="00BC16BD">
        <w:rPr>
          <w:rFonts w:ascii="Palatino Linotype" w:eastAsia="Calibri" w:hAnsi="Palatino Linotype"/>
          <w:lang w:val="es-MX" w:eastAsia="en-US"/>
        </w:rPr>
        <w:t>“ (Sic)</w:t>
      </w:r>
    </w:p>
    <w:p w14:paraId="73E918B8" w14:textId="60F55BAE" w:rsidR="0042021B" w:rsidRPr="00BC16BD" w:rsidRDefault="00923BD9" w:rsidP="00BC16B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BC16BD">
        <w:rPr>
          <w:rFonts w:ascii="Palatino Linotype" w:hAnsi="Palatino Linotype" w:cs="Arial"/>
        </w:rPr>
        <w:t>Se hace constar que se señaló como modalidad de entrega de la información</w:t>
      </w:r>
      <w:r w:rsidRPr="00BC16BD">
        <w:rPr>
          <w:rFonts w:ascii="Palatino Linotype" w:hAnsi="Palatino Linotype" w:cs="Arial"/>
          <w:b/>
        </w:rPr>
        <w:t>:</w:t>
      </w:r>
      <w:r w:rsidRPr="00BC16BD">
        <w:rPr>
          <w:rFonts w:ascii="Palatino Linotype" w:hAnsi="Palatino Linotype" w:cs="Arial"/>
        </w:rPr>
        <w:t xml:space="preserve"> </w:t>
      </w:r>
      <w:r w:rsidRPr="00BC16BD">
        <w:rPr>
          <w:rFonts w:ascii="Palatino Linotype" w:hAnsi="Palatino Linotype" w:cs="Arial"/>
          <w:b/>
        </w:rPr>
        <w:t>A través del SAIMEX.</w:t>
      </w:r>
    </w:p>
    <w:p w14:paraId="301543D6" w14:textId="77777777" w:rsidR="00923BD9" w:rsidRPr="00BC16BD" w:rsidRDefault="00923BD9" w:rsidP="00BC16B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4830DA54" w:rsidR="002B2B24" w:rsidRPr="00BC16BD" w:rsidRDefault="005B1401" w:rsidP="00BC16B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 veintinueve (29</w:t>
      </w:r>
      <w:r w:rsidR="00BA3CDE" w:rsidRPr="00BC16BD">
        <w:rPr>
          <w:rFonts w:ascii="Palatino Linotype" w:eastAsiaTheme="minorEastAsia" w:hAnsi="Palatino Linotype" w:cstheme="minorBidi"/>
          <w:color w:val="000000" w:themeColor="text1"/>
          <w:lang w:val="es-ES_tradnl"/>
        </w:rPr>
        <w:t>) de</w:t>
      </w:r>
      <w:r>
        <w:rPr>
          <w:rFonts w:ascii="Palatino Linotype" w:eastAsiaTheme="minorEastAsia" w:hAnsi="Palatino Linotype" w:cstheme="minorBidi"/>
          <w:color w:val="000000" w:themeColor="text1"/>
          <w:lang w:val="es-ES_tradnl"/>
        </w:rPr>
        <w:t xml:space="preserve"> noviembre</w:t>
      </w:r>
      <w:r w:rsidR="00A65237" w:rsidRPr="00BC16BD">
        <w:rPr>
          <w:rFonts w:ascii="Palatino Linotype" w:eastAsiaTheme="minorEastAsia" w:hAnsi="Palatino Linotype" w:cstheme="minorBidi"/>
          <w:color w:val="000000" w:themeColor="text1"/>
          <w:lang w:val="es-ES_tradnl"/>
        </w:rPr>
        <w:t xml:space="preserve"> de dos mil veintiuno</w:t>
      </w:r>
      <w:r w:rsidR="00EA0165" w:rsidRPr="00BC16BD">
        <w:rPr>
          <w:rFonts w:ascii="Palatino Linotype" w:eastAsiaTheme="minorEastAsia" w:hAnsi="Palatino Linotype" w:cstheme="minorBidi"/>
          <w:color w:val="000000" w:themeColor="text1"/>
          <w:lang w:val="es-ES_tradnl"/>
        </w:rPr>
        <w:t xml:space="preserve">, el </w:t>
      </w:r>
      <w:r w:rsidR="00EA0165" w:rsidRPr="00BC16BD">
        <w:rPr>
          <w:rFonts w:ascii="Palatino Linotype" w:eastAsiaTheme="minorEastAsia" w:hAnsi="Palatino Linotype" w:cstheme="minorBidi"/>
          <w:b/>
          <w:color w:val="000000" w:themeColor="text1"/>
          <w:lang w:val="es-ES_tradnl"/>
        </w:rPr>
        <w:t>SUJETO OBLIGADO</w:t>
      </w:r>
      <w:r w:rsidR="00EA0165" w:rsidRPr="00BC16BD">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BC16BD" w:rsidRDefault="00D01CEF" w:rsidP="00BC16B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DF614FF" w14:textId="77777777" w:rsidR="005B1401" w:rsidRPr="005B1401" w:rsidRDefault="00EA0165" w:rsidP="005B140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t>“</w:t>
      </w:r>
      <w:r w:rsidR="005B1401" w:rsidRPr="005B1401">
        <w:rPr>
          <w:rFonts w:ascii="Palatino Linotype" w:eastAsiaTheme="minorEastAsia" w:hAnsi="Palatino Linotype" w:cstheme="minorBidi"/>
          <w:i/>
          <w:noProof/>
          <w:color w:val="000000" w:themeColor="text1"/>
          <w:lang w:val="es-MX" w:eastAsia="es-MX"/>
        </w:rPr>
        <w:t>Nextlalpan, México a 29 de Noviembre de 2021</w:t>
      </w:r>
    </w:p>
    <w:p w14:paraId="24903FA6" w14:textId="58249DC5" w:rsidR="005B1401" w:rsidRPr="00137F03" w:rsidRDefault="005B1401" w:rsidP="005B1401">
      <w:pPr>
        <w:spacing w:line="360" w:lineRule="auto"/>
        <w:ind w:left="567" w:right="567"/>
        <w:jc w:val="right"/>
        <w:rPr>
          <w:rFonts w:ascii="Palatino Linotype" w:eastAsiaTheme="minorEastAsia" w:hAnsi="Palatino Linotype" w:cstheme="minorBidi"/>
          <w:i/>
          <w:noProof/>
          <w:color w:val="000000" w:themeColor="text1"/>
          <w:lang w:eastAsia="es-MX"/>
        </w:rPr>
      </w:pPr>
      <w:r w:rsidRPr="005B1401">
        <w:rPr>
          <w:rFonts w:ascii="Palatino Linotype" w:eastAsiaTheme="minorEastAsia" w:hAnsi="Palatino Linotype" w:cstheme="minorBidi"/>
          <w:i/>
          <w:noProof/>
          <w:color w:val="000000" w:themeColor="text1"/>
          <w:lang w:val="es-MX" w:eastAsia="es-MX"/>
        </w:rPr>
        <w:t>Nombre del solicitante:</w:t>
      </w:r>
      <w:r w:rsidR="00137F03" w:rsidRPr="00137F03">
        <w:rPr>
          <w:rFonts w:ascii="Palatino Linotype" w:hAnsi="Palatino Linotype"/>
          <w:b/>
          <w:szCs w:val="22"/>
        </w:rPr>
        <w:t xml:space="preserve"> </w:t>
      </w:r>
      <w:r w:rsidR="00137F03" w:rsidRPr="00137F03">
        <w:rPr>
          <w:rFonts w:ascii="Palatino Linotype" w:eastAsiaTheme="minorEastAsia" w:hAnsi="Palatino Linotype" w:cstheme="minorBidi"/>
          <w:i/>
          <w:noProof/>
          <w:color w:val="000000" w:themeColor="text1"/>
          <w:lang w:eastAsia="es-MX"/>
        </w:rPr>
        <w:t>XXXXXXX XXXX XXXXXXX</w:t>
      </w:r>
    </w:p>
    <w:p w14:paraId="4CE68D69" w14:textId="77777777" w:rsidR="005B1401" w:rsidRDefault="005B1401" w:rsidP="005B140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B1401">
        <w:rPr>
          <w:rFonts w:ascii="Palatino Linotype" w:eastAsiaTheme="minorEastAsia" w:hAnsi="Palatino Linotype" w:cstheme="minorBidi"/>
          <w:i/>
          <w:noProof/>
          <w:color w:val="000000" w:themeColor="text1"/>
          <w:lang w:val="es-MX" w:eastAsia="es-MX"/>
        </w:rPr>
        <w:t>Folio de la solicitud: 00215/NEXTLAL/IP/2021</w:t>
      </w:r>
    </w:p>
    <w:p w14:paraId="7103D190" w14:textId="77777777" w:rsidR="005B1401" w:rsidRPr="005B1401" w:rsidRDefault="005B1401" w:rsidP="005B1401">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3CBC146" w14:textId="77777777" w:rsidR="005B1401" w:rsidRDefault="005B1401" w:rsidP="005B1401">
      <w:pPr>
        <w:spacing w:line="360" w:lineRule="auto"/>
        <w:ind w:left="567" w:right="567"/>
        <w:rPr>
          <w:rFonts w:ascii="Palatino Linotype" w:eastAsiaTheme="minorEastAsia" w:hAnsi="Palatino Linotype" w:cstheme="minorBidi"/>
          <w:i/>
          <w:noProof/>
          <w:color w:val="000000" w:themeColor="text1"/>
          <w:lang w:val="es-MX" w:eastAsia="es-MX"/>
        </w:rPr>
      </w:pPr>
      <w:r w:rsidRPr="005B1401">
        <w:rPr>
          <w:rFonts w:ascii="Palatino Linotype" w:eastAsiaTheme="minorEastAsia" w:hAnsi="Palatino Linotype" w:cstheme="minorBidi"/>
          <w:i/>
          <w:noProof/>
          <w:color w:val="000000" w:themeColor="text1"/>
          <w:lang w:val="es-MX" w:eastAsia="es-MX"/>
        </w:rPr>
        <w:lastRenderedPageBreak/>
        <w:t>por medio del rpresente remito a usted la informacion solicitada</w:t>
      </w:r>
    </w:p>
    <w:p w14:paraId="3A8B79A6" w14:textId="77777777" w:rsidR="005B1401" w:rsidRDefault="005B1401" w:rsidP="005B1401">
      <w:pPr>
        <w:spacing w:line="360" w:lineRule="auto"/>
        <w:ind w:left="567" w:right="567"/>
        <w:rPr>
          <w:rFonts w:ascii="Palatino Linotype" w:eastAsiaTheme="minorEastAsia" w:hAnsi="Palatino Linotype" w:cstheme="minorBidi"/>
          <w:i/>
          <w:noProof/>
          <w:color w:val="000000" w:themeColor="text1"/>
          <w:lang w:val="es-MX" w:eastAsia="es-MX"/>
        </w:rPr>
      </w:pPr>
    </w:p>
    <w:p w14:paraId="13C6A45B" w14:textId="77777777" w:rsidR="005B1401" w:rsidRPr="005B1401" w:rsidRDefault="005B1401" w:rsidP="005B1401">
      <w:pPr>
        <w:spacing w:line="360" w:lineRule="auto"/>
        <w:ind w:left="567" w:right="567"/>
        <w:rPr>
          <w:rFonts w:ascii="Palatino Linotype" w:eastAsiaTheme="minorEastAsia" w:hAnsi="Palatino Linotype" w:cstheme="minorBidi"/>
          <w:i/>
          <w:noProof/>
          <w:color w:val="000000" w:themeColor="text1"/>
          <w:lang w:val="es-MX" w:eastAsia="es-MX"/>
        </w:rPr>
      </w:pPr>
    </w:p>
    <w:p w14:paraId="7AC262E2" w14:textId="77777777" w:rsidR="005B1401" w:rsidRPr="005B1401" w:rsidRDefault="005B1401" w:rsidP="005B1401">
      <w:pPr>
        <w:spacing w:line="360" w:lineRule="auto"/>
        <w:ind w:left="567" w:right="567"/>
        <w:rPr>
          <w:rFonts w:ascii="Palatino Linotype" w:eastAsiaTheme="minorEastAsia" w:hAnsi="Palatino Linotype" w:cstheme="minorBidi"/>
          <w:i/>
          <w:noProof/>
          <w:color w:val="000000" w:themeColor="text1"/>
          <w:lang w:val="es-MX" w:eastAsia="es-MX"/>
        </w:rPr>
      </w:pPr>
      <w:r w:rsidRPr="005B1401">
        <w:rPr>
          <w:rFonts w:ascii="Palatino Linotype" w:eastAsiaTheme="minorEastAsia" w:hAnsi="Palatino Linotype" w:cstheme="minorBidi"/>
          <w:i/>
          <w:noProof/>
          <w:color w:val="000000" w:themeColor="text1"/>
          <w:lang w:val="es-MX" w:eastAsia="es-MX"/>
        </w:rPr>
        <w:t>ATENTAMENTE</w:t>
      </w:r>
    </w:p>
    <w:p w14:paraId="1CD10B41" w14:textId="469C02BC" w:rsidR="00EA0165" w:rsidRPr="00BC16BD" w:rsidRDefault="005B1401" w:rsidP="005B1401">
      <w:pPr>
        <w:spacing w:line="360" w:lineRule="auto"/>
        <w:ind w:left="567" w:right="567"/>
        <w:rPr>
          <w:rFonts w:ascii="Palatino Linotype" w:eastAsiaTheme="minorEastAsia" w:hAnsi="Palatino Linotype" w:cstheme="minorBidi"/>
          <w:i/>
          <w:noProof/>
          <w:color w:val="000000" w:themeColor="text1"/>
          <w:lang w:val="es-MX" w:eastAsia="es-MX"/>
        </w:rPr>
      </w:pPr>
      <w:r w:rsidRPr="005B1401">
        <w:rPr>
          <w:rFonts w:ascii="Palatino Linotype" w:eastAsiaTheme="minorEastAsia" w:hAnsi="Palatino Linotype" w:cstheme="minorBidi"/>
          <w:i/>
          <w:noProof/>
          <w:color w:val="000000" w:themeColor="text1"/>
          <w:lang w:val="es-MX" w:eastAsia="es-MX"/>
        </w:rPr>
        <w:t>C. MARGARITO ZÚÑIGA RODRÍGUEZ</w:t>
      </w:r>
      <w:r w:rsidR="001A0598" w:rsidRPr="00BC16BD">
        <w:rPr>
          <w:rFonts w:ascii="Palatino Linotype" w:eastAsiaTheme="minorEastAsia" w:hAnsi="Palatino Linotype" w:cstheme="minorBidi"/>
          <w:i/>
          <w:noProof/>
          <w:color w:val="000000" w:themeColor="text1"/>
          <w:lang w:val="es-MX" w:eastAsia="es-MX"/>
        </w:rPr>
        <w:t>.” (Sic)</w:t>
      </w:r>
    </w:p>
    <w:p w14:paraId="3FD7499C" w14:textId="77777777" w:rsidR="00D01CEF" w:rsidRPr="00BC16BD" w:rsidRDefault="00D01CEF" w:rsidP="00BC16BD">
      <w:pPr>
        <w:spacing w:line="360" w:lineRule="auto"/>
        <w:ind w:left="567" w:right="567"/>
        <w:rPr>
          <w:rFonts w:ascii="Palatino Linotype" w:eastAsiaTheme="minorEastAsia" w:hAnsi="Palatino Linotype" w:cstheme="minorBidi"/>
          <w:i/>
          <w:noProof/>
          <w:color w:val="000000" w:themeColor="text1"/>
          <w:lang w:val="es-MX" w:eastAsia="es-MX"/>
        </w:rPr>
      </w:pPr>
    </w:p>
    <w:p w14:paraId="2C4ABD59" w14:textId="5F470751" w:rsidR="00A3314E" w:rsidRPr="005B1401" w:rsidRDefault="00EA0165" w:rsidP="00BC16BD">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color w:val="000000" w:themeColor="text1"/>
          <w:lang w:val="es-ES_tradnl"/>
        </w:rPr>
        <w:t xml:space="preserve">Asimismo, el </w:t>
      </w:r>
      <w:r w:rsidRPr="00BC16BD">
        <w:rPr>
          <w:rFonts w:ascii="Palatino Linotype" w:eastAsiaTheme="minorEastAsia" w:hAnsi="Palatino Linotype" w:cstheme="minorBidi"/>
          <w:b/>
          <w:bCs/>
          <w:color w:val="000000" w:themeColor="text1"/>
          <w:lang w:val="es-ES_tradnl"/>
        </w:rPr>
        <w:t>SUJETO OBLIGADO</w:t>
      </w:r>
      <w:r w:rsidRPr="00BC16BD">
        <w:rPr>
          <w:rFonts w:ascii="Palatino Linotype" w:eastAsiaTheme="minorEastAsia" w:hAnsi="Palatino Linotype" w:cstheme="minorBidi"/>
          <w:color w:val="000000" w:themeColor="text1"/>
          <w:lang w:val="es-ES_tradnl"/>
        </w:rPr>
        <w:t xml:space="preserve"> adjuntó a su respuesta </w:t>
      </w:r>
      <w:r w:rsidR="005B1401">
        <w:rPr>
          <w:rFonts w:ascii="Palatino Linotype" w:eastAsiaTheme="minorEastAsia" w:hAnsi="Palatino Linotype" w:cstheme="minorBidi"/>
          <w:color w:val="000000" w:themeColor="text1"/>
          <w:lang w:val="es-ES_tradnl"/>
        </w:rPr>
        <w:t>el</w:t>
      </w:r>
      <w:r w:rsidR="009B5F4C" w:rsidRPr="00BC16BD">
        <w:rPr>
          <w:rFonts w:ascii="Palatino Linotype" w:eastAsiaTheme="minorEastAsia" w:hAnsi="Palatino Linotype" w:cstheme="minorBidi"/>
          <w:color w:val="000000" w:themeColor="text1"/>
          <w:lang w:val="es-ES_tradnl"/>
        </w:rPr>
        <w:t xml:space="preserve"> </w:t>
      </w:r>
      <w:r w:rsidR="00F11AAF" w:rsidRPr="00BC16BD">
        <w:rPr>
          <w:rFonts w:ascii="Palatino Linotype" w:eastAsiaTheme="minorEastAsia" w:hAnsi="Palatino Linotype" w:cstheme="minorBidi"/>
          <w:color w:val="000000" w:themeColor="text1"/>
          <w:lang w:val="es-ES_tradnl"/>
        </w:rPr>
        <w:t>archivo</w:t>
      </w:r>
      <w:r w:rsidR="00376142" w:rsidRPr="00BC16BD">
        <w:rPr>
          <w:rFonts w:ascii="Palatino Linotype" w:eastAsiaTheme="minorEastAsia" w:hAnsi="Palatino Linotype" w:cstheme="minorBidi"/>
          <w:color w:val="000000" w:themeColor="text1"/>
          <w:lang w:val="es-ES_tradnl"/>
        </w:rPr>
        <w:t xml:space="preserve"> </w:t>
      </w:r>
      <w:r w:rsidRPr="00BC16BD">
        <w:rPr>
          <w:rFonts w:ascii="Palatino Linotype" w:eastAsiaTheme="minorEastAsia" w:hAnsi="Palatino Linotype" w:cstheme="minorBidi"/>
          <w:color w:val="000000" w:themeColor="text1"/>
          <w:lang w:val="es-ES_tradnl"/>
        </w:rPr>
        <w:t>electrónico que se describe a continuación:</w:t>
      </w:r>
    </w:p>
    <w:p w14:paraId="51576666" w14:textId="77777777" w:rsidR="005B1401" w:rsidRDefault="00C811EB" w:rsidP="005B1401">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9" w:tgtFrame="_blank" w:history="1">
        <w:r w:rsidR="005B1401" w:rsidRPr="005B1401">
          <w:rPr>
            <w:rStyle w:val="Hipervnculo"/>
            <w:rFonts w:ascii="Palatino Linotype" w:hAnsi="Palatino Linotype"/>
            <w:b/>
            <w:bCs/>
            <w:color w:val="000000" w:themeColor="text1"/>
            <w:u w:val="none"/>
          </w:rPr>
          <w:t>sol 215.pdf</w:t>
        </w:r>
      </w:hyperlink>
      <w:r w:rsidR="005B1401" w:rsidRPr="005B1401">
        <w:rPr>
          <w:rFonts w:ascii="Palatino Linotype" w:hAnsi="Palatino Linotype"/>
          <w:color w:val="000000" w:themeColor="text1"/>
        </w:rPr>
        <w:t xml:space="preserve"> </w:t>
      </w:r>
      <w:hyperlink r:id="rId10" w:tgtFrame="_blank" w:history="1"/>
      <w:r w:rsidR="00556E99" w:rsidRPr="00BC16BD">
        <w:rPr>
          <w:rFonts w:ascii="Palatino Linotype" w:eastAsiaTheme="minorEastAsia" w:hAnsi="Palatino Linotype" w:cstheme="minorBidi"/>
          <w:color w:val="000000" w:themeColor="text1"/>
          <w:lang w:val="es-ES_tradnl"/>
        </w:rPr>
        <w:t>: D</w:t>
      </w:r>
      <w:r w:rsidR="005B1401">
        <w:rPr>
          <w:rFonts w:ascii="Palatino Linotype" w:eastAsiaTheme="minorEastAsia" w:hAnsi="Palatino Linotype" w:cstheme="minorBidi"/>
          <w:color w:val="000000" w:themeColor="text1"/>
          <w:lang w:val="es-ES_tradnl"/>
        </w:rPr>
        <w:t>ocumento electrónico que en tres  (03</w:t>
      </w:r>
      <w:r w:rsidR="00A65237" w:rsidRPr="00BC16BD">
        <w:rPr>
          <w:rFonts w:ascii="Palatino Linotype" w:eastAsiaTheme="minorEastAsia" w:hAnsi="Palatino Linotype" w:cstheme="minorBidi"/>
          <w:color w:val="000000" w:themeColor="text1"/>
          <w:lang w:val="es-ES_tradnl"/>
        </w:rPr>
        <w:t>) hoja</w:t>
      </w:r>
      <w:r w:rsidR="005B1401">
        <w:rPr>
          <w:rFonts w:ascii="Palatino Linotype" w:eastAsiaTheme="minorEastAsia" w:hAnsi="Palatino Linotype" w:cstheme="minorBidi"/>
          <w:color w:val="000000" w:themeColor="text1"/>
          <w:lang w:val="es-ES_tradnl"/>
        </w:rPr>
        <w:t>s</w:t>
      </w:r>
      <w:r w:rsidR="00A65237" w:rsidRPr="00BC16BD">
        <w:rPr>
          <w:rFonts w:ascii="Palatino Linotype" w:eastAsiaTheme="minorEastAsia" w:hAnsi="Palatino Linotype" w:cstheme="minorBidi"/>
          <w:color w:val="000000" w:themeColor="text1"/>
          <w:lang w:val="es-ES_tradnl"/>
        </w:rPr>
        <w:t xml:space="preserve"> contiene el oficio </w:t>
      </w:r>
      <w:r w:rsidR="005B1401">
        <w:rPr>
          <w:rFonts w:ascii="Palatino Linotype" w:eastAsiaTheme="minorEastAsia" w:hAnsi="Palatino Linotype" w:cstheme="minorBidi"/>
          <w:color w:val="000000" w:themeColor="text1"/>
          <w:lang w:val="es-ES_tradnl"/>
        </w:rPr>
        <w:t xml:space="preserve"> NEXTUTAI/0767/2021 </w:t>
      </w:r>
      <w:r w:rsidR="00A65237" w:rsidRPr="00BC16BD">
        <w:rPr>
          <w:rFonts w:ascii="Palatino Linotype" w:eastAsiaTheme="minorEastAsia" w:hAnsi="Palatino Linotype" w:cstheme="minorBidi"/>
          <w:color w:val="000000" w:themeColor="text1"/>
          <w:lang w:val="es-ES_tradnl"/>
        </w:rPr>
        <w:t xml:space="preserve">dirigido al Solicitante y suscrito por la Titular de la Unidad de Transparencia, mediante el cual </w:t>
      </w:r>
      <w:r w:rsidR="005B1401">
        <w:rPr>
          <w:rFonts w:ascii="Palatino Linotype" w:eastAsiaTheme="minorEastAsia" w:hAnsi="Palatino Linotype" w:cstheme="minorBidi"/>
          <w:color w:val="000000" w:themeColor="text1"/>
          <w:lang w:val="es-ES_tradnl"/>
        </w:rPr>
        <w:t xml:space="preserve">medularmente se refiere que: </w:t>
      </w:r>
    </w:p>
    <w:p w14:paraId="42F08DE2" w14:textId="77777777" w:rsidR="005B1401" w:rsidRDefault="005B1401" w:rsidP="005B1401">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7132F863" w14:textId="6D1127BB" w:rsidR="00A3314E" w:rsidRPr="005B1401" w:rsidRDefault="005B1401" w:rsidP="005B1401">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5B1401">
        <w:rPr>
          <w:rFonts w:ascii="Palatino Linotype" w:eastAsiaTheme="minorEastAsia" w:hAnsi="Palatino Linotype" w:cstheme="minorBidi"/>
          <w:i/>
          <w:color w:val="000000" w:themeColor="text1"/>
          <w:lang w:val="es-ES_tradnl"/>
        </w:rPr>
        <w:t>“</w:t>
      </w:r>
      <w:r w:rsidRPr="005B1401">
        <w:rPr>
          <w:rFonts w:ascii="Palatino Linotype" w:eastAsiaTheme="minorEastAsia" w:hAnsi="Palatino Linotype" w:cstheme="minorBidi"/>
          <w:i/>
          <w:color w:val="000000" w:themeColor="text1"/>
        </w:rPr>
        <w:t>Por medio del presente escrito, y con fundamento en los artículos 1, 24 Fracción XI, 47, 49, 53 y 167 de la Ley de Transparencia y Acceso a la Información Pública y Protección de Datos Personales del Estado de México y Municipios, su Reglamento y lineamientos, asi mismo me permito informarle que es Incompetencia del sujeto obligado, para proporcionar la información solicitad, y en atención a su solicitud requerida por este medio el Sistema de Acceso a la Información Mexiquense (SAIMEX), Concerniente a la solicitud con número de folio 00215/NEXTLAL/IP/2021, que a la letra dice:</w:t>
      </w:r>
      <w:r>
        <w:rPr>
          <w:rFonts w:ascii="Palatino Linotype" w:eastAsiaTheme="minorEastAsia" w:hAnsi="Palatino Linotype" w:cstheme="minorBidi"/>
          <w:i/>
          <w:color w:val="000000" w:themeColor="text1"/>
        </w:rPr>
        <w:t xml:space="preserve"> …</w:t>
      </w:r>
      <w:r w:rsidRPr="005B1401">
        <w:rPr>
          <w:rFonts w:ascii="Palatino Linotype" w:eastAsiaTheme="minorEastAsia" w:hAnsi="Palatino Linotype" w:cstheme="minorBidi"/>
          <w:i/>
          <w:color w:val="000000" w:themeColor="text1"/>
        </w:rPr>
        <w:t>”</w:t>
      </w:r>
    </w:p>
    <w:p w14:paraId="7213AEA3" w14:textId="77777777" w:rsidR="005B1401" w:rsidRPr="005B1401" w:rsidRDefault="005B1401" w:rsidP="005B140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B3F2994" w:rsidR="00EA0165" w:rsidRPr="00BC16BD" w:rsidRDefault="00EA0165" w:rsidP="00BC16B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C16BD">
        <w:rPr>
          <w:rFonts w:ascii="Palatino Linotype" w:hAnsi="Palatino Linotype" w:cs="Arial"/>
          <w:color w:val="000000" w:themeColor="text1"/>
        </w:rPr>
        <w:t xml:space="preserve">Derivado de la respuesta emitida por el </w:t>
      </w:r>
      <w:r w:rsidRPr="00BC16BD">
        <w:rPr>
          <w:rFonts w:ascii="Palatino Linotype" w:hAnsi="Palatino Linotype" w:cs="Arial"/>
          <w:b/>
          <w:color w:val="000000" w:themeColor="text1"/>
        </w:rPr>
        <w:t>SUJETO OBLIGADO</w:t>
      </w:r>
      <w:r w:rsidRPr="00BC16BD">
        <w:rPr>
          <w:rFonts w:ascii="Palatino Linotype" w:hAnsi="Palatino Linotype" w:cs="Arial"/>
          <w:color w:val="000000" w:themeColor="text1"/>
        </w:rPr>
        <w:t>, e</w:t>
      </w:r>
      <w:r w:rsidR="005B1401">
        <w:rPr>
          <w:rFonts w:ascii="Palatino Linotype" w:hAnsi="Palatino Linotype" w:cs="Arial"/>
          <w:color w:val="000000" w:themeColor="text1"/>
        </w:rPr>
        <w:t xml:space="preserve">l treinta (30) noviembre </w:t>
      </w:r>
      <w:r w:rsidRPr="00BC16BD">
        <w:rPr>
          <w:rFonts w:ascii="Palatino Linotype" w:hAnsi="Palatino Linotype" w:cs="Arial"/>
          <w:color w:val="000000" w:themeColor="text1"/>
        </w:rPr>
        <w:t>de dos mil veintiuno, el particular interpuso el recurso de revisión</w:t>
      </w:r>
      <w:r w:rsidR="005B1401">
        <w:rPr>
          <w:rFonts w:ascii="Palatino Linotype" w:hAnsi="Palatino Linotype" w:cs="Arial"/>
          <w:b/>
          <w:color w:val="000000" w:themeColor="text1"/>
        </w:rPr>
        <w:t xml:space="preserve"> </w:t>
      </w:r>
      <w:r w:rsidR="005B1401" w:rsidRPr="005B1401">
        <w:rPr>
          <w:rFonts w:ascii="Palatino Linotype" w:hAnsi="Palatino Linotype" w:cs="Arial"/>
          <w:b/>
          <w:color w:val="000000" w:themeColor="text1"/>
        </w:rPr>
        <w:t>05993/INFOEM/IP/RR/2021</w:t>
      </w:r>
      <w:r w:rsidRPr="00BC16BD">
        <w:rPr>
          <w:rFonts w:ascii="Palatino Linotype" w:eastAsia="Calibri" w:hAnsi="Palatino Linotype" w:cs="Arial"/>
          <w:b/>
          <w:color w:val="000000" w:themeColor="text1"/>
        </w:rPr>
        <w:t>;</w:t>
      </w:r>
      <w:r w:rsidRPr="00BC16BD">
        <w:rPr>
          <w:rFonts w:ascii="Palatino Linotype" w:hAnsi="Palatino Linotype" w:cs="Arial"/>
          <w:color w:val="000000" w:themeColor="text1"/>
        </w:rPr>
        <w:t xml:space="preserve"> impugnación en la que refirió lo siguiente:</w:t>
      </w:r>
    </w:p>
    <w:p w14:paraId="176F4252" w14:textId="77777777" w:rsidR="00EA0165" w:rsidRPr="00BC16BD" w:rsidRDefault="00EA0165" w:rsidP="00BC16BD">
      <w:pPr>
        <w:tabs>
          <w:tab w:val="left" w:pos="426"/>
        </w:tabs>
        <w:spacing w:line="360" w:lineRule="auto"/>
        <w:ind w:left="284"/>
        <w:contextualSpacing/>
        <w:jc w:val="both"/>
        <w:rPr>
          <w:rFonts w:ascii="Palatino Linotype" w:hAnsi="Palatino Linotype" w:cs="Arial"/>
          <w:color w:val="000000" w:themeColor="text1"/>
        </w:rPr>
      </w:pPr>
    </w:p>
    <w:p w14:paraId="224FFDC9" w14:textId="5A80DB1B" w:rsidR="00EA0165" w:rsidRPr="00BC16BD" w:rsidRDefault="00EA0165" w:rsidP="005B1401">
      <w:pPr>
        <w:numPr>
          <w:ilvl w:val="0"/>
          <w:numId w:val="1"/>
        </w:numPr>
        <w:tabs>
          <w:tab w:val="left" w:pos="426"/>
          <w:tab w:val="left" w:pos="567"/>
        </w:tabs>
        <w:spacing w:line="360" w:lineRule="auto"/>
        <w:ind w:left="851" w:right="616" w:hanging="142"/>
        <w:contextualSpacing/>
        <w:jc w:val="both"/>
        <w:rPr>
          <w:rFonts w:ascii="Palatino Linotype" w:hAnsi="Palatino Linotype" w:cs="Arial"/>
          <w:color w:val="000000" w:themeColor="text1"/>
        </w:rPr>
      </w:pPr>
      <w:r w:rsidRPr="00BC16BD">
        <w:rPr>
          <w:rFonts w:ascii="Palatino Linotype" w:hAnsi="Palatino Linotype" w:cs="Arial"/>
          <w:b/>
          <w:color w:val="000000" w:themeColor="text1"/>
        </w:rPr>
        <w:t>Acto impugnado:</w:t>
      </w:r>
      <w:r w:rsidRPr="00BC16BD">
        <w:rPr>
          <w:rFonts w:ascii="Palatino Linotype" w:hAnsi="Palatino Linotype" w:cs="Arial"/>
          <w:color w:val="000000" w:themeColor="text1"/>
        </w:rPr>
        <w:t xml:space="preserve"> </w:t>
      </w:r>
      <w:r w:rsidRPr="00BC16BD">
        <w:rPr>
          <w:rFonts w:ascii="Palatino Linotype" w:hAnsi="Palatino Linotype" w:cs="Arial"/>
          <w:i/>
          <w:color w:val="000000" w:themeColor="text1"/>
        </w:rPr>
        <w:t>“</w:t>
      </w:r>
      <w:r w:rsidR="005B1401" w:rsidRPr="005B1401">
        <w:rPr>
          <w:rFonts w:ascii="Palatino Linotype" w:hAnsi="Palatino Linotype" w:cs="Arial"/>
          <w:i/>
          <w:color w:val="000000" w:themeColor="text1"/>
        </w:rPr>
        <w:t>La respuesta del Sujeto Obligado</w:t>
      </w:r>
      <w:r w:rsidR="00AB7DB9" w:rsidRPr="00BC16BD">
        <w:rPr>
          <w:rFonts w:ascii="Palatino Linotype" w:hAnsi="Palatino Linotype" w:cs="Arial"/>
          <w:i/>
          <w:color w:val="000000" w:themeColor="text1"/>
        </w:rPr>
        <w:t>.”</w:t>
      </w:r>
      <w:r w:rsidRPr="00BC16BD">
        <w:rPr>
          <w:rFonts w:ascii="Palatino Linotype" w:hAnsi="Palatino Linotype" w:cs="Arial"/>
          <w:color w:val="000000" w:themeColor="text1"/>
        </w:rPr>
        <w:t>(Sic).</w:t>
      </w:r>
    </w:p>
    <w:p w14:paraId="71C7D21F" w14:textId="77777777" w:rsidR="00EA0165" w:rsidRPr="00BC16BD" w:rsidRDefault="00EA0165" w:rsidP="00BC16BD">
      <w:pPr>
        <w:tabs>
          <w:tab w:val="left" w:pos="0"/>
        </w:tabs>
        <w:spacing w:line="360" w:lineRule="auto"/>
        <w:ind w:left="567" w:right="616"/>
        <w:contextualSpacing/>
        <w:jc w:val="both"/>
        <w:rPr>
          <w:rFonts w:ascii="Palatino Linotype" w:hAnsi="Palatino Linotype" w:cs="Arial"/>
          <w:color w:val="000000" w:themeColor="text1"/>
        </w:rPr>
      </w:pPr>
    </w:p>
    <w:p w14:paraId="16E57192" w14:textId="7E596B25" w:rsidR="00EA0165" w:rsidRPr="00BC16BD" w:rsidRDefault="00EA0165" w:rsidP="005B1401">
      <w:pPr>
        <w:numPr>
          <w:ilvl w:val="0"/>
          <w:numId w:val="1"/>
        </w:numPr>
        <w:tabs>
          <w:tab w:val="left" w:pos="0"/>
        </w:tabs>
        <w:spacing w:line="360" w:lineRule="auto"/>
        <w:ind w:left="851" w:right="616" w:hanging="142"/>
        <w:contextualSpacing/>
        <w:jc w:val="both"/>
        <w:rPr>
          <w:rFonts w:ascii="Palatino Linotype" w:hAnsi="Palatino Linotype" w:cs="Arial"/>
          <w:color w:val="000000" w:themeColor="text1"/>
        </w:rPr>
      </w:pPr>
      <w:r w:rsidRPr="00BC16BD">
        <w:rPr>
          <w:rFonts w:ascii="Palatino Linotype" w:hAnsi="Palatino Linotype" w:cs="Arial"/>
          <w:b/>
          <w:color w:val="000000" w:themeColor="text1"/>
        </w:rPr>
        <w:t>Razones o motivos de inconformidad:</w:t>
      </w:r>
      <w:r w:rsidRPr="00BC16BD">
        <w:rPr>
          <w:rFonts w:ascii="Palatino Linotype" w:hAnsi="Palatino Linotype" w:cs="Arial"/>
          <w:color w:val="000000" w:themeColor="text1"/>
        </w:rPr>
        <w:t xml:space="preserve"> </w:t>
      </w:r>
      <w:r w:rsidRPr="00BC16BD">
        <w:rPr>
          <w:rFonts w:ascii="Palatino Linotype" w:hAnsi="Palatino Linotype" w:cs="Arial"/>
          <w:i/>
          <w:color w:val="000000" w:themeColor="text1"/>
        </w:rPr>
        <w:t>“</w:t>
      </w:r>
      <w:r w:rsidR="005B1401" w:rsidRPr="005B1401">
        <w:rPr>
          <w:rFonts w:ascii="Palatino Linotype" w:hAnsi="Palatino Linotype" w:cs="Arial"/>
          <w:i/>
          <w:color w:val="000000" w:themeColor="text1"/>
        </w:rPr>
        <w:t>Las razones y motivos de la inconformidad se encuentran detalladas en el arc</w:t>
      </w:r>
      <w:r w:rsidR="005B1401">
        <w:rPr>
          <w:rFonts w:ascii="Palatino Linotype" w:hAnsi="Palatino Linotype" w:cs="Arial"/>
          <w:i/>
          <w:color w:val="000000" w:themeColor="text1"/>
        </w:rPr>
        <w:t>hivo adjunto de nombre "Queja_N</w:t>
      </w:r>
      <w:r w:rsidR="00AB7DB9" w:rsidRPr="00BC16BD">
        <w:rPr>
          <w:rFonts w:ascii="Palatino Linotype" w:hAnsi="Palatino Linotype" w:cs="Arial"/>
          <w:i/>
          <w:color w:val="000000" w:themeColor="text1"/>
        </w:rPr>
        <w:t>.</w:t>
      </w:r>
      <w:r w:rsidRPr="00BC16BD">
        <w:rPr>
          <w:rFonts w:ascii="Palatino Linotype" w:hAnsi="Palatino Linotype" w:cs="Arial"/>
          <w:i/>
          <w:color w:val="000000" w:themeColor="text1"/>
        </w:rPr>
        <w:t xml:space="preserve">” </w:t>
      </w:r>
      <w:r w:rsidRPr="00BC16BD">
        <w:rPr>
          <w:rFonts w:ascii="Palatino Linotype" w:hAnsi="Palatino Linotype" w:cs="Arial"/>
          <w:color w:val="000000" w:themeColor="text1"/>
        </w:rPr>
        <w:t>(Sic).</w:t>
      </w:r>
      <w:bookmarkStart w:id="4" w:name="_GoBack"/>
      <w:bookmarkEnd w:id="4"/>
    </w:p>
    <w:p w14:paraId="552C6645" w14:textId="77777777" w:rsidR="001B234C" w:rsidRPr="00BC16BD" w:rsidRDefault="001B234C" w:rsidP="00BC16BD">
      <w:pPr>
        <w:tabs>
          <w:tab w:val="left" w:pos="0"/>
        </w:tabs>
        <w:spacing w:line="360" w:lineRule="auto"/>
        <w:ind w:right="616"/>
        <w:contextualSpacing/>
        <w:jc w:val="both"/>
        <w:rPr>
          <w:rFonts w:ascii="Palatino Linotype" w:hAnsi="Palatino Linotype" w:cs="Arial"/>
          <w:color w:val="000000" w:themeColor="text1"/>
        </w:rPr>
      </w:pPr>
    </w:p>
    <w:p w14:paraId="34658E36" w14:textId="5217D25A" w:rsidR="00044769" w:rsidRPr="00BC16BD" w:rsidRDefault="00044769" w:rsidP="00BC16B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C16BD">
        <w:rPr>
          <w:rFonts w:ascii="Palatino Linotype" w:eastAsia="Calibri" w:hAnsi="Palatino Linotype" w:cs="Arial"/>
          <w:color w:val="000000" w:themeColor="text1"/>
        </w:rPr>
        <w:t>A dicho recurso se revisión se anexó en siguiente documento:</w:t>
      </w:r>
    </w:p>
    <w:p w14:paraId="76125AE8" w14:textId="72A92279" w:rsidR="00044769" w:rsidRPr="005B1401" w:rsidRDefault="00C811EB" w:rsidP="005B1401">
      <w:pPr>
        <w:numPr>
          <w:ilvl w:val="0"/>
          <w:numId w:val="48"/>
        </w:numPr>
        <w:spacing w:before="100" w:beforeAutospacing="1" w:after="100" w:afterAutospacing="1"/>
        <w:rPr>
          <w:rFonts w:ascii="Arial" w:hAnsi="Arial" w:cs="Arial"/>
          <w:color w:val="333333"/>
          <w:sz w:val="27"/>
          <w:szCs w:val="27"/>
          <w:lang w:val="es-MX"/>
        </w:rPr>
      </w:pPr>
      <w:hyperlink r:id="rId11" w:tgtFrame="_blank" w:history="1">
        <w:r w:rsidR="005B1401" w:rsidRPr="005B1401">
          <w:rPr>
            <w:rStyle w:val="Hipervnculo"/>
            <w:rFonts w:ascii="Palatino Linotype" w:hAnsi="Palatino Linotype" w:cs="Arial"/>
            <w:b/>
            <w:bCs/>
            <w:color w:val="000000" w:themeColor="text1"/>
            <w:u w:val="none"/>
          </w:rPr>
          <w:t>Queja_N.pdf</w:t>
        </w:r>
      </w:hyperlink>
      <w:r w:rsidR="00044769" w:rsidRPr="005B1401">
        <w:rPr>
          <w:rFonts w:ascii="Palatino Linotype" w:hAnsi="Palatino Linotype" w:cs="Arial"/>
          <w:color w:val="000000" w:themeColor="text1"/>
        </w:rPr>
        <w:t xml:space="preserve">: </w:t>
      </w:r>
      <w:r w:rsidR="00044769" w:rsidRPr="005B1401">
        <w:rPr>
          <w:rFonts w:ascii="Palatino Linotype" w:hAnsi="Palatino Linotype" w:cs="Arial"/>
        </w:rPr>
        <w:t xml:space="preserve">Documento electrónico que en una </w:t>
      </w:r>
      <w:r w:rsidR="005B1401">
        <w:rPr>
          <w:rFonts w:ascii="Palatino Linotype" w:hAnsi="Palatino Linotype" w:cs="Arial"/>
        </w:rPr>
        <w:t xml:space="preserve">(01) </w:t>
      </w:r>
      <w:r w:rsidR="00044769" w:rsidRPr="005B1401">
        <w:rPr>
          <w:rFonts w:ascii="Palatino Linotype" w:hAnsi="Palatino Linotype" w:cs="Arial"/>
        </w:rPr>
        <w:t xml:space="preserve">hoja contiene lo siguiente: </w:t>
      </w:r>
    </w:p>
    <w:p w14:paraId="0E5F807C" w14:textId="77777777" w:rsidR="00A67732" w:rsidRPr="00A67732" w:rsidRDefault="00044769"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t>“</w:t>
      </w:r>
      <w:r w:rsidR="005B1401" w:rsidRPr="00A67732">
        <w:rPr>
          <w:rFonts w:ascii="Palatino Linotype" w:eastAsia="Calibri" w:hAnsi="Palatino Linotype" w:cs="Arial"/>
          <w:i/>
          <w:color w:val="000000" w:themeColor="text1"/>
        </w:rPr>
        <w:t xml:space="preserve">De acuerdo con la respuesta emitida por el Sujeto Obligado a la solicitud de información realizada el día 22 de noviembre del año en curso de folio 00215/NEXTLAL/IP/2021, el Sujeto Obligado hace referencia al artículo 167 de la Ley de Transparencia y Acceso a la Información Pública y Protección de Datos Personales del Estado de México y Municipios, el cual dice: </w:t>
      </w:r>
    </w:p>
    <w:p w14:paraId="6852A430"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4571C471" w14:textId="77777777" w:rsidR="00A67732" w:rsidRPr="00A67732" w:rsidRDefault="005B1401"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w:t>
      </w:r>
      <w:r w:rsidRPr="00A67732">
        <w:rPr>
          <w:rFonts w:ascii="Palatino Linotype" w:eastAsia="Calibri" w:hAnsi="Palatino Linotype" w:cs="Arial"/>
          <w:i/>
          <w:color w:val="000000" w:themeColor="text1"/>
        </w:rPr>
        <w:lastRenderedPageBreak/>
        <w:t>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21BFFC9B"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5D4A7DD4" w14:textId="77777777" w:rsidR="00A67732" w:rsidRPr="00A67732" w:rsidRDefault="005B1401"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t xml:space="preserve"> De esta forma, si bien el Sujeto Obligado declara su incompetencia para dar respuesta a la solicitud de información que realicé de manera respetuosa, no cumple con el principio declarado de dentro del mismo artículo citado por la Unidad de Transparencia del Municipio de Nextlalpan de dar orientación al solicitante para la obtención de la información que fue solicitada. </w:t>
      </w:r>
    </w:p>
    <w:p w14:paraId="1E08E6CA"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568A8F79" w14:textId="77777777" w:rsidR="00A67732" w:rsidRPr="00A67732" w:rsidRDefault="005B1401"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t xml:space="preserve">Por otra parte, quisiera citar el artículo 125 de la Ley Orgánica Municipal del Estado de México, el cual a la letra dice: </w:t>
      </w:r>
    </w:p>
    <w:p w14:paraId="01EE6D0A"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32D9C537" w14:textId="77777777" w:rsidR="00A67732" w:rsidRPr="00A67732" w:rsidRDefault="005B1401"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t xml:space="preserve">Artículo 125.- Los municipios tendrán a su cargo la prestación, explotación, administración y conservación de los servicios públicos municipales, considerándose enunciativa y no limitativamente, los siguientes: … II. Alumbrado público; … </w:t>
      </w:r>
    </w:p>
    <w:p w14:paraId="421C83EC"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5AFDBDCA" w14:textId="77777777" w:rsidR="00A67732" w:rsidRPr="00A67732" w:rsidRDefault="005B1401"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t>En la cual se identifica al municipio como el encargado de la administración del alumbrado público municipal; mismo principio que esta enunciado en el artículo 75 del Bando Municipal 2020 (al no existir archivo 2021 publicado) del Municipio de Nextlalpan, que se encuentra en la siguiente liga http://nextlalpan.gob.mx/bando-municipal/, y que a la letra dice:</w:t>
      </w:r>
    </w:p>
    <w:p w14:paraId="29AE9DC9"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2AE7EF0E" w14:textId="77777777" w:rsidR="00A67732" w:rsidRPr="00A67732" w:rsidRDefault="005B1401"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A67732">
        <w:rPr>
          <w:rFonts w:ascii="Palatino Linotype" w:eastAsia="Calibri" w:hAnsi="Palatino Linotype" w:cs="Arial"/>
          <w:i/>
          <w:color w:val="000000" w:themeColor="text1"/>
        </w:rPr>
        <w:lastRenderedPageBreak/>
        <w:t xml:space="preserve"> Artículo 75.- La Dirección de Servicios Públicos es la Dependencia encargada de la prestación de servicios públicos municipales de alumbrado, limpia, disposición final de desechos urbanos, panteones, parques, jardines, áreas verdes recreativas, embellecimiento y conservación de los poblados y centros urbanos en el territorio municipal de conformidad con lo dispuesto en la Ley Orgánica Municipal, el presente Bando Municipal y demás disposiciones jurídicas aplicable… </w:t>
      </w:r>
    </w:p>
    <w:p w14:paraId="5F779C0D" w14:textId="77777777" w:rsidR="00A67732" w:rsidRPr="00A67732" w:rsidRDefault="00A67732" w:rsidP="005B1401">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3E285EEB" w14:textId="1ECAA70F" w:rsidR="00044769" w:rsidRPr="005B1401" w:rsidRDefault="005B1401" w:rsidP="005B1401">
      <w:pPr>
        <w:pStyle w:val="Prrafodelista"/>
        <w:tabs>
          <w:tab w:val="left" w:pos="426"/>
        </w:tabs>
        <w:spacing w:line="360" w:lineRule="auto"/>
        <w:ind w:left="720" w:right="738"/>
        <w:contextualSpacing/>
        <w:jc w:val="both"/>
        <w:rPr>
          <w:rFonts w:ascii="Palatino Linotype" w:eastAsia="Calibri" w:hAnsi="Palatino Linotype" w:cs="Arial"/>
          <w:color w:val="000000" w:themeColor="text1"/>
        </w:rPr>
      </w:pPr>
      <w:r w:rsidRPr="00A67732">
        <w:rPr>
          <w:rFonts w:ascii="Palatino Linotype" w:eastAsia="Calibri" w:hAnsi="Palatino Linotype" w:cs="Arial"/>
          <w:i/>
          <w:color w:val="000000" w:themeColor="text1"/>
        </w:rPr>
        <w:t>Como puede verse, el Gobierno Municipal de Nextlalpan es el encargado del servicio de alumbrado público, motivo por el cual, los datos como cantidad de luminarias, la facturación por el servicio de alumbrado público y el convenio para la recaudación del DAP entre el Municipio y la CFE deben ser datos del conocimiento de la Administración Municipal,siendo así, la respuesta emitida por el Sujeto Obligado indicaría un incumplimiento al artículo 6° de la Constitución Política de los Estados Unidos Mexicanos</w:t>
      </w:r>
      <w:r w:rsidR="00044769" w:rsidRPr="005B1401">
        <w:rPr>
          <w:rFonts w:ascii="Palatino Linotype" w:eastAsia="Calibri" w:hAnsi="Palatino Linotype" w:cs="Arial"/>
          <w:i/>
          <w:color w:val="000000" w:themeColor="text1"/>
        </w:rPr>
        <w:t>.”</w:t>
      </w:r>
      <w:r w:rsidR="00044769" w:rsidRPr="005B1401">
        <w:rPr>
          <w:rFonts w:ascii="Palatino Linotype" w:eastAsia="Calibri" w:hAnsi="Palatino Linotype" w:cs="Arial"/>
          <w:color w:val="000000" w:themeColor="text1"/>
        </w:rPr>
        <w:t xml:space="preserve"> (Sic)</w:t>
      </w:r>
    </w:p>
    <w:p w14:paraId="7564EBCE" w14:textId="5757AA5B" w:rsidR="00044769" w:rsidRPr="00BC16BD" w:rsidRDefault="00044769" w:rsidP="00BC16BD">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B42BA50" w14:textId="4278F5AF" w:rsidR="00EA0165" w:rsidRPr="00BC16BD" w:rsidRDefault="00EA0165" w:rsidP="00BC16B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C16BD">
        <w:rPr>
          <w:rFonts w:ascii="Palatino Linotype" w:hAnsi="Palatino Linotype" w:cs="Arial"/>
          <w:color w:val="000000" w:themeColor="text1"/>
        </w:rPr>
        <w:t xml:space="preserve">Se registró el recurso de revisión bajo el número de expediente </w:t>
      </w:r>
      <w:r w:rsidRPr="00BC16BD">
        <w:rPr>
          <w:rFonts w:ascii="Palatino Linotype" w:eastAsiaTheme="minorEastAsia" w:hAnsi="Palatino Linotype" w:cs="Arial"/>
          <w:bCs/>
          <w:color w:val="000000" w:themeColor="text1"/>
          <w:lang w:val="es-ES_tradnl"/>
        </w:rPr>
        <w:t xml:space="preserve">al rubro indicado, asimismo, con fundamento en lo dispuesto por el </w:t>
      </w:r>
      <w:r w:rsidRPr="00BC16BD">
        <w:rPr>
          <w:rFonts w:ascii="Palatino Linotype" w:eastAsia="Calibri" w:hAnsi="Palatino Linotype" w:cs="Arial"/>
          <w:color w:val="000000" w:themeColor="text1"/>
        </w:rPr>
        <w:t xml:space="preserve">artículo 185 fracción I de la </w:t>
      </w:r>
      <w:r w:rsidRPr="00BC16BD">
        <w:rPr>
          <w:rFonts w:ascii="Palatino Linotype" w:eastAsia="Calibri" w:hAnsi="Palatino Linotype" w:cs="Arial"/>
          <w:b/>
          <w:color w:val="000000" w:themeColor="text1"/>
        </w:rPr>
        <w:t xml:space="preserve">Ley de Transparencia y Acceso a la Información Pública del Estado de México y Municipios </w:t>
      </w:r>
      <w:r w:rsidR="005E6282" w:rsidRPr="00BC16BD">
        <w:rPr>
          <w:rFonts w:ascii="Palatino Linotype" w:hAnsi="Palatino Linotype" w:cs="Arial"/>
          <w:color w:val="000000" w:themeColor="text1"/>
        </w:rPr>
        <w:t>se turnó a</w:t>
      </w:r>
      <w:r w:rsidR="00351568" w:rsidRPr="00BC16BD">
        <w:rPr>
          <w:rFonts w:ascii="Palatino Linotype" w:hAnsi="Palatino Linotype" w:cs="Arial"/>
          <w:color w:val="000000" w:themeColor="text1"/>
        </w:rPr>
        <w:t xml:space="preserve"> la </w:t>
      </w:r>
      <w:r w:rsidR="00E3149E" w:rsidRPr="00BC16BD">
        <w:rPr>
          <w:rFonts w:ascii="Palatino Linotype" w:hAnsi="Palatino Linotype" w:cs="Arial"/>
          <w:b/>
          <w:color w:val="000000" w:themeColor="text1"/>
        </w:rPr>
        <w:t>C</w:t>
      </w:r>
      <w:r w:rsidR="00351568" w:rsidRPr="00BC16BD">
        <w:rPr>
          <w:rFonts w:ascii="Palatino Linotype" w:hAnsi="Palatino Linotype" w:cs="Arial"/>
          <w:b/>
          <w:color w:val="000000" w:themeColor="text1"/>
        </w:rPr>
        <w:t>omisionada María del Rosario Mejía Ayala</w:t>
      </w:r>
      <w:r w:rsidRPr="00BC16BD">
        <w:rPr>
          <w:rFonts w:ascii="Palatino Linotype" w:hAnsi="Palatino Linotype" w:cs="Arial"/>
          <w:b/>
          <w:color w:val="000000" w:themeColor="text1"/>
        </w:rPr>
        <w:t xml:space="preserve">, </w:t>
      </w:r>
      <w:r w:rsidRPr="00BC16BD">
        <w:rPr>
          <w:rFonts w:ascii="Palatino Linotype" w:hAnsi="Palatino Linotype" w:cs="Arial"/>
          <w:color w:val="000000" w:themeColor="text1"/>
        </w:rPr>
        <w:t xml:space="preserve">con el objeto de </w:t>
      </w:r>
      <w:r w:rsidRPr="00BC16BD">
        <w:rPr>
          <w:rFonts w:ascii="Palatino Linotype" w:hAnsi="Palatino Linotype" w:cs="Arial"/>
          <w:color w:val="000000" w:themeColor="text1"/>
          <w:lang w:val="es-MX"/>
        </w:rPr>
        <w:t>su análisis.</w:t>
      </w:r>
    </w:p>
    <w:p w14:paraId="49F28BD1" w14:textId="77777777" w:rsidR="00EA0165" w:rsidRPr="00BC16BD" w:rsidRDefault="00EA0165" w:rsidP="00BC16BD">
      <w:pPr>
        <w:tabs>
          <w:tab w:val="left" w:pos="426"/>
        </w:tabs>
        <w:spacing w:line="360" w:lineRule="auto"/>
        <w:contextualSpacing/>
        <w:jc w:val="both"/>
        <w:rPr>
          <w:rFonts w:ascii="Palatino Linotype" w:eastAsia="Calibri" w:hAnsi="Palatino Linotype" w:cs="Arial"/>
          <w:color w:val="000000" w:themeColor="text1"/>
        </w:rPr>
      </w:pPr>
    </w:p>
    <w:p w14:paraId="78EABB65" w14:textId="77F18FF5" w:rsidR="00EA0165" w:rsidRPr="00BC16BD" w:rsidRDefault="00351568" w:rsidP="00BC16B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C16BD">
        <w:rPr>
          <w:rFonts w:ascii="Palatino Linotype" w:hAnsi="Palatino Linotype" w:cs="Arial"/>
          <w:color w:val="000000" w:themeColor="text1"/>
        </w:rPr>
        <w:t xml:space="preserve">La </w:t>
      </w:r>
      <w:r w:rsidRPr="00BC16BD">
        <w:rPr>
          <w:rFonts w:ascii="Palatino Linotype" w:hAnsi="Palatino Linotype" w:cs="Arial"/>
          <w:b/>
          <w:color w:val="000000" w:themeColor="text1"/>
        </w:rPr>
        <w:t>Comisionada María del Rosario Mejía Ayala</w:t>
      </w:r>
      <w:r w:rsidR="00EA0165" w:rsidRPr="00BC16BD">
        <w:rPr>
          <w:rFonts w:ascii="Palatino Linotype" w:eastAsia="Calibri" w:hAnsi="Palatino Linotype" w:cs="Arial"/>
          <w:color w:val="000000" w:themeColor="text1"/>
        </w:rPr>
        <w:t>, con fundamento en lo dispuesto por el artículo 185 fracción II de la ley de la materia, a través del acuerdo de admisión de</w:t>
      </w:r>
      <w:r w:rsidR="00A67732">
        <w:rPr>
          <w:rFonts w:ascii="Palatino Linotype" w:eastAsia="Calibri" w:hAnsi="Palatino Linotype" w:cs="Arial"/>
          <w:color w:val="000000" w:themeColor="text1"/>
        </w:rPr>
        <w:t xml:space="preserve"> tres</w:t>
      </w:r>
      <w:r w:rsidR="008426D8" w:rsidRPr="00BC16BD">
        <w:rPr>
          <w:rFonts w:ascii="Palatino Linotype" w:eastAsia="Calibri" w:hAnsi="Palatino Linotype" w:cs="Arial"/>
          <w:color w:val="000000" w:themeColor="text1"/>
        </w:rPr>
        <w:t xml:space="preserve"> </w:t>
      </w:r>
      <w:r w:rsidR="00EA0165" w:rsidRPr="00BC16BD">
        <w:rPr>
          <w:rFonts w:ascii="Palatino Linotype" w:eastAsia="Calibri" w:hAnsi="Palatino Linotype" w:cs="Arial"/>
          <w:color w:val="000000" w:themeColor="text1"/>
        </w:rPr>
        <w:t>(</w:t>
      </w:r>
      <w:r w:rsidR="00A67732">
        <w:rPr>
          <w:rFonts w:ascii="Palatino Linotype" w:eastAsia="Calibri" w:hAnsi="Palatino Linotype" w:cs="Arial"/>
          <w:color w:val="000000" w:themeColor="text1"/>
        </w:rPr>
        <w:t>03</w:t>
      </w:r>
      <w:r w:rsidR="00EA0165" w:rsidRPr="00BC16BD">
        <w:rPr>
          <w:rFonts w:ascii="Palatino Linotype" w:eastAsia="Calibri" w:hAnsi="Palatino Linotype" w:cs="Arial"/>
          <w:color w:val="000000" w:themeColor="text1"/>
        </w:rPr>
        <w:t>) de</w:t>
      </w:r>
      <w:r w:rsidR="00D4565B" w:rsidRPr="00BC16BD">
        <w:rPr>
          <w:rFonts w:ascii="Palatino Linotype" w:eastAsia="Calibri" w:hAnsi="Palatino Linotype" w:cs="Arial"/>
          <w:color w:val="000000" w:themeColor="text1"/>
        </w:rPr>
        <w:t xml:space="preserve"> diciembre</w:t>
      </w:r>
      <w:r w:rsidR="00EA0165" w:rsidRPr="00BC16BD">
        <w:rPr>
          <w:rFonts w:ascii="Palatino Linotype" w:eastAsia="Calibri" w:hAnsi="Palatino Linotype" w:cs="Arial"/>
          <w:color w:val="000000" w:themeColor="text1"/>
        </w:rPr>
        <w:t xml:space="preserve"> de dos mil veintiuno, puso a disposición de </w:t>
      </w:r>
      <w:r w:rsidR="00EA0165" w:rsidRPr="00BC16BD">
        <w:rPr>
          <w:rFonts w:ascii="Palatino Linotype" w:eastAsia="Calibri" w:hAnsi="Palatino Linotype" w:cs="Arial"/>
          <w:color w:val="000000" w:themeColor="text1"/>
        </w:rPr>
        <w:lastRenderedPageBreak/>
        <w:t xml:space="preserve">las partes el expediente electrónico </w:t>
      </w:r>
      <w:r w:rsidR="00EA0165" w:rsidRPr="00BC16BD">
        <w:rPr>
          <w:rFonts w:ascii="Palatino Linotype" w:eastAsia="Calibri" w:hAnsi="Palatino Linotype" w:cs="Arial"/>
          <w:color w:val="000000" w:themeColor="text1"/>
          <w:lang w:val="es-ES_tradnl"/>
        </w:rPr>
        <w:t xml:space="preserve">vía </w:t>
      </w:r>
      <w:r w:rsidR="00EA0165" w:rsidRPr="00BC16B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BC16BD">
        <w:rPr>
          <w:rFonts w:ascii="Palatino Linotype" w:eastAsia="Calibri" w:hAnsi="Palatino Linotype" w:cs="Arial"/>
          <w:b/>
          <w:color w:val="000000" w:themeColor="text1"/>
        </w:rPr>
        <w:t>SUJETO OBLIGADO</w:t>
      </w:r>
      <w:r w:rsidR="00EA0165" w:rsidRPr="00BC16BD">
        <w:rPr>
          <w:rFonts w:ascii="Palatino Linotype" w:eastAsia="Calibri" w:hAnsi="Palatino Linotype" w:cs="Arial"/>
          <w:color w:val="000000" w:themeColor="text1"/>
        </w:rPr>
        <w:t xml:space="preserve"> presentara el</w:t>
      </w:r>
      <w:r w:rsidR="00266490" w:rsidRPr="00BC16BD">
        <w:rPr>
          <w:rFonts w:ascii="Palatino Linotype" w:eastAsia="Calibri" w:hAnsi="Palatino Linotype" w:cs="Arial"/>
          <w:color w:val="000000" w:themeColor="text1"/>
        </w:rPr>
        <w:t xml:space="preserve"> </w:t>
      </w:r>
      <w:r w:rsidR="00D4565B" w:rsidRPr="00BC16BD">
        <w:rPr>
          <w:rFonts w:ascii="Palatino Linotype" w:eastAsia="Calibri" w:hAnsi="Palatino Linotype" w:cs="Arial"/>
          <w:color w:val="000000" w:themeColor="text1"/>
        </w:rPr>
        <w:t xml:space="preserve">informe justificado procedente, situación que no se suscitó por ninguna de las partes. </w:t>
      </w:r>
    </w:p>
    <w:p w14:paraId="10C90B71" w14:textId="6A9428D7" w:rsidR="002E2669" w:rsidRPr="00BC16BD" w:rsidRDefault="002E2669" w:rsidP="00BC16BD">
      <w:pPr>
        <w:tabs>
          <w:tab w:val="left" w:pos="426"/>
        </w:tabs>
        <w:spacing w:line="360" w:lineRule="auto"/>
        <w:ind w:right="616"/>
        <w:contextualSpacing/>
        <w:jc w:val="both"/>
        <w:rPr>
          <w:rFonts w:ascii="Palatino Linotype" w:eastAsia="Calibri" w:hAnsi="Palatino Linotype" w:cs="Arial"/>
          <w:i/>
          <w:color w:val="000000" w:themeColor="text1"/>
        </w:rPr>
      </w:pPr>
      <w:bookmarkStart w:id="5" w:name="_Toc461555889"/>
      <w:bookmarkStart w:id="6" w:name="_Toc466371858"/>
    </w:p>
    <w:p w14:paraId="0B120FD0" w14:textId="0D1E076C" w:rsidR="00F62E09" w:rsidRDefault="00B13EF8" w:rsidP="00BC16BD">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color w:val="000000" w:themeColor="text1"/>
          <w:lang w:val="es-ES_tradnl"/>
        </w:rPr>
        <w:t>Así las cosas</w:t>
      </w:r>
      <w:r w:rsidR="00E3149E" w:rsidRPr="00BC16BD">
        <w:rPr>
          <w:rFonts w:ascii="Palatino Linotype" w:eastAsiaTheme="minorEastAsia" w:hAnsi="Palatino Linotype" w:cstheme="minorBidi"/>
          <w:color w:val="000000" w:themeColor="text1"/>
          <w:lang w:val="es-ES_tradnl"/>
        </w:rPr>
        <w:t>,</w:t>
      </w:r>
      <w:r w:rsidRPr="00BC16BD">
        <w:rPr>
          <w:rFonts w:ascii="Palatino Linotype" w:eastAsiaTheme="minorEastAsia" w:hAnsi="Palatino Linotype" w:cstheme="minorBidi"/>
          <w:color w:val="000000" w:themeColor="text1"/>
          <w:lang w:val="es-ES_tradnl"/>
        </w:rPr>
        <w:t xml:space="preserve"> la</w:t>
      </w:r>
      <w:r w:rsidRPr="00BC16BD">
        <w:rPr>
          <w:rFonts w:ascii="Palatino Linotype" w:eastAsiaTheme="minorEastAsia" w:hAnsi="Palatino Linotype" w:cstheme="minorBidi"/>
          <w:b/>
          <w:color w:val="000000" w:themeColor="text1"/>
          <w:lang w:val="es-ES_tradnl"/>
        </w:rPr>
        <w:t xml:space="preserve"> Comisionada María del Rosario Mejía Ayala</w:t>
      </w:r>
      <w:r w:rsidRPr="00BC16BD">
        <w:rPr>
          <w:rFonts w:ascii="Palatino Linotype" w:eastAsiaTheme="minorEastAsia" w:hAnsi="Palatino Linotype" w:cstheme="minorBidi"/>
          <w:color w:val="000000" w:themeColor="text1"/>
          <w:lang w:val="es-ES_tradnl"/>
        </w:rPr>
        <w:t xml:space="preserve"> decretó el cierre de instrucción me</w:t>
      </w:r>
      <w:r w:rsidR="005079B9" w:rsidRPr="00BC16BD">
        <w:rPr>
          <w:rFonts w:ascii="Palatino Linotype" w:eastAsiaTheme="minorEastAsia" w:hAnsi="Palatino Linotype" w:cstheme="minorBidi"/>
          <w:color w:val="000000" w:themeColor="text1"/>
          <w:lang w:val="es-ES_tradnl"/>
        </w:rPr>
        <w:t>di</w:t>
      </w:r>
      <w:r w:rsidR="00D4565B" w:rsidRPr="00BC16BD">
        <w:rPr>
          <w:rFonts w:ascii="Palatino Linotype" w:eastAsiaTheme="minorEastAsia" w:hAnsi="Palatino Linotype" w:cstheme="minorBidi"/>
          <w:color w:val="000000" w:themeColor="text1"/>
          <w:lang w:val="es-ES_tradnl"/>
        </w:rPr>
        <w:t>an</w:t>
      </w:r>
      <w:r w:rsidR="00A67732">
        <w:rPr>
          <w:rFonts w:ascii="Palatino Linotype" w:eastAsiaTheme="minorEastAsia" w:hAnsi="Palatino Linotype" w:cstheme="minorBidi"/>
          <w:color w:val="000000" w:themeColor="text1"/>
          <w:lang w:val="es-ES_tradnl"/>
        </w:rPr>
        <w:t>te acuerdo de fecha doce (12</w:t>
      </w:r>
      <w:r w:rsidR="005079B9" w:rsidRPr="00BC16BD">
        <w:rPr>
          <w:rFonts w:ascii="Palatino Linotype" w:eastAsiaTheme="minorEastAsia" w:hAnsi="Palatino Linotype" w:cstheme="minorBidi"/>
          <w:color w:val="000000" w:themeColor="text1"/>
          <w:lang w:val="es-ES_tradnl"/>
        </w:rPr>
        <w:t>) de</w:t>
      </w:r>
      <w:r w:rsidR="00D4565B" w:rsidRPr="00BC16BD">
        <w:rPr>
          <w:rFonts w:ascii="Palatino Linotype" w:eastAsiaTheme="minorEastAsia" w:hAnsi="Palatino Linotype" w:cstheme="minorBidi"/>
          <w:color w:val="000000" w:themeColor="text1"/>
          <w:lang w:val="es-ES_tradnl"/>
        </w:rPr>
        <w:t xml:space="preserve"> enero</w:t>
      </w:r>
      <w:r w:rsidR="001643F3" w:rsidRPr="00BC16BD">
        <w:rPr>
          <w:rFonts w:ascii="Palatino Linotype" w:eastAsiaTheme="minorEastAsia" w:hAnsi="Palatino Linotype" w:cstheme="minorBidi"/>
          <w:color w:val="000000" w:themeColor="text1"/>
          <w:lang w:val="es-ES_tradnl"/>
        </w:rPr>
        <w:t xml:space="preserve"> </w:t>
      </w:r>
      <w:r w:rsidR="00D4565B" w:rsidRPr="00BC16BD">
        <w:rPr>
          <w:rFonts w:ascii="Palatino Linotype" w:eastAsiaTheme="minorEastAsia" w:hAnsi="Palatino Linotype" w:cstheme="minorBidi"/>
          <w:color w:val="000000" w:themeColor="text1"/>
          <w:lang w:val="es-ES_tradnl"/>
        </w:rPr>
        <w:t xml:space="preserve">de dos mil veintidós. </w:t>
      </w:r>
    </w:p>
    <w:p w14:paraId="71F02E42" w14:textId="77777777" w:rsidR="00A67732" w:rsidRDefault="00A67732" w:rsidP="00A67732">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6C05DB7" w14:textId="046415ED" w:rsidR="00A67732" w:rsidRPr="00A67732" w:rsidRDefault="00A67732" w:rsidP="00A67732">
      <w:pPr>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A67732">
        <w:rPr>
          <w:rFonts w:ascii="Palatino Linotype" w:eastAsiaTheme="minorEastAsia" w:hAnsi="Palatino Linotype" w:cstheme="minorBidi"/>
          <w:color w:val="000000" w:themeColor="text1"/>
          <w:lang w:val="es-MX"/>
        </w:rPr>
        <w:t xml:space="preserve">El </w:t>
      </w:r>
      <w:r>
        <w:rPr>
          <w:rFonts w:ascii="Palatino Linotype" w:eastAsiaTheme="minorEastAsia" w:hAnsi="Palatino Linotype" w:cstheme="minorBidi"/>
          <w:color w:val="000000" w:themeColor="text1"/>
          <w:lang w:val="es-MX"/>
        </w:rPr>
        <w:t>once (11</w:t>
      </w:r>
      <w:r w:rsidRPr="00A67732">
        <w:rPr>
          <w:rFonts w:ascii="Palatino Linotype" w:eastAsiaTheme="minorEastAsia" w:hAnsi="Palatino Linotype" w:cstheme="minorBidi"/>
          <w:color w:val="000000" w:themeColor="text1"/>
          <w:lang w:val="es-MX"/>
        </w:rPr>
        <w:t>) de</w:t>
      </w:r>
      <w:r>
        <w:rPr>
          <w:rFonts w:ascii="Palatino Linotype" w:eastAsiaTheme="minorEastAsia" w:hAnsi="Palatino Linotype" w:cstheme="minorBidi"/>
          <w:color w:val="000000" w:themeColor="text1"/>
          <w:lang w:val="es-MX"/>
        </w:rPr>
        <w:t xml:space="preserve"> febrero</w:t>
      </w:r>
      <w:r w:rsidRPr="00A67732">
        <w:rPr>
          <w:rFonts w:ascii="Palatino Linotype" w:eastAsiaTheme="minorEastAsia" w:hAnsi="Palatino Linotype" w:cstheme="minorBidi"/>
          <w:color w:val="000000" w:themeColor="text1"/>
          <w:lang w:val="es-MX"/>
        </w:rPr>
        <w:t xml:space="preserve"> </w:t>
      </w:r>
      <w:r>
        <w:rPr>
          <w:rFonts w:ascii="Palatino Linotype" w:eastAsiaTheme="minorEastAsia" w:hAnsi="Palatino Linotype" w:cstheme="minorBidi"/>
          <w:color w:val="000000" w:themeColor="text1"/>
          <w:lang w:val="es-MX"/>
        </w:rPr>
        <w:t>de dos mil veintidós</w:t>
      </w:r>
      <w:r w:rsidRPr="00A67732">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1A06EC63" w14:textId="77777777" w:rsidR="0028674A" w:rsidRPr="00BC16BD" w:rsidRDefault="0028674A" w:rsidP="00BC16BD">
      <w:pPr>
        <w:spacing w:line="360" w:lineRule="auto"/>
        <w:rPr>
          <w:rFonts w:ascii="Palatino Linotype" w:hAnsi="Palatino Linotype"/>
          <w:lang w:val="es-MX" w:eastAsia="en-US"/>
        </w:rPr>
      </w:pPr>
      <w:bookmarkStart w:id="7" w:name="_Toc68804758"/>
    </w:p>
    <w:p w14:paraId="494F97AD" w14:textId="77777777" w:rsidR="00EA0165" w:rsidRPr="00BC16BD" w:rsidRDefault="00EA0165" w:rsidP="00BC16BD">
      <w:pPr>
        <w:pStyle w:val="Ttulo1"/>
        <w:spacing w:line="360" w:lineRule="auto"/>
        <w:jc w:val="center"/>
        <w:rPr>
          <w:rFonts w:ascii="Palatino Linotype" w:hAnsi="Palatino Linotype"/>
          <w:b/>
          <w:color w:val="000000" w:themeColor="text1"/>
          <w:sz w:val="24"/>
          <w:szCs w:val="24"/>
          <w:lang w:val="es-MX" w:eastAsia="en-US"/>
        </w:rPr>
      </w:pPr>
      <w:bookmarkStart w:id="8" w:name="_Toc95401039"/>
      <w:r w:rsidRPr="00BC16BD">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BC16BD" w:rsidRDefault="00EA0165" w:rsidP="00BC16BD">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BC16BD" w:rsidRDefault="00EA0165" w:rsidP="00BC16B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5401040"/>
      <w:r w:rsidRPr="00BC16BD">
        <w:rPr>
          <w:rFonts w:ascii="Palatino Linotype" w:hAnsi="Palatino Linotype"/>
          <w:b/>
          <w:color w:val="000000" w:themeColor="text1"/>
          <w:sz w:val="24"/>
          <w:szCs w:val="24"/>
          <w:lang w:val="es-MX" w:eastAsia="en-US"/>
        </w:rPr>
        <w:t>PRIMERO. De la competencia</w:t>
      </w:r>
      <w:bookmarkEnd w:id="9"/>
      <w:bookmarkEnd w:id="10"/>
      <w:bookmarkEnd w:id="11"/>
      <w:r w:rsidR="00537427" w:rsidRPr="00BC16BD">
        <w:rPr>
          <w:rFonts w:ascii="Palatino Linotype" w:hAnsi="Palatino Linotype"/>
          <w:b/>
          <w:color w:val="000000" w:themeColor="text1"/>
          <w:sz w:val="24"/>
          <w:szCs w:val="24"/>
          <w:lang w:val="es-MX" w:eastAsia="en-US"/>
        </w:rPr>
        <w:t>.</w:t>
      </w:r>
      <w:bookmarkEnd w:id="12"/>
    </w:p>
    <w:p w14:paraId="341F67EC" w14:textId="77777777" w:rsidR="00EA0165" w:rsidRPr="00BC16BD" w:rsidRDefault="00EA0165" w:rsidP="00BC16BD">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BC16BD" w:rsidRDefault="00EA0165" w:rsidP="00BC16BD">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BC16B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C16BD">
        <w:rPr>
          <w:rFonts w:ascii="Palatino Linotype" w:eastAsia="Calibri" w:hAnsi="Palatino Linotype"/>
          <w:b/>
        </w:rPr>
        <w:t>Constitución Política de los Estados Unidos Mexicanos</w:t>
      </w:r>
      <w:r w:rsidRPr="00BC16BD">
        <w:rPr>
          <w:rFonts w:ascii="Palatino Linotype" w:eastAsia="Calibri" w:hAnsi="Palatino Linotype"/>
        </w:rPr>
        <w:t xml:space="preserve">; </w:t>
      </w:r>
      <w:r w:rsidRPr="00BC16BD">
        <w:rPr>
          <w:rFonts w:ascii="Palatino Linotype" w:eastAsia="Calibri" w:hAnsi="Palatino Linotype" w:cs="Arial"/>
          <w:bCs/>
          <w:color w:val="222222"/>
          <w:shd w:val="clear" w:color="auto" w:fill="FFFFFF"/>
          <w:lang w:eastAsia="en-US"/>
        </w:rPr>
        <w:t>5, párrafo</w:t>
      </w:r>
      <w:r w:rsidR="00543BF9" w:rsidRPr="00BC16BD">
        <w:rPr>
          <w:rFonts w:ascii="Palatino Linotype" w:eastAsia="Calibri" w:hAnsi="Palatino Linotype"/>
          <w:lang w:val="es-MX" w:eastAsia="en-US"/>
        </w:rPr>
        <w:t xml:space="preserve"> trigésimo, trigésimo primero y trigésimo segundo, fracciones I, II, III, IV y V</w:t>
      </w:r>
      <w:r w:rsidR="00543BF9" w:rsidRPr="00BC16BD">
        <w:rPr>
          <w:rFonts w:ascii="Palatino Linotype" w:eastAsia="MS Mincho" w:hAnsi="Palatino Linotype"/>
          <w:lang w:val="es-ES_tradnl"/>
        </w:rPr>
        <w:t xml:space="preserve"> </w:t>
      </w:r>
      <w:r w:rsidRPr="00BC16BD">
        <w:rPr>
          <w:rFonts w:ascii="Palatino Linotype" w:eastAsia="Calibri" w:hAnsi="Palatino Linotype"/>
        </w:rPr>
        <w:t xml:space="preserve">de la </w:t>
      </w:r>
      <w:r w:rsidRPr="00BC16BD">
        <w:rPr>
          <w:rFonts w:ascii="Palatino Linotype" w:eastAsia="Calibri" w:hAnsi="Palatino Linotype"/>
          <w:b/>
        </w:rPr>
        <w:lastRenderedPageBreak/>
        <w:t>Constitución Política del Estado Libre y Soberano de México</w:t>
      </w:r>
      <w:r w:rsidRPr="00BC16BD">
        <w:rPr>
          <w:rFonts w:ascii="Palatino Linotype" w:eastAsia="Calibri" w:hAnsi="Palatino Linotype"/>
        </w:rPr>
        <w:t xml:space="preserve">; artículos 1, 2 fracción II, 13, 29, 36 fracciones I y II, 176, 178, 179, 181 párrafo tercero y 185 </w:t>
      </w:r>
      <w:r w:rsidRPr="00BC16BD">
        <w:rPr>
          <w:rFonts w:ascii="Palatino Linotype" w:eastAsia="Calibri" w:hAnsi="Palatino Linotype" w:cs="Arial"/>
        </w:rPr>
        <w:t xml:space="preserve">de la </w:t>
      </w:r>
      <w:r w:rsidRPr="00BC16BD">
        <w:rPr>
          <w:rFonts w:ascii="Palatino Linotype" w:eastAsia="Calibri" w:hAnsi="Palatino Linotype" w:cs="Arial"/>
          <w:b/>
        </w:rPr>
        <w:t>Ley de Transparencia y Acceso a la Información Pública del Estado de México y Municipios</w:t>
      </w:r>
      <w:r w:rsidRPr="00BC16BD">
        <w:rPr>
          <w:rFonts w:ascii="Palatino Linotype" w:eastAsia="Calibri" w:hAnsi="Palatino Linotype" w:cs="Arial"/>
        </w:rPr>
        <w:t xml:space="preserve">; </w:t>
      </w:r>
      <w:r w:rsidRPr="00BC16BD">
        <w:rPr>
          <w:rFonts w:ascii="Palatino Linotype" w:eastAsia="Calibri" w:hAnsi="Palatino Linotype" w:cs="Arial"/>
          <w:b/>
        </w:rPr>
        <w:t>7, 9 fracciones I y XXIV, y 11</w:t>
      </w:r>
      <w:r w:rsidRPr="00BC16BD">
        <w:rPr>
          <w:rFonts w:ascii="Palatino Linotype" w:eastAsia="Calibri" w:hAnsi="Palatino Linotype" w:cs="Arial"/>
        </w:rPr>
        <w:t xml:space="preserve"> del </w:t>
      </w:r>
      <w:r w:rsidRPr="00BC16B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BC16BD">
        <w:rPr>
          <w:rFonts w:ascii="Palatino Linotype" w:eastAsia="Calibri" w:hAnsi="Palatino Linotype" w:cs="Arial"/>
          <w:b/>
        </w:rPr>
        <w:t>.</w:t>
      </w:r>
    </w:p>
    <w:p w14:paraId="343B0FCF" w14:textId="413622B7" w:rsidR="00EA0165" w:rsidRPr="00BC16BD" w:rsidRDefault="00EA0165" w:rsidP="00BC16BD">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5401041"/>
      <w:r w:rsidRPr="00BC16BD">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BC16BD" w:rsidRDefault="00EA0165" w:rsidP="00BC16BD">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5401042"/>
      <w:r w:rsidRPr="00BC16BD">
        <w:rPr>
          <w:rFonts w:ascii="Palatino Linotype" w:hAnsi="Palatino Linotype"/>
          <w:b/>
          <w:color w:val="000000" w:themeColor="text1"/>
          <w:sz w:val="24"/>
          <w:szCs w:val="24"/>
          <w:lang w:val="es-MX" w:eastAsia="en-US"/>
        </w:rPr>
        <w:t>I. De la interposición del recurso.</w:t>
      </w:r>
      <w:bookmarkEnd w:id="17"/>
      <w:bookmarkEnd w:id="18"/>
      <w:bookmarkEnd w:id="19"/>
      <w:r w:rsidRPr="00BC16BD">
        <w:rPr>
          <w:rFonts w:ascii="Palatino Linotype" w:hAnsi="Palatino Linotype"/>
          <w:b/>
          <w:color w:val="000000" w:themeColor="text1"/>
          <w:sz w:val="24"/>
          <w:szCs w:val="24"/>
          <w:lang w:val="es-MX" w:eastAsia="en-US"/>
        </w:rPr>
        <w:t xml:space="preserve"> </w:t>
      </w:r>
    </w:p>
    <w:p w14:paraId="489BB18C" w14:textId="77777777" w:rsidR="00EA0165" w:rsidRPr="00BC16BD" w:rsidRDefault="00EA0165" w:rsidP="00BC16BD">
      <w:pPr>
        <w:keepNext/>
        <w:keepLines/>
        <w:tabs>
          <w:tab w:val="left" w:pos="0"/>
        </w:tabs>
        <w:spacing w:line="360" w:lineRule="auto"/>
        <w:contextualSpacing/>
        <w:outlineLvl w:val="0"/>
        <w:rPr>
          <w:rFonts w:ascii="Palatino Linotype" w:eastAsia="MS Gothic" w:hAnsi="Palatino Linotype"/>
          <w:b/>
          <w:lang w:val="es-MX" w:eastAsia="en-US"/>
        </w:rPr>
      </w:pPr>
    </w:p>
    <w:p w14:paraId="5EA64B79" w14:textId="6EBBF04B" w:rsidR="00A2042B" w:rsidRDefault="00EA0165" w:rsidP="00BC16BD">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BC16BD">
        <w:rPr>
          <w:rFonts w:ascii="Palatino Linotype" w:eastAsia="Calibri" w:hAnsi="Palatino Linotype" w:cs="Arial"/>
          <w:lang w:val="es-ES_tradnl"/>
        </w:rPr>
        <w:t xml:space="preserve">El medio de impugnación fue presentado a través del </w:t>
      </w:r>
      <w:r w:rsidRPr="00BC16BD">
        <w:rPr>
          <w:rFonts w:ascii="Palatino Linotype" w:eastAsia="Calibri" w:hAnsi="Palatino Linotype" w:cs="Arial"/>
          <w:b/>
          <w:lang w:val="es-ES_tradnl"/>
        </w:rPr>
        <w:t>SAIMEX,</w:t>
      </w:r>
      <w:r w:rsidRPr="00BC16BD">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BC16BD">
        <w:rPr>
          <w:rFonts w:ascii="Palatino Linotype" w:eastAsia="Calibri" w:hAnsi="Palatino Linotype" w:cs="Arial"/>
          <w:lang w:val="es-ES_tradnl"/>
        </w:rPr>
        <w:t xml:space="preserve">particular es de señalar que si el </w:t>
      </w:r>
      <w:r w:rsidRPr="00BC16BD">
        <w:rPr>
          <w:rFonts w:ascii="Palatino Linotype" w:eastAsia="Calibri" w:hAnsi="Palatino Linotype" w:cs="Arial"/>
          <w:b/>
          <w:lang w:val="es-ES_tradnl"/>
        </w:rPr>
        <w:t>SUJETO OBLIGADO</w:t>
      </w:r>
      <w:r w:rsidRPr="00BC16BD">
        <w:rPr>
          <w:rFonts w:ascii="Palatino Linotype" w:eastAsia="Calibri" w:hAnsi="Palatino Linotype" w:cs="Arial"/>
          <w:lang w:val="es-ES_tradnl"/>
        </w:rPr>
        <w:t xml:space="preserve"> entregó respuesta el d</w:t>
      </w:r>
      <w:r w:rsidR="00A67732">
        <w:rPr>
          <w:rFonts w:ascii="Palatino Linotype" w:eastAsia="Calibri" w:hAnsi="Palatino Linotype" w:cs="Arial"/>
          <w:lang w:val="es-ES_tradnl"/>
        </w:rPr>
        <w:t>ía veintinueve (29</w:t>
      </w:r>
      <w:r w:rsidRPr="00BC16BD">
        <w:rPr>
          <w:rFonts w:ascii="Palatino Linotype" w:eastAsia="Calibri" w:hAnsi="Palatino Linotype" w:cs="Arial"/>
          <w:lang w:val="es-ES_tradnl"/>
        </w:rPr>
        <w:t>) de</w:t>
      </w:r>
      <w:r w:rsidR="00A67732">
        <w:rPr>
          <w:rFonts w:ascii="Palatino Linotype" w:eastAsia="Calibri" w:hAnsi="Palatino Linotype" w:cs="Arial"/>
          <w:lang w:val="es-ES_tradnl"/>
        </w:rPr>
        <w:t xml:space="preserve"> noviembre al veintiuno</w:t>
      </w:r>
      <w:r w:rsidRPr="00BC16BD">
        <w:rPr>
          <w:rFonts w:ascii="Palatino Linotype" w:eastAsia="Calibri" w:hAnsi="Palatino Linotype" w:cs="Arial"/>
          <w:lang w:val="es-MX" w:eastAsia="en-US"/>
        </w:rPr>
        <w:t>, el plazo para interponer el recurso de rev</w:t>
      </w:r>
      <w:r w:rsidR="00E62DC6" w:rsidRPr="00BC16BD">
        <w:rPr>
          <w:rFonts w:ascii="Palatino Linotype" w:eastAsia="Calibri" w:hAnsi="Palatino Linotype" w:cs="Arial"/>
          <w:lang w:val="es-MX" w:eastAsia="en-US"/>
        </w:rPr>
        <w:t xml:space="preserve">isión </w:t>
      </w:r>
      <w:r w:rsidR="00A2042B" w:rsidRPr="00BC16BD">
        <w:rPr>
          <w:rFonts w:ascii="Palatino Linotype" w:eastAsia="Calibri" w:hAnsi="Palatino Linotype" w:cs="Arial"/>
          <w:lang w:val="es-MX" w:eastAsia="en-US"/>
        </w:rPr>
        <w:t>trascurrió del</w:t>
      </w:r>
      <w:r w:rsidR="00806829" w:rsidRPr="00BC16BD">
        <w:rPr>
          <w:rFonts w:ascii="Palatino Linotype" w:eastAsia="Calibri" w:hAnsi="Palatino Linotype" w:cs="Arial"/>
          <w:lang w:val="es-MX" w:eastAsia="en-US"/>
        </w:rPr>
        <w:t xml:space="preserve"> </w:t>
      </w:r>
      <w:r w:rsidR="00A67732">
        <w:rPr>
          <w:rFonts w:ascii="Palatino Linotype" w:eastAsia="Calibri" w:hAnsi="Palatino Linotype" w:cs="Arial"/>
          <w:lang w:val="es-MX" w:eastAsia="en-US"/>
        </w:rPr>
        <w:t>treinta (30</w:t>
      </w:r>
      <w:r w:rsidRPr="00BC16BD">
        <w:rPr>
          <w:rFonts w:ascii="Palatino Linotype" w:eastAsia="Calibri" w:hAnsi="Palatino Linotype" w:cs="Arial"/>
          <w:lang w:val="es-MX" w:eastAsia="en-US"/>
        </w:rPr>
        <w:t>)</w:t>
      </w:r>
      <w:r w:rsidR="00A2042B" w:rsidRPr="00BC16BD">
        <w:rPr>
          <w:rFonts w:ascii="Palatino Linotype" w:eastAsia="Calibri" w:hAnsi="Palatino Linotype" w:cs="Arial"/>
          <w:lang w:val="es-MX" w:eastAsia="en-US"/>
        </w:rPr>
        <w:t xml:space="preserve"> </w:t>
      </w:r>
      <w:r w:rsidR="003E0B9D" w:rsidRPr="00BC16BD">
        <w:rPr>
          <w:rFonts w:ascii="Palatino Linotype" w:eastAsia="Calibri" w:hAnsi="Palatino Linotype" w:cs="Arial"/>
          <w:lang w:val="es-MX" w:eastAsia="en-US"/>
        </w:rPr>
        <w:t xml:space="preserve"> de </w:t>
      </w:r>
      <w:r w:rsidR="00A67732">
        <w:rPr>
          <w:rFonts w:ascii="Palatino Linotype" w:eastAsia="Calibri" w:hAnsi="Palatino Linotype" w:cs="Arial"/>
          <w:lang w:val="es-MX" w:eastAsia="en-US"/>
        </w:rPr>
        <w:t xml:space="preserve">noviembre al </w:t>
      </w:r>
      <w:r w:rsidR="00A67732" w:rsidRPr="00A67732">
        <w:rPr>
          <w:rFonts w:ascii="Palatino Linotype" w:eastAsia="Calibri" w:hAnsi="Palatino Linotype" w:cs="Arial"/>
          <w:lang w:val="es-ES_tradnl" w:eastAsia="en-US"/>
        </w:rPr>
        <w:t>(21) de diciembre de dos mil veintiuno</w:t>
      </w:r>
      <w:r w:rsidR="003E0B9D" w:rsidRPr="00BC16BD">
        <w:rPr>
          <w:rFonts w:ascii="Palatino Linotype" w:eastAsia="Calibri" w:hAnsi="Palatino Linotype" w:cs="Arial"/>
          <w:lang w:val="es-MX" w:eastAsia="en-US"/>
        </w:rPr>
        <w:t xml:space="preserve">, </w:t>
      </w:r>
      <w:r w:rsidR="00E62DC6" w:rsidRPr="00BC16BD">
        <w:rPr>
          <w:rFonts w:ascii="Palatino Linotype" w:eastAsia="Calibri" w:hAnsi="Palatino Linotype" w:cs="Arial"/>
          <w:lang w:val="es-MX" w:eastAsia="en-US"/>
        </w:rPr>
        <w:t xml:space="preserve"> </w:t>
      </w:r>
      <w:r w:rsidRPr="00BC16BD">
        <w:rPr>
          <w:rFonts w:ascii="Palatino Linotype" w:eastAsia="Calibri" w:hAnsi="Palatino Linotype" w:cs="Arial"/>
          <w:lang w:val="es-MX" w:eastAsia="en-US"/>
        </w:rPr>
        <w:t>por lo que si el particular i</w:t>
      </w:r>
      <w:r w:rsidR="00392E2B" w:rsidRPr="00BC16BD">
        <w:rPr>
          <w:rFonts w:ascii="Palatino Linotype" w:eastAsia="Calibri" w:hAnsi="Palatino Linotype" w:cs="Arial"/>
          <w:lang w:val="es-MX" w:eastAsia="en-US"/>
        </w:rPr>
        <w:t>nterpus</w:t>
      </w:r>
      <w:r w:rsidR="00806829" w:rsidRPr="00BC16BD">
        <w:rPr>
          <w:rFonts w:ascii="Palatino Linotype" w:eastAsia="Calibri" w:hAnsi="Palatino Linotype" w:cs="Arial"/>
          <w:lang w:val="es-MX" w:eastAsia="en-US"/>
        </w:rPr>
        <w:t xml:space="preserve">o </w:t>
      </w:r>
      <w:r w:rsidR="00A67732">
        <w:rPr>
          <w:rFonts w:ascii="Palatino Linotype" w:eastAsia="Calibri" w:hAnsi="Palatino Linotype" w:cs="Arial"/>
          <w:lang w:val="es-MX" w:eastAsia="en-US"/>
        </w:rPr>
        <w:t>recurso de revisión el treinta (30</w:t>
      </w:r>
      <w:r w:rsidR="00BD6857" w:rsidRPr="00BC16BD">
        <w:rPr>
          <w:rFonts w:ascii="Palatino Linotype" w:eastAsia="Calibri" w:hAnsi="Palatino Linotype" w:cs="Arial"/>
          <w:lang w:val="es-MX" w:eastAsia="en-US"/>
        </w:rPr>
        <w:t>) de</w:t>
      </w:r>
      <w:r w:rsidR="003E0B9D" w:rsidRPr="00BC16BD">
        <w:rPr>
          <w:rFonts w:ascii="Palatino Linotype" w:eastAsia="Calibri" w:hAnsi="Palatino Linotype" w:cs="Arial"/>
          <w:lang w:val="es-MX" w:eastAsia="en-US"/>
        </w:rPr>
        <w:t xml:space="preserve"> diciembre</w:t>
      </w:r>
      <w:r w:rsidR="00A67732">
        <w:rPr>
          <w:rFonts w:ascii="Palatino Linotype" w:eastAsia="Calibri" w:hAnsi="Palatino Linotype" w:cs="Arial"/>
          <w:lang w:val="es-MX" w:eastAsia="en-US"/>
        </w:rPr>
        <w:t xml:space="preserve"> de dos mil veintiuno</w:t>
      </w:r>
      <w:r w:rsidR="003E0B9D" w:rsidRPr="00BC16BD">
        <w:rPr>
          <w:rFonts w:ascii="Palatino Linotype" w:eastAsia="Calibri" w:hAnsi="Palatino Linotype" w:cs="Arial"/>
          <w:lang w:val="es-MX" w:eastAsia="en-US"/>
        </w:rPr>
        <w:t xml:space="preserve"> </w:t>
      </w:r>
      <w:r w:rsidRPr="00BC16BD">
        <w:rPr>
          <w:rFonts w:ascii="Palatino Linotype" w:hAnsi="Palatino Linotype"/>
          <w:lang w:val="es-ES_tradnl"/>
        </w:rPr>
        <w:t xml:space="preserve">se encuentra dentro del periodo establecido por la Ley. </w:t>
      </w:r>
    </w:p>
    <w:p w14:paraId="54C3C28A" w14:textId="77777777" w:rsidR="00694F4C" w:rsidRPr="00A923D1" w:rsidRDefault="00694F4C" w:rsidP="00694F4C">
      <w:pPr>
        <w:keepNext/>
        <w:keepLines/>
        <w:spacing w:before="240" w:line="360" w:lineRule="auto"/>
        <w:jc w:val="both"/>
        <w:outlineLvl w:val="0"/>
        <w:rPr>
          <w:rFonts w:ascii="Palatino Linotype" w:eastAsiaTheme="majorEastAsia" w:hAnsi="Palatino Linotype" w:cstheme="majorBidi"/>
          <w:b/>
        </w:rPr>
      </w:pPr>
      <w:bookmarkStart w:id="20" w:name="_Toc86344477"/>
      <w:bookmarkStart w:id="21" w:name="_Toc92915186"/>
      <w:bookmarkStart w:id="22" w:name="_Toc93359218"/>
      <w:bookmarkStart w:id="23" w:name="_Toc94803028"/>
      <w:bookmarkStart w:id="24" w:name="_Toc95401043"/>
      <w:r w:rsidRPr="00A923D1">
        <w:rPr>
          <w:rFonts w:ascii="Palatino Linotype" w:eastAsiaTheme="majorEastAsia" w:hAnsi="Palatino Linotype" w:cstheme="majorBidi"/>
          <w:b/>
        </w:rPr>
        <w:t>II. Del nombre como requisito innecesario para la tramitación del recurso.</w:t>
      </w:r>
      <w:bookmarkEnd w:id="20"/>
      <w:bookmarkEnd w:id="21"/>
      <w:bookmarkEnd w:id="22"/>
      <w:bookmarkEnd w:id="23"/>
      <w:bookmarkEnd w:id="24"/>
      <w:r w:rsidRPr="00A923D1">
        <w:rPr>
          <w:rFonts w:ascii="Palatino Linotype" w:eastAsiaTheme="majorEastAsia" w:hAnsi="Palatino Linotype" w:cstheme="majorBidi"/>
          <w:b/>
        </w:rPr>
        <w:t xml:space="preserve"> </w:t>
      </w:r>
    </w:p>
    <w:p w14:paraId="750B09B0"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437F91CF" w14:textId="151E830F" w:rsidR="00694F4C" w:rsidRPr="00694F4C" w:rsidRDefault="00694F4C" w:rsidP="00694F4C">
      <w:pPr>
        <w:pStyle w:val="Prrafodelista"/>
        <w:numPr>
          <w:ilvl w:val="0"/>
          <w:numId w:val="5"/>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694F4C">
        <w:rPr>
          <w:rFonts w:ascii="Palatino Linotype" w:hAnsi="Palatino Linotype" w:cs="Arial"/>
          <w:bCs/>
          <w:lang w:val="es-ES_tradnl"/>
        </w:rPr>
        <w:t xml:space="preserve">Por </w:t>
      </w:r>
      <w:r w:rsidRPr="00694F4C">
        <w:rPr>
          <w:rFonts w:ascii="Palatino Linotype" w:hAnsi="Palatino Linotype" w:cs="Arial"/>
          <w:bCs/>
        </w:rPr>
        <w:t xml:space="preserve">otro lado, de la revisión al expediente electrónico contenido en el sistema </w:t>
      </w:r>
      <w:r w:rsidRPr="00694F4C">
        <w:rPr>
          <w:rFonts w:ascii="Palatino Linotype" w:hAnsi="Palatino Linotype" w:cs="Arial"/>
          <w:b/>
          <w:bCs/>
        </w:rPr>
        <w:t>SAIMEX,</w:t>
      </w:r>
      <w:r w:rsidRPr="00694F4C">
        <w:rPr>
          <w:rFonts w:ascii="Palatino Linotype" w:hAnsi="Palatino Linotype" w:cs="Arial"/>
          <w:bCs/>
        </w:rPr>
        <w:t xml:space="preserve"> se desprende que la parte solicitante, en ejercicio de su derecho de acceso a la información pública, tanto en la solicitud de información como en el recurso de revisión, </w:t>
      </w:r>
      <w:r w:rsidRPr="00694F4C">
        <w:rPr>
          <w:rFonts w:ascii="Palatino Linotype" w:hAnsi="Palatino Linotype" w:cs="Arial"/>
          <w:b/>
          <w:bCs/>
        </w:rPr>
        <w:t>no señaló su nombre completo, ni se tiene certeza sobre su identidad</w:t>
      </w:r>
      <w:r w:rsidRPr="00694F4C">
        <w:rPr>
          <w:rFonts w:ascii="Palatino Linotype" w:hAnsi="Palatino Linotype" w:cs="Arial"/>
          <w:bCs/>
        </w:rPr>
        <w:t xml:space="preserve">; sin </w:t>
      </w:r>
      <w:r w:rsidRPr="00694F4C">
        <w:rPr>
          <w:rFonts w:ascii="Palatino Linotype" w:hAnsi="Palatino Linotype" w:cs="Arial"/>
          <w:bCs/>
        </w:rPr>
        <w:lastRenderedPageBreak/>
        <w:t>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0098932"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58E0F238"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 xml:space="preserve">Esto es así, ya que de conformidad con los artículos 6, apartado A, fracciones III y IV de la </w:t>
      </w:r>
      <w:r w:rsidRPr="00A923D1">
        <w:rPr>
          <w:rFonts w:ascii="Palatino Linotype" w:hAnsi="Palatino Linotype" w:cs="Arial"/>
          <w:b/>
          <w:bCs/>
        </w:rPr>
        <w:t>Constitución Política de los Estados Unidos Mexicanos</w:t>
      </w:r>
      <w:r w:rsidRPr="00A923D1">
        <w:rPr>
          <w:rFonts w:ascii="Palatino Linotype" w:hAnsi="Palatino Linotype" w:cs="Arial"/>
          <w:bCs/>
        </w:rPr>
        <w:t xml:space="preserve">; 5, párrafos trigésimo, trigésimo primero y trigésimo segundo, fracciones III, IV y V, de la </w:t>
      </w:r>
      <w:r w:rsidRPr="00A923D1">
        <w:rPr>
          <w:rFonts w:ascii="Palatino Linotype" w:hAnsi="Palatino Linotype" w:cs="Arial"/>
          <w:b/>
          <w:bCs/>
        </w:rPr>
        <w:t>Constitución Política del Estado Libre y Soberano de México</w:t>
      </w:r>
      <w:r w:rsidRPr="00A923D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B92AE1"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02AEE018"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A923D1">
        <w:rPr>
          <w:rFonts w:ascii="Palatino Linotype" w:hAnsi="Palatino Linotype" w:cs="Arial"/>
          <w:bCs/>
        </w:rPr>
        <w:lastRenderedPageBreak/>
        <w:t>pueda ser anónima o no contener un nombre que identifique al Solicitante o que permita tener certeza sobre su identidad.</w:t>
      </w:r>
    </w:p>
    <w:p w14:paraId="09D7B0D8"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32A803D2"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2A76658"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1B0E3179"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A8CB59E"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53DA801D" w14:textId="4090651F" w:rsidR="00694F4C" w:rsidRPr="00694F4C"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 xml:space="preserve">Por lo tanto, el nombre de la </w:t>
      </w:r>
      <w:r w:rsidRPr="00A923D1">
        <w:rPr>
          <w:rFonts w:ascii="Palatino Linotype" w:hAnsi="Palatino Linotype" w:cs="Arial"/>
          <w:b/>
          <w:bCs/>
        </w:rPr>
        <w:t>SOLICITANTE</w:t>
      </w:r>
      <w:r w:rsidRPr="00A923D1">
        <w:rPr>
          <w:rFonts w:ascii="Palatino Linotype" w:hAnsi="Palatino Linotype" w:cs="Arial"/>
          <w:bCs/>
        </w:rPr>
        <w:t xml:space="preserve"> y subsecuente </w:t>
      </w:r>
      <w:r w:rsidRPr="00A923D1">
        <w:rPr>
          <w:rFonts w:ascii="Palatino Linotype" w:hAnsi="Palatino Linotype" w:cs="Arial"/>
          <w:b/>
          <w:bCs/>
        </w:rPr>
        <w:t>RECURRENTE</w:t>
      </w:r>
      <w:r w:rsidRPr="00A923D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667250E" w14:textId="517F1273" w:rsidR="00D217A4" w:rsidRPr="00BC16BD" w:rsidRDefault="00D53E41" w:rsidP="00BC16BD">
      <w:pPr>
        <w:pStyle w:val="Ttulo1"/>
        <w:spacing w:line="360" w:lineRule="auto"/>
        <w:jc w:val="both"/>
        <w:rPr>
          <w:rFonts w:ascii="Palatino Linotype" w:hAnsi="Palatino Linotype"/>
          <w:b/>
          <w:color w:val="000000" w:themeColor="text1"/>
          <w:sz w:val="24"/>
          <w:szCs w:val="24"/>
          <w:lang w:val="es-MX" w:eastAsia="en-US"/>
        </w:rPr>
      </w:pPr>
      <w:bookmarkStart w:id="25" w:name="_Toc85137160"/>
      <w:bookmarkStart w:id="26" w:name="_Toc95401044"/>
      <w:r w:rsidRPr="00BC16BD">
        <w:rPr>
          <w:rFonts w:ascii="Palatino Linotype" w:hAnsi="Palatino Linotype"/>
          <w:b/>
          <w:color w:val="auto"/>
          <w:sz w:val="24"/>
          <w:szCs w:val="24"/>
        </w:rPr>
        <w:t>II</w:t>
      </w:r>
      <w:bookmarkStart w:id="27" w:name="_Toc82023088"/>
      <w:bookmarkStart w:id="28" w:name="_Toc82784385"/>
      <w:bookmarkStart w:id="29" w:name="_Toc84940707"/>
      <w:bookmarkEnd w:id="25"/>
      <w:r w:rsidR="00694F4C">
        <w:rPr>
          <w:rFonts w:ascii="Palatino Linotype" w:hAnsi="Palatino Linotype"/>
          <w:b/>
          <w:color w:val="auto"/>
          <w:sz w:val="24"/>
          <w:szCs w:val="24"/>
        </w:rPr>
        <w:t>I</w:t>
      </w:r>
      <w:r w:rsidR="00806829" w:rsidRPr="00BC16BD">
        <w:rPr>
          <w:rFonts w:ascii="Palatino Linotype" w:hAnsi="Palatino Linotype"/>
          <w:b/>
          <w:color w:val="auto"/>
          <w:sz w:val="24"/>
          <w:szCs w:val="24"/>
        </w:rPr>
        <w:t xml:space="preserve">. </w:t>
      </w:r>
      <w:bookmarkStart w:id="30" w:name="_Toc67587987"/>
      <w:bookmarkStart w:id="31" w:name="_Toc68804763"/>
      <w:bookmarkEnd w:id="27"/>
      <w:bookmarkEnd w:id="28"/>
      <w:bookmarkEnd w:id="29"/>
      <w:r w:rsidR="00EA0165" w:rsidRPr="00BC16BD">
        <w:rPr>
          <w:rFonts w:ascii="Palatino Linotype" w:hAnsi="Palatino Linotype"/>
          <w:b/>
          <w:color w:val="000000" w:themeColor="text1"/>
          <w:sz w:val="24"/>
          <w:szCs w:val="24"/>
          <w:lang w:val="es-MX" w:eastAsia="en-US"/>
        </w:rPr>
        <w:t>De la determinación sobre la procedibilidad del recurso.</w:t>
      </w:r>
      <w:bookmarkEnd w:id="26"/>
      <w:bookmarkEnd w:id="30"/>
      <w:bookmarkEnd w:id="31"/>
      <w:r w:rsidR="00EA0165" w:rsidRPr="00BC16BD">
        <w:rPr>
          <w:rFonts w:ascii="Palatino Linotype" w:hAnsi="Palatino Linotype"/>
          <w:b/>
          <w:color w:val="000000" w:themeColor="text1"/>
          <w:sz w:val="24"/>
          <w:szCs w:val="24"/>
          <w:lang w:val="es-MX" w:eastAsia="en-US"/>
        </w:rPr>
        <w:t xml:space="preserve"> </w:t>
      </w:r>
    </w:p>
    <w:p w14:paraId="1115619A" w14:textId="77777777" w:rsidR="00D53E41" w:rsidRPr="00BC16BD" w:rsidRDefault="00D53E41" w:rsidP="00BC16BD">
      <w:pPr>
        <w:spacing w:line="360" w:lineRule="auto"/>
        <w:rPr>
          <w:rFonts w:ascii="Palatino Linotype" w:hAnsi="Palatino Linotype"/>
          <w:lang w:val="es-MX" w:eastAsia="en-US"/>
        </w:rPr>
      </w:pPr>
    </w:p>
    <w:p w14:paraId="7DF2873B" w14:textId="5111A977" w:rsidR="00EA0165" w:rsidRPr="00BC16BD" w:rsidRDefault="00EA0165" w:rsidP="00694F4C">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BC16B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BC16BD" w:rsidRDefault="00A2042B" w:rsidP="00BC16BD">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BC16BD" w:rsidRDefault="00992BC7" w:rsidP="00BC16BD">
      <w:pPr>
        <w:pStyle w:val="Ttulo1"/>
        <w:spacing w:line="360" w:lineRule="auto"/>
        <w:rPr>
          <w:rFonts w:ascii="Palatino Linotype" w:hAnsi="Palatino Linotype"/>
          <w:sz w:val="24"/>
          <w:szCs w:val="24"/>
          <w:lang w:eastAsia="es-ES_tradnl"/>
        </w:rPr>
      </w:pPr>
      <w:bookmarkStart w:id="32" w:name="_Toc95401045"/>
      <w:r w:rsidRPr="00BC16BD">
        <w:rPr>
          <w:rFonts w:ascii="Palatino Linotype" w:eastAsia="MS Mincho" w:hAnsi="Palatino Linotype"/>
          <w:b/>
          <w:color w:val="000000" w:themeColor="text1"/>
          <w:sz w:val="24"/>
          <w:szCs w:val="24"/>
          <w:lang w:val="es-ES_tradnl"/>
        </w:rPr>
        <w:t>TERCERO</w:t>
      </w:r>
      <w:r w:rsidRPr="00BC16BD">
        <w:rPr>
          <w:rFonts w:ascii="Palatino Linotype" w:hAnsi="Palatino Linotype" w:cs="Times New Roman"/>
          <w:b/>
          <w:color w:val="000000" w:themeColor="text1"/>
          <w:sz w:val="24"/>
          <w:szCs w:val="24"/>
        </w:rPr>
        <w:t>.</w:t>
      </w:r>
      <w:bookmarkStart w:id="33" w:name="_Toc67587990"/>
      <w:bookmarkStart w:id="34" w:name="_Toc68804766"/>
      <w:bookmarkStart w:id="35" w:name="_Toc455991148"/>
      <w:bookmarkStart w:id="36" w:name="_Toc450120669"/>
      <w:bookmarkStart w:id="37" w:name="_Toc461555896"/>
      <w:bookmarkStart w:id="38" w:name="_Toc462154385"/>
      <w:bookmarkStart w:id="39" w:name="_Toc462660376"/>
      <w:bookmarkStart w:id="40" w:name="_Toc462660687"/>
      <w:bookmarkStart w:id="41" w:name="_Toc462660766"/>
      <w:bookmarkStart w:id="42" w:name="_Toc465264624"/>
      <w:bookmarkStart w:id="43" w:name="_Toc465264870"/>
      <w:bookmarkStart w:id="44" w:name="_Toc465266520"/>
      <w:bookmarkStart w:id="45" w:name="_Toc466302258"/>
      <w:bookmarkStart w:id="46" w:name="_Toc466371866"/>
      <w:bookmarkStart w:id="47" w:name="_Toc466371925"/>
      <w:bookmarkStart w:id="48" w:name="_Toc466377654"/>
      <w:bookmarkStart w:id="49" w:name="_Toc478549736"/>
      <w:bookmarkStart w:id="50" w:name="_Toc478572850"/>
      <w:bookmarkStart w:id="51" w:name="_Toc479238537"/>
      <w:r w:rsidR="0065578F" w:rsidRPr="00BC16BD">
        <w:rPr>
          <w:rFonts w:ascii="Palatino Linotype" w:hAnsi="Palatino Linotype" w:cs="Times New Roman"/>
          <w:b/>
          <w:color w:val="000000" w:themeColor="text1"/>
          <w:sz w:val="24"/>
          <w:szCs w:val="24"/>
        </w:rPr>
        <w:t xml:space="preserve"> </w:t>
      </w:r>
      <w:r w:rsidR="00EA0165" w:rsidRPr="00BC16BD">
        <w:rPr>
          <w:rFonts w:ascii="Palatino Linotype" w:hAnsi="Palatino Linotype"/>
          <w:b/>
          <w:color w:val="000000" w:themeColor="text1"/>
          <w:sz w:val="24"/>
          <w:szCs w:val="24"/>
          <w:lang w:val="es-MX" w:eastAsia="en-US"/>
        </w:rPr>
        <w:t xml:space="preserve">Del planteamiento de la </w:t>
      </w:r>
      <w:r w:rsidR="00EA0165" w:rsidRPr="00BC16BD">
        <w:rPr>
          <w:rFonts w:ascii="Palatino Linotype" w:hAnsi="Palatino Linotype"/>
          <w:b/>
          <w:i/>
          <w:color w:val="000000" w:themeColor="text1"/>
          <w:sz w:val="24"/>
          <w:szCs w:val="24"/>
          <w:lang w:val="es-MX" w:eastAsia="en-US"/>
        </w:rPr>
        <w:t>Litis.</w:t>
      </w:r>
      <w:bookmarkEnd w:id="32"/>
      <w:bookmarkEnd w:id="33"/>
      <w:bookmarkEnd w:id="34"/>
    </w:p>
    <w:p w14:paraId="6B097BE2" w14:textId="0929F460" w:rsidR="00D217A4" w:rsidRPr="00BC16BD" w:rsidRDefault="00EA0165" w:rsidP="00694F4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C16BD">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BC16BD">
        <w:rPr>
          <w:rFonts w:ascii="Palatino Linotype" w:eastAsia="Calibri" w:hAnsi="Palatino Linotype" w:cs="Arial"/>
          <w:b/>
        </w:rPr>
        <w:t>Ley de Transparencia y Acceso a la Información Pública del Estado de México y Municipios</w:t>
      </w:r>
      <w:r w:rsidRPr="00BC16BD">
        <w:rPr>
          <w:rFonts w:ascii="Palatino Linotype" w:hAnsi="Palatino Linotype" w:cs="Arial"/>
          <w:lang w:val="es-ES_tradnl"/>
        </w:rPr>
        <w:t xml:space="preserve"> y determinar la confirmación; revocación o modificación; desechamiento o sobreseimiento; y en su </w:t>
      </w:r>
      <w:r w:rsidRPr="00BC16BD">
        <w:rPr>
          <w:rFonts w:ascii="Palatino Linotype" w:hAnsi="Palatino Linotype" w:cs="Arial"/>
          <w:b/>
          <w:lang w:val="es-ES_tradnl"/>
        </w:rPr>
        <w:t>caso ordenar la entrega de la información,</w:t>
      </w:r>
      <w:r w:rsidRPr="00BC16BD">
        <w:rPr>
          <w:rFonts w:ascii="Palatino Linotype" w:hAnsi="Palatino Linotype" w:cs="Arial"/>
          <w:lang w:val="es-ES_tradnl"/>
        </w:rPr>
        <w:t xml:space="preserve"> respecto a las respuestas o falta de ellas de los Sujetos Obligados.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E5F6627" w14:textId="77777777" w:rsidR="00D217A4" w:rsidRPr="00BC16BD" w:rsidRDefault="00D217A4" w:rsidP="00BC16BD">
      <w:pPr>
        <w:pStyle w:val="Prrafodelista"/>
        <w:spacing w:before="240" w:after="240" w:line="360" w:lineRule="auto"/>
        <w:ind w:left="0"/>
        <w:contextualSpacing/>
        <w:jc w:val="both"/>
        <w:rPr>
          <w:rFonts w:ascii="Palatino Linotype" w:hAnsi="Palatino Linotype"/>
          <w:i/>
          <w:lang w:val="es-ES_tradnl"/>
        </w:rPr>
      </w:pPr>
    </w:p>
    <w:p w14:paraId="22E5B958" w14:textId="4D7F1980" w:rsidR="00D217A4" w:rsidRPr="00BC16BD" w:rsidRDefault="00EA0165" w:rsidP="003663AD">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BC16BD">
        <w:rPr>
          <w:rFonts w:ascii="Palatino Linotype" w:eastAsia="MS Mincho" w:hAnsi="Palatino Linotype"/>
          <w:lang w:val="es-ES_tradnl"/>
        </w:rPr>
        <w:t xml:space="preserve">De las constancias en el expediente al rubro indicado, se desprende que el particular solicitó </w:t>
      </w:r>
      <w:r w:rsidR="003669E8" w:rsidRPr="00BC16BD">
        <w:rPr>
          <w:rFonts w:ascii="Palatino Linotype" w:eastAsia="MS Mincho" w:hAnsi="Palatino Linotype"/>
          <w:lang w:val="es-ES_tradnl"/>
        </w:rPr>
        <w:t xml:space="preserve">acceso </w:t>
      </w:r>
      <w:r w:rsidR="003D1DF9" w:rsidRPr="00BC16BD">
        <w:rPr>
          <w:rFonts w:ascii="Palatino Linotype" w:eastAsia="MS Mincho" w:hAnsi="Palatino Linotype"/>
          <w:lang w:val="es-ES_tradnl"/>
        </w:rPr>
        <w:t>a</w:t>
      </w:r>
      <w:r w:rsidR="00E00BFD" w:rsidRPr="00BC16BD">
        <w:rPr>
          <w:rFonts w:ascii="Palatino Linotype" w:eastAsia="MS Mincho" w:hAnsi="Palatino Linotype"/>
          <w:lang w:val="es-ES_tradnl"/>
        </w:rPr>
        <w:t xml:space="preserve"> </w:t>
      </w:r>
      <w:r w:rsidR="0085032B" w:rsidRPr="00BC16BD">
        <w:rPr>
          <w:rFonts w:ascii="Palatino Linotype" w:eastAsia="MS Mincho" w:hAnsi="Palatino Linotype"/>
          <w:lang w:val="es-ES_tradnl"/>
        </w:rPr>
        <w:t>información relacionada con</w:t>
      </w:r>
      <w:r w:rsidR="003E0B9D" w:rsidRPr="00BC16BD">
        <w:rPr>
          <w:rFonts w:ascii="Palatino Linotype" w:eastAsia="MS Mincho" w:hAnsi="Palatino Linotype"/>
          <w:lang w:val="es-ES_tradnl"/>
        </w:rPr>
        <w:t xml:space="preserve"> censo de alumbrado público, convenios  de recaudación de impuestos por derecho de alumbrado público y facturación por consumo de energía eléctrica</w:t>
      </w:r>
      <w:r w:rsidR="007E5467" w:rsidRPr="00BC16BD">
        <w:rPr>
          <w:rFonts w:ascii="Palatino Linotype" w:hAnsi="Palatino Linotype"/>
          <w:lang w:val="es-ES_tradnl"/>
        </w:rPr>
        <w:t>, requerimientos</w:t>
      </w:r>
      <w:r w:rsidR="00B0049C" w:rsidRPr="00BC16BD">
        <w:rPr>
          <w:rFonts w:ascii="Palatino Linotype" w:eastAsia="MS Mincho" w:hAnsi="Palatino Linotype"/>
          <w:lang w:val="es-ES_tradnl"/>
        </w:rPr>
        <w:t xml:space="preserve">, </w:t>
      </w:r>
      <w:r w:rsidR="007E5467" w:rsidRPr="00BC16BD">
        <w:rPr>
          <w:rFonts w:ascii="Palatino Linotype" w:eastAsia="MS Mincho" w:hAnsi="Palatino Linotype"/>
          <w:lang w:val="es-ES_tradnl"/>
        </w:rPr>
        <w:t xml:space="preserve">a los </w:t>
      </w:r>
      <w:r w:rsidR="00562ACE" w:rsidRPr="00BC16BD">
        <w:rPr>
          <w:rFonts w:ascii="Palatino Linotype" w:eastAsia="MS Mincho" w:hAnsi="Palatino Linotype"/>
          <w:lang w:val="es-ES_tradnl"/>
        </w:rPr>
        <w:t xml:space="preserve"> que se respondió</w:t>
      </w:r>
      <w:r w:rsidR="00EC6134" w:rsidRPr="00BC16BD">
        <w:rPr>
          <w:rFonts w:ascii="Palatino Linotype" w:eastAsia="MS Mincho" w:hAnsi="Palatino Linotype"/>
          <w:lang w:val="es-ES_tradnl"/>
        </w:rPr>
        <w:t xml:space="preserve"> </w:t>
      </w:r>
      <w:r w:rsidR="003663AD">
        <w:rPr>
          <w:rFonts w:ascii="Palatino Linotype" w:eastAsia="MS Mincho" w:hAnsi="Palatino Linotype"/>
          <w:lang w:val="es-ES_tradnl"/>
        </w:rPr>
        <w:t xml:space="preserve">refiriendo la incompetencia del </w:t>
      </w:r>
      <w:r w:rsidR="003663AD" w:rsidRPr="003663AD">
        <w:rPr>
          <w:rFonts w:ascii="Palatino Linotype" w:eastAsia="MS Mincho" w:hAnsi="Palatino Linotype"/>
          <w:b/>
          <w:lang w:val="es-ES_tradnl"/>
        </w:rPr>
        <w:t xml:space="preserve">Ayuntamiento de Nextlalpan </w:t>
      </w:r>
      <w:r w:rsidR="003663AD">
        <w:rPr>
          <w:rFonts w:ascii="Palatino Linotype" w:eastAsia="MS Mincho" w:hAnsi="Palatino Linotype"/>
          <w:lang w:val="es-ES_tradnl"/>
        </w:rPr>
        <w:t xml:space="preserve">para </w:t>
      </w:r>
      <w:r w:rsidR="00405B7A">
        <w:rPr>
          <w:rFonts w:ascii="Palatino Linotype" w:eastAsia="MS Mincho" w:hAnsi="Palatino Linotype"/>
          <w:lang w:val="es-ES_tradnl"/>
        </w:rPr>
        <w:t>p</w:t>
      </w:r>
      <w:r w:rsidR="003663AD">
        <w:rPr>
          <w:rFonts w:ascii="Palatino Linotype" w:eastAsia="MS Mincho" w:hAnsi="Palatino Linotype"/>
          <w:lang w:val="es-ES_tradnl"/>
        </w:rPr>
        <w:t xml:space="preserve">oseer la </w:t>
      </w:r>
      <w:r w:rsidR="00405B7A">
        <w:rPr>
          <w:rFonts w:ascii="Palatino Linotype" w:eastAsia="MS Mincho" w:hAnsi="Palatino Linotype"/>
          <w:lang w:val="es-ES_tradnl"/>
        </w:rPr>
        <w:t>i</w:t>
      </w:r>
      <w:r w:rsidR="003663AD">
        <w:rPr>
          <w:rFonts w:ascii="Palatino Linotype" w:eastAsia="MS Mincho" w:hAnsi="Palatino Linotype"/>
          <w:lang w:val="es-ES_tradnl"/>
        </w:rPr>
        <w:t>nformación solicitada</w:t>
      </w:r>
      <w:r w:rsidR="003E0B9D" w:rsidRPr="00BC16BD">
        <w:rPr>
          <w:rFonts w:ascii="Palatino Linotype" w:eastAsia="MS Mincho" w:hAnsi="Palatino Linotype"/>
          <w:lang w:val="es-ES_tradnl"/>
        </w:rPr>
        <w:t>,</w:t>
      </w:r>
      <w:r w:rsidR="00EC6134" w:rsidRPr="00BC16BD">
        <w:rPr>
          <w:rFonts w:ascii="Palatino Linotype" w:eastAsia="MS Mincho" w:hAnsi="Palatino Linotype"/>
          <w:lang w:val="es-ES_tradnl"/>
        </w:rPr>
        <w:t xml:space="preserve"> no</w:t>
      </w:r>
      <w:r w:rsidR="009C61F1" w:rsidRPr="00BC16BD">
        <w:rPr>
          <w:rFonts w:ascii="Palatino Linotype" w:eastAsia="MS Mincho" w:hAnsi="Palatino Linotype"/>
          <w:lang w:val="es-ES_tradnl"/>
        </w:rPr>
        <w:t xml:space="preserve"> obstante lo anterior, </w:t>
      </w:r>
      <w:r w:rsidR="00B0049C" w:rsidRPr="00BC16BD">
        <w:rPr>
          <w:rFonts w:ascii="Palatino Linotype" w:eastAsia="MS Mincho" w:hAnsi="Palatino Linotype"/>
          <w:lang w:val="es-ES_tradnl"/>
        </w:rPr>
        <w:t xml:space="preserve">la parte recurrente </w:t>
      </w:r>
      <w:r w:rsidRPr="00BC16BD">
        <w:rPr>
          <w:rFonts w:ascii="Palatino Linotype" w:eastAsia="MS Mincho" w:hAnsi="Palatino Linotype"/>
          <w:lang w:val="es-ES_tradnl"/>
        </w:rPr>
        <w:t>se inconforma e interpone el presente recurso de revisión, argumentado como raz</w:t>
      </w:r>
      <w:r w:rsidR="00B153AD" w:rsidRPr="00BC16BD">
        <w:rPr>
          <w:rFonts w:ascii="Palatino Linotype" w:eastAsia="MS Mincho" w:hAnsi="Palatino Linotype"/>
          <w:lang w:val="es-ES_tradnl"/>
        </w:rPr>
        <w:t>one</w:t>
      </w:r>
      <w:r w:rsidR="00405B7A">
        <w:rPr>
          <w:rFonts w:ascii="Palatino Linotype" w:eastAsia="MS Mincho" w:hAnsi="Palatino Linotype"/>
          <w:lang w:val="es-ES_tradnl"/>
        </w:rPr>
        <w:t xml:space="preserve">s o motivos de inconformidad la declaratoria de competencia. </w:t>
      </w:r>
    </w:p>
    <w:p w14:paraId="44EC49A6" w14:textId="77777777" w:rsidR="00B153AD" w:rsidRPr="00BC16BD" w:rsidRDefault="00B153AD" w:rsidP="00BC16BD">
      <w:pPr>
        <w:pStyle w:val="Prrafodelista"/>
        <w:spacing w:before="240" w:after="240" w:line="360" w:lineRule="auto"/>
        <w:ind w:left="0"/>
        <w:contextualSpacing/>
        <w:jc w:val="both"/>
        <w:rPr>
          <w:rFonts w:ascii="Palatino Linotype" w:hAnsi="Palatino Linotype"/>
          <w:i/>
          <w:lang w:val="es-ES_tradnl"/>
        </w:rPr>
      </w:pPr>
    </w:p>
    <w:p w14:paraId="4F030FC3" w14:textId="0C1B250F" w:rsidR="00D217A4" w:rsidRPr="00BC16BD" w:rsidRDefault="00EA0165" w:rsidP="00694F4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C16BD">
        <w:rPr>
          <w:rFonts w:ascii="Palatino Linotype" w:eastAsia="MS Mincho" w:hAnsi="Palatino Linotype"/>
          <w:lang w:val="es-ES_tradnl"/>
        </w:rPr>
        <w:t xml:space="preserve">En ese sentido, el agravio del recurrente consiste en que la respuesta proporcionada por el </w:t>
      </w:r>
      <w:r w:rsidRPr="00BC16BD">
        <w:rPr>
          <w:rFonts w:ascii="Palatino Linotype" w:eastAsia="MS Mincho" w:hAnsi="Palatino Linotype"/>
          <w:b/>
          <w:lang w:val="es-ES_tradnl"/>
        </w:rPr>
        <w:t>SUJETO OBLIGADO</w:t>
      </w:r>
      <w:r w:rsidRPr="00BC16BD">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BC16BD">
        <w:rPr>
          <w:rFonts w:ascii="Palatino Linotype" w:eastAsia="MS Mincho" w:hAnsi="Palatino Linotype"/>
          <w:lang w:val="es-ES_tradnl"/>
        </w:rPr>
        <w:t xml:space="preserve"> se deberá garantiza</w:t>
      </w:r>
      <w:r w:rsidR="00543427" w:rsidRPr="00BC16BD">
        <w:rPr>
          <w:rFonts w:ascii="Palatino Linotype" w:eastAsia="MS Mincho" w:hAnsi="Palatino Linotype"/>
          <w:lang w:val="es-ES_tradnl"/>
        </w:rPr>
        <w:t>r que sea</w:t>
      </w:r>
      <w:r w:rsidR="0082641D" w:rsidRPr="00BC16BD">
        <w:rPr>
          <w:rFonts w:ascii="Palatino Linotype" w:eastAsia="MS Mincho" w:hAnsi="Palatino Linotype"/>
          <w:lang w:val="es-ES_tradnl"/>
        </w:rPr>
        <w:t xml:space="preserve"> </w:t>
      </w:r>
      <w:r w:rsidR="00405B7A">
        <w:rPr>
          <w:rFonts w:ascii="Palatino Linotype" w:eastAsia="MS Mincho" w:hAnsi="Palatino Linotype"/>
          <w:lang w:val="es-ES_tradnl"/>
        </w:rPr>
        <w:t xml:space="preserve">verificable y accesible. </w:t>
      </w:r>
    </w:p>
    <w:p w14:paraId="35853B1F" w14:textId="77777777" w:rsidR="00D217A4" w:rsidRPr="00BC16BD" w:rsidRDefault="00D217A4" w:rsidP="00BC16BD">
      <w:pPr>
        <w:pStyle w:val="Prrafodelista"/>
        <w:spacing w:line="360" w:lineRule="auto"/>
        <w:rPr>
          <w:rFonts w:ascii="Palatino Linotype" w:eastAsia="MS Mincho" w:hAnsi="Palatino Linotype"/>
          <w:lang w:val="es-ES_tradnl"/>
        </w:rPr>
      </w:pPr>
    </w:p>
    <w:p w14:paraId="78993703" w14:textId="2B8601FA" w:rsidR="002C7E93" w:rsidRPr="00694F4C" w:rsidRDefault="00EA0165" w:rsidP="00BC16BD">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C16BD">
        <w:rPr>
          <w:rFonts w:ascii="Palatino Linotype" w:eastAsia="MS Mincho" w:hAnsi="Palatino Linotype"/>
          <w:lang w:val="es-ES_tradnl"/>
        </w:rPr>
        <w:lastRenderedPageBreak/>
        <w:t xml:space="preserve">Por lo que de este modo, el presente recurso de revisión se circunscribe a determinar si el </w:t>
      </w:r>
      <w:r w:rsidRPr="00BC16BD">
        <w:rPr>
          <w:rFonts w:ascii="Palatino Linotype" w:eastAsia="MS Mincho" w:hAnsi="Palatino Linotype"/>
          <w:b/>
          <w:lang w:val="es-ES_tradnl"/>
        </w:rPr>
        <w:t>SUJETO OBLIGADO</w:t>
      </w:r>
      <w:r w:rsidR="009C4F62" w:rsidRPr="00BC16BD">
        <w:rPr>
          <w:rFonts w:ascii="Palatino Linotype" w:eastAsia="MS Mincho" w:hAnsi="Palatino Linotype"/>
          <w:lang w:val="es-ES_tradnl"/>
        </w:rPr>
        <w:t xml:space="preserve"> con la respuesta otorgada</w:t>
      </w:r>
      <w:r w:rsidR="00562ACE" w:rsidRPr="00BC16BD">
        <w:rPr>
          <w:rFonts w:ascii="Palatino Linotype" w:eastAsia="MS Mincho" w:hAnsi="Palatino Linotype"/>
          <w:lang w:val="es-ES_tradnl"/>
        </w:rPr>
        <w:t xml:space="preserve">, </w:t>
      </w:r>
      <w:r w:rsidRPr="00BC16BD">
        <w:rPr>
          <w:rFonts w:ascii="Palatino Linotype" w:eastAsia="MS Mincho" w:hAnsi="Palatino Linotype"/>
          <w:lang w:val="es-ES_tradnl"/>
        </w:rPr>
        <w:t>vulnera el derecho de acceso a la información accionado por el particular a</w:t>
      </w:r>
      <w:r w:rsidR="005F7AD4" w:rsidRPr="00BC16BD">
        <w:rPr>
          <w:rFonts w:ascii="Palatino Linotype" w:eastAsia="MS Mincho" w:hAnsi="Palatino Linotype"/>
          <w:lang w:val="es-ES_tradnl"/>
        </w:rPr>
        <w:t>ctualizando la causal</w:t>
      </w:r>
      <w:r w:rsidRPr="00BC16BD">
        <w:rPr>
          <w:rFonts w:ascii="Palatino Linotype" w:eastAsia="MS Mincho" w:hAnsi="Palatino Linotype"/>
          <w:lang w:val="es-ES_tradnl"/>
        </w:rPr>
        <w:t xml:space="preserve"> de procedencia prevista</w:t>
      </w:r>
      <w:r w:rsidR="00650D78" w:rsidRPr="00BC16BD">
        <w:rPr>
          <w:rFonts w:ascii="Palatino Linotype" w:eastAsia="MS Mincho" w:hAnsi="Palatino Linotype"/>
          <w:lang w:val="es-ES_tradnl"/>
        </w:rPr>
        <w:t xml:space="preserve"> en el artículo 179 fracciones </w:t>
      </w:r>
      <w:r w:rsidR="003663AD">
        <w:rPr>
          <w:rFonts w:ascii="Palatino Linotype" w:eastAsia="MS Mincho" w:hAnsi="Palatino Linotype"/>
          <w:lang w:val="es-ES_tradnl"/>
        </w:rPr>
        <w:t>I y I</w:t>
      </w:r>
      <w:r w:rsidR="00A2042B" w:rsidRPr="00BC16BD">
        <w:rPr>
          <w:rFonts w:ascii="Palatino Linotype" w:eastAsia="MS Mincho" w:hAnsi="Palatino Linotype"/>
          <w:lang w:val="es-ES_tradnl"/>
        </w:rPr>
        <w:t>V</w:t>
      </w:r>
      <w:r w:rsidR="009C4F62" w:rsidRPr="00BC16BD">
        <w:rPr>
          <w:rStyle w:val="Refdenotaalpie"/>
          <w:rFonts w:ascii="Palatino Linotype" w:eastAsia="MS Mincho" w:hAnsi="Palatino Linotype"/>
          <w:lang w:val="es-ES_tradnl"/>
        </w:rPr>
        <w:footnoteReference w:id="1"/>
      </w:r>
      <w:r w:rsidR="00562ACE" w:rsidRPr="00BC16BD">
        <w:rPr>
          <w:rFonts w:ascii="Palatino Linotype" w:eastAsia="MS Mincho" w:hAnsi="Palatino Linotype"/>
          <w:lang w:val="es-ES_tradnl"/>
        </w:rPr>
        <w:t xml:space="preserve"> </w:t>
      </w:r>
      <w:r w:rsidRPr="00BC16BD">
        <w:rPr>
          <w:rFonts w:ascii="Palatino Linotype" w:eastAsia="MS Mincho" w:hAnsi="Palatino Linotype"/>
          <w:lang w:val="es-ES_tradnl"/>
        </w:rPr>
        <w:t>de la Ley de Transparencia y Acceso a la Información del Estado de México y Municipios.</w:t>
      </w:r>
    </w:p>
    <w:p w14:paraId="38D9F738" w14:textId="64204143" w:rsidR="002C7E93" w:rsidRDefault="009A1E3F" w:rsidP="00694F4C">
      <w:pPr>
        <w:pStyle w:val="Ttulo1"/>
        <w:spacing w:line="360" w:lineRule="auto"/>
        <w:rPr>
          <w:rFonts w:ascii="Palatino Linotype" w:hAnsi="Palatino Linotype"/>
          <w:b/>
          <w:color w:val="000000" w:themeColor="text1"/>
          <w:sz w:val="24"/>
          <w:szCs w:val="24"/>
          <w:lang w:val="es-MX" w:eastAsia="en-US"/>
        </w:rPr>
      </w:pPr>
      <w:bookmarkStart w:id="52" w:name="_Toc68804767"/>
      <w:bookmarkStart w:id="53" w:name="_Toc95401046"/>
      <w:bookmarkStart w:id="54" w:name="_Toc459174366"/>
      <w:bookmarkStart w:id="55" w:name="_Toc459659884"/>
      <w:bookmarkStart w:id="56" w:name="_Toc461687280"/>
      <w:bookmarkStart w:id="57" w:name="_Toc462771051"/>
      <w:bookmarkStart w:id="58" w:name="_Toc464139201"/>
      <w:r w:rsidRPr="00BC16BD">
        <w:rPr>
          <w:rFonts w:ascii="Palatino Linotype" w:hAnsi="Palatino Linotype"/>
          <w:b/>
          <w:color w:val="000000" w:themeColor="text1"/>
          <w:sz w:val="24"/>
          <w:szCs w:val="24"/>
          <w:lang w:val="es-MX" w:eastAsia="en-US"/>
        </w:rPr>
        <w:t>CUARTO</w:t>
      </w:r>
      <w:r w:rsidR="00F041CF" w:rsidRPr="00BC16BD">
        <w:rPr>
          <w:rFonts w:ascii="Palatino Linotype" w:hAnsi="Palatino Linotype"/>
          <w:b/>
          <w:color w:val="000000" w:themeColor="text1"/>
          <w:sz w:val="24"/>
          <w:szCs w:val="24"/>
          <w:lang w:val="es-MX" w:eastAsia="en-US"/>
        </w:rPr>
        <w:t>. Estudio y r</w:t>
      </w:r>
      <w:r w:rsidR="00EA0165" w:rsidRPr="00BC16BD">
        <w:rPr>
          <w:rFonts w:ascii="Palatino Linotype" w:hAnsi="Palatino Linotype"/>
          <w:b/>
          <w:color w:val="000000" w:themeColor="text1"/>
          <w:sz w:val="24"/>
          <w:szCs w:val="24"/>
          <w:lang w:val="es-MX" w:eastAsia="en-US"/>
        </w:rPr>
        <w:t>esolución del asunto.</w:t>
      </w:r>
      <w:bookmarkEnd w:id="52"/>
      <w:bookmarkEnd w:id="53"/>
    </w:p>
    <w:p w14:paraId="1BBC8B08" w14:textId="77777777" w:rsidR="0078519A" w:rsidRDefault="0078519A" w:rsidP="0078519A">
      <w:pPr>
        <w:rPr>
          <w:lang w:val="es-MX" w:eastAsia="en-US"/>
        </w:rPr>
      </w:pPr>
    </w:p>
    <w:p w14:paraId="2A772C1A" w14:textId="3746887D" w:rsidR="00544C09" w:rsidRPr="00544C09" w:rsidRDefault="00544C09" w:rsidP="00544C09">
      <w:pPr>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9" w:name="_Toc95331268"/>
      <w:bookmarkStart w:id="60" w:name="_Toc95401047"/>
      <w:r w:rsidRPr="00544C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9"/>
      <w:bookmarkEnd w:id="60"/>
    </w:p>
    <w:p w14:paraId="38E3ACAD" w14:textId="42BCD728" w:rsidR="00544C09" w:rsidRPr="00544C09" w:rsidRDefault="00544C09" w:rsidP="00544C09">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44C09">
        <w:rPr>
          <w:rFonts w:ascii="Palatino Linotype" w:eastAsiaTheme="minorEastAsia" w:hAnsi="Palatino Linotype" w:cstheme="minorBidi"/>
          <w:color w:val="000000" w:themeColor="text1"/>
          <w:lang w:val="es-MX"/>
        </w:rPr>
        <w:t>Es menester precisar</w:t>
      </w:r>
      <w:r w:rsidRPr="00544C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44C09">
        <w:rPr>
          <w:rFonts w:ascii="Palatino Linotype" w:eastAsiaTheme="minorEastAsia" w:hAnsi="Palatino Linotype" w:cstheme="minorBidi"/>
          <w:b/>
          <w:bCs/>
          <w:color w:val="000000" w:themeColor="text1"/>
          <w:lang w:val="es-MX"/>
        </w:rPr>
        <w:t>SUJETO OBLIGADO</w:t>
      </w:r>
      <w:r w:rsidRPr="00544C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44C09">
        <w:rPr>
          <w:rFonts w:ascii="Palatino Linotype" w:eastAsiaTheme="minorEastAsia" w:hAnsi="Palatino Linotype" w:cstheme="minorBidi"/>
          <w:b/>
          <w:bCs/>
          <w:color w:val="000000" w:themeColor="text1"/>
          <w:lang w:val="es-MX"/>
        </w:rPr>
        <w:t>Constitución Política de los Estados Unidos Mexicanos</w:t>
      </w:r>
      <w:r w:rsidRPr="00544C09">
        <w:rPr>
          <w:rFonts w:ascii="Palatino Linotype" w:eastAsiaTheme="minorEastAsia" w:hAnsi="Palatino Linotype" w:cstheme="minorBidi"/>
          <w:bCs/>
          <w:color w:val="000000" w:themeColor="text1"/>
          <w:lang w:val="es-MX"/>
        </w:rPr>
        <w:t>, tienen</w:t>
      </w:r>
      <w:r w:rsidRPr="00544C09">
        <w:rPr>
          <w:rFonts w:ascii="Palatino Linotype" w:eastAsiaTheme="minorEastAsia" w:hAnsi="Palatino Linotype" w:cstheme="minorBidi"/>
          <w:b/>
          <w:bCs/>
          <w:color w:val="000000" w:themeColor="text1"/>
          <w:lang w:val="es-MX"/>
        </w:rPr>
        <w:t xml:space="preserve"> </w:t>
      </w:r>
      <w:r w:rsidRPr="00544C09">
        <w:rPr>
          <w:rFonts w:ascii="Palatino Linotype" w:eastAsiaTheme="minorEastAsia" w:hAnsi="Palatino Linotype" w:cstheme="minorBidi"/>
          <w:bCs/>
          <w:color w:val="000000" w:themeColor="text1"/>
          <w:lang w:val="es-MX"/>
        </w:rPr>
        <w:t xml:space="preserve">la obligación de “promover, </w:t>
      </w:r>
      <w:r w:rsidRPr="00544C09">
        <w:rPr>
          <w:rFonts w:ascii="Palatino Linotype" w:eastAsiaTheme="minorEastAsia" w:hAnsi="Palatino Linotype" w:cstheme="minorBidi"/>
          <w:b/>
          <w:bCs/>
          <w:color w:val="000000" w:themeColor="text1"/>
          <w:lang w:val="es-MX"/>
        </w:rPr>
        <w:t>respetar</w:t>
      </w:r>
      <w:r w:rsidRPr="00544C09">
        <w:rPr>
          <w:rFonts w:ascii="Palatino Linotype" w:eastAsiaTheme="minorEastAsia" w:hAnsi="Palatino Linotype" w:cstheme="minorBidi"/>
          <w:bCs/>
          <w:color w:val="000000" w:themeColor="text1"/>
          <w:lang w:val="es-MX"/>
        </w:rPr>
        <w:t xml:space="preserve">, </w:t>
      </w:r>
      <w:r w:rsidRPr="00544C09">
        <w:rPr>
          <w:rFonts w:ascii="Palatino Linotype" w:eastAsiaTheme="minorEastAsia" w:hAnsi="Palatino Linotype" w:cstheme="minorBidi"/>
          <w:bCs/>
          <w:color w:val="000000" w:themeColor="text1"/>
          <w:lang w:val="es-MX"/>
        </w:rPr>
        <w:lastRenderedPageBreak/>
        <w:t xml:space="preserve">proteger y </w:t>
      </w:r>
      <w:r w:rsidRPr="00544C09">
        <w:rPr>
          <w:rFonts w:ascii="Palatino Linotype" w:eastAsiaTheme="minorEastAsia" w:hAnsi="Palatino Linotype" w:cstheme="minorBidi"/>
          <w:b/>
          <w:bCs/>
          <w:color w:val="000000" w:themeColor="text1"/>
          <w:lang w:val="es-MX"/>
        </w:rPr>
        <w:t>garantizar</w:t>
      </w:r>
      <w:r w:rsidRPr="00544C09">
        <w:rPr>
          <w:rFonts w:ascii="Palatino Linotype" w:eastAsiaTheme="minorEastAsia" w:hAnsi="Palatino Linotype" w:cstheme="minorBidi"/>
          <w:bCs/>
          <w:color w:val="000000" w:themeColor="text1"/>
          <w:lang w:val="es-MX"/>
        </w:rPr>
        <w:t xml:space="preserve"> los derechos humanos”, entre los cuales se encuentra dicho derecho.</w:t>
      </w:r>
    </w:p>
    <w:p w14:paraId="11642A6A" w14:textId="77777777" w:rsidR="00544C09" w:rsidRPr="00544C09" w:rsidRDefault="00544C09" w:rsidP="00544C0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ABBD583" w14:textId="77777777" w:rsidR="00544C09" w:rsidRPr="00544C09" w:rsidRDefault="00544C09" w:rsidP="00544C09">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44C0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2FAD47D" w14:textId="77777777" w:rsidR="00544C09" w:rsidRPr="00544C09" w:rsidRDefault="00544C09" w:rsidP="00544C0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BB68758" w14:textId="77777777" w:rsidR="00544C09" w:rsidRPr="00544C09" w:rsidRDefault="00544C09" w:rsidP="00544C09">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44C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44C09">
        <w:rPr>
          <w:rFonts w:ascii="Palatino Linotype" w:eastAsiaTheme="minorEastAsia" w:hAnsi="Palatino Linotype" w:cstheme="minorBidi"/>
          <w:i/>
          <w:color w:val="000000" w:themeColor="text1"/>
          <w:lang w:val="es-MX"/>
        </w:rPr>
        <w:t>La igualdad de oportunidades para recibir, buscar e impartir información</w:t>
      </w:r>
      <w:r w:rsidRPr="00544C09">
        <w:rPr>
          <w:rFonts w:ascii="Palatino Linotype" w:eastAsiaTheme="minorEastAsia" w:hAnsi="Palatino Linotype" w:cstheme="minorBidi"/>
          <w:i/>
          <w:color w:val="000000" w:themeColor="text1"/>
          <w:vertAlign w:val="superscript"/>
          <w:lang w:val="es-MX"/>
        </w:rPr>
        <w:footnoteReference w:id="2"/>
      </w:r>
      <w:r w:rsidRPr="00544C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4C09">
        <w:rPr>
          <w:rFonts w:ascii="Palatino Linotype" w:eastAsiaTheme="minorEastAsia" w:hAnsi="Palatino Linotype" w:cstheme="minorBidi"/>
          <w:i/>
          <w:color w:val="000000" w:themeColor="text1"/>
          <w:vertAlign w:val="superscript"/>
          <w:lang w:val="es-MX"/>
        </w:rPr>
        <w:footnoteReference w:id="3"/>
      </w:r>
      <w:r w:rsidRPr="00544C09">
        <w:rPr>
          <w:rFonts w:ascii="Palatino Linotype" w:eastAsiaTheme="minorEastAsia" w:hAnsi="Palatino Linotype" w:cstheme="minorBidi"/>
          <w:color w:val="000000" w:themeColor="text1"/>
          <w:lang w:val="es-MX"/>
        </w:rPr>
        <w:t>que se constituye como una herramienta fundamental para ejercer</w:t>
      </w:r>
      <w:r w:rsidRPr="00544C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544C09">
        <w:rPr>
          <w:rFonts w:ascii="Palatino Linotype" w:eastAsiaTheme="minorEastAsia" w:hAnsi="Palatino Linotype" w:cstheme="minorBidi"/>
          <w:i/>
          <w:color w:val="000000" w:themeColor="text1"/>
          <w:vertAlign w:val="superscript"/>
          <w:lang w:val="es-MX"/>
        </w:rPr>
        <w:footnoteReference w:id="4"/>
      </w:r>
      <w:r w:rsidRPr="00544C09">
        <w:rPr>
          <w:rFonts w:ascii="Palatino Linotype" w:eastAsiaTheme="minorEastAsia" w:hAnsi="Palatino Linotype" w:cstheme="minorBidi"/>
          <w:i/>
          <w:color w:val="000000" w:themeColor="text1"/>
          <w:lang w:val="es-MX"/>
        </w:rPr>
        <w:t xml:space="preserve"> </w:t>
      </w:r>
      <w:r w:rsidRPr="00544C09">
        <w:rPr>
          <w:rFonts w:ascii="Palatino Linotype" w:eastAsiaTheme="minorEastAsia" w:hAnsi="Palatino Linotype" w:cstheme="minorBidi"/>
          <w:color w:val="000000" w:themeColor="text1"/>
          <w:lang w:val="es-MX"/>
        </w:rPr>
        <w:t>fomentando</w:t>
      </w:r>
      <w:r w:rsidRPr="00544C09">
        <w:rPr>
          <w:rFonts w:ascii="Palatino Linotype" w:eastAsiaTheme="minorEastAsia" w:hAnsi="Palatino Linotype" w:cstheme="minorBidi"/>
          <w:i/>
          <w:color w:val="000000" w:themeColor="text1"/>
          <w:lang w:val="es-MX"/>
        </w:rPr>
        <w:t xml:space="preserve"> la transparencia de las actividades estatales y </w:t>
      </w:r>
      <w:r w:rsidRPr="00544C09">
        <w:rPr>
          <w:rFonts w:ascii="Palatino Linotype" w:eastAsiaTheme="minorEastAsia" w:hAnsi="Palatino Linotype" w:cstheme="minorBidi"/>
          <w:color w:val="000000" w:themeColor="text1"/>
          <w:lang w:val="es-MX"/>
        </w:rPr>
        <w:t>promoviendo</w:t>
      </w:r>
      <w:r w:rsidRPr="00544C09">
        <w:rPr>
          <w:rFonts w:ascii="Palatino Linotype" w:eastAsiaTheme="minorEastAsia" w:hAnsi="Palatino Linotype" w:cstheme="minorBidi"/>
          <w:i/>
          <w:color w:val="000000" w:themeColor="text1"/>
          <w:lang w:val="es-MX"/>
        </w:rPr>
        <w:t xml:space="preserve"> la responsabilidad de los funcionarios sobre su gestión pública,</w:t>
      </w:r>
      <w:r w:rsidRPr="00544C09">
        <w:rPr>
          <w:rFonts w:ascii="Palatino Linotype" w:eastAsiaTheme="minorEastAsia" w:hAnsi="Palatino Linotype" w:cstheme="minorBidi"/>
          <w:i/>
          <w:color w:val="000000" w:themeColor="text1"/>
          <w:vertAlign w:val="superscript"/>
          <w:lang w:val="es-MX"/>
        </w:rPr>
        <w:footnoteReference w:id="5"/>
      </w:r>
      <w:r w:rsidRPr="00544C09">
        <w:rPr>
          <w:rFonts w:ascii="Palatino Linotype" w:eastAsiaTheme="minorEastAsia" w:hAnsi="Palatino Linotype" w:cstheme="minorBidi"/>
          <w:color w:val="000000" w:themeColor="text1"/>
          <w:lang w:val="es-MX"/>
        </w:rPr>
        <w:t>que permite</w:t>
      </w:r>
      <w:r w:rsidRPr="00544C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472FCD4" w14:textId="77777777" w:rsidR="00544C09" w:rsidRPr="00544C09" w:rsidRDefault="00544C09" w:rsidP="00544C0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A5A4441" w14:textId="77777777" w:rsidR="00544C09" w:rsidRPr="00544C09" w:rsidRDefault="00544C09" w:rsidP="00544C09">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44C0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EF8767E" w14:textId="77777777" w:rsidR="00544C09" w:rsidRPr="0078519A" w:rsidRDefault="00544C09" w:rsidP="0078519A">
      <w:pPr>
        <w:rPr>
          <w:lang w:val="es-MX" w:eastAsia="en-US"/>
        </w:rPr>
      </w:pPr>
    </w:p>
    <w:p w14:paraId="4C48BE97" w14:textId="1C92B791" w:rsidR="003523DE" w:rsidRPr="00BC16BD" w:rsidRDefault="00D91C33" w:rsidP="00BC16BD">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61" w:name="_Toc95401048"/>
      <w:r w:rsidRPr="00BC16BD">
        <w:rPr>
          <w:rFonts w:ascii="Palatino Linotype" w:hAnsi="Palatino Linotype"/>
          <w:b/>
          <w:color w:val="auto"/>
          <w:sz w:val="24"/>
          <w:szCs w:val="24"/>
          <w:lang w:val="es-MX" w:eastAsia="en-US"/>
        </w:rPr>
        <w:t>De la solicitud de información y la respuesta otorgada.</w:t>
      </w:r>
      <w:bookmarkEnd w:id="61"/>
      <w:r w:rsidRPr="00BC16BD">
        <w:rPr>
          <w:rFonts w:ascii="Palatino Linotype" w:hAnsi="Palatino Linotype"/>
          <w:b/>
          <w:color w:val="auto"/>
          <w:sz w:val="24"/>
          <w:szCs w:val="24"/>
          <w:lang w:val="es-MX" w:eastAsia="en-US"/>
        </w:rPr>
        <w:t xml:space="preserve"> </w:t>
      </w:r>
    </w:p>
    <w:p w14:paraId="4BF3BCA3" w14:textId="77777777" w:rsidR="00D91C33" w:rsidRPr="00BC16BD" w:rsidRDefault="00D91C33" w:rsidP="00BC16BD">
      <w:pPr>
        <w:pStyle w:val="Prrafodelista"/>
        <w:spacing w:line="360" w:lineRule="auto"/>
        <w:ind w:left="1080"/>
        <w:rPr>
          <w:rFonts w:ascii="Palatino Linotype" w:hAnsi="Palatino Linotype"/>
          <w:lang w:val="es-MX" w:eastAsia="en-US"/>
        </w:rPr>
      </w:pPr>
    </w:p>
    <w:p w14:paraId="113D11EC" w14:textId="77777777" w:rsidR="00D91C33" w:rsidRPr="00BC16BD" w:rsidRDefault="00EA0165" w:rsidP="00694F4C">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C16BD">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BC16BD">
        <w:rPr>
          <w:rFonts w:ascii="Palatino Linotype" w:eastAsia="Calibri" w:hAnsi="Palatino Linotype" w:cs="Arial"/>
          <w:b/>
          <w:lang w:eastAsia="en-US"/>
        </w:rPr>
        <w:t>Ley de Transparencia y Acceso a la Información Pública del Estado de México y Municipios</w:t>
      </w:r>
      <w:r w:rsidR="006C693D" w:rsidRPr="00BC16BD">
        <w:rPr>
          <w:rFonts w:ascii="Palatino Linotype" w:hAnsi="Palatino Linotype" w:cs="Arial"/>
          <w:lang w:eastAsia="es-MX"/>
        </w:rPr>
        <w:t>.</w:t>
      </w:r>
    </w:p>
    <w:p w14:paraId="6DCC758D" w14:textId="77777777" w:rsidR="00D91C33" w:rsidRPr="00BC16BD" w:rsidRDefault="00D91C33" w:rsidP="00BC16BD">
      <w:pPr>
        <w:pStyle w:val="Prrafodelista"/>
        <w:spacing w:before="240" w:after="360" w:line="360" w:lineRule="auto"/>
        <w:ind w:left="0"/>
        <w:contextualSpacing/>
        <w:jc w:val="both"/>
        <w:rPr>
          <w:rFonts w:ascii="Palatino Linotype" w:eastAsia="MS Mincho" w:hAnsi="Palatino Linotype" w:cs="Arial"/>
          <w:i/>
          <w:lang w:val="es-MX"/>
        </w:rPr>
      </w:pPr>
    </w:p>
    <w:p w14:paraId="353CFB8F" w14:textId="5298A564" w:rsidR="00691811" w:rsidRPr="00BC16BD" w:rsidRDefault="00D91C33" w:rsidP="00694F4C">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C16BD">
        <w:rPr>
          <w:rFonts w:ascii="Palatino Linotype" w:eastAsia="MS Mincho" w:hAnsi="Palatino Linotype" w:cs="Arial"/>
          <w:lang w:val="es-MX"/>
        </w:rPr>
        <w:t xml:space="preserve">Así, de la lectura a la solicitud de información se observa </w:t>
      </w:r>
      <w:r w:rsidR="00302504" w:rsidRPr="00BC16BD">
        <w:rPr>
          <w:rFonts w:ascii="Palatino Linotype" w:eastAsia="MS Mincho" w:hAnsi="Palatino Linotype" w:cs="Arial"/>
          <w:lang w:val="es-MX"/>
        </w:rPr>
        <w:t>que el particul</w:t>
      </w:r>
      <w:r w:rsidR="0078519A">
        <w:rPr>
          <w:rFonts w:ascii="Palatino Linotype" w:eastAsia="MS Mincho" w:hAnsi="Palatino Linotype" w:cs="Arial"/>
          <w:lang w:val="es-MX"/>
        </w:rPr>
        <w:t xml:space="preserve">ar requirió al </w:t>
      </w:r>
      <w:r w:rsidR="0078519A" w:rsidRPr="0078519A">
        <w:rPr>
          <w:rFonts w:ascii="Palatino Linotype" w:eastAsia="MS Mincho" w:hAnsi="Palatino Linotype" w:cs="Arial"/>
          <w:b/>
          <w:lang w:val="es-MX"/>
        </w:rPr>
        <w:t>Ayuntamiento de Nextlalpan</w:t>
      </w:r>
      <w:r w:rsidR="0078519A">
        <w:rPr>
          <w:rFonts w:ascii="Palatino Linotype" w:eastAsia="MS Mincho" w:hAnsi="Palatino Linotype" w:cs="Arial"/>
          <w:lang w:val="es-MX"/>
        </w:rPr>
        <w:t xml:space="preserve"> </w:t>
      </w:r>
      <w:r w:rsidRPr="00BC16BD">
        <w:rPr>
          <w:rFonts w:ascii="Palatino Linotype" w:eastAsia="MS Mincho" w:hAnsi="Palatino Linotype" w:cs="Arial"/>
          <w:lang w:val="es-MX"/>
        </w:rPr>
        <w:t xml:space="preserve">acceder a información relacionada </w:t>
      </w:r>
      <w:r w:rsidR="00104ECA" w:rsidRPr="00BC16BD">
        <w:rPr>
          <w:rFonts w:ascii="Palatino Linotype" w:eastAsia="MS Mincho" w:hAnsi="Palatino Linotype" w:cs="Arial"/>
          <w:lang w:val="es-MX"/>
        </w:rPr>
        <w:t>con</w:t>
      </w:r>
      <w:r w:rsidR="00302504" w:rsidRPr="00BC16BD">
        <w:rPr>
          <w:rFonts w:ascii="Palatino Linotype" w:eastAsia="MS Mincho" w:hAnsi="Palatino Linotype" w:cs="Arial"/>
          <w:lang w:val="es-MX"/>
        </w:rPr>
        <w:t xml:space="preserve"> </w:t>
      </w:r>
      <w:r w:rsidR="00302504" w:rsidRPr="00BC16BD">
        <w:rPr>
          <w:rFonts w:ascii="Palatino Linotype" w:eastAsia="MS Mincho" w:hAnsi="Palatino Linotype" w:cs="Arial"/>
          <w:lang w:val="es-MX"/>
        </w:rPr>
        <w:lastRenderedPageBreak/>
        <w:t>diversa información estadística y financiera en relación a la prestación del servicio de alumbrado público</w:t>
      </w:r>
      <w:r w:rsidR="00691811" w:rsidRPr="00BC16BD">
        <w:rPr>
          <w:rFonts w:ascii="Palatino Linotype" w:eastAsia="MS Mincho" w:hAnsi="Palatino Linotype" w:cs="Arial"/>
          <w:lang w:val="es-MX"/>
        </w:rPr>
        <w:t xml:space="preserve">, </w:t>
      </w:r>
      <w:r w:rsidR="00B33A9A" w:rsidRPr="00BC16BD">
        <w:rPr>
          <w:rFonts w:ascii="Palatino Linotype" w:eastAsia="MS Mincho" w:hAnsi="Palatino Linotype" w:cs="Arial"/>
          <w:lang w:val="es-MX"/>
        </w:rPr>
        <w:t xml:space="preserve">por lo que </w:t>
      </w:r>
      <w:r w:rsidR="00691811" w:rsidRPr="00BC16BD">
        <w:rPr>
          <w:rFonts w:ascii="Palatino Linotype" w:eastAsia="Calibri" w:hAnsi="Palatino Linotype"/>
        </w:rPr>
        <w:t xml:space="preserve">este Pleno considera necesario </w:t>
      </w:r>
      <w:r w:rsidR="00691811" w:rsidRPr="00BC16BD">
        <w:rPr>
          <w:rFonts w:ascii="Palatino Linotype" w:eastAsia="Calibri" w:hAnsi="Palatino Linotype" w:cs="Arial"/>
        </w:rPr>
        <w:t xml:space="preserve">mencionar que, por cuestiones de claridad y transparencia en la decisión, </w:t>
      </w:r>
      <w:r w:rsidR="00691811" w:rsidRPr="00BC16BD">
        <w:rPr>
          <w:rFonts w:ascii="Palatino Linotype" w:eastAsia="Calibri" w:hAnsi="Palatino Linotype"/>
          <w:color w:val="000000"/>
        </w:rPr>
        <w:t>se estima pertinente elaborar un cuadro de análisis, mismo que se inserta a continuación:</w:t>
      </w:r>
    </w:p>
    <w:p w14:paraId="7C14EED6" w14:textId="7703BE14" w:rsidR="007A583C" w:rsidRPr="00BC16BD" w:rsidRDefault="007A583C" w:rsidP="00BC16BD">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BC16BD" w14:paraId="22D276C6" w14:textId="77777777" w:rsidTr="002E2669">
        <w:trPr>
          <w:trHeight w:val="581"/>
        </w:trPr>
        <w:tc>
          <w:tcPr>
            <w:tcW w:w="9356" w:type="dxa"/>
            <w:gridSpan w:val="5"/>
          </w:tcPr>
          <w:p w14:paraId="50D064F0" w14:textId="77777777" w:rsidR="00691811" w:rsidRPr="00BC16BD" w:rsidRDefault="00691811" w:rsidP="00BC16BD">
            <w:pPr>
              <w:spacing w:line="360" w:lineRule="auto"/>
              <w:jc w:val="center"/>
              <w:rPr>
                <w:rFonts w:ascii="Palatino Linotype" w:eastAsia="Calibri" w:hAnsi="Palatino Linotype"/>
                <w:b/>
                <w:bCs/>
                <w:sz w:val="24"/>
                <w:szCs w:val="24"/>
                <w:lang w:val="es-MX"/>
              </w:rPr>
            </w:pPr>
          </w:p>
          <w:p w14:paraId="798394E2" w14:textId="46AE79A2" w:rsidR="00691811" w:rsidRPr="00BC16BD" w:rsidRDefault="00691811" w:rsidP="00BC16BD">
            <w:pPr>
              <w:spacing w:line="360" w:lineRule="auto"/>
              <w:jc w:val="center"/>
              <w:rPr>
                <w:rFonts w:ascii="Palatino Linotype" w:eastAsia="Calibri" w:hAnsi="Palatino Linotype"/>
                <w:b/>
                <w:bCs/>
                <w:sz w:val="24"/>
                <w:szCs w:val="24"/>
              </w:rPr>
            </w:pPr>
            <w:r w:rsidRPr="00BC16BD">
              <w:rPr>
                <w:rFonts w:ascii="Palatino Linotype" w:eastAsia="Calibri" w:hAnsi="Palatino Linotype"/>
                <w:b/>
                <w:bCs/>
                <w:sz w:val="24"/>
                <w:szCs w:val="24"/>
                <w:lang w:val="es-MX"/>
              </w:rPr>
              <w:t xml:space="preserve">Solicitud: </w:t>
            </w:r>
            <w:r w:rsidR="002C7E93" w:rsidRPr="00BC16BD">
              <w:rPr>
                <w:rFonts w:ascii="Palatino Linotype" w:hAnsi="Palatino Linotype"/>
                <w:b/>
                <w:bCs/>
                <w:sz w:val="24"/>
                <w:szCs w:val="24"/>
                <w:lang w:eastAsia="es-ES"/>
              </w:rPr>
              <w:t xml:space="preserve"> </w:t>
            </w:r>
            <w:r w:rsidR="004572C3" w:rsidRPr="00BC16BD">
              <w:rPr>
                <w:rFonts w:ascii="Palatino Linotype" w:hAnsi="Palatino Linotype"/>
                <w:b/>
                <w:bCs/>
                <w:color w:val="FF0000"/>
                <w:sz w:val="24"/>
                <w:szCs w:val="24"/>
                <w:lang w:eastAsia="es-ES"/>
              </w:rPr>
              <w:t xml:space="preserve"> </w:t>
            </w:r>
            <w:r w:rsidR="0078519A" w:rsidRPr="0078519A">
              <w:rPr>
                <w:rFonts w:ascii="Palatino Linotype" w:hAnsi="Palatino Linotype"/>
                <w:b/>
                <w:bCs/>
                <w:color w:val="000000" w:themeColor="text1"/>
                <w:sz w:val="24"/>
                <w:szCs w:val="24"/>
                <w:lang w:eastAsia="es-ES"/>
              </w:rPr>
              <w:t>00215/NEXTLAL/IP/2021</w:t>
            </w:r>
          </w:p>
          <w:p w14:paraId="65BD1B70" w14:textId="7D01CE86" w:rsidR="002C7E93" w:rsidRPr="00BC16BD" w:rsidRDefault="002C7E93" w:rsidP="00BC16BD">
            <w:pPr>
              <w:spacing w:line="360" w:lineRule="auto"/>
              <w:rPr>
                <w:rFonts w:ascii="Palatino Linotype" w:eastAsia="Calibri" w:hAnsi="Palatino Linotype"/>
                <w:b/>
                <w:bCs/>
                <w:sz w:val="24"/>
                <w:szCs w:val="24"/>
                <w:lang w:val="es-MX"/>
              </w:rPr>
            </w:pPr>
          </w:p>
        </w:tc>
      </w:tr>
      <w:tr w:rsidR="00691811" w:rsidRPr="00BC16BD" w14:paraId="52F9038F" w14:textId="77777777" w:rsidTr="002E2669">
        <w:trPr>
          <w:trHeight w:val="582"/>
        </w:trPr>
        <w:tc>
          <w:tcPr>
            <w:tcW w:w="709" w:type="dxa"/>
            <w:shd w:val="clear" w:color="auto" w:fill="DBDBDB"/>
          </w:tcPr>
          <w:p w14:paraId="7F2350A9" w14:textId="77777777" w:rsidR="00691811" w:rsidRPr="00BC16BD" w:rsidRDefault="00691811" w:rsidP="00BC16BD">
            <w:pPr>
              <w:spacing w:line="360" w:lineRule="auto"/>
              <w:rPr>
                <w:rFonts w:ascii="Palatino Linotype" w:eastAsia="Calibri" w:hAnsi="Palatino Linotype"/>
                <w:sz w:val="24"/>
                <w:szCs w:val="24"/>
                <w:lang w:val="es-MX"/>
              </w:rPr>
            </w:pPr>
          </w:p>
          <w:p w14:paraId="08DA4F38"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No.</w:t>
            </w:r>
          </w:p>
        </w:tc>
        <w:tc>
          <w:tcPr>
            <w:tcW w:w="1843" w:type="dxa"/>
            <w:shd w:val="clear" w:color="auto" w:fill="DBDBDB"/>
          </w:tcPr>
          <w:p w14:paraId="3A1DD982" w14:textId="77777777" w:rsidR="00691811" w:rsidRPr="00BC16BD" w:rsidRDefault="00691811" w:rsidP="00BC16BD">
            <w:pPr>
              <w:spacing w:line="360" w:lineRule="auto"/>
              <w:jc w:val="center"/>
              <w:rPr>
                <w:rFonts w:ascii="Palatino Linotype" w:eastAsia="Calibri" w:hAnsi="Palatino Linotype"/>
                <w:sz w:val="24"/>
                <w:szCs w:val="24"/>
                <w:lang w:val="es-MX"/>
              </w:rPr>
            </w:pPr>
          </w:p>
          <w:p w14:paraId="262E129D"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BC16BD" w:rsidRDefault="00691811" w:rsidP="00BC16BD">
            <w:pPr>
              <w:spacing w:line="360" w:lineRule="auto"/>
              <w:jc w:val="center"/>
              <w:rPr>
                <w:rFonts w:ascii="Palatino Linotype" w:eastAsia="Calibri" w:hAnsi="Palatino Linotype"/>
                <w:sz w:val="24"/>
                <w:szCs w:val="24"/>
                <w:lang w:val="es-MX"/>
              </w:rPr>
            </w:pPr>
          </w:p>
          <w:p w14:paraId="48B9A972"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Información entregada en respuesta:</w:t>
            </w:r>
          </w:p>
        </w:tc>
        <w:tc>
          <w:tcPr>
            <w:tcW w:w="2693" w:type="dxa"/>
            <w:shd w:val="clear" w:color="auto" w:fill="DBDBDB"/>
          </w:tcPr>
          <w:p w14:paraId="15A64678"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BC16BD" w:rsidRDefault="00691811" w:rsidP="00BC16BD">
            <w:pPr>
              <w:spacing w:line="360" w:lineRule="auto"/>
              <w:jc w:val="center"/>
              <w:rPr>
                <w:rFonts w:ascii="Palatino Linotype" w:eastAsia="Calibri" w:hAnsi="Palatino Linotype"/>
                <w:sz w:val="24"/>
                <w:szCs w:val="24"/>
                <w:lang w:val="es-MX"/>
              </w:rPr>
            </w:pPr>
          </w:p>
          <w:p w14:paraId="00839508"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¿Satisface la solicitud?</w:t>
            </w:r>
          </w:p>
        </w:tc>
      </w:tr>
      <w:tr w:rsidR="0078519A" w:rsidRPr="00BC16BD" w14:paraId="35A3900E" w14:textId="77777777" w:rsidTr="002E2669">
        <w:trPr>
          <w:trHeight w:val="582"/>
        </w:trPr>
        <w:tc>
          <w:tcPr>
            <w:tcW w:w="709" w:type="dxa"/>
            <w:shd w:val="clear" w:color="auto" w:fill="FFFFFF" w:themeFill="background1"/>
          </w:tcPr>
          <w:p w14:paraId="360A72DF" w14:textId="77777777" w:rsidR="0078519A" w:rsidRPr="00BC16BD" w:rsidRDefault="0078519A" w:rsidP="00BC16BD">
            <w:pPr>
              <w:spacing w:line="360" w:lineRule="auto"/>
              <w:rPr>
                <w:rFonts w:ascii="Palatino Linotype" w:eastAsia="Calibri" w:hAnsi="Palatino Linotype"/>
                <w:sz w:val="24"/>
                <w:szCs w:val="24"/>
                <w:lang w:val="es-MX"/>
              </w:rPr>
            </w:pPr>
            <w:r w:rsidRPr="00BC16BD">
              <w:rPr>
                <w:rFonts w:ascii="Palatino Linotype" w:eastAsia="Calibri" w:hAnsi="Palatino Linotype"/>
                <w:sz w:val="24"/>
                <w:szCs w:val="24"/>
                <w:lang w:val="es-MX"/>
              </w:rPr>
              <w:t>1</w:t>
            </w:r>
          </w:p>
        </w:tc>
        <w:tc>
          <w:tcPr>
            <w:tcW w:w="1843" w:type="dxa"/>
            <w:shd w:val="clear" w:color="auto" w:fill="FFFFFF" w:themeFill="background1"/>
          </w:tcPr>
          <w:p w14:paraId="49E5A5DC" w14:textId="447C4461" w:rsidR="0078519A" w:rsidRPr="00BC16BD" w:rsidRDefault="0078519A" w:rsidP="00BC16BD">
            <w:pPr>
              <w:spacing w:after="160" w:line="360" w:lineRule="auto"/>
              <w:contextualSpacing/>
              <w:jc w:val="both"/>
              <w:rPr>
                <w:rFonts w:ascii="Palatino Linotype" w:eastAsia="Calibri" w:hAnsi="Palatino Linotype"/>
                <w:sz w:val="24"/>
                <w:szCs w:val="24"/>
                <w:lang w:val="es-MX"/>
              </w:rPr>
            </w:pPr>
            <w:r w:rsidRPr="00BC16BD">
              <w:rPr>
                <w:rFonts w:ascii="Palatino Linotype" w:hAnsi="Palatino Linotype"/>
                <w:sz w:val="24"/>
                <w:szCs w:val="24"/>
              </w:rPr>
              <w:t xml:space="preserve"> </w:t>
            </w:r>
            <w:r w:rsidRPr="00BC16BD">
              <w:rPr>
                <w:rFonts w:ascii="Palatino Linotype" w:eastAsia="Calibri" w:hAnsi="Palatino Linotype"/>
                <w:sz w:val="24"/>
                <w:szCs w:val="24"/>
                <w:lang w:val="es-MX"/>
              </w:rPr>
              <w:t xml:space="preserve"> “Censo de luminarios de alumbrado público realizado y firmado por la Comisión Federal de Electricidad (CFE), correspondient</w:t>
            </w:r>
            <w:r w:rsidRPr="00BC16BD">
              <w:rPr>
                <w:rFonts w:ascii="Palatino Linotype" w:eastAsia="Calibri" w:hAnsi="Palatino Linotype"/>
                <w:sz w:val="24"/>
                <w:szCs w:val="24"/>
                <w:lang w:val="es-MX"/>
              </w:rPr>
              <w:lastRenderedPageBreak/>
              <w:t>e a los años 2018, 2019, 2020 y 2021; “ (sic)</w:t>
            </w:r>
          </w:p>
        </w:tc>
        <w:tc>
          <w:tcPr>
            <w:tcW w:w="2552" w:type="dxa"/>
            <w:vMerge w:val="restart"/>
            <w:shd w:val="clear" w:color="auto" w:fill="FFFFFF" w:themeFill="background1"/>
          </w:tcPr>
          <w:p w14:paraId="351CF308" w14:textId="77777777" w:rsidR="0078519A" w:rsidRPr="0078519A" w:rsidRDefault="0078519A" w:rsidP="0078519A">
            <w:pPr>
              <w:tabs>
                <w:tab w:val="left" w:pos="284"/>
                <w:tab w:val="left" w:pos="993"/>
                <w:tab w:val="left" w:pos="1134"/>
              </w:tabs>
              <w:spacing w:line="360" w:lineRule="auto"/>
              <w:ind w:right="57"/>
              <w:contextualSpacing/>
              <w:jc w:val="both"/>
              <w:rPr>
                <w:rFonts w:ascii="Palatino Linotype" w:eastAsiaTheme="minorEastAsia" w:hAnsi="Palatino Linotype" w:cstheme="minorBidi"/>
                <w:i/>
                <w:lang w:val="es-ES_tradnl"/>
              </w:rPr>
            </w:pPr>
            <w:r w:rsidRPr="0078519A">
              <w:rPr>
                <w:rFonts w:ascii="Palatino Linotype" w:eastAsiaTheme="minorEastAsia" w:hAnsi="Palatino Linotype" w:cstheme="minorBidi"/>
                <w:i/>
                <w:lang w:val="es-ES_tradnl"/>
              </w:rPr>
              <w:lastRenderedPageBreak/>
              <w:t>“</w:t>
            </w:r>
            <w:r w:rsidRPr="0078519A">
              <w:rPr>
                <w:rFonts w:ascii="Palatino Linotype" w:eastAsiaTheme="minorEastAsia" w:hAnsi="Palatino Linotype" w:cstheme="minorBidi"/>
                <w:i/>
              </w:rPr>
              <w:t xml:space="preserve">Por medio del presente escrito, y con fundamento en los artículos 1, 24 Fracción XI, 47, 49, 53 y 167 de la Ley de Transparencia y Acceso a la Información Pública y Protección de Datos Personales del Estado de México y Municipios, su Reglamento y lineamientos, asi mismo </w:t>
            </w:r>
            <w:r w:rsidRPr="0078519A">
              <w:rPr>
                <w:rFonts w:ascii="Palatino Linotype" w:eastAsiaTheme="minorEastAsia" w:hAnsi="Palatino Linotype" w:cstheme="minorBidi"/>
                <w:i/>
              </w:rPr>
              <w:lastRenderedPageBreak/>
              <w:t>me permito informarle que es Incompetencia del sujeto obligado, para proporcionar la información solicitad, y en atención a su solicitud requerida por este medio el Sistema de Acceso a la Información Mexiquense (SAIMEX), Concerniente a la solicitud con número de folio 00215/NEXTLAL/IP/2021, que a la letra dice: …”</w:t>
            </w:r>
          </w:p>
          <w:p w14:paraId="72E62528" w14:textId="6541ACFB" w:rsidR="0078519A" w:rsidRPr="00BC16BD" w:rsidRDefault="0078519A" w:rsidP="0078519A">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p>
        </w:tc>
        <w:tc>
          <w:tcPr>
            <w:tcW w:w="2693" w:type="dxa"/>
            <w:shd w:val="clear" w:color="auto" w:fill="FFFFFF" w:themeFill="background1"/>
          </w:tcPr>
          <w:p w14:paraId="10BE308E" w14:textId="1B23AE4E" w:rsidR="0078519A" w:rsidRPr="00BC16BD" w:rsidRDefault="0078519A" w:rsidP="00BC16BD">
            <w:pPr>
              <w:spacing w:line="360" w:lineRule="auto"/>
              <w:ind w:left="28"/>
              <w:jc w:val="both"/>
              <w:rPr>
                <w:rFonts w:ascii="Palatino Linotype" w:eastAsia="Calibri" w:hAnsi="Palatino Linotype"/>
                <w:i/>
                <w:sz w:val="24"/>
                <w:szCs w:val="24"/>
              </w:rPr>
            </w:pPr>
            <w:r w:rsidRPr="00BC16BD">
              <w:rPr>
                <w:rFonts w:ascii="Palatino Linotype" w:eastAsia="Calibri" w:hAnsi="Palatino Linotype"/>
                <w:sz w:val="24"/>
                <w:szCs w:val="24"/>
                <w:lang w:val="es-MX"/>
              </w:rPr>
              <w:lastRenderedPageBreak/>
              <w:t xml:space="preserve"> </w:t>
            </w:r>
            <w:r w:rsidRPr="00BC16BD">
              <w:rPr>
                <w:rFonts w:ascii="Palatino Linotype" w:eastAsia="Calibri" w:hAnsi="Palatino Linotype" w:cs="Arial"/>
                <w:b/>
                <w:sz w:val="24"/>
                <w:szCs w:val="24"/>
              </w:rPr>
              <w:t xml:space="preserve"> </w:t>
            </w:r>
          </w:p>
          <w:p w14:paraId="7B519CF9" w14:textId="076630C3" w:rsidR="0078519A" w:rsidRPr="00BC16BD" w:rsidRDefault="0078519A" w:rsidP="00BC16BD">
            <w:pPr>
              <w:spacing w:line="360" w:lineRule="auto"/>
              <w:ind w:left="28" w:hanging="28"/>
              <w:jc w:val="both"/>
              <w:rPr>
                <w:rFonts w:ascii="Palatino Linotype" w:eastAsia="Calibri" w:hAnsi="Palatino Linotype"/>
                <w:i/>
                <w:sz w:val="24"/>
                <w:szCs w:val="24"/>
              </w:rPr>
            </w:pPr>
            <w:r w:rsidRPr="00BC16BD">
              <w:rPr>
                <w:rFonts w:ascii="Palatino Linotype" w:eastAsia="Calibri" w:hAnsi="Palatino Linotype"/>
                <w:b/>
                <w:sz w:val="24"/>
                <w:szCs w:val="24"/>
              </w:rPr>
              <w:t>No se realizó manifestación al respecto</w:t>
            </w:r>
            <w:r w:rsidRPr="00BC16BD">
              <w:rPr>
                <w:rFonts w:ascii="Palatino Linotype" w:eastAsia="Calibri" w:hAnsi="Palatino Linotype"/>
                <w:i/>
                <w:sz w:val="24"/>
                <w:szCs w:val="24"/>
              </w:rPr>
              <w:t xml:space="preserve">. </w:t>
            </w:r>
          </w:p>
          <w:p w14:paraId="022C5D88" w14:textId="60411226" w:rsidR="0078519A" w:rsidRPr="00BC16BD" w:rsidRDefault="0078519A" w:rsidP="00BC16BD">
            <w:pPr>
              <w:spacing w:line="360" w:lineRule="auto"/>
              <w:rPr>
                <w:rFonts w:ascii="Palatino Linotype" w:eastAsia="Calibri" w:hAnsi="Palatino Linotype"/>
                <w:sz w:val="24"/>
                <w:szCs w:val="24"/>
                <w:lang w:val="es-MX"/>
              </w:rPr>
            </w:pPr>
          </w:p>
        </w:tc>
        <w:tc>
          <w:tcPr>
            <w:tcW w:w="1559" w:type="dxa"/>
            <w:shd w:val="clear" w:color="auto" w:fill="FFFFFF" w:themeFill="background1"/>
          </w:tcPr>
          <w:p w14:paraId="70E9161C"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25CC5689"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2B20889B"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7B0CD064" w14:textId="01A765B4" w:rsidR="0078519A" w:rsidRPr="00BC16BD" w:rsidRDefault="0078519A" w:rsidP="00BC16BD">
            <w:pPr>
              <w:spacing w:line="360" w:lineRule="auto"/>
              <w:jc w:val="center"/>
              <w:rPr>
                <w:rFonts w:ascii="Palatino Linotype" w:eastAsia="Calibri" w:hAnsi="Palatino Linotype"/>
                <w:b/>
                <w:sz w:val="24"/>
                <w:szCs w:val="24"/>
                <w:lang w:val="es-MX"/>
              </w:rPr>
            </w:pPr>
            <w:r w:rsidRPr="00BC16BD">
              <w:rPr>
                <w:rFonts w:ascii="Palatino Linotype" w:eastAsia="Calibri" w:hAnsi="Palatino Linotype"/>
                <w:b/>
                <w:sz w:val="24"/>
                <w:szCs w:val="24"/>
                <w:lang w:val="es-MX"/>
              </w:rPr>
              <w:t xml:space="preserve">SÍ </w:t>
            </w:r>
          </w:p>
        </w:tc>
      </w:tr>
      <w:tr w:rsidR="0078519A" w:rsidRPr="00BC16BD" w14:paraId="407952D8" w14:textId="77777777" w:rsidTr="002E2669">
        <w:trPr>
          <w:trHeight w:val="582"/>
        </w:trPr>
        <w:tc>
          <w:tcPr>
            <w:tcW w:w="709" w:type="dxa"/>
            <w:shd w:val="clear" w:color="auto" w:fill="FFFFFF" w:themeFill="background1"/>
          </w:tcPr>
          <w:p w14:paraId="277E5C19" w14:textId="096BFF9D" w:rsidR="0078519A" w:rsidRPr="00BC16BD" w:rsidRDefault="0078519A" w:rsidP="00BC16BD">
            <w:pPr>
              <w:spacing w:line="360" w:lineRule="auto"/>
              <w:rPr>
                <w:rFonts w:ascii="Palatino Linotype" w:eastAsia="Calibri" w:hAnsi="Palatino Linotype"/>
                <w:b/>
                <w:sz w:val="24"/>
                <w:szCs w:val="24"/>
                <w:lang w:val="es-MX"/>
              </w:rPr>
            </w:pPr>
            <w:r w:rsidRPr="00BC16BD">
              <w:rPr>
                <w:rFonts w:ascii="Palatino Linotype" w:eastAsia="Calibri" w:hAnsi="Palatino Linotype"/>
                <w:b/>
                <w:sz w:val="24"/>
                <w:szCs w:val="24"/>
                <w:lang w:val="es-MX"/>
              </w:rPr>
              <w:t>2</w:t>
            </w:r>
          </w:p>
        </w:tc>
        <w:tc>
          <w:tcPr>
            <w:tcW w:w="1843" w:type="dxa"/>
            <w:shd w:val="clear" w:color="auto" w:fill="FFFFFF" w:themeFill="background1"/>
          </w:tcPr>
          <w:p w14:paraId="359FF736" w14:textId="50A0B28E" w:rsidR="0078519A" w:rsidRPr="00BC16BD" w:rsidRDefault="0078519A" w:rsidP="00BC16BD">
            <w:pPr>
              <w:spacing w:line="360" w:lineRule="auto"/>
              <w:jc w:val="both"/>
              <w:rPr>
                <w:rFonts w:ascii="Palatino Linotype" w:eastAsia="MS Mincho" w:hAnsi="Palatino Linotype"/>
                <w:i/>
                <w:sz w:val="24"/>
                <w:szCs w:val="24"/>
                <w:lang w:val="es-ES_tradnl"/>
              </w:rPr>
            </w:pPr>
            <w:r w:rsidRPr="00BC16BD">
              <w:rPr>
                <w:rFonts w:ascii="Palatino Linotype" w:eastAsia="Calibri" w:hAnsi="Palatino Linotype"/>
                <w:sz w:val="24"/>
                <w:szCs w:val="24"/>
                <w:lang w:val="es-MX"/>
              </w:rPr>
              <w:t>“Convenio para la recaudación del Derecho de Alumbrado Público (DAP), entre la CFE y el Municipio, correspondiente a los años 2018, 2019, 2020 y 2021” (Sic)</w:t>
            </w:r>
          </w:p>
        </w:tc>
        <w:tc>
          <w:tcPr>
            <w:tcW w:w="2552" w:type="dxa"/>
            <w:vMerge/>
            <w:shd w:val="clear" w:color="auto" w:fill="FFFFFF" w:themeFill="background1"/>
          </w:tcPr>
          <w:p w14:paraId="54DB9B12" w14:textId="11B2C216" w:rsidR="0078519A" w:rsidRPr="0078519A" w:rsidRDefault="0078519A" w:rsidP="0078519A">
            <w:pPr>
              <w:rPr>
                <w:rFonts w:eastAsiaTheme="minorEastAsia"/>
              </w:rPr>
            </w:pPr>
          </w:p>
        </w:tc>
        <w:tc>
          <w:tcPr>
            <w:tcW w:w="2693" w:type="dxa"/>
            <w:shd w:val="clear" w:color="auto" w:fill="FFFFFF" w:themeFill="background1"/>
          </w:tcPr>
          <w:p w14:paraId="07D8F42F" w14:textId="332E1B93" w:rsidR="0078519A" w:rsidRPr="00BC16BD" w:rsidRDefault="0078519A" w:rsidP="00BC16BD">
            <w:pPr>
              <w:spacing w:line="360" w:lineRule="auto"/>
              <w:ind w:left="28"/>
              <w:jc w:val="both"/>
              <w:rPr>
                <w:rFonts w:ascii="Palatino Linotype" w:eastAsia="Calibri" w:hAnsi="Palatino Linotype"/>
                <w:sz w:val="24"/>
                <w:szCs w:val="24"/>
                <w:lang w:val="es-MX"/>
              </w:rPr>
            </w:pPr>
            <w:r w:rsidRPr="00BC16BD">
              <w:rPr>
                <w:rFonts w:ascii="Palatino Linotype" w:eastAsia="Calibri" w:hAnsi="Palatino Linotype"/>
                <w:b/>
                <w:sz w:val="24"/>
                <w:szCs w:val="24"/>
              </w:rPr>
              <w:t xml:space="preserve">No se realizó manifestación al respecto. </w:t>
            </w:r>
          </w:p>
        </w:tc>
        <w:tc>
          <w:tcPr>
            <w:tcW w:w="1559" w:type="dxa"/>
            <w:shd w:val="clear" w:color="auto" w:fill="FFFFFF" w:themeFill="background1"/>
          </w:tcPr>
          <w:p w14:paraId="0E11E0C5"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5EE8AD1F"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1F466A03"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291C5F1B" w14:textId="65679158" w:rsidR="0078519A" w:rsidRPr="00BC16BD" w:rsidRDefault="0078519A" w:rsidP="00BC16BD">
            <w:pPr>
              <w:spacing w:line="360" w:lineRule="auto"/>
              <w:jc w:val="center"/>
              <w:rPr>
                <w:rFonts w:ascii="Palatino Linotype" w:eastAsia="Calibri" w:hAnsi="Palatino Linotype"/>
                <w:b/>
                <w:sz w:val="24"/>
                <w:szCs w:val="24"/>
                <w:lang w:val="es-MX"/>
              </w:rPr>
            </w:pPr>
            <w:r w:rsidRPr="00BC16BD">
              <w:rPr>
                <w:rFonts w:ascii="Palatino Linotype" w:eastAsia="Calibri" w:hAnsi="Palatino Linotype"/>
                <w:b/>
                <w:sz w:val="24"/>
                <w:szCs w:val="24"/>
                <w:lang w:val="es-MX"/>
              </w:rPr>
              <w:t>NO</w:t>
            </w:r>
          </w:p>
        </w:tc>
      </w:tr>
      <w:tr w:rsidR="0078519A" w:rsidRPr="00BC16BD" w14:paraId="41BC2B6E" w14:textId="77777777" w:rsidTr="002E2669">
        <w:trPr>
          <w:trHeight w:val="582"/>
        </w:trPr>
        <w:tc>
          <w:tcPr>
            <w:tcW w:w="709" w:type="dxa"/>
            <w:shd w:val="clear" w:color="auto" w:fill="FFFFFF" w:themeFill="background1"/>
          </w:tcPr>
          <w:p w14:paraId="0101EA8C" w14:textId="0C2008B0" w:rsidR="0078519A" w:rsidRPr="00BC16BD" w:rsidRDefault="0078519A" w:rsidP="00BC16BD">
            <w:pPr>
              <w:spacing w:line="360" w:lineRule="auto"/>
              <w:rPr>
                <w:rFonts w:ascii="Palatino Linotype" w:eastAsia="Calibri" w:hAnsi="Palatino Linotype"/>
                <w:b/>
                <w:sz w:val="24"/>
                <w:szCs w:val="24"/>
                <w:lang w:val="es-MX"/>
              </w:rPr>
            </w:pPr>
            <w:r w:rsidRPr="00BC16BD">
              <w:rPr>
                <w:rFonts w:ascii="Palatino Linotype" w:eastAsia="Calibri" w:hAnsi="Palatino Linotype"/>
                <w:b/>
                <w:sz w:val="24"/>
                <w:szCs w:val="24"/>
                <w:lang w:val="es-MX"/>
              </w:rPr>
              <w:t>3</w:t>
            </w:r>
          </w:p>
        </w:tc>
        <w:tc>
          <w:tcPr>
            <w:tcW w:w="1843" w:type="dxa"/>
            <w:shd w:val="clear" w:color="auto" w:fill="FFFFFF" w:themeFill="background1"/>
          </w:tcPr>
          <w:p w14:paraId="1E696CD6" w14:textId="53FFFB6C" w:rsidR="0078519A" w:rsidRPr="00BC16BD" w:rsidRDefault="0078519A" w:rsidP="00BC16BD">
            <w:pPr>
              <w:spacing w:after="160" w:line="360" w:lineRule="auto"/>
              <w:contextualSpacing/>
              <w:jc w:val="both"/>
              <w:rPr>
                <w:rFonts w:ascii="Palatino Linotype" w:eastAsia="Calibri" w:hAnsi="Palatino Linotype"/>
                <w:sz w:val="24"/>
                <w:szCs w:val="24"/>
                <w:lang w:val="es-MX"/>
              </w:rPr>
            </w:pPr>
            <w:r w:rsidRPr="00BC16BD">
              <w:rPr>
                <w:rFonts w:ascii="Palatino Linotype" w:eastAsia="Calibri" w:hAnsi="Palatino Linotype"/>
                <w:sz w:val="24"/>
                <w:szCs w:val="24"/>
                <w:lang w:val="es-MX"/>
              </w:rPr>
              <w:t xml:space="preserve">“Facturación por el consumo de energía eléctrica en el alumbrado público municipal, así </w:t>
            </w:r>
            <w:r w:rsidRPr="00BC16BD">
              <w:rPr>
                <w:rFonts w:ascii="Palatino Linotype" w:eastAsia="Calibri" w:hAnsi="Palatino Linotype"/>
                <w:sz w:val="24"/>
                <w:szCs w:val="24"/>
                <w:lang w:val="es-MX"/>
              </w:rPr>
              <w:lastRenderedPageBreak/>
              <w:t>como la recaudación del DAP, ambos desglosados de manera mensual, correspondiente a los años 2018, 2019, 2020 y 2021 (se adjunta tabla para el fácil llenado de la información).” (Sic)</w:t>
            </w:r>
          </w:p>
          <w:p w14:paraId="418FA0C0" w14:textId="77777777" w:rsidR="0078519A" w:rsidRPr="00BC16BD" w:rsidRDefault="0078519A" w:rsidP="00BC16BD">
            <w:pPr>
              <w:spacing w:line="360" w:lineRule="auto"/>
              <w:jc w:val="both"/>
              <w:rPr>
                <w:rFonts w:ascii="Palatino Linotype" w:eastAsia="MS Mincho" w:hAnsi="Palatino Linotype"/>
                <w:i/>
                <w:sz w:val="24"/>
                <w:szCs w:val="24"/>
                <w:lang w:val="es-MX"/>
              </w:rPr>
            </w:pPr>
          </w:p>
        </w:tc>
        <w:tc>
          <w:tcPr>
            <w:tcW w:w="2552" w:type="dxa"/>
            <w:vMerge/>
            <w:shd w:val="clear" w:color="auto" w:fill="FFFFFF" w:themeFill="background1"/>
          </w:tcPr>
          <w:p w14:paraId="3E16BFD1" w14:textId="77777777" w:rsidR="0078519A" w:rsidRPr="00BC16BD" w:rsidRDefault="0078519A" w:rsidP="00BC16BD">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Theme="minorEastAsia" w:hAnsi="Palatino Linotype" w:cstheme="minorBidi"/>
                <w:sz w:val="24"/>
                <w:szCs w:val="24"/>
                <w:lang w:val="es-ES_tradnl"/>
              </w:rPr>
            </w:pPr>
          </w:p>
        </w:tc>
        <w:tc>
          <w:tcPr>
            <w:tcW w:w="2693" w:type="dxa"/>
            <w:shd w:val="clear" w:color="auto" w:fill="FFFFFF" w:themeFill="background1"/>
          </w:tcPr>
          <w:p w14:paraId="09C9809B" w14:textId="77777777" w:rsidR="0078519A" w:rsidRPr="00BC16BD" w:rsidRDefault="0078519A" w:rsidP="00BC16BD">
            <w:pPr>
              <w:spacing w:line="360" w:lineRule="auto"/>
              <w:ind w:left="28"/>
              <w:jc w:val="both"/>
              <w:rPr>
                <w:rFonts w:ascii="Palatino Linotype" w:eastAsia="Calibri" w:hAnsi="Palatino Linotype"/>
                <w:b/>
                <w:sz w:val="24"/>
                <w:szCs w:val="24"/>
              </w:rPr>
            </w:pPr>
          </w:p>
        </w:tc>
        <w:tc>
          <w:tcPr>
            <w:tcW w:w="1559" w:type="dxa"/>
            <w:shd w:val="clear" w:color="auto" w:fill="FFFFFF" w:themeFill="background1"/>
          </w:tcPr>
          <w:p w14:paraId="2F1E861C"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447A47F2" w14:textId="77777777" w:rsidR="0078519A" w:rsidRPr="00BC16BD" w:rsidRDefault="0078519A" w:rsidP="00BC16BD">
            <w:pPr>
              <w:spacing w:line="360" w:lineRule="auto"/>
              <w:jc w:val="center"/>
              <w:rPr>
                <w:rFonts w:ascii="Palatino Linotype" w:eastAsia="Calibri" w:hAnsi="Palatino Linotype"/>
                <w:sz w:val="24"/>
                <w:szCs w:val="24"/>
                <w:lang w:val="es-MX"/>
              </w:rPr>
            </w:pPr>
          </w:p>
          <w:p w14:paraId="12577F52" w14:textId="30A0F01A" w:rsidR="0078519A" w:rsidRPr="00BC16BD" w:rsidRDefault="0078519A" w:rsidP="00BC16BD">
            <w:pPr>
              <w:spacing w:line="360" w:lineRule="auto"/>
              <w:jc w:val="center"/>
              <w:rPr>
                <w:rFonts w:ascii="Palatino Linotype" w:eastAsia="Calibri" w:hAnsi="Palatino Linotype"/>
                <w:b/>
                <w:sz w:val="24"/>
                <w:szCs w:val="24"/>
                <w:lang w:val="es-MX"/>
              </w:rPr>
            </w:pPr>
            <w:r w:rsidRPr="00BC16BD">
              <w:rPr>
                <w:rFonts w:ascii="Palatino Linotype" w:eastAsia="Calibri" w:hAnsi="Palatino Linotype"/>
                <w:b/>
                <w:sz w:val="24"/>
                <w:szCs w:val="24"/>
                <w:lang w:val="es-MX"/>
              </w:rPr>
              <w:t>NO</w:t>
            </w:r>
          </w:p>
        </w:tc>
      </w:tr>
    </w:tbl>
    <w:p w14:paraId="53592EB4" w14:textId="77777777" w:rsidR="002C7E93" w:rsidRPr="00BC16BD" w:rsidRDefault="002C7E93" w:rsidP="00BC16BD">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62" w:name="_Toc84264165"/>
    </w:p>
    <w:p w14:paraId="57E3A5B6" w14:textId="77777777" w:rsidR="002C7E93" w:rsidRPr="00BC16BD" w:rsidRDefault="002C7E93" w:rsidP="00BC16BD">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12458D0" w14:textId="438B8CF5" w:rsidR="00117030" w:rsidRPr="00544C09" w:rsidRDefault="00C548CF" w:rsidP="00694F4C">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BC16BD">
        <w:rPr>
          <w:rFonts w:ascii="Palatino Linotype" w:eastAsia="MS Mincho" w:hAnsi="Palatino Linotype" w:cs="Arial"/>
          <w:color w:val="000000"/>
          <w:lang w:val="es-ES_tradnl"/>
        </w:rPr>
        <w:t>Así las cosas, este Instituto de Transparencia, de conformidad con los principios de eficacia y profesionalismo</w:t>
      </w:r>
      <w:r w:rsidRPr="00BC16BD">
        <w:rPr>
          <w:rStyle w:val="Refdenotaalpie"/>
          <w:rFonts w:ascii="Palatino Linotype" w:eastAsia="MS Mincho" w:hAnsi="Palatino Linotype" w:cs="Arial"/>
          <w:color w:val="000000"/>
          <w:lang w:val="es-ES_tradnl"/>
        </w:rPr>
        <w:footnoteReference w:id="6"/>
      </w:r>
      <w:r w:rsidRPr="00BC16BD">
        <w:rPr>
          <w:rFonts w:ascii="Palatino Linotype" w:eastAsia="MS Mincho" w:hAnsi="Palatino Linotype" w:cs="Arial"/>
          <w:color w:val="000000"/>
          <w:lang w:val="es-ES_tradnl"/>
        </w:rPr>
        <w:t xml:space="preserve">, procederá a verificar la información remitida por el </w:t>
      </w:r>
      <w:r w:rsidRPr="00BC16BD">
        <w:rPr>
          <w:rFonts w:ascii="Palatino Linotype" w:eastAsia="MS Mincho" w:hAnsi="Palatino Linotype" w:cs="Arial"/>
          <w:b/>
          <w:color w:val="000000"/>
          <w:lang w:val="es-ES_tradnl"/>
        </w:rPr>
        <w:lastRenderedPageBreak/>
        <w:t>SUJETO OBLIGADO y</w:t>
      </w:r>
      <w:r w:rsidRPr="00BC16BD">
        <w:rPr>
          <w:rFonts w:ascii="Palatino Linotype" w:eastAsia="MS Mincho" w:hAnsi="Palatino Linotype" w:cs="Arial"/>
          <w:color w:val="000000"/>
          <w:lang w:val="es-ES_tradnl"/>
        </w:rPr>
        <w:t xml:space="preserve"> las manifestaciones realizadas por el </w:t>
      </w:r>
      <w:r w:rsidRPr="00BC16BD">
        <w:rPr>
          <w:rFonts w:ascii="Palatino Linotype" w:eastAsia="MS Mincho" w:hAnsi="Palatino Linotype" w:cs="Arial"/>
          <w:b/>
          <w:color w:val="000000"/>
          <w:lang w:val="es-ES_tradnl"/>
        </w:rPr>
        <w:t xml:space="preserve">SOLICTANTE </w:t>
      </w:r>
      <w:r w:rsidRPr="00BC16BD">
        <w:rPr>
          <w:rFonts w:ascii="Palatino Linotype" w:eastAsia="MS Mincho" w:hAnsi="Palatino Linotype" w:cs="Arial"/>
          <w:color w:val="000000"/>
          <w:lang w:val="es-ES_tradnl"/>
        </w:rPr>
        <w:t xml:space="preserve">a efecto de determinar </w:t>
      </w:r>
      <w:bookmarkEnd w:id="62"/>
      <w:r w:rsidR="002E2669" w:rsidRPr="00BC16BD">
        <w:rPr>
          <w:rFonts w:ascii="Palatino Linotype" w:eastAsia="MS Mincho" w:hAnsi="Palatino Linotype" w:cs="Arial"/>
          <w:color w:val="000000"/>
          <w:lang w:val="es-ES_tradnl"/>
        </w:rPr>
        <w:t xml:space="preserve">si la información remitida se encuentra apegada a lo que </w:t>
      </w:r>
      <w:r w:rsidR="002517E6" w:rsidRPr="00BC16BD">
        <w:rPr>
          <w:rFonts w:ascii="Palatino Linotype" w:eastAsia="MS Mincho" w:hAnsi="Palatino Linotype" w:cs="Arial"/>
          <w:color w:val="000000"/>
          <w:lang w:val="es-ES_tradnl"/>
        </w:rPr>
        <w:t>establece la Ley Estatal en materia de T</w:t>
      </w:r>
      <w:r w:rsidR="002E2669" w:rsidRPr="00BC16BD">
        <w:rPr>
          <w:rFonts w:ascii="Palatino Linotype" w:eastAsia="MS Mincho" w:hAnsi="Palatino Linotype" w:cs="Arial"/>
          <w:color w:val="000000"/>
          <w:lang w:val="es-ES_tradnl"/>
        </w:rPr>
        <w:t xml:space="preserve">ransparencia. </w:t>
      </w:r>
    </w:p>
    <w:p w14:paraId="46D6D680" w14:textId="1FFCD553" w:rsidR="00B92A80" w:rsidRPr="00BC16BD" w:rsidRDefault="00B92A80" w:rsidP="00BC16BD">
      <w:pPr>
        <w:spacing w:line="360" w:lineRule="auto"/>
        <w:ind w:right="758"/>
        <w:jc w:val="both"/>
        <w:rPr>
          <w:rFonts w:ascii="Palatino Linotype" w:eastAsia="MS Mincho" w:hAnsi="Palatino Linotype"/>
          <w:i/>
        </w:rPr>
      </w:pPr>
    </w:p>
    <w:p w14:paraId="42D90EFC" w14:textId="725C221E" w:rsidR="00B92A80" w:rsidRPr="00BC16BD" w:rsidRDefault="00B92A80" w:rsidP="00BC16BD">
      <w:pPr>
        <w:pStyle w:val="Ttulo1"/>
        <w:spacing w:line="360" w:lineRule="auto"/>
        <w:rPr>
          <w:rFonts w:ascii="Palatino Linotype" w:eastAsia="MS Mincho" w:hAnsi="Palatino Linotype" w:cs="Arial"/>
          <w:b/>
          <w:color w:val="auto"/>
          <w:sz w:val="24"/>
          <w:szCs w:val="24"/>
          <w:lang w:val="es-MX"/>
        </w:rPr>
      </w:pPr>
      <w:bookmarkStart w:id="63" w:name="_Toc95264751"/>
      <w:bookmarkStart w:id="64" w:name="_Toc95401049"/>
      <w:r w:rsidRPr="00BC16BD">
        <w:rPr>
          <w:rFonts w:ascii="Palatino Linotype" w:hAnsi="Palatino Linotype"/>
          <w:b/>
          <w:color w:val="auto"/>
          <w:sz w:val="24"/>
          <w:szCs w:val="24"/>
          <w:lang w:val="es-MX" w:eastAsia="en-US"/>
        </w:rPr>
        <w:t>II</w:t>
      </w:r>
      <w:r w:rsidR="00544C09">
        <w:rPr>
          <w:rFonts w:ascii="Palatino Linotype" w:hAnsi="Palatino Linotype"/>
          <w:b/>
          <w:color w:val="auto"/>
          <w:sz w:val="24"/>
          <w:szCs w:val="24"/>
          <w:lang w:val="es-MX" w:eastAsia="en-US"/>
        </w:rPr>
        <w:t>I</w:t>
      </w:r>
      <w:r w:rsidRPr="00BC16BD">
        <w:rPr>
          <w:rFonts w:ascii="Palatino Linotype" w:hAnsi="Palatino Linotype"/>
          <w:b/>
          <w:color w:val="auto"/>
          <w:sz w:val="24"/>
          <w:szCs w:val="24"/>
          <w:lang w:val="es-MX" w:eastAsia="en-US"/>
        </w:rPr>
        <w:t>. De la competencia del Sujeto Obligado para poseer, generar o administrar la información.</w:t>
      </w:r>
      <w:bookmarkEnd w:id="63"/>
      <w:bookmarkEnd w:id="64"/>
      <w:r w:rsidRPr="00BC16BD">
        <w:rPr>
          <w:rFonts w:ascii="Palatino Linotype" w:hAnsi="Palatino Linotype"/>
          <w:b/>
          <w:color w:val="auto"/>
          <w:sz w:val="24"/>
          <w:szCs w:val="24"/>
          <w:lang w:val="es-MX" w:eastAsia="en-US"/>
        </w:rPr>
        <w:t xml:space="preserve"> </w:t>
      </w:r>
    </w:p>
    <w:p w14:paraId="2F5BC796" w14:textId="77777777" w:rsidR="00B92A80" w:rsidRPr="00BC16BD" w:rsidRDefault="00B92A80" w:rsidP="00BC16BD">
      <w:pPr>
        <w:spacing w:line="360" w:lineRule="auto"/>
        <w:ind w:right="758"/>
        <w:jc w:val="both"/>
        <w:rPr>
          <w:rFonts w:ascii="Palatino Linotype" w:eastAsia="MS Mincho" w:hAnsi="Palatino Linotype"/>
          <w:i/>
        </w:rPr>
      </w:pPr>
    </w:p>
    <w:p w14:paraId="4C8E93F8" w14:textId="368BA7F0" w:rsidR="00544C09" w:rsidRPr="00544C09" w:rsidRDefault="00B92A80" w:rsidP="00544C09">
      <w:pPr>
        <w:pStyle w:val="Prrafodelista"/>
        <w:numPr>
          <w:ilvl w:val="0"/>
          <w:numId w:val="5"/>
        </w:numPr>
        <w:spacing w:line="360" w:lineRule="auto"/>
        <w:ind w:left="0" w:firstLine="0"/>
        <w:jc w:val="both"/>
        <w:rPr>
          <w:rFonts w:ascii="Palatino Linotype" w:eastAsia="MS Mincho" w:hAnsi="Palatino Linotype" w:cs="Arial"/>
          <w:i/>
          <w:lang w:val="es-MX"/>
        </w:rPr>
      </w:pPr>
      <w:r w:rsidRPr="00BC16BD">
        <w:rPr>
          <w:rFonts w:ascii="Palatino Linotype" w:hAnsi="Palatino Linotype"/>
          <w:lang w:val="es-ES_tradnl"/>
        </w:rPr>
        <w:t xml:space="preserve">Ahora bien, </w:t>
      </w:r>
      <w:r w:rsidR="00544C09">
        <w:rPr>
          <w:rFonts w:ascii="Palatino Linotype" w:hAnsi="Palatino Linotype"/>
          <w:lang w:val="es-ES_tradnl"/>
        </w:rPr>
        <w:t>y toda vez que el ente recurrido se manifiesta incompetente para poseer, generar o administrar la información solicitada</w:t>
      </w:r>
      <w:r w:rsidR="00544C09" w:rsidRPr="00544C09">
        <w:rPr>
          <w:rFonts w:ascii="Palatino Linotype" w:hAnsi="Palatino Linotype" w:cs="Arial"/>
          <w:lang w:eastAsia="es-MX"/>
        </w:rPr>
        <w:t>, este Instituto de Transparencia como Órgano Garante advierte que no se desarrolló de manera adecuada el procedimiento de acceso a la información</w:t>
      </w:r>
      <w:r w:rsidR="00544C09">
        <w:rPr>
          <w:rStyle w:val="Refdenotaalpie"/>
          <w:rFonts w:ascii="Palatino Linotype" w:hAnsi="Palatino Linotype" w:cs="Arial"/>
          <w:lang w:eastAsia="es-MX"/>
        </w:rPr>
        <w:footnoteReference w:id="7"/>
      </w:r>
      <w:r w:rsidR="00544C09" w:rsidRPr="00544C09">
        <w:rPr>
          <w:rFonts w:ascii="Palatino Linotype" w:hAnsi="Palatino Linotype" w:cs="Arial"/>
          <w:lang w:eastAsia="es-MX"/>
        </w:rPr>
        <w:t xml:space="preserve"> por parte del </w:t>
      </w:r>
      <w:r w:rsidR="00544C09" w:rsidRPr="00544C09">
        <w:rPr>
          <w:rFonts w:ascii="Palatino Linotype" w:hAnsi="Palatino Linotype" w:cs="Arial"/>
          <w:b/>
          <w:lang w:eastAsia="es-MX"/>
        </w:rPr>
        <w:t xml:space="preserve">SUJETO OBLIGADO de Conformidad con lo que Señala la Ley de Transparencia Estatal. </w:t>
      </w:r>
    </w:p>
    <w:p w14:paraId="608E89D6" w14:textId="7AF1FC97" w:rsidR="00544C09" w:rsidRPr="00544C09" w:rsidRDefault="00544C09" w:rsidP="00544C09">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Pr>
          <w:rFonts w:ascii="Palatino Linotype" w:hAnsi="Palatino Linotype" w:cs="Arial"/>
          <w:lang w:val="es-MX" w:eastAsia="es-MX"/>
        </w:rPr>
        <w:t xml:space="preserve">En efecto, de las constancias que integran el expediente electrónico radicado en el </w:t>
      </w:r>
      <w:r>
        <w:rPr>
          <w:rFonts w:ascii="Palatino Linotype" w:hAnsi="Palatino Linotype" w:cs="Arial"/>
          <w:b/>
          <w:lang w:val="es-MX" w:eastAsia="es-MX"/>
        </w:rPr>
        <w:t xml:space="preserve">SAIMEX, </w:t>
      </w:r>
      <w:r w:rsidRPr="00544C09">
        <w:rPr>
          <w:rFonts w:ascii="Palatino Linotype" w:hAnsi="Palatino Linotype" w:cs="Arial"/>
          <w:lang w:val="es-MX" w:eastAsia="es-MX"/>
        </w:rPr>
        <w:t>se advierte que</w:t>
      </w:r>
      <w:r>
        <w:rPr>
          <w:rFonts w:ascii="Palatino Linotype" w:hAnsi="Palatino Linotype" w:cs="Arial"/>
          <w:b/>
          <w:lang w:val="es-MX" w:eastAsia="es-MX"/>
        </w:rPr>
        <w:t xml:space="preserve"> Ayuntamiento de Nextlalpan </w:t>
      </w:r>
      <w:r>
        <w:rPr>
          <w:rFonts w:ascii="Palatino Linotype" w:hAnsi="Palatino Linotype" w:cs="Arial"/>
          <w:lang w:val="es-MX" w:eastAsia="es-MX"/>
        </w:rPr>
        <w:t>procedió a declarar la incompetencia para contar con la información solicitada sin al efecto considerar las facultades en materia de prestación de servicios públicos que le confiere la Ley</w:t>
      </w:r>
      <w:r w:rsidRPr="00544C09">
        <w:rPr>
          <w:rFonts w:ascii="Palatino Linotype" w:hAnsi="Palatino Linotype" w:cs="Arial"/>
          <w:lang w:eastAsia="es-MX"/>
        </w:rPr>
        <w:t xml:space="preserve">. </w:t>
      </w:r>
    </w:p>
    <w:p w14:paraId="574ACE07" w14:textId="77777777" w:rsidR="00544C09" w:rsidRPr="00EE487E" w:rsidRDefault="00544C09" w:rsidP="00544C09">
      <w:pPr>
        <w:pStyle w:val="Prrafodelista"/>
        <w:rPr>
          <w:rFonts w:ascii="Palatino Linotype" w:eastAsia="MS Mincho" w:hAnsi="Palatino Linotype" w:cs="Arial"/>
          <w:i/>
          <w:lang w:val="es-MX"/>
        </w:rPr>
      </w:pPr>
    </w:p>
    <w:p w14:paraId="6BCEC2F9" w14:textId="77777777" w:rsidR="00544C09" w:rsidRPr="00EE487E" w:rsidRDefault="00544C09" w:rsidP="00544C09">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s="Arial"/>
          <w:lang w:val="es-MX"/>
        </w:rPr>
        <w:lastRenderedPageBreak/>
        <w:t xml:space="preserve">Adquiere sustento lo anterior de conformidad con el criterio 02/17 emitido por el Instituto Nacional de Transparencia, Acceso a la Información y Protección de Datos Personales, que señala lo siguiente: </w:t>
      </w:r>
    </w:p>
    <w:p w14:paraId="761AC1E4" w14:textId="77777777" w:rsidR="00544C09" w:rsidRPr="00EE487E" w:rsidRDefault="00544C09" w:rsidP="00544C09">
      <w:pPr>
        <w:pStyle w:val="Prrafodelista"/>
        <w:rPr>
          <w:rFonts w:ascii="Palatino Linotype" w:eastAsia="MS Mincho" w:hAnsi="Palatino Linotype" w:cs="Arial"/>
          <w:i/>
          <w:lang w:val="es-MX"/>
        </w:rPr>
      </w:pPr>
    </w:p>
    <w:p w14:paraId="7B8D3658" w14:textId="77777777" w:rsidR="00544C09" w:rsidRPr="00EE487E" w:rsidRDefault="00544C09" w:rsidP="00544C09">
      <w:pPr>
        <w:spacing w:before="240" w:after="360" w:line="360" w:lineRule="auto"/>
        <w:ind w:left="540" w:right="738"/>
        <w:contextualSpacing/>
        <w:jc w:val="both"/>
        <w:rPr>
          <w:rFonts w:ascii="Palatino Linotype" w:eastAsia="MS Mincho" w:hAnsi="Palatino Linotype" w:cs="Arial"/>
          <w:i/>
          <w:lang w:val="es-MX"/>
        </w:rPr>
      </w:pPr>
      <w:r>
        <w:rPr>
          <w:rFonts w:ascii="Palatino Linotype" w:eastAsia="MS Mincho" w:hAnsi="Palatino Linotype" w:cs="Arial"/>
          <w:i/>
          <w:lang w:val="es-MX"/>
        </w:rPr>
        <w:t>“</w:t>
      </w:r>
      <w:r w:rsidRPr="00EE487E">
        <w:rPr>
          <w:rFonts w:ascii="Palatino Linotype" w:eastAsia="MS Mincho" w:hAnsi="Palatino Linotype" w:cs="Arial"/>
          <w:b/>
          <w:i/>
          <w:lang w:val="es-MX"/>
        </w:rPr>
        <w:t>Congruencia y exhaustividad. Sus alcances para garantizar el derecho de acceso a la información</w:t>
      </w:r>
      <w:r w:rsidRPr="00EE487E">
        <w:rPr>
          <w:rFonts w:ascii="Palatino Linotype" w:eastAsia="MS Mincho" w:hAnsi="Palatino Linotype" w:cs="Arial"/>
          <w:i/>
          <w:lang w:val="es-MX"/>
        </w:rPr>
        <w:t>.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Pr>
          <w:rFonts w:ascii="Palatino Linotype" w:eastAsia="MS Mincho" w:hAnsi="Palatino Linotype" w:cs="Arial"/>
          <w:i/>
          <w:lang w:val="es-MX"/>
        </w:rPr>
        <w:t>” (Sic)</w:t>
      </w:r>
    </w:p>
    <w:p w14:paraId="736ACB2C" w14:textId="77777777" w:rsidR="00544C09" w:rsidRPr="00EE487E" w:rsidRDefault="00544C09" w:rsidP="00544C09">
      <w:pPr>
        <w:spacing w:before="240" w:after="360" w:line="360" w:lineRule="auto"/>
        <w:contextualSpacing/>
        <w:jc w:val="both"/>
        <w:rPr>
          <w:rFonts w:ascii="Palatino Linotype" w:eastAsia="MS Mincho" w:hAnsi="Palatino Linotype" w:cs="Arial"/>
          <w:i/>
          <w:lang w:val="es-MX"/>
        </w:rPr>
      </w:pPr>
    </w:p>
    <w:p w14:paraId="630144E7" w14:textId="77777777" w:rsidR="00544C09" w:rsidRPr="00E6261C" w:rsidRDefault="00544C09" w:rsidP="00544C09">
      <w:pPr>
        <w:pStyle w:val="Prrafodelista"/>
        <w:rPr>
          <w:rFonts w:ascii="Palatino Linotype" w:eastAsiaTheme="minorEastAsia" w:hAnsi="Palatino Linotype" w:cstheme="minorBidi"/>
          <w:color w:val="000000" w:themeColor="text1"/>
          <w:lang w:val="es-MX"/>
        </w:rPr>
      </w:pPr>
    </w:p>
    <w:p w14:paraId="42BD3DBD" w14:textId="519FE0BB" w:rsidR="00544C09" w:rsidRDefault="00544C09" w:rsidP="00544C09">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E6261C">
        <w:rPr>
          <w:rFonts w:ascii="Palatino Linotype" w:eastAsiaTheme="minorEastAsia" w:hAnsi="Palatino Linotype" w:cstheme="minorBidi"/>
          <w:color w:val="000000" w:themeColor="text1"/>
          <w:lang w:val="es-MX"/>
        </w:rPr>
        <w:t xml:space="preserve">En ese sentido la conducta desplegada por el </w:t>
      </w:r>
      <w:r>
        <w:rPr>
          <w:rFonts w:ascii="Palatino Linotype" w:eastAsiaTheme="minorEastAsia" w:hAnsi="Palatino Linotype" w:cstheme="minorBidi"/>
          <w:b/>
          <w:color w:val="000000" w:themeColor="text1"/>
          <w:lang w:val="es-MX"/>
        </w:rPr>
        <w:t>Ayuntamiento de Nextlalpan</w:t>
      </w:r>
      <w:r>
        <w:rPr>
          <w:rFonts w:ascii="Palatino Linotype" w:eastAsiaTheme="minorEastAsia" w:hAnsi="Palatino Linotype" w:cstheme="minorBidi"/>
          <w:color w:val="000000" w:themeColor="text1"/>
          <w:lang w:val="es-MX"/>
        </w:rPr>
        <w:t xml:space="preserve"> constituye una vulneración al Derecho de Acceso a la I</w:t>
      </w:r>
      <w:r w:rsidRPr="00E6261C">
        <w:rPr>
          <w:rFonts w:ascii="Palatino Linotype" w:eastAsiaTheme="minorEastAsia" w:hAnsi="Palatino Linotype" w:cstheme="minorBidi"/>
          <w:color w:val="000000" w:themeColor="text1"/>
          <w:lang w:val="es-MX"/>
        </w:rPr>
        <w:t xml:space="preserve">nformación al no otorgar deliberada y sistemáticamente la información solicitada, por lo que se le </w:t>
      </w:r>
      <w:r w:rsidRPr="00EE487E">
        <w:rPr>
          <w:rFonts w:ascii="Palatino Linotype" w:eastAsiaTheme="minorEastAsia" w:hAnsi="Palatino Linotype" w:cstheme="minorBidi"/>
          <w:b/>
          <w:color w:val="000000" w:themeColor="text1"/>
          <w:lang w:val="es-MX"/>
        </w:rPr>
        <w:t xml:space="preserve">APERCIBE </w:t>
      </w:r>
      <w:r w:rsidRPr="00E6261C">
        <w:rPr>
          <w:rFonts w:ascii="Palatino Linotype" w:eastAsiaTheme="minorEastAsia" w:hAnsi="Palatino Linotype" w:cstheme="minorBidi"/>
          <w:color w:val="000000" w:themeColor="text1"/>
          <w:lang w:val="es-MX"/>
        </w:rPr>
        <w:t xml:space="preserve">de la alta responsabilidad que implica el causar el retraso y la regresión de un </w:t>
      </w:r>
      <w:r w:rsidRPr="00E6261C">
        <w:rPr>
          <w:rFonts w:ascii="Palatino Linotype" w:eastAsiaTheme="minorEastAsia" w:hAnsi="Palatino Linotype" w:cstheme="minorBidi"/>
          <w:color w:val="000000" w:themeColor="text1"/>
          <w:lang w:val="es-MX"/>
        </w:rPr>
        <w:lastRenderedPageBreak/>
        <w:t xml:space="preserve">derecho convencional y constitucionalmente reconocido como lo el de acceder a la información pública gubernamental. </w:t>
      </w:r>
    </w:p>
    <w:p w14:paraId="77F68CF3" w14:textId="77777777" w:rsidR="00544C09" w:rsidRPr="00544C09" w:rsidRDefault="00544C09" w:rsidP="00544C09">
      <w:pPr>
        <w:pStyle w:val="Prrafodelista"/>
        <w:spacing w:line="360" w:lineRule="auto"/>
        <w:ind w:left="0"/>
        <w:jc w:val="both"/>
        <w:rPr>
          <w:rFonts w:ascii="Palatino Linotype" w:eastAsia="MS Mincho" w:hAnsi="Palatino Linotype" w:cs="Arial"/>
          <w:i/>
          <w:lang w:val="es-MX"/>
        </w:rPr>
      </w:pPr>
    </w:p>
    <w:p w14:paraId="093205FA" w14:textId="4AD32BC8" w:rsidR="00B92A80" w:rsidRPr="00BC16BD" w:rsidRDefault="00544C09" w:rsidP="00694F4C">
      <w:pPr>
        <w:pStyle w:val="Prrafodelista"/>
        <w:numPr>
          <w:ilvl w:val="0"/>
          <w:numId w:val="5"/>
        </w:numPr>
        <w:spacing w:line="360" w:lineRule="auto"/>
        <w:ind w:left="0" w:firstLine="0"/>
        <w:jc w:val="both"/>
        <w:rPr>
          <w:rFonts w:ascii="Palatino Linotype" w:eastAsia="MS Mincho" w:hAnsi="Palatino Linotype" w:cs="Arial"/>
          <w:i/>
          <w:lang w:val="es-MX"/>
        </w:rPr>
      </w:pPr>
      <w:r>
        <w:rPr>
          <w:rFonts w:ascii="Palatino Linotype" w:eastAsia="Calibri" w:hAnsi="Palatino Linotype" w:cs="Arial"/>
          <w:bCs/>
        </w:rPr>
        <w:t>Señalado lo anterior</w:t>
      </w:r>
      <w:r w:rsidR="00B92A80" w:rsidRPr="00BC16BD">
        <w:rPr>
          <w:rFonts w:ascii="Palatino Linotype" w:eastAsia="Calibri" w:hAnsi="Palatino Linotype" w:cs="Arial"/>
          <w:bCs/>
        </w:rPr>
        <w:t xml:space="preserve">, es pertinente mencionar que, </w:t>
      </w:r>
      <w:r w:rsidR="00B92A80" w:rsidRPr="00BC16BD">
        <w:rPr>
          <w:rFonts w:ascii="Palatino Linotype" w:eastAsia="MS Mincho" w:hAnsi="Palatino Linotype"/>
          <w:lang w:eastAsia="es-ES_tradnl"/>
        </w:rPr>
        <w:t xml:space="preserve">el </w:t>
      </w:r>
      <w:r w:rsidR="00B92A80" w:rsidRPr="00BC16BD">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F1BF141" w14:textId="77777777" w:rsidR="00B92A80" w:rsidRPr="00BC16BD" w:rsidRDefault="00B92A80" w:rsidP="00BC16BD">
      <w:pPr>
        <w:pStyle w:val="Prrafodelista"/>
        <w:spacing w:before="240" w:after="360" w:line="360" w:lineRule="auto"/>
        <w:ind w:left="0"/>
        <w:contextualSpacing/>
        <w:jc w:val="both"/>
        <w:rPr>
          <w:rFonts w:ascii="Palatino Linotype" w:eastAsia="MS Mincho" w:hAnsi="Palatino Linotype" w:cs="Arial"/>
          <w:i/>
          <w:lang w:val="es-MX"/>
        </w:rPr>
      </w:pPr>
    </w:p>
    <w:p w14:paraId="6C2C8A32" w14:textId="6C8E9314" w:rsidR="00B92A80" w:rsidRPr="00BC16BD" w:rsidRDefault="00B92A80" w:rsidP="00BC16B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BC16BD">
        <w:rPr>
          <w:rFonts w:ascii="Palatino Linotype" w:eastAsia="Calibri" w:hAnsi="Palatino Linotype"/>
          <w:b/>
          <w:i/>
          <w:lang w:val="es-MX" w:eastAsia="es-ES_tradnl"/>
        </w:rPr>
        <w:t>Artículo 18.</w:t>
      </w:r>
      <w:r w:rsidRPr="00BC16BD">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4AD6425" w14:textId="77777777" w:rsidR="00B92A80" w:rsidRPr="00BC16BD" w:rsidRDefault="00B92A80" w:rsidP="00BC16B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03BE88EB" w14:textId="3D9308B3" w:rsidR="00B92A80" w:rsidRPr="00BC16BD" w:rsidRDefault="00B92A80" w:rsidP="00694F4C">
      <w:pPr>
        <w:pStyle w:val="Prrafodelista"/>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BC16BD">
        <w:rPr>
          <w:rFonts w:ascii="Palatino Linotype" w:eastAsia="Calibri" w:hAnsi="Palatino Linotype" w:cs="Arial"/>
          <w:lang w:val="es-MX" w:eastAsia="en-US"/>
        </w:rPr>
        <w:t xml:space="preserve">Por otro lado, </w:t>
      </w:r>
      <w:r w:rsidRPr="00BC16BD">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BC16BD">
        <w:rPr>
          <w:rFonts w:ascii="Palatino Linotype" w:hAnsi="Palatino Linotype"/>
          <w:b/>
          <w:lang w:val="es-MX" w:eastAsia="es-MX"/>
        </w:rPr>
        <w:t>SUJETOS OBLIGADOS</w:t>
      </w:r>
      <w:r w:rsidRPr="00BC16B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F975073" w14:textId="77777777" w:rsidR="00B92A80" w:rsidRPr="00BC16BD" w:rsidRDefault="00B92A80" w:rsidP="00BC16BD">
      <w:pPr>
        <w:spacing w:before="240" w:after="240" w:line="360" w:lineRule="auto"/>
        <w:ind w:right="49"/>
        <w:contextualSpacing/>
        <w:jc w:val="both"/>
        <w:rPr>
          <w:rFonts w:ascii="Palatino Linotype" w:eastAsia="Calibri" w:hAnsi="Palatino Linotype" w:cs="Arial"/>
          <w:lang w:val="es-MX" w:eastAsia="en-US"/>
        </w:rPr>
      </w:pPr>
    </w:p>
    <w:p w14:paraId="2AF624A5"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w:t>
      </w:r>
      <w:r w:rsidRPr="00BC16BD">
        <w:rPr>
          <w:rFonts w:ascii="Palatino Linotype" w:hAnsi="Palatino Linotype"/>
          <w:b/>
          <w:i/>
          <w:lang w:eastAsia="en-US"/>
        </w:rPr>
        <w:t>Artículo 4.</w:t>
      </w:r>
      <w:r w:rsidRPr="00BC16BD">
        <w:rPr>
          <w:rFonts w:ascii="Palatino Linotype" w:hAnsi="Palatino Linotype"/>
          <w:i/>
          <w:lang w:eastAsia="en-US"/>
        </w:rPr>
        <w:t xml:space="preserve"> </w:t>
      </w:r>
    </w:p>
    <w:p w14:paraId="3FE891C0"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lastRenderedPageBreak/>
        <w:t>(…)</w:t>
      </w:r>
    </w:p>
    <w:p w14:paraId="582C5B59"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BC16BD">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BC16BD">
        <w:rPr>
          <w:rFonts w:ascii="Palatino Linotype" w:hAnsi="Palatino Linotype"/>
          <w:b/>
          <w:i/>
          <w:lang w:eastAsia="en-US"/>
        </w:rPr>
        <w:t>principio de máxima publicidad</w:t>
      </w:r>
      <w:r w:rsidRPr="00BC16BD">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38B9550D"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w:t>
      </w:r>
    </w:p>
    <w:p w14:paraId="3900A6E5" w14:textId="77777777" w:rsidR="00B92A80" w:rsidRPr="00BC16BD" w:rsidRDefault="00B92A80" w:rsidP="00BC16BD">
      <w:pPr>
        <w:spacing w:after="160" w:line="360" w:lineRule="auto"/>
        <w:ind w:right="567"/>
        <w:jc w:val="both"/>
        <w:rPr>
          <w:rFonts w:ascii="Palatino Linotype" w:hAnsi="Palatino Linotype"/>
          <w:lang w:eastAsia="en-US"/>
        </w:rPr>
      </w:pPr>
    </w:p>
    <w:p w14:paraId="690F6A7E"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(Énfasis añadido)</w:t>
      </w:r>
    </w:p>
    <w:p w14:paraId="0F7552AC" w14:textId="77777777" w:rsidR="00B92A80" w:rsidRPr="00BC16BD" w:rsidRDefault="00B92A80" w:rsidP="00BC16BD">
      <w:pPr>
        <w:spacing w:after="160" w:line="360" w:lineRule="auto"/>
        <w:ind w:left="567" w:right="738"/>
        <w:jc w:val="both"/>
        <w:rPr>
          <w:rFonts w:ascii="Palatino Linotype" w:hAnsi="Palatino Linotype"/>
          <w:i/>
          <w:lang w:eastAsia="en-US"/>
        </w:rPr>
      </w:pPr>
    </w:p>
    <w:p w14:paraId="22F13D5E" w14:textId="77777777" w:rsidR="00B92A80" w:rsidRPr="00BC16BD" w:rsidRDefault="00B92A80" w:rsidP="00694F4C">
      <w:pPr>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BC16BD">
        <w:rPr>
          <w:rFonts w:ascii="Palatino Linotype" w:eastAsia="Calibri" w:hAnsi="Palatino Linotype" w:cs="Arial"/>
          <w:lang w:val="es-MX" w:eastAsia="en-US"/>
        </w:rPr>
        <w:t xml:space="preserve">En ese sentido, no debe de pasar de vista para el </w:t>
      </w:r>
      <w:r w:rsidRPr="00BC16BD">
        <w:rPr>
          <w:rFonts w:ascii="Palatino Linotype" w:eastAsia="Calibri" w:hAnsi="Palatino Linotype" w:cs="Arial"/>
          <w:b/>
          <w:lang w:val="es-MX" w:eastAsia="en-US"/>
        </w:rPr>
        <w:t>SUJETO OBLIGADO</w:t>
      </w:r>
      <w:r w:rsidRPr="00BC16BD">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BCC116C" w14:textId="77777777" w:rsidR="00B92A80" w:rsidRPr="00BC16BD" w:rsidRDefault="00B92A80" w:rsidP="00BC16BD">
      <w:pPr>
        <w:spacing w:before="240" w:after="240" w:line="360" w:lineRule="auto"/>
        <w:ind w:left="426" w:right="49"/>
        <w:contextualSpacing/>
        <w:jc w:val="both"/>
        <w:rPr>
          <w:rFonts w:ascii="Palatino Linotype" w:eastAsia="Calibri" w:hAnsi="Palatino Linotype" w:cs="Arial"/>
          <w:lang w:val="es-MX" w:eastAsia="en-US"/>
        </w:rPr>
      </w:pPr>
    </w:p>
    <w:p w14:paraId="7EC520A4"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i/>
          <w:lang w:val="es-MX" w:eastAsia="en-US"/>
        </w:rPr>
        <w:t>“</w:t>
      </w:r>
      <w:r w:rsidRPr="00BC16BD">
        <w:rPr>
          <w:rFonts w:ascii="Palatino Linotype" w:eastAsia="Calibri" w:hAnsi="Palatino Linotype"/>
          <w:b/>
          <w:i/>
          <w:lang w:val="es-MX" w:eastAsia="en-US"/>
        </w:rPr>
        <w:t>Artículo 8.</w:t>
      </w:r>
      <w:r w:rsidRPr="00BC16BD">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B822D8F"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p>
    <w:p w14:paraId="7C1ABC0F"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b/>
          <w:i/>
          <w:lang w:val="es-MX" w:eastAsia="en-US"/>
        </w:rPr>
        <w:t>En la aplicación e interpretación de la presente Ley deberá prevalecer el principio de máxima publicidad,</w:t>
      </w:r>
      <w:r w:rsidRPr="00BC16BD">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8AD880F"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p>
    <w:p w14:paraId="24495DA0"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D99831D"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i/>
          <w:lang w:val="es-MX" w:eastAsia="en-US"/>
        </w:rPr>
        <w:t>(Énfasis añadido)</w:t>
      </w:r>
    </w:p>
    <w:p w14:paraId="7547CE04"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p>
    <w:p w14:paraId="5EB77187" w14:textId="77777777" w:rsidR="00B92A80" w:rsidRPr="00BC16BD" w:rsidRDefault="00B92A80" w:rsidP="00694F4C">
      <w:pPr>
        <w:numPr>
          <w:ilvl w:val="0"/>
          <w:numId w:val="5"/>
        </w:numPr>
        <w:spacing w:after="160" w:line="360" w:lineRule="auto"/>
        <w:ind w:left="0" w:firstLine="0"/>
        <w:contextualSpacing/>
        <w:jc w:val="both"/>
        <w:rPr>
          <w:rFonts w:ascii="Palatino Linotype" w:eastAsia="MS Mincho" w:hAnsi="Palatino Linotype"/>
          <w:lang w:val="es-MX" w:eastAsia="en-US"/>
        </w:rPr>
      </w:pPr>
      <w:r w:rsidRPr="00BC16BD">
        <w:rPr>
          <w:rFonts w:ascii="Palatino Linotype" w:eastAsia="Calibri" w:hAnsi="Palatino Linotype" w:cs="Arial"/>
          <w:bCs/>
          <w:lang w:val="es-MX" w:eastAsia="en-US"/>
        </w:rPr>
        <w:t xml:space="preserve">Además, </w:t>
      </w:r>
      <w:r w:rsidRPr="00BC16BD">
        <w:rPr>
          <w:rFonts w:ascii="Palatino Linotype" w:hAnsi="Palatino Linotype" w:cs="Arial"/>
          <w:lang w:val="es-MX" w:eastAsia="en-US"/>
        </w:rPr>
        <w:t xml:space="preserve">Ley de Transparencia y Acceso a la Información Pública del Estado de México y Municipios, prevé en su artículo 23 fracción IV que son Sujetos </w:t>
      </w:r>
      <w:r w:rsidRPr="00BC16BD">
        <w:rPr>
          <w:rFonts w:ascii="Palatino Linotype" w:hAnsi="Palatino Linotype" w:cs="Arial"/>
          <w:lang w:val="es-MX" w:eastAsia="en-US"/>
        </w:rPr>
        <w:lastRenderedPageBreak/>
        <w:t>Obligados a Transparentar y permitir el acceso a su información y proteger los datos que obren en su poder:</w:t>
      </w:r>
    </w:p>
    <w:p w14:paraId="3E8B2E78" w14:textId="77777777" w:rsidR="00B92A80" w:rsidRPr="00BC16BD" w:rsidRDefault="00B92A80" w:rsidP="00BC16BD">
      <w:pPr>
        <w:spacing w:after="160" w:line="360" w:lineRule="auto"/>
        <w:contextualSpacing/>
        <w:jc w:val="both"/>
        <w:rPr>
          <w:rFonts w:ascii="Palatino Linotype" w:hAnsi="Palatino Linotype" w:cs="Arial"/>
          <w:i/>
          <w:lang w:val="es-MX" w:eastAsia="en-US"/>
        </w:rPr>
      </w:pPr>
    </w:p>
    <w:p w14:paraId="7C82970B" w14:textId="77777777" w:rsidR="00B92A80" w:rsidRPr="00BC16BD" w:rsidRDefault="00B92A80" w:rsidP="00BC16BD">
      <w:pPr>
        <w:spacing w:after="160" w:line="360" w:lineRule="auto"/>
        <w:ind w:left="426" w:right="616"/>
        <w:contextualSpacing/>
        <w:jc w:val="both"/>
        <w:rPr>
          <w:rFonts w:ascii="Palatino Linotype" w:hAnsi="Palatino Linotype" w:cs="Arial"/>
          <w:i/>
          <w:lang w:val="es-MX" w:eastAsia="en-US"/>
        </w:rPr>
      </w:pPr>
      <w:r w:rsidRPr="00BC16BD">
        <w:rPr>
          <w:rFonts w:ascii="Palatino Linotype" w:hAnsi="Palatino Linotype" w:cs="Arial"/>
          <w:b/>
          <w:i/>
          <w:lang w:eastAsia="en-US"/>
        </w:rPr>
        <w:t>“Artículo 23.</w:t>
      </w:r>
      <w:r w:rsidRPr="00BC16BD">
        <w:rPr>
          <w:rFonts w:ascii="Palatino Linotype" w:hAnsi="Palatino Linotype" w:cs="Arial"/>
          <w:i/>
          <w:lang w:eastAsia="en-US"/>
        </w:rPr>
        <w:t xml:space="preserve"> Son sujetos obligados a transparentar y permitir el acceso a su información y proteger los datos personales que obren en su poder:”</w:t>
      </w:r>
    </w:p>
    <w:p w14:paraId="38E97EF4" w14:textId="77777777" w:rsidR="00B92A80" w:rsidRPr="00BC16BD" w:rsidRDefault="00B92A80" w:rsidP="00BC16BD">
      <w:pPr>
        <w:spacing w:after="160" w:line="360" w:lineRule="auto"/>
        <w:contextualSpacing/>
        <w:jc w:val="both"/>
        <w:rPr>
          <w:rFonts w:ascii="Palatino Linotype" w:eastAsia="MS Mincho" w:hAnsi="Palatino Linotype"/>
          <w:lang w:val="es-MX" w:eastAsia="en-US"/>
        </w:rPr>
      </w:pPr>
    </w:p>
    <w:p w14:paraId="70B81727" w14:textId="77777777" w:rsidR="00B92A80" w:rsidRPr="00BC16BD" w:rsidRDefault="00B92A80" w:rsidP="00BC16BD">
      <w:pPr>
        <w:spacing w:before="240" w:after="240" w:line="360" w:lineRule="auto"/>
        <w:ind w:left="567" w:right="616"/>
        <w:contextualSpacing/>
        <w:jc w:val="both"/>
        <w:rPr>
          <w:rFonts w:ascii="Palatino Linotype" w:eastAsia="MS Mincho" w:hAnsi="Palatino Linotype" w:cs="Arial"/>
          <w:lang w:val="es-MX"/>
        </w:rPr>
      </w:pPr>
      <w:r w:rsidRPr="00BC16BD">
        <w:rPr>
          <w:rFonts w:ascii="Palatino Linotype" w:eastAsia="MS Mincho" w:hAnsi="Palatino Linotype" w:cs="Arial"/>
          <w:lang w:val="es-MX"/>
        </w:rPr>
        <w:t>(…)</w:t>
      </w:r>
    </w:p>
    <w:p w14:paraId="615D1C11" w14:textId="77777777" w:rsidR="00B92A80" w:rsidRPr="00BC16BD" w:rsidRDefault="00B92A80" w:rsidP="00BC16BD">
      <w:pPr>
        <w:spacing w:before="240" w:after="240" w:line="360" w:lineRule="auto"/>
        <w:ind w:left="567" w:right="616"/>
        <w:contextualSpacing/>
        <w:jc w:val="both"/>
        <w:rPr>
          <w:rFonts w:ascii="Palatino Linotype" w:eastAsia="MS Mincho" w:hAnsi="Palatino Linotype" w:cs="Arial"/>
          <w:b/>
          <w:lang w:val="es-MX"/>
        </w:rPr>
      </w:pPr>
    </w:p>
    <w:p w14:paraId="4C0A9D67" w14:textId="77777777" w:rsidR="00B92A80" w:rsidRPr="00BC16BD" w:rsidRDefault="00B92A80" w:rsidP="00BC16BD">
      <w:pPr>
        <w:spacing w:before="240" w:after="240" w:line="360" w:lineRule="auto"/>
        <w:ind w:left="567" w:right="616"/>
        <w:contextualSpacing/>
        <w:jc w:val="both"/>
        <w:rPr>
          <w:rFonts w:ascii="Palatino Linotype" w:eastAsia="MS Mincho" w:hAnsi="Palatino Linotype" w:cs="Arial"/>
          <w:b/>
          <w:i/>
          <w:lang w:val="es-MX"/>
        </w:rPr>
      </w:pPr>
      <w:r w:rsidRPr="00BC16BD">
        <w:rPr>
          <w:rFonts w:ascii="Palatino Linotype" w:eastAsia="MS Mincho" w:hAnsi="Palatino Linotype" w:cs="Arial"/>
          <w:b/>
          <w:i/>
        </w:rPr>
        <w:t>IV. Los ayuntamientos y las dependencias, organismos, órganos y entidades de la administración municipal</w:t>
      </w:r>
      <w:r w:rsidRPr="00BC16BD">
        <w:rPr>
          <w:rFonts w:ascii="Palatino Linotype" w:eastAsia="MS Mincho" w:hAnsi="Palatino Linotype" w:cs="Arial"/>
          <w:b/>
          <w:i/>
          <w:lang w:val="es-MX"/>
        </w:rPr>
        <w:t>;"</w:t>
      </w:r>
    </w:p>
    <w:p w14:paraId="4E456178" w14:textId="77777777" w:rsidR="00B92A80" w:rsidRPr="00BC16BD" w:rsidRDefault="00B92A80" w:rsidP="00BC16BD">
      <w:pPr>
        <w:tabs>
          <w:tab w:val="left" w:pos="851"/>
        </w:tabs>
        <w:spacing w:line="360" w:lineRule="auto"/>
        <w:ind w:right="616"/>
        <w:contextualSpacing/>
        <w:jc w:val="both"/>
        <w:rPr>
          <w:rFonts w:ascii="Palatino Linotype" w:hAnsi="Palatino Linotype" w:cs="Arial"/>
          <w:b/>
          <w:i/>
          <w:lang w:val="es-MX" w:eastAsia="en-US"/>
        </w:rPr>
      </w:pPr>
    </w:p>
    <w:p w14:paraId="56B90565" w14:textId="77777777" w:rsidR="00B92A80" w:rsidRPr="00BC16BD" w:rsidRDefault="00B92A80" w:rsidP="00BC16BD">
      <w:pPr>
        <w:tabs>
          <w:tab w:val="left" w:pos="851"/>
        </w:tabs>
        <w:spacing w:line="360" w:lineRule="auto"/>
        <w:ind w:left="567" w:right="616"/>
        <w:contextualSpacing/>
        <w:jc w:val="both"/>
        <w:rPr>
          <w:rFonts w:ascii="Palatino Linotype" w:hAnsi="Palatino Linotype" w:cs="Arial"/>
          <w:i/>
          <w:lang w:val="es-MX" w:eastAsia="en-US"/>
        </w:rPr>
      </w:pPr>
      <w:r w:rsidRPr="00BC16BD">
        <w:rPr>
          <w:rFonts w:ascii="Palatino Linotype" w:hAnsi="Palatino Linotype" w:cs="Arial"/>
          <w:i/>
          <w:lang w:val="es-MX" w:eastAsia="en-US"/>
        </w:rPr>
        <w:t>(…)”</w:t>
      </w:r>
    </w:p>
    <w:p w14:paraId="1310D480" w14:textId="77777777" w:rsidR="00B92A80" w:rsidRPr="00BC16BD" w:rsidRDefault="00B92A80" w:rsidP="00BC16BD">
      <w:pPr>
        <w:spacing w:line="360" w:lineRule="auto"/>
        <w:rPr>
          <w:rFonts w:ascii="Palatino Linotype" w:hAnsi="Palatino Linotype"/>
        </w:rPr>
      </w:pPr>
    </w:p>
    <w:p w14:paraId="07B5000E" w14:textId="77777777" w:rsidR="00B92A80" w:rsidRPr="00BC16BD" w:rsidRDefault="00B92A80" w:rsidP="00694F4C">
      <w:pPr>
        <w:numPr>
          <w:ilvl w:val="0"/>
          <w:numId w:val="5"/>
        </w:numPr>
        <w:spacing w:before="240" w:after="240" w:line="360" w:lineRule="auto"/>
        <w:ind w:left="0" w:right="49" w:firstLine="0"/>
        <w:contextualSpacing/>
        <w:jc w:val="both"/>
        <w:rPr>
          <w:rFonts w:ascii="Palatino Linotype" w:eastAsia="Calibri" w:hAnsi="Palatino Linotype"/>
        </w:rPr>
      </w:pPr>
      <w:r w:rsidRPr="00BC16BD">
        <w:rPr>
          <w:rFonts w:ascii="Palatino Linotype" w:eastAsia="Calibri" w:hAnsi="Palatino Linotype"/>
        </w:rPr>
        <w:t xml:space="preserve">En ese sentido y en relación al tema que nos ocupa resulta trascendente lo establecido por el artículo 12 de la Ley de Transparencia Estatal, mismo que señala que quienes generen, recopilan, administren, manejen, procesen, archiven o conserven información pública son responsables de proporcionarla en los términos que obre en sus archivos, como a continuación se observa:    </w:t>
      </w:r>
    </w:p>
    <w:p w14:paraId="45CFCC7D" w14:textId="77777777" w:rsidR="00B92A80" w:rsidRPr="00BC16BD" w:rsidRDefault="00B92A80" w:rsidP="00BC16BD">
      <w:pPr>
        <w:spacing w:before="240" w:after="240" w:line="360" w:lineRule="auto"/>
        <w:ind w:right="49"/>
        <w:contextualSpacing/>
        <w:jc w:val="both"/>
        <w:rPr>
          <w:rFonts w:ascii="Palatino Linotype" w:eastAsia="Calibri" w:hAnsi="Palatino Linotype"/>
        </w:rPr>
      </w:pPr>
    </w:p>
    <w:p w14:paraId="4FE4A21D" w14:textId="77777777" w:rsidR="00B92A80" w:rsidRPr="00BC16BD" w:rsidRDefault="00B92A80" w:rsidP="00BC16BD">
      <w:pPr>
        <w:spacing w:before="240" w:after="240" w:line="360" w:lineRule="auto"/>
        <w:ind w:left="540" w:right="738"/>
        <w:contextualSpacing/>
        <w:jc w:val="both"/>
        <w:rPr>
          <w:rFonts w:ascii="Palatino Linotype" w:hAnsi="Palatino Linotype"/>
          <w:i/>
        </w:rPr>
      </w:pPr>
      <w:r w:rsidRPr="00BC16BD">
        <w:rPr>
          <w:rFonts w:ascii="Palatino Linotype" w:hAnsi="Palatino Linotype"/>
          <w:b/>
          <w:i/>
        </w:rPr>
        <w:t>“Artículo 12.</w:t>
      </w:r>
      <w:r w:rsidRPr="00BC16B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12C100D" w14:textId="77777777" w:rsidR="00B92A80" w:rsidRPr="00BC16BD" w:rsidRDefault="00B92A80" w:rsidP="00BC16BD">
      <w:pPr>
        <w:spacing w:before="240" w:after="240" w:line="360" w:lineRule="auto"/>
        <w:ind w:left="540" w:right="738"/>
        <w:contextualSpacing/>
        <w:jc w:val="both"/>
        <w:rPr>
          <w:rFonts w:ascii="Palatino Linotype" w:hAnsi="Palatino Linotype"/>
          <w:i/>
        </w:rPr>
      </w:pPr>
    </w:p>
    <w:p w14:paraId="62706A35" w14:textId="77777777" w:rsidR="00B92A80" w:rsidRPr="00BC16BD" w:rsidRDefault="00B92A80" w:rsidP="00BC16BD">
      <w:pPr>
        <w:spacing w:before="240" w:after="240" w:line="360" w:lineRule="auto"/>
        <w:ind w:left="540" w:right="738"/>
        <w:contextualSpacing/>
        <w:jc w:val="both"/>
        <w:rPr>
          <w:rFonts w:ascii="Palatino Linotype" w:eastAsia="Calibri" w:hAnsi="Palatino Linotype"/>
          <w:i/>
        </w:rPr>
      </w:pPr>
      <w:r w:rsidRPr="00BC16BD">
        <w:rPr>
          <w:rFonts w:ascii="Palatino Linotype" w:hAnsi="Palatino Linotype"/>
          <w:i/>
        </w:rPr>
        <w:t xml:space="preserve"> Los sujetos obligados sólo proporcionarán la información pública que se les requiera y que obre en sus archivos y en el estado en que ésta se encuentre. La </w:t>
      </w:r>
      <w:r w:rsidRPr="00BC16BD">
        <w:rPr>
          <w:rFonts w:ascii="Palatino Linotype" w:hAnsi="Palatino Linotype"/>
          <w:i/>
        </w:rPr>
        <w:lastRenderedPageBreak/>
        <w:t>obligación de proporcionar información no comprende el procesamiento de la misma, ni el presentarla conforme al interés del solicitante; no estarán obligados a generarla, resumirla, efectuar cálculos o practicar investigaciones.” (Sic)</w:t>
      </w:r>
    </w:p>
    <w:p w14:paraId="0DA768E5" w14:textId="77777777" w:rsidR="00B92A80" w:rsidRPr="00BC16BD" w:rsidRDefault="00B92A80" w:rsidP="00BC16BD">
      <w:pPr>
        <w:spacing w:before="240" w:after="240" w:line="360" w:lineRule="auto"/>
        <w:ind w:right="49"/>
        <w:contextualSpacing/>
        <w:jc w:val="both"/>
        <w:rPr>
          <w:rFonts w:ascii="Palatino Linotype" w:eastAsia="Calibri" w:hAnsi="Palatino Linotype"/>
        </w:rPr>
      </w:pPr>
    </w:p>
    <w:p w14:paraId="6A6FD369" w14:textId="77777777" w:rsidR="00B92A80" w:rsidRPr="00BC16BD" w:rsidRDefault="00B92A80" w:rsidP="00694F4C">
      <w:pPr>
        <w:pStyle w:val="Prrafodelista"/>
        <w:numPr>
          <w:ilvl w:val="0"/>
          <w:numId w:val="5"/>
        </w:numPr>
        <w:spacing w:before="240" w:after="240" w:line="360" w:lineRule="auto"/>
        <w:ind w:left="0" w:right="49" w:firstLine="0"/>
        <w:contextualSpacing/>
        <w:jc w:val="both"/>
        <w:rPr>
          <w:rFonts w:ascii="Palatino Linotype" w:eastAsia="Calibri" w:hAnsi="Palatino Linotype"/>
        </w:rPr>
      </w:pPr>
      <w:r w:rsidRPr="00BC16BD">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5F0E4227" w14:textId="77777777" w:rsidR="00B92A80" w:rsidRPr="00BC16BD" w:rsidRDefault="00B92A80" w:rsidP="00BC16BD">
      <w:pPr>
        <w:pStyle w:val="Prrafodelista"/>
        <w:spacing w:before="240" w:after="240" w:line="360" w:lineRule="auto"/>
        <w:ind w:left="0" w:right="49"/>
        <w:contextualSpacing/>
        <w:jc w:val="both"/>
        <w:rPr>
          <w:rFonts w:ascii="Palatino Linotype" w:eastAsia="Calibri" w:hAnsi="Palatino Linotype"/>
        </w:rPr>
      </w:pPr>
    </w:p>
    <w:p w14:paraId="410CB84C" w14:textId="77777777" w:rsidR="00B92A80" w:rsidRPr="00BC16BD" w:rsidRDefault="00B92A80" w:rsidP="00BC16BD">
      <w:pPr>
        <w:pStyle w:val="Prrafodelista"/>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rPr>
        <w:t>“</w:t>
      </w:r>
      <w:r w:rsidRPr="00BC16BD">
        <w:rPr>
          <w:rFonts w:ascii="Palatino Linotype" w:eastAsia="Calibri" w:hAnsi="Palatino Linotype"/>
          <w:b/>
          <w:i/>
        </w:rPr>
        <w:t>Artículo 7.</w:t>
      </w:r>
      <w:r w:rsidRPr="00BC16BD">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60A8941" w14:textId="1A52A91F" w:rsidR="003A3518" w:rsidRPr="00BC16BD" w:rsidRDefault="003A3518" w:rsidP="00BC16BD">
      <w:pPr>
        <w:pStyle w:val="Prrafodelista"/>
        <w:widowControl w:val="0"/>
        <w:tabs>
          <w:tab w:val="left" w:pos="0"/>
        </w:tabs>
        <w:autoSpaceDE w:val="0"/>
        <w:autoSpaceDN w:val="0"/>
        <w:adjustRightInd w:val="0"/>
        <w:spacing w:before="240" w:after="240" w:line="360" w:lineRule="auto"/>
        <w:ind w:left="0" w:right="49"/>
        <w:contextualSpacing/>
        <w:jc w:val="both"/>
        <w:rPr>
          <w:rFonts w:ascii="Palatino Linotype" w:eastAsia="Calibri" w:hAnsi="Palatino Linotype"/>
          <w:i/>
        </w:rPr>
      </w:pPr>
    </w:p>
    <w:p w14:paraId="5D7F5FB8" w14:textId="0F34E860" w:rsidR="00B92A80" w:rsidRPr="00BC16BD" w:rsidRDefault="00B92A80" w:rsidP="00694F4C">
      <w:pPr>
        <w:pStyle w:val="Prrafodelista"/>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Mincho" w:hAnsi="Palatino Linotype"/>
          <w:color w:val="000000"/>
          <w:lang w:val="es-MX" w:eastAsia="en-US"/>
        </w:rPr>
        <w:t xml:space="preserve">En relación al asunto que nos ocupa el artículo 92 de la multicitada Ley </w:t>
      </w:r>
      <w:r w:rsidR="00686C5C" w:rsidRPr="00BC16BD">
        <w:rPr>
          <w:rFonts w:ascii="Palatino Linotype" w:eastAsia="MS Mincho" w:hAnsi="Palatino Linotype"/>
          <w:color w:val="000000"/>
          <w:lang w:val="es-MX" w:eastAsia="en-US"/>
        </w:rPr>
        <w:t>Estatal de</w:t>
      </w:r>
      <w:r w:rsidRPr="00BC16BD">
        <w:rPr>
          <w:rFonts w:ascii="Palatino Linotype" w:eastAsia="MS Mincho" w:hAnsi="Palatino Linotype"/>
          <w:color w:val="000000"/>
          <w:lang w:val="es-MX" w:eastAsia="en-US"/>
        </w:rPr>
        <w:t xml:space="preserve"> Transparencia refiere lo siguiente</w:t>
      </w:r>
      <w:r w:rsidR="00686C5C" w:rsidRPr="00BC16BD">
        <w:rPr>
          <w:rFonts w:ascii="Palatino Linotype" w:eastAsia="MS Mincho" w:hAnsi="Palatino Linotype"/>
          <w:color w:val="000000"/>
          <w:lang w:val="es-MX" w:eastAsia="en-US"/>
        </w:rPr>
        <w:t xml:space="preserve">: </w:t>
      </w:r>
    </w:p>
    <w:p w14:paraId="7A88087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23CE690" w14:textId="77777777" w:rsidR="00686C5C" w:rsidRPr="00BC16BD" w:rsidRDefault="00B92A80" w:rsidP="00BC16BD">
      <w:pPr>
        <w:tabs>
          <w:tab w:val="left" w:pos="142"/>
          <w:tab w:val="left" w:pos="284"/>
        </w:tabs>
        <w:spacing w:line="360" w:lineRule="auto"/>
        <w:ind w:left="567" w:right="616"/>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“Artículo 92.</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Los sujetos obligados deberán poner a disposición del público de manera permanente y actualizada</w:t>
      </w:r>
      <w:r w:rsidRPr="00BC16BD">
        <w:rPr>
          <w:rFonts w:ascii="Palatino Linotype" w:eastAsia="Calibri" w:hAnsi="Palatino Linotype"/>
          <w:i/>
          <w:lang w:val="es-MX" w:eastAsia="en-US"/>
        </w:rPr>
        <w:t xml:space="preserve"> de forma sencilla, precisa y entendible, en los respectivos medios electrónicos, de acuerdo con sus facultades, atribuciones, funciones u objeto social, según corresponda, </w:t>
      </w:r>
      <w:r w:rsidRPr="00BC16BD">
        <w:rPr>
          <w:rFonts w:ascii="Palatino Linotype" w:eastAsia="Calibri" w:hAnsi="Palatino Linotype"/>
          <w:b/>
          <w:i/>
          <w:lang w:val="es-MX" w:eastAsia="en-US"/>
        </w:rPr>
        <w:t>la información</w:t>
      </w:r>
      <w:r w:rsidRPr="00BC16BD">
        <w:rPr>
          <w:rFonts w:ascii="Palatino Linotype" w:eastAsia="Calibri" w:hAnsi="Palatino Linotype"/>
          <w:i/>
          <w:lang w:val="es-MX" w:eastAsia="en-US"/>
        </w:rPr>
        <w:t xml:space="preserve">, por </w:t>
      </w:r>
      <w:r w:rsidRPr="00BC16BD">
        <w:rPr>
          <w:rFonts w:ascii="Palatino Linotype" w:eastAsia="Calibri" w:hAnsi="Palatino Linotype"/>
          <w:i/>
          <w:lang w:val="es-MX" w:eastAsia="en-US"/>
        </w:rPr>
        <w:lastRenderedPageBreak/>
        <w:t xml:space="preserve">lo menos, </w:t>
      </w:r>
      <w:r w:rsidRPr="00BC16BD">
        <w:rPr>
          <w:rFonts w:ascii="Palatino Linotype" w:eastAsia="Calibri" w:hAnsi="Palatino Linotype"/>
          <w:b/>
          <w:i/>
          <w:lang w:val="es-MX" w:eastAsia="en-US"/>
        </w:rPr>
        <w:t>de los temas</w:t>
      </w:r>
      <w:r w:rsidRPr="00BC16BD">
        <w:rPr>
          <w:rFonts w:ascii="Palatino Linotype" w:eastAsia="Calibri" w:hAnsi="Palatino Linotype"/>
          <w:i/>
          <w:lang w:val="es-MX" w:eastAsia="en-US"/>
        </w:rPr>
        <w:t xml:space="preserve">, documentos y políticas </w:t>
      </w:r>
      <w:r w:rsidRPr="00BC16BD">
        <w:rPr>
          <w:rFonts w:ascii="Palatino Linotype" w:eastAsia="Calibri" w:hAnsi="Palatino Linotype"/>
          <w:b/>
          <w:i/>
          <w:lang w:val="es-MX" w:eastAsia="en-US"/>
        </w:rPr>
        <w:t>que a continuación se señalan</w:t>
      </w:r>
      <w:r w:rsidR="00686C5C" w:rsidRPr="00BC16BD">
        <w:rPr>
          <w:rFonts w:ascii="Palatino Linotype" w:eastAsia="Calibri" w:hAnsi="Palatino Linotype"/>
          <w:i/>
          <w:lang w:val="es-MX" w:eastAsia="en-US"/>
        </w:rPr>
        <w:t xml:space="preserve">: </w:t>
      </w:r>
    </w:p>
    <w:p w14:paraId="615A74FC" w14:textId="77777777" w:rsidR="00686C5C" w:rsidRPr="00BC16BD" w:rsidRDefault="00686C5C" w:rsidP="00BC16BD">
      <w:pPr>
        <w:tabs>
          <w:tab w:val="left" w:pos="142"/>
          <w:tab w:val="left" w:pos="284"/>
        </w:tabs>
        <w:spacing w:line="360" w:lineRule="auto"/>
        <w:ind w:left="567" w:right="616"/>
        <w:contextualSpacing/>
        <w:jc w:val="both"/>
        <w:rPr>
          <w:rFonts w:ascii="Palatino Linotype" w:eastAsia="Calibri" w:hAnsi="Palatino Linotype"/>
          <w:i/>
          <w:lang w:val="es-MX" w:eastAsia="en-US"/>
        </w:rPr>
      </w:pPr>
    </w:p>
    <w:p w14:paraId="4FBA6A71" w14:textId="0A451569" w:rsidR="00B92A80" w:rsidRPr="00BC16BD" w:rsidRDefault="00686C5C" w:rsidP="00BC16BD">
      <w:pPr>
        <w:tabs>
          <w:tab w:val="left" w:pos="142"/>
          <w:tab w:val="left" w:pos="284"/>
        </w:tabs>
        <w:spacing w:line="360" w:lineRule="auto"/>
        <w:ind w:left="567" w:right="616"/>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3D925262" w14:textId="77777777" w:rsidR="00B92A80" w:rsidRPr="00BC16BD" w:rsidRDefault="00B92A80" w:rsidP="00BC16BD">
      <w:pPr>
        <w:tabs>
          <w:tab w:val="left" w:pos="142"/>
          <w:tab w:val="left" w:pos="284"/>
        </w:tabs>
        <w:spacing w:line="360" w:lineRule="auto"/>
        <w:ind w:left="567" w:right="616"/>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t xml:space="preserve"> </w:t>
      </w:r>
    </w:p>
    <w:p w14:paraId="316F5192" w14:textId="08A1B594" w:rsidR="00B92A80" w:rsidRPr="00BC16BD" w:rsidRDefault="00B92A80"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b/>
          <w:i/>
          <w:lang w:val="es-MX" w:eastAsia="en-US"/>
        </w:rPr>
        <w:t xml:space="preserve">XXV. </w:t>
      </w:r>
      <w:r w:rsidRPr="00BC16BD">
        <w:rPr>
          <w:rFonts w:ascii="Palatino Linotype" w:eastAsia="Calibri" w:hAnsi="Palatino Linotype"/>
          <w:i/>
          <w:lang w:val="es-MX" w:eastAsia="en-US"/>
        </w:rPr>
        <w:t>La información financiera sobre el presupuesto asignado, así como los informes del ejercicio trimestral del gasto, en términos de la Ley General de Contabilidad Gubernamental y demás disposiciones jurídicas aplicables;</w:t>
      </w:r>
      <w:r w:rsidRPr="00BC16BD">
        <w:rPr>
          <w:rFonts w:ascii="Palatino Linotype" w:eastAsia="Calibri" w:hAnsi="Palatino Linotype"/>
          <w:b/>
          <w:i/>
          <w:lang w:val="es-MX" w:eastAsia="en-US"/>
        </w:rPr>
        <w:cr/>
      </w:r>
      <w:r w:rsidRPr="00BC16BD">
        <w:rPr>
          <w:rFonts w:ascii="Palatino Linotype" w:eastAsia="Calibri" w:hAnsi="Palatino Linotype"/>
          <w:i/>
          <w:lang w:val="es-MX" w:eastAsia="en-US"/>
        </w:rPr>
        <w:t>(…)</w:t>
      </w:r>
    </w:p>
    <w:p w14:paraId="3EBFA876" w14:textId="77777777"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301B8D6A" w14:textId="5B217A80"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r w:rsidRPr="00BC16BD">
        <w:rPr>
          <w:rFonts w:ascii="Palatino Linotype" w:eastAsia="Calibri" w:hAnsi="Palatino Linotype"/>
          <w:b/>
          <w:i/>
          <w:lang w:eastAsia="en-US"/>
        </w:rPr>
        <w:t>XXXII.</w:t>
      </w:r>
      <w:r w:rsidRPr="00BC16BD">
        <w:rPr>
          <w:rFonts w:ascii="Palatino Linotype" w:eastAsia="Calibri" w:hAnsi="Palatino Linotype"/>
          <w:i/>
          <w:lang w:eastAsia="en-US"/>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E655805" w14:textId="40BD4C05"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p>
    <w:p w14:paraId="391A22D9" w14:textId="15C2B338"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r w:rsidRPr="00BC16BD">
        <w:rPr>
          <w:rFonts w:ascii="Palatino Linotype" w:eastAsia="Calibri" w:hAnsi="Palatino Linotype"/>
          <w:i/>
          <w:lang w:eastAsia="en-US"/>
        </w:rPr>
        <w:t>(…)</w:t>
      </w:r>
    </w:p>
    <w:p w14:paraId="5CE763C4" w14:textId="77777777"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p>
    <w:p w14:paraId="16990AF5" w14:textId="26D1ADC4" w:rsidR="00B92A80" w:rsidRPr="00BC16BD" w:rsidRDefault="00B92A80"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b/>
          <w:i/>
          <w:lang w:val="es-MX" w:eastAsia="en-US"/>
        </w:rPr>
        <w:t>XXXV.</w:t>
      </w:r>
      <w:r w:rsidRPr="00BC16BD">
        <w:rPr>
          <w:rFonts w:ascii="Palatino Linotype" w:eastAsia="Calibri" w:hAnsi="Palatino Linotype"/>
          <w:i/>
          <w:lang w:val="es-MX" w:eastAsia="en-US"/>
        </w:rPr>
        <w:t xml:space="preserve"> Informes de avances programáticos o presupuestales, balances generales y estado financiero;</w:t>
      </w:r>
      <w:r w:rsidRPr="00BC16BD">
        <w:rPr>
          <w:rFonts w:ascii="Palatino Linotype" w:eastAsia="Calibri" w:hAnsi="Palatino Linotype"/>
          <w:i/>
          <w:lang w:val="es-MX" w:eastAsia="en-US"/>
        </w:rPr>
        <w:cr/>
        <w:t>(…)</w:t>
      </w:r>
    </w:p>
    <w:p w14:paraId="55040EF8" w14:textId="77777777"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08462655" w14:textId="7B9B2107" w:rsidR="00B92A80" w:rsidRPr="00BC16BD" w:rsidRDefault="00B92A80"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b/>
          <w:i/>
          <w:lang w:val="es-MX" w:eastAsia="en-US"/>
        </w:rPr>
        <w:t>XLVII.</w:t>
      </w:r>
      <w:r w:rsidRPr="00BC16BD">
        <w:rPr>
          <w:rFonts w:ascii="Palatino Linotype" w:eastAsia="Calibri" w:hAnsi="Palatino Linotype"/>
          <w:i/>
          <w:lang w:val="es-MX" w:eastAsia="en-US"/>
        </w:rPr>
        <w:t xml:space="preserve"> Los ingresos recibidos por cualquier concepto señalando el nombre de los responsables de recibirlos, administrarlos y ejercerlos, indicando el destino de cada uno de ellos;”</w:t>
      </w:r>
    </w:p>
    <w:p w14:paraId="090389F5" w14:textId="69AC9CA4"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1E023179" w14:textId="77251815"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39DDB468" w14:textId="77777777" w:rsidR="00686C5C" w:rsidRPr="00BC16BD" w:rsidRDefault="00686C5C" w:rsidP="00544C09">
      <w:pPr>
        <w:tabs>
          <w:tab w:val="left" w:pos="142"/>
          <w:tab w:val="left" w:pos="284"/>
        </w:tabs>
        <w:spacing w:line="360" w:lineRule="auto"/>
        <w:ind w:right="616"/>
        <w:jc w:val="both"/>
        <w:rPr>
          <w:rFonts w:ascii="Palatino Linotype" w:eastAsia="Calibri" w:hAnsi="Palatino Linotype"/>
          <w:lang w:val="es-MX" w:eastAsia="en-US"/>
        </w:rPr>
      </w:pPr>
    </w:p>
    <w:p w14:paraId="6C0D56BF" w14:textId="1B102D19" w:rsidR="00627D79" w:rsidRPr="00BC16BD" w:rsidRDefault="00B92A80" w:rsidP="00BC16BD">
      <w:pPr>
        <w:tabs>
          <w:tab w:val="left" w:pos="142"/>
          <w:tab w:val="left" w:pos="284"/>
        </w:tabs>
        <w:spacing w:line="360" w:lineRule="auto"/>
        <w:ind w:left="567" w:right="616"/>
        <w:jc w:val="both"/>
        <w:rPr>
          <w:rFonts w:ascii="Palatino Linotype" w:eastAsia="Calibri" w:hAnsi="Palatino Linotype"/>
          <w:lang w:val="es-MX" w:eastAsia="en-US"/>
        </w:rPr>
      </w:pPr>
      <w:r w:rsidRPr="00BC16BD">
        <w:rPr>
          <w:rFonts w:ascii="Palatino Linotype" w:eastAsia="Calibri" w:hAnsi="Palatino Linotype"/>
          <w:lang w:val="es-MX" w:eastAsia="en-US"/>
        </w:rPr>
        <w:t>(Énfasis añadido)</w:t>
      </w:r>
    </w:p>
    <w:p w14:paraId="56C5BFEB" w14:textId="22F9DCAF" w:rsidR="00627D79" w:rsidRPr="00BC16BD" w:rsidRDefault="00627D79" w:rsidP="00694F4C">
      <w:pPr>
        <w:pStyle w:val="Prrafodelista"/>
        <w:numPr>
          <w:ilvl w:val="0"/>
          <w:numId w:val="5"/>
        </w:numPr>
        <w:spacing w:before="240" w:after="240" w:line="360" w:lineRule="auto"/>
        <w:ind w:left="0" w:right="49" w:firstLine="0"/>
        <w:contextualSpacing/>
        <w:jc w:val="both"/>
        <w:rPr>
          <w:rFonts w:ascii="Palatino Linotype" w:eastAsia="Calibri" w:hAnsi="Palatino Linotype"/>
        </w:rPr>
      </w:pPr>
      <w:r w:rsidRPr="00BC16BD">
        <w:rPr>
          <w:rFonts w:ascii="Palatino Linotype" w:eastAsia="Calibri" w:hAnsi="Palatino Linotype"/>
        </w:rPr>
        <w:t xml:space="preserve">Demostrada la procedencia del acceso en términos de la Ley de Transparencia Estatal, resulta oportuno traer a contexto lo que señala la Ley Orgánica Municipal del Estado de México, misma que tiene por objeto </w:t>
      </w:r>
      <w:r w:rsidRPr="00BC16BD">
        <w:rPr>
          <w:rFonts w:ascii="Palatino Linotype" w:hAnsi="Palatino Linotype"/>
          <w:color w:val="333333"/>
        </w:rPr>
        <w:t xml:space="preserve">regular las bases para la integración y organización del territorio, la población, el gobierno y la administración pública municipal y señala como atribuciones de los Ayuntamientos y del Presidente Municipal, las siguientes: </w:t>
      </w:r>
    </w:p>
    <w:p w14:paraId="7B606ED0" w14:textId="77777777" w:rsidR="00627D79" w:rsidRPr="00BC16BD" w:rsidRDefault="00627D79" w:rsidP="00BC16BD">
      <w:pPr>
        <w:spacing w:before="240" w:after="240" w:line="360" w:lineRule="auto"/>
        <w:ind w:right="49"/>
        <w:contextualSpacing/>
        <w:jc w:val="both"/>
        <w:rPr>
          <w:rFonts w:ascii="Palatino Linotype" w:eastAsia="Calibri" w:hAnsi="Palatino Linotype"/>
        </w:rPr>
      </w:pPr>
    </w:p>
    <w:p w14:paraId="3D88169A"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hAnsi="Palatino Linotype"/>
          <w:b/>
          <w:i/>
        </w:rPr>
        <w:t>“Artículo 2.-</w:t>
      </w:r>
      <w:r w:rsidRPr="00BC16BD">
        <w:rPr>
          <w:rFonts w:ascii="Palatino Linotype" w:hAnsi="Palatino Linotype"/>
          <w:i/>
        </w:rPr>
        <w:t xml:space="preserve"> Las </w:t>
      </w:r>
      <w:r w:rsidRPr="00BC16BD">
        <w:rPr>
          <w:rFonts w:ascii="Palatino Linotype" w:hAnsi="Palatino Linotype"/>
          <w:b/>
          <w:i/>
        </w:rPr>
        <w:t>autoridades municipales</w:t>
      </w:r>
      <w:r w:rsidRPr="00BC16BD">
        <w:rPr>
          <w:rFonts w:ascii="Palatino Linotype" w:hAnsi="Palatino Linotype"/>
          <w:i/>
        </w:rPr>
        <w:t xml:space="preserve"> tienen las atribuciones que les señalen los ordenamientos federales, locales y municipales y las derivadas de los convenios que se celebren con el Gobierno del Estado o con otros municipios.</w:t>
      </w:r>
    </w:p>
    <w:p w14:paraId="28D7E14C"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Artículo.</w:t>
      </w:r>
    </w:p>
    <w:p w14:paraId="7CEAE1CB"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59E529FF"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b/>
          <w:i/>
        </w:rPr>
        <w:t>Artículo 31.-</w:t>
      </w:r>
      <w:r w:rsidRPr="00BC16BD">
        <w:rPr>
          <w:rFonts w:ascii="Palatino Linotype" w:eastAsia="Calibri" w:hAnsi="Palatino Linotype"/>
          <w:i/>
        </w:rPr>
        <w:t xml:space="preserve"> Son atribuciones de los ayuntamientos:</w:t>
      </w:r>
    </w:p>
    <w:p w14:paraId="47890237"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6E26C501" w14:textId="77777777" w:rsidR="00627D79" w:rsidRPr="00BC16BD" w:rsidRDefault="00627D79" w:rsidP="00BC16BD">
      <w:pPr>
        <w:spacing w:before="240" w:after="240" w:line="360" w:lineRule="auto"/>
        <w:ind w:left="540" w:right="738"/>
        <w:contextualSpacing/>
        <w:jc w:val="both"/>
        <w:rPr>
          <w:rFonts w:ascii="Palatino Linotype" w:hAnsi="Palatino Linotype"/>
          <w:i/>
        </w:rPr>
      </w:pPr>
      <w:r w:rsidRPr="00BC16BD">
        <w:rPr>
          <w:rFonts w:ascii="Palatino Linotype" w:hAnsi="Palatino Linotype"/>
          <w:i/>
        </w:rPr>
        <w:t xml:space="preserve">VII. </w:t>
      </w:r>
      <w:r w:rsidRPr="00BC16BD">
        <w:rPr>
          <w:rFonts w:ascii="Palatino Linotype" w:hAnsi="Palatino Linotype"/>
          <w:b/>
          <w:i/>
        </w:rPr>
        <w:t xml:space="preserve">Convenir, contratar </w:t>
      </w:r>
      <w:r w:rsidRPr="00BC16BD">
        <w:rPr>
          <w:rFonts w:ascii="Palatino Linotype" w:hAnsi="Palatino Linotype"/>
          <w:i/>
        </w:rPr>
        <w:t>o concesionar, en términos de ley, la ejecución de obras y la prestación de servicios públicos, con el Estado, con otros municipios de la entidad o con particulares, recabando, cuando proceda, la autorización de la Legislatura del Estado</w:t>
      </w:r>
    </w:p>
    <w:p w14:paraId="6060AD13" w14:textId="77777777" w:rsidR="00627D79" w:rsidRPr="00BC16BD" w:rsidRDefault="00627D79" w:rsidP="00BC16BD">
      <w:pPr>
        <w:spacing w:before="240" w:after="240" w:line="360" w:lineRule="auto"/>
        <w:ind w:left="540" w:right="738"/>
        <w:contextualSpacing/>
        <w:jc w:val="both"/>
        <w:rPr>
          <w:rFonts w:ascii="Palatino Linotype" w:hAnsi="Palatino Linotype"/>
          <w:i/>
        </w:rPr>
      </w:pPr>
      <w:r w:rsidRPr="00BC16BD">
        <w:rPr>
          <w:rFonts w:ascii="Palatino Linotype" w:hAnsi="Palatino Linotype"/>
          <w:i/>
        </w:rPr>
        <w:t>(…)</w:t>
      </w:r>
    </w:p>
    <w:p w14:paraId="77DC998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lastRenderedPageBreak/>
        <w:t>XX. Autorizar la contratación de empréstitos, en términos de la Ley de Deuda Pública Municipal del Estado de México;</w:t>
      </w:r>
    </w:p>
    <w:p w14:paraId="64FAB1E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0087A717"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6F21CB5C"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b/>
          <w:i/>
        </w:rPr>
        <w:t>Artículo 48.-</w:t>
      </w:r>
      <w:r w:rsidRPr="00BC16BD">
        <w:rPr>
          <w:rFonts w:ascii="Palatino Linotype" w:eastAsia="Calibri" w:hAnsi="Palatino Linotype"/>
          <w:i/>
        </w:rPr>
        <w:t xml:space="preserve"> El presidente municipal tiene las siguientes atribuciones:</w:t>
      </w:r>
    </w:p>
    <w:p w14:paraId="7E83767D"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14659EB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198664FE"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b/>
          <w:i/>
        </w:rPr>
        <w:t>VIII.</w:t>
      </w:r>
      <w:r w:rsidRPr="00BC16BD">
        <w:rPr>
          <w:rFonts w:ascii="Palatino Linotype" w:eastAsia="Calibri" w:hAnsi="Palatino Linotype"/>
          <w:i/>
        </w:rPr>
        <w:t xml:space="preserve"> </w:t>
      </w:r>
      <w:r w:rsidRPr="00BC16BD">
        <w:rPr>
          <w:rFonts w:ascii="Palatino Linotype" w:eastAsia="Calibri" w:hAnsi="Palatino Linotype"/>
          <w:b/>
          <w:i/>
        </w:rPr>
        <w:t>Contratar</w:t>
      </w:r>
      <w:r w:rsidRPr="00BC16BD">
        <w:rPr>
          <w:rFonts w:ascii="Palatino Linotype" w:eastAsia="Calibri" w:hAnsi="Palatino Linotype"/>
          <w:i/>
        </w:rPr>
        <w:t xml:space="preserve"> y concertar en representación del ayuntamiento y previo acuerdo de éste, la realización de obras y la prestación de servicios públicos, por terceros o con el concurso del Estado o de otros ayuntamientos;</w:t>
      </w:r>
    </w:p>
    <w:p w14:paraId="53DD1294"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631E9B58"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283A682B"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63BB145B"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 xml:space="preserve">IX. Nombrar, </w:t>
      </w:r>
      <w:r w:rsidRPr="00BC16BD">
        <w:rPr>
          <w:rFonts w:ascii="Palatino Linotype" w:eastAsia="Calibri" w:hAnsi="Palatino Linotype"/>
          <w:b/>
          <w:i/>
        </w:rPr>
        <w:t xml:space="preserve">contratar </w:t>
      </w:r>
      <w:r w:rsidRPr="00BC16BD">
        <w:rPr>
          <w:rFonts w:ascii="Palatino Linotype" w:eastAsia="Calibri" w:hAnsi="Palatino Linotype"/>
          <w:i/>
        </w:rPr>
        <w:t>o promover directamente o por interpósita persona como servidores públicos a personas con quienes tengan parentesco consanguíneo hasta el cuarto grado, por afinidad o civil. Tampoco pueden recibir propuestas o celebrar contratos relativos a la adquisición, enajenación y arrendamiento de bienes y la contratación de servicios con personas con quienes tenga interés personal, familiar o de negocios, en términos de las disposiciones jurídicas aplicables.</w:t>
      </w:r>
    </w:p>
    <w:p w14:paraId="1B08E5FD"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3F6BE93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1DEB98BA" w14:textId="088A74A0" w:rsidR="00627D79" w:rsidRPr="00BC16BD" w:rsidRDefault="00627D79"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884A7F5" w14:textId="6CA4218A" w:rsidR="00B92A80" w:rsidRPr="00BC16BD" w:rsidRDefault="00627D79"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 xml:space="preserve">Por otro lado </w:t>
      </w:r>
      <w:r w:rsidR="00B92A80" w:rsidRPr="00BC16BD">
        <w:rPr>
          <w:rFonts w:ascii="Palatino Linotype" w:eastAsia="MS Mincho" w:hAnsi="Palatino Linotype"/>
          <w:lang w:val="es-MX" w:eastAsia="en-US"/>
        </w:rPr>
        <w:t xml:space="preserve">todo ingreso y egreso del Ayuntamiento de </w:t>
      </w:r>
      <w:r w:rsidR="00686C5C" w:rsidRPr="00BC16BD">
        <w:rPr>
          <w:rFonts w:ascii="Palatino Linotype" w:eastAsia="MS Mincho" w:hAnsi="Palatino Linotype"/>
          <w:lang w:val="es-MX" w:eastAsia="en-US"/>
        </w:rPr>
        <w:t xml:space="preserve">Papalotla </w:t>
      </w:r>
      <w:r w:rsidR="00B92A80" w:rsidRPr="00BC16BD">
        <w:rPr>
          <w:rFonts w:ascii="Palatino Linotype" w:eastAsia="MS Mincho" w:hAnsi="Palatino Linotype"/>
          <w:lang w:val="es-MX" w:eastAsia="en-US"/>
        </w:rPr>
        <w:t xml:space="preserve">debe manejarse de forma transparente y ser accesible para los particulares, puesto que la </w:t>
      </w:r>
      <w:r w:rsidR="00B92A80" w:rsidRPr="00BC16BD">
        <w:rPr>
          <w:rFonts w:ascii="Palatino Linotype" w:eastAsia="MS Mincho" w:hAnsi="Palatino Linotype"/>
          <w:lang w:val="es-MX" w:eastAsia="en-US"/>
        </w:rPr>
        <w:lastRenderedPageBreak/>
        <w:t xml:space="preserve">información financiera, los informes presupuestales, así como los ingresos recibidos por cualquier motivo (como puede ser el Derecho al Alumbrado Público, en el caso concreto), forman parte de las obligaciones de transparencia que tiene el </w:t>
      </w:r>
      <w:r w:rsidR="00B92A80" w:rsidRPr="00BC16BD">
        <w:rPr>
          <w:rFonts w:ascii="Palatino Linotype" w:eastAsia="MS Mincho" w:hAnsi="Palatino Linotype"/>
          <w:b/>
          <w:lang w:val="es-MX" w:eastAsia="en-US"/>
        </w:rPr>
        <w:t xml:space="preserve">SUJETO </w:t>
      </w:r>
      <w:r w:rsidR="00B92A80" w:rsidRPr="00BC16BD">
        <w:rPr>
          <w:rFonts w:ascii="Palatino Linotype" w:eastAsia="MS Mincho" w:hAnsi="Palatino Linotype"/>
          <w:b/>
          <w:bCs/>
          <w:lang w:val="es-MX" w:eastAsia="en-US"/>
        </w:rPr>
        <w:t>OBLIGADO</w:t>
      </w:r>
      <w:r w:rsidR="00B92A80" w:rsidRPr="00BC16BD">
        <w:rPr>
          <w:rFonts w:ascii="Palatino Linotype" w:eastAsia="MS Mincho" w:hAnsi="Palatino Linotype"/>
          <w:lang w:val="es-MX" w:eastAsia="en-US"/>
        </w:rPr>
        <w:t>, las cuales debe poner a disposición de los particulares de manera accesible y permanente.</w:t>
      </w:r>
    </w:p>
    <w:p w14:paraId="542C3A6B"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FCA0199"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 xml:space="preserve">Ante </w:t>
      </w:r>
      <w:r w:rsidRPr="00BC16BD">
        <w:rPr>
          <w:rFonts w:ascii="Palatino Linotype" w:eastAsia="MS Mincho" w:hAnsi="Palatino Linotype"/>
          <w:lang w:val="es-MX" w:eastAsia="en-US"/>
        </w:rPr>
        <w:t xml:space="preserve">esto, es necesario partir de lo establecido en los artículos </w:t>
      </w:r>
      <w:r w:rsidRPr="00BC16BD">
        <w:rPr>
          <w:rFonts w:ascii="Palatino Linotype" w:eastAsia="MS Mincho" w:hAnsi="Palatino Linotype"/>
          <w:color w:val="000000"/>
          <w:lang w:val="es-MX" w:eastAsia="en-US"/>
        </w:rPr>
        <w:t>115, fracción V, y</w:t>
      </w:r>
      <w:r w:rsidRPr="00BC16BD">
        <w:rPr>
          <w:rFonts w:ascii="Palatino Linotype" w:eastAsia="MS Mincho" w:hAnsi="Palatino Linotype"/>
          <w:lang w:val="es-MX" w:eastAsia="en-US"/>
        </w:rPr>
        <w:t xml:space="preserve"> 121</w:t>
      </w:r>
      <w:r w:rsidRPr="00BC16BD">
        <w:rPr>
          <w:rFonts w:ascii="Palatino Linotype" w:hAnsi="Palatino Linotype" w:cs="Arial"/>
          <w:lang w:eastAsia="en-US"/>
        </w:rPr>
        <w:t xml:space="preserve"> de la </w:t>
      </w:r>
      <w:r w:rsidRPr="00BC16BD">
        <w:rPr>
          <w:rFonts w:ascii="Palatino Linotype" w:hAnsi="Palatino Linotype" w:cs="Arial"/>
          <w:b/>
          <w:lang w:eastAsia="en-US"/>
        </w:rPr>
        <w:t>Constitución Política de los Estados Unidos Mexicanos</w:t>
      </w:r>
      <w:r w:rsidRPr="00BC16BD">
        <w:rPr>
          <w:rFonts w:ascii="Palatino Linotype" w:hAnsi="Palatino Linotype" w:cs="Arial"/>
          <w:lang w:eastAsia="en-US"/>
        </w:rPr>
        <w:t xml:space="preserve"> que a la letra dice:</w:t>
      </w:r>
    </w:p>
    <w:p w14:paraId="43AC258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E2932F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w:t>
      </w:r>
      <w:r w:rsidRPr="00BC16BD">
        <w:rPr>
          <w:rFonts w:ascii="Palatino Linotype" w:eastAsia="MS Gothic" w:hAnsi="Palatino Linotype"/>
          <w:b/>
          <w:i/>
          <w:lang w:val="es-MX" w:eastAsia="en-US"/>
        </w:rPr>
        <w:t>Artículo 115.</w:t>
      </w:r>
      <w:r w:rsidRPr="00BC16BD">
        <w:rPr>
          <w:rFonts w:ascii="Palatino Linotype" w:eastAsia="MS Gothic" w:hAnsi="Palatino Linotype"/>
          <w:i/>
          <w:lang w:val="es-MX" w:eastAsia="en-U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4D951608"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w:t>
      </w:r>
    </w:p>
    <w:p w14:paraId="6B7B04C0"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III.</w:t>
      </w:r>
      <w:r w:rsidRPr="00BC16BD">
        <w:rPr>
          <w:rFonts w:ascii="Palatino Linotype" w:eastAsia="MS Gothic" w:hAnsi="Palatino Linotype"/>
          <w:i/>
          <w:lang w:val="es-MX" w:eastAsia="en-US"/>
        </w:rPr>
        <w:t xml:space="preserve"> </w:t>
      </w:r>
      <w:r w:rsidRPr="00BC16BD">
        <w:rPr>
          <w:rFonts w:ascii="Palatino Linotype" w:eastAsia="MS Gothic" w:hAnsi="Palatino Linotype"/>
          <w:b/>
          <w:i/>
          <w:lang w:val="es-MX" w:eastAsia="en-US"/>
        </w:rPr>
        <w:t>Los Municipios tendrán a su cargo las funciones y servicios públicos siguientes:</w:t>
      </w:r>
      <w:r w:rsidRPr="00BC16BD">
        <w:rPr>
          <w:rFonts w:ascii="Palatino Linotype" w:eastAsia="MS Gothic" w:hAnsi="Palatino Linotype"/>
          <w:i/>
          <w:lang w:val="es-MX" w:eastAsia="en-US"/>
        </w:rPr>
        <w:cr/>
      </w:r>
      <w:r w:rsidRPr="00BC16BD">
        <w:rPr>
          <w:rFonts w:ascii="Palatino Linotype" w:eastAsia="MS Gothic" w:hAnsi="Palatino Linotype"/>
          <w:b/>
          <w:i/>
          <w:lang w:val="es-MX" w:eastAsia="en-US"/>
        </w:rPr>
        <w:t>a)</w:t>
      </w:r>
      <w:r w:rsidRPr="00BC16BD">
        <w:rPr>
          <w:rFonts w:ascii="Palatino Linotype" w:eastAsia="MS Gothic" w:hAnsi="Palatino Linotype"/>
          <w:i/>
          <w:lang w:val="es-MX" w:eastAsia="en-US"/>
        </w:rPr>
        <w:t xml:space="preserve"> Agua potable, drenaje, alcantarillado, tratamiento y disposición de sus aguas residuales;</w:t>
      </w:r>
    </w:p>
    <w:p w14:paraId="69721D6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i/>
          <w:lang w:val="es-MX" w:eastAsia="en-US"/>
        </w:rPr>
      </w:pPr>
      <w:r w:rsidRPr="00BC16BD">
        <w:rPr>
          <w:rFonts w:ascii="Palatino Linotype" w:eastAsia="MS Gothic" w:hAnsi="Palatino Linotype"/>
          <w:b/>
          <w:i/>
          <w:lang w:val="es-MX" w:eastAsia="en-US"/>
        </w:rPr>
        <w:t>b) Alumbrado público.</w:t>
      </w:r>
    </w:p>
    <w:p w14:paraId="59DEE8BC"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c)</w:t>
      </w:r>
      <w:r w:rsidRPr="00BC16BD">
        <w:rPr>
          <w:rFonts w:ascii="Palatino Linotype" w:eastAsia="MS Gothic" w:hAnsi="Palatino Linotype"/>
          <w:i/>
          <w:lang w:val="es-MX" w:eastAsia="en-US"/>
        </w:rPr>
        <w:t xml:space="preserve"> Limpia, recolección, traslado, tratamiento y disposición final de residuos;</w:t>
      </w:r>
    </w:p>
    <w:p w14:paraId="579358D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d)</w:t>
      </w:r>
      <w:r w:rsidRPr="00BC16BD">
        <w:rPr>
          <w:rFonts w:ascii="Palatino Linotype" w:eastAsia="MS Gothic" w:hAnsi="Palatino Linotype"/>
          <w:i/>
          <w:lang w:val="es-MX" w:eastAsia="en-US"/>
        </w:rPr>
        <w:t xml:space="preserve"> Mercados y centrales de abasto.</w:t>
      </w:r>
    </w:p>
    <w:p w14:paraId="4AC473E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e)</w:t>
      </w:r>
      <w:r w:rsidRPr="00BC16BD">
        <w:rPr>
          <w:rFonts w:ascii="Palatino Linotype" w:eastAsia="MS Gothic" w:hAnsi="Palatino Linotype"/>
          <w:i/>
          <w:lang w:val="es-MX" w:eastAsia="en-US"/>
        </w:rPr>
        <w:t xml:space="preserve"> Panteones.</w:t>
      </w:r>
    </w:p>
    <w:p w14:paraId="6D9EE3B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f)</w:t>
      </w:r>
      <w:r w:rsidRPr="00BC16BD">
        <w:rPr>
          <w:rFonts w:ascii="Palatino Linotype" w:eastAsia="MS Gothic" w:hAnsi="Palatino Linotype"/>
          <w:i/>
          <w:lang w:val="es-MX" w:eastAsia="en-US"/>
        </w:rPr>
        <w:t xml:space="preserve"> Rastro.</w:t>
      </w:r>
    </w:p>
    <w:p w14:paraId="0392E74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g)</w:t>
      </w:r>
      <w:r w:rsidRPr="00BC16BD">
        <w:rPr>
          <w:rFonts w:ascii="Palatino Linotype" w:eastAsia="MS Gothic" w:hAnsi="Palatino Linotype"/>
          <w:i/>
          <w:lang w:val="es-MX" w:eastAsia="en-US"/>
        </w:rPr>
        <w:t xml:space="preserve"> Calles, parques y jardines y su equipamiento;</w:t>
      </w:r>
    </w:p>
    <w:p w14:paraId="35BF7C1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lastRenderedPageBreak/>
        <w:t>h)</w:t>
      </w:r>
      <w:r w:rsidRPr="00BC16BD">
        <w:rPr>
          <w:rFonts w:ascii="Palatino Linotype" w:eastAsia="MS Gothic" w:hAnsi="Palatino Linotype"/>
          <w:i/>
          <w:lang w:val="es-MX" w:eastAsia="en-US"/>
        </w:rPr>
        <w:t xml:space="preserve"> Seguridad pública, en los términos del artículo 21 de esta Constitución, policía preventiva municipal y tránsito; e</w:t>
      </w:r>
    </w:p>
    <w:p w14:paraId="0E093EE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i)</w:t>
      </w:r>
      <w:r w:rsidRPr="00BC16BD">
        <w:rPr>
          <w:rFonts w:ascii="Palatino Linotype" w:eastAsia="MS Gothic" w:hAnsi="Palatino Linotype"/>
          <w:i/>
          <w:lang w:val="es-MX" w:eastAsia="en-US"/>
        </w:rPr>
        <w:t xml:space="preserve"> Los demás que las Legislaturas locales determinen según las condiciones territoriales y socio-económicas de los Municipios, así como su capacidad administrativa y financiera.</w:t>
      </w:r>
    </w:p>
    <w:p w14:paraId="13BED9A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p>
    <w:p w14:paraId="1BB04B7C"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Sin perjuicio de su competencia constitucional, en el desempeño de las funciones o la prestación de los servicios a su cargo,</w:t>
      </w:r>
      <w:r w:rsidRPr="00BC16BD">
        <w:rPr>
          <w:rFonts w:ascii="Palatino Linotype" w:eastAsia="MS Gothic" w:hAnsi="Palatino Linotype"/>
          <w:i/>
          <w:lang w:val="es-MX" w:eastAsia="en-US"/>
        </w:rPr>
        <w:t xml:space="preserve"> </w:t>
      </w:r>
      <w:r w:rsidRPr="00BC16BD">
        <w:rPr>
          <w:rFonts w:ascii="Palatino Linotype" w:eastAsia="MS Gothic" w:hAnsi="Palatino Linotype"/>
          <w:b/>
          <w:i/>
          <w:lang w:val="es-MX" w:eastAsia="en-US"/>
        </w:rPr>
        <w:t>los municipios observarán lo dispuesto por las leyes federales y estatales.</w:t>
      </w:r>
    </w:p>
    <w:p w14:paraId="554CA4E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lang w:val="es-MX" w:eastAsia="en-US"/>
        </w:rPr>
      </w:pPr>
      <w:r w:rsidRPr="00BC16BD">
        <w:rPr>
          <w:rFonts w:ascii="Palatino Linotype" w:eastAsia="MS Gothic" w:hAnsi="Palatino Linotype"/>
          <w:i/>
          <w:lang w:val="es-MX" w:eastAsia="en-US"/>
        </w:rPr>
        <w:t>(…)”</w:t>
      </w:r>
    </w:p>
    <w:p w14:paraId="785EBEA7" w14:textId="77777777" w:rsidR="00B92A80" w:rsidRPr="00BC16BD" w:rsidRDefault="00B92A80" w:rsidP="00BC16BD">
      <w:pPr>
        <w:spacing w:line="360" w:lineRule="auto"/>
        <w:ind w:left="567" w:right="616"/>
        <w:contextualSpacing/>
        <w:jc w:val="both"/>
        <w:rPr>
          <w:rFonts w:ascii="Palatino Linotype" w:eastAsia="Calibri" w:hAnsi="Palatino Linotype"/>
          <w:b/>
          <w:lang w:val="es-MX" w:eastAsia="en-US"/>
        </w:rPr>
      </w:pPr>
      <w:r w:rsidRPr="00BC16BD">
        <w:rPr>
          <w:rFonts w:ascii="Palatino Linotype" w:eastAsia="Calibri" w:hAnsi="Palatino Linotype"/>
          <w:lang w:val="es-MX" w:eastAsia="en-US"/>
        </w:rPr>
        <w:t>(Énfasis añadido)</w:t>
      </w:r>
    </w:p>
    <w:p w14:paraId="65C50839"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52D960C7"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Así las cosas, nuestra </w:t>
      </w:r>
      <w:r w:rsidRPr="00BC16BD">
        <w:rPr>
          <w:rFonts w:ascii="Palatino Linotype" w:eastAsia="MS Gothic" w:hAnsi="Palatino Linotype"/>
          <w:i/>
          <w:lang w:val="es-MX" w:eastAsia="en-US"/>
        </w:rPr>
        <w:t>Magna Carta</w:t>
      </w:r>
      <w:r w:rsidRPr="00BC16BD">
        <w:rPr>
          <w:rFonts w:ascii="Palatino Linotype" w:eastAsia="MS Gothic" w:hAnsi="Palatino Linotype"/>
          <w:lang w:val="es-MX" w:eastAsia="en-US"/>
        </w:rPr>
        <w:t xml:space="preserve"> otorga a los municipios la responsabilidad de administrar los servicios públicos dentro de su demarcación territorial, reconociendo al alumbrado público como uno de ellos.</w:t>
      </w:r>
    </w:p>
    <w:p w14:paraId="7862859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6ACB146"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Más adelante, dentro del mismo dispositivo constitucional, se establece los siguiente:</w:t>
      </w:r>
    </w:p>
    <w:p w14:paraId="5A19B128"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26AE2692"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Artículo 115.</w:t>
      </w:r>
      <w:r w:rsidRPr="00BC16BD">
        <w:rPr>
          <w:rFonts w:ascii="Palatino Linotype" w:eastAsia="MS Gothic" w:hAnsi="Palatino Linotype"/>
          <w:i/>
          <w:lang w:val="es-MX" w:eastAsia="en-US"/>
        </w:rPr>
        <w:t xml:space="preserve"> (…)</w:t>
      </w:r>
    </w:p>
    <w:p w14:paraId="020A7D1E"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w:t>
      </w:r>
    </w:p>
    <w:p w14:paraId="676EA5B6"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IV.</w:t>
      </w:r>
      <w:r w:rsidRPr="00BC16BD">
        <w:rPr>
          <w:rFonts w:ascii="Palatino Linotype" w:eastAsia="MS Gothic" w:hAnsi="Palatino Linotype"/>
          <w:i/>
          <w:lang w:val="es-MX" w:eastAsia="en-US"/>
        </w:rPr>
        <w:t xml:space="preserve"> </w:t>
      </w:r>
      <w:r w:rsidRPr="00BC16BD">
        <w:rPr>
          <w:rFonts w:ascii="Palatino Linotype" w:eastAsia="MS Gothic" w:hAnsi="Palatino Linotype"/>
          <w:b/>
          <w:i/>
          <w:lang w:val="es-MX" w:eastAsia="en-US"/>
        </w:rPr>
        <w:t>Los municipios administrarán libremente su hacienda, la cual se formará de</w:t>
      </w:r>
      <w:r w:rsidRPr="00BC16BD">
        <w:rPr>
          <w:rFonts w:ascii="Palatino Linotype" w:eastAsia="MS Gothic" w:hAnsi="Palatino Linotype"/>
          <w:i/>
          <w:lang w:val="es-MX" w:eastAsia="en-US"/>
        </w:rPr>
        <w:t xml:space="preserve"> los rendimientos de los bienes que les pertenezcan, así como de </w:t>
      </w:r>
      <w:r w:rsidRPr="00BC16BD">
        <w:rPr>
          <w:rFonts w:ascii="Palatino Linotype" w:eastAsia="MS Gothic" w:hAnsi="Palatino Linotype"/>
          <w:b/>
          <w:i/>
          <w:lang w:val="es-MX" w:eastAsia="en-US"/>
        </w:rPr>
        <w:t>las contribuciones y otros ingresos que las legislaturas establezcan a su favor, y</w:t>
      </w:r>
      <w:r w:rsidRPr="00BC16BD">
        <w:rPr>
          <w:rFonts w:ascii="Palatino Linotype" w:eastAsia="MS Gothic" w:hAnsi="Palatino Linotype"/>
          <w:i/>
          <w:lang w:val="es-MX" w:eastAsia="en-US"/>
        </w:rPr>
        <w:t xml:space="preserve"> en todo caso:</w:t>
      </w:r>
    </w:p>
    <w:p w14:paraId="1AD831B4"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lastRenderedPageBreak/>
        <w:t xml:space="preserve">a) </w:t>
      </w:r>
      <w:r w:rsidRPr="00BC16BD">
        <w:rPr>
          <w:rFonts w:ascii="Palatino Linotype" w:eastAsia="MS Gothic" w:hAnsi="Palatino Linotype"/>
          <w:i/>
          <w:lang w:val="es-MX" w:eastAsia="en-US"/>
        </w:rPr>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72F79729"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Los municipios podrán celebrar convenios con el Estado para que éste se haga cargo de algunas de las funciones relacionadas con la administración de esas contribuciones.</w:t>
      </w:r>
    </w:p>
    <w:p w14:paraId="1F6EF8C2"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b)</w:t>
      </w:r>
      <w:r w:rsidRPr="00BC16BD">
        <w:rPr>
          <w:rFonts w:ascii="Palatino Linotype" w:eastAsia="MS Gothic" w:hAnsi="Palatino Linotype"/>
          <w:i/>
          <w:lang w:val="es-MX" w:eastAsia="en-US"/>
        </w:rPr>
        <w:t xml:space="preserve"> Las participaciones federales, que serán cubiertas por la Federación a los Municipios con arreglo a las bases, montos y plazos que anualmente se determinen por las Legislaturas de los Estados.</w:t>
      </w:r>
    </w:p>
    <w:p w14:paraId="7F49DD80"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c) Los ingresos derivados de la prestación de servicios públicos a su cargo.</w:t>
      </w:r>
    </w:p>
    <w:p w14:paraId="4FC36C16"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lang w:val="es-MX" w:eastAsia="en-US"/>
        </w:rPr>
      </w:pPr>
      <w:r w:rsidRPr="00BC16BD">
        <w:rPr>
          <w:rFonts w:ascii="Palatino Linotype" w:eastAsia="MS Gothic" w:hAnsi="Palatino Linotype"/>
          <w:i/>
          <w:lang w:val="es-MX" w:eastAsia="en-US"/>
        </w:rPr>
        <w:t>(…)”</w:t>
      </w:r>
    </w:p>
    <w:p w14:paraId="17167A1C"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lang w:val="es-MX" w:eastAsia="en-US"/>
        </w:rPr>
      </w:pPr>
      <w:r w:rsidRPr="00BC16BD">
        <w:rPr>
          <w:rFonts w:ascii="Palatino Linotype" w:eastAsia="MS Gothic" w:hAnsi="Palatino Linotype"/>
          <w:lang w:val="es-MX" w:eastAsia="en-US"/>
        </w:rPr>
        <w:t>(Énfasis añadido)</w:t>
      </w:r>
    </w:p>
    <w:p w14:paraId="54575026"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4AAA2B0"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Por lo anterior, podemos concebir al Derecho al Alumbrado Público, como una fuente de ingresos de los municipios, que deriva de su cuidado y administración como uno de los servicios públicos que ofrece a su ciudadanía.</w:t>
      </w:r>
    </w:p>
    <w:p w14:paraId="11300E76"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BA77425"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Lo anterior se robustece de la lectura a la Ley de Ingresos de los Municipios del Estado de México para el Ejercicio Fiscal del Año 2019, el cual señala en su artículo 1 lo siguiente:</w:t>
      </w:r>
    </w:p>
    <w:p w14:paraId="621FA0E2"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26BD83D" w14:textId="5015463F"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lastRenderedPageBreak/>
        <w:t>“</w:t>
      </w:r>
      <w:r w:rsidRPr="00BC16BD">
        <w:rPr>
          <w:rFonts w:ascii="Palatino Linotype" w:eastAsia="Calibri" w:hAnsi="Palatino Linotype"/>
          <w:b/>
          <w:i/>
          <w:lang w:val="es-MX" w:eastAsia="en-US"/>
        </w:rPr>
        <w:t>Artículo 1.- La hacienda pública de los municipios</w:t>
      </w:r>
      <w:r w:rsidR="00A5786B" w:rsidRPr="00BC16BD">
        <w:rPr>
          <w:rFonts w:ascii="Palatino Linotype" w:eastAsia="Calibri" w:hAnsi="Palatino Linotype"/>
          <w:i/>
          <w:lang w:val="es-MX" w:eastAsia="en-US"/>
        </w:rPr>
        <w:t xml:space="preserve"> del Estado de México</w:t>
      </w:r>
      <w:r w:rsidRPr="00BC16BD">
        <w:rPr>
          <w:rFonts w:ascii="Palatino Linotype" w:eastAsia="Calibri" w:hAnsi="Palatino Linotype"/>
          <w:b/>
          <w:i/>
          <w:lang w:val="es-MX" w:eastAsia="en-US"/>
        </w:rPr>
        <w:t>, los ingresos provenientes de los conceptos que a continuación se enumeran:</w:t>
      </w:r>
    </w:p>
    <w:p w14:paraId="2E5389B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55D6ADCF"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t>3. DERECHOS:</w:t>
      </w:r>
    </w:p>
    <w:p w14:paraId="27D6BBD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73F1C2B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t>3.2.11. Por Servicios de Alumbrado Público.</w:t>
      </w:r>
    </w:p>
    <w:p w14:paraId="1CC7872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lang w:val="es-MX" w:eastAsia="en-US"/>
        </w:rPr>
      </w:pPr>
      <w:r w:rsidRPr="00BC16BD">
        <w:rPr>
          <w:rFonts w:ascii="Palatino Linotype" w:eastAsia="Calibri" w:hAnsi="Palatino Linotype"/>
          <w:i/>
          <w:lang w:val="es-MX" w:eastAsia="en-US"/>
        </w:rPr>
        <w:t>(…)”</w:t>
      </w:r>
    </w:p>
    <w:p w14:paraId="2D989E23"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(Énfasis añadido)</w:t>
      </w:r>
    </w:p>
    <w:p w14:paraId="52F77CAE" w14:textId="77777777" w:rsidR="00B92A80" w:rsidRPr="00BC16BD" w:rsidRDefault="00B92A80" w:rsidP="00BC16BD">
      <w:pPr>
        <w:tabs>
          <w:tab w:val="left" w:pos="0"/>
          <w:tab w:val="left" w:pos="284"/>
          <w:tab w:val="left" w:pos="426"/>
        </w:tabs>
        <w:spacing w:before="240" w:after="240" w:line="360" w:lineRule="auto"/>
        <w:contextualSpacing/>
        <w:jc w:val="both"/>
        <w:rPr>
          <w:rFonts w:ascii="Palatino Linotype" w:eastAsia="MS Gothic" w:hAnsi="Palatino Linotype"/>
          <w:b/>
          <w:lang w:val="es-MX" w:eastAsia="en-US"/>
        </w:rPr>
      </w:pPr>
    </w:p>
    <w:p w14:paraId="7B77027D" w14:textId="77777777" w:rsidR="00B92A80" w:rsidRPr="00BC16BD" w:rsidRDefault="00B92A80" w:rsidP="00694F4C">
      <w:pPr>
        <w:numPr>
          <w:ilvl w:val="0"/>
          <w:numId w:val="5"/>
        </w:numPr>
        <w:tabs>
          <w:tab w:val="left" w:pos="0"/>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En el mismo sentido, el Código Financiero del Estado de México y Municipios, considera en sus numerales 161 y 162 lo siguiente:</w:t>
      </w:r>
    </w:p>
    <w:p w14:paraId="1FA7691A"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477CF4D" w14:textId="51E456AD"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r w:rsidRPr="00BC16BD">
        <w:rPr>
          <w:rFonts w:ascii="Palatino Linotype" w:eastAsia="Calibri" w:hAnsi="Palatino Linotype"/>
          <w:b/>
          <w:i/>
          <w:lang w:val="es-MX" w:eastAsia="en-US"/>
        </w:rPr>
        <w:t>Artículo 161.-</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Por la prestación del servicio de alumbrado público se pagará bimestralmente:</w:t>
      </w:r>
      <w:r w:rsidRPr="00BC16BD">
        <w:rPr>
          <w:rFonts w:ascii="Palatino Linotype" w:eastAsia="Calibri" w:hAnsi="Palatino Linotype"/>
          <w:i/>
          <w:lang w:val="es-MX" w:eastAsia="en-US"/>
        </w:rPr>
        <w:t xml:space="preserve"> </w:t>
      </w:r>
    </w:p>
    <w:p w14:paraId="3FDE07AF"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p>
    <w:p w14:paraId="3358BA6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El 10% del cargo a cubrir por la recepción del servicio contratado cuando se apliquen las tarifas 1, 2 y 3</w:t>
      </w:r>
      <w:r w:rsidRPr="00BC16BD">
        <w:rPr>
          <w:rFonts w:ascii="Palatino Linotype" w:eastAsia="Calibri" w:hAnsi="Palatino Linotype"/>
          <w:i/>
          <w:lang w:val="es-MX" w:eastAsia="en-US"/>
        </w:rPr>
        <w:t xml:space="preserve"> del acuerdo que autoriza el ajuste de las tarifas para el suministro y venta de energía eléctrica. </w:t>
      </w:r>
    </w:p>
    <w:p w14:paraId="6DF3DDF4"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II.</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El 2.5% en aquellos casos en que se apliquen las tarifas H-M u O-M y H-S o H-T</w:t>
      </w:r>
      <w:r w:rsidRPr="00BC16BD">
        <w:rPr>
          <w:rFonts w:ascii="Palatino Linotype" w:eastAsia="Calibri" w:hAnsi="Palatino Linotype"/>
          <w:i/>
          <w:lang w:val="es-MX" w:eastAsia="en-US"/>
        </w:rPr>
        <w:t xml:space="preserve">, el mismo no podrá exceder de 5 veces el valor diario de la Unidad de Medida y Actualización vigente, elevado al mes. </w:t>
      </w:r>
    </w:p>
    <w:p w14:paraId="3F96BFF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 xml:space="preserve">Tratándose de los propietarios, poseedores o usuarios de predios urbanos sin construcciones o edificaciones, o bien </w:t>
      </w:r>
      <w:r w:rsidRPr="00BC16BD">
        <w:rPr>
          <w:rFonts w:ascii="Palatino Linotype" w:eastAsia="Calibri" w:hAnsi="Palatino Linotype"/>
          <w:b/>
          <w:i/>
          <w:lang w:val="es-MX" w:eastAsia="en-US"/>
        </w:rPr>
        <w:t>cuando no se haya contratado el servicio</w:t>
      </w:r>
      <w:r w:rsidRPr="00BC16BD">
        <w:rPr>
          <w:rFonts w:ascii="Palatino Linotype" w:eastAsia="Calibri" w:hAnsi="Palatino Linotype"/>
          <w:i/>
          <w:lang w:val="es-MX" w:eastAsia="en-US"/>
        </w:rPr>
        <w:t xml:space="preserve"> a que aluden las fracciones anteriores, </w:t>
      </w:r>
      <w:r w:rsidRPr="00BC16BD">
        <w:rPr>
          <w:rFonts w:ascii="Palatino Linotype" w:eastAsia="Calibri" w:hAnsi="Palatino Linotype"/>
          <w:b/>
          <w:i/>
          <w:lang w:val="es-MX" w:eastAsia="en-US"/>
        </w:rPr>
        <w:t xml:space="preserve">la cuota anual de los derechos </w:t>
      </w:r>
      <w:r w:rsidRPr="00BC16BD">
        <w:rPr>
          <w:rFonts w:ascii="Palatino Linotype" w:eastAsia="Calibri" w:hAnsi="Palatino Linotype"/>
          <w:b/>
          <w:i/>
          <w:lang w:val="es-MX" w:eastAsia="en-US"/>
        </w:rPr>
        <w:lastRenderedPageBreak/>
        <w:t>que son materia de esta sección, será de 2 veces el valor diario de la Unidad de Medida y Actualización vigente</w:t>
      </w:r>
      <w:r w:rsidRPr="00BC16BD">
        <w:rPr>
          <w:rFonts w:ascii="Palatino Linotype" w:eastAsia="Calibri" w:hAnsi="Palatino Linotype"/>
          <w:i/>
          <w:lang w:val="es-MX" w:eastAsia="en-US"/>
        </w:rPr>
        <w:t xml:space="preserve">. En estos casos, el entero deberá realizarse dentro del primer trimestre de cada año, o dentro del trimestre siguiente al en que se haya tomado el acuerdo de cabildo, en la tesorería correspondiente. </w:t>
      </w:r>
    </w:p>
    <w:p w14:paraId="155051E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 xml:space="preserve">No procederá su actualización en los términos que dispone este Código. </w:t>
      </w:r>
    </w:p>
    <w:p w14:paraId="45631AE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p>
    <w:p w14:paraId="060CFAA6"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 xml:space="preserve">Artículo 162.- </w:t>
      </w:r>
      <w:r w:rsidRPr="00BC16BD">
        <w:rPr>
          <w:rFonts w:ascii="Palatino Linotype" w:eastAsia="Calibri" w:hAnsi="Palatino Linotype"/>
          <w:i/>
          <w:lang w:val="es-MX" w:eastAsia="en-US"/>
        </w:rPr>
        <w:t xml:space="preserve">Tratándose de microindustrias ubicadas en los inmuebles de referencia y que estén registradas en el Padrón Nacional de la Microindustria, estarán exentas del pago de los derechos previstos en esta Sección. </w:t>
      </w:r>
    </w:p>
    <w:p w14:paraId="3AF8722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lang w:val="es-MX" w:eastAsia="en-US"/>
        </w:rPr>
      </w:pPr>
      <w:r w:rsidRPr="00BC16BD">
        <w:rPr>
          <w:rFonts w:ascii="Palatino Linotype" w:eastAsia="Calibri" w:hAnsi="Palatino Linotype"/>
          <w:i/>
          <w:lang w:val="es-MX" w:eastAsia="en-U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p>
    <w:p w14:paraId="683FC5F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(Énfasis añadido)</w:t>
      </w:r>
    </w:p>
    <w:p w14:paraId="719B5EDD"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09329F6" w14:textId="77777777" w:rsidR="00B92A80" w:rsidRPr="00BC16BD" w:rsidRDefault="00B92A80" w:rsidP="00694F4C">
      <w:pPr>
        <w:numPr>
          <w:ilvl w:val="0"/>
          <w:numId w:val="5"/>
        </w:numPr>
        <w:tabs>
          <w:tab w:val="left" w:pos="142"/>
          <w:tab w:val="left" w:pos="284"/>
          <w:tab w:val="left" w:pos="426"/>
        </w:tabs>
        <w:spacing w:before="240" w:after="240" w:line="360" w:lineRule="auto"/>
        <w:ind w:left="142" w:hanging="142"/>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De las transcripciones anteriores se concluye que el Servicio de Alumbrado Público, dentro del Estado de México, está considerado como una prestación que se deberá pagar de manera bimestral, cuyo monto dependerá de la tarifa por consumo de energía eléctrica que pague cada uno de los usuarios.</w:t>
      </w:r>
    </w:p>
    <w:p w14:paraId="58BDAEF0"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FED0EAA" w14:textId="62598C88"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Aho</w:t>
      </w:r>
      <w:r w:rsidR="00B1531D" w:rsidRPr="00BC16BD">
        <w:rPr>
          <w:rFonts w:ascii="Palatino Linotype" w:eastAsia="MS Gothic" w:hAnsi="Palatino Linotype"/>
          <w:lang w:val="es-MX" w:eastAsia="en-US"/>
        </w:rPr>
        <w:t>ra bien, el Bando Municipal 2021</w:t>
      </w:r>
      <w:r w:rsidRPr="00BC16BD">
        <w:rPr>
          <w:rFonts w:ascii="Palatino Linotype" w:eastAsia="MS Gothic" w:hAnsi="Palatino Linotype"/>
          <w:lang w:val="es-MX" w:eastAsia="en-US"/>
        </w:rPr>
        <w:t xml:space="preserve"> de </w:t>
      </w:r>
      <w:r w:rsidR="009D3347">
        <w:rPr>
          <w:rFonts w:ascii="Palatino Linotype" w:eastAsia="MS Gothic" w:hAnsi="Palatino Linotype"/>
          <w:lang w:val="es-MX" w:eastAsia="en-US"/>
        </w:rPr>
        <w:t>Nextlalpan</w:t>
      </w:r>
      <w:r w:rsidRPr="00BC16BD">
        <w:rPr>
          <w:rFonts w:ascii="Palatino Linotype" w:eastAsia="MS Gothic" w:hAnsi="Palatino Linotype"/>
          <w:lang w:val="es-MX" w:eastAsia="en-US"/>
        </w:rPr>
        <w:t>, por lo que respecta al alumbrado público, dispone lo siguiente:</w:t>
      </w:r>
    </w:p>
    <w:p w14:paraId="44589C06"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623B5F8" w14:textId="77777777" w:rsidR="009D3347" w:rsidRDefault="00B92A80"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BC16BD">
        <w:rPr>
          <w:rFonts w:ascii="Palatino Linotype" w:eastAsia="Calibri" w:hAnsi="Palatino Linotype"/>
          <w:i/>
          <w:lang w:val="es-MX" w:eastAsia="en-US"/>
        </w:rPr>
        <w:t>“</w:t>
      </w:r>
      <w:r w:rsidR="00544C09" w:rsidRPr="00544C09">
        <w:rPr>
          <w:rFonts w:ascii="Palatino Linotype" w:eastAsia="Calibri" w:hAnsi="Palatino Linotype"/>
          <w:i/>
          <w:lang w:eastAsia="en-US"/>
        </w:rPr>
        <w:t xml:space="preserve">Artículo 75.- La Dirección de Servicios Públicos es la Depen- dencia encargada de la prestación de servicios públicos municipales de alumbrado, limpia, disposición final de desechos urbanos, panteo- nes, parques, jardines, áreas verdes recreativas, embellecimiento y conservación de los poblados y centros urbanos en el territorio municipal de conformidad con lo dispuesto en la Ley Orgáni- ca Municipal, el presente Bando Municipal y demás disposiciones jurídicas aplicables. Para el desa- rrollo de sus funciones se auxiliará de las siguientes Coordinaciones: </w:t>
      </w:r>
    </w:p>
    <w:p w14:paraId="17B63A41" w14:textId="77777777" w:rsidR="009D3347" w:rsidRDefault="00544C09"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544C09">
        <w:rPr>
          <w:rFonts w:ascii="Palatino Linotype" w:eastAsia="Calibri" w:hAnsi="Palatino Linotype"/>
          <w:i/>
          <w:lang w:eastAsia="en-US"/>
        </w:rPr>
        <w:t xml:space="preserve">a) Coordinación de Imagen Urbana y Cuadrillas. </w:t>
      </w:r>
    </w:p>
    <w:p w14:paraId="34F3EEBE" w14:textId="77777777" w:rsidR="009D3347" w:rsidRDefault="00544C09"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544C09">
        <w:rPr>
          <w:rFonts w:ascii="Palatino Linotype" w:eastAsia="Calibri" w:hAnsi="Palatino Linotype"/>
          <w:i/>
          <w:lang w:eastAsia="en-US"/>
        </w:rPr>
        <w:t xml:space="preserve">b) Coordinación de Almacén; servicios </w:t>
      </w:r>
    </w:p>
    <w:p w14:paraId="56598650" w14:textId="77777777" w:rsidR="009D3347" w:rsidRDefault="00544C09"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544C09">
        <w:rPr>
          <w:rFonts w:ascii="Palatino Linotype" w:eastAsia="Calibri" w:hAnsi="Palatino Linotype"/>
          <w:i/>
          <w:lang w:eastAsia="en-US"/>
        </w:rPr>
        <w:t>c) Coordinación de Parque Vehicular; y d</w:t>
      </w:r>
    </w:p>
    <w:p w14:paraId="52C91482" w14:textId="43828188" w:rsidR="00544C09" w:rsidRDefault="00544C09"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544C09">
        <w:rPr>
          <w:rFonts w:ascii="Palatino Linotype" w:eastAsia="Calibri" w:hAnsi="Palatino Linotype"/>
          <w:i/>
          <w:lang w:eastAsia="en-US"/>
        </w:rPr>
        <w:t>) Coordinación de Taller Mecánico.</w:t>
      </w:r>
    </w:p>
    <w:p w14:paraId="00B0096A" w14:textId="77777777"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p>
    <w:p w14:paraId="6259CACA" w14:textId="77777777"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9D3347">
        <w:rPr>
          <w:rFonts w:ascii="Palatino Linotype" w:eastAsia="Calibri" w:hAnsi="Palatino Linotype"/>
          <w:i/>
          <w:lang w:eastAsia="en-US"/>
        </w:rPr>
        <w:t xml:space="preserve">Artículo 76.- La Dirección de Servicios Públicos tendrá las siguientes funciones, obligaciones y atribuciones: </w:t>
      </w:r>
    </w:p>
    <w:p w14:paraId="557D514F" w14:textId="77777777"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p>
    <w:p w14:paraId="7C65D429" w14:textId="29C584F8"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9D3347">
        <w:rPr>
          <w:rFonts w:ascii="Palatino Linotype" w:eastAsia="Calibri" w:hAnsi="Palatino Linotype"/>
          <w:i/>
          <w:lang w:eastAsia="en-US"/>
        </w:rPr>
        <w:t>I. Establecer los criterios y normas técnicas para la conser- vación y mantenimiento de la infraestructura y equipamiento vial, alumbrado público y de todos aquellos elementos que determi- nan el funcionamiento e imagen urbana de las vialidades en el Municipio;</w:t>
      </w:r>
    </w:p>
    <w:p w14:paraId="6CB7C495" w14:textId="77777777"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p>
    <w:p w14:paraId="698932FD" w14:textId="5F26B5D2"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sidRPr="009D3347">
        <w:rPr>
          <w:rFonts w:ascii="Palatino Linotype" w:eastAsia="Calibri" w:hAnsi="Palatino Linotype"/>
          <w:i/>
          <w:lang w:eastAsia="en-US"/>
        </w:rPr>
        <w:t>II. Establecer los criterios y normas técnicas para realizar obras de alumbrado público que formen parte de la infraestructu- ra y equipamiento de la imagen urbana;</w:t>
      </w:r>
    </w:p>
    <w:p w14:paraId="198AF2EA" w14:textId="26B79ABB"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Pr>
          <w:rFonts w:ascii="Palatino Linotype" w:eastAsia="Calibri" w:hAnsi="Palatino Linotype"/>
          <w:i/>
          <w:lang w:eastAsia="en-US"/>
        </w:rPr>
        <w:lastRenderedPageBreak/>
        <w:t>(…)</w:t>
      </w:r>
    </w:p>
    <w:p w14:paraId="2C353FA3" w14:textId="77777777"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p>
    <w:p w14:paraId="10EC7B95" w14:textId="77777777" w:rsidR="009D3347" w:rsidRPr="009D3347" w:rsidRDefault="009D3347" w:rsidP="00544C09">
      <w:pPr>
        <w:tabs>
          <w:tab w:val="left" w:pos="142"/>
          <w:tab w:val="left" w:pos="284"/>
          <w:tab w:val="left" w:pos="426"/>
        </w:tabs>
        <w:spacing w:before="240" w:after="240" w:line="360" w:lineRule="auto"/>
        <w:ind w:left="567" w:right="567"/>
        <w:contextualSpacing/>
        <w:jc w:val="both"/>
        <w:rPr>
          <w:rFonts w:ascii="Palatino Linotype" w:hAnsi="Palatino Linotype"/>
          <w:i/>
        </w:rPr>
      </w:pPr>
      <w:r w:rsidRPr="009D3347">
        <w:rPr>
          <w:rFonts w:ascii="Palatino Linotype" w:hAnsi="Palatino Linotype"/>
          <w:i/>
        </w:rPr>
        <w:t xml:space="preserve">IV. Realizar las acciones de conservación y mantenimiento de vialidades, alumbrado públi- co y de todos aquellos elementos que determinan la funcionalidad e imagen urbana de las vialidades; </w:t>
      </w:r>
    </w:p>
    <w:p w14:paraId="4FCAA553" w14:textId="77777777" w:rsidR="009D3347" w:rsidRPr="009D3347" w:rsidRDefault="009D3347" w:rsidP="00544C09">
      <w:pPr>
        <w:tabs>
          <w:tab w:val="left" w:pos="142"/>
          <w:tab w:val="left" w:pos="284"/>
          <w:tab w:val="left" w:pos="426"/>
        </w:tabs>
        <w:spacing w:before="240" w:after="240" w:line="360" w:lineRule="auto"/>
        <w:ind w:left="567" w:right="567"/>
        <w:contextualSpacing/>
        <w:jc w:val="both"/>
        <w:rPr>
          <w:rFonts w:ascii="Palatino Linotype" w:hAnsi="Palatino Linotype"/>
          <w:i/>
        </w:rPr>
      </w:pPr>
    </w:p>
    <w:p w14:paraId="20711B38" w14:textId="5B4DB94D"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hAnsi="Palatino Linotype"/>
          <w:i/>
        </w:rPr>
      </w:pPr>
      <w:r w:rsidRPr="009D3347">
        <w:rPr>
          <w:rFonts w:ascii="Palatino Linotype" w:hAnsi="Palatino Linotype"/>
          <w:i/>
        </w:rPr>
        <w:t>V. Realizar en coordinación con la Dirección de Obras Públicas y Desarrollo Urbano, las acciones de conservación y mantenimiento vial, alumbrado público y de todos aquellos elementos que determi- nan el funcionamiento y la imagen urbana de las vialidades principa- les;</w:t>
      </w:r>
    </w:p>
    <w:p w14:paraId="19F0B4A1" w14:textId="77777777" w:rsidR="009D3347" w:rsidRDefault="009D3347" w:rsidP="00544C09">
      <w:pPr>
        <w:tabs>
          <w:tab w:val="left" w:pos="142"/>
          <w:tab w:val="left" w:pos="284"/>
          <w:tab w:val="left" w:pos="426"/>
        </w:tabs>
        <w:spacing w:before="240" w:after="240" w:line="360" w:lineRule="auto"/>
        <w:ind w:left="567" w:right="567"/>
        <w:contextualSpacing/>
        <w:jc w:val="both"/>
        <w:rPr>
          <w:rFonts w:ascii="Palatino Linotype" w:hAnsi="Palatino Linotype"/>
          <w:i/>
        </w:rPr>
      </w:pPr>
    </w:p>
    <w:p w14:paraId="424E477A" w14:textId="141481D2" w:rsidR="009D3347" w:rsidRPr="009D3347" w:rsidRDefault="009D3347" w:rsidP="00544C09">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eastAsia="en-US"/>
        </w:rPr>
      </w:pPr>
      <w:r>
        <w:rPr>
          <w:rFonts w:ascii="Palatino Linotype" w:hAnsi="Palatino Linotype"/>
          <w:i/>
        </w:rPr>
        <w:t>(…)” (Sic)</w:t>
      </w:r>
    </w:p>
    <w:p w14:paraId="61D2E27A"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2288F3A3" w14:textId="2E443426" w:rsidR="009D3347" w:rsidRPr="009D3347" w:rsidRDefault="00B92A80" w:rsidP="009D3347">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De tal manera que el alumbrado público es considerado por e</w:t>
      </w:r>
      <w:r w:rsidR="009D3347">
        <w:rPr>
          <w:rFonts w:ascii="Palatino Linotype" w:eastAsia="MS Gothic" w:hAnsi="Palatino Linotype"/>
          <w:lang w:val="es-MX" w:eastAsia="en-US"/>
        </w:rPr>
        <w:t>l Ayuntamiento de Naucalpan de Nextlalpan</w:t>
      </w:r>
      <w:r w:rsidRPr="00BC16BD">
        <w:rPr>
          <w:rFonts w:ascii="Palatino Linotype" w:eastAsia="MS Gothic" w:hAnsi="Palatino Linotype"/>
          <w:lang w:val="es-MX" w:eastAsia="en-US"/>
        </w:rPr>
        <w:t xml:space="preserve"> como uno de los servicios públicos de los que debe encargarse de explotar, conservar y administrar</w:t>
      </w:r>
      <w:r w:rsidR="00B1531D" w:rsidRPr="00BC16BD">
        <w:rPr>
          <w:rFonts w:ascii="Palatino Linotype" w:eastAsia="MS Gothic" w:hAnsi="Palatino Linotype"/>
          <w:lang w:val="es-MX" w:eastAsia="en-US"/>
        </w:rPr>
        <w:t>. Mismo que estará a cargo del Gobierno Municipal</w:t>
      </w:r>
      <w:r w:rsidR="009D3347">
        <w:rPr>
          <w:rFonts w:ascii="Palatino Linotype" w:eastAsia="MS Gothic" w:hAnsi="Palatino Linotype"/>
          <w:lang w:val="es-MX" w:eastAsia="en-US"/>
        </w:rPr>
        <w:t xml:space="preserve"> a través de la Dirección de Servicios Públicos</w:t>
      </w:r>
      <w:r w:rsidRPr="00BC16BD">
        <w:rPr>
          <w:rFonts w:ascii="Palatino Linotype" w:eastAsia="MS Gothic" w:hAnsi="Palatino Linotype"/>
          <w:lang w:val="es-MX" w:eastAsia="en-US"/>
        </w:rPr>
        <w:t xml:space="preserve"> la cual, de conformidad con </w:t>
      </w:r>
      <w:r w:rsidRPr="009D3347">
        <w:rPr>
          <w:rFonts w:ascii="Palatino Linotype" w:eastAsia="MS Gothic" w:hAnsi="Palatino Linotype"/>
          <w:lang w:val="es-MX" w:eastAsia="en-US"/>
        </w:rPr>
        <w:t xml:space="preserve">el </w:t>
      </w:r>
      <w:r w:rsidR="009D3347" w:rsidRPr="009D3347">
        <w:rPr>
          <w:rFonts w:ascii="Palatino Linotype" w:eastAsia="MS Gothic" w:hAnsi="Palatino Linotype"/>
          <w:lang w:val="es-MX" w:eastAsia="en-US"/>
        </w:rPr>
        <w:t>Bando Municipal de Nextlalpan</w:t>
      </w:r>
      <w:r w:rsidR="00B1531D" w:rsidRPr="009D3347">
        <w:rPr>
          <w:rStyle w:val="Refdenotaalpie"/>
          <w:rFonts w:ascii="Palatino Linotype" w:eastAsia="MS Gothic" w:hAnsi="Palatino Linotype"/>
          <w:lang w:val="es-MX" w:eastAsia="en-US"/>
        </w:rPr>
        <w:footnoteReference w:id="8"/>
      </w:r>
      <w:r w:rsidRPr="009D3347">
        <w:rPr>
          <w:rFonts w:ascii="Palatino Linotype" w:eastAsia="MS Gothic" w:hAnsi="Palatino Linotype"/>
          <w:lang w:val="es-MX" w:eastAsia="en-US"/>
        </w:rPr>
        <w:t xml:space="preserve">, tendrá a su cargo, prestar los servicios públicos municipales </w:t>
      </w:r>
      <w:r w:rsidR="009D3347" w:rsidRPr="009D3347">
        <w:rPr>
          <w:rFonts w:ascii="Palatino Linotype" w:hAnsi="Palatino Linotype"/>
        </w:rPr>
        <w:t>de alumbrado.</w:t>
      </w:r>
    </w:p>
    <w:p w14:paraId="0F9E4310" w14:textId="77777777" w:rsidR="00627D79" w:rsidRPr="00BC16BD" w:rsidRDefault="00627D79"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62FB2ED9" w14:textId="0573959C" w:rsidR="00B92A80" w:rsidRPr="00BC16BD" w:rsidRDefault="009D3347"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Pr>
          <w:rFonts w:ascii="Palatino Linotype" w:eastAsia="MS Gothic" w:hAnsi="Palatino Linotype"/>
          <w:lang w:val="es-MX" w:eastAsia="en-US"/>
        </w:rPr>
        <w:lastRenderedPageBreak/>
        <w:t>Posteriormente</w:t>
      </w:r>
      <w:r w:rsidR="00B92A80" w:rsidRPr="00BC16BD">
        <w:rPr>
          <w:rFonts w:ascii="Palatino Linotype" w:eastAsia="MS Gothic" w:hAnsi="Palatino Linotype"/>
          <w:lang w:val="es-MX" w:eastAsia="en-US"/>
        </w:rPr>
        <w:t>, si analizamos el contenido del Presupuesto Basado en Resultados Municipal</w:t>
      </w:r>
      <w:r w:rsidR="00627D79" w:rsidRPr="00BC16BD">
        <w:rPr>
          <w:rFonts w:ascii="Palatino Linotype" w:eastAsia="MS Gothic" w:hAnsi="Palatino Linotype"/>
          <w:lang w:val="es-MX" w:eastAsia="en-US"/>
        </w:rPr>
        <w:t xml:space="preserve"> de los años 2018, 2019, 2020 y 2021</w:t>
      </w:r>
      <w:r w:rsidR="00B92A80" w:rsidRPr="00BC16BD">
        <w:rPr>
          <w:rFonts w:ascii="Palatino Linotype" w:eastAsia="MS Gothic" w:hAnsi="Palatino Linotype"/>
          <w:lang w:val="es-MX" w:eastAsia="en-US"/>
        </w:rPr>
        <w:t xml:space="preserve">, destaca que el Derecho al Alumbrado Público se encuentra considerado como </w:t>
      </w:r>
      <w:r w:rsidR="00627D79" w:rsidRPr="00BC16BD">
        <w:rPr>
          <w:rFonts w:ascii="Palatino Linotype" w:eastAsia="MS Gothic" w:hAnsi="Palatino Linotype"/>
          <w:lang w:val="es-MX" w:eastAsia="en-US"/>
        </w:rPr>
        <w:t>una partida presupuestal</w:t>
      </w:r>
      <w:r w:rsidR="00B92A80" w:rsidRPr="00BC16BD">
        <w:rPr>
          <w:rFonts w:ascii="Palatino Linotype" w:eastAsia="MS Gothic" w:hAnsi="Palatino Linotype"/>
          <w:lang w:val="es-MX" w:eastAsia="en-US"/>
        </w:rPr>
        <w:t>, como</w:t>
      </w:r>
      <w:r w:rsidR="00627D79" w:rsidRPr="00BC16BD">
        <w:rPr>
          <w:rFonts w:ascii="Palatino Linotype" w:eastAsia="MS Gothic" w:hAnsi="Palatino Linotype"/>
          <w:lang w:val="es-MX" w:eastAsia="en-US"/>
        </w:rPr>
        <w:t xml:space="preserve"> se</w:t>
      </w:r>
      <w:r w:rsidR="00B92A80" w:rsidRPr="00BC16BD">
        <w:rPr>
          <w:rFonts w:ascii="Palatino Linotype" w:eastAsia="MS Gothic" w:hAnsi="Palatino Linotype"/>
          <w:lang w:val="es-MX" w:eastAsia="en-US"/>
        </w:rPr>
        <w:t xml:space="preserve"> muestra a continuación el siguiente fragmento del formato de mérito:</w:t>
      </w:r>
    </w:p>
    <w:p w14:paraId="594134AA"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58E44EF" w14:textId="52855041" w:rsidR="00B92A80" w:rsidRPr="00BC16BD" w:rsidRDefault="00627D79" w:rsidP="00BC16BD">
      <w:pPr>
        <w:tabs>
          <w:tab w:val="left" w:pos="142"/>
          <w:tab w:val="left" w:pos="284"/>
          <w:tab w:val="left" w:pos="426"/>
        </w:tabs>
        <w:spacing w:before="240" w:after="240" w:line="360" w:lineRule="auto"/>
        <w:contextualSpacing/>
        <w:jc w:val="center"/>
        <w:rPr>
          <w:rFonts w:ascii="Palatino Linotype" w:eastAsia="MS Gothic" w:hAnsi="Palatino Linotype"/>
          <w:b/>
          <w:lang w:val="es-MX" w:eastAsia="en-US"/>
        </w:rPr>
      </w:pPr>
      <w:r w:rsidRPr="00BC16BD">
        <w:rPr>
          <w:rFonts w:ascii="Palatino Linotype" w:hAnsi="Palatino Linotype"/>
          <w:noProof/>
          <w:lang w:val="en-US" w:eastAsia="en-US"/>
        </w:rPr>
        <mc:AlternateContent>
          <mc:Choice Requires="wps">
            <w:drawing>
              <wp:anchor distT="0" distB="0" distL="114300" distR="114300" simplePos="0" relativeHeight="251659264" behindDoc="0" locked="0" layoutInCell="1" allowOverlap="1" wp14:anchorId="5F64B6E3" wp14:editId="6B270D43">
                <wp:simplePos x="0" y="0"/>
                <wp:positionH relativeFrom="column">
                  <wp:posOffset>1663065</wp:posOffset>
                </wp:positionH>
                <wp:positionV relativeFrom="paragraph">
                  <wp:posOffset>784860</wp:posOffset>
                </wp:positionV>
                <wp:extent cx="885825" cy="381000"/>
                <wp:effectExtent l="57150" t="19050" r="85725" b="95250"/>
                <wp:wrapNone/>
                <wp:docPr id="2" name="Rectángulo 2"/>
                <wp:cNvGraphicFramePr/>
                <a:graphic xmlns:a="http://schemas.openxmlformats.org/drawingml/2006/main">
                  <a:graphicData uri="http://schemas.microsoft.com/office/word/2010/wordprocessingShape">
                    <wps:wsp>
                      <wps:cNvSpPr/>
                      <wps:spPr>
                        <a:xfrm>
                          <a:off x="0" y="0"/>
                          <a:ext cx="885825" cy="381000"/>
                        </a:xfrm>
                        <a:prstGeom prst="rect">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A2C904" id="Rectángulo 2" o:spid="_x0000_s1026" style="position:absolute;margin-left:130.95pt;margin-top:61.8pt;width:69.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" filled="f" strokecolor="#c0504d [3205]">
                <v:shadow on="t" color="black" opacity="22937f" origin=",.5" offset="0,.63889mm"/>
              </v:rect>
            </w:pict>
          </mc:Fallback>
        </mc:AlternateContent>
      </w:r>
      <w:r w:rsidRPr="00BC16BD">
        <w:rPr>
          <w:rFonts w:ascii="Palatino Linotype" w:hAnsi="Palatino Linotype"/>
          <w:noProof/>
          <w:lang w:val="en-US" w:eastAsia="en-US"/>
        </w:rPr>
        <w:drawing>
          <wp:inline distT="0" distB="0" distL="0" distR="0" wp14:anchorId="697C6AD5" wp14:editId="12A38E99">
            <wp:extent cx="5540131" cy="15144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899" t="26252" r="14460" b="38443"/>
                    <a:stretch/>
                  </pic:blipFill>
                  <pic:spPr bwMode="auto">
                    <a:xfrm>
                      <a:off x="0" y="0"/>
                      <a:ext cx="5542446" cy="1515108"/>
                    </a:xfrm>
                    <a:prstGeom prst="rect">
                      <a:avLst/>
                    </a:prstGeom>
                    <a:ln>
                      <a:noFill/>
                    </a:ln>
                    <a:extLst>
                      <a:ext uri="{53640926-AAD7-44D8-BBD7-CCE9431645EC}">
                        <a14:shadowObscured xmlns:a14="http://schemas.microsoft.com/office/drawing/2010/main"/>
                      </a:ext>
                    </a:extLst>
                  </pic:spPr>
                </pic:pic>
              </a:graphicData>
            </a:graphic>
          </wp:inline>
        </w:drawing>
      </w:r>
    </w:p>
    <w:p w14:paraId="2DF7633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06A6C98B" w14:textId="4A5FB37D"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Habiendo demostrado entonces la existencia del ingreso a las arcas municipales por el concepto del servicio de alumbrado público, conviene referir que la Ley Orgánica Municipal del Estado de México, refiere que la Tesorería Municipal es el órgano encargado de la recaudación de los ingresos municipales y responsable de realizar las erogaciones que haga el </w:t>
      </w:r>
      <w:r w:rsidRPr="00BC16BD">
        <w:rPr>
          <w:rFonts w:ascii="Palatino Linotype" w:eastAsia="MS Gothic" w:hAnsi="Palatino Linotype"/>
          <w:b/>
          <w:lang w:val="es-MX" w:eastAsia="en-US"/>
        </w:rPr>
        <w:t>SUJETO OBLIGADO</w:t>
      </w:r>
      <w:r w:rsidRPr="00BC16BD">
        <w:rPr>
          <w:rFonts w:ascii="Palatino Linotype" w:eastAsia="MS Gothic" w:hAnsi="Palatino Linotype"/>
          <w:b/>
          <w:vertAlign w:val="superscript"/>
          <w:lang w:val="es-MX" w:eastAsia="en-US"/>
        </w:rPr>
        <w:footnoteReference w:id="9"/>
      </w:r>
      <w:r w:rsidRPr="00BC16BD">
        <w:rPr>
          <w:rFonts w:ascii="Palatino Linotype" w:eastAsia="MS Gothic" w:hAnsi="Palatino Linotype"/>
          <w:lang w:val="es-MX" w:eastAsia="en-US"/>
        </w:rPr>
        <w:t xml:space="preserve"> y, de acuerdo con el numeral 95, su Titular tendrá las siguientes atribuciones:</w:t>
      </w:r>
    </w:p>
    <w:p w14:paraId="5475A6F7" w14:textId="77777777" w:rsidR="00627D79" w:rsidRPr="00BC16BD" w:rsidRDefault="00627D79"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478E9DAE"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4544014A"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Artículo 95.-</w:t>
      </w:r>
      <w:r w:rsidRPr="00BC16BD">
        <w:rPr>
          <w:rFonts w:ascii="Palatino Linotype" w:eastAsia="Calibri" w:hAnsi="Palatino Linotype"/>
          <w:i/>
          <w:lang w:val="es-MX" w:eastAsia="en-US"/>
        </w:rPr>
        <w:t xml:space="preserve"> Son atribuciones del tesorero municipal: </w:t>
      </w:r>
    </w:p>
    <w:p w14:paraId="5CF24EFF"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w:t>
      </w:r>
      <w:r w:rsidRPr="00BC16BD">
        <w:rPr>
          <w:rFonts w:ascii="Palatino Linotype" w:eastAsia="Calibri" w:hAnsi="Palatino Linotype"/>
          <w:i/>
          <w:lang w:val="es-MX" w:eastAsia="en-US"/>
        </w:rPr>
        <w:t xml:space="preserve"> Administrar la hacienda pública municipal, de conformidad con las disposiciones legales aplicables; </w:t>
      </w:r>
    </w:p>
    <w:p w14:paraId="56CD61A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lastRenderedPageBreak/>
        <w:t>II.</w:t>
      </w:r>
      <w:r w:rsidRPr="00BC16BD">
        <w:rPr>
          <w:rFonts w:ascii="Palatino Linotype" w:eastAsia="Calibri" w:hAnsi="Palatino Linotype"/>
          <w:i/>
          <w:lang w:val="es-MX" w:eastAsia="en-US"/>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2029304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672D9BA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IV.</w:t>
      </w:r>
      <w:r w:rsidRPr="00BC16BD">
        <w:rPr>
          <w:rFonts w:ascii="Palatino Linotype" w:eastAsia="Calibri" w:hAnsi="Palatino Linotype"/>
          <w:i/>
          <w:lang w:val="es-MX" w:eastAsia="en-US"/>
        </w:rPr>
        <w:t xml:space="preserve"> Llevar los registros contables, financieros y administrativos de los ingresos, egresos, e inventarios; </w:t>
      </w:r>
    </w:p>
    <w:p w14:paraId="5BB97F01"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V.</w:t>
      </w:r>
      <w:r w:rsidRPr="00BC16BD">
        <w:rPr>
          <w:rFonts w:ascii="Palatino Linotype" w:eastAsia="Calibri" w:hAnsi="Palatino Linotype"/>
          <w:i/>
          <w:lang w:val="es-MX" w:eastAsia="en-US"/>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764A36A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VI.</w:t>
      </w:r>
      <w:r w:rsidRPr="00BC16BD">
        <w:rPr>
          <w:rFonts w:ascii="Palatino Linotype" w:eastAsia="Calibri" w:hAnsi="Palatino Linotype"/>
          <w:i/>
          <w:lang w:val="es-MX" w:eastAsia="en-US"/>
        </w:rPr>
        <w:t xml:space="preserve"> Presentar anualmente al ayuntamiento un informe de la situación contable financiera de la Tesorería Municipal;</w:t>
      </w:r>
    </w:p>
    <w:p w14:paraId="1820B1F1"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3957206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XIX.</w:t>
      </w:r>
      <w:r w:rsidRPr="00BC16BD">
        <w:rPr>
          <w:rFonts w:ascii="Palatino Linotype" w:eastAsia="Calibri" w:hAnsi="Palatino Linotype"/>
          <w:i/>
          <w:lang w:val="es-MX" w:eastAsia="en-US"/>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5E83C013"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7F6C87D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i/>
          <w:lang w:val="es-MX" w:eastAsia="en-US"/>
        </w:rPr>
      </w:pPr>
      <w:r w:rsidRPr="00BC16BD">
        <w:rPr>
          <w:rFonts w:ascii="Palatino Linotype" w:eastAsia="Calibri" w:hAnsi="Palatino Linotype"/>
          <w:b/>
          <w:i/>
          <w:lang w:val="es-MX" w:eastAsia="en-US"/>
        </w:rPr>
        <w:t>XXI.</w:t>
      </w:r>
      <w:r w:rsidRPr="00BC16BD">
        <w:rPr>
          <w:rFonts w:ascii="Palatino Linotype" w:eastAsia="Calibri" w:hAnsi="Palatino Linotype"/>
          <w:i/>
          <w:lang w:val="es-MX" w:eastAsia="en-US"/>
        </w:rPr>
        <w:t xml:space="preserve"> Entregar oportunamente a él o los Síndicos, según sea el caso, el informe mensual que corresponda, a fin de que se revise, y de ser necesario, para que se formulen las observaciones respectivas.”</w:t>
      </w:r>
    </w:p>
    <w:p w14:paraId="01A5503B"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E038F39" w14:textId="18F103DC"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De tal manera que toda información referente a la recaudación, fiscalización e ingresos recibidos por el municipio, como es el caso del Derecho al Alumbrado Público, cobrado por la Comisión Federal de Electricidad mediante los recibos de pago mensuales a los usuarios del servicio de energía eléctrica, deberá estar bajo el control, administración y resguardo de la T</w:t>
      </w:r>
      <w:r w:rsidR="005C59A8" w:rsidRPr="00BC16BD">
        <w:rPr>
          <w:rFonts w:ascii="Palatino Linotype" w:eastAsia="MS Gothic" w:hAnsi="Palatino Linotype"/>
          <w:lang w:val="es-MX" w:eastAsia="en-US"/>
        </w:rPr>
        <w:t xml:space="preserve">esorería Municipal. </w:t>
      </w:r>
    </w:p>
    <w:p w14:paraId="712DD32E" w14:textId="77777777" w:rsidR="005C59A8" w:rsidRPr="00BC16BD" w:rsidRDefault="005C59A8"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1DD70B0E" w14:textId="573179EC" w:rsidR="005C59A8" w:rsidRPr="00BC16BD" w:rsidRDefault="005C59A8"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En ese sentido y dado que el particular solicita información financiera en relación a la facturación por concepto de pago de Alumbrado Público </w:t>
      </w:r>
      <w:r w:rsidRPr="00BC16BD">
        <w:rPr>
          <w:rFonts w:ascii="Palatino Linotype" w:eastAsia="Calibri" w:hAnsi="Palatino Linotype" w:cs="Arial"/>
          <w:bCs/>
          <w:lang w:val="es-MX" w:eastAsia="en-US"/>
        </w:rPr>
        <w:t>es necesario precisar que la materia elemental de la solicitud de acceso a la información pública, es referente a facturas o pólizas, debemos primeramente conocer a que nos referimos por “factura”, al respecto, nos referiremos a éste concepto aunque sea sucintamente de acuerdo a lo que dispone el Glosario de Términos Hacendarios que emite el Instituto Hacendario del Estado de México, mismo que expresa lo siguiente:</w:t>
      </w:r>
    </w:p>
    <w:p w14:paraId="5DCFD78C"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098D104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“FACTURA</w:t>
      </w:r>
    </w:p>
    <w:p w14:paraId="03B6DF72"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Es el documento fiscal que emite la persona física o moral para comprobar la venta o adquisición de un bien y/o servicio.” (Sic)</w:t>
      </w:r>
    </w:p>
    <w:p w14:paraId="19A6D5DC"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30670A4D" w14:textId="5BD440D6"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Una vez precisado lo anterior, se procede a analizar si las facturas solicitadas son de acceso público; por lo que, es de señalarse que las facturas o comprobantes que amparan las erogaciones que se realizan con erario público tienen naturaleza </w:t>
      </w:r>
      <w:r w:rsidRPr="00BC16BD">
        <w:rPr>
          <w:rFonts w:ascii="Palatino Linotype" w:eastAsia="Calibri" w:hAnsi="Palatino Linotype" w:cs="Arial"/>
          <w:bCs/>
          <w:lang w:val="es-MX" w:eastAsia="en-US"/>
        </w:rPr>
        <w:lastRenderedPageBreak/>
        <w:t>análoga pues, constituyen los medios idóneos de evidencia del gasto realizado con recursos públicos.</w:t>
      </w:r>
    </w:p>
    <w:p w14:paraId="7C02FA58" w14:textId="6BC3E933"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 como se señaló anteriormente.</w:t>
      </w:r>
    </w:p>
    <w:p w14:paraId="194B0206"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Como se ha dicho anteriormente, es atribución del Tesorero Municipal la de llevar los registros contables, financieros y administrativos de los ingresos, egresos e inventarios.</w:t>
      </w:r>
    </w:p>
    <w:p w14:paraId="6D9963FD"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09DC983"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lang w:val="es-MX" w:eastAsia="en-US"/>
        </w:rPr>
      </w:pPr>
    </w:p>
    <w:p w14:paraId="30486FF2"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r w:rsidRPr="00BC16BD">
        <w:rPr>
          <w:rFonts w:ascii="Palatino Linotype" w:eastAsia="Calibri" w:hAnsi="Palatino Linotype" w:cs="Arial"/>
          <w:b/>
          <w:bCs/>
          <w:i/>
          <w:lang w:val="es-MX" w:eastAsia="en-US"/>
        </w:rPr>
        <w:t>Artículo 342.-</w:t>
      </w:r>
      <w:r w:rsidRPr="00BC16BD">
        <w:rPr>
          <w:rFonts w:ascii="Palatino Linotype" w:eastAsia="Calibri" w:hAnsi="Palatino Linotype" w:cs="Arial"/>
          <w:bCs/>
          <w:i/>
          <w:lang w:val="es-MX"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5FB6A15"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p>
    <w:p w14:paraId="7921994B"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lastRenderedPageBreak/>
        <w:t xml:space="preserve">Artículo 343.-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902C125" w14:textId="18DA016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El sistema de contabilidad sobre base acumulativa total se sustentará en los postulados básicos y el marco conceptual de la contabilidad gubernamental. </w:t>
      </w:r>
    </w:p>
    <w:p w14:paraId="7E747B9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19B85553"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
          <w:bCs/>
          <w:i/>
          <w:lang w:val="es-MX" w:eastAsia="en-US"/>
        </w:rPr>
        <w:t>Artículo 344</w:t>
      </w:r>
      <w:r w:rsidRPr="00BC16BD">
        <w:rPr>
          <w:rFonts w:ascii="Palatino Linotype" w:eastAsia="Calibri" w:hAnsi="Palatino Linotype" w:cs="Arial"/>
          <w:bCs/>
          <w:i/>
          <w:lang w:val="es-MX"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4FAE236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Derogado. </w:t>
      </w:r>
    </w:p>
    <w:p w14:paraId="6691D101"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30C0D5A"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p>
    <w:p w14:paraId="0068DE16" w14:textId="53854540"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
          <w:bCs/>
          <w:i/>
          <w:lang w:val="es-MX" w:eastAsia="en-US"/>
        </w:rPr>
        <w:lastRenderedPageBreak/>
        <w:t>Artículo 345</w:t>
      </w:r>
      <w:r w:rsidRPr="00BC16BD">
        <w:rPr>
          <w:rFonts w:ascii="Palatino Linotype" w:eastAsia="Calibri" w:hAnsi="Palatino Linotype" w:cs="Arial"/>
          <w:bCs/>
          <w:i/>
          <w:lang w:val="es-MX"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3ABE944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521CA1C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El plazo señalado en el párrafo anterior, empezará a contar a partir de la publicación en el Periódico Oficial, del decreto correspondiente. “(Sic) </w:t>
      </w:r>
    </w:p>
    <w:p w14:paraId="28FC0D20" w14:textId="09695499"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89057B8" w14:textId="77777777" w:rsidR="005C59A8" w:rsidRPr="00BC16BD" w:rsidRDefault="005C59A8" w:rsidP="00694F4C">
      <w:pPr>
        <w:pStyle w:val="Prrafodelista"/>
        <w:numPr>
          <w:ilvl w:val="0"/>
          <w:numId w:val="5"/>
        </w:numPr>
        <w:spacing w:after="160" w:line="360" w:lineRule="auto"/>
        <w:ind w:left="0" w:hanging="11"/>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w:t>
      </w:r>
      <w:r w:rsidRPr="00BC16BD">
        <w:rPr>
          <w:rFonts w:ascii="Palatino Linotype" w:eastAsia="Calibri" w:hAnsi="Palatino Linotype" w:cs="Arial"/>
          <w:bCs/>
          <w:lang w:val="es-MX" w:eastAsia="en-US"/>
        </w:rPr>
        <w:lastRenderedPageBreak/>
        <w:t xml:space="preserve">Contable y Presupuestal de la Comisión Permanente de Funcionarios Fiscales del Instituto para el Desarrollo Técnico de las Haciendas Públicas (INDETEC) señalan las siguientes definiciones de las palabras registro contable y registro presupuestario: </w:t>
      </w:r>
    </w:p>
    <w:p w14:paraId="0482188C"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0DF45927"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 xml:space="preserve">“REGISTRO CONTABLE </w:t>
      </w:r>
    </w:p>
    <w:p w14:paraId="720CD9A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Asiento que se realiza en los libros de contabilidad de las actividades relacionadas con el ingreso y egresos de un ente económico.” (Sic)</w:t>
      </w:r>
    </w:p>
    <w:p w14:paraId="720797A3"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285147AB"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“REGISTRO PRESUPUESTARIO</w:t>
      </w:r>
    </w:p>
    <w:p w14:paraId="513743E9"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Asiento contable de las erogaciones realizadas por las dependencias y entidades con relación a la asignación, modificación y ejercicio de los recursos presupuestarios que se les hayan autorizado.” (Sic)</w:t>
      </w:r>
    </w:p>
    <w:p w14:paraId="503524D9"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21D3858E"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Por otra parte, se establece que el sistema de contabilidad sobre base acumulativa total se sustentará en los principios de contabilidad gubernamental.</w:t>
      </w:r>
    </w:p>
    <w:p w14:paraId="4AB76191"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7826CE5D"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3C7CC10" w14:textId="77777777" w:rsidR="005C59A8" w:rsidRPr="00BC16BD" w:rsidRDefault="005C59A8" w:rsidP="00BC16BD">
      <w:pPr>
        <w:pStyle w:val="Prrafodelista"/>
        <w:spacing w:line="360" w:lineRule="auto"/>
        <w:rPr>
          <w:rFonts w:ascii="Palatino Linotype" w:eastAsia="Calibri" w:hAnsi="Palatino Linotype" w:cs="Arial"/>
          <w:bCs/>
          <w:lang w:val="es-MX" w:eastAsia="en-US"/>
        </w:rPr>
      </w:pPr>
    </w:p>
    <w:p w14:paraId="22EC221C"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Correlativo a lo anterior, es preciso referir una definición de póliza contable, la cual, primeramente, no está definida en el Código Financiero del Estado de México y Municipios; no obstante, los ya mencionados Glosarios la definen como: </w:t>
      </w:r>
    </w:p>
    <w:p w14:paraId="57E54AA9"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126E21F8"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“PÓLIZA CONTABLE</w:t>
      </w:r>
    </w:p>
    <w:p w14:paraId="2619E224"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Documento en el cual se asientan en forma individual todas y cada una de las operaciones desarrolladas por una institución, así como la información necesaria para la identificación de dichas operaciones.” (sic)</w:t>
      </w:r>
    </w:p>
    <w:p w14:paraId="4A0537A6"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4534BA77"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2E234EF"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0B15762A" w14:textId="65D92D58"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la </w:t>
      </w:r>
      <w:r w:rsidR="00694F4C" w:rsidRPr="00BC16BD">
        <w:rPr>
          <w:rFonts w:ascii="Palatino Linotype" w:eastAsia="Calibri" w:hAnsi="Palatino Linotype" w:cs="Arial"/>
          <w:bCs/>
          <w:lang w:val="es-MX" w:eastAsia="en-US"/>
        </w:rPr>
        <w:t>cual,</w:t>
      </w:r>
      <w:r w:rsidRPr="00BC16BD">
        <w:rPr>
          <w:rFonts w:ascii="Palatino Linotype" w:eastAsia="Calibri" w:hAnsi="Palatino Linotype" w:cs="Arial"/>
          <w:bCs/>
          <w:lang w:val="es-MX" w:eastAsia="en-US"/>
        </w:rPr>
        <w:t xml:space="preserve"> además, debe encontrarse acompañada de las documentales que sirven de soporte de dicho movimiento. </w:t>
      </w:r>
    </w:p>
    <w:p w14:paraId="5162EBB8" w14:textId="77777777" w:rsidR="005C59A8" w:rsidRPr="00BC16BD" w:rsidRDefault="005C59A8" w:rsidP="00BC16BD">
      <w:pPr>
        <w:pStyle w:val="Prrafodelista"/>
        <w:spacing w:line="360" w:lineRule="auto"/>
        <w:rPr>
          <w:rFonts w:ascii="Palatino Linotype" w:eastAsia="Calibri" w:hAnsi="Palatino Linotype" w:cs="Arial"/>
          <w:bCs/>
          <w:lang w:val="es-MX" w:eastAsia="en-US"/>
        </w:rPr>
      </w:pPr>
    </w:p>
    <w:p w14:paraId="3F775D6D" w14:textId="4B62257D" w:rsidR="005C59A8" w:rsidRPr="00694F4C"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lastRenderedPageBreak/>
        <w:t xml:space="preserve">En este sentido, los Lineamientos para la Integración del Informe Mensual emitidos por el Órgano Superior de Fiscalización del Estado de México y </w:t>
      </w:r>
      <w:r w:rsidR="00BC16BD" w:rsidRPr="00BC16BD">
        <w:rPr>
          <w:rFonts w:ascii="Palatino Linotype" w:eastAsia="Calibri" w:hAnsi="Palatino Linotype" w:cs="Arial"/>
          <w:bCs/>
          <w:lang w:val="es-MX" w:eastAsia="en-US"/>
        </w:rPr>
        <w:t>la Capacitación; Integración del Informe Trimestral de los Sujetos de  Fiscalización Municipales para el Ejercicio 2021</w:t>
      </w:r>
      <w:r w:rsidRPr="00BC16BD">
        <w:rPr>
          <w:rFonts w:ascii="Palatino Linotype" w:eastAsia="Calibri" w:hAnsi="Palatino Linotype" w:cs="Arial"/>
          <w:bCs/>
          <w:lang w:val="es-MX" w:eastAsia="en-US"/>
        </w:rPr>
        <w:t>, contienen los formatos e información que debe ser proporcionada para la integración de los informes mensuales</w:t>
      </w:r>
      <w:r w:rsidR="00BC16BD" w:rsidRPr="00BC16BD">
        <w:rPr>
          <w:rFonts w:ascii="Palatino Linotype" w:eastAsia="Calibri" w:hAnsi="Palatino Linotype" w:cs="Arial"/>
          <w:bCs/>
          <w:lang w:val="es-MX" w:eastAsia="en-US"/>
        </w:rPr>
        <w:t xml:space="preserve">, </w:t>
      </w:r>
      <w:r w:rsidRPr="00BC16BD">
        <w:rPr>
          <w:rFonts w:ascii="Palatino Linotype" w:eastAsia="Calibri" w:hAnsi="Palatino Linotype" w:cs="Arial"/>
          <w:bCs/>
          <w:lang w:val="es-MX" w:eastAsia="en-US"/>
        </w:rPr>
        <w:t>siendo uno de ellos la información relativa a las Pólizas de Ingresos con los documentos, Pólizas de Diario con</w:t>
      </w:r>
      <w:r w:rsidR="00BC16BD" w:rsidRPr="00BC16BD">
        <w:rPr>
          <w:rFonts w:ascii="Palatino Linotype" w:eastAsia="Calibri" w:hAnsi="Palatino Linotype" w:cs="Arial"/>
          <w:bCs/>
          <w:lang w:val="es-MX" w:eastAsia="en-US"/>
        </w:rPr>
        <w:t xml:space="preserve"> los documentos comprobatorios</w:t>
      </w:r>
      <w:r w:rsidRPr="00BC16BD">
        <w:rPr>
          <w:rFonts w:ascii="Palatino Linotype" w:eastAsia="Calibri" w:hAnsi="Palatino Linotype" w:cs="Arial"/>
          <w:bCs/>
          <w:lang w:val="es-MX" w:eastAsia="en-US"/>
        </w:rPr>
        <w:t xml:space="preserve">, dichos formatos constituyen un soporte documental de que la información solicitada por el hoy </w:t>
      </w:r>
      <w:r w:rsidRPr="00BC16BD">
        <w:rPr>
          <w:rFonts w:ascii="Palatino Linotype" w:eastAsia="Calibri" w:hAnsi="Palatino Linotype" w:cs="Arial"/>
          <w:b/>
          <w:bCs/>
          <w:lang w:val="es-MX" w:eastAsia="en-US"/>
        </w:rPr>
        <w:t xml:space="preserve">RECURRENTE </w:t>
      </w:r>
      <w:r w:rsidRPr="00BC16BD">
        <w:rPr>
          <w:rFonts w:ascii="Palatino Linotype" w:eastAsia="Calibri" w:hAnsi="Palatino Linotype" w:cs="Arial"/>
          <w:bCs/>
          <w:lang w:val="es-MX" w:eastAsia="en-US"/>
        </w:rPr>
        <w:t xml:space="preserve">obra en los archivos del </w:t>
      </w:r>
      <w:r w:rsidR="00BC16BD" w:rsidRPr="00BC16BD">
        <w:rPr>
          <w:rFonts w:ascii="Palatino Linotype" w:eastAsia="Calibri" w:hAnsi="Palatino Linotype" w:cs="Arial"/>
          <w:b/>
          <w:bCs/>
          <w:lang w:val="es-MX" w:eastAsia="en-US"/>
        </w:rPr>
        <w:t>SUJETO OBLIGADO.</w:t>
      </w:r>
    </w:p>
    <w:p w14:paraId="0F4512FE" w14:textId="65B01BD7" w:rsidR="00694F4C" w:rsidRPr="00BC16BD" w:rsidRDefault="00694F4C" w:rsidP="00694F4C">
      <w:pPr>
        <w:pStyle w:val="Prrafodelista"/>
        <w:spacing w:after="160" w:line="360" w:lineRule="auto"/>
        <w:ind w:left="0"/>
        <w:jc w:val="both"/>
        <w:rPr>
          <w:rFonts w:ascii="Palatino Linotype" w:eastAsia="Calibri" w:hAnsi="Palatino Linotype" w:cs="Arial"/>
          <w:bCs/>
          <w:lang w:val="es-MX" w:eastAsia="en-US"/>
        </w:rPr>
      </w:pPr>
    </w:p>
    <w:p w14:paraId="6147F2BE"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Por otro lado, los Lineamientos de Control Financiero y Administrativo para las Entidades Fiscalizables Municipales del Estado de México, en sus numerales 4 y 11 fracción IV, establecen en su literalidad:</w:t>
      </w:r>
    </w:p>
    <w:p w14:paraId="20383C31"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2869DD1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r w:rsidRPr="00BC16BD">
        <w:rPr>
          <w:rFonts w:ascii="Palatino Linotype" w:eastAsia="Calibri" w:hAnsi="Palatino Linotype" w:cs="Arial"/>
          <w:b/>
          <w:bCs/>
          <w:i/>
          <w:lang w:val="es-MX" w:eastAsia="en-US"/>
        </w:rPr>
        <w:t>CUARTO:</w:t>
      </w:r>
      <w:r w:rsidRPr="00BC16BD">
        <w:rPr>
          <w:rFonts w:ascii="Palatino Linotype" w:eastAsia="Calibri" w:hAnsi="Palatino Linotype" w:cs="Arial"/>
          <w:bCs/>
          <w:i/>
          <w:lang w:val="es-MX" w:eastAsia="en-US"/>
        </w:rPr>
        <w:t xml:space="preserve"> Son sujetos de los presentes Lineamientos:</w:t>
      </w:r>
    </w:p>
    <w:p w14:paraId="0054C662"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I. En los Municipios:</w:t>
      </w:r>
    </w:p>
    <w:p w14:paraId="4F4B4217"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a) Presidente;</w:t>
      </w:r>
    </w:p>
    <w:p w14:paraId="153357C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b) Síndico (s);</w:t>
      </w:r>
    </w:p>
    <w:p w14:paraId="6DBC4DD4"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c) Regidores;</w:t>
      </w:r>
    </w:p>
    <w:p w14:paraId="6C02AF9B"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d) Secretario del ayuntamiento;</w:t>
      </w:r>
    </w:p>
    <w:p w14:paraId="3E17B53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e) Tesorero o equivalente;</w:t>
      </w:r>
    </w:p>
    <w:p w14:paraId="2E90963D"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lastRenderedPageBreak/>
        <w:t>f) Director de administración o su equivalente;</w:t>
      </w:r>
    </w:p>
    <w:p w14:paraId="7BE07B06"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g) Director de obras públicas; y</w:t>
      </w:r>
    </w:p>
    <w:p w14:paraId="6DDC7F5A"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h) Titular del órgano de control interno.</w:t>
      </w:r>
    </w:p>
    <w:p w14:paraId="3F0E885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DÉCIMO PRIMERO: Los servidores públicos municipales, tendrán en el ámbito de su competencia, respecto de los presentes Lineamientos, las obligaciones siguientes:</w:t>
      </w:r>
    </w:p>
    <w:p w14:paraId="5ED561E8" w14:textId="42892A9C"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(Sic)</w:t>
      </w:r>
    </w:p>
    <w:p w14:paraId="1DF5B757" w14:textId="30DC8527" w:rsidR="00B92A80" w:rsidRPr="00BC16BD" w:rsidRDefault="00775A11"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Pr>
          <w:rFonts w:ascii="Palatino Linotype" w:eastAsia="MS Gothic" w:hAnsi="Palatino Linotype"/>
          <w:lang w:val="es-MX" w:eastAsia="en-US"/>
        </w:rPr>
        <w:t xml:space="preserve">Ahora bien </w:t>
      </w:r>
      <w:r w:rsidR="00B92A80" w:rsidRPr="00BC16BD">
        <w:rPr>
          <w:rFonts w:ascii="Palatino Linotype" w:eastAsia="MS Gothic" w:hAnsi="Palatino Linotype"/>
          <w:lang w:val="es-MX" w:eastAsia="en-US"/>
        </w:rPr>
        <w:t xml:space="preserve">, </w:t>
      </w:r>
      <w:r w:rsidR="00627D79" w:rsidRPr="00BC16BD">
        <w:rPr>
          <w:rFonts w:ascii="Palatino Linotype" w:eastAsia="MS Gothic" w:hAnsi="Palatino Linotype"/>
          <w:lang w:val="es-MX" w:eastAsia="en-US"/>
        </w:rPr>
        <w:t xml:space="preserve">no pasa desapercibido que el particular anexó en su solicitud de información un recuadro esquematizando la forma en que requería la información solicitada, así </w:t>
      </w:r>
      <w:r w:rsidR="00B92A80" w:rsidRPr="00BC16BD">
        <w:rPr>
          <w:rFonts w:ascii="Palatino Linotype" w:eastAsia="MS Gothic" w:hAnsi="Palatino Linotype"/>
          <w:lang w:val="es-MX" w:eastAsia="en-US"/>
        </w:rPr>
        <w:t>es necesario traer a contexto los numerales 11 y 12 de la Ley de Transparencia y Acceso a la Información Pública del Estado de México y Municipios, los cuales, exponen lo siguiente:</w:t>
      </w:r>
    </w:p>
    <w:p w14:paraId="768736BB"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C4B91A1"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bCs/>
          <w:i/>
          <w:noProof/>
          <w:lang w:val="es-MX" w:eastAsia="en-US"/>
        </w:rPr>
      </w:pPr>
      <w:r w:rsidRPr="00BC16BD">
        <w:rPr>
          <w:rFonts w:ascii="Palatino Linotype" w:eastAsia="Calibri" w:hAnsi="Palatino Linotype" w:cs="Arial"/>
          <w:b/>
          <w:bCs/>
          <w:i/>
          <w:noProof/>
          <w:lang w:val="es-MX" w:eastAsia="en-US"/>
        </w:rPr>
        <w:t>“Artículo 11.-</w:t>
      </w:r>
      <w:r w:rsidRPr="00BC16BD">
        <w:rPr>
          <w:rFonts w:ascii="Palatino Linotype" w:eastAsia="Calibri" w:hAnsi="Palatino Linotype" w:cs="Arial"/>
          <w:bCs/>
          <w:i/>
          <w:noProof/>
          <w:lang w:val="es-MX" w:eastAsia="en-US"/>
        </w:rPr>
        <w:t xml:space="preserve"> </w:t>
      </w:r>
      <w:r w:rsidRPr="00BC16BD">
        <w:rPr>
          <w:rFonts w:ascii="Palatino Linotype" w:eastAsia="Calibri" w:hAnsi="Palatino Linotype" w:cs="Arial"/>
          <w:b/>
          <w:bCs/>
          <w:i/>
          <w:noProof/>
          <w:lang w:val="es-MX" w:eastAsia="en-US"/>
        </w:rPr>
        <w:t>Los Sujetos Obligados sólo proporcionarán la información que generen en el ejercicio de sus atribuciones</w:t>
      </w:r>
      <w:r w:rsidRPr="00BC16BD">
        <w:rPr>
          <w:rFonts w:ascii="Palatino Linotype" w:eastAsia="Calibri" w:hAnsi="Palatino Linotype" w:cs="Arial"/>
          <w:bCs/>
          <w:i/>
          <w:noProof/>
          <w:lang w:val="es-MX" w:eastAsia="en-US"/>
        </w:rPr>
        <w:t>.</w:t>
      </w:r>
    </w:p>
    <w:p w14:paraId="3A1EA455"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bCs/>
          <w:i/>
          <w:noProof/>
          <w:lang w:val="es-MX" w:eastAsia="en-US"/>
        </w:rPr>
      </w:pPr>
      <w:r w:rsidRPr="00BC16BD">
        <w:rPr>
          <w:rFonts w:ascii="Palatino Linotype" w:eastAsia="Calibri" w:hAnsi="Palatino Linotype" w:cs="Arial"/>
          <w:b/>
          <w:bCs/>
          <w:i/>
          <w:noProof/>
          <w:lang w:val="es-MX" w:eastAsia="en-US"/>
        </w:rPr>
        <w:lastRenderedPageBreak/>
        <w:t>Artículo 12.</w:t>
      </w:r>
      <w:r w:rsidRPr="00BC16BD">
        <w:rPr>
          <w:rFonts w:ascii="Palatino Linotype" w:eastAsia="Calibri" w:hAnsi="Palatino Linotype" w:cs="Arial"/>
          <w:bCs/>
          <w:i/>
          <w:noProof/>
          <w:lang w:val="es-MX" w:eastAsia="en-US"/>
        </w:rPr>
        <w:t xml:space="preserve"> Quienes generen, recopilen, </w:t>
      </w:r>
      <w:r w:rsidRPr="00BC16BD">
        <w:rPr>
          <w:rFonts w:ascii="Palatino Linotype" w:eastAsia="Calibri" w:hAnsi="Palatino Linotype"/>
          <w:i/>
          <w:lang w:val="es-MX" w:eastAsia="en-US"/>
        </w:rPr>
        <w:t>administren</w:t>
      </w:r>
      <w:r w:rsidRPr="00BC16BD">
        <w:rPr>
          <w:rFonts w:ascii="Palatino Linotype" w:eastAsia="Calibri" w:hAnsi="Palatino Linotype" w:cs="Arial"/>
          <w:bCs/>
          <w:i/>
          <w:noProof/>
          <w:lang w:val="es-MX" w:eastAsia="en-US"/>
        </w:rPr>
        <w:t>, manejen, procesen, archiven o conserven información pública</w:t>
      </w:r>
      <w:r w:rsidRPr="00BC16BD">
        <w:rPr>
          <w:rFonts w:ascii="Palatino Linotype" w:eastAsia="Calibri" w:hAnsi="Palatino Linotype" w:cs="Arial"/>
          <w:b/>
          <w:bCs/>
          <w:i/>
          <w:noProof/>
          <w:lang w:val="es-MX" w:eastAsia="en-US"/>
        </w:rPr>
        <w:t xml:space="preserve"> </w:t>
      </w:r>
      <w:r w:rsidRPr="00BC16BD">
        <w:rPr>
          <w:rFonts w:ascii="Palatino Linotype" w:eastAsia="Calibri" w:hAnsi="Palatino Linotype" w:cs="Arial"/>
          <w:bCs/>
          <w:i/>
          <w:noProof/>
          <w:lang w:val="es-MX" w:eastAsia="en-US"/>
        </w:rPr>
        <w:t xml:space="preserve">serán responsables de la misma en los términos de las disposiciones jurídicas </w:t>
      </w:r>
      <w:r w:rsidRPr="00BC16BD">
        <w:rPr>
          <w:rFonts w:ascii="Palatino Linotype" w:eastAsia="Calibri" w:hAnsi="Palatino Linotype" w:cs="Arial"/>
          <w:i/>
          <w:color w:val="000000"/>
          <w:lang w:val="es-MX" w:eastAsia="en-US"/>
        </w:rPr>
        <w:t>aplicables</w:t>
      </w:r>
      <w:r w:rsidRPr="00BC16BD">
        <w:rPr>
          <w:rFonts w:ascii="Palatino Linotype" w:eastAsia="Calibri" w:hAnsi="Palatino Linotype" w:cs="Arial"/>
          <w:bCs/>
          <w:i/>
          <w:noProof/>
          <w:lang w:val="es-MX" w:eastAsia="en-US"/>
        </w:rPr>
        <w:t xml:space="preserve">. </w:t>
      </w:r>
    </w:p>
    <w:p w14:paraId="4493185C"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bCs/>
          <w:i/>
          <w:noProof/>
          <w:lang w:val="es-MX" w:eastAsia="en-US"/>
        </w:rPr>
      </w:pPr>
      <w:r w:rsidRPr="00BC16BD">
        <w:rPr>
          <w:rFonts w:ascii="Palatino Linotype" w:eastAsia="Calibri" w:hAnsi="Palatino Linotype" w:cs="Arial"/>
          <w:b/>
          <w:bCs/>
          <w:i/>
          <w:noProof/>
          <w:lang w:val="es-MX" w:eastAsia="en-US"/>
        </w:rPr>
        <w:t>Los sujetos obligados sólo proporcionarán la información pública que se les requiera y que obre en sus archivos</w:t>
      </w:r>
      <w:r w:rsidRPr="00BC16BD">
        <w:rPr>
          <w:rFonts w:ascii="Palatino Linotype" w:eastAsia="Calibri" w:hAnsi="Palatino Linotype" w:cs="Arial"/>
          <w:bCs/>
          <w:i/>
          <w:noProof/>
          <w:lang w:val="es-MX" w:eastAsia="en-US"/>
        </w:rPr>
        <w:t xml:space="preserve"> </w:t>
      </w:r>
      <w:r w:rsidRPr="00BC16BD">
        <w:rPr>
          <w:rFonts w:ascii="Palatino Linotype" w:eastAsia="Calibri" w:hAnsi="Palatino Linotype" w:cs="Arial"/>
          <w:b/>
          <w:bCs/>
          <w:i/>
          <w:noProof/>
          <w:lang w:val="es-MX" w:eastAsia="en-US"/>
        </w:rPr>
        <w:t xml:space="preserve">y en el estado en que ésta se encuentre. La obligación de proporcionar información no </w:t>
      </w:r>
      <w:r w:rsidRPr="00BC16BD">
        <w:rPr>
          <w:rFonts w:ascii="Palatino Linotype" w:eastAsia="Calibri" w:hAnsi="Palatino Linotype"/>
          <w:b/>
          <w:i/>
          <w:lang w:val="es-MX" w:eastAsia="en-US"/>
        </w:rPr>
        <w:t>comprende</w:t>
      </w:r>
      <w:r w:rsidRPr="00BC16BD">
        <w:rPr>
          <w:rFonts w:ascii="Palatino Linotype" w:eastAsia="Calibri" w:hAnsi="Palatino Linotype" w:cs="Arial"/>
          <w:b/>
          <w:bCs/>
          <w:i/>
          <w:noProof/>
          <w:lang w:val="es-MX" w:eastAsia="en-US"/>
        </w:rPr>
        <w:t xml:space="preserve"> el procesamiento de la misma, ni el presentarla conforme al interés del solicitante; no estarán obligados a generarla, resumirla, efectuar cálculos o practicar investigaciones.</w:t>
      </w:r>
      <w:r w:rsidRPr="00BC16BD">
        <w:rPr>
          <w:rFonts w:ascii="Palatino Linotype" w:eastAsia="Calibri" w:hAnsi="Palatino Linotype" w:cs="Arial"/>
          <w:bCs/>
          <w:i/>
          <w:noProof/>
          <w:lang w:val="es-MX" w:eastAsia="en-US"/>
        </w:rPr>
        <w:t>”</w:t>
      </w:r>
    </w:p>
    <w:p w14:paraId="5A1A6633"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color w:val="000000"/>
          <w:lang w:val="es-MX" w:eastAsia="en-US"/>
        </w:rPr>
      </w:pPr>
      <w:r w:rsidRPr="00BC16BD">
        <w:rPr>
          <w:rFonts w:ascii="Palatino Linotype" w:eastAsia="Calibri" w:hAnsi="Palatino Linotype" w:cs="Arial"/>
          <w:color w:val="000000"/>
          <w:lang w:val="es-MX" w:eastAsia="en-US"/>
        </w:rPr>
        <w:t>(Énfasis añadido)</w:t>
      </w:r>
    </w:p>
    <w:p w14:paraId="41CF9821"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540C0F84"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De lo anterior se entiende que el ejercicio del derecho de acceso a la información pública se centra en la potestad de los particulares de tener </w:t>
      </w:r>
      <w:r w:rsidRPr="00BC16BD">
        <w:rPr>
          <w:rFonts w:ascii="Palatino Linotype" w:eastAsia="MS Gothic" w:hAnsi="Palatino Linotype"/>
          <w:b/>
          <w:lang w:val="es-MX" w:eastAsia="en-US"/>
        </w:rPr>
        <w:t>acceso a los documentos públicos que obren en los archivos de los Sujetos Obligados</w:t>
      </w:r>
      <w:r w:rsidRPr="00BC16BD">
        <w:rPr>
          <w:rFonts w:ascii="Palatino Linotype" w:eastAsia="MS Gothic" w:hAnsi="Palatino Linotype"/>
          <w:lang w:val="es-MX" w:eastAsia="en-US"/>
        </w:rPr>
        <w:t xml:space="preserve">, ya sea porque los generen en el uso de sus atribuciones, los administren o simplemente los posean. </w:t>
      </w:r>
    </w:p>
    <w:p w14:paraId="6DBC1983"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642B9945"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como puede ser un informe detallado de forma bimestral, como fuera requerido por el </w:t>
      </w:r>
      <w:r w:rsidRPr="00BC16BD">
        <w:rPr>
          <w:rFonts w:ascii="Palatino Linotype" w:eastAsia="MS Gothic" w:hAnsi="Palatino Linotype"/>
          <w:b/>
          <w:lang w:val="es-MX" w:eastAsia="en-US"/>
        </w:rPr>
        <w:t>RECURRENTE</w:t>
      </w:r>
      <w:r w:rsidRPr="00BC16BD">
        <w:rPr>
          <w:rFonts w:ascii="Palatino Linotype" w:eastAsia="MS Gothic" w:hAnsi="Palatino Linotype"/>
          <w:lang w:val="es-MX" w:eastAsia="en-US"/>
        </w:rPr>
        <w:t xml:space="preserve"> en su solicitud de información; esto es, que no tienen el deber de generar un documento </w:t>
      </w:r>
      <w:r w:rsidRPr="00BC16BD">
        <w:rPr>
          <w:rFonts w:ascii="Palatino Linotype" w:eastAsia="MS Gothic" w:hAnsi="Palatino Linotype"/>
          <w:b/>
          <w:i/>
          <w:lang w:val="es-MX" w:eastAsia="en-US"/>
        </w:rPr>
        <w:t>ad hoc</w:t>
      </w:r>
      <w:r w:rsidRPr="00BC16BD">
        <w:rPr>
          <w:rFonts w:ascii="Palatino Linotype" w:eastAsia="MS Gothic" w:hAnsi="Palatino Linotype"/>
          <w:lang w:val="es-MX" w:eastAsia="en-US"/>
        </w:rPr>
        <w:t>, para satisfacer el derecho de acceso a la información pública.</w:t>
      </w:r>
    </w:p>
    <w:p w14:paraId="77A3CE72"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6233D835"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Robustece lo anterior el Criterio 09/10, emitido por el Pleno del entonces </w:t>
      </w:r>
      <w:r w:rsidRPr="00BC16BD">
        <w:rPr>
          <w:rFonts w:ascii="Palatino Linotype" w:eastAsia="MS Gothic" w:hAnsi="Palatino Linotype"/>
          <w:bCs/>
          <w:lang w:val="es-MX" w:eastAsia="en-US"/>
        </w:rPr>
        <w:t xml:space="preserve">Instituto Federal </w:t>
      </w:r>
      <w:r w:rsidRPr="00BC16BD">
        <w:rPr>
          <w:rFonts w:ascii="Palatino Linotype" w:eastAsia="MS Gothic" w:hAnsi="Palatino Linotype"/>
          <w:lang w:val="es-MX" w:eastAsia="en-US"/>
        </w:rPr>
        <w:t>de</w:t>
      </w:r>
      <w:r w:rsidRPr="00BC16BD">
        <w:rPr>
          <w:rFonts w:ascii="Palatino Linotype" w:eastAsia="MS Gothic" w:hAnsi="Palatino Linotype"/>
          <w:bCs/>
          <w:lang w:val="es-MX" w:eastAsia="en-US"/>
        </w:rPr>
        <w:t xml:space="preserve"> Acceso a la Información y Protección de Datos (IFAI), </w:t>
      </w:r>
      <w:r w:rsidRPr="00BC16BD">
        <w:rPr>
          <w:rFonts w:ascii="Palatino Linotype" w:eastAsia="MS Gothic" w:hAnsi="Palatino Linotype"/>
          <w:lang w:val="es-MX" w:eastAsia="en-US"/>
        </w:rPr>
        <w:t>ahora Instituto Nacional de Transparencia, Acceso a la Información y Protección de Datos Personales (INAI),</w:t>
      </w:r>
      <w:r w:rsidRPr="00BC16BD">
        <w:rPr>
          <w:rFonts w:ascii="Palatino Linotype" w:eastAsia="MS Gothic" w:hAnsi="Palatino Linotype"/>
          <w:bCs/>
          <w:lang w:val="es-MX" w:eastAsia="en-US"/>
        </w:rPr>
        <w:t xml:space="preserve"> que dice:</w:t>
      </w:r>
    </w:p>
    <w:p w14:paraId="79FA5F90"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15311040" w14:textId="7E15D79A" w:rsidR="00B92A80" w:rsidRDefault="00B92A80" w:rsidP="00BC16BD">
      <w:pPr>
        <w:autoSpaceDE w:val="0"/>
        <w:autoSpaceDN w:val="0"/>
        <w:adjustRightInd w:val="0"/>
        <w:spacing w:before="160" w:after="160" w:line="360" w:lineRule="auto"/>
        <w:ind w:left="567" w:right="567"/>
        <w:jc w:val="both"/>
        <w:rPr>
          <w:rFonts w:ascii="Palatino Linotype" w:eastAsia="Calibri" w:hAnsi="Palatino Linotype" w:cs="Arial"/>
          <w:i/>
          <w:lang w:val="es-MX" w:eastAsia="en-US"/>
        </w:rPr>
      </w:pPr>
      <w:r w:rsidRPr="00BC16BD">
        <w:rPr>
          <w:rFonts w:ascii="Palatino Linotype" w:eastAsia="Calibri" w:hAnsi="Palatino Linotype" w:cs="Arial"/>
          <w:i/>
          <w:lang w:val="es-MX" w:eastAsia="en-US"/>
        </w:rPr>
        <w:t>“</w:t>
      </w:r>
      <w:r w:rsidRPr="00BC16BD">
        <w:rPr>
          <w:rFonts w:ascii="Palatino Linotype" w:eastAsia="Calibri" w:hAnsi="Palatino Linotype" w:cs="Arial"/>
          <w:b/>
          <w:i/>
          <w:lang w:val="es-MX" w:eastAsia="en-US"/>
        </w:rPr>
        <w:t>Las dependencias y entidades no están obligadas a generar documentos ad hoc para responder una solicitud de acceso a la información.</w:t>
      </w:r>
      <w:r w:rsidRPr="00BC16BD">
        <w:rPr>
          <w:rFonts w:ascii="Palatino Linotype" w:eastAsia="Calibri" w:hAnsi="Palatino Linotype" w:cs="Arial"/>
          <w:i/>
          <w:lang w:val="es-MX" w:eastAsia="en-US"/>
        </w:rPr>
        <w:t xml:space="preserve"> Tomando en consideración lo establecido por el artículo 42 de la Ley Federal de Transparencia y Acceso a la Información Pública Gubernamental, que establece que </w:t>
      </w:r>
      <w:r w:rsidRPr="00BC16BD">
        <w:rPr>
          <w:rFonts w:ascii="Palatino Linotype" w:eastAsia="Calibri" w:hAnsi="Palatino Linotype" w:cs="Arial"/>
          <w:b/>
          <w:i/>
          <w:lang w:val="es-MX" w:eastAsia="en-US"/>
        </w:rPr>
        <w:t>las dependencias y entidades sólo estarán obligadas a entregar documentos que se encuentren en sus archivos</w:t>
      </w:r>
      <w:r w:rsidRPr="00BC16BD">
        <w:rPr>
          <w:rFonts w:ascii="Palatino Linotype" w:eastAsia="Calibri" w:hAnsi="Palatino Linotype" w:cs="Arial"/>
          <w:i/>
          <w:lang w:val="es-MX" w:eastAsia="en-US"/>
        </w:rPr>
        <w:t xml:space="preserve">, las dependencias y entidades </w:t>
      </w:r>
      <w:r w:rsidRPr="00BC16BD">
        <w:rPr>
          <w:rFonts w:ascii="Palatino Linotype" w:eastAsia="Calibri" w:hAnsi="Palatino Linotype" w:cs="Arial"/>
          <w:b/>
          <w:i/>
          <w:lang w:val="es-MX" w:eastAsia="en-US"/>
        </w:rPr>
        <w:t>no están obligadas a elaborar documentos ad hoc para atender las solicitudes de información</w:t>
      </w:r>
      <w:r w:rsidRPr="00BC16BD">
        <w:rPr>
          <w:rFonts w:ascii="Palatino Linotype" w:eastAsia="Calibri" w:hAnsi="Palatino Linotype" w:cs="Arial"/>
          <w:i/>
          <w:lang w:val="es-MX" w:eastAsia="en-US"/>
        </w:rPr>
        <w:t xml:space="preserve">, sino que deben garantizar el acceso a la información con la que cuentan en el formato que la misma así lo permita o se encuentre, en aras de dar </w:t>
      </w:r>
      <w:r w:rsidRPr="00BC16BD">
        <w:rPr>
          <w:rFonts w:ascii="Palatino Linotype" w:eastAsia="Calibri" w:hAnsi="Palatino Linotype"/>
          <w:i/>
          <w:lang w:val="es-MX" w:eastAsia="en-US"/>
        </w:rPr>
        <w:t>satisfacción</w:t>
      </w:r>
      <w:r w:rsidRPr="00BC16BD">
        <w:rPr>
          <w:rFonts w:ascii="Palatino Linotype" w:eastAsia="Calibri" w:hAnsi="Palatino Linotype" w:cs="Arial"/>
          <w:i/>
          <w:lang w:val="es-MX" w:eastAsia="en-US"/>
        </w:rPr>
        <w:t xml:space="preserve"> a la solicitud presentada.”</w:t>
      </w:r>
    </w:p>
    <w:p w14:paraId="516E9000" w14:textId="5FD1A9E6" w:rsidR="00775A11" w:rsidRPr="00BC16BD" w:rsidRDefault="00775A11" w:rsidP="00BC16BD">
      <w:pPr>
        <w:autoSpaceDE w:val="0"/>
        <w:autoSpaceDN w:val="0"/>
        <w:adjustRightInd w:val="0"/>
        <w:spacing w:before="160" w:after="160" w:line="360" w:lineRule="auto"/>
        <w:ind w:left="567" w:right="567"/>
        <w:jc w:val="both"/>
        <w:rPr>
          <w:rFonts w:ascii="Palatino Linotype" w:eastAsia="Calibri" w:hAnsi="Palatino Linotype" w:cs="Arial"/>
          <w:i/>
          <w:lang w:val="es-MX" w:eastAsia="en-US"/>
        </w:rPr>
      </w:pPr>
    </w:p>
    <w:p w14:paraId="5F5A0E70" w14:textId="4DE3A585" w:rsidR="00775A11" w:rsidRPr="00775A11" w:rsidRDefault="00803D60" w:rsidP="00775A11">
      <w:pPr>
        <w:pStyle w:val="Prrafodelista"/>
        <w:numPr>
          <w:ilvl w:val="0"/>
          <w:numId w:val="5"/>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Pr>
          <w:rFonts w:ascii="Palatino Linotype" w:eastAsia="MS Mincho" w:hAnsi="Palatino Linotype"/>
          <w:color w:val="222222"/>
          <w:lang w:val="es-MX"/>
        </w:rPr>
        <w:t>Finalmente</w:t>
      </w:r>
      <w:r w:rsidR="00775A11" w:rsidRPr="00775A11">
        <w:rPr>
          <w:rFonts w:ascii="Palatino Linotype" w:eastAsia="MS Mincho" w:hAnsi="Palatino Linotype"/>
          <w:color w:val="222222"/>
          <w:lang w:val="es-ES_tradnl"/>
        </w:rPr>
        <w:t xml:space="preserve">, si </w:t>
      </w:r>
      <w:r w:rsidR="00775A11">
        <w:rPr>
          <w:rFonts w:ascii="Palatino Linotype" w:eastAsia="MS Mincho" w:hAnsi="Palatino Linotype"/>
          <w:color w:val="222222"/>
          <w:lang w:val="es-ES_tradnl"/>
        </w:rPr>
        <w:t xml:space="preserve">se </w:t>
      </w:r>
      <w:r w:rsidR="00775A11" w:rsidRPr="00775A11">
        <w:rPr>
          <w:rFonts w:ascii="Palatino Linotype" w:eastAsia="MS Mincho" w:hAnsi="Palatino Linotype"/>
          <w:color w:val="222222"/>
          <w:lang w:val="es-ES_tradnl"/>
        </w:rPr>
        <w:t>advierte que la</w:t>
      </w:r>
      <w:r w:rsidR="00775A11">
        <w:rPr>
          <w:rFonts w:ascii="Palatino Linotype" w:eastAsia="MS Mincho" w:hAnsi="Palatino Linotype"/>
          <w:color w:val="222222"/>
          <w:lang w:val="es-ES_tradnl"/>
        </w:rPr>
        <w:t xml:space="preserve"> información de la cual se ordena hacer entrega</w:t>
      </w:r>
      <w:r w:rsidR="00775A11" w:rsidRPr="00775A11">
        <w:rPr>
          <w:rFonts w:ascii="Palatino Linotype" w:eastAsia="MS Mincho" w:hAnsi="Palatino Linotype"/>
          <w:color w:val="222222"/>
          <w:lang w:val="es-ES_tradnl"/>
        </w:rPr>
        <w:t xml:space="preserve"> no obra en los archivos del </w:t>
      </w:r>
      <w:r w:rsidR="00775A11" w:rsidRPr="00775A11">
        <w:rPr>
          <w:rFonts w:ascii="Palatino Linotype" w:eastAsia="MS Mincho" w:hAnsi="Palatino Linotype"/>
          <w:b/>
          <w:color w:val="222222"/>
          <w:lang w:val="es-ES_tradnl"/>
        </w:rPr>
        <w:t xml:space="preserve">SUJETO OBLIGADO, </w:t>
      </w:r>
      <w:r w:rsidR="00775A11">
        <w:rPr>
          <w:rFonts w:ascii="Palatino Linotype" w:eastAsia="MS Mincho" w:hAnsi="Palatino Linotype"/>
          <w:b/>
          <w:color w:val="222222"/>
          <w:lang w:val="es-ES_tradnl"/>
        </w:rPr>
        <w:t>por no haberse generado,</w:t>
      </w:r>
      <w:r w:rsidR="00775A11" w:rsidRPr="00775A11">
        <w:rPr>
          <w:rFonts w:ascii="Palatino Linotype" w:eastAsia="MS Mincho" w:hAnsi="Palatino Linotype"/>
          <w:b/>
          <w:color w:val="222222"/>
          <w:lang w:val="es-ES_tradnl"/>
        </w:rPr>
        <w:t xml:space="preserve"> poseído o administrado</w:t>
      </w:r>
      <w:r w:rsidR="00775A11" w:rsidRPr="00775A11">
        <w:rPr>
          <w:rFonts w:ascii="Palatino Linotype" w:eastAsia="MS Mincho" w:hAnsi="Palatino Linotype" w:cs="Segoe UI"/>
          <w:lang w:val="es-MX"/>
        </w:rPr>
        <w:t>, se deberá de motivar la respuesta en función de las causas que motiven tal circunstancia</w:t>
      </w:r>
      <w:r w:rsidR="00775A11" w:rsidRPr="00775A11">
        <w:rPr>
          <w:rFonts w:ascii="Palatino Linotype" w:eastAsia="MS Mincho" w:hAnsi="Palatino Linotype"/>
          <w:b/>
          <w:color w:val="222222"/>
          <w:lang w:val="es-ES_tradnl"/>
        </w:rPr>
        <w:t xml:space="preserve">, </w:t>
      </w:r>
      <w:r w:rsidR="00775A11" w:rsidRPr="00775A11">
        <w:rPr>
          <w:rFonts w:ascii="Palatino Linotype" w:eastAsia="MS Mincho" w:hAnsi="Palatino Linotype" w:cs="Segoe UI"/>
          <w:lang w:val="es-MX"/>
        </w:rPr>
        <w:t>en términos del segundo parrado del artículo 19 de la Ley de Transparencia.</w:t>
      </w:r>
    </w:p>
    <w:p w14:paraId="68C43936" w14:textId="3EF98809" w:rsidR="00627D79" w:rsidRPr="00775A11" w:rsidRDefault="00627D79" w:rsidP="00775A11">
      <w:pPr>
        <w:pStyle w:val="Prrafodelista"/>
        <w:tabs>
          <w:tab w:val="left" w:pos="0"/>
          <w:tab w:val="left" w:pos="540"/>
        </w:tabs>
        <w:spacing w:after="160" w:line="360" w:lineRule="auto"/>
        <w:ind w:left="810"/>
        <w:contextualSpacing/>
        <w:rPr>
          <w:rFonts w:ascii="Palatino Linotype" w:eastAsia="Calibri" w:hAnsi="Palatino Linotype"/>
          <w:lang w:val="es-ES_tradnl" w:eastAsia="en-US"/>
        </w:rPr>
      </w:pPr>
    </w:p>
    <w:p w14:paraId="2475EF13" w14:textId="2C012477" w:rsidR="00B14987" w:rsidRPr="00BC16BD" w:rsidRDefault="00464C89" w:rsidP="00BC16BD">
      <w:pPr>
        <w:keepNext/>
        <w:keepLines/>
        <w:spacing w:before="240" w:line="360" w:lineRule="auto"/>
        <w:outlineLvl w:val="0"/>
        <w:rPr>
          <w:rFonts w:ascii="Palatino Linotype" w:eastAsia="MS Mincho" w:hAnsi="Palatino Linotype"/>
          <w:b/>
          <w:lang w:val="es-ES_tradnl"/>
        </w:rPr>
      </w:pPr>
      <w:bookmarkStart w:id="65" w:name="_Toc84433126"/>
      <w:bookmarkStart w:id="66" w:name="_Toc95401050"/>
      <w:bookmarkStart w:id="67" w:name="_Toc34310247"/>
      <w:bookmarkStart w:id="68" w:name="_Toc34849558"/>
      <w:bookmarkStart w:id="69" w:name="_Toc53659481"/>
      <w:bookmarkStart w:id="70" w:name="_Toc67598514"/>
      <w:bookmarkStart w:id="71" w:name="_Toc69999203"/>
      <w:bookmarkStart w:id="72" w:name="_Toc73033012"/>
      <w:bookmarkStart w:id="73" w:name="_Toc466371865"/>
      <w:bookmarkStart w:id="74" w:name="_Toc466377653"/>
      <w:bookmarkEnd w:id="54"/>
      <w:bookmarkEnd w:id="55"/>
      <w:bookmarkEnd w:id="56"/>
      <w:bookmarkEnd w:id="57"/>
      <w:bookmarkEnd w:id="58"/>
      <w:r w:rsidRPr="00BC16BD">
        <w:rPr>
          <w:rFonts w:ascii="Palatino Linotype" w:eastAsia="MS Gothic" w:hAnsi="Palatino Linotype"/>
          <w:b/>
          <w:lang w:val="es-ES_tradnl" w:eastAsia="es-ES_tradnl"/>
        </w:rPr>
        <w:lastRenderedPageBreak/>
        <w:t xml:space="preserve">QUINTO. </w:t>
      </w:r>
      <w:r w:rsidRPr="00BC16BD">
        <w:rPr>
          <w:rFonts w:ascii="Palatino Linotype" w:eastAsia="MS Mincho" w:hAnsi="Palatino Linotype"/>
          <w:b/>
          <w:lang w:val="es-ES_tradnl"/>
        </w:rPr>
        <w:t>De la elaboración de la versión pública y el acuerdo de clasificación como información confidencial.</w:t>
      </w:r>
      <w:bookmarkEnd w:id="65"/>
      <w:bookmarkEnd w:id="66"/>
    </w:p>
    <w:p w14:paraId="6F81AC78" w14:textId="5E071E53" w:rsidR="00464C89" w:rsidRPr="00BC16BD" w:rsidRDefault="00464C89" w:rsidP="00775A11">
      <w:pPr>
        <w:pStyle w:val="Prrafodelista"/>
        <w:numPr>
          <w:ilvl w:val="0"/>
          <w:numId w:val="5"/>
        </w:numPr>
        <w:spacing w:before="240" w:after="240" w:line="360" w:lineRule="auto"/>
        <w:ind w:left="0" w:hanging="11"/>
        <w:contextualSpacing/>
        <w:jc w:val="both"/>
        <w:rPr>
          <w:rFonts w:ascii="Palatino Linotype" w:hAnsi="Palatino Linotype" w:cs="Arial"/>
        </w:rPr>
      </w:pPr>
      <w:r w:rsidRPr="00BC16BD">
        <w:rPr>
          <w:rFonts w:ascii="Palatino Linotype" w:hAnsi="Palatino Linotype" w:cs="Arial"/>
          <w:color w:val="000000"/>
          <w:lang w:val="es-ES_tradnl"/>
        </w:rPr>
        <w:t xml:space="preserve"> Debe destacarse que debido a la naturaleza de </w:t>
      </w:r>
      <w:r w:rsidRPr="00BC16BD">
        <w:rPr>
          <w:rFonts w:ascii="Palatino Linotype" w:hAnsi="Palatino Linotype"/>
          <w:color w:val="000000"/>
          <w:lang w:val="es-ES_tradnl"/>
        </w:rPr>
        <w:t xml:space="preserve">la información solicitada, en la misma pudieran obrar datos personales o información reservada susceptibles de protegerse </w:t>
      </w:r>
      <w:r w:rsidRPr="00BC16BD">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CC26F07" w14:textId="77777777" w:rsidR="00464C89" w:rsidRPr="00BC16BD" w:rsidRDefault="00464C89" w:rsidP="00BC16BD">
      <w:pPr>
        <w:spacing w:before="240" w:after="240" w:line="360" w:lineRule="auto"/>
        <w:contextualSpacing/>
        <w:jc w:val="both"/>
        <w:rPr>
          <w:rFonts w:ascii="Palatino Linotype" w:hAnsi="Palatino Linotype" w:cs="Arial"/>
        </w:rPr>
      </w:pPr>
    </w:p>
    <w:p w14:paraId="2A2A4E10" w14:textId="77777777" w:rsidR="00464C89" w:rsidRPr="00BC16BD" w:rsidRDefault="00464C89" w:rsidP="00775A11">
      <w:pPr>
        <w:numPr>
          <w:ilvl w:val="0"/>
          <w:numId w:val="5"/>
        </w:numPr>
        <w:spacing w:before="240" w:after="240" w:line="360" w:lineRule="auto"/>
        <w:ind w:left="0" w:hanging="11"/>
        <w:contextualSpacing/>
        <w:jc w:val="both"/>
        <w:rPr>
          <w:rFonts w:ascii="Palatino Linotype" w:hAnsi="Palatino Linotype" w:cs="Arial"/>
        </w:rPr>
      </w:pPr>
      <w:r w:rsidRPr="00BC16BD">
        <w:rPr>
          <w:rFonts w:ascii="Palatino Linotype" w:eastAsia="Calibri" w:hAnsi="Palatino Linotype" w:cs="Arial"/>
          <w:color w:val="000000"/>
          <w:lang w:eastAsia="es-MX"/>
        </w:rPr>
        <w:t xml:space="preserve">Es de señalar que, por lo que hace a las versiones públicas, el </w:t>
      </w:r>
      <w:r w:rsidRPr="00BC16BD">
        <w:rPr>
          <w:rFonts w:ascii="Palatino Linotype" w:eastAsia="Calibri" w:hAnsi="Palatino Linotype" w:cs="Arial"/>
          <w:b/>
          <w:color w:val="000000"/>
          <w:lang w:eastAsia="es-MX"/>
        </w:rPr>
        <w:t>SUJETO OBLIGADO</w:t>
      </w:r>
      <w:r w:rsidRPr="00BC16BD">
        <w:rPr>
          <w:rFonts w:ascii="Palatino Linotype" w:eastAsia="Calibri" w:hAnsi="Palatino Linotype" w:cs="Arial"/>
          <w:color w:val="000000"/>
          <w:lang w:eastAsia="es-MX"/>
        </w:rPr>
        <w:t xml:space="preserve"> debe cumplir con las formalidades exigidas en la Ley, por lo que </w:t>
      </w:r>
      <w:r w:rsidRPr="00BC16BD">
        <w:rPr>
          <w:rFonts w:ascii="Palatino Linotype" w:hAnsi="Palatino Linotype" w:cs="Arial"/>
          <w:color w:val="000000"/>
          <w:lang w:val="es-ES_tradnl" w:eastAsia="es-MX"/>
        </w:rPr>
        <w:t xml:space="preserve">para tal efecto emitirá el </w:t>
      </w:r>
      <w:r w:rsidRPr="00BC16BD">
        <w:rPr>
          <w:rFonts w:ascii="Palatino Linotype" w:eastAsia="Calibri" w:hAnsi="Palatino Linotype" w:cs="Arial"/>
          <w:color w:val="000000"/>
          <w:lang w:eastAsia="es-MX"/>
        </w:rPr>
        <w:t>Acuerdo del Comité de Transparencia en términos de los artículos 49 fracción</w:t>
      </w:r>
      <w:r w:rsidRPr="00BC16BD">
        <w:rPr>
          <w:rFonts w:ascii="Palatino Linotype" w:eastAsia="Calibri" w:hAnsi="Palatino Linotype" w:cs="Arial"/>
          <w:bCs/>
          <w:color w:val="000000"/>
          <w:lang w:val="es-ES_tradnl"/>
        </w:rPr>
        <w:t xml:space="preserve"> VIII,</w:t>
      </w:r>
      <w:r w:rsidRPr="00BC16BD">
        <w:rPr>
          <w:rFonts w:ascii="Palatino Linotype" w:eastAsia="Calibri" w:hAnsi="Palatino Linotype" w:cs="Arial"/>
          <w:color w:val="000000"/>
          <w:lang w:eastAsia="es-MX"/>
        </w:rPr>
        <w:t xml:space="preserve"> 122</w:t>
      </w:r>
      <w:r w:rsidRPr="00BC16BD">
        <w:rPr>
          <w:rFonts w:ascii="Palatino Linotype" w:hAnsi="Palatino Linotype"/>
          <w:vertAlign w:val="superscript"/>
          <w:lang w:eastAsia="es-MX"/>
        </w:rPr>
        <w:footnoteReference w:id="10"/>
      </w:r>
      <w:r w:rsidRPr="00BC16BD">
        <w:rPr>
          <w:rFonts w:ascii="Palatino Linotype" w:eastAsia="Calibri" w:hAnsi="Palatino Linotype" w:cs="Arial"/>
          <w:color w:val="000000"/>
          <w:lang w:eastAsia="es-MX"/>
        </w:rPr>
        <w:t>, 135</w:t>
      </w:r>
      <w:r w:rsidRPr="00BC16BD">
        <w:rPr>
          <w:rFonts w:ascii="Palatino Linotype" w:hAnsi="Palatino Linotype"/>
          <w:vertAlign w:val="superscript"/>
          <w:lang w:eastAsia="es-MX"/>
        </w:rPr>
        <w:footnoteReference w:id="11"/>
      </w:r>
      <w:r w:rsidRPr="00BC16BD">
        <w:rPr>
          <w:rFonts w:ascii="Palatino Linotype" w:eastAsia="Calibri" w:hAnsi="Palatino Linotype" w:cs="Arial"/>
          <w:color w:val="000000"/>
          <w:lang w:eastAsia="es-MX"/>
        </w:rPr>
        <w:t xml:space="preserve"> y 149 de la </w:t>
      </w:r>
      <w:r w:rsidRPr="00BC16BD">
        <w:rPr>
          <w:rFonts w:ascii="Palatino Linotype" w:eastAsia="Calibri" w:hAnsi="Palatino Linotype" w:cs="Arial"/>
          <w:b/>
          <w:color w:val="000000"/>
          <w:lang w:eastAsia="es-MX"/>
        </w:rPr>
        <w:t>Ley de Transparencia y Acceso a la Información Pública del Estado de México y Municipios</w:t>
      </w:r>
      <w:r w:rsidRPr="00BC16BD">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4019295" w14:textId="77777777" w:rsidR="00464C89" w:rsidRPr="00BC16BD" w:rsidRDefault="00464C89" w:rsidP="00BC16BD">
      <w:pPr>
        <w:spacing w:before="240" w:after="240" w:line="360" w:lineRule="auto"/>
        <w:contextualSpacing/>
        <w:jc w:val="both"/>
        <w:rPr>
          <w:rFonts w:ascii="Palatino Linotype" w:hAnsi="Palatino Linotype" w:cs="Arial"/>
        </w:rPr>
      </w:pPr>
    </w:p>
    <w:p w14:paraId="3B611EA5" w14:textId="77777777" w:rsidR="00464C89" w:rsidRPr="00BC16BD" w:rsidRDefault="00464C89" w:rsidP="00BC16BD">
      <w:pPr>
        <w:keepNext/>
        <w:keepLines/>
        <w:numPr>
          <w:ilvl w:val="0"/>
          <w:numId w:val="23"/>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75" w:name="_Toc84433127"/>
      <w:bookmarkStart w:id="76" w:name="_Toc95401051"/>
      <w:r w:rsidRPr="00BC16BD">
        <w:rPr>
          <w:rFonts w:ascii="Palatino Linotype" w:eastAsiaTheme="majorEastAsia" w:hAnsi="Palatino Linotype" w:cstheme="majorBidi"/>
          <w:b/>
          <w:color w:val="000000" w:themeColor="text1"/>
          <w:lang w:val="es-ES_tradnl"/>
        </w:rPr>
        <w:t>De la clasificación de la información.</w:t>
      </w:r>
      <w:bookmarkEnd w:id="75"/>
      <w:bookmarkEnd w:id="76"/>
      <w:r w:rsidRPr="00BC16BD">
        <w:rPr>
          <w:rFonts w:ascii="Palatino Linotype" w:eastAsiaTheme="majorEastAsia" w:hAnsi="Palatino Linotype" w:cstheme="majorBidi"/>
          <w:b/>
          <w:color w:val="000000" w:themeColor="text1"/>
          <w:lang w:val="es-ES_tradnl"/>
        </w:rPr>
        <w:t xml:space="preserve"> </w:t>
      </w:r>
    </w:p>
    <w:p w14:paraId="17E1627B" w14:textId="77777777" w:rsidR="00464C89" w:rsidRPr="00BC16BD" w:rsidRDefault="00464C89" w:rsidP="00BC16BD">
      <w:pPr>
        <w:shd w:val="clear" w:color="auto" w:fill="FFFFFF"/>
        <w:spacing w:before="240" w:after="200" w:line="360" w:lineRule="auto"/>
        <w:contextualSpacing/>
        <w:jc w:val="both"/>
        <w:rPr>
          <w:rFonts w:ascii="Palatino Linotype" w:hAnsi="Palatino Linotype" w:cs="Arial"/>
          <w:b/>
          <w:color w:val="000000"/>
          <w:lang w:val="es-ES_tradnl"/>
        </w:rPr>
      </w:pPr>
    </w:p>
    <w:p w14:paraId="3C8BC78D"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L</w:t>
      </w:r>
      <w:r w:rsidRPr="00BC16BD">
        <w:rPr>
          <w:rFonts w:ascii="Palatino Linotype" w:hAnsi="Palatino Linotype"/>
          <w:color w:val="000000"/>
          <w:lang w:val="es-ES_tradnl"/>
        </w:rPr>
        <w:t>a</w:t>
      </w:r>
      <w:r w:rsidRPr="00BC16BD">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C16BD">
        <w:rPr>
          <w:rFonts w:ascii="Palatino Linotype" w:hAnsi="Palatino Linotype"/>
          <w:vertAlign w:val="superscript"/>
          <w:lang w:val="es-ES_tradnl"/>
        </w:rPr>
        <w:footnoteReference w:id="12"/>
      </w:r>
      <w:r w:rsidRPr="00BC16BD">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C16BD">
        <w:rPr>
          <w:rFonts w:ascii="Palatino Linotype" w:hAnsi="Palatino Linotype"/>
          <w:vertAlign w:val="superscript"/>
          <w:lang w:val="es-ES_tradnl"/>
        </w:rPr>
        <w:footnoteReference w:id="13"/>
      </w:r>
      <w:r w:rsidRPr="00BC16BD">
        <w:rPr>
          <w:rFonts w:ascii="Palatino Linotype" w:hAnsi="Palatino Linotype"/>
          <w:lang w:val="es-ES_tradnl"/>
        </w:rPr>
        <w:t xml:space="preserve"> En este caso, la clasificación total o parcial de la información es un </w:t>
      </w:r>
      <w:r w:rsidRPr="00BC16BD">
        <w:rPr>
          <w:rFonts w:ascii="Palatino Linotype" w:hAnsi="Palatino Linotype"/>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2DB6D72"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27028F39" w14:textId="77777777" w:rsidR="00464C89" w:rsidRPr="00BC16BD" w:rsidRDefault="00464C89" w:rsidP="00BC16BD">
      <w:pPr>
        <w:keepNext/>
        <w:keepLines/>
        <w:spacing w:before="240" w:line="360" w:lineRule="auto"/>
        <w:outlineLvl w:val="0"/>
        <w:rPr>
          <w:rFonts w:ascii="Palatino Linotype" w:hAnsi="Palatino Linotype"/>
          <w:b/>
          <w:lang w:val="es-MX" w:eastAsia="en-US"/>
        </w:rPr>
      </w:pPr>
      <w:bookmarkStart w:id="77" w:name="_Toc95401052"/>
      <w:r w:rsidRPr="00BC16BD">
        <w:rPr>
          <w:rFonts w:ascii="Palatino Linotype" w:hAnsi="Palatino Linotype"/>
          <w:b/>
          <w:lang w:val="es-MX" w:eastAsia="en-US"/>
        </w:rPr>
        <w:t xml:space="preserve">II. </w:t>
      </w:r>
      <w:bookmarkStart w:id="78" w:name="_Toc5890461"/>
      <w:bookmarkStart w:id="79" w:name="_Toc50062187"/>
      <w:bookmarkStart w:id="80" w:name="_Toc63348478"/>
      <w:bookmarkStart w:id="81" w:name="_Toc67598515"/>
      <w:bookmarkStart w:id="82" w:name="_Toc69999204"/>
      <w:bookmarkStart w:id="83" w:name="_Toc73033013"/>
      <w:bookmarkStart w:id="84" w:name="_Toc84433128"/>
      <w:r w:rsidRPr="00BC16BD">
        <w:rPr>
          <w:rFonts w:ascii="Palatino Linotype" w:hAnsi="Palatino Linotype"/>
          <w:b/>
          <w:lang w:val="es-MX" w:eastAsia="en-US"/>
        </w:rPr>
        <w:t>Requisitos previos.</w:t>
      </w:r>
      <w:bookmarkEnd w:id="77"/>
      <w:bookmarkEnd w:id="78"/>
      <w:bookmarkEnd w:id="79"/>
      <w:bookmarkEnd w:id="80"/>
      <w:bookmarkEnd w:id="81"/>
      <w:bookmarkEnd w:id="82"/>
      <w:bookmarkEnd w:id="83"/>
      <w:bookmarkEnd w:id="84"/>
    </w:p>
    <w:p w14:paraId="304339A6" w14:textId="77777777" w:rsidR="001D6A83" w:rsidRPr="00BC16BD" w:rsidRDefault="001D6A83" w:rsidP="00BC16BD">
      <w:pPr>
        <w:keepNext/>
        <w:keepLines/>
        <w:spacing w:before="240" w:line="360" w:lineRule="auto"/>
        <w:outlineLvl w:val="0"/>
        <w:rPr>
          <w:rFonts w:ascii="Palatino Linotype" w:hAnsi="Palatino Linotype"/>
          <w:b/>
          <w:lang w:val="es-MX" w:eastAsia="en-US"/>
        </w:rPr>
      </w:pPr>
    </w:p>
    <w:p w14:paraId="283D4B42"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lang w:val="es-ES_tradnl"/>
        </w:rPr>
        <w:t>Los</w:t>
      </w:r>
      <w:r w:rsidRPr="00BC16BD">
        <w:rPr>
          <w:rFonts w:ascii="Palatino Linotype" w:hAnsi="Palatino Linotype" w:cs="Arial"/>
          <w:color w:val="000000"/>
          <w:lang w:val="es-ES_tradnl"/>
        </w:rPr>
        <w:t xml:space="preserve"> </w:t>
      </w:r>
      <w:r w:rsidRPr="00BC16BD">
        <w:rPr>
          <w:rFonts w:ascii="Palatino Linotype" w:hAnsi="Palatino Linotype"/>
          <w:lang w:val="es-ES_tradnl"/>
        </w:rPr>
        <w:t>artículos</w:t>
      </w:r>
      <w:r w:rsidRPr="00BC16BD">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7CFCBD"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FF8CFBB"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w:t>
      </w:r>
      <w:r w:rsidRPr="00BC16BD">
        <w:rPr>
          <w:rFonts w:ascii="Palatino Linotype" w:hAnsi="Palatino Linotype" w:cs="Arial"/>
          <w:color w:val="000000"/>
          <w:lang w:val="es-ES_tradnl"/>
        </w:rPr>
        <w:lastRenderedPageBreak/>
        <w:t>dicha clasificación, a saber, cuando se atiende una solicitud de acceso a la información, porque lo determina una autoridad competente o porque se va a generar una versión pública para cumplir con sus obligaciones.</w:t>
      </w:r>
    </w:p>
    <w:p w14:paraId="2745F015" w14:textId="77777777" w:rsidR="00464C89" w:rsidRPr="00BC16BD" w:rsidRDefault="00464C89" w:rsidP="00BC16BD">
      <w:pPr>
        <w:spacing w:line="360" w:lineRule="auto"/>
        <w:ind w:left="708"/>
        <w:rPr>
          <w:rFonts w:ascii="Palatino Linotype" w:hAnsi="Palatino Linotype" w:cs="Arial"/>
          <w:color w:val="000000"/>
          <w:lang w:val="es-ES_tradnl"/>
        </w:rPr>
      </w:pPr>
    </w:p>
    <w:p w14:paraId="5ED72462" w14:textId="365988F4" w:rsidR="006A74E5"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BC16BD">
        <w:rPr>
          <w:rFonts w:ascii="Palatino Linotype" w:hAnsi="Palatino Linotype" w:cs="Arial"/>
          <w:b/>
          <w:color w:val="000000"/>
          <w:lang w:val="es-ES_tradnl"/>
        </w:rPr>
        <w:t xml:space="preserve">no se puede hacer un acuerdo para clasificar de manera general todos los documentos de un expediente o área,  </w:t>
      </w:r>
      <w:r w:rsidRPr="00BC16BD">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3E7D421" w14:textId="77777777" w:rsidR="006A74E5" w:rsidRPr="00BC16BD" w:rsidRDefault="006A74E5" w:rsidP="00BC16BD">
      <w:pPr>
        <w:spacing w:before="240" w:after="240" w:line="360" w:lineRule="auto"/>
        <w:contextualSpacing/>
        <w:jc w:val="both"/>
        <w:rPr>
          <w:rFonts w:ascii="Palatino Linotype" w:hAnsi="Palatino Linotype" w:cs="Arial"/>
          <w:color w:val="000000"/>
          <w:lang w:val="es-ES_tradnl"/>
        </w:rPr>
      </w:pPr>
    </w:p>
    <w:p w14:paraId="5615F4F5" w14:textId="77777777" w:rsidR="00464C89" w:rsidRPr="00BC16BD" w:rsidRDefault="00464C89" w:rsidP="00BC16BD">
      <w:pPr>
        <w:keepNext/>
        <w:keepLines/>
        <w:spacing w:before="240" w:line="360" w:lineRule="auto"/>
        <w:outlineLvl w:val="0"/>
        <w:rPr>
          <w:rFonts w:ascii="Palatino Linotype" w:hAnsi="Palatino Linotype" w:cs="Arial"/>
          <w:color w:val="000000"/>
          <w:lang w:val="es-ES_tradnl"/>
        </w:rPr>
      </w:pPr>
      <w:bookmarkStart w:id="85" w:name="_Toc5890462"/>
      <w:bookmarkStart w:id="86" w:name="_Toc50062188"/>
      <w:bookmarkStart w:id="87" w:name="_Toc63348479"/>
      <w:bookmarkStart w:id="88" w:name="_Toc67598516"/>
      <w:bookmarkStart w:id="89" w:name="_Toc69999205"/>
      <w:bookmarkStart w:id="90" w:name="_Toc73033014"/>
      <w:bookmarkStart w:id="91" w:name="_Toc84433129"/>
      <w:bookmarkStart w:id="92" w:name="_Toc95401053"/>
      <w:r w:rsidRPr="00BC16BD">
        <w:rPr>
          <w:rFonts w:ascii="Palatino Linotype" w:hAnsi="Palatino Linotype"/>
          <w:b/>
          <w:lang w:val="es-MX" w:eastAsia="en-US"/>
        </w:rPr>
        <w:t>III</w:t>
      </w:r>
      <w:bookmarkStart w:id="93" w:name="_Toc5890463"/>
      <w:bookmarkStart w:id="94" w:name="_Toc50062189"/>
      <w:bookmarkStart w:id="95" w:name="_Toc63348480"/>
      <w:bookmarkStart w:id="96" w:name="_Toc67598517"/>
      <w:bookmarkStart w:id="97" w:name="_Toc69999206"/>
      <w:bookmarkStart w:id="98" w:name="_Toc73033015"/>
      <w:bookmarkEnd w:id="85"/>
      <w:bookmarkEnd w:id="86"/>
      <w:bookmarkEnd w:id="87"/>
      <w:bookmarkEnd w:id="88"/>
      <w:bookmarkEnd w:id="89"/>
      <w:bookmarkEnd w:id="90"/>
      <w:r w:rsidRPr="00BC16BD">
        <w:rPr>
          <w:rFonts w:ascii="Palatino Linotype" w:hAnsi="Palatino Linotype"/>
          <w:b/>
          <w:lang w:val="es-MX" w:eastAsia="en-US"/>
        </w:rPr>
        <w:t>. La intervención del comité de transparencia.</w:t>
      </w:r>
      <w:bookmarkEnd w:id="91"/>
      <w:bookmarkEnd w:id="92"/>
      <w:bookmarkEnd w:id="93"/>
      <w:bookmarkEnd w:id="94"/>
      <w:bookmarkEnd w:id="95"/>
      <w:bookmarkEnd w:id="96"/>
      <w:bookmarkEnd w:id="97"/>
      <w:bookmarkEnd w:id="98"/>
    </w:p>
    <w:p w14:paraId="23633B97" w14:textId="77777777" w:rsidR="00464C89" w:rsidRPr="00BC16BD" w:rsidRDefault="00464C89" w:rsidP="00BC16BD">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99" w:name="_Toc5890464"/>
      <w:bookmarkStart w:id="100" w:name="_Toc50062190"/>
      <w:bookmarkStart w:id="101" w:name="_Toc63348481"/>
      <w:bookmarkStart w:id="102" w:name="_Toc67598518"/>
      <w:bookmarkStart w:id="103" w:name="_Toc69999207"/>
      <w:bookmarkStart w:id="104" w:name="_Toc73033016"/>
      <w:bookmarkStart w:id="105" w:name="_Toc84433130"/>
      <w:bookmarkStart w:id="106" w:name="_Toc95401054"/>
      <w:r w:rsidRPr="00BC16BD">
        <w:rPr>
          <w:rFonts w:ascii="Palatino Linotype" w:hAnsi="Palatino Linotype"/>
          <w:b/>
          <w:lang w:val="es-MX" w:eastAsia="en-US"/>
        </w:rPr>
        <w:t>Formalidades para emitir el acuerdo de clasificación.</w:t>
      </w:r>
      <w:bookmarkEnd w:id="99"/>
      <w:bookmarkEnd w:id="100"/>
      <w:bookmarkEnd w:id="101"/>
      <w:bookmarkEnd w:id="102"/>
      <w:bookmarkEnd w:id="103"/>
      <w:bookmarkEnd w:id="104"/>
      <w:bookmarkEnd w:id="105"/>
      <w:bookmarkEnd w:id="106"/>
    </w:p>
    <w:p w14:paraId="30F1C881"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BC16BD">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BC16BD">
        <w:rPr>
          <w:rFonts w:ascii="Palatino Linotype" w:hAnsi="Palatino Linotype"/>
          <w:lang w:val="es-ES_tradnl"/>
        </w:rPr>
        <w:t xml:space="preserve">la fracción III del numeral Segundo de los </w:t>
      </w:r>
      <w:r w:rsidRPr="00BC16BD">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BC16BD">
        <w:rPr>
          <w:rFonts w:ascii="Palatino Linotype" w:hAnsi="Palatino Linotype"/>
          <w:lang w:val="es-ES_tradnl"/>
        </w:rPr>
        <w:t xml:space="preserve"> </w:t>
      </w:r>
      <w:r w:rsidRPr="00BC16BD">
        <w:rPr>
          <w:rFonts w:ascii="Palatino Linotype" w:hAnsi="Palatino Linotype" w:cs="Arial"/>
          <w:color w:val="000000"/>
          <w:lang w:val="es-ES_tradnl"/>
        </w:rPr>
        <w:t xml:space="preserve">cuenta con las facultades para </w:t>
      </w:r>
      <w:r w:rsidRPr="00BC16BD">
        <w:rPr>
          <w:rFonts w:ascii="Palatino Linotype" w:hAnsi="Palatino Linotype" w:cs="Arial"/>
          <w:b/>
          <w:color w:val="000000"/>
          <w:lang w:val="es-ES_tradnl"/>
        </w:rPr>
        <w:t>confirmar, modificar o revocar</w:t>
      </w:r>
      <w:r w:rsidRPr="00BC16BD">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BC16BD">
        <w:rPr>
          <w:rFonts w:ascii="Palatino Linotype" w:hAnsi="Palatino Linotype" w:cs="Arial"/>
          <w:b/>
          <w:color w:val="000000"/>
          <w:lang w:val="es-ES_tradnl"/>
        </w:rPr>
        <w:t>no aprueba</w:t>
      </w:r>
      <w:r w:rsidRPr="00BC16BD">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6A5BCA1" w14:textId="77777777" w:rsidR="00464C89" w:rsidRPr="00BC16BD" w:rsidRDefault="00464C89" w:rsidP="00BC16BD">
      <w:pPr>
        <w:spacing w:before="240" w:after="240" w:line="360" w:lineRule="auto"/>
        <w:contextualSpacing/>
        <w:jc w:val="both"/>
        <w:rPr>
          <w:rFonts w:ascii="Palatino Linotype" w:hAnsi="Palatino Linotype"/>
          <w:lang w:val="es-ES_tradnl" w:eastAsia="es-ES_tradnl"/>
        </w:rPr>
      </w:pPr>
    </w:p>
    <w:p w14:paraId="5F423611"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BC16BD">
        <w:rPr>
          <w:rFonts w:ascii="Palatino Linotype" w:hAnsi="Palatino Linotype" w:cs="Arial"/>
          <w:color w:val="000000"/>
          <w:lang w:val="es-ES_tradnl"/>
        </w:rPr>
        <w:lastRenderedPageBreak/>
        <w:t xml:space="preserve">Evidentemente, esta decisión implica una restricción a un derecho humano, por lo tanto, puede generar un agravio al particular y, en consecuencia, es necesario que </w:t>
      </w:r>
      <w:r w:rsidRPr="00BC16BD">
        <w:rPr>
          <w:rFonts w:ascii="Palatino Linotype" w:hAnsi="Palatino Linotype" w:cs="Arial"/>
          <w:b/>
          <w:color w:val="000000"/>
          <w:lang w:val="es-ES_tradnl"/>
        </w:rPr>
        <w:t>el acto reúna con los requisitos elementales</w:t>
      </w:r>
      <w:r w:rsidRPr="00BC16BD">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A211241" w14:textId="77777777" w:rsidR="00464C89" w:rsidRPr="00BC16BD" w:rsidRDefault="00464C89" w:rsidP="00BC16BD">
      <w:pPr>
        <w:spacing w:line="360" w:lineRule="auto"/>
        <w:ind w:left="708"/>
        <w:rPr>
          <w:rFonts w:ascii="Palatino Linotype" w:hAnsi="Palatino Linotype"/>
          <w:lang w:val="es-ES_tradnl"/>
        </w:rPr>
      </w:pPr>
    </w:p>
    <w:p w14:paraId="31C6068E"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BC16BD">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11FEFF" w14:textId="77777777" w:rsidR="001D6A83" w:rsidRPr="00BC16BD" w:rsidRDefault="001D6A83" w:rsidP="00BC16BD">
      <w:pPr>
        <w:spacing w:before="240" w:after="240" w:line="360" w:lineRule="auto"/>
        <w:contextualSpacing/>
        <w:jc w:val="both"/>
        <w:rPr>
          <w:rFonts w:ascii="Palatino Linotype" w:hAnsi="Palatino Linotype"/>
          <w:lang w:val="es-ES_tradnl" w:eastAsia="es-ES_tradnl"/>
        </w:rPr>
      </w:pPr>
    </w:p>
    <w:p w14:paraId="026B71F7" w14:textId="7D6BEBD5" w:rsidR="001D6A83" w:rsidRPr="00BC16BD" w:rsidRDefault="00464C89" w:rsidP="00BC16BD">
      <w:pPr>
        <w:pStyle w:val="Prrafodelista"/>
        <w:keepNext/>
        <w:keepLines/>
        <w:numPr>
          <w:ilvl w:val="0"/>
          <w:numId w:val="21"/>
        </w:numPr>
        <w:spacing w:before="240" w:line="360" w:lineRule="auto"/>
        <w:ind w:left="142" w:hanging="142"/>
        <w:outlineLvl w:val="0"/>
        <w:rPr>
          <w:rFonts w:ascii="Palatino Linotype" w:hAnsi="Palatino Linotype"/>
          <w:b/>
          <w:lang w:val="es-MX" w:eastAsia="en-US"/>
        </w:rPr>
      </w:pPr>
      <w:bookmarkStart w:id="107" w:name="_Toc63348482"/>
      <w:bookmarkStart w:id="108" w:name="_Toc67598519"/>
      <w:bookmarkStart w:id="109" w:name="_Toc69999208"/>
      <w:bookmarkStart w:id="110" w:name="_Toc73033017"/>
      <w:bookmarkStart w:id="111" w:name="_Toc84433131"/>
      <w:bookmarkStart w:id="112" w:name="_Toc5890465"/>
      <w:bookmarkStart w:id="113" w:name="_Toc50062191"/>
      <w:bookmarkStart w:id="114" w:name="_Toc95401055"/>
      <w:r w:rsidRPr="00BC16BD">
        <w:rPr>
          <w:rFonts w:ascii="Palatino Linotype" w:hAnsi="Palatino Linotype"/>
          <w:b/>
          <w:lang w:val="es-MX" w:eastAsia="en-US"/>
        </w:rPr>
        <w:t>Requisitos de fondo del acuerdo de clasificación.</w:t>
      </w:r>
      <w:bookmarkEnd w:id="107"/>
      <w:bookmarkEnd w:id="108"/>
      <w:bookmarkEnd w:id="109"/>
      <w:bookmarkEnd w:id="110"/>
      <w:bookmarkEnd w:id="111"/>
      <w:bookmarkEnd w:id="112"/>
      <w:bookmarkEnd w:id="113"/>
      <w:bookmarkEnd w:id="114"/>
    </w:p>
    <w:p w14:paraId="45E4F634" w14:textId="287D7A2E"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w:t>
      </w:r>
      <w:r w:rsidRPr="00BC16BD">
        <w:rPr>
          <w:rFonts w:ascii="Palatino Linotype" w:hAnsi="Palatino Linotype" w:cs="Arial"/>
          <w:color w:val="000000"/>
          <w:lang w:val="es-ES_tradn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694F4C" w:rsidRPr="00BC16BD">
        <w:rPr>
          <w:rFonts w:ascii="Palatino Linotype" w:hAnsi="Palatino Linotype" w:cs="Arial"/>
          <w:color w:val="000000"/>
          <w:lang w:val="es-ES_tradnl"/>
        </w:rPr>
        <w:t>Generales, al</w:t>
      </w:r>
      <w:r w:rsidRPr="00BC16BD">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7BC60A12"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777D44EE" w14:textId="47665822"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lang w:val="es-ES_tradnl"/>
        </w:rPr>
        <w:t xml:space="preserve">De lo anterior, se desprende </w:t>
      </w:r>
      <w:r w:rsidR="00694F4C" w:rsidRPr="00BC16BD">
        <w:rPr>
          <w:rFonts w:ascii="Palatino Linotype" w:hAnsi="Palatino Linotype"/>
          <w:lang w:val="es-ES_tradnl"/>
        </w:rPr>
        <w:t>que,</w:t>
      </w:r>
      <w:r w:rsidRPr="00BC16BD">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CA49FC" w14:textId="77777777" w:rsidR="00464C89" w:rsidRPr="00BC16BD" w:rsidRDefault="00464C89" w:rsidP="00BC16BD">
      <w:pPr>
        <w:spacing w:line="360" w:lineRule="auto"/>
        <w:ind w:left="708"/>
        <w:rPr>
          <w:rFonts w:ascii="Palatino Linotype" w:hAnsi="Palatino Linotype" w:cs="Arial"/>
          <w:color w:val="000000"/>
          <w:lang w:val="es-ES_tradnl"/>
        </w:rPr>
      </w:pPr>
    </w:p>
    <w:p w14:paraId="3A851533"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E8B1867"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BC16BD">
        <w:rPr>
          <w:rFonts w:ascii="Palatino Linotype" w:hAnsi="Palatino Linotype" w:cs="Arial"/>
          <w:color w:val="222222"/>
          <w:lang w:val="es-ES_tradnl" w:eastAsia="es-MX"/>
        </w:rPr>
        <w:lastRenderedPageBreak/>
        <w:t>cuales llegaron a la conclusión de que esos hechos son ciertos, normalmente a partir del análisis de las pruebas, lo cual se debe exteriorizar en una argumentación o juicio de hecho...”</w:t>
      </w:r>
      <w:r w:rsidRPr="00BC16BD">
        <w:rPr>
          <w:rFonts w:ascii="Palatino Linotype" w:hAnsi="Palatino Linotype"/>
          <w:vertAlign w:val="superscript"/>
          <w:lang w:val="es-ES_tradnl"/>
        </w:rPr>
        <w:footnoteReference w:id="14"/>
      </w:r>
    </w:p>
    <w:p w14:paraId="5933D6D9" w14:textId="77777777" w:rsidR="00464C89" w:rsidRPr="00BC16BD" w:rsidRDefault="00464C89" w:rsidP="00BC16BD">
      <w:pPr>
        <w:spacing w:line="360" w:lineRule="auto"/>
        <w:ind w:left="708"/>
        <w:rPr>
          <w:rFonts w:ascii="Palatino Linotype" w:hAnsi="Palatino Linotype" w:cs="Arial"/>
          <w:color w:val="222222"/>
          <w:lang w:val="es-ES_tradnl" w:eastAsia="es-MX"/>
        </w:rPr>
      </w:pPr>
    </w:p>
    <w:p w14:paraId="34C61BD9"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2F272595"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0BD97F20"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b/>
          <w:i/>
          <w:color w:val="000000"/>
          <w:lang w:val="es-ES_tradnl"/>
        </w:rPr>
        <w:t>FUNDAMENTACIÓN Y MOTIVACIÓN.</w:t>
      </w:r>
      <w:r w:rsidRPr="00BC16BD">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EEB8BB"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SEGUNDO TRIBUNAL COLEGIADO DEL SEXTO CIRCUITO.</w:t>
      </w:r>
    </w:p>
    <w:p w14:paraId="2E31AA10"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4255F045"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75EF5357"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lastRenderedPageBreak/>
        <w:t>Amparo en revisión 333/88. Adilia Romero. 26 de octubre de 1988. Unanimidad de votos. Ponente: Arnoldo Nájera Virgen. Secretario: Enrique Crispín Campos Ramírez.</w:t>
      </w:r>
    </w:p>
    <w:p w14:paraId="795D2D5C"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6A20CE6"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11D58B61" w14:textId="77777777" w:rsidR="00464C89" w:rsidRPr="00BC16BD" w:rsidRDefault="00464C89" w:rsidP="00BC16BD">
      <w:pPr>
        <w:spacing w:line="360" w:lineRule="auto"/>
        <w:contextualSpacing/>
        <w:jc w:val="both"/>
        <w:rPr>
          <w:rFonts w:ascii="Palatino Linotype" w:hAnsi="Palatino Linotype" w:cs="Arial"/>
          <w:i/>
          <w:color w:val="000000"/>
          <w:lang w:val="es-ES_tradnl"/>
        </w:rPr>
      </w:pPr>
    </w:p>
    <w:p w14:paraId="4850C814"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1877D0"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6BB94A84"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6C8FA2"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65CF000F"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514220DB"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70F3507D" w14:textId="77777777" w:rsidR="00464C89" w:rsidRPr="00BC16BD" w:rsidRDefault="00464C89" w:rsidP="00BC16BD">
      <w:pPr>
        <w:spacing w:line="360" w:lineRule="auto"/>
        <w:ind w:left="708"/>
        <w:rPr>
          <w:rFonts w:ascii="Palatino Linotype" w:hAnsi="Palatino Linotype" w:cs="Arial"/>
          <w:color w:val="222222"/>
          <w:lang w:val="es-ES_tradnl" w:eastAsia="es-MX"/>
        </w:rPr>
      </w:pPr>
    </w:p>
    <w:p w14:paraId="4163D0EF"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 xml:space="preserve">Ahora bien, </w:t>
      </w:r>
      <w:r w:rsidRPr="00BC16BD">
        <w:rPr>
          <w:rFonts w:ascii="Palatino Linotype" w:hAnsi="Palatino Linotype" w:cs="Arial"/>
          <w:b/>
          <w:color w:val="222222"/>
          <w:lang w:val="es-ES_tradnl" w:eastAsia="es-MX"/>
        </w:rPr>
        <w:t>para cada caso además de fundar y motivar</w:t>
      </w:r>
      <w:r w:rsidRPr="00BC16BD">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BC16BD">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2D532EAD" w14:textId="2BB033B0" w:rsidR="00464C89" w:rsidRPr="00BC16BD" w:rsidRDefault="00B6182F" w:rsidP="00775A1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eastAsia="Calibri" w:hAnsi="Palatino Linotype" w:cs="Arial"/>
          <w:lang w:eastAsia="es-MX"/>
        </w:rPr>
        <w:t>Finalmente,</w:t>
      </w:r>
      <w:r w:rsidR="00464C89" w:rsidRPr="00BC16BD">
        <w:rPr>
          <w:rFonts w:ascii="Palatino Linotype" w:eastAsia="Calibri" w:hAnsi="Palatino Linotype" w:cs="Arial"/>
          <w:lang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6B32721F" w14:textId="77777777" w:rsidR="00464C89" w:rsidRPr="00BC16BD" w:rsidRDefault="00464C89" w:rsidP="00BC16BD">
      <w:pPr>
        <w:spacing w:before="240" w:after="240" w:line="360" w:lineRule="auto"/>
        <w:contextualSpacing/>
        <w:jc w:val="both"/>
        <w:rPr>
          <w:rFonts w:ascii="Palatino Linotype" w:eastAsia="Calibri" w:hAnsi="Palatino Linotype" w:cs="Arial"/>
          <w:lang w:eastAsia="es-MX"/>
        </w:rPr>
      </w:pPr>
    </w:p>
    <w:p w14:paraId="0950EFD9" w14:textId="77777777" w:rsidR="00464C89" w:rsidRPr="00BC16BD" w:rsidRDefault="00464C89" w:rsidP="00BC16BD">
      <w:pPr>
        <w:keepNext/>
        <w:keepLines/>
        <w:spacing w:before="240" w:line="360" w:lineRule="auto"/>
        <w:jc w:val="both"/>
        <w:outlineLvl w:val="0"/>
        <w:rPr>
          <w:rFonts w:ascii="Palatino Linotype" w:hAnsi="Palatino Linotype"/>
          <w:b/>
          <w:lang w:val="es-MX" w:eastAsia="en-US"/>
        </w:rPr>
      </w:pPr>
      <w:bookmarkStart w:id="115" w:name="_Toc5711929"/>
      <w:bookmarkStart w:id="116" w:name="_Toc5890466"/>
      <w:bookmarkStart w:id="117" w:name="_Toc50062192"/>
      <w:bookmarkStart w:id="118" w:name="_Toc63348483"/>
      <w:bookmarkStart w:id="119" w:name="_Toc67598520"/>
      <w:bookmarkStart w:id="120" w:name="_Toc69999209"/>
      <w:bookmarkStart w:id="121" w:name="_Toc73033018"/>
      <w:bookmarkStart w:id="122" w:name="_Toc84433132"/>
      <w:bookmarkStart w:id="123" w:name="_Toc95401056"/>
      <w:r w:rsidRPr="00BC16BD">
        <w:rPr>
          <w:rFonts w:ascii="Palatino Linotype" w:hAnsi="Palatino Linotype"/>
          <w:b/>
          <w:lang w:val="es-MX" w:eastAsia="en-US"/>
        </w:rPr>
        <w:t>IV. Condiciones especiales de la clasificación de la información como confidencial.</w:t>
      </w:r>
      <w:bookmarkEnd w:id="115"/>
      <w:bookmarkEnd w:id="116"/>
      <w:bookmarkEnd w:id="117"/>
      <w:bookmarkEnd w:id="118"/>
      <w:bookmarkEnd w:id="119"/>
      <w:bookmarkEnd w:id="120"/>
      <w:bookmarkEnd w:id="121"/>
      <w:bookmarkEnd w:id="122"/>
      <w:bookmarkEnd w:id="123"/>
    </w:p>
    <w:p w14:paraId="010E108F" w14:textId="77777777" w:rsidR="00464C89" w:rsidRPr="00BC16BD" w:rsidRDefault="00464C89" w:rsidP="00BC16BD">
      <w:pPr>
        <w:keepNext/>
        <w:keepLines/>
        <w:spacing w:before="240" w:line="360" w:lineRule="auto"/>
        <w:jc w:val="both"/>
        <w:outlineLvl w:val="0"/>
        <w:rPr>
          <w:rFonts w:ascii="Palatino Linotype" w:hAnsi="Palatino Linotype"/>
          <w:b/>
          <w:lang w:val="es-MX" w:eastAsia="en-US"/>
        </w:rPr>
      </w:pPr>
    </w:p>
    <w:p w14:paraId="139DDE52" w14:textId="77777777" w:rsidR="00464C89" w:rsidRPr="00BC16BD" w:rsidRDefault="00464C89" w:rsidP="00775A11">
      <w:pPr>
        <w:numPr>
          <w:ilvl w:val="0"/>
          <w:numId w:val="5"/>
        </w:numPr>
        <w:spacing w:before="240" w:after="240" w:line="360" w:lineRule="auto"/>
        <w:ind w:left="-142" w:firstLine="142"/>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A66B540"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414425D7"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6E6C732B"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518B3AD9"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bCs/>
          <w:i/>
          <w:color w:val="000000"/>
          <w:lang w:val="es-ES_tradnl"/>
        </w:rPr>
        <w:t xml:space="preserve">I. </w:t>
      </w:r>
      <w:r w:rsidRPr="00BC16BD">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655D64FB"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bCs/>
          <w:i/>
          <w:color w:val="000000"/>
          <w:lang w:val="es-ES_tradnl"/>
        </w:rPr>
        <w:t xml:space="preserve">II. </w:t>
      </w:r>
      <w:r w:rsidRPr="00BC16BD">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F7DC55"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bCs/>
          <w:i/>
          <w:color w:val="000000"/>
          <w:lang w:val="es-ES_tradnl"/>
        </w:rPr>
        <w:t xml:space="preserve">III. </w:t>
      </w:r>
      <w:r w:rsidRPr="00BC16BD">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21CC78FB"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3C49EF54"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BC16BD">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7B6F418E"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BC16BD">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7632CED5"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635B11A"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Como consecuencia de lo anterior, el </w:t>
      </w:r>
      <w:r w:rsidRPr="00BC16BD">
        <w:rPr>
          <w:rFonts w:ascii="Palatino Linotype" w:hAnsi="Palatino Linotype" w:cs="Arial"/>
          <w:b/>
          <w:color w:val="000000"/>
          <w:lang w:val="es-ES_tradnl"/>
        </w:rPr>
        <w:t>SUJETO OBLIGADO</w:t>
      </w:r>
      <w:r w:rsidRPr="00BC16BD">
        <w:rPr>
          <w:rFonts w:ascii="Palatino Linotype" w:hAnsi="Palatino Linotype" w:cs="Arial"/>
          <w:color w:val="000000"/>
          <w:lang w:val="es-ES_tradnl"/>
        </w:rPr>
        <w:t xml:space="preserve"> debe identificar claramente el tipo de información y hacer un juicio de subsunción o encaje</w:t>
      </w:r>
      <w:r w:rsidRPr="00BC16BD">
        <w:rPr>
          <w:rFonts w:ascii="Palatino Linotype" w:hAnsi="Palatino Linotype"/>
          <w:vertAlign w:val="superscript"/>
          <w:lang w:val="es-ES_tradnl"/>
        </w:rPr>
        <w:footnoteReference w:id="15"/>
      </w:r>
      <w:r w:rsidRPr="00BC16BD">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24D7DF54" w14:textId="77777777" w:rsidR="00464C89" w:rsidRPr="00BC16BD" w:rsidRDefault="00464C89" w:rsidP="00BC16BD">
      <w:pPr>
        <w:spacing w:line="360" w:lineRule="auto"/>
        <w:ind w:left="708"/>
        <w:rPr>
          <w:rFonts w:ascii="Palatino Linotype" w:hAnsi="Palatino Linotype" w:cs="Arial"/>
          <w:color w:val="000000"/>
          <w:lang w:val="es-ES_tradnl"/>
        </w:rPr>
      </w:pPr>
    </w:p>
    <w:p w14:paraId="089F6BCA" w14:textId="77777777" w:rsidR="00464C89" w:rsidRPr="00BC16BD" w:rsidRDefault="00464C89" w:rsidP="00775A1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F6E8CA" w14:textId="77777777" w:rsidR="00464C89" w:rsidRPr="00BC16BD" w:rsidRDefault="00464C89" w:rsidP="00BC16BD">
      <w:pPr>
        <w:spacing w:line="360" w:lineRule="auto"/>
        <w:ind w:left="708"/>
        <w:rPr>
          <w:rFonts w:ascii="Palatino Linotype" w:hAnsi="Palatino Linotype" w:cs="Arial"/>
          <w:color w:val="000000"/>
          <w:lang w:val="es-ES_tradnl"/>
        </w:rPr>
      </w:pPr>
    </w:p>
    <w:p w14:paraId="294D875E"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E4EEFE7" w14:textId="77777777" w:rsidR="00464C89" w:rsidRPr="00BC16BD" w:rsidRDefault="00464C89" w:rsidP="00BC16BD">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124" w:name="_Toc5711930"/>
      <w:bookmarkStart w:id="125" w:name="_Toc5890467"/>
      <w:bookmarkStart w:id="126" w:name="_Toc50062193"/>
      <w:r w:rsidRPr="00BC16BD">
        <w:rPr>
          <w:rFonts w:ascii="Palatino Linotype" w:eastAsia="MS Gothic" w:hAnsi="Palatino Linotype"/>
          <w:b/>
          <w:lang w:val="es-MX" w:eastAsia="en-US"/>
        </w:rPr>
        <w:lastRenderedPageBreak/>
        <w:t xml:space="preserve"> </w:t>
      </w:r>
      <w:bookmarkStart w:id="127" w:name="_Toc63348484"/>
      <w:bookmarkStart w:id="128" w:name="_Toc67598521"/>
      <w:bookmarkStart w:id="129" w:name="_Toc69999210"/>
      <w:bookmarkStart w:id="130" w:name="_Toc73033019"/>
      <w:bookmarkStart w:id="131" w:name="_Toc84433133"/>
      <w:bookmarkStart w:id="132" w:name="_Toc95401057"/>
      <w:r w:rsidRPr="00BC16BD">
        <w:rPr>
          <w:rFonts w:ascii="Palatino Linotype" w:eastAsia="MS Gothic" w:hAnsi="Palatino Linotype"/>
          <w:b/>
          <w:lang w:val="es-MX" w:eastAsia="en-US"/>
        </w:rPr>
        <w:t>Del consentimiento.</w:t>
      </w:r>
      <w:bookmarkEnd w:id="124"/>
      <w:bookmarkEnd w:id="125"/>
      <w:bookmarkEnd w:id="126"/>
      <w:bookmarkEnd w:id="127"/>
      <w:bookmarkEnd w:id="128"/>
      <w:bookmarkEnd w:id="129"/>
      <w:bookmarkEnd w:id="130"/>
      <w:bookmarkEnd w:id="131"/>
      <w:bookmarkEnd w:id="132"/>
    </w:p>
    <w:p w14:paraId="555620B9" w14:textId="77777777" w:rsidR="00464C89" w:rsidRPr="00BC16BD" w:rsidRDefault="00464C89" w:rsidP="00BC16BD">
      <w:pPr>
        <w:spacing w:line="360" w:lineRule="auto"/>
        <w:rPr>
          <w:rFonts w:ascii="Palatino Linotype" w:eastAsia="MS Mincho" w:hAnsi="Palatino Linotype"/>
          <w:lang w:val="es-MX" w:eastAsia="en-US"/>
        </w:rPr>
      </w:pPr>
    </w:p>
    <w:p w14:paraId="64322EB3" w14:textId="44137D98" w:rsidR="00464C89" w:rsidRPr="00BC16BD" w:rsidRDefault="00464C89" w:rsidP="00775A11">
      <w:pPr>
        <w:numPr>
          <w:ilvl w:val="0"/>
          <w:numId w:val="5"/>
        </w:numPr>
        <w:spacing w:after="120" w:line="360" w:lineRule="auto"/>
        <w:ind w:left="0" w:right="49" w:firstLine="0"/>
        <w:contextualSpacing/>
        <w:jc w:val="both"/>
        <w:rPr>
          <w:rFonts w:ascii="Palatino Linotype" w:eastAsia="MS Mincho" w:hAnsi="Palatino Linotype" w:cs="Arial"/>
          <w:color w:val="000000"/>
          <w:lang w:val="es-ES_tradnl"/>
        </w:rPr>
      </w:pPr>
      <w:r w:rsidRPr="00BC16BD">
        <w:rPr>
          <w:rFonts w:ascii="Palatino Linotype" w:eastAsia="MS Mincho" w:hAnsi="Palatino Linotype" w:cs="Arial"/>
          <w:color w:val="000000"/>
          <w:lang w:val="es-ES_tradnl"/>
        </w:rPr>
        <w:t xml:space="preserve">Los artículos 148 y 120 de la Ley Estatal y de la Ley General, respectivamente, establecen </w:t>
      </w:r>
      <w:r w:rsidR="00B6182F" w:rsidRPr="00BC16BD">
        <w:rPr>
          <w:rFonts w:ascii="Palatino Linotype" w:eastAsia="MS Mincho" w:hAnsi="Palatino Linotype" w:cs="Arial"/>
          <w:color w:val="000000"/>
          <w:lang w:val="es-ES_tradnl"/>
        </w:rPr>
        <w:t>que,</w:t>
      </w:r>
      <w:r w:rsidRPr="00BC16BD">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74366C87" w14:textId="77777777" w:rsidR="00464C89" w:rsidRPr="00BC16BD" w:rsidRDefault="00464C89" w:rsidP="00BC16BD">
      <w:pPr>
        <w:spacing w:after="120" w:line="360" w:lineRule="auto"/>
        <w:ind w:left="426" w:right="49" w:hanging="426"/>
        <w:contextualSpacing/>
        <w:jc w:val="both"/>
        <w:rPr>
          <w:rFonts w:ascii="Palatino Linotype" w:eastAsia="MS Mincho" w:hAnsi="Palatino Linotype" w:cs="Arial"/>
          <w:color w:val="000000"/>
          <w:lang w:val="es-ES_tradnl"/>
        </w:rPr>
      </w:pPr>
    </w:p>
    <w:p w14:paraId="66EE7FA3"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bCs/>
          <w:i/>
          <w:color w:val="000000"/>
          <w:lang w:val="es-MX"/>
        </w:rPr>
      </w:pPr>
      <w:r w:rsidRPr="00BC16BD">
        <w:rPr>
          <w:rFonts w:ascii="Palatino Linotype" w:eastAsia="MS Mincho" w:hAnsi="Palatino Linotype" w:cs="Arial"/>
          <w:bCs/>
          <w:i/>
          <w:color w:val="000000"/>
          <w:lang w:val="es-MX"/>
        </w:rPr>
        <w:t>I.</w:t>
      </w:r>
      <w:r w:rsidRPr="00BC16BD">
        <w:rPr>
          <w:rFonts w:ascii="Palatino Linotype" w:eastAsia="MS Mincho" w:hAnsi="Palatino Linotype" w:cs="Arial"/>
          <w:i/>
          <w:color w:val="000000"/>
          <w:lang w:val="es-MX"/>
        </w:rPr>
        <w:t xml:space="preserve"> La información se encuentre en registros públicos o fuentes de acceso público;</w:t>
      </w:r>
    </w:p>
    <w:p w14:paraId="66A36F26"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bCs/>
          <w:i/>
          <w:color w:val="000000"/>
          <w:lang w:val="es-MX"/>
        </w:rPr>
      </w:pPr>
      <w:r w:rsidRPr="00BC16BD">
        <w:rPr>
          <w:rFonts w:ascii="Palatino Linotype" w:eastAsia="MS Mincho" w:hAnsi="Palatino Linotype" w:cs="Arial"/>
          <w:bCs/>
          <w:i/>
          <w:color w:val="000000"/>
          <w:lang w:val="es-MX"/>
        </w:rPr>
        <w:t xml:space="preserve">II. </w:t>
      </w:r>
      <w:r w:rsidRPr="00BC16BD">
        <w:rPr>
          <w:rFonts w:ascii="Palatino Linotype" w:eastAsia="MS Mincho" w:hAnsi="Palatino Linotype" w:cs="Arial"/>
          <w:i/>
          <w:color w:val="000000"/>
          <w:lang w:val="es-MX"/>
        </w:rPr>
        <w:t>Por Ley tenga el carácter de pública;</w:t>
      </w:r>
    </w:p>
    <w:p w14:paraId="26EBE3F7"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i/>
          <w:color w:val="000000"/>
          <w:lang w:val="es-MX"/>
        </w:rPr>
      </w:pPr>
      <w:r w:rsidRPr="00BC16BD">
        <w:rPr>
          <w:rFonts w:ascii="Palatino Linotype" w:eastAsia="MS Mincho" w:hAnsi="Palatino Linotype" w:cs="Arial"/>
          <w:bCs/>
          <w:i/>
          <w:color w:val="000000"/>
          <w:lang w:val="es-MX"/>
        </w:rPr>
        <w:t xml:space="preserve">III. </w:t>
      </w:r>
      <w:r w:rsidRPr="00BC16BD">
        <w:rPr>
          <w:rFonts w:ascii="Palatino Linotype" w:eastAsia="MS Mincho" w:hAnsi="Palatino Linotype" w:cs="Arial"/>
          <w:i/>
          <w:color w:val="000000"/>
          <w:lang w:val="es-MX"/>
        </w:rPr>
        <w:t xml:space="preserve">Exista una orden judicial; </w:t>
      </w:r>
    </w:p>
    <w:p w14:paraId="4295486E"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i/>
          <w:color w:val="000000"/>
          <w:lang w:val="es-MX"/>
        </w:rPr>
      </w:pPr>
      <w:r w:rsidRPr="00BC16BD">
        <w:rPr>
          <w:rFonts w:ascii="Palatino Linotype" w:eastAsia="MS Mincho" w:hAnsi="Palatino Linotype" w:cs="Arial"/>
          <w:bCs/>
          <w:i/>
          <w:color w:val="000000"/>
          <w:lang w:val="es-MX"/>
        </w:rPr>
        <w:t xml:space="preserve">IV. </w:t>
      </w:r>
      <w:r w:rsidRPr="00BC16BD">
        <w:rPr>
          <w:rFonts w:ascii="Palatino Linotype" w:eastAsia="MS Mincho" w:hAnsi="Palatino Linotype" w:cs="Arial"/>
          <w:i/>
          <w:color w:val="000000"/>
          <w:lang w:val="es-MX"/>
        </w:rPr>
        <w:t xml:space="preserve">Por razones de seguridad pública, o para proteger los derechos de terceros, se requiera su publicación; o </w:t>
      </w:r>
    </w:p>
    <w:p w14:paraId="74088BA9"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i/>
          <w:color w:val="000000"/>
          <w:lang w:val="es-MX"/>
        </w:rPr>
      </w:pPr>
      <w:r w:rsidRPr="00BC16BD">
        <w:rPr>
          <w:rFonts w:ascii="Palatino Linotype" w:eastAsia="MS Mincho" w:hAnsi="Palatino Linotype" w:cs="Arial"/>
          <w:bCs/>
          <w:i/>
          <w:color w:val="000000"/>
          <w:lang w:val="es-MX"/>
        </w:rPr>
        <w:t xml:space="preserve">V. </w:t>
      </w:r>
      <w:r w:rsidRPr="00BC16BD">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6E2BB39" w14:textId="77777777" w:rsidR="00464C89" w:rsidRPr="00BC16BD" w:rsidRDefault="00464C89" w:rsidP="00BC16BD">
      <w:pPr>
        <w:spacing w:after="120" w:line="360" w:lineRule="auto"/>
        <w:ind w:left="426" w:right="49" w:hanging="426"/>
        <w:contextualSpacing/>
        <w:jc w:val="both"/>
        <w:rPr>
          <w:rFonts w:ascii="Palatino Linotype" w:eastAsia="MS Mincho" w:hAnsi="Palatino Linotype" w:cs="Arial"/>
          <w:color w:val="000000"/>
          <w:lang w:val="es-ES_tradnl"/>
        </w:rPr>
      </w:pPr>
    </w:p>
    <w:p w14:paraId="433531AE" w14:textId="77777777" w:rsidR="00464C89" w:rsidRPr="00BC16BD" w:rsidRDefault="00464C89" w:rsidP="00775A11">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BC16BD">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BFADFC" w14:textId="77777777" w:rsidR="00464C89" w:rsidRPr="00BC16BD" w:rsidRDefault="00464C89" w:rsidP="00BC16BD">
      <w:pPr>
        <w:spacing w:after="120" w:line="360" w:lineRule="auto"/>
        <w:contextualSpacing/>
        <w:jc w:val="both"/>
        <w:rPr>
          <w:rFonts w:ascii="Palatino Linotype" w:eastAsia="MS Mincho" w:hAnsi="Palatino Linotype" w:cs="Arial"/>
          <w:color w:val="000000"/>
          <w:lang w:val="es-ES_tradnl"/>
        </w:rPr>
      </w:pPr>
    </w:p>
    <w:p w14:paraId="22C52860" w14:textId="31DC6097" w:rsidR="00B14987" w:rsidRPr="001F089A" w:rsidRDefault="00464C89" w:rsidP="00775A11">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BC16BD">
        <w:rPr>
          <w:rFonts w:ascii="Palatino Linotype" w:eastAsia="MS Mincho" w:hAnsi="Palatino Linotype" w:cs="Arial"/>
          <w:color w:val="000000"/>
          <w:lang w:val="es-ES_tradnl"/>
        </w:rPr>
        <w:t xml:space="preserve">Pero si la información que se pretende clasificar como confidencial no se encuentra en los supuestos antes señalados y es posible, se deberá consultar al titular </w:t>
      </w:r>
      <w:r w:rsidRPr="00BC16BD">
        <w:rPr>
          <w:rFonts w:ascii="Palatino Linotype" w:eastAsia="MS Mincho" w:hAnsi="Palatino Linotype" w:cs="Arial"/>
          <w:color w:val="000000"/>
          <w:lang w:val="es-ES_tradnl"/>
        </w:rPr>
        <w:lastRenderedPageBreak/>
        <w:t>de los datos si permite o no el acceso. De no ser posible, la realización de la consulta, procede, fundando y motivando, la clasificación.</w:t>
      </w:r>
    </w:p>
    <w:p w14:paraId="66839595" w14:textId="61C857A7" w:rsidR="00EA0165" w:rsidRPr="00BC16BD" w:rsidRDefault="00A272BC" w:rsidP="00BC16BD">
      <w:pPr>
        <w:pStyle w:val="Ttulo1"/>
        <w:spacing w:line="360" w:lineRule="auto"/>
        <w:rPr>
          <w:rFonts w:ascii="Palatino Linotype" w:eastAsia="MS Mincho" w:hAnsi="Palatino Linotype"/>
          <w:sz w:val="24"/>
          <w:szCs w:val="24"/>
          <w:lang w:val="es-ES_tradnl"/>
        </w:rPr>
      </w:pPr>
      <w:bookmarkStart w:id="133" w:name="_Toc95401058"/>
      <w:r w:rsidRPr="00BC16BD">
        <w:rPr>
          <w:rFonts w:ascii="Palatino Linotype" w:eastAsia="MS Gothic" w:hAnsi="Palatino Linotype"/>
          <w:b/>
          <w:color w:val="auto"/>
          <w:sz w:val="24"/>
          <w:szCs w:val="24"/>
          <w:lang w:val="es-ES_tradnl" w:eastAsia="es-ES_tradnl"/>
        </w:rPr>
        <w:t>SEXTO</w:t>
      </w:r>
      <w:r w:rsidR="008F1049" w:rsidRPr="00BC16BD">
        <w:rPr>
          <w:rFonts w:ascii="Palatino Linotype" w:eastAsia="MS Gothic" w:hAnsi="Palatino Linotype"/>
          <w:b/>
          <w:color w:val="auto"/>
          <w:sz w:val="24"/>
          <w:szCs w:val="24"/>
          <w:lang w:val="es-ES_tradnl" w:eastAsia="es-ES_tradnl"/>
        </w:rPr>
        <w:t xml:space="preserve">. </w:t>
      </w:r>
      <w:bookmarkStart w:id="134" w:name="_Toc67588008"/>
      <w:bookmarkStart w:id="135" w:name="_Toc68804770"/>
      <w:bookmarkEnd w:id="67"/>
      <w:bookmarkEnd w:id="68"/>
      <w:bookmarkEnd w:id="69"/>
      <w:bookmarkEnd w:id="70"/>
      <w:bookmarkEnd w:id="71"/>
      <w:bookmarkEnd w:id="72"/>
      <w:r w:rsidR="00EA0165" w:rsidRPr="00BC16BD">
        <w:rPr>
          <w:rFonts w:ascii="Palatino Linotype" w:eastAsia="MS Mincho" w:hAnsi="Palatino Linotype"/>
          <w:b/>
          <w:color w:val="000000"/>
          <w:sz w:val="24"/>
          <w:szCs w:val="24"/>
          <w:lang w:val="es-ES_tradnl"/>
        </w:rPr>
        <w:t>De la decisión.</w:t>
      </w:r>
      <w:bookmarkEnd w:id="133"/>
      <w:bookmarkEnd w:id="134"/>
      <w:bookmarkEnd w:id="135"/>
      <w:r w:rsidR="00EA0165" w:rsidRPr="00BC16BD">
        <w:rPr>
          <w:rFonts w:ascii="Palatino Linotype" w:eastAsia="MS Mincho" w:hAnsi="Palatino Linotype"/>
          <w:b/>
          <w:color w:val="000000"/>
          <w:sz w:val="24"/>
          <w:szCs w:val="24"/>
          <w:lang w:val="es-ES_tradnl"/>
        </w:rPr>
        <w:t xml:space="preserve"> </w:t>
      </w:r>
    </w:p>
    <w:p w14:paraId="74EA7B37" w14:textId="2BB8AE5C" w:rsidR="000200EF" w:rsidRPr="00BC16BD" w:rsidRDefault="00EA0165" w:rsidP="00775A11">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C16BD">
        <w:rPr>
          <w:rFonts w:ascii="Palatino Linotype" w:hAnsi="Palatino Linotype" w:cs="Tahoma"/>
          <w:lang w:val="es-MX"/>
        </w:rPr>
        <w:t>Con base en todo lo expuesto, y con fundamento en el artículo 186, fracción II</w:t>
      </w:r>
      <w:r w:rsidR="002F750C" w:rsidRPr="00BC16BD">
        <w:rPr>
          <w:rFonts w:ascii="Palatino Linotype" w:hAnsi="Palatino Linotype" w:cs="Tahoma"/>
          <w:lang w:val="es-MX"/>
        </w:rPr>
        <w:t>I</w:t>
      </w:r>
      <w:r w:rsidRPr="00BC16BD">
        <w:rPr>
          <w:rFonts w:ascii="Palatino Linotype" w:hAnsi="Palatino Linotype" w:cs="Tahoma"/>
          <w:lang w:val="es-MX"/>
        </w:rPr>
        <w:t>, de la Ley de Transparencia y Acceso a la Información Pública del Estado de México y Municipios, este Instituto considera procedente</w:t>
      </w:r>
      <w:r w:rsidR="009D3347">
        <w:rPr>
          <w:rFonts w:ascii="Palatino Linotype" w:hAnsi="Palatino Linotype" w:cs="Tahoma"/>
          <w:b/>
          <w:lang w:val="es-MX"/>
        </w:rPr>
        <w:t xml:space="preserve"> REVOCAR</w:t>
      </w:r>
      <w:r w:rsidR="0049105B" w:rsidRPr="00BC16BD">
        <w:rPr>
          <w:rFonts w:ascii="Palatino Linotype" w:hAnsi="Palatino Linotype" w:cs="Tahoma"/>
          <w:b/>
          <w:lang w:val="es-MX"/>
        </w:rPr>
        <w:t xml:space="preserve"> </w:t>
      </w:r>
      <w:r w:rsidR="00602229">
        <w:rPr>
          <w:rFonts w:ascii="Palatino Linotype" w:hAnsi="Palatino Linotype" w:cs="Tahoma"/>
          <w:lang w:val="es-MX"/>
        </w:rPr>
        <w:t xml:space="preserve">la respuesta otorgada por el </w:t>
      </w:r>
      <w:r w:rsidR="009D3347">
        <w:rPr>
          <w:rFonts w:ascii="Palatino Linotype" w:eastAsia="MS Mincho" w:hAnsi="Palatino Linotype"/>
          <w:b/>
          <w:lang w:val="es-ES_tradnl"/>
        </w:rPr>
        <w:t>Ayuntamiento de Nextlalpan</w:t>
      </w:r>
      <w:r w:rsidR="007F4FC6" w:rsidRPr="00BC16BD">
        <w:rPr>
          <w:rFonts w:ascii="Palatino Linotype" w:eastAsia="MS Mincho" w:hAnsi="Palatino Linotype"/>
          <w:lang w:val="es-ES_tradnl"/>
        </w:rPr>
        <w:t xml:space="preserve"> ordenar</w:t>
      </w:r>
      <w:r w:rsidR="00B14987" w:rsidRPr="00BC16BD">
        <w:rPr>
          <w:rFonts w:ascii="Palatino Linotype" w:eastAsia="MS Mincho" w:hAnsi="Palatino Linotype"/>
          <w:lang w:val="es-ES_tradnl"/>
        </w:rPr>
        <w:t xml:space="preserve">, </w:t>
      </w:r>
      <w:r w:rsidR="007F4FC6" w:rsidRPr="00BC16BD">
        <w:rPr>
          <w:rFonts w:ascii="Palatino Linotype" w:eastAsia="MS Mincho" w:hAnsi="Palatino Linotype"/>
          <w:lang w:val="es-ES_tradnl"/>
        </w:rPr>
        <w:t xml:space="preserve">la entrega </w:t>
      </w:r>
      <w:r w:rsidR="00B14987" w:rsidRPr="00BC16BD">
        <w:rPr>
          <w:rFonts w:ascii="Palatino Linotype" w:eastAsia="MS Mincho" w:hAnsi="Palatino Linotype"/>
          <w:lang w:val="es-ES_tradnl"/>
        </w:rPr>
        <w:t xml:space="preserve">de la información solicitada. </w:t>
      </w:r>
    </w:p>
    <w:p w14:paraId="2EAC2E3C" w14:textId="7FD5CA33" w:rsidR="00117030" w:rsidRPr="00BC16BD" w:rsidRDefault="00EA0165" w:rsidP="00775A11">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C16BD">
        <w:rPr>
          <w:rFonts w:ascii="Palatino Linotype" w:eastAsia="MS Mincho" w:hAnsi="Palatino Linotype"/>
          <w:color w:val="000000"/>
        </w:rPr>
        <w:t xml:space="preserve">Por lo anteriormente expuesto y fundado, este </w:t>
      </w:r>
      <w:r w:rsidRPr="00BC16BD">
        <w:rPr>
          <w:rFonts w:ascii="Palatino Linotype" w:eastAsia="MS Mincho" w:hAnsi="Palatino Linotype"/>
          <w:b/>
          <w:bCs/>
          <w:color w:val="000000"/>
        </w:rPr>
        <w:t>ÓRGANO GARANTE</w:t>
      </w:r>
      <w:r w:rsidRPr="00BC16BD">
        <w:rPr>
          <w:rFonts w:ascii="Palatino Linotype" w:eastAsia="MS Mincho" w:hAnsi="Palatino Linotype"/>
          <w:color w:val="000000"/>
        </w:rPr>
        <w:t xml:space="preserve"> emite los siguientes:</w:t>
      </w:r>
      <w:bookmarkStart w:id="136" w:name="_Toc495427547"/>
      <w:bookmarkStart w:id="137" w:name="_Toc497905366"/>
    </w:p>
    <w:p w14:paraId="7434775D" w14:textId="72688BAE" w:rsidR="00985D90" w:rsidRDefault="00EA0165" w:rsidP="001F089A">
      <w:pPr>
        <w:pStyle w:val="Ttulo1"/>
        <w:spacing w:line="360" w:lineRule="auto"/>
        <w:jc w:val="center"/>
        <w:rPr>
          <w:rFonts w:ascii="Palatino Linotype" w:hAnsi="Palatino Linotype"/>
          <w:b/>
          <w:color w:val="000000" w:themeColor="text1"/>
          <w:sz w:val="24"/>
          <w:szCs w:val="24"/>
          <w:lang w:val="es-ES_tradnl"/>
        </w:rPr>
      </w:pPr>
      <w:bookmarkStart w:id="138" w:name="_Toc95401059"/>
      <w:r w:rsidRPr="00BC16BD">
        <w:rPr>
          <w:rFonts w:ascii="Palatino Linotype" w:hAnsi="Palatino Linotype"/>
          <w:b/>
          <w:color w:val="000000" w:themeColor="text1"/>
          <w:sz w:val="24"/>
          <w:szCs w:val="24"/>
          <w:lang w:val="es-ES_tradnl"/>
        </w:rPr>
        <w:t>R E S O L U T I V O S</w:t>
      </w:r>
      <w:bookmarkEnd w:id="73"/>
      <w:bookmarkEnd w:id="74"/>
      <w:bookmarkEnd w:id="136"/>
      <w:bookmarkEnd w:id="137"/>
      <w:bookmarkEnd w:id="138"/>
    </w:p>
    <w:p w14:paraId="2FC376C4" w14:textId="77777777" w:rsidR="00694F4C" w:rsidRPr="00694F4C" w:rsidRDefault="00694F4C" w:rsidP="00694F4C">
      <w:pPr>
        <w:rPr>
          <w:rFonts w:eastAsiaTheme="minorEastAsia"/>
          <w:lang w:val="es-ES_tradnl"/>
        </w:rPr>
      </w:pPr>
    </w:p>
    <w:p w14:paraId="69D049B8" w14:textId="49C3C9A3" w:rsidR="00F85D73" w:rsidRPr="00BC16BD" w:rsidRDefault="002F750C" w:rsidP="00BC16BD">
      <w:pPr>
        <w:spacing w:line="360" w:lineRule="auto"/>
        <w:jc w:val="both"/>
        <w:rPr>
          <w:rFonts w:ascii="Palatino Linotype" w:eastAsiaTheme="minorEastAsia" w:hAnsi="Palatino Linotype" w:cs="Arial"/>
          <w:bCs/>
          <w:lang w:val="es-ES_tradnl"/>
        </w:rPr>
      </w:pPr>
      <w:r w:rsidRPr="00BC16BD">
        <w:rPr>
          <w:rFonts w:ascii="Palatino Linotype" w:hAnsi="Palatino Linotype" w:cs="Arial"/>
          <w:b/>
          <w:lang w:val="es-ES_tradnl"/>
        </w:rPr>
        <w:t xml:space="preserve">PRIMERO. </w:t>
      </w:r>
      <w:r w:rsidRPr="00BC16BD">
        <w:rPr>
          <w:rFonts w:ascii="Palatino Linotype" w:hAnsi="Palatino Linotype" w:cs="Arial"/>
          <w:lang w:val="es-ES_tradnl"/>
        </w:rPr>
        <w:t>Resultan</w:t>
      </w:r>
      <w:r w:rsidR="00B14987" w:rsidRPr="00BC16BD">
        <w:rPr>
          <w:rFonts w:ascii="Palatino Linotype" w:hAnsi="Palatino Linotype" w:cs="Arial"/>
          <w:lang w:val="es-ES_tradnl"/>
        </w:rPr>
        <w:t xml:space="preserve"> </w:t>
      </w:r>
      <w:r w:rsidRPr="00BC16BD">
        <w:rPr>
          <w:rFonts w:ascii="Palatino Linotype" w:hAnsi="Palatino Linotype" w:cs="Arial"/>
          <w:lang w:val="es-ES_tradnl"/>
        </w:rPr>
        <w:t>fundadas las</w:t>
      </w:r>
      <w:r w:rsidRPr="00BC16BD">
        <w:rPr>
          <w:rFonts w:ascii="Palatino Linotype" w:hAnsi="Palatino Linotype" w:cs="Arial"/>
          <w:b/>
          <w:lang w:val="es-ES_tradnl"/>
        </w:rPr>
        <w:t xml:space="preserve"> </w:t>
      </w:r>
      <w:r w:rsidRPr="00BC16BD">
        <w:rPr>
          <w:rFonts w:ascii="Palatino Linotype" w:hAnsi="Palatino Linotype" w:cs="Arial"/>
          <w:lang w:val="es-ES_tradnl"/>
        </w:rPr>
        <w:t xml:space="preserve">razones y motivos de inconformidad hechos valer </w:t>
      </w:r>
      <w:r w:rsidRPr="00BC16BD">
        <w:rPr>
          <w:rFonts w:ascii="Palatino Linotype" w:eastAsia="Calibri" w:hAnsi="Palatino Linotype" w:cs="Arial"/>
          <w:lang w:val="es-ES_tradnl"/>
        </w:rPr>
        <w:t>en el recurso de revisión</w:t>
      </w:r>
      <w:r w:rsidR="009D3347">
        <w:rPr>
          <w:rFonts w:ascii="Palatino Linotype" w:eastAsia="Calibri" w:hAnsi="Palatino Linotype" w:cs="Arial"/>
          <w:b/>
          <w:bCs/>
        </w:rPr>
        <w:t xml:space="preserve"> </w:t>
      </w:r>
      <w:r w:rsidR="009D3347" w:rsidRPr="009D3347">
        <w:rPr>
          <w:rFonts w:ascii="Palatino Linotype" w:eastAsia="Calibri" w:hAnsi="Palatino Linotype" w:cs="Arial"/>
          <w:b/>
          <w:bCs/>
        </w:rPr>
        <w:t>05993/INFOEM/IP/RR/2021</w:t>
      </w:r>
      <w:r w:rsidRPr="00BC16BD">
        <w:rPr>
          <w:rFonts w:ascii="Palatino Linotype" w:eastAsiaTheme="minorEastAsia" w:hAnsi="Palatino Linotype" w:cs="Arial"/>
          <w:b/>
          <w:bCs/>
          <w:lang w:val="es-ES_tradnl"/>
        </w:rPr>
        <w:t xml:space="preserve">, </w:t>
      </w:r>
      <w:r w:rsidR="00B95CDD" w:rsidRPr="00BC16BD">
        <w:rPr>
          <w:rFonts w:ascii="Palatino Linotype" w:eastAsiaTheme="minorEastAsia" w:hAnsi="Palatino Linotype" w:cs="Arial"/>
          <w:bCs/>
          <w:lang w:val="es-ES_tradnl"/>
        </w:rPr>
        <w:t>en términos de</w:t>
      </w:r>
      <w:r w:rsidR="00602229">
        <w:rPr>
          <w:rFonts w:ascii="Palatino Linotype" w:eastAsiaTheme="minorEastAsia" w:hAnsi="Palatino Linotype" w:cs="Arial"/>
          <w:bCs/>
          <w:lang w:val="es-ES_tradnl"/>
        </w:rPr>
        <w:t xml:space="preserve"> </w:t>
      </w:r>
      <w:r w:rsidR="00B95CDD" w:rsidRPr="00BC16BD">
        <w:rPr>
          <w:rFonts w:ascii="Palatino Linotype" w:eastAsiaTheme="minorEastAsia" w:hAnsi="Palatino Linotype" w:cs="Arial"/>
          <w:bCs/>
          <w:lang w:val="es-ES_tradnl"/>
        </w:rPr>
        <w:t>l</w:t>
      </w:r>
      <w:r w:rsidR="00602229">
        <w:rPr>
          <w:rFonts w:ascii="Palatino Linotype" w:eastAsiaTheme="minorEastAsia" w:hAnsi="Palatino Linotype" w:cs="Arial"/>
          <w:bCs/>
          <w:lang w:val="es-ES_tradnl"/>
        </w:rPr>
        <w:t>os</w:t>
      </w:r>
      <w:r w:rsidR="0077107A" w:rsidRPr="00BC16BD">
        <w:rPr>
          <w:rFonts w:ascii="Palatino Linotype" w:eastAsiaTheme="minorEastAsia" w:hAnsi="Palatino Linotype" w:cs="Arial"/>
          <w:bCs/>
          <w:lang w:val="es-ES_tradnl"/>
        </w:rPr>
        <w:t xml:space="preserve"> </w:t>
      </w:r>
      <w:r w:rsidRPr="00BC16BD">
        <w:rPr>
          <w:rFonts w:ascii="Palatino Linotype" w:eastAsiaTheme="minorEastAsia" w:hAnsi="Palatino Linotype" w:cs="Arial"/>
          <w:b/>
          <w:bCs/>
          <w:lang w:val="es-ES_tradnl"/>
        </w:rPr>
        <w:t>Considerando</w:t>
      </w:r>
      <w:r w:rsidR="00F86921" w:rsidRPr="00BC16BD">
        <w:rPr>
          <w:rFonts w:ascii="Palatino Linotype" w:eastAsiaTheme="minorEastAsia" w:hAnsi="Palatino Linotype" w:cs="Arial"/>
          <w:b/>
          <w:bCs/>
          <w:lang w:val="es-ES_tradnl"/>
        </w:rPr>
        <w:t>s</w:t>
      </w:r>
      <w:r w:rsidRPr="00BC16BD">
        <w:rPr>
          <w:rFonts w:ascii="Palatino Linotype" w:eastAsiaTheme="minorEastAsia" w:hAnsi="Palatino Linotype" w:cs="Arial"/>
          <w:bCs/>
          <w:lang w:val="es-ES_tradnl"/>
        </w:rPr>
        <w:t xml:space="preserve"> </w:t>
      </w:r>
      <w:r w:rsidR="00B95CDD" w:rsidRPr="00BC16BD">
        <w:rPr>
          <w:rFonts w:ascii="Palatino Linotype" w:eastAsiaTheme="minorEastAsia" w:hAnsi="Palatino Linotype" w:cs="Arial"/>
          <w:b/>
          <w:bCs/>
          <w:lang w:val="es-ES_tradnl"/>
        </w:rPr>
        <w:t>CUARTO</w:t>
      </w:r>
      <w:r w:rsidR="00F86921" w:rsidRPr="00BC16BD">
        <w:rPr>
          <w:rFonts w:ascii="Palatino Linotype" w:eastAsiaTheme="minorEastAsia" w:hAnsi="Palatino Linotype" w:cs="Arial"/>
          <w:b/>
          <w:bCs/>
          <w:lang w:val="es-ES_tradnl"/>
        </w:rPr>
        <w:t xml:space="preserve"> y QUINTO</w:t>
      </w:r>
      <w:r w:rsidRPr="00BC16BD">
        <w:rPr>
          <w:rFonts w:ascii="Palatino Linotype" w:eastAsiaTheme="minorEastAsia" w:hAnsi="Palatino Linotype" w:cs="Arial"/>
          <w:b/>
          <w:bCs/>
          <w:lang w:val="es-ES_tradnl"/>
        </w:rPr>
        <w:t xml:space="preserve"> </w:t>
      </w:r>
      <w:r w:rsidRPr="00BC16BD">
        <w:rPr>
          <w:rFonts w:ascii="Palatino Linotype" w:eastAsiaTheme="minorEastAsia" w:hAnsi="Palatino Linotype" w:cs="Arial"/>
          <w:bCs/>
          <w:lang w:val="es-ES_tradnl"/>
        </w:rPr>
        <w:t>de la presente resolución.</w:t>
      </w:r>
    </w:p>
    <w:p w14:paraId="00AACAFE" w14:textId="1E79E77E" w:rsidR="00DC76A4" w:rsidRDefault="00985D90" w:rsidP="00BC16BD">
      <w:pPr>
        <w:spacing w:before="240" w:line="360" w:lineRule="auto"/>
        <w:jc w:val="both"/>
        <w:rPr>
          <w:rFonts w:ascii="Palatino Linotype" w:eastAsia="MS Mincho" w:hAnsi="Palatino Linotype" w:cs="Arial"/>
          <w:lang w:val="es-MX"/>
        </w:rPr>
      </w:pPr>
      <w:bookmarkStart w:id="139" w:name="_Toc477891768"/>
      <w:bookmarkStart w:id="140" w:name="_Toc477891858"/>
      <w:bookmarkStart w:id="141" w:name="_Toc481576259"/>
      <w:bookmarkStart w:id="142" w:name="_Toc492590391"/>
      <w:bookmarkStart w:id="143" w:name="_Toc462653937"/>
      <w:bookmarkStart w:id="144" w:name="_Toc453696502"/>
      <w:bookmarkStart w:id="145" w:name="_Toc454301155"/>
      <w:r w:rsidRPr="00BC16BD">
        <w:rPr>
          <w:rFonts w:ascii="Palatino Linotype" w:eastAsiaTheme="minorEastAsia" w:hAnsi="Palatino Linotype" w:cstheme="minorBidi"/>
          <w:b/>
          <w:lang w:val="es-ES_tradnl"/>
        </w:rPr>
        <w:t>SEGUNDO.</w:t>
      </w:r>
      <w:r w:rsidRPr="00BC16BD">
        <w:rPr>
          <w:rFonts w:ascii="Palatino Linotype" w:eastAsiaTheme="majorEastAsia" w:hAnsi="Palatino Linotype" w:cstheme="majorBidi"/>
          <w:b/>
          <w:color w:val="365F91" w:themeColor="accent1" w:themeShade="BF"/>
          <w:lang w:val="es-MX" w:eastAsia="en-US"/>
        </w:rPr>
        <w:t xml:space="preserve"> </w:t>
      </w:r>
      <w:bookmarkEnd w:id="139"/>
      <w:bookmarkEnd w:id="140"/>
      <w:bookmarkEnd w:id="141"/>
      <w:bookmarkEnd w:id="142"/>
      <w:bookmarkEnd w:id="143"/>
      <w:bookmarkEnd w:id="144"/>
      <w:bookmarkEnd w:id="145"/>
      <w:r w:rsidRPr="00BC16BD">
        <w:rPr>
          <w:rFonts w:ascii="Palatino Linotype" w:eastAsia="Calibri" w:hAnsi="Palatino Linotype" w:cs="Arial"/>
          <w:lang w:val="es-ES_tradnl"/>
        </w:rPr>
        <w:t>Se</w:t>
      </w:r>
      <w:r w:rsidR="009D3347">
        <w:rPr>
          <w:rFonts w:ascii="Palatino Linotype" w:eastAsia="Calibri" w:hAnsi="Palatino Linotype" w:cs="Arial"/>
          <w:b/>
          <w:lang w:val="es-ES_tradnl"/>
        </w:rPr>
        <w:t xml:space="preserve"> REVOCA</w:t>
      </w:r>
      <w:r w:rsidR="009015DD" w:rsidRPr="00BC16BD">
        <w:rPr>
          <w:rFonts w:ascii="Palatino Linotype" w:eastAsia="Calibri" w:hAnsi="Palatino Linotype" w:cs="Arial"/>
          <w:b/>
          <w:lang w:val="es-ES_tradnl"/>
        </w:rPr>
        <w:t xml:space="preserve"> </w:t>
      </w:r>
      <w:r w:rsidR="00B14987" w:rsidRPr="00BC16BD">
        <w:rPr>
          <w:rFonts w:ascii="Palatino Linotype" w:eastAsia="Calibri" w:hAnsi="Palatino Linotype" w:cs="Arial"/>
          <w:lang w:val="es-ES_tradnl"/>
        </w:rPr>
        <w:t xml:space="preserve">la respuesta emitida por la </w:t>
      </w:r>
      <w:r w:rsidR="009D3347">
        <w:rPr>
          <w:rFonts w:ascii="Palatino Linotype" w:eastAsia="Calibri" w:hAnsi="Palatino Linotype" w:cs="Arial"/>
          <w:b/>
          <w:lang w:val="es-ES_tradnl"/>
        </w:rPr>
        <w:t>Ayuntamiento de Nextlalpan</w:t>
      </w:r>
      <w:r w:rsidR="00602229">
        <w:rPr>
          <w:rFonts w:ascii="Palatino Linotype" w:eastAsia="Calibri" w:hAnsi="Palatino Linotype" w:cs="Arial"/>
          <w:lang w:val="es-ES_tradnl"/>
        </w:rPr>
        <w:t xml:space="preserve"> </w:t>
      </w:r>
      <w:r w:rsidRPr="00BC16BD">
        <w:rPr>
          <w:rFonts w:ascii="Palatino Linotype" w:eastAsia="Calibri" w:hAnsi="Palatino Linotype" w:cs="Arial"/>
          <w:lang w:val="es-ES_tradnl"/>
        </w:rPr>
        <w:t>y se</w:t>
      </w:r>
      <w:r w:rsidRPr="00BC16BD">
        <w:rPr>
          <w:rFonts w:ascii="Palatino Linotype" w:eastAsia="Calibri" w:hAnsi="Palatino Linotype" w:cs="Arial"/>
          <w:b/>
          <w:lang w:val="es-ES_tradnl"/>
        </w:rPr>
        <w:t xml:space="preserve"> ORDENA </w:t>
      </w:r>
      <w:r w:rsidRPr="00BC16BD">
        <w:rPr>
          <w:rFonts w:ascii="Palatino Linotype" w:hAnsi="Palatino Linotype" w:cs="Arial"/>
          <w:lang w:val="es-ES_tradnl"/>
        </w:rPr>
        <w:t xml:space="preserve">entregar vía Sistema de Acceso a la Información Mexiquense </w:t>
      </w:r>
      <w:r w:rsidR="0077107A" w:rsidRPr="00BC16BD">
        <w:rPr>
          <w:rFonts w:ascii="Palatino Linotype" w:hAnsi="Palatino Linotype" w:cs="Arial"/>
          <w:b/>
          <w:lang w:val="es-ES_tradnl"/>
        </w:rPr>
        <w:t>(SAIMEX)</w:t>
      </w:r>
      <w:r w:rsidR="0049105B" w:rsidRPr="00BC16BD">
        <w:rPr>
          <w:rFonts w:ascii="Palatino Linotype" w:eastAsia="MS Mincho" w:hAnsi="Palatino Linotype" w:cs="Arial"/>
          <w:lang w:val="es-MX"/>
        </w:rPr>
        <w:t>,</w:t>
      </w:r>
      <w:r w:rsidR="002D0878" w:rsidRPr="00BC16BD">
        <w:rPr>
          <w:rFonts w:ascii="Palatino Linotype" w:eastAsia="MS Mincho" w:hAnsi="Palatino Linotype" w:cs="Arial"/>
          <w:lang w:val="es-MX"/>
        </w:rPr>
        <w:t xml:space="preserve"> </w:t>
      </w:r>
      <w:r w:rsidR="000B07E5" w:rsidRPr="00BC16BD">
        <w:rPr>
          <w:rFonts w:ascii="Palatino Linotype" w:eastAsia="MS Mincho" w:hAnsi="Palatino Linotype" w:cs="Arial"/>
          <w:lang w:val="es-MX"/>
        </w:rPr>
        <w:t>en versión pública</w:t>
      </w:r>
      <w:r w:rsidR="00892AF9" w:rsidRPr="00BC16BD">
        <w:rPr>
          <w:rFonts w:ascii="Palatino Linotype" w:eastAsia="MS Mincho" w:hAnsi="Palatino Linotype" w:cs="Arial"/>
          <w:lang w:val="es-MX"/>
        </w:rPr>
        <w:t xml:space="preserve"> de ser procedente</w:t>
      </w:r>
      <w:r w:rsidR="00B14987" w:rsidRPr="00BC16BD">
        <w:rPr>
          <w:rFonts w:ascii="Palatino Linotype" w:eastAsia="MS Mincho" w:hAnsi="Palatino Linotype" w:cs="Arial"/>
          <w:lang w:val="es-MX"/>
        </w:rPr>
        <w:t>,</w:t>
      </w:r>
      <w:r w:rsidR="00A272BC" w:rsidRPr="00BC16BD">
        <w:rPr>
          <w:rFonts w:ascii="Palatino Linotype" w:eastAsia="MS Mincho" w:hAnsi="Palatino Linotype" w:cs="Arial"/>
          <w:lang w:val="es-MX"/>
        </w:rPr>
        <w:t xml:space="preserve"> la siguiente información</w:t>
      </w:r>
      <w:r w:rsidR="00F85D73" w:rsidRPr="00BC16BD">
        <w:rPr>
          <w:rFonts w:ascii="Palatino Linotype" w:eastAsia="MS Mincho" w:hAnsi="Palatino Linotype" w:cs="Arial"/>
          <w:lang w:val="es-MX"/>
        </w:rPr>
        <w:t xml:space="preserve">: </w:t>
      </w:r>
      <w:r w:rsidR="00B14987" w:rsidRPr="00BC16BD">
        <w:rPr>
          <w:rFonts w:ascii="Palatino Linotype" w:eastAsia="MS Mincho" w:hAnsi="Palatino Linotype" w:cs="Arial"/>
          <w:lang w:val="es-MX"/>
        </w:rPr>
        <w:t xml:space="preserve"> </w:t>
      </w:r>
    </w:p>
    <w:p w14:paraId="5FB9F360" w14:textId="77777777" w:rsidR="00C971BA" w:rsidRDefault="00C971BA" w:rsidP="00602229">
      <w:pPr>
        <w:spacing w:before="240" w:line="360" w:lineRule="auto"/>
        <w:ind w:right="738"/>
        <w:jc w:val="both"/>
        <w:rPr>
          <w:rFonts w:ascii="Palatino Linotype" w:eastAsia="MS Mincho" w:hAnsi="Palatino Linotype" w:cs="Arial"/>
          <w:lang w:val="es-MX"/>
        </w:rPr>
      </w:pPr>
    </w:p>
    <w:p w14:paraId="45B27CCD" w14:textId="77777777" w:rsidR="009D3347" w:rsidRDefault="009D3347" w:rsidP="009D3347">
      <w:pPr>
        <w:pStyle w:val="Prrafodelista"/>
        <w:spacing w:after="160" w:line="360" w:lineRule="auto"/>
        <w:ind w:left="720" w:right="738"/>
        <w:contextualSpacing/>
        <w:jc w:val="both"/>
        <w:rPr>
          <w:rFonts w:ascii="Palatino Linotype" w:eastAsia="Calibri" w:hAnsi="Palatino Linotype"/>
          <w:b/>
          <w:lang w:val="es-MX" w:eastAsia="en-US"/>
        </w:rPr>
      </w:pPr>
    </w:p>
    <w:p w14:paraId="7AE63CBA" w14:textId="1607572F" w:rsidR="009D3347" w:rsidRPr="009D3347" w:rsidRDefault="009D3347" w:rsidP="00775A11">
      <w:pPr>
        <w:pStyle w:val="Prrafodelista"/>
        <w:numPr>
          <w:ilvl w:val="1"/>
          <w:numId w:val="38"/>
        </w:numPr>
        <w:spacing w:after="160" w:line="360" w:lineRule="auto"/>
        <w:ind w:left="900" w:right="738"/>
        <w:contextualSpacing/>
        <w:jc w:val="both"/>
        <w:rPr>
          <w:rFonts w:ascii="Palatino Linotype" w:eastAsia="Calibri" w:hAnsi="Palatino Linotype"/>
          <w:b/>
          <w:lang w:val="es-MX" w:eastAsia="en-US"/>
        </w:rPr>
      </w:pPr>
      <w:r w:rsidRPr="009D3347">
        <w:rPr>
          <w:rFonts w:ascii="Palatino Linotype" w:hAnsi="Palatino Linotype"/>
          <w:b/>
        </w:rPr>
        <w:lastRenderedPageBreak/>
        <w:t>Censo (s) de luminarias de alumbrado público</w:t>
      </w:r>
      <w:r>
        <w:rPr>
          <w:rFonts w:ascii="Palatino Linotype" w:hAnsi="Palatino Linotype"/>
          <w:b/>
        </w:rPr>
        <w:t xml:space="preserve"> </w:t>
      </w:r>
      <w:r w:rsidRPr="009D3347">
        <w:rPr>
          <w:rFonts w:ascii="Palatino Linotype" w:hAnsi="Palatino Linotype"/>
          <w:b/>
        </w:rPr>
        <w:t xml:space="preserve">realizado por la Comisión Federal de Electricidad, </w:t>
      </w:r>
      <w:r w:rsidRPr="009D3347">
        <w:rPr>
          <w:rFonts w:ascii="Palatino Linotype" w:hAnsi="Palatino Linotype"/>
          <w:b/>
          <w:lang w:val="es-MX"/>
        </w:rPr>
        <w:t>del primero (01) de enero de dos mil dieciocho al veintidós (22) de noviembre de dos mil veintiuno</w:t>
      </w:r>
      <w:r>
        <w:rPr>
          <w:rFonts w:ascii="Palatino Linotype" w:hAnsi="Palatino Linotype"/>
          <w:b/>
          <w:lang w:val="es-MX"/>
        </w:rPr>
        <w:t>.</w:t>
      </w:r>
    </w:p>
    <w:p w14:paraId="06481953" w14:textId="77777777" w:rsidR="009D3347" w:rsidRPr="009D3347" w:rsidRDefault="009D3347" w:rsidP="009D3347">
      <w:pPr>
        <w:pStyle w:val="Prrafodelista"/>
        <w:spacing w:after="160" w:line="360" w:lineRule="auto"/>
        <w:ind w:left="900" w:right="738"/>
        <w:contextualSpacing/>
        <w:jc w:val="both"/>
        <w:rPr>
          <w:rFonts w:ascii="Palatino Linotype" w:eastAsia="Calibri" w:hAnsi="Palatino Linotype"/>
          <w:b/>
          <w:lang w:val="es-MX" w:eastAsia="en-US"/>
        </w:rPr>
      </w:pPr>
    </w:p>
    <w:p w14:paraId="01EB1C25" w14:textId="736B1DC6" w:rsidR="00DC76A4" w:rsidRPr="00BC16BD" w:rsidRDefault="00602229" w:rsidP="00602229">
      <w:pPr>
        <w:pStyle w:val="Prrafodelista"/>
        <w:numPr>
          <w:ilvl w:val="1"/>
          <w:numId w:val="38"/>
        </w:numPr>
        <w:spacing w:after="160" w:line="360" w:lineRule="auto"/>
        <w:ind w:left="900" w:right="738"/>
        <w:contextualSpacing/>
        <w:jc w:val="both"/>
        <w:rPr>
          <w:rFonts w:ascii="Palatino Linotype" w:eastAsia="Calibri" w:hAnsi="Palatino Linotype"/>
          <w:b/>
          <w:lang w:val="es-MX" w:eastAsia="en-US"/>
        </w:rPr>
      </w:pPr>
      <w:r>
        <w:rPr>
          <w:rFonts w:ascii="Palatino Linotype" w:eastAsia="Calibri" w:hAnsi="Palatino Linotype"/>
          <w:b/>
          <w:lang w:val="es-MX" w:eastAsia="en-US"/>
        </w:rPr>
        <w:t xml:space="preserve">Convenio </w:t>
      </w:r>
      <w:r w:rsidR="00DC76A4" w:rsidRPr="00BC16BD">
        <w:rPr>
          <w:rFonts w:ascii="Palatino Linotype" w:eastAsia="Calibri" w:hAnsi="Palatino Linotype"/>
          <w:b/>
          <w:lang w:val="es-MX" w:eastAsia="en-US"/>
        </w:rPr>
        <w:t>(s) para la recaudación de</w:t>
      </w:r>
      <w:r w:rsidR="00DC76A4">
        <w:rPr>
          <w:rFonts w:ascii="Palatino Linotype" w:eastAsia="Calibri" w:hAnsi="Palatino Linotype"/>
          <w:b/>
          <w:lang w:val="es-MX" w:eastAsia="en-US"/>
        </w:rPr>
        <w:t>l Derecho de Alumbrado Público</w:t>
      </w:r>
      <w:r w:rsidR="00DC76A4" w:rsidRPr="00BC16BD">
        <w:rPr>
          <w:rFonts w:ascii="Palatino Linotype" w:eastAsia="Calibri" w:hAnsi="Palatino Linotype"/>
          <w:b/>
          <w:lang w:val="es-MX" w:eastAsia="en-US"/>
        </w:rPr>
        <w:t xml:space="preserve">, </w:t>
      </w:r>
      <w:r w:rsidR="00C971BA">
        <w:rPr>
          <w:rFonts w:ascii="Palatino Linotype" w:eastAsia="Calibri" w:hAnsi="Palatino Linotype"/>
          <w:b/>
          <w:lang w:val="es-MX" w:eastAsia="en-US"/>
        </w:rPr>
        <w:t xml:space="preserve">suscritos </w:t>
      </w:r>
      <w:r w:rsidR="00DC76A4" w:rsidRPr="00BC16BD">
        <w:rPr>
          <w:rFonts w:ascii="Palatino Linotype" w:eastAsia="Calibri" w:hAnsi="Palatino Linotype"/>
          <w:b/>
          <w:lang w:val="es-MX" w:eastAsia="en-US"/>
        </w:rPr>
        <w:t>entre la Comisión Federal de Electricida</w:t>
      </w:r>
      <w:r w:rsidR="009D3347">
        <w:rPr>
          <w:rFonts w:ascii="Palatino Linotype" w:eastAsia="Calibri" w:hAnsi="Palatino Linotype"/>
          <w:b/>
          <w:lang w:val="es-MX" w:eastAsia="en-US"/>
        </w:rPr>
        <w:t>d y el Ayuntamiento de Nextlalpan</w:t>
      </w:r>
      <w:r>
        <w:rPr>
          <w:rFonts w:ascii="Palatino Linotype" w:eastAsia="Calibri" w:hAnsi="Palatino Linotype"/>
          <w:b/>
          <w:lang w:val="es-MX" w:eastAsia="en-US"/>
        </w:rPr>
        <w:t xml:space="preserve">, </w:t>
      </w:r>
      <w:r w:rsidR="00DC76A4" w:rsidRPr="00BC16BD">
        <w:rPr>
          <w:rFonts w:ascii="Palatino Linotype" w:eastAsia="Calibri" w:hAnsi="Palatino Linotype"/>
          <w:b/>
          <w:lang w:val="es-MX" w:eastAsia="en-US"/>
        </w:rPr>
        <w:t>del primero (01) de enero d</w:t>
      </w:r>
      <w:r w:rsidR="009D3347">
        <w:rPr>
          <w:rFonts w:ascii="Palatino Linotype" w:eastAsia="Calibri" w:hAnsi="Palatino Linotype"/>
          <w:b/>
          <w:lang w:val="es-MX" w:eastAsia="en-US"/>
        </w:rPr>
        <w:t>e dos mil dieciocho al veintidós (22</w:t>
      </w:r>
      <w:r w:rsidR="00DC76A4" w:rsidRPr="00BC16BD">
        <w:rPr>
          <w:rFonts w:ascii="Palatino Linotype" w:eastAsia="Calibri" w:hAnsi="Palatino Linotype"/>
          <w:b/>
          <w:lang w:val="es-MX" w:eastAsia="en-US"/>
        </w:rPr>
        <w:t>)</w:t>
      </w:r>
      <w:r>
        <w:rPr>
          <w:rFonts w:ascii="Palatino Linotype" w:eastAsia="Calibri" w:hAnsi="Palatino Linotype"/>
          <w:b/>
          <w:lang w:val="es-MX" w:eastAsia="en-US"/>
        </w:rPr>
        <w:t xml:space="preserve"> de noviembre</w:t>
      </w:r>
      <w:r w:rsidR="00DC76A4" w:rsidRPr="00BC16BD">
        <w:rPr>
          <w:rFonts w:ascii="Palatino Linotype" w:eastAsia="Calibri" w:hAnsi="Palatino Linotype"/>
          <w:b/>
          <w:lang w:val="es-MX" w:eastAsia="en-US"/>
        </w:rPr>
        <w:t xml:space="preserve"> de dos mil veintiuno. </w:t>
      </w:r>
    </w:p>
    <w:p w14:paraId="33A35F14" w14:textId="77777777" w:rsidR="00DC76A4" w:rsidRPr="00BC16BD" w:rsidRDefault="00DC76A4" w:rsidP="00602229">
      <w:pPr>
        <w:pStyle w:val="Prrafodelista"/>
        <w:spacing w:after="160" w:line="360" w:lineRule="auto"/>
        <w:ind w:left="900" w:right="738" w:hanging="360"/>
        <w:contextualSpacing/>
        <w:jc w:val="both"/>
        <w:rPr>
          <w:rFonts w:ascii="Palatino Linotype" w:eastAsia="Calibri" w:hAnsi="Palatino Linotype"/>
          <w:b/>
          <w:lang w:val="es-MX" w:eastAsia="en-US"/>
        </w:rPr>
      </w:pPr>
    </w:p>
    <w:p w14:paraId="5A854730" w14:textId="4189BB31" w:rsidR="00DC76A4" w:rsidRPr="005061EA" w:rsidRDefault="00DC76A4" w:rsidP="005061EA">
      <w:pPr>
        <w:pStyle w:val="Prrafodelista"/>
        <w:numPr>
          <w:ilvl w:val="1"/>
          <w:numId w:val="38"/>
        </w:numPr>
        <w:spacing w:after="160" w:line="360" w:lineRule="auto"/>
        <w:ind w:left="900" w:right="738"/>
        <w:contextualSpacing/>
        <w:jc w:val="both"/>
        <w:rPr>
          <w:rFonts w:ascii="Palatino Linotype" w:eastAsia="Calibri" w:hAnsi="Palatino Linotype"/>
          <w:lang w:val="es-MX" w:eastAsia="en-US"/>
        </w:rPr>
      </w:pPr>
      <w:r>
        <w:rPr>
          <w:rFonts w:ascii="Palatino Linotype" w:hAnsi="Palatino Linotype"/>
          <w:b/>
          <w:lang w:val="es-MX"/>
        </w:rPr>
        <w:t>Facturas, pólizas contables o documento análogo, donde conste el</w:t>
      </w:r>
      <w:r w:rsidR="00602229">
        <w:rPr>
          <w:rFonts w:ascii="Palatino Linotype" w:hAnsi="Palatino Linotype"/>
          <w:b/>
          <w:lang w:val="es-MX"/>
        </w:rPr>
        <w:t xml:space="preserve"> egreso </w:t>
      </w:r>
      <w:r>
        <w:rPr>
          <w:rFonts w:ascii="Palatino Linotype" w:hAnsi="Palatino Linotype"/>
          <w:b/>
          <w:lang w:val="es-MX"/>
        </w:rPr>
        <w:t xml:space="preserve">e ingreso presupuestal por concepto del </w:t>
      </w:r>
      <w:r w:rsidRPr="00DC76A4">
        <w:rPr>
          <w:rFonts w:ascii="Palatino Linotype" w:hAnsi="Palatino Linotype"/>
          <w:b/>
          <w:lang w:val="es-MX"/>
        </w:rPr>
        <w:t xml:space="preserve">Derecho de Alumbrado Público </w:t>
      </w:r>
      <w:r>
        <w:rPr>
          <w:rFonts w:ascii="Palatino Linotype" w:hAnsi="Palatino Linotype"/>
          <w:b/>
          <w:lang w:val="es-MX"/>
        </w:rPr>
        <w:t xml:space="preserve">del </w:t>
      </w:r>
      <w:r w:rsidRPr="00DC76A4">
        <w:rPr>
          <w:rFonts w:ascii="Palatino Linotype" w:hAnsi="Palatino Linotype"/>
          <w:b/>
          <w:lang w:val="es-MX"/>
        </w:rPr>
        <w:t>primero (01) de enero d</w:t>
      </w:r>
      <w:r w:rsidR="009D3347">
        <w:rPr>
          <w:rFonts w:ascii="Palatino Linotype" w:hAnsi="Palatino Linotype"/>
          <w:b/>
          <w:lang w:val="es-MX"/>
        </w:rPr>
        <w:t>e dos mil dieciocho al veintidós (22</w:t>
      </w:r>
      <w:r w:rsidRPr="00DC76A4">
        <w:rPr>
          <w:rFonts w:ascii="Palatino Linotype" w:hAnsi="Palatino Linotype"/>
          <w:b/>
          <w:lang w:val="es-MX"/>
        </w:rPr>
        <w:t>)</w:t>
      </w:r>
      <w:r w:rsidR="00602229">
        <w:rPr>
          <w:rFonts w:ascii="Palatino Linotype" w:hAnsi="Palatino Linotype"/>
          <w:b/>
          <w:lang w:val="es-MX"/>
        </w:rPr>
        <w:t xml:space="preserve"> de noviembre </w:t>
      </w:r>
      <w:r w:rsidRPr="00DC76A4">
        <w:rPr>
          <w:rFonts w:ascii="Palatino Linotype" w:hAnsi="Palatino Linotype"/>
          <w:b/>
          <w:lang w:val="es-MX"/>
        </w:rPr>
        <w:t>de dos mil veintiuno.</w:t>
      </w:r>
    </w:p>
    <w:p w14:paraId="16BDEA3D" w14:textId="5B3A917F" w:rsidR="005061EA" w:rsidRDefault="002D0878" w:rsidP="005061EA">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BC16BD">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70EC9B43" w14:textId="31B668CE" w:rsidR="00775A11" w:rsidRDefault="00775A11" w:rsidP="005061EA">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4610CD2B" w14:textId="3A3A24B9" w:rsidR="00775A11" w:rsidRPr="003A3518" w:rsidRDefault="00775A11" w:rsidP="00775A11">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3A3518">
        <w:rPr>
          <w:rFonts w:ascii="Palatino Linotype" w:eastAsia="Calibri" w:hAnsi="Palatino Linotype"/>
          <w:bCs/>
        </w:rPr>
        <w:t xml:space="preserve">De ser el caso de que la </w:t>
      </w:r>
      <w:r w:rsidRPr="003A3518">
        <w:rPr>
          <w:rFonts w:ascii="Palatino Linotype" w:eastAsia="Calibri" w:hAnsi="Palatino Linotype"/>
          <w:b/>
        </w:rPr>
        <w:t>información de la que se ordena hacer entrega</w:t>
      </w:r>
      <w:r w:rsidR="001478D7">
        <w:rPr>
          <w:rFonts w:ascii="Palatino Linotype" w:eastAsia="Calibri" w:hAnsi="Palatino Linotype"/>
          <w:b/>
        </w:rPr>
        <w:t xml:space="preserve"> en el inciso </w:t>
      </w:r>
      <w:r w:rsidR="002966B0">
        <w:rPr>
          <w:rFonts w:ascii="Palatino Linotype" w:eastAsia="Calibri" w:hAnsi="Palatino Linotype"/>
          <w:b/>
        </w:rPr>
        <w:t>“</w:t>
      </w:r>
      <w:r w:rsidR="001478D7">
        <w:rPr>
          <w:rFonts w:ascii="Palatino Linotype" w:eastAsia="Calibri" w:hAnsi="Palatino Linotype"/>
          <w:b/>
        </w:rPr>
        <w:t>b)</w:t>
      </w:r>
      <w:r w:rsidR="002966B0">
        <w:rPr>
          <w:rFonts w:ascii="Palatino Linotype" w:eastAsia="Calibri" w:hAnsi="Palatino Linotype"/>
          <w:b/>
        </w:rPr>
        <w:t>”</w:t>
      </w:r>
      <w:r w:rsidRPr="003A3518">
        <w:rPr>
          <w:rFonts w:ascii="Palatino Linotype" w:eastAsia="Calibri" w:hAnsi="Palatino Linotype"/>
          <w:b/>
        </w:rPr>
        <w:t xml:space="preserve"> </w:t>
      </w:r>
      <w:r w:rsidRPr="003A3518">
        <w:rPr>
          <w:rFonts w:ascii="Palatino Linotype" w:eastAsia="Calibri" w:hAnsi="Palatino Linotype"/>
          <w:bCs/>
        </w:rPr>
        <w:t>no haya sido generada, poseída o administrada, el </w:t>
      </w:r>
      <w:r w:rsidRPr="003A3518">
        <w:rPr>
          <w:rFonts w:ascii="Palatino Linotype" w:eastAsia="Calibri" w:hAnsi="Palatino Linotype"/>
          <w:b/>
          <w:bCs/>
        </w:rPr>
        <w:t>SUJETO OBLIGADO </w:t>
      </w:r>
      <w:r w:rsidRPr="003A3518">
        <w:rPr>
          <w:rFonts w:ascii="Palatino Linotype" w:eastAsia="Calibri" w:hAnsi="Palatino Linotype"/>
          <w:bCs/>
        </w:rPr>
        <w:t>deberá manifestar de manera clara y precisa las razones que expliquen las causas por las cuales no se haya generado, poseído o administrado.</w:t>
      </w:r>
    </w:p>
    <w:p w14:paraId="3DDF853F" w14:textId="77777777" w:rsidR="00775A11" w:rsidRPr="00775A11" w:rsidRDefault="00775A11" w:rsidP="005061EA">
      <w:pPr>
        <w:tabs>
          <w:tab w:val="left" w:pos="7088"/>
        </w:tabs>
        <w:autoSpaceDE w:val="0"/>
        <w:autoSpaceDN w:val="0"/>
        <w:adjustRightInd w:val="0"/>
        <w:spacing w:line="360" w:lineRule="auto"/>
        <w:ind w:right="49"/>
        <w:contextualSpacing/>
        <w:jc w:val="both"/>
        <w:rPr>
          <w:rFonts w:ascii="Palatino Linotype" w:eastAsia="Calibri" w:hAnsi="Palatino Linotype" w:cs="Arial"/>
        </w:rPr>
      </w:pPr>
    </w:p>
    <w:p w14:paraId="7833DA77" w14:textId="77777777" w:rsidR="00397B04" w:rsidRPr="00BC16BD" w:rsidRDefault="00397B04" w:rsidP="00BC16BD">
      <w:pPr>
        <w:shd w:val="clear" w:color="auto" w:fill="FFFFFF"/>
        <w:spacing w:before="240" w:line="360" w:lineRule="auto"/>
        <w:ind w:right="49"/>
        <w:jc w:val="both"/>
        <w:rPr>
          <w:rFonts w:ascii="Palatino Linotype" w:hAnsi="Palatino Linotype" w:cs="Arial"/>
          <w:b/>
          <w:bCs/>
          <w:color w:val="222222"/>
          <w:lang w:val="es-ES_tradnl" w:eastAsia="es-MX"/>
        </w:rPr>
      </w:pPr>
      <w:r w:rsidRPr="00BC16BD">
        <w:rPr>
          <w:rFonts w:ascii="Palatino Linotype" w:hAnsi="Palatino Linotype" w:cs="Arial"/>
          <w:b/>
          <w:bCs/>
          <w:color w:val="222222"/>
          <w:lang w:val="es-ES_tradnl" w:eastAsia="es-MX"/>
        </w:rPr>
        <w:t xml:space="preserve">TERCERO. </w:t>
      </w:r>
      <w:r w:rsidRPr="00BC16BD">
        <w:rPr>
          <w:rFonts w:ascii="Palatino Linotype" w:hAnsi="Palatino Linotype" w:cs="Arial"/>
          <w:b/>
          <w:color w:val="222222"/>
          <w:lang w:val="es-ES_tradnl" w:eastAsia="es-MX"/>
        </w:rPr>
        <w:t>Notifíquese</w:t>
      </w:r>
      <w:r w:rsidRPr="00BC16BD">
        <w:rPr>
          <w:rFonts w:ascii="Palatino Linotype" w:hAnsi="Palatino Linotype" w:cs="Arial"/>
          <w:b/>
          <w:bCs/>
          <w:color w:val="222222"/>
          <w:lang w:val="es-ES_tradnl" w:eastAsia="es-MX"/>
        </w:rPr>
        <w:t xml:space="preserve"> </w:t>
      </w:r>
      <w:r w:rsidRPr="00BC16BD">
        <w:rPr>
          <w:rFonts w:ascii="Palatino Linotype" w:hAnsi="Palatino Linotype" w:cs="Arial"/>
          <w:color w:val="222222"/>
          <w:lang w:val="es-ES_tradnl" w:eastAsia="es-MX"/>
        </w:rPr>
        <w:t xml:space="preserve">al Titular de la Unidad de Transparencia del </w:t>
      </w:r>
      <w:r w:rsidRPr="00BC16BD">
        <w:rPr>
          <w:rFonts w:ascii="Palatino Linotype" w:hAnsi="Palatino Linotype" w:cs="Arial"/>
          <w:b/>
          <w:bCs/>
          <w:color w:val="222222"/>
          <w:lang w:val="es-ES_tradnl" w:eastAsia="es-MX"/>
        </w:rPr>
        <w:t>SUJETO OBLIGADO la presente resolución vía Sistema de Acceso a la Información Mexiquense (SAIMEX)</w:t>
      </w:r>
      <w:r w:rsidRPr="00BC16BD">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850F6CC" w14:textId="77777777" w:rsidR="00397B04" w:rsidRPr="00BC16BD" w:rsidRDefault="00397B04" w:rsidP="00BC16BD">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BC16BD" w:rsidRDefault="00397B04" w:rsidP="00BC16BD">
      <w:pPr>
        <w:shd w:val="clear" w:color="auto" w:fill="FFFFFF"/>
        <w:spacing w:line="360" w:lineRule="auto"/>
        <w:jc w:val="both"/>
        <w:rPr>
          <w:rFonts w:ascii="Palatino Linotype" w:eastAsia="MS Mincho" w:hAnsi="Palatino Linotype"/>
          <w:color w:val="000000"/>
          <w:shd w:val="clear" w:color="auto" w:fill="FFFFFF"/>
          <w:lang w:val="es-ES_tradnl"/>
        </w:rPr>
      </w:pPr>
      <w:r w:rsidRPr="00BC16BD">
        <w:rPr>
          <w:rFonts w:ascii="Palatino Linotype" w:eastAsia="Calibri" w:hAnsi="Palatino Linotype" w:cs="Arial"/>
          <w:b/>
          <w:bCs/>
          <w:color w:val="000000"/>
          <w:lang w:val="es-MX" w:eastAsia="en-US"/>
        </w:rPr>
        <w:t>CUARTO.</w:t>
      </w:r>
      <w:r w:rsidRPr="00BC16BD">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BC16BD" w:rsidRDefault="00397B04" w:rsidP="00BC16BD">
      <w:pPr>
        <w:spacing w:line="360" w:lineRule="auto"/>
        <w:rPr>
          <w:rFonts w:ascii="Palatino Linotype" w:eastAsia="MS Mincho" w:hAnsi="Palatino Linotype"/>
        </w:rPr>
      </w:pPr>
    </w:p>
    <w:p w14:paraId="6429D583" w14:textId="77777777" w:rsidR="00397B04" w:rsidRPr="00BC16BD" w:rsidRDefault="00397B04" w:rsidP="00BC16BD">
      <w:pPr>
        <w:shd w:val="clear" w:color="auto" w:fill="FFFFFF"/>
        <w:spacing w:line="360" w:lineRule="auto"/>
        <w:jc w:val="both"/>
        <w:rPr>
          <w:rFonts w:ascii="Palatino Linotype" w:hAnsi="Palatino Linotype"/>
          <w:color w:val="000000" w:themeColor="text1"/>
          <w:lang w:val="es-ES_tradnl"/>
        </w:rPr>
      </w:pPr>
      <w:r w:rsidRPr="00BC16BD">
        <w:rPr>
          <w:rFonts w:ascii="Palatino Linotype" w:hAnsi="Palatino Linotype" w:cs="Arial"/>
          <w:b/>
          <w:lang w:val="es-ES_tradnl"/>
        </w:rPr>
        <w:t xml:space="preserve">QUINTO. </w:t>
      </w:r>
      <w:r w:rsidRPr="00BC16BD">
        <w:rPr>
          <w:rFonts w:ascii="Palatino Linotype" w:hAnsi="Palatino Linotype"/>
          <w:b/>
          <w:bCs/>
          <w:color w:val="222222"/>
        </w:rPr>
        <w:t xml:space="preserve">Notifíquese </w:t>
      </w:r>
      <w:r w:rsidRPr="00BC16BD">
        <w:rPr>
          <w:rFonts w:ascii="Palatino Linotype" w:hAnsi="Palatino Linotype"/>
          <w:bCs/>
          <w:color w:val="222222"/>
        </w:rPr>
        <w:t xml:space="preserve">al </w:t>
      </w:r>
      <w:r w:rsidRPr="00BC16BD">
        <w:rPr>
          <w:rFonts w:ascii="Palatino Linotype" w:hAnsi="Palatino Linotype"/>
          <w:b/>
          <w:bCs/>
          <w:color w:val="222222"/>
        </w:rPr>
        <w:t>RECURRENTE</w:t>
      </w:r>
      <w:r w:rsidRPr="00BC16BD">
        <w:rPr>
          <w:rFonts w:ascii="Palatino Linotype" w:hAnsi="Palatino Linotype"/>
          <w:bCs/>
          <w:color w:val="222222"/>
        </w:rPr>
        <w:t xml:space="preserve"> </w:t>
      </w:r>
      <w:r w:rsidRPr="00BC16BD">
        <w:rPr>
          <w:rFonts w:ascii="Palatino Linotype" w:hAnsi="Palatino Linotype"/>
          <w:lang w:val="es-ES_tradnl"/>
        </w:rPr>
        <w:t xml:space="preserve">la presente resolución vía </w:t>
      </w:r>
      <w:r w:rsidRPr="00BC16BD">
        <w:rPr>
          <w:rFonts w:ascii="Palatino Linotype" w:hAnsi="Palatino Linotype" w:cs="Arial"/>
          <w:lang w:val="es-ES_tradnl"/>
        </w:rPr>
        <w:t xml:space="preserve">Sistema de Acceso a la Información Mexiquense </w:t>
      </w:r>
      <w:r w:rsidRPr="00BC16BD">
        <w:rPr>
          <w:rFonts w:ascii="Palatino Linotype" w:hAnsi="Palatino Linotype" w:cs="Arial"/>
          <w:b/>
          <w:lang w:val="es-ES_tradnl"/>
        </w:rPr>
        <w:t>(SAIMEX).</w:t>
      </w:r>
    </w:p>
    <w:p w14:paraId="33F0FF7F" w14:textId="77777777" w:rsidR="00397B04" w:rsidRPr="00BC16BD" w:rsidRDefault="00397B04" w:rsidP="00BC16BD">
      <w:pPr>
        <w:shd w:val="clear" w:color="auto" w:fill="FFFFFF"/>
        <w:spacing w:line="360" w:lineRule="auto"/>
        <w:jc w:val="both"/>
        <w:rPr>
          <w:rFonts w:ascii="Palatino Linotype" w:hAnsi="Palatino Linotype"/>
          <w:lang w:val="es-ES_tradnl"/>
        </w:rPr>
      </w:pPr>
    </w:p>
    <w:p w14:paraId="3F867D1C" w14:textId="02E2CBFF" w:rsidR="00397B04" w:rsidRDefault="00397B04" w:rsidP="00BC16BD">
      <w:pPr>
        <w:spacing w:line="360" w:lineRule="auto"/>
        <w:jc w:val="both"/>
        <w:rPr>
          <w:rFonts w:ascii="Palatino Linotype" w:hAnsi="Palatino Linotype"/>
          <w:b/>
          <w:lang w:val="es-MX" w:eastAsia="es-MX"/>
        </w:rPr>
      </w:pPr>
      <w:r w:rsidRPr="00BC16BD">
        <w:rPr>
          <w:rFonts w:ascii="Palatino Linotype" w:eastAsia="MS Mincho" w:hAnsi="Palatino Linotype"/>
          <w:b/>
          <w:lang w:val="es-MX"/>
        </w:rPr>
        <w:t>SEXTO.</w:t>
      </w:r>
      <w:r w:rsidRPr="00BC16BD">
        <w:rPr>
          <w:rFonts w:ascii="Palatino Linotype" w:eastAsia="MS Mincho" w:hAnsi="Palatino Linotype"/>
          <w:lang w:val="es-MX"/>
        </w:rPr>
        <w:t xml:space="preserve"> </w:t>
      </w:r>
      <w:r w:rsidRPr="00BC16BD">
        <w:rPr>
          <w:rFonts w:ascii="Palatino Linotype" w:eastAsia="MS Mincho" w:hAnsi="Palatino Linotype"/>
        </w:rPr>
        <w:t xml:space="preserve">Se hace del conocimiento del </w:t>
      </w:r>
      <w:r w:rsidRPr="00BC16BD">
        <w:rPr>
          <w:rFonts w:ascii="Palatino Linotype" w:eastAsia="MS Mincho" w:hAnsi="Palatino Linotype"/>
          <w:b/>
          <w:bCs/>
        </w:rPr>
        <w:t>RECURRENTE</w:t>
      </w:r>
      <w:r w:rsidRPr="00BC16BD">
        <w:rPr>
          <w:rFonts w:ascii="Palatino Linotype" w:hAnsi="Palatino Linotype"/>
          <w:bCs/>
          <w:color w:val="222222"/>
          <w:lang w:val="es-ES_tradnl"/>
        </w:rPr>
        <w:t xml:space="preserve"> </w:t>
      </w:r>
      <w:r w:rsidRPr="00BC16B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C16BD">
        <w:rPr>
          <w:rFonts w:ascii="Palatino Linotype" w:eastAsia="MS Mincho" w:hAnsi="Palatino Linotype"/>
          <w:bCs/>
        </w:rPr>
        <w:t>vía juicio de amparo</w:t>
      </w:r>
      <w:r w:rsidRPr="00BC16BD">
        <w:rPr>
          <w:rFonts w:ascii="Palatino Linotype" w:eastAsia="MS Mincho" w:hAnsi="Palatino Linotype"/>
        </w:rPr>
        <w:t> en los términos de las leyes aplicables.</w:t>
      </w:r>
      <w:r w:rsidRPr="00BC16BD">
        <w:rPr>
          <w:rFonts w:ascii="Palatino Linotype" w:eastAsia="MS Mincho" w:hAnsi="Palatino Linotype"/>
        </w:rPr>
        <w:tab/>
      </w:r>
      <w:r w:rsidRPr="00BC16BD">
        <w:rPr>
          <w:rFonts w:ascii="Palatino Linotype" w:hAnsi="Palatino Linotype"/>
          <w:b/>
          <w:lang w:val="es-MX" w:eastAsia="es-MX"/>
        </w:rPr>
        <w:t xml:space="preserve"> </w:t>
      </w:r>
    </w:p>
    <w:p w14:paraId="51B8AEBB" w14:textId="77777777" w:rsidR="00C16EA6" w:rsidRPr="00BC16BD" w:rsidRDefault="00C16EA6" w:rsidP="00BC16BD">
      <w:pPr>
        <w:spacing w:line="360" w:lineRule="auto"/>
        <w:jc w:val="both"/>
        <w:rPr>
          <w:rFonts w:ascii="Palatino Linotype" w:hAnsi="Palatino Linotype"/>
          <w:b/>
          <w:lang w:val="es-MX" w:eastAsia="es-MX"/>
        </w:rPr>
      </w:pPr>
    </w:p>
    <w:p w14:paraId="2A4D8DD1" w14:textId="77777777" w:rsidR="00C16EA6" w:rsidRDefault="00C16EA6" w:rsidP="00C16EA6">
      <w:pPr>
        <w:spacing w:line="360" w:lineRule="auto"/>
        <w:jc w:val="both"/>
        <w:rPr>
          <w:rFonts w:ascii="Palatino Linotype" w:hAnsi="Palatino Linotype" w:cs="Arial"/>
          <w:lang w:val="es-MX"/>
        </w:rPr>
      </w:pPr>
      <w:r>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w:t>
      </w:r>
    </w:p>
    <w:p w14:paraId="4453F8E6" w14:textId="0CDC3D99" w:rsidR="00090DE6" w:rsidRPr="00BC16BD" w:rsidRDefault="00090DE6" w:rsidP="00BC16BD">
      <w:pPr>
        <w:spacing w:before="240" w:after="240" w:line="360" w:lineRule="auto"/>
        <w:ind w:firstLine="1"/>
        <w:jc w:val="both"/>
        <w:rPr>
          <w:rFonts w:ascii="Palatino Linotype" w:hAnsi="Palatino Linotype"/>
          <w:lang w:val="es-ES_tradnl"/>
        </w:rPr>
      </w:pPr>
    </w:p>
    <w:sectPr w:rsidR="00090DE6" w:rsidRPr="00BC16BD"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F6381" w14:textId="77777777" w:rsidR="00C811EB" w:rsidRDefault="00C811EB" w:rsidP="00C80F8C">
      <w:r>
        <w:separator/>
      </w:r>
    </w:p>
  </w:endnote>
  <w:endnote w:type="continuationSeparator" w:id="0">
    <w:p w14:paraId="6727F9EC" w14:textId="77777777" w:rsidR="00C811EB" w:rsidRDefault="00C811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B100323" w:rsidR="00775A11" w:rsidRPr="00817AAB" w:rsidRDefault="00775A1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37F03">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37F03">
      <w:rPr>
        <w:rFonts w:ascii="Palatino Linotype" w:hAnsi="Palatino Linotype" w:cs="Arial"/>
        <w:b/>
        <w:bCs/>
        <w:noProof/>
      </w:rPr>
      <w:t>64</w:t>
    </w:r>
    <w:r w:rsidRPr="00817AAB">
      <w:rPr>
        <w:rFonts w:ascii="Palatino Linotype" w:hAnsi="Palatino Linotype" w:cs="Arial"/>
        <w:b/>
        <w:bCs/>
      </w:rPr>
      <w:fldChar w:fldCharType="end"/>
    </w:r>
  </w:p>
  <w:p w14:paraId="1192A578" w14:textId="77777777" w:rsidR="00775A11" w:rsidRDefault="00775A11" w:rsidP="00935A0D">
    <w:pPr>
      <w:pStyle w:val="Piedepgina"/>
      <w:rPr>
        <w:rFonts w:ascii="Times New Roman" w:hAnsi="Times New Roman" w:cs="Times New Roman"/>
      </w:rPr>
    </w:pPr>
  </w:p>
  <w:p w14:paraId="14A770F8" w14:textId="77777777" w:rsidR="00775A11" w:rsidRDefault="00775A11"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6EB439EB" w:rsidR="00775A11" w:rsidRDefault="00775A1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37F0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37F03">
      <w:rPr>
        <w:rFonts w:ascii="Arial" w:hAnsi="Arial" w:cs="Arial"/>
        <w:b/>
        <w:bCs/>
        <w:noProof/>
        <w:sz w:val="20"/>
        <w:szCs w:val="20"/>
      </w:rPr>
      <w:t>64</w:t>
    </w:r>
    <w:r>
      <w:rPr>
        <w:rFonts w:ascii="Arial" w:hAnsi="Arial" w:cs="Arial"/>
        <w:b/>
        <w:bCs/>
        <w:sz w:val="20"/>
        <w:szCs w:val="20"/>
      </w:rPr>
      <w:fldChar w:fldCharType="end"/>
    </w:r>
  </w:p>
  <w:p w14:paraId="5D98ABD5" w14:textId="77777777" w:rsidR="00775A11" w:rsidRDefault="00775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F2D76" w14:textId="77777777" w:rsidR="00C811EB" w:rsidRDefault="00C811EB" w:rsidP="00C80F8C">
      <w:r>
        <w:separator/>
      </w:r>
    </w:p>
  </w:footnote>
  <w:footnote w:type="continuationSeparator" w:id="0">
    <w:p w14:paraId="0CF77129" w14:textId="77777777" w:rsidR="00C811EB" w:rsidRDefault="00C811EB" w:rsidP="00C80F8C">
      <w:r>
        <w:continuationSeparator/>
      </w:r>
    </w:p>
  </w:footnote>
  <w:footnote w:id="1">
    <w:p w14:paraId="39D7764F" w14:textId="77777777" w:rsidR="00775A11" w:rsidRDefault="00775A11"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7CA03DC6" w14:textId="48486C1F" w:rsidR="00775A11" w:rsidRDefault="00775A11" w:rsidP="009C4F62">
      <w:pPr>
        <w:pStyle w:val="Textonotapie"/>
        <w:jc w:val="both"/>
        <w:rPr>
          <w:lang w:val="es-ES"/>
        </w:rPr>
      </w:pPr>
      <w:r>
        <w:rPr>
          <w:lang w:val="es-ES"/>
        </w:rPr>
        <w:t>(…)</w:t>
      </w:r>
    </w:p>
    <w:p w14:paraId="3F6FC698" w14:textId="7BC45E0F" w:rsidR="00775A11" w:rsidRDefault="00775A11" w:rsidP="009C4F62">
      <w:pPr>
        <w:pStyle w:val="Textonotapie"/>
        <w:jc w:val="both"/>
        <w:rPr>
          <w:lang w:val="es-ES"/>
        </w:rPr>
      </w:pPr>
      <w:r w:rsidRPr="003663AD">
        <w:rPr>
          <w:lang w:val="es-ES"/>
        </w:rPr>
        <w:t>I. La negativa a la información solicitada;</w:t>
      </w:r>
    </w:p>
    <w:p w14:paraId="64F123DA" w14:textId="03CD6386" w:rsidR="00775A11" w:rsidRDefault="00775A11" w:rsidP="009C4F62">
      <w:pPr>
        <w:pStyle w:val="Textonotapie"/>
        <w:jc w:val="both"/>
        <w:rPr>
          <w:lang w:val="es-ES"/>
        </w:rPr>
      </w:pPr>
      <w:r>
        <w:rPr>
          <w:lang w:val="es-ES"/>
        </w:rPr>
        <w:t>(…)</w:t>
      </w:r>
    </w:p>
    <w:p w14:paraId="796FB663" w14:textId="48FD1852" w:rsidR="00775A11" w:rsidRDefault="00775A11" w:rsidP="009C4F62">
      <w:pPr>
        <w:pStyle w:val="Textonotapie"/>
        <w:jc w:val="both"/>
        <w:rPr>
          <w:lang w:val="es-ES"/>
        </w:rPr>
      </w:pPr>
      <w:r w:rsidRPr="003663AD">
        <w:rPr>
          <w:lang w:val="es-ES"/>
        </w:rPr>
        <w:t>IV. La declaración de incompetencia por el sujeto obligado;</w:t>
      </w:r>
    </w:p>
    <w:p w14:paraId="1A8DFF2E" w14:textId="27F7B540" w:rsidR="00775A11" w:rsidRDefault="00775A11" w:rsidP="009C4F62">
      <w:pPr>
        <w:pStyle w:val="Textonotapie"/>
        <w:jc w:val="both"/>
        <w:rPr>
          <w:lang w:val="es-ES"/>
        </w:rPr>
      </w:pPr>
      <w:r>
        <w:rPr>
          <w:lang w:val="es-ES"/>
        </w:rPr>
        <w:t xml:space="preserve"> (…)</w:t>
      </w:r>
    </w:p>
    <w:p w14:paraId="3EBA8880" w14:textId="5E3164DF" w:rsidR="00775A11" w:rsidRDefault="00775A11" w:rsidP="00A2042B">
      <w:pPr>
        <w:pStyle w:val="Textonotapie"/>
        <w:jc w:val="both"/>
        <w:rPr>
          <w:lang w:val="es-ES"/>
        </w:rPr>
      </w:pPr>
    </w:p>
    <w:p w14:paraId="1867D448" w14:textId="3D0D5CA2" w:rsidR="00775A11" w:rsidRDefault="00775A11" w:rsidP="009C4F62">
      <w:pPr>
        <w:pStyle w:val="Textonotapie"/>
        <w:jc w:val="both"/>
      </w:pPr>
    </w:p>
  </w:footnote>
  <w:footnote w:id="2">
    <w:p w14:paraId="48AB4863" w14:textId="77777777" w:rsidR="00775A11" w:rsidRDefault="00775A11" w:rsidP="00544C09">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6E04DDA5" w14:textId="77777777" w:rsidR="00775A11" w:rsidRDefault="00775A11" w:rsidP="00544C09">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BB8016C" w14:textId="77777777" w:rsidR="00775A11" w:rsidRDefault="00775A11" w:rsidP="00544C09">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D1B5716" w14:textId="77777777" w:rsidR="00775A11" w:rsidRDefault="00775A11" w:rsidP="00544C09">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775A11" w:rsidRPr="00F5102E" w:rsidRDefault="00775A11"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775A11" w:rsidRPr="00F5102E" w:rsidRDefault="00775A11" w:rsidP="00C548CF">
      <w:pPr>
        <w:pStyle w:val="Textonotapie"/>
        <w:jc w:val="both"/>
        <w:rPr>
          <w:rFonts w:ascii="Palatino Linotype" w:hAnsi="Palatino Linotype"/>
        </w:rPr>
      </w:pPr>
      <w:r w:rsidRPr="00F5102E">
        <w:rPr>
          <w:rFonts w:ascii="Palatino Linotype" w:hAnsi="Palatino Linotype"/>
        </w:rPr>
        <w:t>(…)</w:t>
      </w:r>
    </w:p>
    <w:p w14:paraId="42D31E86" w14:textId="77777777" w:rsidR="00775A11" w:rsidRPr="00F5102E" w:rsidRDefault="00775A11"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775A11" w:rsidRPr="00F5102E" w:rsidRDefault="00775A11"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775A11" w:rsidRDefault="00775A11"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14CF5C2D" w14:textId="77777777" w:rsidR="00775A11" w:rsidRDefault="00775A11" w:rsidP="00544C09">
      <w:pPr>
        <w:pStyle w:val="Textonotapie"/>
        <w:jc w:val="both"/>
      </w:pPr>
      <w:r>
        <w:rPr>
          <w:rStyle w:val="Refdenotaalpie"/>
        </w:rPr>
        <w:footnoteRef/>
      </w:r>
      <w:r>
        <w:t xml:space="preserve"> </w:t>
      </w:r>
      <w:r w:rsidRPr="00AC0BED">
        <w:rPr>
          <w:b/>
        </w:rPr>
        <w:t>Artículo 150.</w:t>
      </w:r>
      <w: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footnote>
  <w:footnote w:id="8">
    <w:p w14:paraId="2A96AAF2" w14:textId="77777777" w:rsidR="00775A11" w:rsidRDefault="00775A11" w:rsidP="00B1531D">
      <w:pPr>
        <w:pStyle w:val="Textonotapie"/>
        <w:jc w:val="both"/>
      </w:pPr>
      <w:r>
        <w:rPr>
          <w:rStyle w:val="Refdenotaalpie"/>
        </w:rPr>
        <w:footnoteRef/>
      </w:r>
      <w:r>
        <w:t xml:space="preserve"> Artículo 75. La prestación de los servicios públicos municipales estará a cargo del Gobierno Municipal,</w:t>
      </w:r>
    </w:p>
    <w:p w14:paraId="7128CBF8" w14:textId="77777777" w:rsidR="00775A11" w:rsidRDefault="00775A11" w:rsidP="00B1531D">
      <w:pPr>
        <w:pStyle w:val="Textonotapie"/>
        <w:jc w:val="both"/>
      </w:pPr>
      <w:r>
        <w:t>quien los prestará de manera directa o descentralizada, o bien podrá otorgar la concesión a particulares</w:t>
      </w:r>
    </w:p>
    <w:p w14:paraId="4525E2ED" w14:textId="77777777" w:rsidR="00775A11" w:rsidRDefault="00775A11" w:rsidP="00B1531D">
      <w:pPr>
        <w:pStyle w:val="Textonotapie"/>
        <w:ind w:right="-252"/>
        <w:jc w:val="both"/>
      </w:pPr>
      <w:r>
        <w:t>siempre y cuando exista previo acuerdo del Ayuntamiento y cuando no se trate de los servicios de</w:t>
      </w:r>
    </w:p>
    <w:p w14:paraId="05E84035" w14:textId="7A20F1E2" w:rsidR="00775A11" w:rsidRDefault="00775A11" w:rsidP="00B1531D">
      <w:pPr>
        <w:pStyle w:val="Textonotapie"/>
        <w:jc w:val="both"/>
      </w:pPr>
      <w:r>
        <w:t>seguridad pública preventiva, vialidad y aquellos que alteren las estructura y organización municipal.</w:t>
      </w:r>
      <w:r>
        <w:cr/>
      </w:r>
    </w:p>
  </w:footnote>
  <w:footnote w:id="9">
    <w:p w14:paraId="464C3199" w14:textId="77777777" w:rsidR="00775A11" w:rsidRPr="00FB2052" w:rsidRDefault="00775A11" w:rsidP="00B92A80">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Artículo 93 de la Ley Orgánica Municipal del Estado de México.</w:t>
      </w:r>
    </w:p>
  </w:footnote>
  <w:footnote w:id="10">
    <w:p w14:paraId="4EE5ADB0" w14:textId="77777777" w:rsidR="00775A11" w:rsidRPr="00985DD4" w:rsidRDefault="00775A11" w:rsidP="00464C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C450596" w14:textId="77777777" w:rsidR="00775A11" w:rsidRPr="00985DD4" w:rsidRDefault="00775A11" w:rsidP="00464C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EF444B9" w14:textId="77777777" w:rsidR="00775A11" w:rsidRPr="00BE13A0" w:rsidRDefault="00775A11" w:rsidP="00464C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1">
    <w:p w14:paraId="5BFD695D" w14:textId="77777777" w:rsidR="00775A11" w:rsidRPr="00985DD4" w:rsidRDefault="00775A11" w:rsidP="00464C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2">
    <w:p w14:paraId="23BFEDCD" w14:textId="77777777" w:rsidR="00775A11" w:rsidRPr="009F19BE" w:rsidRDefault="00775A11" w:rsidP="00464C8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12A339" w14:textId="77777777" w:rsidR="00775A11" w:rsidRPr="009F19BE" w:rsidRDefault="00775A11" w:rsidP="00464C8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3">
    <w:p w14:paraId="070C7BB5" w14:textId="77777777" w:rsidR="00775A11" w:rsidRPr="009F19BE" w:rsidRDefault="00775A11" w:rsidP="00464C8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4">
    <w:p w14:paraId="04F27280" w14:textId="77777777" w:rsidR="00775A11" w:rsidRPr="00034B44" w:rsidRDefault="00775A11"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5">
    <w:p w14:paraId="641F3E43" w14:textId="77777777" w:rsidR="00775A11" w:rsidRPr="00034B44" w:rsidRDefault="00775A11"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A47F29" w14:textId="77777777" w:rsidR="00775A11" w:rsidRPr="00034B44" w:rsidRDefault="00775A11" w:rsidP="00464C8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AAF142C" w14:textId="77777777" w:rsidR="00775A11" w:rsidRPr="00034B44" w:rsidRDefault="00775A11" w:rsidP="00464C8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775A11" w14:paraId="6B4E3B81" w14:textId="77777777" w:rsidTr="00B4299A">
      <w:tc>
        <w:tcPr>
          <w:tcW w:w="2701" w:type="dxa"/>
          <w:vAlign w:val="center"/>
          <w:hideMark/>
        </w:tcPr>
        <w:p w14:paraId="0ABBC6C0" w14:textId="1226DAAF" w:rsidR="00775A11" w:rsidRPr="00B4299A" w:rsidRDefault="00775A1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11D9F37" w:rsidR="00775A11" w:rsidRPr="00B4299A" w:rsidRDefault="00775A11" w:rsidP="006E011A">
          <w:pPr>
            <w:rPr>
              <w:rFonts w:ascii="Palatino Linotype" w:hAnsi="Palatino Linotype"/>
              <w:b/>
              <w:szCs w:val="22"/>
              <w:lang w:val="es-ES_tradnl"/>
            </w:rPr>
          </w:pPr>
          <w:r w:rsidRPr="005B1401">
            <w:rPr>
              <w:rFonts w:ascii="Palatino Linotype" w:hAnsi="Palatino Linotype"/>
              <w:b/>
              <w:szCs w:val="22"/>
              <w:lang w:val="es-ES_tradnl"/>
            </w:rPr>
            <w:t>05993/INFOEM/IP/RR/2021</w:t>
          </w:r>
        </w:p>
      </w:tc>
    </w:tr>
    <w:tr w:rsidR="00775A11" w14:paraId="31CB780F" w14:textId="77777777" w:rsidTr="00B4299A">
      <w:trPr>
        <w:trHeight w:val="228"/>
      </w:trPr>
      <w:tc>
        <w:tcPr>
          <w:tcW w:w="2701" w:type="dxa"/>
          <w:vAlign w:val="center"/>
          <w:hideMark/>
        </w:tcPr>
        <w:p w14:paraId="4F49CB4A" w14:textId="6966D32E" w:rsidR="00775A11" w:rsidRPr="00B4299A" w:rsidRDefault="00775A1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39A179A" w:rsidR="00775A11" w:rsidRPr="00B4299A" w:rsidRDefault="00775A11" w:rsidP="00EA0165">
          <w:pPr>
            <w:jc w:val="both"/>
            <w:rPr>
              <w:rFonts w:ascii="Palatino Linotype" w:hAnsi="Palatino Linotype"/>
              <w:b/>
              <w:szCs w:val="22"/>
              <w:lang w:val="es-ES_tradnl"/>
            </w:rPr>
          </w:pPr>
          <w:r w:rsidRPr="005B1401">
            <w:rPr>
              <w:rFonts w:ascii="Palatino Linotype" w:hAnsi="Palatino Linotype"/>
              <w:b/>
              <w:szCs w:val="22"/>
              <w:lang w:val="es-ES_tradnl"/>
            </w:rPr>
            <w:t>Ayuntamiento de Nextlalpan</w:t>
          </w:r>
        </w:p>
      </w:tc>
    </w:tr>
    <w:tr w:rsidR="00775A11" w14:paraId="69050F56" w14:textId="77777777" w:rsidTr="00B4299A">
      <w:tc>
        <w:tcPr>
          <w:tcW w:w="2701" w:type="dxa"/>
          <w:vAlign w:val="center"/>
          <w:hideMark/>
        </w:tcPr>
        <w:p w14:paraId="65C9B735" w14:textId="75C78F81" w:rsidR="00775A11" w:rsidRPr="00B4299A" w:rsidRDefault="00775A1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775A11" w:rsidRPr="00B4299A" w:rsidRDefault="00775A1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775A11" w:rsidRDefault="00775A11"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775A11" w:rsidRDefault="00775A11"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775A11" w:rsidRDefault="00775A11"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75A11" w14:paraId="477E149B" w14:textId="77777777" w:rsidTr="00CB57FD">
      <w:trPr>
        <w:trHeight w:val="277"/>
      </w:trPr>
      <w:tc>
        <w:tcPr>
          <w:tcW w:w="2693" w:type="dxa"/>
          <w:vAlign w:val="center"/>
          <w:hideMark/>
        </w:tcPr>
        <w:p w14:paraId="5C0586E4" w14:textId="77777777" w:rsidR="00775A11" w:rsidRPr="009B3353" w:rsidRDefault="00775A1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F6E13C0" w:rsidR="00775A11" w:rsidRPr="009B3353" w:rsidRDefault="00775A11" w:rsidP="005B1401">
          <w:pPr>
            <w:rPr>
              <w:rFonts w:ascii="Palatino Linotype" w:hAnsi="Palatino Linotype"/>
              <w:b/>
              <w:szCs w:val="22"/>
              <w:lang w:val="es-ES_tradnl"/>
            </w:rPr>
          </w:pPr>
          <w:r w:rsidRPr="005B1401">
            <w:rPr>
              <w:rFonts w:ascii="Palatino Linotype" w:hAnsi="Palatino Linotype"/>
              <w:b/>
              <w:bCs/>
              <w:szCs w:val="22"/>
            </w:rPr>
            <w:t>05993/INFOEM/IP/RR/2021</w:t>
          </w:r>
        </w:p>
      </w:tc>
    </w:tr>
    <w:tr w:rsidR="00775A11" w14:paraId="5B5BE21C" w14:textId="77777777" w:rsidTr="00CB57FD">
      <w:tc>
        <w:tcPr>
          <w:tcW w:w="2693" w:type="dxa"/>
          <w:vAlign w:val="center"/>
          <w:hideMark/>
        </w:tcPr>
        <w:p w14:paraId="4AE96902" w14:textId="4E063913" w:rsidR="00775A11" w:rsidRPr="009B3353" w:rsidRDefault="00775A1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AE69FA1" w:rsidR="00775A11" w:rsidRPr="009B3353" w:rsidRDefault="00137F03" w:rsidP="002B7BCC">
          <w:pPr>
            <w:rPr>
              <w:rFonts w:ascii="Palatino Linotype" w:hAnsi="Palatino Linotype"/>
              <w:b/>
              <w:szCs w:val="22"/>
              <w:lang w:val="es-ES_tradnl"/>
            </w:rPr>
          </w:pPr>
          <w:r>
            <w:rPr>
              <w:rFonts w:ascii="Palatino Linotype" w:hAnsi="Palatino Linotype"/>
              <w:b/>
              <w:szCs w:val="22"/>
            </w:rPr>
            <w:t>XXXXXXX XXXX XXXXXXX</w:t>
          </w:r>
        </w:p>
      </w:tc>
    </w:tr>
    <w:tr w:rsidR="00775A11" w14:paraId="22601A11" w14:textId="77777777" w:rsidTr="00CB57FD">
      <w:trPr>
        <w:trHeight w:val="228"/>
      </w:trPr>
      <w:tc>
        <w:tcPr>
          <w:tcW w:w="2693" w:type="dxa"/>
          <w:vAlign w:val="center"/>
          <w:hideMark/>
        </w:tcPr>
        <w:p w14:paraId="6EFE221D" w14:textId="49C5F800" w:rsidR="00775A11" w:rsidRPr="009B3353" w:rsidRDefault="00775A1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C0DC583" w:rsidR="00775A11" w:rsidRPr="009B3353" w:rsidRDefault="00775A11" w:rsidP="00AA18DD">
          <w:pPr>
            <w:jc w:val="both"/>
            <w:rPr>
              <w:rFonts w:ascii="Palatino Linotype" w:eastAsia="Calibri" w:hAnsi="Palatino Linotype"/>
              <w:b/>
              <w:szCs w:val="22"/>
              <w:lang w:val="es-MX" w:eastAsia="en-US"/>
            </w:rPr>
          </w:pPr>
          <w:r w:rsidRPr="005B1401">
            <w:rPr>
              <w:rFonts w:ascii="Palatino Linotype" w:eastAsia="Calibri" w:hAnsi="Palatino Linotype"/>
              <w:b/>
              <w:szCs w:val="22"/>
              <w:lang w:val="es-MX" w:eastAsia="en-US"/>
            </w:rPr>
            <w:t>Ayuntamiento de Nextlalpan</w:t>
          </w:r>
        </w:p>
      </w:tc>
    </w:tr>
    <w:tr w:rsidR="00775A11" w14:paraId="2D6C630E" w14:textId="77777777" w:rsidTr="00CB57FD">
      <w:tc>
        <w:tcPr>
          <w:tcW w:w="2693" w:type="dxa"/>
          <w:vAlign w:val="center"/>
          <w:hideMark/>
        </w:tcPr>
        <w:p w14:paraId="5BD4C6DB" w14:textId="7CF21504" w:rsidR="00775A11" w:rsidRPr="009B3353" w:rsidRDefault="00775A1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775A11" w:rsidRPr="009B3353" w:rsidRDefault="00775A1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775A11" w:rsidRDefault="00775A11"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BB1611"/>
    <w:multiLevelType w:val="multilevel"/>
    <w:tmpl w:val="5B6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C4985"/>
    <w:multiLevelType w:val="hybridMultilevel"/>
    <w:tmpl w:val="641E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E4CC9"/>
    <w:multiLevelType w:val="multilevel"/>
    <w:tmpl w:val="B3E041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Palatino Linotype" w:eastAsia="MS Gothic" w:hAnsi="Palatino Linotype"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859F5"/>
    <w:multiLevelType w:val="multilevel"/>
    <w:tmpl w:val="BFD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27D1D"/>
    <w:multiLevelType w:val="hybridMultilevel"/>
    <w:tmpl w:val="C978BE2E"/>
    <w:lvl w:ilvl="0" w:tplc="62BAF630">
      <w:start w:val="9"/>
      <w:numFmt w:val="decimal"/>
      <w:lvlText w:val="%1."/>
      <w:lvlJc w:val="left"/>
      <w:pPr>
        <w:ind w:left="810" w:hanging="360"/>
      </w:pPr>
      <w:rPr>
        <w:rFonts w:hint="default"/>
        <w:b/>
        <w:i w:val="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ED27CE"/>
    <w:multiLevelType w:val="hybridMultilevel"/>
    <w:tmpl w:val="8C08A924"/>
    <w:lvl w:ilvl="0" w:tplc="16F4E19A">
      <w:start w:val="3"/>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06B2E"/>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D2383E"/>
    <w:multiLevelType w:val="hybridMultilevel"/>
    <w:tmpl w:val="57805DAC"/>
    <w:lvl w:ilvl="0" w:tplc="16F4E19A">
      <w:start w:val="3"/>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301DF0"/>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4F138A"/>
    <w:multiLevelType w:val="hybridMultilevel"/>
    <w:tmpl w:val="C978BE2E"/>
    <w:lvl w:ilvl="0" w:tplc="62BAF630">
      <w:start w:val="9"/>
      <w:numFmt w:val="decimal"/>
      <w:lvlText w:val="%1."/>
      <w:lvlJc w:val="left"/>
      <w:pPr>
        <w:ind w:left="810" w:hanging="360"/>
      </w:pPr>
      <w:rPr>
        <w:rFonts w:hint="default"/>
        <w:b/>
        <w:i w:val="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2C7106"/>
    <w:multiLevelType w:val="hybridMultilevel"/>
    <w:tmpl w:val="63FC220A"/>
    <w:lvl w:ilvl="0" w:tplc="16F4E19A">
      <w:start w:val="3"/>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1477DAE"/>
    <w:multiLevelType w:val="hybridMultilevel"/>
    <w:tmpl w:val="80C4466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53510D"/>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3"/>
  </w:num>
  <w:num w:numId="3">
    <w:abstractNumId w:val="4"/>
  </w:num>
  <w:num w:numId="4">
    <w:abstractNumId w:val="0"/>
  </w:num>
  <w:num w:numId="5">
    <w:abstractNumId w:val="15"/>
  </w:num>
  <w:num w:numId="6">
    <w:abstractNumId w:val="10"/>
  </w:num>
  <w:num w:numId="7">
    <w:abstractNumId w:val="8"/>
  </w:num>
  <w:num w:numId="8">
    <w:abstractNumId w:val="20"/>
  </w:num>
  <w:num w:numId="9">
    <w:abstractNumId w:val="26"/>
  </w:num>
  <w:num w:numId="10">
    <w:abstractNumId w:val="12"/>
  </w:num>
  <w:num w:numId="11">
    <w:abstractNumId w:val="39"/>
  </w:num>
  <w:num w:numId="12">
    <w:abstractNumId w:val="16"/>
  </w:num>
  <w:num w:numId="13">
    <w:abstractNumId w:val="42"/>
  </w:num>
  <w:num w:numId="14">
    <w:abstractNumId w:val="4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8"/>
  </w:num>
  <w:num w:numId="18">
    <w:abstractNumId w:val="3"/>
  </w:num>
  <w:num w:numId="19">
    <w:abstractNumId w:val="18"/>
  </w:num>
  <w:num w:numId="20">
    <w:abstractNumId w:val="47"/>
  </w:num>
  <w:num w:numId="21">
    <w:abstractNumId w:val="6"/>
  </w:num>
  <w:num w:numId="22">
    <w:abstractNumId w:val="44"/>
  </w:num>
  <w:num w:numId="23">
    <w:abstractNumId w:val="41"/>
  </w:num>
  <w:num w:numId="24">
    <w:abstractNumId w:val="25"/>
  </w:num>
  <w:num w:numId="25">
    <w:abstractNumId w:val="32"/>
  </w:num>
  <w:num w:numId="26">
    <w:abstractNumId w:val="45"/>
  </w:num>
  <w:num w:numId="27">
    <w:abstractNumId w:val="34"/>
  </w:num>
  <w:num w:numId="28">
    <w:abstractNumId w:val="46"/>
  </w:num>
  <w:num w:numId="29">
    <w:abstractNumId w:val="27"/>
  </w:num>
  <w:num w:numId="30">
    <w:abstractNumId w:val="29"/>
  </w:num>
  <w:num w:numId="31">
    <w:abstractNumId w:val="2"/>
  </w:num>
  <w:num w:numId="32">
    <w:abstractNumId w:val="17"/>
  </w:num>
  <w:num w:numId="33">
    <w:abstractNumId w:val="1"/>
  </w:num>
  <w:num w:numId="34">
    <w:abstractNumId w:val="37"/>
  </w:num>
  <w:num w:numId="35">
    <w:abstractNumId w:val="36"/>
  </w:num>
  <w:num w:numId="36">
    <w:abstractNumId w:val="19"/>
  </w:num>
  <w:num w:numId="37">
    <w:abstractNumId w:val="11"/>
  </w:num>
  <w:num w:numId="38">
    <w:abstractNumId w:val="13"/>
  </w:num>
  <w:num w:numId="39">
    <w:abstractNumId w:val="31"/>
  </w:num>
  <w:num w:numId="40">
    <w:abstractNumId w:val="24"/>
  </w:num>
  <w:num w:numId="41">
    <w:abstractNumId w:val="35"/>
  </w:num>
  <w:num w:numId="42">
    <w:abstractNumId w:val="22"/>
  </w:num>
  <w:num w:numId="43">
    <w:abstractNumId w:val="40"/>
  </w:num>
  <w:num w:numId="44">
    <w:abstractNumId w:val="14"/>
  </w:num>
  <w:num w:numId="45">
    <w:abstractNumId w:val="49"/>
  </w:num>
  <w:num w:numId="46">
    <w:abstractNumId w:val="23"/>
  </w:num>
  <w:num w:numId="47">
    <w:abstractNumId w:val="30"/>
  </w:num>
  <w:num w:numId="48">
    <w:abstractNumId w:val="9"/>
  </w:num>
  <w:num w:numId="49">
    <w:abstractNumId w:val="21"/>
  </w:num>
  <w:num w:numId="5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39FE"/>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4769"/>
    <w:rsid w:val="00045165"/>
    <w:rsid w:val="00045FD8"/>
    <w:rsid w:val="00047F41"/>
    <w:rsid w:val="00051773"/>
    <w:rsid w:val="0005205E"/>
    <w:rsid w:val="000535B0"/>
    <w:rsid w:val="00053D74"/>
    <w:rsid w:val="00054EFE"/>
    <w:rsid w:val="00055938"/>
    <w:rsid w:val="00055F7A"/>
    <w:rsid w:val="00057073"/>
    <w:rsid w:val="00060CD1"/>
    <w:rsid w:val="0006108A"/>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1D0"/>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37F03"/>
    <w:rsid w:val="00141F78"/>
    <w:rsid w:val="00143012"/>
    <w:rsid w:val="00143967"/>
    <w:rsid w:val="001445AB"/>
    <w:rsid w:val="0014506E"/>
    <w:rsid w:val="001478D7"/>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89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7E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6B0"/>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504"/>
    <w:rsid w:val="00302787"/>
    <w:rsid w:val="00302C06"/>
    <w:rsid w:val="00302FBC"/>
    <w:rsid w:val="00303364"/>
    <w:rsid w:val="00303BC7"/>
    <w:rsid w:val="00303BDC"/>
    <w:rsid w:val="00304058"/>
    <w:rsid w:val="00305480"/>
    <w:rsid w:val="00306589"/>
    <w:rsid w:val="00306B09"/>
    <w:rsid w:val="00306D3D"/>
    <w:rsid w:val="00306DF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3AD"/>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9D"/>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5B7A"/>
    <w:rsid w:val="00410650"/>
    <w:rsid w:val="004106C1"/>
    <w:rsid w:val="004126F7"/>
    <w:rsid w:val="00413FC2"/>
    <w:rsid w:val="004140B9"/>
    <w:rsid w:val="00414AE6"/>
    <w:rsid w:val="00414EE8"/>
    <w:rsid w:val="00416CFB"/>
    <w:rsid w:val="00416E00"/>
    <w:rsid w:val="00417006"/>
    <w:rsid w:val="00417703"/>
    <w:rsid w:val="0042006D"/>
    <w:rsid w:val="0042021B"/>
    <w:rsid w:val="0042280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2C3"/>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6C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9F8"/>
    <w:rsid w:val="004F2CC0"/>
    <w:rsid w:val="004F3B64"/>
    <w:rsid w:val="004F5243"/>
    <w:rsid w:val="004F64AD"/>
    <w:rsid w:val="004F759E"/>
    <w:rsid w:val="004F7AC2"/>
    <w:rsid w:val="00501721"/>
    <w:rsid w:val="00503053"/>
    <w:rsid w:val="00503E5E"/>
    <w:rsid w:val="005042BC"/>
    <w:rsid w:val="0050583D"/>
    <w:rsid w:val="00505B26"/>
    <w:rsid w:val="0050606E"/>
    <w:rsid w:val="005061EA"/>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C09"/>
    <w:rsid w:val="00544D72"/>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401"/>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7D2"/>
    <w:rsid w:val="005C5929"/>
    <w:rsid w:val="005C59A8"/>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2229"/>
    <w:rsid w:val="006031FE"/>
    <w:rsid w:val="00603E10"/>
    <w:rsid w:val="006047FC"/>
    <w:rsid w:val="006048D2"/>
    <w:rsid w:val="00605233"/>
    <w:rsid w:val="006056EF"/>
    <w:rsid w:val="00605A1F"/>
    <w:rsid w:val="00607550"/>
    <w:rsid w:val="00607726"/>
    <w:rsid w:val="006077EB"/>
    <w:rsid w:val="006078A0"/>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27D79"/>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6C5C"/>
    <w:rsid w:val="006870C8"/>
    <w:rsid w:val="006871B3"/>
    <w:rsid w:val="006878A4"/>
    <w:rsid w:val="00690415"/>
    <w:rsid w:val="006905F3"/>
    <w:rsid w:val="00691811"/>
    <w:rsid w:val="0069305F"/>
    <w:rsid w:val="006937F3"/>
    <w:rsid w:val="00694CB5"/>
    <w:rsid w:val="00694F4C"/>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8AE"/>
    <w:rsid w:val="00735B0D"/>
    <w:rsid w:val="00735DCB"/>
    <w:rsid w:val="00736C06"/>
    <w:rsid w:val="007401BB"/>
    <w:rsid w:val="00740BCB"/>
    <w:rsid w:val="00740E5C"/>
    <w:rsid w:val="0074195B"/>
    <w:rsid w:val="00741FEA"/>
    <w:rsid w:val="0074244D"/>
    <w:rsid w:val="007446D8"/>
    <w:rsid w:val="00744736"/>
    <w:rsid w:val="007449EB"/>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A11"/>
    <w:rsid w:val="00775CB2"/>
    <w:rsid w:val="0077600B"/>
    <w:rsid w:val="0077689F"/>
    <w:rsid w:val="0078030F"/>
    <w:rsid w:val="00780906"/>
    <w:rsid w:val="00780D17"/>
    <w:rsid w:val="00782370"/>
    <w:rsid w:val="00782DD9"/>
    <w:rsid w:val="007830E3"/>
    <w:rsid w:val="0078519A"/>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3D60"/>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1C39"/>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D6E"/>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17"/>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91D"/>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441"/>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347"/>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86B"/>
    <w:rsid w:val="00A57AFC"/>
    <w:rsid w:val="00A6004F"/>
    <w:rsid w:val="00A6220A"/>
    <w:rsid w:val="00A64A07"/>
    <w:rsid w:val="00A650DC"/>
    <w:rsid w:val="00A65237"/>
    <w:rsid w:val="00A654F7"/>
    <w:rsid w:val="00A66299"/>
    <w:rsid w:val="00A67732"/>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8DD"/>
    <w:rsid w:val="00AA19A7"/>
    <w:rsid w:val="00AA2C2B"/>
    <w:rsid w:val="00AA37FC"/>
    <w:rsid w:val="00AA44B0"/>
    <w:rsid w:val="00AA4B65"/>
    <w:rsid w:val="00AA57EF"/>
    <w:rsid w:val="00AA5F5D"/>
    <w:rsid w:val="00AB1362"/>
    <w:rsid w:val="00AB34DB"/>
    <w:rsid w:val="00AB3F5E"/>
    <w:rsid w:val="00AB4107"/>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076BE"/>
    <w:rsid w:val="00B10802"/>
    <w:rsid w:val="00B11A30"/>
    <w:rsid w:val="00B11E6A"/>
    <w:rsid w:val="00B125CC"/>
    <w:rsid w:val="00B13EF8"/>
    <w:rsid w:val="00B13F95"/>
    <w:rsid w:val="00B14987"/>
    <w:rsid w:val="00B1522A"/>
    <w:rsid w:val="00B1531D"/>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82F"/>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A80"/>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6BD"/>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A6"/>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1EB"/>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1BA"/>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565B"/>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C93"/>
    <w:rsid w:val="00DC3E83"/>
    <w:rsid w:val="00DC4A66"/>
    <w:rsid w:val="00DC4AFD"/>
    <w:rsid w:val="00DC5B57"/>
    <w:rsid w:val="00DC60C7"/>
    <w:rsid w:val="00DC6415"/>
    <w:rsid w:val="00DC6829"/>
    <w:rsid w:val="00DC7022"/>
    <w:rsid w:val="00DC752F"/>
    <w:rsid w:val="00DC76A4"/>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0E86"/>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E6C84"/>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4A9"/>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6523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69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260978">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0572216">
      <w:bodyDiv w:val="1"/>
      <w:marLeft w:val="0"/>
      <w:marRight w:val="0"/>
      <w:marTop w:val="0"/>
      <w:marBottom w:val="0"/>
      <w:divBdr>
        <w:top w:val="none" w:sz="0" w:space="0" w:color="auto"/>
        <w:left w:val="none" w:sz="0" w:space="0" w:color="auto"/>
        <w:bottom w:val="none" w:sz="0" w:space="0" w:color="auto"/>
        <w:right w:val="none" w:sz="0" w:space="0" w:color="auto"/>
      </w:divBdr>
    </w:div>
    <w:div w:id="65152547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8768541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9247837">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2791502">
      <w:bodyDiv w:val="1"/>
      <w:marLeft w:val="0"/>
      <w:marRight w:val="0"/>
      <w:marTop w:val="0"/>
      <w:marBottom w:val="0"/>
      <w:divBdr>
        <w:top w:val="none" w:sz="0" w:space="0" w:color="auto"/>
        <w:left w:val="none" w:sz="0" w:space="0" w:color="auto"/>
        <w:bottom w:val="none" w:sz="0" w:space="0" w:color="auto"/>
        <w:right w:val="none" w:sz="0" w:space="0" w:color="auto"/>
      </w:divBdr>
    </w:div>
    <w:div w:id="124842541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4537571">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246679">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2113233">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805302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544287">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68795.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7793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0861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7618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A644-9C58-44C2-B35A-2508A261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11608</Words>
  <Characters>66167</Characters>
  <Application>Microsoft Office Word</Application>
  <DocSecurity>0</DocSecurity>
  <Lines>551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2021-11-30T23:45:00Z</cp:lastPrinted>
  <dcterms:created xsi:type="dcterms:W3CDTF">2022-03-09T05:55:00Z</dcterms:created>
  <dcterms:modified xsi:type="dcterms:W3CDTF">2022-03-09T05:55:00Z</dcterms:modified>
</cp:coreProperties>
</file>