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C239125" w:rsidR="00EA0165" w:rsidRPr="00654417" w:rsidRDefault="00EA0165" w:rsidP="007D7513">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54417">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654417">
        <w:rPr>
          <w:rFonts w:ascii="Palatino Linotype" w:eastAsiaTheme="minorEastAsia" w:hAnsi="Palatino Linotype" w:cstheme="minorBidi"/>
          <w:color w:val="000000" w:themeColor="text1"/>
          <w:lang w:val="es-ES_tradnl"/>
        </w:rPr>
        <w:t xml:space="preserve">n Metepec, Estado </w:t>
      </w:r>
      <w:r w:rsidR="00A1039C" w:rsidRPr="00654417">
        <w:rPr>
          <w:rFonts w:ascii="Palatino Linotype" w:eastAsiaTheme="minorEastAsia" w:hAnsi="Palatino Linotype" w:cstheme="minorBidi"/>
          <w:color w:val="000000" w:themeColor="text1"/>
          <w:lang w:val="es-ES_tradnl"/>
        </w:rPr>
        <w:t>de México; de cuatro</w:t>
      </w:r>
      <w:r w:rsidR="00B96D41" w:rsidRPr="00654417">
        <w:rPr>
          <w:rFonts w:ascii="Palatino Linotype" w:eastAsiaTheme="minorEastAsia" w:hAnsi="Palatino Linotype" w:cstheme="minorBidi"/>
          <w:color w:val="000000" w:themeColor="text1"/>
          <w:lang w:val="es-ES_tradnl"/>
        </w:rPr>
        <w:t xml:space="preserve"> </w:t>
      </w:r>
      <w:r w:rsidRPr="00654417">
        <w:rPr>
          <w:rFonts w:ascii="Palatino Linotype" w:eastAsiaTheme="minorEastAsia" w:hAnsi="Palatino Linotype" w:cstheme="minorBidi"/>
          <w:color w:val="000000" w:themeColor="text1"/>
          <w:lang w:val="es-MX"/>
        </w:rPr>
        <w:t>(</w:t>
      </w:r>
      <w:r w:rsidR="00A1039C" w:rsidRPr="00654417">
        <w:rPr>
          <w:rFonts w:ascii="Palatino Linotype" w:eastAsiaTheme="minorEastAsia" w:hAnsi="Palatino Linotype" w:cstheme="minorBidi"/>
          <w:color w:val="000000" w:themeColor="text1"/>
          <w:lang w:val="es-MX"/>
        </w:rPr>
        <w:t>04</w:t>
      </w:r>
      <w:r w:rsidRPr="00654417">
        <w:rPr>
          <w:rFonts w:ascii="Palatino Linotype" w:eastAsiaTheme="minorEastAsia" w:hAnsi="Palatino Linotype" w:cstheme="minorBidi"/>
          <w:color w:val="000000" w:themeColor="text1"/>
          <w:lang w:val="es-MX"/>
        </w:rPr>
        <w:t>) de</w:t>
      </w:r>
      <w:r w:rsidR="00A1039C" w:rsidRPr="00654417">
        <w:rPr>
          <w:rFonts w:ascii="Palatino Linotype" w:eastAsiaTheme="minorEastAsia" w:hAnsi="Palatino Linotype" w:cstheme="minorBidi"/>
          <w:color w:val="000000" w:themeColor="text1"/>
          <w:lang w:val="es-MX"/>
        </w:rPr>
        <w:t xml:space="preserve"> mayo</w:t>
      </w:r>
      <w:r w:rsidR="00C854B5" w:rsidRPr="00654417">
        <w:rPr>
          <w:rFonts w:ascii="Palatino Linotype" w:eastAsiaTheme="minorEastAsia" w:hAnsi="Palatino Linotype" w:cstheme="minorBidi"/>
          <w:color w:val="000000" w:themeColor="text1"/>
          <w:lang w:val="es-MX"/>
        </w:rPr>
        <w:t xml:space="preserve"> </w:t>
      </w:r>
      <w:r w:rsidR="00003CF3" w:rsidRPr="00654417">
        <w:rPr>
          <w:rFonts w:ascii="Palatino Linotype" w:eastAsiaTheme="minorEastAsia" w:hAnsi="Palatino Linotype" w:cstheme="minorBidi"/>
          <w:color w:val="000000" w:themeColor="text1"/>
          <w:lang w:val="es-MX"/>
        </w:rPr>
        <w:t>de dos mil veintidós</w:t>
      </w:r>
      <w:r w:rsidRPr="00654417">
        <w:rPr>
          <w:rFonts w:ascii="Palatino Linotype" w:eastAsiaTheme="minorEastAsia" w:hAnsi="Palatino Linotype" w:cstheme="minorBidi"/>
          <w:color w:val="000000" w:themeColor="text1"/>
          <w:lang w:val="es-ES_tradnl"/>
        </w:rPr>
        <w:t xml:space="preserve">. </w:t>
      </w:r>
    </w:p>
    <w:p w14:paraId="04BA23EF" w14:textId="1711E5D8" w:rsidR="00CA183E" w:rsidRPr="00654417" w:rsidRDefault="00CA183E" w:rsidP="00CA183E">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654417">
        <w:rPr>
          <w:rFonts w:ascii="Palatino Linotype" w:eastAsiaTheme="minorEastAsia" w:hAnsi="Palatino Linotype" w:cstheme="minorBidi"/>
          <w:b/>
          <w:color w:val="000000" w:themeColor="text1"/>
          <w:lang w:val="es-ES_tradnl"/>
        </w:rPr>
        <w:t>VISTO</w:t>
      </w:r>
      <w:r w:rsidRPr="00654417">
        <w:rPr>
          <w:rFonts w:ascii="Palatino Linotype" w:eastAsiaTheme="minorEastAsia" w:hAnsi="Palatino Linotype" w:cstheme="minorBidi"/>
          <w:color w:val="000000" w:themeColor="text1"/>
          <w:lang w:val="es-ES_tradnl"/>
        </w:rPr>
        <w:t xml:space="preserve"> el expediente electrónico formado con motivo del recurso de revisión</w:t>
      </w:r>
      <w:r w:rsidRPr="00654417">
        <w:rPr>
          <w:rFonts w:ascii="Palatino Linotype" w:eastAsiaTheme="minorEastAsia" w:hAnsi="Palatino Linotype" w:cstheme="minorBidi"/>
          <w:b/>
          <w:bCs/>
          <w:color w:val="000000" w:themeColor="text1"/>
        </w:rPr>
        <w:t> </w:t>
      </w:r>
      <w:r w:rsidR="00A1039C" w:rsidRPr="00654417">
        <w:rPr>
          <w:rFonts w:ascii="Palatino Linotype" w:eastAsiaTheme="minorEastAsia" w:hAnsi="Palatino Linotype" w:cstheme="minorBidi"/>
          <w:b/>
          <w:bCs/>
          <w:color w:val="000000" w:themeColor="text1"/>
        </w:rPr>
        <w:t>02013/INFOEM/IP/RR/2022</w:t>
      </w:r>
      <w:r w:rsidR="001B0FA2" w:rsidRPr="00654417">
        <w:rPr>
          <w:rFonts w:ascii="Palatino Linotype" w:eastAsiaTheme="minorEastAsia" w:hAnsi="Palatino Linotype" w:cstheme="minorBidi"/>
          <w:b/>
          <w:bCs/>
          <w:color w:val="000000" w:themeColor="text1"/>
        </w:rPr>
        <w:t xml:space="preserve">, </w:t>
      </w:r>
      <w:r w:rsidRPr="00654417">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654417">
        <w:rPr>
          <w:rFonts w:ascii="Palatino Linotype" w:eastAsiaTheme="minorEastAsia" w:hAnsi="Palatino Linotype" w:cstheme="minorBidi"/>
          <w:b/>
          <w:color w:val="000000" w:themeColor="text1"/>
          <w:lang w:val="es-ES_tradnl"/>
        </w:rPr>
        <w:t xml:space="preserve">(SAIMEX), </w:t>
      </w:r>
      <w:r w:rsidRPr="00654417">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654417">
        <w:rPr>
          <w:rFonts w:ascii="Palatino Linotype" w:eastAsiaTheme="minorEastAsia" w:hAnsi="Palatino Linotype" w:cstheme="minorBidi"/>
          <w:b/>
          <w:color w:val="000000" w:themeColor="text1"/>
          <w:lang w:val="es-ES_tradnl"/>
        </w:rPr>
        <w:t>RECURRENTE</w:t>
      </w:r>
      <w:r w:rsidRPr="00654417">
        <w:rPr>
          <w:rFonts w:ascii="Palatino Linotype" w:eastAsiaTheme="minorEastAsia" w:hAnsi="Palatino Linotype" w:cstheme="minorBidi"/>
          <w:color w:val="000000" w:themeColor="text1"/>
          <w:lang w:val="es-ES_tradnl"/>
        </w:rPr>
        <w:t xml:space="preserve">, en contra de la respuesta de en lo </w:t>
      </w:r>
      <w:r w:rsidR="00A1039C" w:rsidRPr="00654417">
        <w:rPr>
          <w:rFonts w:ascii="Palatino Linotype" w:eastAsiaTheme="minorEastAsia" w:hAnsi="Palatino Linotype" w:cstheme="minorBidi"/>
          <w:b/>
          <w:color w:val="000000" w:themeColor="text1"/>
          <w:lang w:val="es-ES_tradnl"/>
        </w:rPr>
        <w:t>Ayuntamiento de Metepec</w:t>
      </w:r>
      <w:r w:rsidR="00C854B5" w:rsidRPr="00654417">
        <w:rPr>
          <w:rFonts w:ascii="Palatino Linotype" w:eastAsiaTheme="minorEastAsia" w:hAnsi="Palatino Linotype" w:cstheme="minorBidi"/>
          <w:color w:val="000000" w:themeColor="text1"/>
          <w:lang w:val="es-ES_tradnl"/>
        </w:rPr>
        <w:t xml:space="preserve"> </w:t>
      </w:r>
      <w:r w:rsidR="001B0FA2" w:rsidRPr="00654417">
        <w:rPr>
          <w:rFonts w:ascii="Palatino Linotype" w:eastAsiaTheme="minorEastAsia" w:hAnsi="Palatino Linotype" w:cstheme="minorBidi"/>
          <w:color w:val="000000" w:themeColor="text1"/>
          <w:lang w:val="es-ES_tradnl"/>
        </w:rPr>
        <w:t>en lo</w:t>
      </w:r>
      <w:r w:rsidR="001B0FA2" w:rsidRPr="00654417">
        <w:rPr>
          <w:rFonts w:ascii="Palatino Linotype" w:eastAsiaTheme="minorEastAsia" w:hAnsi="Palatino Linotype" w:cstheme="minorBidi"/>
          <w:b/>
          <w:color w:val="000000" w:themeColor="text1"/>
          <w:lang w:val="es-ES_tradnl"/>
        </w:rPr>
        <w:t xml:space="preserve"> </w:t>
      </w:r>
      <w:r w:rsidRPr="00654417">
        <w:rPr>
          <w:rFonts w:ascii="Palatino Linotype" w:eastAsiaTheme="minorEastAsia" w:hAnsi="Palatino Linotype" w:cstheme="minorBidi"/>
          <w:color w:val="000000" w:themeColor="text1"/>
          <w:lang w:val="es-ES_tradnl"/>
        </w:rPr>
        <w:t>sucesivo el</w:t>
      </w:r>
      <w:r w:rsidRPr="00654417">
        <w:rPr>
          <w:rFonts w:ascii="Palatino Linotype" w:eastAsiaTheme="minorEastAsia" w:hAnsi="Palatino Linotype" w:cstheme="minorBidi"/>
          <w:b/>
          <w:color w:val="000000" w:themeColor="text1"/>
          <w:lang w:val="es-ES_tradnl"/>
        </w:rPr>
        <w:t xml:space="preserve"> SUJETO OBLIGADO, </w:t>
      </w:r>
      <w:r w:rsidRPr="00654417">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654417" w:rsidRDefault="00EA0165" w:rsidP="00CA183E">
      <w:pPr>
        <w:pStyle w:val="Ttulo1"/>
        <w:spacing w:line="360" w:lineRule="auto"/>
        <w:jc w:val="center"/>
        <w:rPr>
          <w:rFonts w:ascii="Palatino Linotype" w:hAnsi="Palatino Linotype"/>
          <w:b/>
          <w:color w:val="000000" w:themeColor="text1"/>
          <w:sz w:val="24"/>
          <w:szCs w:val="24"/>
          <w:lang w:val="es-MX" w:eastAsia="en-US"/>
        </w:rPr>
      </w:pPr>
      <w:bookmarkStart w:id="3" w:name="_Toc102070722"/>
      <w:r w:rsidRPr="00654417">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3C15FCDC" w:rsidR="00707416" w:rsidRPr="00654417" w:rsidRDefault="00EA0165" w:rsidP="00A1039C">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654417">
        <w:rPr>
          <w:rFonts w:ascii="Palatino Linotype" w:eastAsia="Calibri" w:hAnsi="Palatino Linotype" w:cs="Arial"/>
          <w:color w:val="000000" w:themeColor="text1"/>
        </w:rPr>
        <w:t>El</w:t>
      </w:r>
      <w:r w:rsidR="00F216D7" w:rsidRPr="00654417">
        <w:rPr>
          <w:rFonts w:ascii="Palatino Linotype" w:eastAsia="Calibri" w:hAnsi="Palatino Linotype" w:cs="Arial"/>
          <w:color w:val="000000" w:themeColor="text1"/>
        </w:rPr>
        <w:t xml:space="preserve"> </w:t>
      </w:r>
      <w:r w:rsidR="00A1039C" w:rsidRPr="00654417">
        <w:rPr>
          <w:rFonts w:ascii="Palatino Linotype" w:eastAsia="Calibri" w:hAnsi="Palatino Linotype" w:cs="Arial"/>
          <w:color w:val="000000" w:themeColor="text1"/>
        </w:rPr>
        <w:t xml:space="preserve">doce </w:t>
      </w:r>
      <w:r w:rsidRPr="00654417">
        <w:rPr>
          <w:rFonts w:ascii="Palatino Linotype" w:eastAsia="Calibri" w:hAnsi="Palatino Linotype" w:cs="Arial"/>
          <w:color w:val="000000" w:themeColor="text1"/>
        </w:rPr>
        <w:t>(</w:t>
      </w:r>
      <w:r w:rsidR="00A1039C" w:rsidRPr="00654417">
        <w:rPr>
          <w:rFonts w:ascii="Palatino Linotype" w:eastAsia="Calibri" w:hAnsi="Palatino Linotype" w:cs="Arial"/>
          <w:color w:val="000000" w:themeColor="text1"/>
        </w:rPr>
        <w:t>12</w:t>
      </w:r>
      <w:r w:rsidRPr="00654417">
        <w:rPr>
          <w:rFonts w:ascii="Palatino Linotype" w:eastAsia="Calibri" w:hAnsi="Palatino Linotype" w:cs="Arial"/>
          <w:color w:val="000000" w:themeColor="text1"/>
        </w:rPr>
        <w:t>) de</w:t>
      </w:r>
      <w:r w:rsidR="001B0FA2" w:rsidRPr="00654417">
        <w:rPr>
          <w:rFonts w:ascii="Palatino Linotype" w:eastAsia="Calibri" w:hAnsi="Palatino Linotype" w:cs="Arial"/>
          <w:color w:val="000000" w:themeColor="text1"/>
        </w:rPr>
        <w:t xml:space="preserve"> enero </w:t>
      </w:r>
      <w:r w:rsidRPr="00654417">
        <w:rPr>
          <w:rFonts w:ascii="Palatino Linotype" w:eastAsia="Calibri" w:hAnsi="Palatino Linotype" w:cs="Arial"/>
          <w:color w:val="000000" w:themeColor="text1"/>
        </w:rPr>
        <w:t xml:space="preserve">de dos mil </w:t>
      </w:r>
      <w:r w:rsidR="001B0FA2" w:rsidRPr="00654417">
        <w:rPr>
          <w:rFonts w:ascii="Palatino Linotype" w:eastAsia="Calibri" w:hAnsi="Palatino Linotype" w:cs="Arial"/>
          <w:color w:val="000000" w:themeColor="text1"/>
        </w:rPr>
        <w:t>veintidós</w:t>
      </w:r>
      <w:r w:rsidRPr="00654417">
        <w:rPr>
          <w:rFonts w:ascii="Palatino Linotype" w:eastAsia="Calibri" w:hAnsi="Palatino Linotype" w:cs="Arial"/>
          <w:color w:val="000000" w:themeColor="text1"/>
        </w:rPr>
        <w:t xml:space="preserve">, </w:t>
      </w:r>
      <w:r w:rsidRPr="00654417">
        <w:rPr>
          <w:rFonts w:ascii="Palatino Linotype" w:eastAsiaTheme="minorEastAsia" w:hAnsi="Palatino Linotype" w:cstheme="minorBidi"/>
          <w:color w:val="000000" w:themeColor="text1"/>
          <w:lang w:val="es-ES_tradnl"/>
        </w:rPr>
        <w:t>el particular presentó</w:t>
      </w:r>
      <w:r w:rsidRPr="00654417">
        <w:rPr>
          <w:rFonts w:ascii="Palatino Linotype" w:eastAsiaTheme="minorEastAsia" w:hAnsi="Palatino Linotype" w:cstheme="minorBidi"/>
          <w:b/>
          <w:color w:val="000000" w:themeColor="text1"/>
          <w:lang w:val="es-ES_tradnl"/>
        </w:rPr>
        <w:t xml:space="preserve"> </w:t>
      </w:r>
      <w:r w:rsidR="00936BED" w:rsidRPr="00654417">
        <w:rPr>
          <w:rFonts w:ascii="Palatino Linotype" w:eastAsiaTheme="minorEastAsia" w:hAnsi="Palatino Linotype" w:cstheme="minorBidi"/>
          <w:bCs/>
          <w:color w:val="000000" w:themeColor="text1"/>
          <w:lang w:val="es-ES_tradnl"/>
        </w:rPr>
        <w:t>a través de</w:t>
      </w:r>
      <w:r w:rsidR="00923BD9" w:rsidRPr="00654417">
        <w:rPr>
          <w:rFonts w:ascii="Palatino Linotype" w:eastAsiaTheme="minorEastAsia" w:hAnsi="Palatino Linotype" w:cstheme="minorBidi"/>
          <w:bCs/>
          <w:color w:val="000000" w:themeColor="text1"/>
          <w:lang w:val="es-ES_tradnl"/>
        </w:rPr>
        <w:t>l</w:t>
      </w:r>
      <w:r w:rsidR="00923BD9" w:rsidRPr="00654417">
        <w:rPr>
          <w:rFonts w:ascii="Palatino Linotype" w:eastAsia="Calibri" w:hAnsi="Palatino Linotype" w:cs="Arial"/>
          <w:color w:val="000000" w:themeColor="text1"/>
        </w:rPr>
        <w:t xml:space="preserve"> </w:t>
      </w:r>
      <w:r w:rsidR="00923BD9" w:rsidRPr="00654417">
        <w:rPr>
          <w:rFonts w:ascii="Palatino Linotype" w:eastAsiaTheme="minorEastAsia" w:hAnsi="Palatino Linotype" w:cstheme="minorBidi"/>
          <w:bCs/>
          <w:color w:val="000000" w:themeColor="text1"/>
        </w:rPr>
        <w:t xml:space="preserve">Sistema de Acceso a la Información Mexiquense </w:t>
      </w:r>
      <w:r w:rsidR="00923BD9" w:rsidRPr="00654417">
        <w:rPr>
          <w:rFonts w:ascii="Palatino Linotype" w:eastAsiaTheme="minorEastAsia" w:hAnsi="Palatino Linotype" w:cstheme="minorBidi"/>
          <w:b/>
          <w:bCs/>
          <w:color w:val="000000" w:themeColor="text1"/>
        </w:rPr>
        <w:t>(SAIMEX)</w:t>
      </w:r>
      <w:r w:rsidRPr="00654417">
        <w:rPr>
          <w:rFonts w:ascii="Palatino Linotype" w:eastAsia="Calibri" w:hAnsi="Palatino Linotype" w:cs="Arial"/>
          <w:b/>
          <w:color w:val="000000" w:themeColor="text1"/>
        </w:rPr>
        <w:t xml:space="preserve">, </w:t>
      </w:r>
      <w:r w:rsidRPr="00654417">
        <w:rPr>
          <w:rFonts w:ascii="Palatino Linotype" w:eastAsia="Calibri" w:hAnsi="Palatino Linotype" w:cs="Arial"/>
          <w:color w:val="000000" w:themeColor="text1"/>
        </w:rPr>
        <w:t>la solicitud de información pública registrada con el número</w:t>
      </w:r>
      <w:r w:rsidR="002E036D" w:rsidRPr="00654417">
        <w:rPr>
          <w:rFonts w:ascii="Palatino Linotype" w:eastAsia="Calibri" w:hAnsi="Palatino Linotype" w:cs="Arial"/>
          <w:color w:val="000000" w:themeColor="text1"/>
        </w:rPr>
        <w:t xml:space="preserve"> </w:t>
      </w:r>
      <w:r w:rsidR="00A1039C" w:rsidRPr="00654417">
        <w:rPr>
          <w:rFonts w:ascii="Palatino Linotype" w:eastAsia="Calibri" w:hAnsi="Palatino Linotype" w:cs="Arial"/>
          <w:b/>
          <w:color w:val="000000" w:themeColor="text1"/>
        </w:rPr>
        <w:t>00870/METEPEC/IP/2022</w:t>
      </w:r>
      <w:r w:rsidR="00A1039C" w:rsidRPr="00654417">
        <w:rPr>
          <w:rFonts w:ascii="Palatino Linotype" w:eastAsia="Calibri" w:hAnsi="Palatino Linotype" w:cs="Arial"/>
          <w:color w:val="000000" w:themeColor="text1"/>
        </w:rPr>
        <w:t xml:space="preserve">, </w:t>
      </w:r>
      <w:r w:rsidRPr="00654417">
        <w:rPr>
          <w:rFonts w:ascii="Palatino Linotype" w:eastAsia="Calibri" w:hAnsi="Palatino Linotype" w:cs="Arial"/>
          <w:color w:val="000000" w:themeColor="text1"/>
        </w:rPr>
        <w:t>mediante la cual requirió:</w:t>
      </w:r>
    </w:p>
    <w:p w14:paraId="569CE5D7" w14:textId="77777777" w:rsidR="002E036D" w:rsidRPr="00654417" w:rsidRDefault="002E036D" w:rsidP="00A1039C">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119BF7E0" w14:textId="23912BC5" w:rsidR="00EA0165" w:rsidRPr="00654417" w:rsidRDefault="00EA0165" w:rsidP="00A1039C">
      <w:pPr>
        <w:spacing w:line="360" w:lineRule="auto"/>
        <w:ind w:left="567" w:right="616"/>
        <w:jc w:val="both"/>
        <w:rPr>
          <w:rFonts w:ascii="Palatino Linotype" w:hAnsi="Palatino Linotype"/>
          <w:i/>
          <w:lang w:val="es-MX" w:eastAsia="es-MX"/>
        </w:rPr>
      </w:pPr>
      <w:r w:rsidRPr="00654417">
        <w:rPr>
          <w:rFonts w:ascii="Palatino Linotype" w:eastAsiaTheme="minorEastAsia" w:hAnsi="Palatino Linotype" w:cstheme="minorBidi"/>
          <w:i/>
          <w:color w:val="000000" w:themeColor="text1"/>
          <w:lang w:val="es-ES_tradnl"/>
        </w:rPr>
        <w:t>“</w:t>
      </w:r>
      <w:r w:rsidR="00A1039C" w:rsidRPr="00654417">
        <w:rPr>
          <w:rFonts w:ascii="Palatino Linotype" w:hAnsi="Palatino Linotype"/>
          <w:i/>
          <w:lang w:val="es-MX" w:eastAsia="es-MX"/>
        </w:rPr>
        <w:t>Se solicitan los documentos que den cuenta de Verificar, en el ámbito de su competencia, que la información que se publique y s difunda para conocimiento de los contribuyentes se encuentre actualizada y sea correcta a cargo de la tesorería municipal de lo que va del 2022.</w:t>
      </w:r>
      <w:r w:rsidRPr="00654417">
        <w:rPr>
          <w:rFonts w:ascii="Palatino Linotype" w:eastAsiaTheme="minorEastAsia" w:hAnsi="Palatino Linotype" w:cstheme="minorBidi"/>
          <w:i/>
          <w:color w:val="000000" w:themeColor="text1"/>
          <w:lang w:val="es-ES_tradnl"/>
        </w:rPr>
        <w:t>” (Sic).</w:t>
      </w:r>
    </w:p>
    <w:p w14:paraId="1046CCE1" w14:textId="304A6F03" w:rsidR="00A415DB" w:rsidRPr="00654417" w:rsidRDefault="00A415DB" w:rsidP="00A1039C">
      <w:pPr>
        <w:pStyle w:val="Prrafodelista"/>
        <w:spacing w:line="360" w:lineRule="auto"/>
        <w:ind w:left="567" w:right="616"/>
        <w:contextualSpacing/>
        <w:rPr>
          <w:rFonts w:ascii="Palatino Linotype" w:eastAsiaTheme="minorEastAsia" w:hAnsi="Palatino Linotype" w:cstheme="minorBidi"/>
          <w:i/>
          <w:color w:val="000000" w:themeColor="text1"/>
          <w:lang w:val="es-ES_tradnl"/>
        </w:rPr>
      </w:pPr>
    </w:p>
    <w:p w14:paraId="5CDF046F" w14:textId="555546DC" w:rsidR="00DD02B8" w:rsidRPr="00654417" w:rsidRDefault="00923BD9" w:rsidP="007D7513">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654417">
        <w:rPr>
          <w:rFonts w:ascii="Palatino Linotype" w:hAnsi="Palatino Linotype" w:cs="Arial"/>
        </w:rPr>
        <w:lastRenderedPageBreak/>
        <w:t>Se hace constar que se señaló como modalidad de entrega de la información</w:t>
      </w:r>
      <w:r w:rsidRPr="00654417">
        <w:rPr>
          <w:rFonts w:ascii="Palatino Linotype" w:hAnsi="Palatino Linotype" w:cs="Arial"/>
          <w:b/>
        </w:rPr>
        <w:t>:</w:t>
      </w:r>
      <w:r w:rsidRPr="00654417">
        <w:rPr>
          <w:rFonts w:ascii="Palatino Linotype" w:hAnsi="Palatino Linotype" w:cs="Arial"/>
        </w:rPr>
        <w:t xml:space="preserve"> </w:t>
      </w:r>
      <w:r w:rsidRPr="00654417">
        <w:rPr>
          <w:rFonts w:ascii="Palatino Linotype" w:hAnsi="Palatino Linotype" w:cs="Arial"/>
          <w:b/>
        </w:rPr>
        <w:t>A través del SAIMEX.</w:t>
      </w:r>
    </w:p>
    <w:p w14:paraId="438C3DE3" w14:textId="77777777" w:rsidR="00DD02B8" w:rsidRPr="00654417" w:rsidRDefault="00DD02B8" w:rsidP="00BC4C9B">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2C4ABD59" w14:textId="3FB1788C" w:rsidR="00A3314E" w:rsidRPr="00654417" w:rsidRDefault="00A1039C" w:rsidP="00A1039C">
      <w:pPr>
        <w:pStyle w:val="Prrafodelista"/>
        <w:numPr>
          <w:ilvl w:val="0"/>
          <w:numId w:val="2"/>
        </w:numPr>
        <w:spacing w:line="360" w:lineRule="auto"/>
        <w:ind w:left="0" w:firstLine="0"/>
        <w:jc w:val="both"/>
        <w:rPr>
          <w:rFonts w:ascii="Palatino Linotype" w:hAnsi="Palatino Linotype" w:cs="Arial"/>
          <w:color w:val="000000" w:themeColor="text1"/>
        </w:rPr>
      </w:pPr>
      <w:r w:rsidRPr="00654417">
        <w:rPr>
          <w:rFonts w:ascii="Palatino Linotype" w:hAnsi="Palatino Linotype" w:cs="Arial"/>
          <w:color w:val="000000" w:themeColor="text1"/>
        </w:rPr>
        <w:t>El siete (07</w:t>
      </w:r>
      <w:r w:rsidR="00DD02B8" w:rsidRPr="00654417">
        <w:rPr>
          <w:rFonts w:ascii="Palatino Linotype" w:hAnsi="Palatino Linotype" w:cs="Arial"/>
          <w:color w:val="000000" w:themeColor="text1"/>
        </w:rPr>
        <w:t>) de</w:t>
      </w:r>
      <w:r w:rsidR="002874C3" w:rsidRPr="00654417">
        <w:rPr>
          <w:rFonts w:ascii="Palatino Linotype" w:hAnsi="Palatino Linotype" w:cs="Arial"/>
          <w:color w:val="000000" w:themeColor="text1"/>
        </w:rPr>
        <w:t xml:space="preserve"> febrero </w:t>
      </w:r>
      <w:r w:rsidR="00BC4C9B" w:rsidRPr="00654417">
        <w:rPr>
          <w:rFonts w:ascii="Palatino Linotype" w:hAnsi="Palatino Linotype" w:cs="Arial"/>
          <w:color w:val="000000" w:themeColor="text1"/>
        </w:rPr>
        <w:t>de dos mil veintidós,</w:t>
      </w:r>
      <w:r w:rsidR="00BC4C9B" w:rsidRPr="00654417">
        <w:rPr>
          <w:rFonts w:ascii="Palatino Linotype" w:hAnsi="Palatino Linotype"/>
        </w:rPr>
        <w:t xml:space="preserve"> </w:t>
      </w:r>
      <w:r w:rsidR="00BC4C9B" w:rsidRPr="00654417">
        <w:rPr>
          <w:rFonts w:ascii="Palatino Linotype" w:hAnsi="Palatino Linotype" w:cs="Arial"/>
          <w:color w:val="000000" w:themeColor="text1"/>
        </w:rPr>
        <w:t xml:space="preserve">el </w:t>
      </w:r>
      <w:r w:rsidR="00BC4C9B" w:rsidRPr="00654417">
        <w:rPr>
          <w:rFonts w:ascii="Palatino Linotype" w:hAnsi="Palatino Linotype" w:cs="Arial"/>
          <w:b/>
          <w:color w:val="000000" w:themeColor="text1"/>
        </w:rPr>
        <w:t>SUJETO OBLIGADO</w:t>
      </w:r>
      <w:r w:rsidR="00BC4C9B" w:rsidRPr="00654417">
        <w:rPr>
          <w:rFonts w:ascii="Palatino Linotype" w:hAnsi="Palatino Linotype" w:cs="Arial"/>
          <w:color w:val="000000" w:themeColor="text1"/>
        </w:rPr>
        <w:t xml:space="preserve"> dio respuesta a la solicitud </w:t>
      </w:r>
      <w:r w:rsidRPr="00654417">
        <w:rPr>
          <w:rFonts w:ascii="Palatino Linotype" w:hAnsi="Palatino Linotype" w:cs="Arial"/>
          <w:color w:val="000000" w:themeColor="text1"/>
        </w:rPr>
        <w:t>de información a través de los siguientes documentos</w:t>
      </w:r>
      <w:r w:rsidR="00BC4C9B" w:rsidRPr="00654417">
        <w:rPr>
          <w:rFonts w:ascii="Palatino Linotype" w:hAnsi="Palatino Linotype" w:cs="Arial"/>
          <w:color w:val="000000" w:themeColor="text1"/>
        </w:rPr>
        <w:t>:</w:t>
      </w:r>
    </w:p>
    <w:p w14:paraId="0A9F8ECD" w14:textId="77777777" w:rsidR="00A1039C" w:rsidRPr="00654417" w:rsidRDefault="00A1039C" w:rsidP="00A1039C">
      <w:pPr>
        <w:pStyle w:val="Prrafodelista"/>
        <w:rPr>
          <w:rFonts w:ascii="Palatino Linotype" w:hAnsi="Palatino Linotype" w:cs="Arial"/>
          <w:color w:val="000000" w:themeColor="text1"/>
        </w:rPr>
      </w:pPr>
    </w:p>
    <w:p w14:paraId="166A6489" w14:textId="77777777" w:rsidR="00A1039C" w:rsidRPr="00654417" w:rsidRDefault="00A1039C" w:rsidP="00A1039C">
      <w:pPr>
        <w:pStyle w:val="Prrafodelista"/>
        <w:spacing w:line="360" w:lineRule="auto"/>
        <w:ind w:left="0"/>
        <w:jc w:val="center"/>
        <w:rPr>
          <w:rFonts w:ascii="Palatino Linotype" w:hAnsi="Palatino Linotype" w:cs="Arial"/>
          <w:color w:val="000000" w:themeColor="text1"/>
        </w:rPr>
      </w:pPr>
    </w:p>
    <w:p w14:paraId="2B52E2FB" w14:textId="77777777" w:rsidR="00F32682" w:rsidRPr="00654417" w:rsidRDefault="00FB58E2" w:rsidP="00A1039C">
      <w:pPr>
        <w:pStyle w:val="Prrafodelista"/>
        <w:numPr>
          <w:ilvl w:val="0"/>
          <w:numId w:val="4"/>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A1039C" w:rsidRPr="00654417">
          <w:rPr>
            <w:rStyle w:val="Hipervnculo"/>
            <w:rFonts w:ascii="Palatino Linotype" w:hAnsi="Palatino Linotype"/>
            <w:b/>
            <w:bCs/>
            <w:color w:val="000000" w:themeColor="text1"/>
            <w:u w:val="none"/>
          </w:rPr>
          <w:t>PUBLICIDAD PAGO DE PREDIAL.pdf</w:t>
        </w:r>
      </w:hyperlink>
      <w:hyperlink r:id="rId9" w:tgtFrame="_blank" w:history="1"/>
      <w:r w:rsidR="00556E99" w:rsidRPr="00654417">
        <w:rPr>
          <w:rFonts w:ascii="Palatino Linotype" w:eastAsiaTheme="minorEastAsia" w:hAnsi="Palatino Linotype" w:cstheme="minorBidi"/>
          <w:b/>
          <w:color w:val="000000" w:themeColor="text1"/>
          <w:lang w:val="es-ES_tradnl"/>
        </w:rPr>
        <w:t>:</w:t>
      </w:r>
      <w:r w:rsidR="00556E99" w:rsidRPr="00654417">
        <w:rPr>
          <w:rFonts w:ascii="Palatino Linotype" w:eastAsiaTheme="minorEastAsia" w:hAnsi="Palatino Linotype" w:cstheme="minorBidi"/>
          <w:lang w:val="es-ES_tradnl"/>
        </w:rPr>
        <w:t xml:space="preserve"> </w:t>
      </w:r>
      <w:r w:rsidR="00556E99" w:rsidRPr="00654417">
        <w:rPr>
          <w:rFonts w:ascii="Palatino Linotype" w:eastAsiaTheme="minorEastAsia" w:hAnsi="Palatino Linotype" w:cstheme="minorBidi"/>
          <w:color w:val="000000" w:themeColor="text1"/>
          <w:lang w:val="es-ES_tradnl"/>
        </w:rPr>
        <w:t>D</w:t>
      </w:r>
      <w:r w:rsidR="00923BD9" w:rsidRPr="00654417">
        <w:rPr>
          <w:rFonts w:ascii="Palatino Linotype" w:eastAsiaTheme="minorEastAsia" w:hAnsi="Palatino Linotype" w:cstheme="minorBidi"/>
          <w:color w:val="000000" w:themeColor="text1"/>
          <w:lang w:val="es-ES_tradnl"/>
        </w:rPr>
        <w:t xml:space="preserve">ocumento </w:t>
      </w:r>
      <w:r w:rsidR="0080388F" w:rsidRPr="00654417">
        <w:rPr>
          <w:rFonts w:ascii="Palatino Linotype" w:eastAsiaTheme="minorEastAsia" w:hAnsi="Palatino Linotype" w:cstheme="minorBidi"/>
          <w:color w:val="000000" w:themeColor="text1"/>
          <w:lang w:val="es-ES_tradnl"/>
        </w:rPr>
        <w:t xml:space="preserve">electrónico </w:t>
      </w:r>
      <w:r w:rsidR="00A1039C" w:rsidRPr="00654417">
        <w:rPr>
          <w:rFonts w:ascii="Palatino Linotype" w:eastAsiaTheme="minorEastAsia" w:hAnsi="Palatino Linotype" w:cstheme="minorBidi"/>
          <w:color w:val="000000" w:themeColor="text1"/>
          <w:lang w:val="es-ES_tradnl"/>
        </w:rPr>
        <w:t xml:space="preserve">que una (01) hoja contiene una impresión de pantalla </w:t>
      </w:r>
      <w:r w:rsidR="00F32682" w:rsidRPr="00654417">
        <w:rPr>
          <w:rFonts w:ascii="Palatino Linotype" w:eastAsiaTheme="minorEastAsia" w:hAnsi="Palatino Linotype" w:cstheme="minorBidi"/>
          <w:color w:val="000000" w:themeColor="text1"/>
          <w:lang w:val="es-ES_tradnl"/>
        </w:rPr>
        <w:t xml:space="preserve">que contiene lo siguiente: </w:t>
      </w:r>
    </w:p>
    <w:p w14:paraId="5A4C0500" w14:textId="77777777" w:rsidR="00F32682" w:rsidRPr="00654417" w:rsidRDefault="00F32682" w:rsidP="00F32682">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2239C875" w14:textId="5FF3844D" w:rsidR="00A1039C" w:rsidRPr="00654417" w:rsidRDefault="00F32682" w:rsidP="00F32682">
      <w:pPr>
        <w:pStyle w:val="Prrafodelista"/>
        <w:tabs>
          <w:tab w:val="left" w:pos="284"/>
          <w:tab w:val="left" w:pos="426"/>
          <w:tab w:val="left" w:pos="993"/>
          <w:tab w:val="left" w:pos="1134"/>
        </w:tabs>
        <w:spacing w:line="360" w:lineRule="auto"/>
        <w:ind w:left="567" w:right="616" w:hanging="567"/>
        <w:contextualSpacing/>
        <w:jc w:val="center"/>
        <w:rPr>
          <w:rFonts w:ascii="Palatino Linotype" w:eastAsiaTheme="minorEastAsia" w:hAnsi="Palatino Linotype" w:cstheme="minorBidi"/>
          <w:color w:val="000000" w:themeColor="text1"/>
          <w:lang w:val="es-ES_tradnl"/>
        </w:rPr>
      </w:pPr>
      <w:r w:rsidRPr="00654417">
        <w:rPr>
          <w:rFonts w:ascii="Palatino Linotype" w:hAnsi="Palatino Linotype"/>
          <w:noProof/>
          <w:lang w:val="es-MX" w:eastAsia="es-MX"/>
        </w:rPr>
        <w:drawing>
          <wp:inline distT="0" distB="0" distL="0" distR="0" wp14:anchorId="1C27556B" wp14:editId="0267E8B1">
            <wp:extent cx="5532064" cy="2600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48" t="8751" r="25492" b="29692"/>
                    <a:stretch/>
                  </pic:blipFill>
                  <pic:spPr bwMode="auto">
                    <a:xfrm>
                      <a:off x="0" y="0"/>
                      <a:ext cx="5539231" cy="2603694"/>
                    </a:xfrm>
                    <a:prstGeom prst="rect">
                      <a:avLst/>
                    </a:prstGeom>
                    <a:ln>
                      <a:noFill/>
                    </a:ln>
                    <a:extLst>
                      <a:ext uri="{53640926-AAD7-44D8-BBD7-CCE9431645EC}">
                        <a14:shadowObscured xmlns:a14="http://schemas.microsoft.com/office/drawing/2010/main"/>
                      </a:ext>
                    </a:extLst>
                  </pic:spPr>
                </pic:pic>
              </a:graphicData>
            </a:graphic>
          </wp:inline>
        </w:drawing>
      </w:r>
    </w:p>
    <w:p w14:paraId="3212A490" w14:textId="77777777" w:rsidR="00A1039C" w:rsidRPr="00654417" w:rsidRDefault="00A1039C" w:rsidP="00A1039C">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72AF6978" w14:textId="46D78693" w:rsidR="00A1039C" w:rsidRPr="00654417" w:rsidRDefault="00F32682" w:rsidP="00A1039C">
      <w:pPr>
        <w:pStyle w:val="Prrafodelista"/>
        <w:numPr>
          <w:ilvl w:val="0"/>
          <w:numId w:val="4"/>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654417">
        <w:rPr>
          <w:rFonts w:ascii="Palatino Linotype" w:hAnsi="Palatino Linotype"/>
          <w:b/>
        </w:rPr>
        <w:t>00870.pdf</w:t>
      </w:r>
      <w:hyperlink r:id="rId11" w:tgtFrame="_blank" w:history="1"/>
      <w:r w:rsidR="00A1039C" w:rsidRPr="00654417">
        <w:rPr>
          <w:rFonts w:ascii="Palatino Linotype" w:hAnsi="Palatino Linotype"/>
          <w:b/>
          <w:lang w:val="es-ES_tradnl"/>
        </w:rPr>
        <w:t>:</w:t>
      </w:r>
      <w:r w:rsidR="00A1039C" w:rsidRPr="00654417">
        <w:rPr>
          <w:rFonts w:ascii="Palatino Linotype" w:hAnsi="Palatino Linotype"/>
          <w:lang w:val="es-ES_tradnl"/>
        </w:rPr>
        <w:t xml:space="preserve"> Documento electrónico que una (01) hoja contiene el oficio </w:t>
      </w:r>
      <w:r w:rsidRPr="00654417">
        <w:rPr>
          <w:rFonts w:ascii="Palatino Linotype" w:hAnsi="Palatino Linotype"/>
          <w:lang w:val="es-ES_tradnl"/>
        </w:rPr>
        <w:t xml:space="preserve">CCS/046/2022 </w:t>
      </w:r>
      <w:r w:rsidR="00A1039C" w:rsidRPr="00654417">
        <w:rPr>
          <w:rFonts w:ascii="Palatino Linotype" w:hAnsi="Palatino Linotype"/>
          <w:lang w:val="es-ES_tradnl"/>
        </w:rPr>
        <w:t xml:space="preserve">dirigido al  Titular de la Unidad de Transparencia </w:t>
      </w:r>
      <w:r w:rsidRPr="00654417">
        <w:rPr>
          <w:rFonts w:ascii="Palatino Linotype" w:hAnsi="Palatino Linotype"/>
          <w:lang w:val="es-ES_tradnl"/>
        </w:rPr>
        <w:t>y suscrito por el Coordinador de Comunicación Social</w:t>
      </w:r>
      <w:r w:rsidR="00A1039C" w:rsidRPr="00654417">
        <w:rPr>
          <w:rFonts w:ascii="Palatino Linotype" w:hAnsi="Palatino Linotype"/>
          <w:lang w:val="es-ES_tradnl"/>
        </w:rPr>
        <w:t>, mediante el cual se refiere que “</w:t>
      </w:r>
      <w:r w:rsidRPr="00654417">
        <w:rPr>
          <w:rFonts w:ascii="Palatino Linotype" w:hAnsi="Palatino Linotype"/>
          <w:lang w:val="es-ES_tradnl"/>
        </w:rPr>
        <w:t xml:space="preserve">En respuesta a la solicitud 00870METEPEC/IP/2022, en el </w:t>
      </w:r>
      <w:r w:rsidRPr="00654417">
        <w:rPr>
          <w:rFonts w:ascii="Palatino Linotype" w:hAnsi="Palatino Linotype"/>
          <w:lang w:val="es-ES_tradnl"/>
        </w:rPr>
        <w:lastRenderedPageBreak/>
        <w:t xml:space="preserve">cual se solicitan los documentos que den cuenta de Verificar, en el ámbito de su competencia, que la información que se publique y se difunda para conocimiento de los contribuyentes se encuentre actualizada y sea correcta a cargo de la tesorería municipal de lo que va del 2022, me permito informarle a usted que la Coordinación de Comunicación Social sólo se cuenta con la difusión de la campaña de pago de predial en la página de fecebook…” (Sic).  </w:t>
      </w:r>
    </w:p>
    <w:p w14:paraId="14F2B2DA" w14:textId="59E99F3B" w:rsidR="00C0705A" w:rsidRPr="00654417" w:rsidRDefault="00C0705A" w:rsidP="00F32682">
      <w:pPr>
        <w:tabs>
          <w:tab w:val="left" w:pos="3210"/>
        </w:tabs>
        <w:spacing w:line="360" w:lineRule="auto"/>
        <w:ind w:right="616"/>
        <w:contextualSpacing/>
        <w:jc w:val="both"/>
        <w:rPr>
          <w:rFonts w:ascii="Palatino Linotype" w:hAnsi="Palatino Linotype"/>
          <w:b/>
        </w:rPr>
      </w:pPr>
    </w:p>
    <w:p w14:paraId="4BB5C5BA" w14:textId="45EBD987" w:rsidR="00EA0165" w:rsidRPr="00654417" w:rsidRDefault="00EA0165" w:rsidP="00D07D4F">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54417">
        <w:rPr>
          <w:rFonts w:ascii="Palatino Linotype" w:hAnsi="Palatino Linotype" w:cs="Arial"/>
          <w:color w:val="000000" w:themeColor="text1"/>
        </w:rPr>
        <w:t xml:space="preserve">Derivado de la respuesta emitida por el </w:t>
      </w:r>
      <w:r w:rsidRPr="00654417">
        <w:rPr>
          <w:rFonts w:ascii="Palatino Linotype" w:hAnsi="Palatino Linotype" w:cs="Arial"/>
          <w:b/>
          <w:color w:val="000000" w:themeColor="text1"/>
        </w:rPr>
        <w:t>SUJETO OBLIGADO</w:t>
      </w:r>
      <w:r w:rsidRPr="00654417">
        <w:rPr>
          <w:rFonts w:ascii="Palatino Linotype" w:hAnsi="Palatino Linotype" w:cs="Arial"/>
          <w:color w:val="000000" w:themeColor="text1"/>
        </w:rPr>
        <w:t>, e</w:t>
      </w:r>
      <w:r w:rsidR="00F32682" w:rsidRPr="00654417">
        <w:rPr>
          <w:rFonts w:ascii="Palatino Linotype" w:hAnsi="Palatino Linotype" w:cs="Arial"/>
          <w:color w:val="000000" w:themeColor="text1"/>
        </w:rPr>
        <w:t>l veintiocho (28</w:t>
      </w:r>
      <w:r w:rsidR="00AB7DB9" w:rsidRPr="00654417">
        <w:rPr>
          <w:rFonts w:ascii="Palatino Linotype" w:hAnsi="Palatino Linotype" w:cs="Arial"/>
          <w:color w:val="000000" w:themeColor="text1"/>
        </w:rPr>
        <w:t>)</w:t>
      </w:r>
      <w:r w:rsidR="00917444" w:rsidRPr="00654417">
        <w:rPr>
          <w:rFonts w:ascii="Palatino Linotype" w:hAnsi="Palatino Linotype" w:cs="Arial"/>
          <w:color w:val="000000" w:themeColor="text1"/>
        </w:rPr>
        <w:t xml:space="preserve"> de</w:t>
      </w:r>
      <w:r w:rsidR="00D11854" w:rsidRPr="00654417">
        <w:rPr>
          <w:rFonts w:ascii="Palatino Linotype" w:hAnsi="Palatino Linotype" w:cs="Arial"/>
          <w:color w:val="000000" w:themeColor="text1"/>
        </w:rPr>
        <w:t xml:space="preserve"> febrero</w:t>
      </w:r>
      <w:r w:rsidR="00E81502" w:rsidRPr="00654417">
        <w:rPr>
          <w:rFonts w:ascii="Palatino Linotype" w:hAnsi="Palatino Linotype" w:cs="Arial"/>
          <w:color w:val="000000" w:themeColor="text1"/>
        </w:rPr>
        <w:t xml:space="preserve"> </w:t>
      </w:r>
      <w:r w:rsidR="00917444" w:rsidRPr="00654417">
        <w:rPr>
          <w:rFonts w:ascii="Palatino Linotype" w:hAnsi="Palatino Linotype" w:cs="Arial"/>
          <w:color w:val="000000" w:themeColor="text1"/>
        </w:rPr>
        <w:t>d</w:t>
      </w:r>
      <w:r w:rsidR="00233D1C" w:rsidRPr="00654417">
        <w:rPr>
          <w:rFonts w:ascii="Palatino Linotype" w:hAnsi="Palatino Linotype" w:cs="Arial"/>
          <w:color w:val="000000" w:themeColor="text1"/>
        </w:rPr>
        <w:t xml:space="preserve">e dos mil </w:t>
      </w:r>
      <w:r w:rsidR="00E81502" w:rsidRPr="00654417">
        <w:rPr>
          <w:rFonts w:ascii="Palatino Linotype" w:hAnsi="Palatino Linotype" w:cs="Arial"/>
          <w:color w:val="000000" w:themeColor="text1"/>
        </w:rPr>
        <w:t>veintidós</w:t>
      </w:r>
      <w:r w:rsidRPr="00654417">
        <w:rPr>
          <w:rFonts w:ascii="Palatino Linotype" w:hAnsi="Palatino Linotype" w:cs="Arial"/>
          <w:color w:val="000000" w:themeColor="text1"/>
        </w:rPr>
        <w:t>, el particular interpuso el recurso de revisión</w:t>
      </w:r>
      <w:r w:rsidR="00D07D4F" w:rsidRPr="00654417">
        <w:rPr>
          <w:rFonts w:ascii="Palatino Linotype" w:hAnsi="Palatino Linotype" w:cs="Arial"/>
          <w:color w:val="000000" w:themeColor="text1"/>
        </w:rPr>
        <w:t xml:space="preserve"> </w:t>
      </w:r>
      <w:r w:rsidR="00D07D4F" w:rsidRPr="00654417">
        <w:rPr>
          <w:rFonts w:ascii="Palatino Linotype" w:eastAsiaTheme="minorEastAsia" w:hAnsi="Palatino Linotype" w:cstheme="minorBidi"/>
          <w:b/>
          <w:color w:val="000000" w:themeColor="text1"/>
        </w:rPr>
        <w:t>02013/INFOEM/IP/RR/2022</w:t>
      </w:r>
      <w:r w:rsidRPr="00654417">
        <w:rPr>
          <w:rFonts w:ascii="Palatino Linotype" w:eastAsia="Calibri" w:hAnsi="Palatino Linotype" w:cs="Arial"/>
          <w:b/>
          <w:color w:val="000000" w:themeColor="text1"/>
        </w:rPr>
        <w:t>;</w:t>
      </w:r>
      <w:r w:rsidRPr="00654417">
        <w:rPr>
          <w:rFonts w:ascii="Palatino Linotype" w:hAnsi="Palatino Linotype" w:cs="Arial"/>
          <w:color w:val="000000" w:themeColor="text1"/>
        </w:rPr>
        <w:t xml:space="preserve"> impugnación en la que refirió lo siguiente:</w:t>
      </w:r>
    </w:p>
    <w:p w14:paraId="176F4252" w14:textId="77777777" w:rsidR="00EA0165" w:rsidRPr="00654417" w:rsidRDefault="00EA0165" w:rsidP="007D7513">
      <w:pPr>
        <w:tabs>
          <w:tab w:val="left" w:pos="426"/>
        </w:tabs>
        <w:spacing w:line="360" w:lineRule="auto"/>
        <w:ind w:left="284"/>
        <w:contextualSpacing/>
        <w:jc w:val="both"/>
        <w:rPr>
          <w:rFonts w:ascii="Palatino Linotype" w:hAnsi="Palatino Linotype" w:cs="Arial"/>
          <w:color w:val="000000" w:themeColor="text1"/>
        </w:rPr>
      </w:pPr>
    </w:p>
    <w:p w14:paraId="224FFDC9" w14:textId="70919C82" w:rsidR="00EA0165" w:rsidRPr="00654417" w:rsidRDefault="00EA0165" w:rsidP="00D07D4F">
      <w:pPr>
        <w:numPr>
          <w:ilvl w:val="0"/>
          <w:numId w:val="1"/>
        </w:numPr>
        <w:tabs>
          <w:tab w:val="left" w:pos="426"/>
          <w:tab w:val="left" w:pos="567"/>
        </w:tabs>
        <w:spacing w:line="360" w:lineRule="auto"/>
        <w:ind w:left="567" w:right="616" w:firstLine="0"/>
        <w:contextualSpacing/>
        <w:jc w:val="both"/>
        <w:rPr>
          <w:rFonts w:ascii="Palatino Linotype" w:hAnsi="Palatino Linotype" w:cs="Arial"/>
          <w:color w:val="000000" w:themeColor="text1"/>
        </w:rPr>
      </w:pPr>
      <w:r w:rsidRPr="00654417">
        <w:rPr>
          <w:rFonts w:ascii="Palatino Linotype" w:hAnsi="Palatino Linotype" w:cs="Arial"/>
          <w:b/>
          <w:color w:val="000000" w:themeColor="text1"/>
        </w:rPr>
        <w:t>Acto impugnado:</w:t>
      </w:r>
      <w:r w:rsidRPr="00654417">
        <w:rPr>
          <w:rFonts w:ascii="Palatino Linotype" w:hAnsi="Palatino Linotype" w:cs="Arial"/>
          <w:color w:val="000000" w:themeColor="text1"/>
        </w:rPr>
        <w:t xml:space="preserve"> </w:t>
      </w:r>
      <w:r w:rsidRPr="00654417">
        <w:rPr>
          <w:rFonts w:ascii="Palatino Linotype" w:hAnsi="Palatino Linotype" w:cs="Arial"/>
          <w:i/>
          <w:color w:val="000000" w:themeColor="text1"/>
        </w:rPr>
        <w:t>“</w:t>
      </w:r>
      <w:r w:rsidR="00D07D4F" w:rsidRPr="00654417">
        <w:rPr>
          <w:rFonts w:ascii="Palatino Linotype" w:hAnsi="Palatino Linotype" w:cs="Arial"/>
          <w:i/>
          <w:color w:val="000000" w:themeColor="text1"/>
        </w:rPr>
        <w:t>La respuesta proporcionada por el Sujeto Obligado</w:t>
      </w:r>
      <w:r w:rsidR="00AB7DB9" w:rsidRPr="00654417">
        <w:rPr>
          <w:rFonts w:ascii="Palatino Linotype" w:hAnsi="Palatino Linotype" w:cs="Arial"/>
          <w:i/>
          <w:color w:val="000000" w:themeColor="text1"/>
        </w:rPr>
        <w:t>.”</w:t>
      </w:r>
      <w:r w:rsidRPr="00654417">
        <w:rPr>
          <w:rFonts w:ascii="Palatino Linotype" w:hAnsi="Palatino Linotype" w:cs="Arial"/>
          <w:color w:val="000000" w:themeColor="text1"/>
        </w:rPr>
        <w:t>(Sic).</w:t>
      </w:r>
    </w:p>
    <w:p w14:paraId="71C7D21F" w14:textId="77777777" w:rsidR="00EA0165" w:rsidRPr="00654417" w:rsidRDefault="00EA0165" w:rsidP="00E81502">
      <w:pPr>
        <w:tabs>
          <w:tab w:val="left" w:pos="0"/>
        </w:tabs>
        <w:spacing w:line="360" w:lineRule="auto"/>
        <w:ind w:left="567" w:right="616"/>
        <w:contextualSpacing/>
        <w:jc w:val="both"/>
        <w:rPr>
          <w:rFonts w:ascii="Palatino Linotype" w:hAnsi="Palatino Linotype" w:cs="Arial"/>
          <w:color w:val="000000" w:themeColor="text1"/>
        </w:rPr>
      </w:pPr>
    </w:p>
    <w:p w14:paraId="16E57192" w14:textId="6D770BBB" w:rsidR="00EA0165" w:rsidRPr="00654417" w:rsidRDefault="00EA0165" w:rsidP="00D07D4F">
      <w:pPr>
        <w:numPr>
          <w:ilvl w:val="0"/>
          <w:numId w:val="1"/>
        </w:numPr>
        <w:tabs>
          <w:tab w:val="left" w:pos="0"/>
        </w:tabs>
        <w:spacing w:line="360" w:lineRule="auto"/>
        <w:ind w:left="567" w:right="616" w:firstLine="0"/>
        <w:contextualSpacing/>
        <w:jc w:val="both"/>
        <w:rPr>
          <w:rFonts w:ascii="Palatino Linotype" w:hAnsi="Palatino Linotype" w:cs="Arial"/>
          <w:color w:val="000000" w:themeColor="text1"/>
        </w:rPr>
      </w:pPr>
      <w:r w:rsidRPr="00654417">
        <w:rPr>
          <w:rFonts w:ascii="Palatino Linotype" w:hAnsi="Palatino Linotype" w:cs="Arial"/>
          <w:b/>
          <w:color w:val="000000" w:themeColor="text1"/>
        </w:rPr>
        <w:t>Razones o motivos de inconformidad:</w:t>
      </w:r>
      <w:r w:rsidRPr="00654417">
        <w:rPr>
          <w:rFonts w:ascii="Palatino Linotype" w:hAnsi="Palatino Linotype" w:cs="Arial"/>
          <w:color w:val="000000" w:themeColor="text1"/>
        </w:rPr>
        <w:t xml:space="preserve"> </w:t>
      </w:r>
      <w:r w:rsidRPr="00654417">
        <w:rPr>
          <w:rFonts w:ascii="Palatino Linotype" w:hAnsi="Palatino Linotype" w:cs="Arial"/>
          <w:i/>
          <w:color w:val="000000" w:themeColor="text1"/>
        </w:rPr>
        <w:t>“</w:t>
      </w:r>
      <w:r w:rsidR="00D07D4F" w:rsidRPr="00654417">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w:t>
      </w:r>
      <w:r w:rsidR="00D07D4F" w:rsidRPr="00654417">
        <w:rPr>
          <w:rFonts w:ascii="Palatino Linotype" w:hAnsi="Palatino Linotype" w:cs="Arial"/>
          <w:i/>
          <w:color w:val="000000" w:themeColor="text1"/>
        </w:rPr>
        <w:lastRenderedPageBreak/>
        <w:t xml:space="preserve">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w:t>
      </w:r>
      <w:r w:rsidR="00D07D4F" w:rsidRPr="00654417">
        <w:rPr>
          <w:rFonts w:ascii="Palatino Linotype" w:hAnsi="Palatino Linotype" w:cs="Arial"/>
          <w:i/>
          <w:color w:val="000000" w:themeColor="text1"/>
        </w:rPr>
        <w:lastRenderedPageBreak/>
        <w:t>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654417">
        <w:rPr>
          <w:rFonts w:ascii="Palatino Linotype" w:hAnsi="Palatino Linotype" w:cs="Arial"/>
          <w:i/>
          <w:color w:val="000000" w:themeColor="text1"/>
        </w:rPr>
        <w:t xml:space="preserve">” </w:t>
      </w:r>
      <w:r w:rsidRPr="00654417">
        <w:rPr>
          <w:rFonts w:ascii="Palatino Linotype" w:hAnsi="Palatino Linotype" w:cs="Arial"/>
          <w:color w:val="000000" w:themeColor="text1"/>
        </w:rPr>
        <w:t>(Sic).</w:t>
      </w:r>
    </w:p>
    <w:p w14:paraId="552C6645" w14:textId="77777777" w:rsidR="001B234C" w:rsidRPr="00654417" w:rsidRDefault="001B234C" w:rsidP="007D7513">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654417" w:rsidRDefault="00EA0165" w:rsidP="007D751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54417">
        <w:rPr>
          <w:rFonts w:ascii="Palatino Linotype" w:hAnsi="Palatino Linotype" w:cs="Arial"/>
          <w:color w:val="000000" w:themeColor="text1"/>
        </w:rPr>
        <w:t xml:space="preserve">Se registró el recurso de revisión bajo el número de expediente </w:t>
      </w:r>
      <w:r w:rsidRPr="00654417">
        <w:rPr>
          <w:rFonts w:ascii="Palatino Linotype" w:eastAsiaTheme="minorEastAsia" w:hAnsi="Palatino Linotype" w:cs="Arial"/>
          <w:bCs/>
          <w:color w:val="000000" w:themeColor="text1"/>
          <w:lang w:val="es-ES_tradnl"/>
        </w:rPr>
        <w:t xml:space="preserve">al rubro indicado, asimismo, con fundamento en lo dispuesto por el </w:t>
      </w:r>
      <w:r w:rsidRPr="00654417">
        <w:rPr>
          <w:rFonts w:ascii="Palatino Linotype" w:eastAsia="Calibri" w:hAnsi="Palatino Linotype" w:cs="Arial"/>
          <w:color w:val="000000" w:themeColor="text1"/>
        </w:rPr>
        <w:t xml:space="preserve">artículo 185 fracción I de la </w:t>
      </w:r>
      <w:r w:rsidRPr="00654417">
        <w:rPr>
          <w:rFonts w:ascii="Palatino Linotype" w:eastAsia="Calibri" w:hAnsi="Palatino Linotype" w:cs="Arial"/>
          <w:b/>
          <w:color w:val="000000" w:themeColor="text1"/>
        </w:rPr>
        <w:t xml:space="preserve">Ley de Transparencia y Acceso a la Información Pública del Estado de México y Municipios </w:t>
      </w:r>
      <w:r w:rsidR="005E6282" w:rsidRPr="00654417">
        <w:rPr>
          <w:rFonts w:ascii="Palatino Linotype" w:hAnsi="Palatino Linotype" w:cs="Arial"/>
          <w:color w:val="000000" w:themeColor="text1"/>
        </w:rPr>
        <w:t>se turnó a</w:t>
      </w:r>
      <w:r w:rsidR="00351568" w:rsidRPr="00654417">
        <w:rPr>
          <w:rFonts w:ascii="Palatino Linotype" w:hAnsi="Palatino Linotype" w:cs="Arial"/>
          <w:color w:val="000000" w:themeColor="text1"/>
        </w:rPr>
        <w:t xml:space="preserve"> la </w:t>
      </w:r>
      <w:r w:rsidR="00E3149E" w:rsidRPr="00654417">
        <w:rPr>
          <w:rFonts w:ascii="Palatino Linotype" w:hAnsi="Palatino Linotype" w:cs="Arial"/>
          <w:b/>
          <w:color w:val="000000" w:themeColor="text1"/>
        </w:rPr>
        <w:t>C</w:t>
      </w:r>
      <w:r w:rsidR="00351568" w:rsidRPr="00654417">
        <w:rPr>
          <w:rFonts w:ascii="Palatino Linotype" w:hAnsi="Palatino Linotype" w:cs="Arial"/>
          <w:b/>
          <w:color w:val="000000" w:themeColor="text1"/>
        </w:rPr>
        <w:t>omisionada María del Rosario Mejía Ayala</w:t>
      </w:r>
      <w:r w:rsidRPr="00654417">
        <w:rPr>
          <w:rFonts w:ascii="Palatino Linotype" w:hAnsi="Palatino Linotype" w:cs="Arial"/>
          <w:b/>
          <w:color w:val="000000" w:themeColor="text1"/>
        </w:rPr>
        <w:t xml:space="preserve">, </w:t>
      </w:r>
      <w:r w:rsidRPr="00654417">
        <w:rPr>
          <w:rFonts w:ascii="Palatino Linotype" w:hAnsi="Palatino Linotype" w:cs="Arial"/>
          <w:color w:val="000000" w:themeColor="text1"/>
        </w:rPr>
        <w:t xml:space="preserve">con el objeto de </w:t>
      </w:r>
      <w:r w:rsidRPr="00654417">
        <w:rPr>
          <w:rFonts w:ascii="Palatino Linotype" w:hAnsi="Palatino Linotype" w:cs="Arial"/>
          <w:color w:val="000000" w:themeColor="text1"/>
          <w:lang w:val="es-MX"/>
        </w:rPr>
        <w:t>su análisis.</w:t>
      </w:r>
    </w:p>
    <w:p w14:paraId="3D6E1B39" w14:textId="2094837E" w:rsidR="00BB030C" w:rsidRPr="00654417" w:rsidRDefault="00BB030C" w:rsidP="007D7513">
      <w:pPr>
        <w:tabs>
          <w:tab w:val="left" w:pos="426"/>
        </w:tabs>
        <w:spacing w:line="360" w:lineRule="auto"/>
        <w:contextualSpacing/>
        <w:jc w:val="both"/>
        <w:rPr>
          <w:rFonts w:ascii="Palatino Linotype" w:eastAsia="Calibri" w:hAnsi="Palatino Linotype" w:cs="Arial"/>
          <w:color w:val="000000" w:themeColor="text1"/>
        </w:rPr>
      </w:pPr>
    </w:p>
    <w:p w14:paraId="1EC31E60" w14:textId="5D6A4370" w:rsidR="00660AFC" w:rsidRPr="00654417" w:rsidRDefault="00351568" w:rsidP="00660AF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54417">
        <w:rPr>
          <w:rFonts w:ascii="Palatino Linotype" w:hAnsi="Palatino Linotype" w:cs="Arial"/>
          <w:color w:val="000000" w:themeColor="text1"/>
        </w:rPr>
        <w:t xml:space="preserve">La </w:t>
      </w:r>
      <w:r w:rsidRPr="00654417">
        <w:rPr>
          <w:rFonts w:ascii="Palatino Linotype" w:hAnsi="Palatino Linotype" w:cs="Arial"/>
          <w:b/>
          <w:color w:val="000000" w:themeColor="text1"/>
        </w:rPr>
        <w:t>Comisionada María del Rosario Mejía Ayala</w:t>
      </w:r>
      <w:r w:rsidR="00EA0165" w:rsidRPr="00654417">
        <w:rPr>
          <w:rFonts w:ascii="Palatino Linotype" w:eastAsia="Calibri" w:hAnsi="Palatino Linotype" w:cs="Arial"/>
          <w:color w:val="000000" w:themeColor="text1"/>
        </w:rPr>
        <w:t>, con fundamento en lo dispuesto por el artículo 185 fracción II de la ley de la materia, a t</w:t>
      </w:r>
      <w:r w:rsidR="007A237F" w:rsidRPr="00654417">
        <w:rPr>
          <w:rFonts w:ascii="Palatino Linotype" w:eastAsia="Calibri" w:hAnsi="Palatino Linotype" w:cs="Arial"/>
          <w:color w:val="000000" w:themeColor="text1"/>
        </w:rPr>
        <w:t xml:space="preserve">ravés del </w:t>
      </w:r>
      <w:r w:rsidR="00343FE2" w:rsidRPr="00654417">
        <w:rPr>
          <w:rFonts w:ascii="Palatino Linotype" w:eastAsia="Calibri" w:hAnsi="Palatino Linotype" w:cs="Arial"/>
          <w:color w:val="000000" w:themeColor="text1"/>
        </w:rPr>
        <w:t>a</w:t>
      </w:r>
      <w:r w:rsidR="00BE4666" w:rsidRPr="00654417">
        <w:rPr>
          <w:rFonts w:ascii="Palatino Linotype" w:eastAsia="Calibri" w:hAnsi="Palatino Linotype" w:cs="Arial"/>
          <w:color w:val="000000" w:themeColor="text1"/>
        </w:rPr>
        <w:t>cuerdo de admisión de cuatro</w:t>
      </w:r>
      <w:r w:rsidR="008426D8" w:rsidRPr="00654417">
        <w:rPr>
          <w:rFonts w:ascii="Palatino Linotype" w:eastAsia="Calibri" w:hAnsi="Palatino Linotype" w:cs="Arial"/>
          <w:color w:val="000000" w:themeColor="text1"/>
        </w:rPr>
        <w:t xml:space="preserve"> </w:t>
      </w:r>
      <w:r w:rsidR="00EA0165" w:rsidRPr="00654417">
        <w:rPr>
          <w:rFonts w:ascii="Palatino Linotype" w:eastAsia="Calibri" w:hAnsi="Palatino Linotype" w:cs="Arial"/>
          <w:color w:val="000000" w:themeColor="text1"/>
        </w:rPr>
        <w:t>(</w:t>
      </w:r>
      <w:r w:rsidR="00BE4666" w:rsidRPr="00654417">
        <w:rPr>
          <w:rFonts w:ascii="Palatino Linotype" w:eastAsia="Calibri" w:hAnsi="Palatino Linotype" w:cs="Arial"/>
          <w:color w:val="000000" w:themeColor="text1"/>
        </w:rPr>
        <w:t>04</w:t>
      </w:r>
      <w:r w:rsidR="00EA0165" w:rsidRPr="00654417">
        <w:rPr>
          <w:rFonts w:ascii="Palatino Linotype" w:eastAsia="Calibri" w:hAnsi="Palatino Linotype" w:cs="Arial"/>
          <w:color w:val="000000" w:themeColor="text1"/>
        </w:rPr>
        <w:t>) de</w:t>
      </w:r>
      <w:r w:rsidR="00BE4666" w:rsidRPr="00654417">
        <w:rPr>
          <w:rFonts w:ascii="Palatino Linotype" w:eastAsia="Calibri" w:hAnsi="Palatino Linotype" w:cs="Arial"/>
          <w:color w:val="000000" w:themeColor="text1"/>
        </w:rPr>
        <w:t xml:space="preserve"> marzo</w:t>
      </w:r>
      <w:r w:rsidR="00E81502" w:rsidRPr="00654417">
        <w:rPr>
          <w:rFonts w:ascii="Palatino Linotype" w:eastAsia="Calibri" w:hAnsi="Palatino Linotype" w:cs="Arial"/>
          <w:color w:val="000000" w:themeColor="text1"/>
        </w:rPr>
        <w:t xml:space="preserve"> de dos mil veintidós</w:t>
      </w:r>
      <w:r w:rsidR="00EA0165" w:rsidRPr="00654417">
        <w:rPr>
          <w:rFonts w:ascii="Palatino Linotype" w:eastAsia="Calibri" w:hAnsi="Palatino Linotype" w:cs="Arial"/>
          <w:color w:val="000000" w:themeColor="text1"/>
        </w:rPr>
        <w:t xml:space="preserve">, puso a disposición de las partes el expediente electrónico </w:t>
      </w:r>
      <w:r w:rsidR="00EA0165" w:rsidRPr="00654417">
        <w:rPr>
          <w:rFonts w:ascii="Palatino Linotype" w:eastAsia="Calibri" w:hAnsi="Palatino Linotype" w:cs="Arial"/>
          <w:color w:val="000000" w:themeColor="text1"/>
          <w:lang w:val="es-ES_tradnl"/>
        </w:rPr>
        <w:t xml:space="preserve">vía </w:t>
      </w:r>
      <w:r w:rsidR="00EA0165" w:rsidRPr="00654417">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654417">
        <w:rPr>
          <w:rFonts w:ascii="Palatino Linotype" w:eastAsia="Calibri" w:hAnsi="Palatino Linotype" w:cs="Arial"/>
          <w:b/>
          <w:color w:val="000000" w:themeColor="text1"/>
        </w:rPr>
        <w:t>SUJETO OBLIGADO</w:t>
      </w:r>
      <w:r w:rsidR="00EA0165" w:rsidRPr="00654417">
        <w:rPr>
          <w:rFonts w:ascii="Palatino Linotype" w:eastAsia="Calibri" w:hAnsi="Palatino Linotype" w:cs="Arial"/>
          <w:color w:val="000000" w:themeColor="text1"/>
        </w:rPr>
        <w:t xml:space="preserve"> presentara el</w:t>
      </w:r>
      <w:r w:rsidR="00266490" w:rsidRPr="00654417">
        <w:rPr>
          <w:rFonts w:ascii="Palatino Linotype" w:eastAsia="Calibri" w:hAnsi="Palatino Linotype" w:cs="Arial"/>
          <w:color w:val="000000" w:themeColor="text1"/>
        </w:rPr>
        <w:t xml:space="preserve"> </w:t>
      </w:r>
      <w:r w:rsidR="00976C25" w:rsidRPr="00654417">
        <w:rPr>
          <w:rFonts w:ascii="Palatino Linotype" w:eastAsia="Calibri" w:hAnsi="Palatino Linotype" w:cs="Arial"/>
          <w:color w:val="000000" w:themeColor="text1"/>
        </w:rPr>
        <w:t xml:space="preserve">informe justificado procedente, situación que no aconteció por las partes. </w:t>
      </w:r>
    </w:p>
    <w:p w14:paraId="0F1ADF8B" w14:textId="77777777" w:rsidR="00660AFC" w:rsidRPr="00654417" w:rsidRDefault="00660AFC" w:rsidP="00660AFC">
      <w:pPr>
        <w:pStyle w:val="Prrafodelista"/>
        <w:rPr>
          <w:rFonts w:ascii="Palatino Linotype" w:hAnsi="Palatino Linotype"/>
          <w:lang w:val="es-MX" w:eastAsia="en-US"/>
        </w:rPr>
      </w:pPr>
    </w:p>
    <w:p w14:paraId="786CE244" w14:textId="77777777" w:rsidR="00660AFC" w:rsidRPr="00654417" w:rsidRDefault="00660AFC" w:rsidP="00660AF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54417">
        <w:rPr>
          <w:rFonts w:ascii="Palatino Linotype" w:hAnsi="Palatino Linotype"/>
          <w:lang w:val="es-MX" w:eastAsia="en-US"/>
        </w:rPr>
        <w:t xml:space="preserve">El veintinueve (29) de abril de dos mil veintidós, con fundamento en el artículo 181 tercer párrafo de la Ley de Transparencia y Acceso a la Información Pública del </w:t>
      </w:r>
      <w:r w:rsidRPr="00654417">
        <w:rPr>
          <w:rFonts w:ascii="Palatino Linotype" w:hAnsi="Palatino Linotype"/>
          <w:lang w:val="es-MX" w:eastAsia="en-US"/>
        </w:rPr>
        <w:lastRenderedPageBreak/>
        <w:t xml:space="preserve">Estado de México y Municipios, se acordó el plazo de treinta (30) días para resolver el recurso de revisión, sería ampliado por un periodo de quince (15) días hábiles adicionales. </w:t>
      </w:r>
    </w:p>
    <w:p w14:paraId="7180DE8C" w14:textId="77777777" w:rsidR="00660AFC" w:rsidRPr="00654417" w:rsidRDefault="00660AFC" w:rsidP="00660AFC">
      <w:pPr>
        <w:pStyle w:val="Prrafodelista"/>
        <w:rPr>
          <w:rFonts w:ascii="Palatino Linotype" w:hAnsi="Palatino Linotype"/>
          <w:lang w:val="es-ES_tradnl"/>
        </w:rPr>
      </w:pPr>
    </w:p>
    <w:p w14:paraId="74888468" w14:textId="04314717" w:rsidR="00660AFC" w:rsidRPr="00654417" w:rsidRDefault="00660AFC" w:rsidP="00660AF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54417">
        <w:rPr>
          <w:rFonts w:ascii="Palatino Linotype" w:hAnsi="Palatino Linotype"/>
          <w:lang w:val="es-ES_tradnl"/>
        </w:rPr>
        <w:t>El veintinueve (29) de abril de dos mil veintidós, la</w:t>
      </w:r>
      <w:r w:rsidRPr="00654417">
        <w:rPr>
          <w:rFonts w:ascii="Palatino Linotype" w:hAnsi="Palatino Linotype"/>
          <w:b/>
          <w:color w:val="000000"/>
          <w:lang w:val="es-ES_tradnl"/>
        </w:rPr>
        <w:t xml:space="preserve"> </w:t>
      </w:r>
      <w:r w:rsidRPr="00654417">
        <w:rPr>
          <w:rFonts w:ascii="Palatino Linotype" w:hAnsi="Palatino Linotype"/>
          <w:b/>
          <w:lang w:val="es-ES_tradnl"/>
        </w:rPr>
        <w:t>Comisionada María del Rosario Mejía Ayala</w:t>
      </w:r>
      <w:r w:rsidRPr="00654417">
        <w:rPr>
          <w:rFonts w:ascii="Palatino Linotype" w:hAnsi="Palatino Linotype"/>
          <w:lang w:val="es-ES_tradnl"/>
        </w:rPr>
        <w:t xml:space="preserve"> decretó el cierre del periodo de instrucción del recurso de revisión.</w:t>
      </w:r>
    </w:p>
    <w:p w14:paraId="068D7840" w14:textId="4E8A4CF9" w:rsidR="001B234C" w:rsidRPr="00654417" w:rsidRDefault="001B234C" w:rsidP="003C23B9">
      <w:pPr>
        <w:tabs>
          <w:tab w:val="left" w:pos="284"/>
        </w:tabs>
        <w:spacing w:line="360" w:lineRule="auto"/>
        <w:ind w:right="616"/>
        <w:contextualSpacing/>
        <w:jc w:val="both"/>
        <w:rPr>
          <w:rFonts w:ascii="Palatino Linotype" w:eastAsia="Calibri" w:hAnsi="Palatino Linotype" w:cs="Arial"/>
          <w:b/>
        </w:rPr>
      </w:pPr>
      <w:bookmarkStart w:id="4" w:name="_Toc461555889"/>
      <w:bookmarkStart w:id="5" w:name="_Toc466371858"/>
    </w:p>
    <w:p w14:paraId="494F97AD" w14:textId="77777777" w:rsidR="00EA0165" w:rsidRPr="00654417" w:rsidRDefault="00EA0165" w:rsidP="00660AFC">
      <w:pPr>
        <w:pStyle w:val="Ttulo1"/>
        <w:spacing w:line="360" w:lineRule="auto"/>
        <w:jc w:val="center"/>
        <w:rPr>
          <w:rFonts w:ascii="Palatino Linotype" w:hAnsi="Palatino Linotype"/>
          <w:b/>
          <w:color w:val="000000" w:themeColor="text1"/>
          <w:sz w:val="24"/>
          <w:szCs w:val="24"/>
          <w:lang w:val="es-MX" w:eastAsia="en-US"/>
        </w:rPr>
      </w:pPr>
      <w:bookmarkStart w:id="6" w:name="_Toc68804758"/>
      <w:bookmarkStart w:id="7" w:name="_Toc102070723"/>
      <w:r w:rsidRPr="00654417">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654417" w:rsidRDefault="00EA0165" w:rsidP="007D7513">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654417" w:rsidRDefault="00EA0165" w:rsidP="007D7513">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070724"/>
      <w:r w:rsidRPr="00654417">
        <w:rPr>
          <w:rFonts w:ascii="Palatino Linotype" w:hAnsi="Palatino Linotype"/>
          <w:b/>
          <w:color w:val="000000" w:themeColor="text1"/>
          <w:sz w:val="24"/>
          <w:szCs w:val="24"/>
          <w:lang w:val="es-MX" w:eastAsia="en-US"/>
        </w:rPr>
        <w:t>PRIMERO. De la competencia</w:t>
      </w:r>
      <w:bookmarkEnd w:id="8"/>
      <w:bookmarkEnd w:id="9"/>
      <w:bookmarkEnd w:id="10"/>
      <w:r w:rsidR="00537427" w:rsidRPr="00654417">
        <w:rPr>
          <w:rFonts w:ascii="Palatino Linotype" w:hAnsi="Palatino Linotype"/>
          <w:b/>
          <w:color w:val="000000" w:themeColor="text1"/>
          <w:sz w:val="24"/>
          <w:szCs w:val="24"/>
          <w:lang w:val="es-MX" w:eastAsia="en-US"/>
        </w:rPr>
        <w:t>.</w:t>
      </w:r>
      <w:bookmarkEnd w:id="11"/>
    </w:p>
    <w:p w14:paraId="341F67EC" w14:textId="77777777" w:rsidR="00EA0165" w:rsidRPr="00654417" w:rsidRDefault="00EA0165" w:rsidP="007D7513">
      <w:pPr>
        <w:spacing w:line="360" w:lineRule="auto"/>
        <w:rPr>
          <w:rFonts w:ascii="Palatino Linotype" w:eastAsiaTheme="minorEastAsia" w:hAnsi="Palatino Linotype" w:cstheme="minorBidi"/>
          <w:color w:val="000000" w:themeColor="text1"/>
          <w:lang w:val="es-MX" w:eastAsia="en-US"/>
        </w:rPr>
      </w:pPr>
    </w:p>
    <w:p w14:paraId="48EC5CD8" w14:textId="45D53038" w:rsidR="00660AFC" w:rsidRPr="00654417" w:rsidRDefault="00EA0165" w:rsidP="00660AFC">
      <w:pPr>
        <w:pStyle w:val="Prrafodelista"/>
        <w:numPr>
          <w:ilvl w:val="0"/>
          <w:numId w:val="3"/>
        </w:numPr>
        <w:tabs>
          <w:tab w:val="left" w:pos="0"/>
        </w:tabs>
        <w:spacing w:after="160" w:line="360" w:lineRule="auto"/>
        <w:ind w:left="0" w:firstLine="0"/>
        <w:contextualSpacing/>
        <w:jc w:val="both"/>
        <w:rPr>
          <w:rFonts w:ascii="Palatino Linotype" w:eastAsia="MS Mincho" w:hAnsi="Palatino Linotype"/>
          <w:lang w:val="es-ES_tradnl"/>
        </w:rPr>
      </w:pPr>
      <w:r w:rsidRPr="00654417">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54417">
        <w:rPr>
          <w:rFonts w:ascii="Palatino Linotype" w:eastAsia="Calibri" w:hAnsi="Palatino Linotype"/>
          <w:b/>
        </w:rPr>
        <w:t>Constitución Política de los Estados Unidos Mexicanos</w:t>
      </w:r>
      <w:r w:rsidRPr="00654417">
        <w:rPr>
          <w:rFonts w:ascii="Palatino Linotype" w:eastAsia="Calibri" w:hAnsi="Palatino Linotype"/>
        </w:rPr>
        <w:t xml:space="preserve">; </w:t>
      </w:r>
      <w:r w:rsidRPr="00654417">
        <w:rPr>
          <w:rFonts w:ascii="Palatino Linotype" w:eastAsia="Calibri" w:hAnsi="Palatino Linotype" w:cs="Arial"/>
          <w:bCs/>
          <w:color w:val="222222"/>
          <w:shd w:val="clear" w:color="auto" w:fill="FFFFFF"/>
          <w:lang w:eastAsia="en-US"/>
        </w:rPr>
        <w:t>5, párrafo</w:t>
      </w:r>
      <w:r w:rsidR="00543BF9" w:rsidRPr="00654417">
        <w:rPr>
          <w:rFonts w:ascii="Palatino Linotype" w:eastAsia="Calibri" w:hAnsi="Palatino Linotype"/>
          <w:lang w:val="es-MX" w:eastAsia="en-US"/>
        </w:rPr>
        <w:t xml:space="preserve"> trigésimo, trigésimo primero y trigésimo segundo, fracciones I, II, III, IV y V</w:t>
      </w:r>
      <w:r w:rsidR="00543BF9" w:rsidRPr="00654417">
        <w:rPr>
          <w:rFonts w:ascii="Palatino Linotype" w:eastAsia="MS Mincho" w:hAnsi="Palatino Linotype"/>
          <w:lang w:val="es-ES_tradnl"/>
        </w:rPr>
        <w:t xml:space="preserve"> </w:t>
      </w:r>
      <w:r w:rsidRPr="00654417">
        <w:rPr>
          <w:rFonts w:ascii="Palatino Linotype" w:eastAsia="Calibri" w:hAnsi="Palatino Linotype"/>
        </w:rPr>
        <w:t xml:space="preserve">de la </w:t>
      </w:r>
      <w:r w:rsidRPr="00654417">
        <w:rPr>
          <w:rFonts w:ascii="Palatino Linotype" w:eastAsia="Calibri" w:hAnsi="Palatino Linotype"/>
          <w:b/>
        </w:rPr>
        <w:t>Constitución Política del Estado Libre y Soberano de México</w:t>
      </w:r>
      <w:r w:rsidRPr="00654417">
        <w:rPr>
          <w:rFonts w:ascii="Palatino Linotype" w:eastAsia="Calibri" w:hAnsi="Palatino Linotype"/>
        </w:rPr>
        <w:t xml:space="preserve">; artículos 1, 2 fracción II, 13, 29, 36 fracciones I y II, 176, 178, 179, 181 párrafo tercero y 185 </w:t>
      </w:r>
      <w:r w:rsidRPr="00654417">
        <w:rPr>
          <w:rFonts w:ascii="Palatino Linotype" w:eastAsia="Calibri" w:hAnsi="Palatino Linotype" w:cs="Arial"/>
        </w:rPr>
        <w:t xml:space="preserve">de la </w:t>
      </w:r>
      <w:r w:rsidRPr="00654417">
        <w:rPr>
          <w:rFonts w:ascii="Palatino Linotype" w:eastAsia="Calibri" w:hAnsi="Palatino Linotype" w:cs="Arial"/>
          <w:b/>
        </w:rPr>
        <w:t>Ley de Transparencia y Acceso a la Información Pública del Estado de México y Municipios</w:t>
      </w:r>
      <w:r w:rsidRPr="00654417">
        <w:rPr>
          <w:rFonts w:ascii="Palatino Linotype" w:eastAsia="Calibri" w:hAnsi="Palatino Linotype" w:cs="Arial"/>
        </w:rPr>
        <w:t xml:space="preserve">; </w:t>
      </w:r>
      <w:r w:rsidRPr="00654417">
        <w:rPr>
          <w:rFonts w:ascii="Palatino Linotype" w:eastAsia="Calibri" w:hAnsi="Palatino Linotype" w:cs="Arial"/>
          <w:b/>
        </w:rPr>
        <w:t>7, 9 fracciones I y XXIV, y 11</w:t>
      </w:r>
      <w:r w:rsidRPr="00654417">
        <w:rPr>
          <w:rFonts w:ascii="Palatino Linotype" w:eastAsia="Calibri" w:hAnsi="Palatino Linotype" w:cs="Arial"/>
        </w:rPr>
        <w:t xml:space="preserve"> del </w:t>
      </w:r>
      <w:r w:rsidRPr="00654417">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654417">
        <w:rPr>
          <w:rFonts w:ascii="Palatino Linotype" w:eastAsia="Calibri" w:hAnsi="Palatino Linotype" w:cs="Arial"/>
          <w:b/>
        </w:rPr>
        <w:t>.</w:t>
      </w:r>
    </w:p>
    <w:p w14:paraId="343B0FCF" w14:textId="413622B7" w:rsidR="00EA0165" w:rsidRPr="00654417" w:rsidRDefault="00EA0165" w:rsidP="007D7513">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070725"/>
      <w:r w:rsidRPr="00654417">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58DA4526" w14:textId="77777777" w:rsidR="00EA0165" w:rsidRPr="00654417" w:rsidRDefault="00EA0165" w:rsidP="007D7513">
      <w:pPr>
        <w:pStyle w:val="Ttulo1"/>
        <w:spacing w:line="360" w:lineRule="auto"/>
        <w:rPr>
          <w:rFonts w:ascii="Palatino Linotype" w:hAnsi="Palatino Linotype"/>
          <w:b/>
          <w:color w:val="000000" w:themeColor="text1"/>
          <w:sz w:val="24"/>
          <w:szCs w:val="24"/>
          <w:lang w:val="es-MX" w:eastAsia="en-US"/>
        </w:rPr>
      </w:pPr>
      <w:bookmarkStart w:id="16" w:name="_Toc67587985"/>
      <w:bookmarkStart w:id="17" w:name="_Toc68804761"/>
      <w:bookmarkStart w:id="18" w:name="_Toc99564199"/>
      <w:bookmarkStart w:id="19" w:name="_Toc99564862"/>
      <w:bookmarkStart w:id="20" w:name="_Toc102070726"/>
      <w:r w:rsidRPr="00654417">
        <w:rPr>
          <w:rFonts w:ascii="Palatino Linotype" w:hAnsi="Palatino Linotype"/>
          <w:b/>
          <w:color w:val="000000" w:themeColor="text1"/>
          <w:sz w:val="24"/>
          <w:szCs w:val="24"/>
          <w:lang w:val="es-MX" w:eastAsia="en-US"/>
        </w:rPr>
        <w:t>I. De la interposición del recurso.</w:t>
      </w:r>
      <w:bookmarkEnd w:id="16"/>
      <w:bookmarkEnd w:id="17"/>
      <w:bookmarkEnd w:id="18"/>
      <w:bookmarkEnd w:id="19"/>
      <w:bookmarkEnd w:id="20"/>
      <w:r w:rsidRPr="00654417">
        <w:rPr>
          <w:rFonts w:ascii="Palatino Linotype" w:hAnsi="Palatino Linotype"/>
          <w:b/>
          <w:color w:val="000000" w:themeColor="text1"/>
          <w:sz w:val="24"/>
          <w:szCs w:val="24"/>
          <w:lang w:val="es-MX" w:eastAsia="en-US"/>
        </w:rPr>
        <w:t xml:space="preserve"> </w:t>
      </w:r>
    </w:p>
    <w:p w14:paraId="489BB18C" w14:textId="77777777" w:rsidR="00EA0165" w:rsidRPr="00654417" w:rsidRDefault="00EA0165" w:rsidP="007D7513">
      <w:pPr>
        <w:keepNext/>
        <w:keepLines/>
        <w:tabs>
          <w:tab w:val="left" w:pos="0"/>
        </w:tabs>
        <w:spacing w:line="360" w:lineRule="auto"/>
        <w:contextualSpacing/>
        <w:outlineLvl w:val="0"/>
        <w:rPr>
          <w:rFonts w:ascii="Palatino Linotype" w:eastAsia="MS Gothic" w:hAnsi="Palatino Linotype"/>
          <w:b/>
          <w:lang w:val="es-MX" w:eastAsia="en-US"/>
        </w:rPr>
      </w:pPr>
    </w:p>
    <w:p w14:paraId="33BDBC72" w14:textId="22DFDDD3" w:rsidR="00CA183E" w:rsidRPr="00654417" w:rsidRDefault="00CA183E" w:rsidP="00660AFC">
      <w:pPr>
        <w:numPr>
          <w:ilvl w:val="0"/>
          <w:numId w:val="10"/>
        </w:numPr>
        <w:spacing w:after="160" w:line="360" w:lineRule="auto"/>
        <w:ind w:left="0" w:right="49" w:firstLine="0"/>
        <w:contextualSpacing/>
        <w:jc w:val="both"/>
        <w:rPr>
          <w:rFonts w:ascii="Palatino Linotype" w:hAnsi="Palatino Linotype"/>
          <w:lang w:val="es-ES_tradnl"/>
        </w:rPr>
      </w:pPr>
      <w:r w:rsidRPr="00654417">
        <w:rPr>
          <w:rFonts w:ascii="Palatino Linotype" w:eastAsia="Calibri" w:hAnsi="Palatino Linotype" w:cs="Arial"/>
          <w:lang w:val="es-ES_tradnl"/>
        </w:rPr>
        <w:t xml:space="preserve">El medio de impugnación fue presentado a través del </w:t>
      </w:r>
      <w:r w:rsidRPr="00654417">
        <w:rPr>
          <w:rFonts w:ascii="Palatino Linotype" w:eastAsia="Calibri" w:hAnsi="Palatino Linotype" w:cs="Arial"/>
          <w:b/>
          <w:lang w:val="es-ES_tradnl"/>
        </w:rPr>
        <w:t>SAIMEX,</w:t>
      </w:r>
      <w:r w:rsidRPr="00654417">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654417">
        <w:rPr>
          <w:rFonts w:ascii="Palatino Linotype" w:eastAsia="Calibri" w:hAnsi="Palatino Linotype" w:cs="Arial"/>
          <w:b/>
          <w:lang w:val="es-ES_tradnl"/>
        </w:rPr>
        <w:t>SUJETO OBLIGADO</w:t>
      </w:r>
      <w:r w:rsidR="00C0095A" w:rsidRPr="00654417">
        <w:rPr>
          <w:rFonts w:ascii="Palatino Linotype" w:eastAsia="Calibri" w:hAnsi="Palatino Linotype" w:cs="Arial"/>
          <w:lang w:val="es-ES_tradnl"/>
        </w:rPr>
        <w:t xml:space="preserve"> ent</w:t>
      </w:r>
      <w:r w:rsidR="00BE4666" w:rsidRPr="00654417">
        <w:rPr>
          <w:rFonts w:ascii="Palatino Linotype" w:eastAsia="Calibri" w:hAnsi="Palatino Linotype" w:cs="Arial"/>
          <w:lang w:val="es-ES_tradnl"/>
        </w:rPr>
        <w:t>regó respuesta el día siete (07</w:t>
      </w:r>
      <w:r w:rsidRPr="00654417">
        <w:rPr>
          <w:rFonts w:ascii="Palatino Linotype" w:eastAsia="Calibri" w:hAnsi="Palatino Linotype" w:cs="Arial"/>
          <w:lang w:val="es-ES_tradnl"/>
        </w:rPr>
        <w:t>) de</w:t>
      </w:r>
      <w:r w:rsidR="00976C25" w:rsidRPr="00654417">
        <w:rPr>
          <w:rFonts w:ascii="Palatino Linotype" w:eastAsia="Calibri" w:hAnsi="Palatino Linotype" w:cs="Arial"/>
          <w:lang w:val="es-ES_tradnl"/>
        </w:rPr>
        <w:t xml:space="preserve"> febrero </w:t>
      </w:r>
      <w:r w:rsidRPr="00654417">
        <w:rPr>
          <w:rFonts w:ascii="Palatino Linotype" w:eastAsia="Calibri" w:hAnsi="Palatino Linotype" w:cs="Arial"/>
          <w:lang w:val="es-ES_tradnl"/>
        </w:rPr>
        <w:t>de dos mil veintidós</w:t>
      </w:r>
      <w:r w:rsidRPr="00654417">
        <w:rPr>
          <w:rFonts w:ascii="Palatino Linotype" w:eastAsia="Calibri" w:hAnsi="Palatino Linotype" w:cs="Arial"/>
          <w:lang w:val="es-MX" w:eastAsia="en-US"/>
        </w:rPr>
        <w:t>, el plazo para interponer el recurso</w:t>
      </w:r>
      <w:r w:rsidR="00C0095A" w:rsidRPr="00654417">
        <w:rPr>
          <w:rFonts w:ascii="Palatino Linotype" w:eastAsia="Calibri" w:hAnsi="Palatino Linotype" w:cs="Arial"/>
          <w:lang w:val="es-MX" w:eastAsia="en-US"/>
        </w:rPr>
        <w:t xml:space="preserve"> de revisión trascurrió del</w:t>
      </w:r>
      <w:r w:rsidR="00BE4666" w:rsidRPr="00654417">
        <w:rPr>
          <w:rFonts w:ascii="Palatino Linotype" w:eastAsia="Calibri" w:hAnsi="Palatino Linotype" w:cs="Arial"/>
          <w:lang w:val="es-MX" w:eastAsia="en-US"/>
        </w:rPr>
        <w:t xml:space="preserve"> nueve (09</w:t>
      </w:r>
      <w:r w:rsidRPr="00654417">
        <w:rPr>
          <w:rFonts w:ascii="Palatino Linotype" w:eastAsia="Calibri" w:hAnsi="Palatino Linotype" w:cs="Arial"/>
          <w:lang w:val="es-MX" w:eastAsia="en-US"/>
        </w:rPr>
        <w:t xml:space="preserve">) </w:t>
      </w:r>
      <w:r w:rsidR="002874C3" w:rsidRPr="00654417">
        <w:rPr>
          <w:rFonts w:ascii="Palatino Linotype" w:eastAsia="Calibri" w:hAnsi="Palatino Linotype" w:cs="Arial"/>
          <w:lang w:val="es-MX" w:eastAsia="en-US"/>
        </w:rPr>
        <w:t>de febrero</w:t>
      </w:r>
      <w:r w:rsidR="00C0095A" w:rsidRPr="00654417">
        <w:rPr>
          <w:rFonts w:ascii="Palatino Linotype" w:eastAsia="Calibri" w:hAnsi="Palatino Linotype" w:cs="Arial"/>
          <w:lang w:val="es-MX" w:eastAsia="en-US"/>
        </w:rPr>
        <w:t xml:space="preserve"> </w:t>
      </w:r>
      <w:r w:rsidR="00976C25" w:rsidRPr="00654417">
        <w:rPr>
          <w:rFonts w:ascii="Palatino Linotype" w:eastAsia="Calibri" w:hAnsi="Palatino Linotype" w:cs="Arial"/>
          <w:lang w:val="es-MX" w:eastAsia="en-US"/>
        </w:rPr>
        <w:t xml:space="preserve">al </w:t>
      </w:r>
      <w:r w:rsidR="00BE4666" w:rsidRPr="00654417">
        <w:rPr>
          <w:rFonts w:ascii="Palatino Linotype" w:eastAsia="Calibri" w:hAnsi="Palatino Linotype" w:cs="Arial"/>
          <w:lang w:val="es-MX" w:eastAsia="en-US"/>
        </w:rPr>
        <w:t>tres (03</w:t>
      </w:r>
      <w:r w:rsidR="00754CF6" w:rsidRPr="00654417">
        <w:rPr>
          <w:rFonts w:ascii="Palatino Linotype" w:eastAsia="Calibri" w:hAnsi="Palatino Linotype" w:cs="Arial"/>
          <w:lang w:val="es-MX" w:eastAsia="en-US"/>
        </w:rPr>
        <w:t xml:space="preserve">) </w:t>
      </w:r>
      <w:r w:rsidRPr="00654417">
        <w:rPr>
          <w:rFonts w:ascii="Palatino Linotype" w:eastAsia="Calibri" w:hAnsi="Palatino Linotype" w:cs="Arial"/>
          <w:lang w:val="es-MX" w:eastAsia="en-US"/>
        </w:rPr>
        <w:t>de</w:t>
      </w:r>
      <w:r w:rsidR="00754CF6" w:rsidRPr="00654417">
        <w:rPr>
          <w:rFonts w:ascii="Palatino Linotype" w:eastAsia="Calibri" w:hAnsi="Palatino Linotype" w:cs="Arial"/>
          <w:lang w:val="es-MX" w:eastAsia="en-US"/>
        </w:rPr>
        <w:t xml:space="preserve"> marzo de</w:t>
      </w:r>
      <w:r w:rsidRPr="00654417">
        <w:rPr>
          <w:rFonts w:ascii="Palatino Linotype" w:eastAsia="Calibri" w:hAnsi="Palatino Linotype" w:cs="Arial"/>
          <w:lang w:val="es-MX" w:eastAsia="en-US"/>
        </w:rPr>
        <w:t xml:space="preserve"> dos mil veintidós, por lo que si el particular interpuso re</w:t>
      </w:r>
      <w:r w:rsidR="00754CF6" w:rsidRPr="00654417">
        <w:rPr>
          <w:rFonts w:ascii="Palatino Linotype" w:eastAsia="Calibri" w:hAnsi="Palatino Linotype" w:cs="Arial"/>
          <w:lang w:val="es-MX" w:eastAsia="en-US"/>
        </w:rPr>
        <w:t>cu</w:t>
      </w:r>
      <w:r w:rsidR="00BE4666" w:rsidRPr="00654417">
        <w:rPr>
          <w:rFonts w:ascii="Palatino Linotype" w:eastAsia="Calibri" w:hAnsi="Palatino Linotype" w:cs="Arial"/>
          <w:lang w:val="es-MX" w:eastAsia="en-US"/>
        </w:rPr>
        <w:t>rso de revisión el veintiocho (28</w:t>
      </w:r>
      <w:r w:rsidRPr="00654417">
        <w:rPr>
          <w:rFonts w:ascii="Palatino Linotype" w:eastAsia="Calibri" w:hAnsi="Palatino Linotype" w:cs="Arial"/>
          <w:lang w:val="es-MX" w:eastAsia="en-US"/>
        </w:rPr>
        <w:t>) de febrero</w:t>
      </w:r>
      <w:r w:rsidR="00754CF6" w:rsidRPr="00654417">
        <w:rPr>
          <w:rFonts w:ascii="Palatino Linotype" w:eastAsia="Calibri" w:hAnsi="Palatino Linotype" w:cs="Arial"/>
          <w:lang w:val="es-MX" w:eastAsia="en-US"/>
        </w:rPr>
        <w:t xml:space="preserve"> de dos mil veintidós, </w:t>
      </w:r>
      <w:r w:rsidRPr="00654417">
        <w:rPr>
          <w:rFonts w:ascii="Palatino Linotype" w:hAnsi="Palatino Linotype"/>
          <w:lang w:val="es-ES_tradnl"/>
        </w:rPr>
        <w:t xml:space="preserve">se encuentra dentro del periodo establecido por la Ley. </w:t>
      </w:r>
    </w:p>
    <w:p w14:paraId="10F32E5E" w14:textId="77777777" w:rsidR="00CA183E" w:rsidRPr="00654417" w:rsidRDefault="00CA183E" w:rsidP="00CA183E">
      <w:pPr>
        <w:keepNext/>
        <w:keepLines/>
        <w:spacing w:before="240" w:line="360" w:lineRule="auto"/>
        <w:jc w:val="both"/>
        <w:outlineLvl w:val="0"/>
        <w:rPr>
          <w:rFonts w:ascii="Palatino Linotype" w:eastAsiaTheme="majorEastAsia" w:hAnsi="Palatino Linotype" w:cstheme="majorBidi"/>
          <w:b/>
        </w:rPr>
      </w:pPr>
      <w:bookmarkStart w:id="21" w:name="_Toc89170794"/>
      <w:bookmarkStart w:id="22" w:name="_Toc89335547"/>
      <w:bookmarkStart w:id="23" w:name="_Toc89964362"/>
      <w:bookmarkStart w:id="24" w:name="_Toc98350361"/>
      <w:bookmarkStart w:id="25" w:name="_Toc99564200"/>
      <w:bookmarkStart w:id="26" w:name="_Toc99564863"/>
      <w:bookmarkStart w:id="27" w:name="_Toc102070727"/>
      <w:r w:rsidRPr="00654417">
        <w:rPr>
          <w:rFonts w:ascii="Palatino Linotype" w:eastAsiaTheme="majorEastAsia" w:hAnsi="Palatino Linotype" w:cstheme="majorBidi"/>
          <w:b/>
        </w:rPr>
        <w:t>II. Del nombre como requisito innecesario para la tramitación del recurso.</w:t>
      </w:r>
      <w:bookmarkEnd w:id="21"/>
      <w:bookmarkEnd w:id="22"/>
      <w:bookmarkEnd w:id="23"/>
      <w:bookmarkEnd w:id="24"/>
      <w:bookmarkEnd w:id="25"/>
      <w:bookmarkEnd w:id="26"/>
      <w:bookmarkEnd w:id="27"/>
      <w:r w:rsidRPr="00654417">
        <w:rPr>
          <w:rFonts w:ascii="Palatino Linotype" w:eastAsiaTheme="majorEastAsia" w:hAnsi="Palatino Linotype" w:cstheme="majorBidi"/>
          <w:b/>
        </w:rPr>
        <w:t xml:space="preserve"> </w:t>
      </w:r>
    </w:p>
    <w:p w14:paraId="5C469487" w14:textId="77777777" w:rsidR="00CA183E" w:rsidRPr="00654417" w:rsidRDefault="00CA183E" w:rsidP="00CA183E">
      <w:pPr>
        <w:tabs>
          <w:tab w:val="left" w:pos="426"/>
        </w:tabs>
        <w:spacing w:line="360" w:lineRule="auto"/>
        <w:ind w:right="49"/>
        <w:contextualSpacing/>
        <w:jc w:val="both"/>
        <w:rPr>
          <w:rFonts w:ascii="Palatino Linotype" w:hAnsi="Palatino Linotype" w:cs="Arial"/>
          <w:b/>
        </w:rPr>
      </w:pPr>
    </w:p>
    <w:p w14:paraId="1ABCEAB8" w14:textId="77777777" w:rsidR="00CA183E" w:rsidRPr="00654417" w:rsidRDefault="00CA183E" w:rsidP="00660AFC">
      <w:pPr>
        <w:numPr>
          <w:ilvl w:val="0"/>
          <w:numId w:val="10"/>
        </w:numPr>
        <w:tabs>
          <w:tab w:val="left" w:pos="426"/>
        </w:tabs>
        <w:spacing w:after="160" w:line="360" w:lineRule="auto"/>
        <w:ind w:left="0" w:right="49" w:firstLine="0"/>
        <w:contextualSpacing/>
        <w:jc w:val="both"/>
        <w:rPr>
          <w:rFonts w:ascii="Palatino Linotype" w:hAnsi="Palatino Linotype" w:cs="Arial"/>
          <w:b/>
          <w:lang w:val="es-ES_tradnl"/>
        </w:rPr>
      </w:pPr>
      <w:r w:rsidRPr="00654417">
        <w:rPr>
          <w:rFonts w:ascii="Palatino Linotype" w:hAnsi="Palatino Linotype" w:cs="Arial"/>
          <w:bCs/>
          <w:lang w:val="es-ES_tradnl"/>
        </w:rPr>
        <w:t xml:space="preserve">Por </w:t>
      </w:r>
      <w:r w:rsidRPr="00654417">
        <w:rPr>
          <w:rFonts w:ascii="Palatino Linotype" w:hAnsi="Palatino Linotype" w:cs="Arial"/>
          <w:bCs/>
        </w:rPr>
        <w:t xml:space="preserve">otro lado, de la revisión al  expediente electrónico contenido en el sistema </w:t>
      </w:r>
      <w:r w:rsidRPr="00654417">
        <w:rPr>
          <w:rFonts w:ascii="Palatino Linotype" w:hAnsi="Palatino Linotype" w:cs="Arial"/>
          <w:b/>
          <w:bCs/>
        </w:rPr>
        <w:t>SAIMEX,</w:t>
      </w:r>
      <w:r w:rsidRPr="00654417">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654417">
        <w:rPr>
          <w:rFonts w:ascii="Palatino Linotype" w:hAnsi="Palatino Linotype" w:cs="Arial"/>
          <w:b/>
          <w:bCs/>
        </w:rPr>
        <w:t>no señaló su nombre completo, ni se tiene certeza sobre su identidad</w:t>
      </w:r>
      <w:r w:rsidRPr="00654417">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C8548FE" w14:textId="77777777" w:rsidR="00CA183E" w:rsidRPr="00654417" w:rsidRDefault="00CA183E" w:rsidP="00CA183E">
      <w:pPr>
        <w:tabs>
          <w:tab w:val="left" w:pos="426"/>
        </w:tabs>
        <w:spacing w:after="160" w:line="360" w:lineRule="auto"/>
        <w:ind w:right="49"/>
        <w:contextualSpacing/>
        <w:jc w:val="both"/>
        <w:rPr>
          <w:rFonts w:ascii="Palatino Linotype" w:hAnsi="Palatino Linotype" w:cs="Arial"/>
          <w:b/>
          <w:lang w:val="es-ES_tradnl"/>
        </w:rPr>
      </w:pPr>
    </w:p>
    <w:p w14:paraId="004E224D" w14:textId="77777777" w:rsidR="00CA183E" w:rsidRPr="00654417" w:rsidRDefault="00CA183E" w:rsidP="00660AFC">
      <w:pPr>
        <w:numPr>
          <w:ilvl w:val="0"/>
          <w:numId w:val="10"/>
        </w:numPr>
        <w:tabs>
          <w:tab w:val="left" w:pos="426"/>
        </w:tabs>
        <w:spacing w:after="160" w:line="360" w:lineRule="auto"/>
        <w:ind w:left="0" w:right="49" w:firstLine="0"/>
        <w:contextualSpacing/>
        <w:jc w:val="both"/>
        <w:rPr>
          <w:rFonts w:ascii="Palatino Linotype" w:hAnsi="Palatino Linotype" w:cs="Arial"/>
          <w:b/>
          <w:lang w:val="es-ES_tradnl"/>
        </w:rPr>
      </w:pPr>
      <w:r w:rsidRPr="00654417">
        <w:rPr>
          <w:rFonts w:ascii="Palatino Linotype" w:hAnsi="Palatino Linotype" w:cs="Arial"/>
          <w:bCs/>
        </w:rPr>
        <w:lastRenderedPageBreak/>
        <w:t xml:space="preserve">Esto es así, ya que de conformidad con los artículos 6, apartado A, fracciones III y IV de la </w:t>
      </w:r>
      <w:r w:rsidRPr="00654417">
        <w:rPr>
          <w:rFonts w:ascii="Palatino Linotype" w:hAnsi="Palatino Linotype" w:cs="Arial"/>
          <w:b/>
          <w:bCs/>
        </w:rPr>
        <w:t>Constitución Política de los Estados Unidos Mexicanos</w:t>
      </w:r>
      <w:r w:rsidRPr="00654417">
        <w:rPr>
          <w:rFonts w:ascii="Palatino Linotype" w:hAnsi="Palatino Linotype" w:cs="Arial"/>
          <w:bCs/>
        </w:rPr>
        <w:t xml:space="preserve">; 5, párrafos trigésimo, trigésimo primero y trigésimo segundo, fracciones III, IV y V, de la </w:t>
      </w:r>
      <w:r w:rsidRPr="00654417">
        <w:rPr>
          <w:rFonts w:ascii="Palatino Linotype" w:hAnsi="Palatino Linotype" w:cs="Arial"/>
          <w:b/>
          <w:bCs/>
        </w:rPr>
        <w:t>Constitución Política del Estado Libre y Soberano de México</w:t>
      </w:r>
      <w:r w:rsidRPr="00654417">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0869846" w14:textId="77777777" w:rsidR="00CA183E" w:rsidRPr="00654417" w:rsidRDefault="00CA183E" w:rsidP="00CA183E">
      <w:pPr>
        <w:rPr>
          <w:rFonts w:ascii="Palatino Linotype" w:hAnsi="Palatino Linotype" w:cs="Arial"/>
          <w:bCs/>
        </w:rPr>
      </w:pPr>
    </w:p>
    <w:p w14:paraId="568C8707" w14:textId="77777777" w:rsidR="00CA183E" w:rsidRPr="00654417" w:rsidRDefault="00CA183E" w:rsidP="00660AFC">
      <w:pPr>
        <w:numPr>
          <w:ilvl w:val="0"/>
          <w:numId w:val="10"/>
        </w:numPr>
        <w:tabs>
          <w:tab w:val="left" w:pos="426"/>
        </w:tabs>
        <w:spacing w:after="160" w:line="360" w:lineRule="auto"/>
        <w:ind w:left="0" w:right="49" w:firstLine="0"/>
        <w:contextualSpacing/>
        <w:jc w:val="both"/>
        <w:rPr>
          <w:rFonts w:ascii="Palatino Linotype" w:hAnsi="Palatino Linotype" w:cs="Arial"/>
          <w:b/>
          <w:lang w:val="es-ES_tradnl"/>
        </w:rPr>
      </w:pPr>
      <w:r w:rsidRPr="00654417">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824F859" w14:textId="77777777" w:rsidR="00CA183E" w:rsidRPr="00654417" w:rsidRDefault="00CA183E" w:rsidP="00CA183E">
      <w:pPr>
        <w:tabs>
          <w:tab w:val="left" w:pos="426"/>
        </w:tabs>
        <w:spacing w:line="360" w:lineRule="auto"/>
        <w:ind w:right="49"/>
        <w:contextualSpacing/>
        <w:jc w:val="both"/>
        <w:rPr>
          <w:rFonts w:ascii="Palatino Linotype" w:hAnsi="Palatino Linotype" w:cs="Arial"/>
          <w:b/>
        </w:rPr>
      </w:pPr>
    </w:p>
    <w:p w14:paraId="6D58623E" w14:textId="77777777" w:rsidR="00CA183E" w:rsidRPr="00654417" w:rsidRDefault="00CA183E" w:rsidP="00660AFC">
      <w:pPr>
        <w:numPr>
          <w:ilvl w:val="0"/>
          <w:numId w:val="10"/>
        </w:numPr>
        <w:tabs>
          <w:tab w:val="left" w:pos="426"/>
        </w:tabs>
        <w:spacing w:after="160" w:line="360" w:lineRule="auto"/>
        <w:ind w:left="0" w:right="49" w:firstLine="0"/>
        <w:contextualSpacing/>
        <w:jc w:val="both"/>
        <w:rPr>
          <w:rFonts w:ascii="Palatino Linotype" w:hAnsi="Palatino Linotype" w:cs="Arial"/>
          <w:b/>
        </w:rPr>
      </w:pPr>
      <w:r w:rsidRPr="00654417">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72BDE4A6" w14:textId="77777777" w:rsidR="00CA183E" w:rsidRPr="00654417" w:rsidRDefault="00CA183E" w:rsidP="00CA183E">
      <w:pPr>
        <w:tabs>
          <w:tab w:val="left" w:pos="426"/>
        </w:tabs>
        <w:spacing w:line="360" w:lineRule="auto"/>
        <w:ind w:right="49"/>
        <w:contextualSpacing/>
        <w:jc w:val="both"/>
        <w:rPr>
          <w:rFonts w:ascii="Palatino Linotype" w:hAnsi="Palatino Linotype" w:cs="Arial"/>
          <w:b/>
        </w:rPr>
      </w:pPr>
    </w:p>
    <w:p w14:paraId="79F9A585" w14:textId="77777777" w:rsidR="00CA183E" w:rsidRPr="00654417" w:rsidRDefault="00CA183E" w:rsidP="00660AFC">
      <w:pPr>
        <w:numPr>
          <w:ilvl w:val="0"/>
          <w:numId w:val="10"/>
        </w:numPr>
        <w:tabs>
          <w:tab w:val="left" w:pos="426"/>
        </w:tabs>
        <w:spacing w:after="160" w:line="360" w:lineRule="auto"/>
        <w:ind w:left="0" w:right="49" w:firstLine="0"/>
        <w:contextualSpacing/>
        <w:jc w:val="both"/>
        <w:rPr>
          <w:rFonts w:ascii="Palatino Linotype" w:hAnsi="Palatino Linotype" w:cs="Arial"/>
          <w:b/>
        </w:rPr>
      </w:pPr>
      <w:r w:rsidRPr="00654417">
        <w:rPr>
          <w:rFonts w:ascii="Palatino Linotype" w:hAnsi="Palatino Linotype" w:cs="Arial"/>
          <w:bC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94FCAD6" w14:textId="77777777" w:rsidR="00CA183E" w:rsidRPr="00654417" w:rsidRDefault="00CA183E" w:rsidP="00CA183E">
      <w:pPr>
        <w:tabs>
          <w:tab w:val="left" w:pos="426"/>
        </w:tabs>
        <w:spacing w:line="360" w:lineRule="auto"/>
        <w:ind w:right="49"/>
        <w:contextualSpacing/>
        <w:jc w:val="both"/>
        <w:rPr>
          <w:rFonts w:ascii="Palatino Linotype" w:hAnsi="Palatino Linotype" w:cs="Arial"/>
          <w:b/>
        </w:rPr>
      </w:pPr>
    </w:p>
    <w:p w14:paraId="052566C3" w14:textId="77777777" w:rsidR="00CA183E" w:rsidRPr="00654417" w:rsidRDefault="00CA183E" w:rsidP="00660AFC">
      <w:pPr>
        <w:numPr>
          <w:ilvl w:val="0"/>
          <w:numId w:val="10"/>
        </w:numPr>
        <w:tabs>
          <w:tab w:val="left" w:pos="426"/>
        </w:tabs>
        <w:spacing w:after="160" w:line="360" w:lineRule="auto"/>
        <w:ind w:left="0" w:right="49" w:firstLine="0"/>
        <w:contextualSpacing/>
        <w:jc w:val="both"/>
        <w:rPr>
          <w:rFonts w:ascii="Palatino Linotype" w:hAnsi="Palatino Linotype" w:cs="Arial"/>
          <w:b/>
        </w:rPr>
      </w:pPr>
      <w:r w:rsidRPr="00654417">
        <w:rPr>
          <w:rFonts w:ascii="Palatino Linotype" w:hAnsi="Palatino Linotype" w:cs="Arial"/>
          <w:bCs/>
        </w:rPr>
        <w:t xml:space="preserve">Por lo tanto, el nombre de la </w:t>
      </w:r>
      <w:r w:rsidRPr="00654417">
        <w:rPr>
          <w:rFonts w:ascii="Palatino Linotype" w:hAnsi="Palatino Linotype" w:cs="Arial"/>
          <w:b/>
          <w:bCs/>
        </w:rPr>
        <w:t>SOLICITANTE</w:t>
      </w:r>
      <w:r w:rsidRPr="00654417">
        <w:rPr>
          <w:rFonts w:ascii="Palatino Linotype" w:hAnsi="Palatino Linotype" w:cs="Arial"/>
          <w:bCs/>
        </w:rPr>
        <w:t xml:space="preserve"> y subsecuente </w:t>
      </w:r>
      <w:r w:rsidRPr="00654417">
        <w:rPr>
          <w:rFonts w:ascii="Palatino Linotype" w:hAnsi="Palatino Linotype" w:cs="Arial"/>
          <w:b/>
          <w:bCs/>
        </w:rPr>
        <w:t>RECURRENTE</w:t>
      </w:r>
      <w:r w:rsidRPr="00654417">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6AA279F0" w14:textId="77777777" w:rsidR="009322E4" w:rsidRPr="00654417" w:rsidRDefault="009322E4" w:rsidP="009322E4">
      <w:pPr>
        <w:tabs>
          <w:tab w:val="left" w:pos="426"/>
        </w:tabs>
        <w:spacing w:after="160" w:line="360" w:lineRule="auto"/>
        <w:ind w:right="49"/>
        <w:contextualSpacing/>
        <w:jc w:val="both"/>
        <w:rPr>
          <w:rFonts w:ascii="Palatino Linotype" w:hAnsi="Palatino Linotype" w:cs="Arial"/>
          <w:b/>
        </w:rPr>
      </w:pPr>
    </w:p>
    <w:p w14:paraId="06E3F36D" w14:textId="1F208DCA" w:rsidR="00CA183E" w:rsidRPr="00654417" w:rsidRDefault="00D62FF1" w:rsidP="00976C25">
      <w:pPr>
        <w:keepNext/>
        <w:keepLines/>
        <w:spacing w:before="240" w:line="360" w:lineRule="auto"/>
        <w:ind w:right="49"/>
        <w:jc w:val="both"/>
        <w:outlineLvl w:val="0"/>
        <w:rPr>
          <w:rFonts w:ascii="Palatino Linotype" w:eastAsia="Calibri" w:hAnsi="Palatino Linotype" w:cs="Arial"/>
        </w:rPr>
      </w:pPr>
      <w:bookmarkStart w:id="28" w:name="_Toc90319523"/>
      <w:bookmarkStart w:id="29" w:name="_Toc99564201"/>
      <w:bookmarkStart w:id="30" w:name="_Toc99564864"/>
      <w:bookmarkStart w:id="31" w:name="_Toc102070728"/>
      <w:r w:rsidRPr="00654417">
        <w:rPr>
          <w:rFonts w:ascii="Palatino Linotype" w:eastAsia="Calibri" w:hAnsi="Palatino Linotype"/>
          <w:b/>
        </w:rPr>
        <w:t xml:space="preserve">III. </w:t>
      </w:r>
      <w:bookmarkStart w:id="32" w:name="_Toc89964363"/>
      <w:bookmarkStart w:id="33" w:name="_Toc98350362"/>
      <w:bookmarkStart w:id="34" w:name="_Toc67587987"/>
      <w:bookmarkStart w:id="35" w:name="_Toc68804763"/>
      <w:bookmarkEnd w:id="28"/>
      <w:r w:rsidR="00CA183E" w:rsidRPr="00654417">
        <w:rPr>
          <w:rFonts w:ascii="Palatino Linotype" w:eastAsiaTheme="majorEastAsia" w:hAnsi="Palatino Linotype" w:cstheme="majorBidi"/>
          <w:b/>
          <w:color w:val="000000" w:themeColor="text1"/>
          <w:lang w:val="es-MX" w:eastAsia="en-US"/>
        </w:rPr>
        <w:t>De la determinación sobre la procedibilidad del recurso.</w:t>
      </w:r>
      <w:bookmarkEnd w:id="29"/>
      <w:bookmarkEnd w:id="30"/>
      <w:bookmarkEnd w:id="31"/>
      <w:bookmarkEnd w:id="32"/>
      <w:bookmarkEnd w:id="33"/>
      <w:bookmarkEnd w:id="34"/>
      <w:bookmarkEnd w:id="35"/>
      <w:r w:rsidR="00CA183E" w:rsidRPr="00654417">
        <w:rPr>
          <w:rFonts w:ascii="Palatino Linotype" w:eastAsiaTheme="majorEastAsia" w:hAnsi="Palatino Linotype" w:cstheme="majorBidi"/>
          <w:b/>
          <w:color w:val="000000" w:themeColor="text1"/>
          <w:lang w:val="es-MX" w:eastAsia="en-US"/>
        </w:rPr>
        <w:t xml:space="preserve"> </w:t>
      </w:r>
    </w:p>
    <w:p w14:paraId="71FE52FE" w14:textId="77777777" w:rsidR="00CA183E" w:rsidRPr="00654417" w:rsidRDefault="00CA183E" w:rsidP="00CA183E">
      <w:pPr>
        <w:spacing w:line="360" w:lineRule="auto"/>
        <w:rPr>
          <w:rFonts w:ascii="Palatino Linotype" w:hAnsi="Palatino Linotype"/>
          <w:lang w:val="es-MX" w:eastAsia="en-US"/>
        </w:rPr>
      </w:pPr>
    </w:p>
    <w:p w14:paraId="78993703" w14:textId="7678697E" w:rsidR="002C7E93" w:rsidRPr="00654417" w:rsidRDefault="00CA183E" w:rsidP="00660AFC">
      <w:pPr>
        <w:numPr>
          <w:ilvl w:val="0"/>
          <w:numId w:val="10"/>
        </w:numPr>
        <w:spacing w:after="160" w:line="360" w:lineRule="auto"/>
        <w:ind w:left="0" w:right="49" w:firstLine="0"/>
        <w:contextualSpacing/>
        <w:jc w:val="both"/>
        <w:rPr>
          <w:rFonts w:ascii="Palatino Linotype" w:hAnsi="Palatino Linotype"/>
          <w:lang w:val="es-ES_tradnl"/>
        </w:rPr>
      </w:pPr>
      <w:r w:rsidRPr="0065441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6E487CA" w14:textId="77777777" w:rsidR="002F78A1" w:rsidRPr="00654417" w:rsidRDefault="002F78A1" w:rsidP="002F78A1">
      <w:pPr>
        <w:spacing w:after="160" w:line="360" w:lineRule="auto"/>
        <w:ind w:right="49"/>
        <w:contextualSpacing/>
        <w:jc w:val="both"/>
        <w:rPr>
          <w:rFonts w:ascii="Palatino Linotype" w:eastAsia="Calibri" w:hAnsi="Palatino Linotype" w:cs="Arial"/>
          <w:lang w:val="es-ES_tradnl"/>
        </w:rPr>
      </w:pPr>
    </w:p>
    <w:p w14:paraId="2EE4DA98" w14:textId="521BAE90" w:rsidR="00976C25" w:rsidRPr="00654417" w:rsidRDefault="00976C25" w:rsidP="00DE38AF">
      <w:pPr>
        <w:keepNext/>
        <w:keepLines/>
        <w:spacing w:before="240" w:line="259" w:lineRule="auto"/>
        <w:jc w:val="both"/>
        <w:outlineLvl w:val="0"/>
        <w:rPr>
          <w:rFonts w:ascii="Palatino Linotype" w:eastAsia="MS Gothic" w:hAnsi="Palatino Linotype"/>
          <w:b/>
          <w:lang w:val="es-ES_tradnl"/>
        </w:rPr>
      </w:pPr>
      <w:bookmarkStart w:id="36" w:name="_Toc63348474"/>
      <w:bookmarkStart w:id="37" w:name="_Toc67587988"/>
      <w:bookmarkStart w:id="38" w:name="_Toc68804764"/>
      <w:bookmarkStart w:id="39" w:name="_Toc80958959"/>
      <w:bookmarkStart w:id="40" w:name="_Toc97833530"/>
      <w:bookmarkStart w:id="41" w:name="_Toc102070729"/>
      <w:r w:rsidRPr="00654417">
        <w:rPr>
          <w:rFonts w:ascii="Palatino Linotype" w:eastAsia="MS Gothic" w:hAnsi="Palatino Linotype"/>
          <w:b/>
          <w:lang w:val="es-ES_tradnl"/>
        </w:rPr>
        <w:t>TERCERO.</w:t>
      </w:r>
      <w:bookmarkStart w:id="42" w:name="_Toc67587990"/>
      <w:bookmarkStart w:id="43" w:name="_Toc68804766"/>
      <w:bookmarkStart w:id="44" w:name="_Toc455991148"/>
      <w:bookmarkStart w:id="45" w:name="_Toc450120669"/>
      <w:bookmarkStart w:id="46" w:name="_Toc461555896"/>
      <w:bookmarkStart w:id="47" w:name="_Toc462154385"/>
      <w:bookmarkStart w:id="48" w:name="_Toc462660376"/>
      <w:bookmarkStart w:id="49" w:name="_Toc462660687"/>
      <w:bookmarkStart w:id="50" w:name="_Toc462660766"/>
      <w:bookmarkStart w:id="51" w:name="_Toc465264624"/>
      <w:bookmarkStart w:id="52" w:name="_Toc465264870"/>
      <w:bookmarkStart w:id="53" w:name="_Toc465266520"/>
      <w:bookmarkStart w:id="54" w:name="_Toc466302258"/>
      <w:bookmarkStart w:id="55" w:name="_Toc466371866"/>
      <w:bookmarkStart w:id="56" w:name="_Toc466371925"/>
      <w:bookmarkStart w:id="57" w:name="_Toc466377654"/>
      <w:bookmarkStart w:id="58" w:name="_Toc478549736"/>
      <w:bookmarkStart w:id="59" w:name="_Toc478572850"/>
      <w:bookmarkStart w:id="60" w:name="_Toc479238537"/>
      <w:bookmarkEnd w:id="36"/>
      <w:bookmarkEnd w:id="37"/>
      <w:bookmarkEnd w:id="38"/>
      <w:r w:rsidRPr="00654417">
        <w:rPr>
          <w:rFonts w:ascii="Palatino Linotype" w:eastAsia="MS Gothic" w:hAnsi="Palatino Linotype"/>
          <w:b/>
          <w:lang w:val="es-ES_tradnl"/>
        </w:rPr>
        <w:t xml:space="preserve"> </w:t>
      </w:r>
      <w:bookmarkEnd w:id="39"/>
      <w:bookmarkEnd w:id="40"/>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445D54" w:rsidRPr="00654417">
        <w:rPr>
          <w:rFonts w:ascii="Palatino Linotype" w:eastAsia="MS Gothic" w:hAnsi="Palatino Linotype"/>
          <w:b/>
          <w:lang w:val="es-ES_tradnl"/>
        </w:rPr>
        <w:t xml:space="preserve">Del planteamiento de la </w:t>
      </w:r>
      <w:r w:rsidR="00445D54" w:rsidRPr="00654417">
        <w:rPr>
          <w:rFonts w:ascii="Palatino Linotype" w:eastAsia="MS Gothic" w:hAnsi="Palatino Linotype"/>
          <w:b/>
          <w:i/>
          <w:lang w:val="es-ES_tradnl"/>
        </w:rPr>
        <w:t>Litis.</w:t>
      </w:r>
      <w:bookmarkEnd w:id="41"/>
    </w:p>
    <w:p w14:paraId="74A1D7CC" w14:textId="77777777" w:rsidR="00976C25" w:rsidRPr="00654417" w:rsidRDefault="00976C25" w:rsidP="00976C25">
      <w:pPr>
        <w:keepNext/>
        <w:keepLines/>
        <w:spacing w:line="259" w:lineRule="auto"/>
        <w:jc w:val="both"/>
        <w:outlineLvl w:val="0"/>
        <w:rPr>
          <w:rFonts w:ascii="Palatino Linotype" w:eastAsia="MS Mincho" w:hAnsi="Palatino Linotype"/>
          <w:color w:val="2F5496"/>
          <w:lang w:val="es-ES_tradnl"/>
        </w:rPr>
      </w:pPr>
      <w:bookmarkStart w:id="61" w:name="_Toc459174366"/>
      <w:bookmarkStart w:id="62" w:name="_Toc459659884"/>
      <w:bookmarkStart w:id="63" w:name="_Toc461687280"/>
      <w:bookmarkStart w:id="64" w:name="_Toc462771051"/>
      <w:bookmarkStart w:id="65" w:name="_Toc464139201"/>
    </w:p>
    <w:p w14:paraId="7FC9CA80" w14:textId="77777777" w:rsidR="00445D54" w:rsidRPr="00654417" w:rsidRDefault="00445D54" w:rsidP="00660AFC">
      <w:pPr>
        <w:numPr>
          <w:ilvl w:val="0"/>
          <w:numId w:val="10"/>
        </w:numPr>
        <w:spacing w:after="160" w:line="360" w:lineRule="auto"/>
        <w:ind w:left="0" w:firstLine="0"/>
        <w:contextualSpacing/>
        <w:jc w:val="both"/>
        <w:rPr>
          <w:rFonts w:ascii="Palatino Linotype" w:hAnsi="Palatino Linotype"/>
          <w:i/>
          <w:lang w:val="es-ES_tradnl"/>
        </w:rPr>
      </w:pPr>
      <w:r w:rsidRPr="00654417">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654417">
        <w:rPr>
          <w:rFonts w:ascii="Palatino Linotype" w:eastAsia="Calibri" w:hAnsi="Palatino Linotype" w:cs="Arial"/>
        </w:rPr>
        <w:t>Ley de Transparencia y Acceso a la Información Pública del Estado de México y Municipios</w:t>
      </w:r>
      <w:r w:rsidRPr="00654417">
        <w:rPr>
          <w:rFonts w:ascii="Palatino Linotype" w:hAnsi="Palatino Linotype" w:cs="Arial"/>
          <w:lang w:val="es-ES_tradnl"/>
        </w:rPr>
        <w:t xml:space="preserve"> y determinar la confirmación; revocación o modificación; </w:t>
      </w:r>
      <w:r w:rsidRPr="00654417">
        <w:rPr>
          <w:rFonts w:ascii="Palatino Linotype" w:hAnsi="Palatino Linotype" w:cs="Arial"/>
          <w:lang w:val="es-ES_tradnl"/>
        </w:rPr>
        <w:lastRenderedPageBreak/>
        <w:t xml:space="preserve">desechamiento o sobreseimiento; y en su caso ordenar la entrega de la información, respecto a las respuestas o falta de ellas de los Sujetos Obligados. </w:t>
      </w:r>
    </w:p>
    <w:p w14:paraId="7B6A938C" w14:textId="77777777" w:rsidR="00445D54" w:rsidRPr="00654417" w:rsidRDefault="00445D54" w:rsidP="00445D54">
      <w:pPr>
        <w:spacing w:line="360" w:lineRule="auto"/>
        <w:contextualSpacing/>
        <w:jc w:val="both"/>
        <w:rPr>
          <w:rFonts w:ascii="Palatino Linotype" w:hAnsi="Palatino Linotype"/>
          <w:i/>
          <w:lang w:val="es-ES_tradnl"/>
        </w:rPr>
      </w:pPr>
    </w:p>
    <w:p w14:paraId="42AB5639" w14:textId="438F2663" w:rsidR="00445D54" w:rsidRPr="00654417" w:rsidRDefault="00445D54" w:rsidP="00BE4666">
      <w:pPr>
        <w:numPr>
          <w:ilvl w:val="0"/>
          <w:numId w:val="10"/>
        </w:numPr>
        <w:spacing w:after="160" w:line="360" w:lineRule="auto"/>
        <w:ind w:left="0" w:firstLine="0"/>
        <w:contextualSpacing/>
        <w:jc w:val="both"/>
        <w:rPr>
          <w:rFonts w:ascii="Palatino Linotype" w:hAnsi="Palatino Linotype"/>
          <w:i/>
          <w:lang w:val="es-ES_tradnl"/>
        </w:rPr>
      </w:pPr>
      <w:r w:rsidRPr="00654417">
        <w:rPr>
          <w:rFonts w:ascii="Palatino Linotype" w:eastAsia="MS Mincho" w:hAnsi="Palatino Linotype"/>
          <w:lang w:val="es-ES_tradnl"/>
        </w:rPr>
        <w:t>De las constancias en el expediente al rubro indicado, se desprende que el particular solicitó acceso a información relacionada</w:t>
      </w:r>
      <w:r w:rsidR="00FC1BD1" w:rsidRPr="00654417">
        <w:rPr>
          <w:rFonts w:ascii="Palatino Linotype" w:eastAsia="MS Mincho" w:hAnsi="Palatino Linotype"/>
          <w:lang w:val="es-ES_tradnl"/>
        </w:rPr>
        <w:t xml:space="preserve"> con </w:t>
      </w:r>
      <w:r w:rsidR="00BE4666" w:rsidRPr="00654417">
        <w:rPr>
          <w:rFonts w:ascii="Palatino Linotype" w:eastAsia="MS Mincho" w:hAnsi="Palatino Linotype"/>
          <w:lang w:val="es-ES_tradnl"/>
        </w:rPr>
        <w:t>las acciones realizadas para difundir a los contribuyentes sus obligaciones</w:t>
      </w:r>
      <w:r w:rsidR="00FC1BD1" w:rsidRPr="00654417">
        <w:rPr>
          <w:rFonts w:ascii="Palatino Linotype" w:eastAsia="MS Mincho" w:hAnsi="Palatino Linotype"/>
          <w:lang w:val="es-ES_tradnl"/>
        </w:rPr>
        <w:t>, requerimiento</w:t>
      </w:r>
      <w:r w:rsidRPr="00654417">
        <w:rPr>
          <w:rFonts w:ascii="Palatino Linotype" w:eastAsia="MS Mincho" w:hAnsi="Palatino Linotype"/>
          <w:lang w:val="es-ES_tradnl"/>
        </w:rPr>
        <w:t xml:space="preserve">, </w:t>
      </w:r>
      <w:r w:rsidR="00FC1BD1" w:rsidRPr="00654417">
        <w:rPr>
          <w:rFonts w:ascii="Palatino Linotype" w:eastAsia="MS Mincho" w:hAnsi="Palatino Linotype"/>
          <w:lang w:val="es-ES_tradnl"/>
        </w:rPr>
        <w:t>al</w:t>
      </w:r>
      <w:r w:rsidR="00BE4666" w:rsidRPr="00654417">
        <w:rPr>
          <w:rFonts w:ascii="Palatino Linotype" w:eastAsia="MS Mincho" w:hAnsi="Palatino Linotype"/>
          <w:lang w:val="es-ES_tradnl"/>
        </w:rPr>
        <w:t xml:space="preserve"> que se respondió a través del Coordinador de Comunicación Social</w:t>
      </w:r>
      <w:r w:rsidRPr="00654417">
        <w:rPr>
          <w:rFonts w:ascii="Palatino Linotype" w:eastAsia="MS Mincho" w:hAnsi="Palatino Linotype"/>
          <w:lang w:val="es-ES_tradnl"/>
        </w:rPr>
        <w:t xml:space="preserve">, </w:t>
      </w:r>
      <w:r w:rsidR="00BE4666" w:rsidRPr="00654417">
        <w:rPr>
          <w:rFonts w:ascii="Palatino Linotype" w:eastAsia="MS Mincho" w:hAnsi="Palatino Linotype"/>
          <w:lang w:val="es-ES_tradnl"/>
        </w:rPr>
        <w:t xml:space="preserve">realizando entrega de la publicidad empleada para que los contribuyentes tengan conocimiento de las acciones desarrolladas por el ayuntamiento para promover el cumplimiento de las obligaciones del contribuyente. </w:t>
      </w:r>
    </w:p>
    <w:p w14:paraId="4217A5FE" w14:textId="77777777" w:rsidR="00445D54" w:rsidRPr="00654417" w:rsidRDefault="00445D54" w:rsidP="00445D54">
      <w:pPr>
        <w:jc w:val="both"/>
        <w:rPr>
          <w:rFonts w:ascii="Palatino Linotype" w:eastAsia="MS Mincho" w:hAnsi="Palatino Linotype"/>
          <w:lang w:val="es-ES_tradnl"/>
        </w:rPr>
      </w:pPr>
    </w:p>
    <w:p w14:paraId="2047E096" w14:textId="77777777" w:rsidR="00445D54" w:rsidRPr="00654417" w:rsidRDefault="00445D54" w:rsidP="00660AFC">
      <w:pPr>
        <w:numPr>
          <w:ilvl w:val="0"/>
          <w:numId w:val="10"/>
        </w:numPr>
        <w:spacing w:after="160" w:line="360" w:lineRule="auto"/>
        <w:ind w:left="0" w:firstLine="0"/>
        <w:contextualSpacing/>
        <w:jc w:val="both"/>
        <w:rPr>
          <w:rFonts w:ascii="Palatino Linotype" w:hAnsi="Palatino Linotype"/>
          <w:i/>
          <w:lang w:val="es-ES_tradnl"/>
        </w:rPr>
      </w:pPr>
      <w:r w:rsidRPr="00654417">
        <w:rPr>
          <w:rFonts w:ascii="Palatino Linotype" w:eastAsia="MS Mincho" w:hAnsi="Palatino Linotype"/>
          <w:lang w:val="es-ES_tradnl"/>
        </w:rPr>
        <w:t xml:space="preserve">En ese sentido, el agravio del recurrente consiste en que la respuesta proporcionada por el </w:t>
      </w:r>
      <w:r w:rsidRPr="00654417">
        <w:rPr>
          <w:rFonts w:ascii="Palatino Linotype" w:eastAsia="MS Mincho" w:hAnsi="Palatino Linotype"/>
          <w:b/>
          <w:lang w:val="es-ES_tradnl"/>
        </w:rPr>
        <w:t>SUJETO OBLIGADO</w:t>
      </w:r>
      <w:r w:rsidRPr="00654417">
        <w:rPr>
          <w:rFonts w:ascii="Palatino Linotype" w:eastAsia="MS Mincho" w:hAnsi="Palatino Linotype"/>
          <w:lang w:val="es-ES_tradnl"/>
        </w:rPr>
        <w:t xml:space="preserve"> no garantizó el principio contenido en el artículo 11 de la Ley de Transparencia y Acceso a la Información Pública del Estado de México y Municipios, el cual señala que en la generación, publicación y entrega de información se deberá garantizar que sea congruente y confiable. </w:t>
      </w:r>
    </w:p>
    <w:p w14:paraId="007F8FC5" w14:textId="77777777" w:rsidR="00445D54" w:rsidRPr="00654417" w:rsidRDefault="00445D54" w:rsidP="00445D54">
      <w:pPr>
        <w:contextualSpacing/>
        <w:jc w:val="both"/>
        <w:rPr>
          <w:rFonts w:ascii="Palatino Linotype" w:eastAsia="MS Mincho" w:hAnsi="Palatino Linotype"/>
          <w:lang w:val="es-ES_tradnl"/>
        </w:rPr>
      </w:pPr>
    </w:p>
    <w:p w14:paraId="38BB31AA" w14:textId="77777777" w:rsidR="00445D54" w:rsidRPr="00654417" w:rsidRDefault="00445D54" w:rsidP="00660AFC">
      <w:pPr>
        <w:numPr>
          <w:ilvl w:val="0"/>
          <w:numId w:val="10"/>
        </w:numPr>
        <w:spacing w:after="160" w:line="360" w:lineRule="auto"/>
        <w:ind w:left="0" w:firstLine="0"/>
        <w:contextualSpacing/>
        <w:jc w:val="both"/>
        <w:rPr>
          <w:rFonts w:ascii="Palatino Linotype" w:hAnsi="Palatino Linotype"/>
          <w:i/>
          <w:lang w:val="es-ES_tradnl"/>
        </w:rPr>
      </w:pPr>
      <w:r w:rsidRPr="00654417">
        <w:rPr>
          <w:rFonts w:ascii="Palatino Linotype" w:eastAsia="MS Mincho" w:hAnsi="Palatino Linotype"/>
          <w:lang w:val="es-ES_tradnl"/>
        </w:rPr>
        <w:t xml:space="preserve">Por lo que de este modo, el presente recurso de revisión se circunscribe a determinar si el </w:t>
      </w:r>
      <w:r w:rsidRPr="00654417">
        <w:rPr>
          <w:rFonts w:ascii="Palatino Linotype" w:eastAsia="MS Mincho" w:hAnsi="Palatino Linotype"/>
          <w:b/>
          <w:lang w:val="es-ES_tradnl"/>
        </w:rPr>
        <w:t>SUJETO OBLIGADO</w:t>
      </w:r>
      <w:r w:rsidRPr="00654417">
        <w:rPr>
          <w:rFonts w:ascii="Palatino Linotype" w:eastAsia="MS Mincho" w:hAnsi="Palatino Linotype"/>
          <w:lang w:val="es-ES_tradnl"/>
        </w:rPr>
        <w:t xml:space="preserve"> con las manifestaciones realizadas, vulnera el derecho de acceso a la información accionado por el particular actualizando las causales de procedencia previstas en el artículo 179 fracción VI y XIII</w:t>
      </w:r>
      <w:r w:rsidRPr="00654417">
        <w:rPr>
          <w:rFonts w:ascii="Palatino Linotype" w:eastAsia="MS Mincho" w:hAnsi="Palatino Linotype"/>
          <w:vertAlign w:val="superscript"/>
          <w:lang w:val="es-ES_tradnl"/>
        </w:rPr>
        <w:footnoteReference w:id="1"/>
      </w:r>
      <w:r w:rsidRPr="00654417">
        <w:rPr>
          <w:rFonts w:ascii="Palatino Linotype" w:eastAsia="MS Mincho" w:hAnsi="Palatino Linotype"/>
          <w:lang w:val="es-ES_tradnl"/>
        </w:rPr>
        <w:t xml:space="preserve"> de la Ley de Transparencia y Acceso a la Información del Estado de México y Municipios.</w:t>
      </w:r>
    </w:p>
    <w:p w14:paraId="3C41EA94" w14:textId="77777777" w:rsidR="00DE38AF" w:rsidRPr="00654417" w:rsidRDefault="00DE38AF" w:rsidP="00976C25">
      <w:pPr>
        <w:keepNext/>
        <w:keepLines/>
        <w:spacing w:line="259" w:lineRule="auto"/>
        <w:jc w:val="both"/>
        <w:outlineLvl w:val="0"/>
        <w:rPr>
          <w:rFonts w:ascii="Palatino Linotype" w:eastAsia="MS Gothic" w:hAnsi="Palatino Linotype"/>
          <w:b/>
          <w:lang w:val="es-ES_tradnl"/>
        </w:rPr>
      </w:pPr>
    </w:p>
    <w:p w14:paraId="5186AF67" w14:textId="77777777" w:rsidR="00445D54" w:rsidRPr="00654417" w:rsidRDefault="00445D54" w:rsidP="00976C25">
      <w:pPr>
        <w:keepNext/>
        <w:keepLines/>
        <w:spacing w:line="259" w:lineRule="auto"/>
        <w:jc w:val="both"/>
        <w:outlineLvl w:val="0"/>
        <w:rPr>
          <w:rFonts w:ascii="Palatino Linotype" w:eastAsia="MS Gothic" w:hAnsi="Palatino Linotype"/>
          <w:b/>
          <w:lang w:val="es-ES_tradnl"/>
        </w:rPr>
      </w:pPr>
    </w:p>
    <w:p w14:paraId="03CAD940" w14:textId="77777777" w:rsidR="00445D54" w:rsidRPr="00654417" w:rsidRDefault="00445D54" w:rsidP="00445D54">
      <w:pPr>
        <w:keepNext/>
        <w:keepLines/>
        <w:spacing w:line="259" w:lineRule="auto"/>
        <w:jc w:val="both"/>
        <w:outlineLvl w:val="0"/>
        <w:rPr>
          <w:rFonts w:ascii="Palatino Linotype" w:eastAsia="MS Gothic" w:hAnsi="Palatino Linotype"/>
          <w:b/>
          <w:lang w:val="es-ES_tradnl"/>
        </w:rPr>
      </w:pPr>
      <w:bookmarkStart w:id="66" w:name="_Toc80958960"/>
      <w:bookmarkStart w:id="67" w:name="_Toc97833531"/>
      <w:bookmarkStart w:id="68" w:name="_Toc98439409"/>
      <w:bookmarkStart w:id="69" w:name="_Toc102070730"/>
      <w:r w:rsidRPr="00654417">
        <w:rPr>
          <w:rFonts w:ascii="Palatino Linotype" w:eastAsia="MS Gothic" w:hAnsi="Palatino Linotype"/>
          <w:b/>
          <w:lang w:val="es-ES_tradnl"/>
        </w:rPr>
        <w:t>CUARTO. Estudio y Resolución del asunto.</w:t>
      </w:r>
      <w:bookmarkEnd w:id="66"/>
      <w:bookmarkEnd w:id="67"/>
      <w:bookmarkEnd w:id="68"/>
      <w:bookmarkEnd w:id="69"/>
    </w:p>
    <w:p w14:paraId="3703D24B" w14:textId="77777777" w:rsidR="00445D54" w:rsidRPr="00654417" w:rsidRDefault="00445D54" w:rsidP="00976C25">
      <w:pPr>
        <w:keepNext/>
        <w:keepLines/>
        <w:spacing w:line="259" w:lineRule="auto"/>
        <w:jc w:val="both"/>
        <w:outlineLvl w:val="0"/>
        <w:rPr>
          <w:rFonts w:ascii="Palatino Linotype" w:eastAsia="MS Gothic" w:hAnsi="Palatino Linotype"/>
          <w:b/>
          <w:lang w:val="es-ES_tradnl"/>
        </w:rPr>
      </w:pPr>
    </w:p>
    <w:p w14:paraId="28A752DA" w14:textId="77777777" w:rsidR="00445D54" w:rsidRPr="00654417" w:rsidRDefault="00445D54" w:rsidP="00976C25">
      <w:pPr>
        <w:keepNext/>
        <w:keepLines/>
        <w:spacing w:line="259" w:lineRule="auto"/>
        <w:jc w:val="both"/>
        <w:outlineLvl w:val="0"/>
        <w:rPr>
          <w:rFonts w:ascii="Palatino Linotype" w:eastAsia="MS Gothic" w:hAnsi="Palatino Linotype"/>
          <w:b/>
          <w:lang w:val="es-ES_tradnl"/>
        </w:rPr>
      </w:pPr>
    </w:p>
    <w:p w14:paraId="35B9B13C" w14:textId="77777777" w:rsidR="002F4680" w:rsidRPr="00654417" w:rsidRDefault="002F4680" w:rsidP="00660AFC">
      <w:pPr>
        <w:pStyle w:val="Prrafodelista"/>
        <w:numPr>
          <w:ilvl w:val="0"/>
          <w:numId w:val="10"/>
        </w:numPr>
        <w:spacing w:line="360" w:lineRule="auto"/>
        <w:ind w:left="0" w:firstLine="0"/>
        <w:jc w:val="both"/>
        <w:rPr>
          <w:rFonts w:ascii="Palatino Linotype" w:eastAsia="MS Mincho" w:hAnsi="Palatino Linotype" w:cs="Arial"/>
          <w:lang w:val="es-MX"/>
        </w:rPr>
      </w:pPr>
      <w:r w:rsidRPr="00654417">
        <w:rPr>
          <w:rFonts w:ascii="Palatino Linotype" w:eastAsia="MS Mincho" w:hAnsi="Palatino Linotype" w:cs="Arial"/>
          <w:lang w:val="es-MX"/>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con respecto a la respuesta emitida por el </w:t>
      </w:r>
      <w:r w:rsidRPr="00654417">
        <w:rPr>
          <w:rFonts w:ascii="Palatino Linotype" w:eastAsia="MS Mincho" w:hAnsi="Palatino Linotype" w:cs="Arial"/>
          <w:b/>
          <w:lang w:val="es-MX"/>
        </w:rPr>
        <w:t>SUJETO OBLIGADO</w:t>
      </w:r>
      <w:r w:rsidRPr="00654417">
        <w:rPr>
          <w:rFonts w:ascii="Palatino Linotype" w:eastAsia="MS Mincho" w:hAnsi="Palatino Linotype" w:cs="Arial"/>
          <w:lang w:val="es-MX"/>
        </w:rPr>
        <w:t>.</w:t>
      </w:r>
    </w:p>
    <w:p w14:paraId="7E222DBA" w14:textId="77777777" w:rsidR="002F4680" w:rsidRPr="00654417" w:rsidRDefault="002F4680" w:rsidP="002F4680">
      <w:pPr>
        <w:spacing w:after="160" w:line="360" w:lineRule="auto"/>
        <w:contextualSpacing/>
        <w:jc w:val="both"/>
        <w:rPr>
          <w:rFonts w:ascii="Palatino Linotype" w:eastAsia="MS Mincho" w:hAnsi="Palatino Linotype" w:cs="Arial"/>
          <w:i/>
          <w:lang w:val="es-MX"/>
        </w:rPr>
      </w:pPr>
    </w:p>
    <w:p w14:paraId="3C34628D" w14:textId="59E0C1A5" w:rsidR="00F86A78" w:rsidRPr="00654417" w:rsidRDefault="002F4680" w:rsidP="00F86A78">
      <w:pPr>
        <w:numPr>
          <w:ilvl w:val="0"/>
          <w:numId w:val="10"/>
        </w:numPr>
        <w:spacing w:after="160" w:line="360" w:lineRule="auto"/>
        <w:ind w:left="0" w:right="51" w:firstLine="0"/>
        <w:contextualSpacing/>
        <w:jc w:val="both"/>
        <w:rPr>
          <w:rFonts w:ascii="Palatino Linotype" w:eastAsia="MS Mincho" w:hAnsi="Palatino Linotype"/>
          <w:color w:val="000000"/>
          <w:lang w:val="es-ES_tradnl"/>
        </w:rPr>
      </w:pPr>
      <w:r w:rsidRPr="00654417">
        <w:rPr>
          <w:rFonts w:ascii="Palatino Linotype" w:eastAsia="MS Mincho" w:hAnsi="Palatino Linotype" w:cs="Arial"/>
          <w:lang w:val="es-MX"/>
        </w:rPr>
        <w:t xml:space="preserve">En esa razón y como ya fuera </w:t>
      </w:r>
      <w:r w:rsidR="00976C25" w:rsidRPr="00654417">
        <w:rPr>
          <w:rFonts w:ascii="Palatino Linotype" w:eastAsia="MS Mincho" w:hAnsi="Palatino Linotype" w:cs="Arial"/>
          <w:lang w:val="es-MX"/>
        </w:rPr>
        <w:t xml:space="preserve">expuesto en el apartado de </w:t>
      </w:r>
      <w:r w:rsidR="00976C25" w:rsidRPr="00654417">
        <w:rPr>
          <w:rFonts w:ascii="Palatino Linotype" w:eastAsia="MS Mincho" w:hAnsi="Palatino Linotype" w:cs="Arial"/>
          <w:i/>
          <w:lang w:val="es-MX"/>
        </w:rPr>
        <w:t>Antecedentes</w:t>
      </w:r>
      <w:r w:rsidR="00976C25" w:rsidRPr="00654417">
        <w:rPr>
          <w:rFonts w:ascii="Palatino Linotype" w:eastAsia="MS Mincho" w:hAnsi="Palatino Linotype" w:cs="Arial"/>
          <w:lang w:val="es-MX"/>
        </w:rPr>
        <w:t xml:space="preserve"> de la presente resolución, el particular solicitó al </w:t>
      </w:r>
      <w:r w:rsidR="00BE4666" w:rsidRPr="00654417">
        <w:rPr>
          <w:rFonts w:ascii="Palatino Linotype" w:eastAsia="MS Mincho" w:hAnsi="Palatino Linotype" w:cs="Arial"/>
          <w:b/>
          <w:lang w:val="es-MX"/>
        </w:rPr>
        <w:t>Ayuntamiento de Metepec</w:t>
      </w:r>
      <w:r w:rsidR="00BE4666" w:rsidRPr="00654417">
        <w:rPr>
          <w:rFonts w:ascii="Palatino Linotype" w:eastAsia="MS Mincho" w:hAnsi="Palatino Linotype" w:cs="Arial"/>
          <w:lang w:val="es-MX"/>
        </w:rPr>
        <w:t xml:space="preserve"> acceso a las documentales por medio de las cuales se promueve </w:t>
      </w:r>
      <w:r w:rsidR="00821826" w:rsidRPr="00654417">
        <w:rPr>
          <w:rFonts w:ascii="Palatino Linotype" w:eastAsia="MS Mincho" w:hAnsi="Palatino Linotype" w:cs="Arial"/>
          <w:lang w:val="es-MX"/>
        </w:rPr>
        <w:t xml:space="preserve">el cumplimiento de los contribuyentes, así, </w:t>
      </w:r>
      <w:bookmarkStart w:id="70" w:name="_Toc466371865"/>
      <w:bookmarkStart w:id="71" w:name="_Toc466377653"/>
      <w:bookmarkEnd w:id="61"/>
      <w:bookmarkEnd w:id="62"/>
      <w:bookmarkEnd w:id="63"/>
      <w:bookmarkEnd w:id="64"/>
      <w:bookmarkEnd w:id="65"/>
      <w:r w:rsidR="00976C25" w:rsidRPr="00654417">
        <w:rPr>
          <w:rFonts w:ascii="Palatino Linotype" w:eastAsia="MS Mincho" w:hAnsi="Palatino Linotype"/>
          <w:color w:val="000000"/>
          <w:lang w:val="es-ES_tradnl"/>
        </w:rPr>
        <w:t xml:space="preserve">el </w:t>
      </w:r>
      <w:r w:rsidR="00976C25" w:rsidRPr="00654417">
        <w:rPr>
          <w:rFonts w:ascii="Palatino Linotype" w:eastAsia="MS Mincho" w:hAnsi="Palatino Linotype"/>
          <w:b/>
          <w:color w:val="000000"/>
          <w:lang w:val="es-ES_tradnl"/>
        </w:rPr>
        <w:t>SUJETO OBLIGADO</w:t>
      </w:r>
      <w:r w:rsidR="00976C25" w:rsidRPr="00654417">
        <w:rPr>
          <w:rFonts w:ascii="Palatino Linotype" w:eastAsia="MS Mincho" w:hAnsi="Palatino Linotype"/>
          <w:color w:val="000000"/>
          <w:lang w:val="es-ES_tradnl"/>
        </w:rPr>
        <w:t xml:space="preserve">, a través de su respuesta, </w:t>
      </w:r>
      <w:r w:rsidR="00821826" w:rsidRPr="00654417">
        <w:rPr>
          <w:rFonts w:ascii="Palatino Linotype" w:eastAsia="MS Mincho" w:hAnsi="Palatino Linotype"/>
          <w:color w:val="000000"/>
          <w:lang w:val="es-ES_tradnl"/>
        </w:rPr>
        <w:t xml:space="preserve">realizó entrega del </w:t>
      </w:r>
      <w:r w:rsidR="00976C25" w:rsidRPr="00654417">
        <w:rPr>
          <w:rFonts w:ascii="Palatino Linotype" w:eastAsia="MS Mincho" w:hAnsi="Palatino Linotype"/>
          <w:b/>
          <w:color w:val="000000"/>
          <w:lang w:val="es-ES_tradnl"/>
        </w:rPr>
        <w:t>RECURRENTE</w:t>
      </w:r>
      <w:r w:rsidR="00821826" w:rsidRPr="00654417">
        <w:rPr>
          <w:rFonts w:ascii="Palatino Linotype" w:eastAsia="MS Mincho" w:hAnsi="Palatino Linotype"/>
          <w:color w:val="000000"/>
          <w:lang w:val="es-ES_tradnl"/>
        </w:rPr>
        <w:t xml:space="preserve"> a través de la Coordinación de Comunicación Social del documento publicitario por medio del cual se incentiva la contribución del impuesto predial</w:t>
      </w:r>
      <w:r w:rsidR="00F86A78" w:rsidRPr="00654417">
        <w:rPr>
          <w:rFonts w:ascii="Palatino Linotype" w:eastAsia="MS Mincho" w:hAnsi="Palatino Linotype"/>
          <w:color w:val="000000"/>
          <w:lang w:val="es-ES_tradnl"/>
        </w:rPr>
        <w:t xml:space="preserve"> como acto de gobierno</w:t>
      </w:r>
      <w:r w:rsidR="00976C25" w:rsidRPr="00654417">
        <w:rPr>
          <w:rFonts w:ascii="Palatino Linotype" w:eastAsia="MS Mincho" w:hAnsi="Palatino Linotype"/>
          <w:color w:val="000000"/>
          <w:lang w:val="es-ES_tradnl"/>
        </w:rPr>
        <w:t>, no obstante</w:t>
      </w:r>
      <w:r w:rsidR="00976C25" w:rsidRPr="00654417">
        <w:rPr>
          <w:rFonts w:ascii="Palatino Linotype" w:eastAsia="MS Mincho" w:hAnsi="Palatino Linotype" w:cs="Arial"/>
          <w:lang w:val="es-ES_tradnl"/>
        </w:rPr>
        <w:t>, con la finalidad de otorgar una mayor certidumbre al particular, se procede a delimitar la esfera de competencia y atribuciones, siguiendo los principios de certeza, eficacia y legalidad, mismos que se encuentran descritos en el artículo 9</w:t>
      </w:r>
      <w:r w:rsidR="00976C25" w:rsidRPr="00654417">
        <w:rPr>
          <w:rFonts w:ascii="Palatino Linotype" w:eastAsia="MS Mincho" w:hAnsi="Palatino Linotype" w:cs="Arial"/>
          <w:vertAlign w:val="superscript"/>
          <w:lang w:val="es-ES_tradnl"/>
        </w:rPr>
        <w:footnoteReference w:id="2"/>
      </w:r>
      <w:r w:rsidR="00976C25" w:rsidRPr="00654417">
        <w:rPr>
          <w:rFonts w:ascii="Palatino Linotype" w:eastAsia="MS Mincho" w:hAnsi="Palatino Linotype" w:cs="Arial"/>
          <w:lang w:val="es-ES_tradnl"/>
        </w:rPr>
        <w:t xml:space="preserve">, fracciones I, II y VI de la Ley </w:t>
      </w:r>
      <w:r w:rsidR="00976C25" w:rsidRPr="00654417">
        <w:rPr>
          <w:rFonts w:ascii="Palatino Linotype" w:eastAsia="MS Mincho" w:hAnsi="Palatino Linotype" w:cs="Arial"/>
          <w:lang w:val="es-ES_tradnl"/>
        </w:rPr>
        <w:lastRenderedPageBreak/>
        <w:t>de Transparencia y Acceso a la Información Pública del Estado de México y Municipios.</w:t>
      </w:r>
    </w:p>
    <w:p w14:paraId="31F9855A" w14:textId="77777777" w:rsidR="00BB1159" w:rsidRPr="00654417" w:rsidRDefault="00BB1159" w:rsidP="00BB1159">
      <w:pPr>
        <w:spacing w:after="160" w:line="360" w:lineRule="auto"/>
        <w:ind w:right="51"/>
        <w:contextualSpacing/>
        <w:jc w:val="both"/>
        <w:rPr>
          <w:rFonts w:ascii="Palatino Linotype" w:eastAsia="MS Mincho" w:hAnsi="Palatino Linotype"/>
          <w:color w:val="000000"/>
          <w:lang w:val="es-ES_tradnl"/>
        </w:rPr>
      </w:pPr>
    </w:p>
    <w:p w14:paraId="664AB4CF" w14:textId="77777777" w:rsidR="00F86A78" w:rsidRPr="00654417" w:rsidRDefault="00F86A78" w:rsidP="00F86A78">
      <w:pPr>
        <w:rPr>
          <w:rFonts w:ascii="Palatino Linotype" w:eastAsia="MS Mincho" w:hAnsi="Palatino Linotype" w:cs="Arial"/>
          <w:lang w:val="es-ES_tradnl"/>
        </w:rPr>
      </w:pPr>
    </w:p>
    <w:p w14:paraId="5092B13F" w14:textId="6041BEF9" w:rsidR="00102E4C" w:rsidRPr="00654417" w:rsidRDefault="00976C25" w:rsidP="00602563">
      <w:pPr>
        <w:numPr>
          <w:ilvl w:val="0"/>
          <w:numId w:val="10"/>
        </w:numPr>
        <w:tabs>
          <w:tab w:val="left" w:pos="426"/>
        </w:tabs>
        <w:spacing w:after="160" w:line="360" w:lineRule="auto"/>
        <w:ind w:left="0" w:right="51" w:firstLine="0"/>
        <w:contextualSpacing/>
        <w:jc w:val="both"/>
        <w:rPr>
          <w:rFonts w:ascii="Palatino Linotype" w:eastAsia="MS Mincho" w:hAnsi="Palatino Linotype" w:cs="Arial"/>
          <w:i/>
          <w:lang w:val="es-ES_tradnl"/>
        </w:rPr>
      </w:pPr>
      <w:r w:rsidRPr="00654417">
        <w:rPr>
          <w:rFonts w:ascii="Palatino Linotype" w:eastAsia="MS Mincho" w:hAnsi="Palatino Linotype" w:cs="Arial"/>
          <w:lang w:val="es-ES_tradnl"/>
        </w:rPr>
        <w:t>En ese sentido, por cuanto hace a la</w:t>
      </w:r>
      <w:r w:rsidR="00BB1159" w:rsidRPr="00654417">
        <w:rPr>
          <w:rFonts w:ascii="Palatino Linotype" w:eastAsia="MS Mincho" w:hAnsi="Palatino Linotype" w:cs="Arial"/>
          <w:lang w:val="es-ES_tradnl"/>
        </w:rPr>
        <w:t>s contribuciones recaudas por el Ayuntamiento, si bien la Ley de Ingresos de los Municipios del Estado de México para el Ejercicio Fiscal 2022 señala como ingresos los provenientes por diveross conceptos, dentro de los cuales se destacan Impuestos, Cuotas y Aportaciones de Seguridad S</w:t>
      </w:r>
      <w:r w:rsidR="00602563" w:rsidRPr="00654417">
        <w:rPr>
          <w:rFonts w:ascii="Palatino Linotype" w:eastAsia="MS Mincho" w:hAnsi="Palatino Linotype" w:cs="Arial"/>
          <w:lang w:val="es-ES_tradnl"/>
        </w:rPr>
        <w:t xml:space="preserve">ocial, Contribuciones de Mejoras, Derechos, Productos, Aprovechamientos, Ingresos por Venta de Bienes y Prestación de Servicios, </w:t>
      </w:r>
      <w:r w:rsidR="00BB1159" w:rsidRPr="00654417">
        <w:rPr>
          <w:rFonts w:ascii="Palatino Linotype" w:eastAsia="MS Mincho" w:hAnsi="Palatino Linotype" w:cs="Arial"/>
          <w:lang w:val="es-ES_tradnl"/>
        </w:rPr>
        <w:t xml:space="preserve"> </w:t>
      </w:r>
      <w:r w:rsidR="00602563" w:rsidRPr="00654417">
        <w:rPr>
          <w:rFonts w:ascii="Palatino Linotype" w:eastAsia="MS Mincho" w:hAnsi="Palatino Linotype" w:cs="Arial"/>
          <w:lang w:val="es-ES_tradnl"/>
        </w:rPr>
        <w:t xml:space="preserve">entre otros, </w:t>
      </w:r>
      <w:r w:rsidR="00BB1159" w:rsidRPr="00654417">
        <w:rPr>
          <w:rFonts w:ascii="Palatino Linotype" w:eastAsia="MS Mincho" w:hAnsi="Palatino Linotype" w:cs="Arial"/>
          <w:lang w:val="es-ES_tradnl"/>
        </w:rPr>
        <w:t xml:space="preserve"> lo cierto es que Titular de la Coordinación de Comunicación Social mediante su respuesta señaló que </w:t>
      </w:r>
      <w:r w:rsidR="00BB1159" w:rsidRPr="00654417">
        <w:rPr>
          <w:rFonts w:ascii="Palatino Linotype" w:eastAsia="MS Mincho" w:hAnsi="Palatino Linotype" w:cs="Arial"/>
          <w:i/>
          <w:lang w:val="es-ES_tradnl"/>
        </w:rPr>
        <w:t>“solo cuenta con la difusión de la campaña de pago de predial …”</w:t>
      </w:r>
      <w:r w:rsidR="00602563" w:rsidRPr="00654417">
        <w:rPr>
          <w:rFonts w:ascii="Palatino Linotype" w:eastAsia="MS Mincho" w:hAnsi="Palatino Linotype" w:cs="Arial"/>
          <w:i/>
          <w:lang w:val="es-ES_tradnl"/>
        </w:rPr>
        <w:t>,</w:t>
      </w:r>
      <w:r w:rsidR="00602563" w:rsidRPr="00654417">
        <w:rPr>
          <w:rFonts w:ascii="Palatino Linotype" w:eastAsia="MS Mincho" w:hAnsi="Palatino Linotype" w:cs="Arial"/>
          <w:lang w:val="es-ES_tradnl"/>
        </w:rPr>
        <w:t>a</w:t>
      </w:r>
      <w:r w:rsidR="00BB1159" w:rsidRPr="00654417">
        <w:rPr>
          <w:rFonts w:ascii="Palatino Linotype" w:eastAsia="MS Mincho" w:hAnsi="Palatino Linotype" w:cs="Arial"/>
          <w:lang w:val="es-ES_tradnl"/>
        </w:rPr>
        <w:t xml:space="preserve">sí, y tomando en consideración la </w:t>
      </w:r>
      <w:r w:rsidR="00602563" w:rsidRPr="00654417">
        <w:rPr>
          <w:rFonts w:ascii="Palatino Linotype" w:eastAsia="MS Mincho" w:hAnsi="Palatino Linotype" w:cs="Arial"/>
          <w:lang w:val="es-ES_tradnl"/>
        </w:rPr>
        <w:t xml:space="preserve">respuesta otorgada, </w:t>
      </w:r>
      <w:r w:rsidR="00450E50" w:rsidRPr="00654417">
        <w:rPr>
          <w:rFonts w:ascii="Palatino Linotype" w:eastAsia="MS Mincho" w:hAnsi="Palatino Linotype" w:cs="Arial"/>
          <w:lang w:val="es-ES_tradnl"/>
        </w:rPr>
        <w:t xml:space="preserve">resulta de interés </w:t>
      </w:r>
      <w:r w:rsidR="00102E4C" w:rsidRPr="00654417">
        <w:rPr>
          <w:rFonts w:ascii="Palatino Linotype" w:eastAsia="MS Mincho" w:hAnsi="Palatino Linotype" w:cs="Arial"/>
          <w:lang w:val="es-ES_tradnl"/>
        </w:rPr>
        <w:t xml:space="preserve">el </w:t>
      </w:r>
      <w:r w:rsidR="00821826" w:rsidRPr="00654417">
        <w:rPr>
          <w:rFonts w:ascii="Palatino Linotype" w:eastAsia="MS Mincho" w:hAnsi="Palatino Linotype" w:cs="Arial"/>
          <w:lang w:val="es-ES_tradnl"/>
        </w:rPr>
        <w:t xml:space="preserve">Código Reglamentario Municipal de Metepec, </w:t>
      </w:r>
      <w:r w:rsidR="00160712" w:rsidRPr="00654417">
        <w:rPr>
          <w:rFonts w:ascii="Palatino Linotype" w:eastAsia="MS Mincho" w:hAnsi="Palatino Linotype" w:cs="Arial"/>
          <w:lang w:val="es-ES_tradnl"/>
        </w:rPr>
        <w:t xml:space="preserve">en relación al </w:t>
      </w:r>
      <w:r w:rsidR="00821826" w:rsidRPr="00654417">
        <w:rPr>
          <w:rFonts w:ascii="Palatino Linotype" w:eastAsia="MS Mincho" w:hAnsi="Palatino Linotype" w:cs="Arial"/>
          <w:lang w:val="es-ES_tradnl"/>
        </w:rPr>
        <w:t xml:space="preserve"> </w:t>
      </w:r>
      <w:r w:rsidR="00160712" w:rsidRPr="00654417">
        <w:rPr>
          <w:rFonts w:ascii="Palatino Linotype" w:eastAsia="MS Mincho" w:hAnsi="Palatino Linotype" w:cs="Arial"/>
          <w:lang w:val="es-ES_tradnl"/>
        </w:rPr>
        <w:t>artículo 3.15, fracciones I, II, II</w:t>
      </w:r>
      <w:r w:rsidR="0061355B" w:rsidRPr="00654417">
        <w:rPr>
          <w:rFonts w:ascii="Palatino Linotype" w:eastAsia="MS Mincho" w:hAnsi="Palatino Linotype" w:cs="Arial"/>
          <w:lang w:val="es-ES_tradnl"/>
        </w:rPr>
        <w:t>I</w:t>
      </w:r>
      <w:r w:rsidR="00160712" w:rsidRPr="00654417">
        <w:rPr>
          <w:rFonts w:ascii="Palatino Linotype" w:eastAsia="MS Mincho" w:hAnsi="Palatino Linotype" w:cs="Arial"/>
          <w:lang w:val="es-ES_tradnl"/>
        </w:rPr>
        <w:t xml:space="preserve">, VI y </w:t>
      </w:r>
      <w:r w:rsidR="00102E4C" w:rsidRPr="00654417">
        <w:rPr>
          <w:rFonts w:ascii="Palatino Linotype" w:eastAsia="MS Mincho" w:hAnsi="Palatino Linotype" w:cs="Arial"/>
          <w:lang w:val="es-ES_tradnl"/>
        </w:rPr>
        <w:t>X</w:t>
      </w:r>
      <w:r w:rsidR="00160712" w:rsidRPr="00654417">
        <w:rPr>
          <w:rFonts w:ascii="Palatino Linotype" w:eastAsia="MS Mincho" w:hAnsi="Palatino Linotype" w:cs="Arial"/>
          <w:lang w:val="es-ES_tradnl"/>
        </w:rPr>
        <w:t>I</w:t>
      </w:r>
      <w:r w:rsidR="00102E4C" w:rsidRPr="00654417">
        <w:rPr>
          <w:rFonts w:ascii="Palatino Linotype" w:eastAsia="Calibri" w:hAnsi="Palatino Linotype" w:cs="Tahoma"/>
          <w:bCs/>
          <w:lang w:val="es-ES_tradnl" w:eastAsia="en-US"/>
        </w:rPr>
        <w:t xml:space="preserve">: </w:t>
      </w:r>
    </w:p>
    <w:p w14:paraId="69419DE0" w14:textId="50E9DD52" w:rsidR="00102E4C" w:rsidRPr="00654417" w:rsidRDefault="00102E4C" w:rsidP="00602563">
      <w:pPr>
        <w:tabs>
          <w:tab w:val="left" w:pos="2985"/>
        </w:tabs>
        <w:spacing w:line="360" w:lineRule="auto"/>
        <w:ind w:right="616"/>
        <w:jc w:val="both"/>
        <w:rPr>
          <w:rFonts w:ascii="Palatino Linotype" w:eastAsia="Calibri" w:hAnsi="Palatino Linotype" w:cs="Tahoma"/>
          <w:bCs/>
          <w:i/>
          <w:lang w:eastAsia="en-US"/>
        </w:rPr>
      </w:pPr>
    </w:p>
    <w:p w14:paraId="50FD8214" w14:textId="754C280E" w:rsidR="00160712" w:rsidRPr="00654417" w:rsidRDefault="00160712" w:rsidP="00602563">
      <w:pPr>
        <w:spacing w:line="360" w:lineRule="auto"/>
        <w:ind w:left="567" w:right="618"/>
        <w:jc w:val="both"/>
        <w:rPr>
          <w:rFonts w:ascii="Palatino Linotype" w:eastAsia="Calibri" w:hAnsi="Palatino Linotype" w:cs="Tahoma"/>
          <w:bCs/>
          <w:i/>
          <w:lang w:val="es-ES_tradnl" w:eastAsia="en-US"/>
        </w:rPr>
      </w:pPr>
      <w:r w:rsidRPr="00654417">
        <w:rPr>
          <w:rFonts w:ascii="Palatino Linotype" w:eastAsia="Calibri" w:hAnsi="Palatino Linotype" w:cs="Tahoma"/>
          <w:bCs/>
          <w:i/>
          <w:lang w:val="es-ES_tradnl" w:eastAsia="en-US"/>
        </w:rPr>
        <w:t>“</w:t>
      </w:r>
      <w:r w:rsidRPr="00654417">
        <w:rPr>
          <w:rFonts w:ascii="Palatino Linotype" w:eastAsia="Calibri" w:hAnsi="Palatino Linotype" w:cs="Tahoma"/>
          <w:b/>
          <w:bCs/>
          <w:i/>
          <w:lang w:val="es-ES_tradnl" w:eastAsia="en-US"/>
        </w:rPr>
        <w:t>Artículo 3.15.-</w:t>
      </w:r>
      <w:r w:rsidRPr="00654417">
        <w:rPr>
          <w:rFonts w:ascii="Palatino Linotype" w:eastAsia="Calibri" w:hAnsi="Palatino Linotype" w:cs="Tahoma"/>
          <w:bCs/>
          <w:i/>
          <w:lang w:val="es-ES_tradnl" w:eastAsia="en-US"/>
        </w:rPr>
        <w:t xml:space="preserve"> La Coordinación de Comunicación Social tendrá las atribuciones las siguientes:</w:t>
      </w:r>
    </w:p>
    <w:p w14:paraId="4C86AD62" w14:textId="77777777" w:rsidR="00BB1159" w:rsidRPr="00654417" w:rsidRDefault="00BB1159" w:rsidP="00602563">
      <w:pPr>
        <w:spacing w:line="360" w:lineRule="auto"/>
        <w:ind w:left="567" w:right="618"/>
        <w:jc w:val="both"/>
        <w:rPr>
          <w:rFonts w:ascii="Palatino Linotype" w:eastAsia="Calibri" w:hAnsi="Palatino Linotype" w:cs="Tahoma"/>
          <w:bCs/>
          <w:i/>
          <w:lang w:val="es-ES_tradnl" w:eastAsia="en-US"/>
        </w:rPr>
      </w:pPr>
    </w:p>
    <w:p w14:paraId="5A0F36D8" w14:textId="07EEA9DB" w:rsidR="00160712" w:rsidRPr="00654417" w:rsidRDefault="00160712" w:rsidP="00602563">
      <w:pPr>
        <w:spacing w:line="360" w:lineRule="auto"/>
        <w:ind w:left="567" w:right="616"/>
        <w:jc w:val="both"/>
        <w:rPr>
          <w:rFonts w:ascii="Palatino Linotype" w:eastAsia="Calibri" w:hAnsi="Palatino Linotype" w:cs="Tahoma"/>
          <w:bCs/>
          <w:i/>
          <w:lang w:val="es-ES_tradnl" w:eastAsia="en-US"/>
        </w:rPr>
      </w:pPr>
      <w:r w:rsidRPr="00654417">
        <w:rPr>
          <w:rFonts w:ascii="Palatino Linotype" w:eastAsia="Calibri" w:hAnsi="Palatino Linotype" w:cs="Tahoma"/>
          <w:b/>
          <w:bCs/>
          <w:i/>
          <w:lang w:val="es-ES_tradnl" w:eastAsia="en-US"/>
        </w:rPr>
        <w:lastRenderedPageBreak/>
        <w:t>I. Coordinar la cobertura informativa de giras y e</w:t>
      </w:r>
      <w:r w:rsidR="0061355B" w:rsidRPr="00654417">
        <w:rPr>
          <w:rFonts w:ascii="Palatino Linotype" w:eastAsia="Calibri" w:hAnsi="Palatino Linotype" w:cs="Tahoma"/>
          <w:b/>
          <w:bCs/>
          <w:i/>
          <w:lang w:val="es-ES_tradnl" w:eastAsia="en-US"/>
        </w:rPr>
        <w:t xml:space="preserve">ventos del Ayuntamiento, de las </w:t>
      </w:r>
      <w:r w:rsidRPr="00654417">
        <w:rPr>
          <w:rFonts w:ascii="Palatino Linotype" w:eastAsia="Calibri" w:hAnsi="Palatino Linotype" w:cs="Tahoma"/>
          <w:b/>
          <w:bCs/>
          <w:i/>
          <w:lang w:val="es-ES_tradnl" w:eastAsia="en-US"/>
        </w:rPr>
        <w:t>dependencias y organismos descentralizados y autónomos, que se lleven a cabo dentro y fuera del Municipio</w:t>
      </w:r>
      <w:r w:rsidRPr="00654417">
        <w:rPr>
          <w:rFonts w:ascii="Palatino Linotype" w:eastAsia="Calibri" w:hAnsi="Palatino Linotype" w:cs="Tahoma"/>
          <w:bCs/>
          <w:i/>
          <w:lang w:val="es-ES_tradnl" w:eastAsia="en-US"/>
        </w:rPr>
        <w:t>;</w:t>
      </w:r>
      <w:r w:rsidRPr="00654417">
        <w:rPr>
          <w:rFonts w:ascii="Palatino Linotype" w:eastAsia="Calibri" w:hAnsi="Palatino Linotype" w:cs="Tahoma"/>
          <w:bCs/>
          <w:i/>
          <w:lang w:val="es-ES_tradnl" w:eastAsia="en-US"/>
        </w:rPr>
        <w:tab/>
      </w:r>
    </w:p>
    <w:p w14:paraId="51FF7B38" w14:textId="77777777" w:rsidR="00160712" w:rsidRPr="00654417" w:rsidRDefault="00160712" w:rsidP="00602563">
      <w:pPr>
        <w:spacing w:line="360" w:lineRule="auto"/>
        <w:ind w:left="567" w:right="616"/>
        <w:jc w:val="both"/>
        <w:rPr>
          <w:rFonts w:ascii="Palatino Linotype" w:eastAsia="Calibri" w:hAnsi="Palatino Linotype" w:cs="Tahoma"/>
          <w:b/>
          <w:bCs/>
          <w:i/>
          <w:lang w:val="es-ES_tradnl" w:eastAsia="en-US"/>
        </w:rPr>
      </w:pPr>
      <w:r w:rsidRPr="00654417">
        <w:rPr>
          <w:rFonts w:ascii="Palatino Linotype" w:eastAsia="Calibri" w:hAnsi="Palatino Linotype" w:cs="Tahoma"/>
          <w:b/>
          <w:bCs/>
          <w:i/>
          <w:lang w:val="es-ES_tradnl" w:eastAsia="en-US"/>
        </w:rPr>
        <w:t>II. Elaborar boletines informativos;</w:t>
      </w:r>
    </w:p>
    <w:p w14:paraId="5126F559" w14:textId="77777777" w:rsidR="00160712" w:rsidRPr="00654417" w:rsidRDefault="00160712" w:rsidP="00602563">
      <w:pPr>
        <w:spacing w:line="360" w:lineRule="auto"/>
        <w:ind w:left="567" w:right="616"/>
        <w:jc w:val="both"/>
        <w:rPr>
          <w:rFonts w:ascii="Palatino Linotype" w:eastAsia="Calibri" w:hAnsi="Palatino Linotype" w:cs="Tahoma"/>
          <w:b/>
          <w:bCs/>
          <w:i/>
          <w:lang w:val="es-ES_tradnl" w:eastAsia="en-US"/>
        </w:rPr>
      </w:pPr>
      <w:r w:rsidRPr="00654417">
        <w:rPr>
          <w:rFonts w:ascii="Palatino Linotype" w:eastAsia="Calibri" w:hAnsi="Palatino Linotype" w:cs="Tahoma"/>
          <w:b/>
          <w:bCs/>
          <w:i/>
          <w:lang w:val="es-ES_tradnl" w:eastAsia="en-US"/>
        </w:rPr>
        <w:t>III. Difundir las acciones y actos de gobierno;</w:t>
      </w:r>
    </w:p>
    <w:p w14:paraId="6E77BB9E" w14:textId="30D4A903" w:rsidR="00160712" w:rsidRPr="00654417" w:rsidRDefault="00160712" w:rsidP="00602563">
      <w:pPr>
        <w:spacing w:line="360" w:lineRule="auto"/>
        <w:ind w:left="567" w:right="616"/>
        <w:jc w:val="both"/>
        <w:rPr>
          <w:rFonts w:ascii="Palatino Linotype" w:eastAsia="Calibri" w:hAnsi="Palatino Linotype" w:cs="Tahoma"/>
          <w:bCs/>
          <w:i/>
          <w:lang w:val="es-ES_tradnl" w:eastAsia="en-US"/>
        </w:rPr>
      </w:pPr>
      <w:r w:rsidRPr="00654417">
        <w:rPr>
          <w:rFonts w:ascii="Palatino Linotype" w:eastAsia="Calibri" w:hAnsi="Palatino Linotype" w:cs="Tahoma"/>
          <w:bCs/>
          <w:i/>
          <w:lang w:val="es-ES_tradnl" w:eastAsia="en-US"/>
        </w:rPr>
        <w:t>IV. Elaborar mapas de la influencia de los medios de comunicación por regiones o sectores de la población, para determinar una adecuada estrategia de difusión y jerarquizar su empleo;</w:t>
      </w:r>
    </w:p>
    <w:p w14:paraId="0D108A52" w14:textId="1117BDC1" w:rsidR="00160712" w:rsidRPr="00654417" w:rsidRDefault="00160712" w:rsidP="00602563">
      <w:pPr>
        <w:spacing w:line="360" w:lineRule="auto"/>
        <w:ind w:left="567" w:right="616"/>
        <w:jc w:val="both"/>
        <w:rPr>
          <w:rFonts w:ascii="Palatino Linotype" w:eastAsia="Calibri" w:hAnsi="Palatino Linotype" w:cs="Tahoma"/>
          <w:bCs/>
          <w:i/>
          <w:lang w:val="es-ES_tradnl" w:eastAsia="en-US"/>
        </w:rPr>
      </w:pPr>
      <w:r w:rsidRPr="00654417">
        <w:rPr>
          <w:rFonts w:ascii="Palatino Linotype" w:eastAsia="Calibri" w:hAnsi="Palatino Linotype" w:cs="Tahoma"/>
          <w:bCs/>
          <w:i/>
          <w:lang w:val="es-ES_tradnl" w:eastAsia="en-US"/>
        </w:rPr>
        <w:t>V. Instrumentar una política de relaciones públicas entre la administración municipal y los medios de comunicación;</w:t>
      </w:r>
    </w:p>
    <w:p w14:paraId="197FDAE0" w14:textId="187A5C7A" w:rsidR="00160712" w:rsidRPr="00654417" w:rsidRDefault="00160712" w:rsidP="00602563">
      <w:pPr>
        <w:spacing w:line="360" w:lineRule="auto"/>
        <w:ind w:left="567" w:right="616"/>
        <w:jc w:val="both"/>
        <w:rPr>
          <w:rFonts w:ascii="Palatino Linotype" w:eastAsia="Calibri" w:hAnsi="Palatino Linotype" w:cs="Tahoma"/>
          <w:b/>
          <w:bCs/>
          <w:i/>
          <w:lang w:val="es-ES_tradnl" w:eastAsia="en-US"/>
        </w:rPr>
      </w:pPr>
      <w:r w:rsidRPr="00654417">
        <w:rPr>
          <w:rFonts w:ascii="Palatino Linotype" w:eastAsia="Calibri" w:hAnsi="Palatino Linotype" w:cs="Tahoma"/>
          <w:b/>
          <w:bCs/>
          <w:i/>
          <w:lang w:val="es-ES_tradnl" w:eastAsia="en-US"/>
        </w:rPr>
        <w:t>VI. Priorizar la difusión de aquellos actos y gestiones de gobierno que tengan mayor trascendencia para la vida social y política de Metepec;</w:t>
      </w:r>
    </w:p>
    <w:p w14:paraId="6B7637B0" w14:textId="070EA92B" w:rsidR="00160712" w:rsidRPr="00654417" w:rsidRDefault="00160712" w:rsidP="00602563">
      <w:pPr>
        <w:spacing w:line="360" w:lineRule="auto"/>
        <w:ind w:left="567" w:right="616"/>
        <w:jc w:val="both"/>
        <w:rPr>
          <w:rFonts w:ascii="Palatino Linotype" w:eastAsia="Calibri" w:hAnsi="Palatino Linotype" w:cs="Tahoma"/>
          <w:bCs/>
          <w:i/>
          <w:lang w:val="es-ES_tradnl" w:eastAsia="en-US"/>
        </w:rPr>
      </w:pPr>
      <w:r w:rsidRPr="00654417">
        <w:rPr>
          <w:rFonts w:ascii="Palatino Linotype" w:eastAsia="Calibri" w:hAnsi="Palatino Linotype" w:cs="Tahoma"/>
          <w:bCs/>
          <w:i/>
          <w:lang w:val="es-ES_tradnl" w:eastAsia="en-US"/>
        </w:rPr>
        <w:t>VII. Organizar y sistematizar la información relativa a los actos, ceremonias y conferencias en las que participen las autoridades municipales;</w:t>
      </w:r>
    </w:p>
    <w:p w14:paraId="3143524D" w14:textId="77777777" w:rsidR="00160712" w:rsidRPr="00654417" w:rsidRDefault="00160712" w:rsidP="00602563">
      <w:pPr>
        <w:spacing w:line="360" w:lineRule="auto"/>
        <w:ind w:left="567" w:right="616"/>
        <w:jc w:val="both"/>
        <w:rPr>
          <w:rFonts w:ascii="Palatino Linotype" w:eastAsia="Calibri" w:hAnsi="Palatino Linotype" w:cs="Tahoma"/>
          <w:bCs/>
          <w:i/>
          <w:lang w:val="es-ES_tradnl" w:eastAsia="en-US"/>
        </w:rPr>
      </w:pPr>
      <w:r w:rsidRPr="00654417">
        <w:rPr>
          <w:rFonts w:ascii="Palatino Linotype" w:eastAsia="Calibri" w:hAnsi="Palatino Linotype" w:cs="Tahoma"/>
          <w:bCs/>
          <w:i/>
          <w:lang w:val="es-ES_tradnl" w:eastAsia="en-US"/>
        </w:rPr>
        <w:t>VIII. Definir que los recursos de comunicación social coadyuven en la opinión pública;</w:t>
      </w:r>
    </w:p>
    <w:p w14:paraId="1D6AC0EA" w14:textId="499BC7FE" w:rsidR="00160712" w:rsidRPr="00654417" w:rsidRDefault="00160712" w:rsidP="00602563">
      <w:pPr>
        <w:spacing w:line="360" w:lineRule="auto"/>
        <w:ind w:left="567" w:right="616"/>
        <w:jc w:val="both"/>
        <w:rPr>
          <w:rFonts w:ascii="Palatino Linotype" w:eastAsia="Calibri" w:hAnsi="Palatino Linotype" w:cs="Tahoma"/>
          <w:bCs/>
          <w:i/>
          <w:lang w:val="es-ES_tradnl" w:eastAsia="en-US"/>
        </w:rPr>
      </w:pPr>
      <w:r w:rsidRPr="00654417">
        <w:rPr>
          <w:rFonts w:ascii="Palatino Linotype" w:eastAsia="Calibri" w:hAnsi="Palatino Linotype" w:cs="Tahoma"/>
          <w:bCs/>
          <w:i/>
          <w:lang w:val="es-ES_tradnl" w:eastAsia="en-US"/>
        </w:rPr>
        <w:t>IX. Proporcionar a los medios de comunicación información de las actividades realizadas por las áreas, organismos y entidades de la Administración Pública Municipal;</w:t>
      </w:r>
    </w:p>
    <w:p w14:paraId="23779545" w14:textId="77777777" w:rsidR="00160712" w:rsidRPr="00654417" w:rsidRDefault="00160712" w:rsidP="00602563">
      <w:pPr>
        <w:spacing w:line="360" w:lineRule="auto"/>
        <w:ind w:left="567" w:right="616"/>
        <w:jc w:val="both"/>
        <w:rPr>
          <w:rFonts w:ascii="Palatino Linotype" w:eastAsia="Calibri" w:hAnsi="Palatino Linotype" w:cs="Tahoma"/>
          <w:bCs/>
          <w:i/>
          <w:lang w:val="es-ES_tradnl" w:eastAsia="en-US"/>
        </w:rPr>
      </w:pPr>
      <w:r w:rsidRPr="00654417">
        <w:rPr>
          <w:rFonts w:ascii="Palatino Linotype" w:eastAsia="Calibri" w:hAnsi="Palatino Linotype" w:cs="Tahoma"/>
          <w:bCs/>
          <w:i/>
          <w:lang w:val="es-ES_tradnl" w:eastAsia="en-US"/>
        </w:rPr>
        <w:t>X. Difundir los proyectos, programas y actividades de la o el Presidenta(e);</w:t>
      </w:r>
    </w:p>
    <w:p w14:paraId="3DA63DC0" w14:textId="77777777" w:rsidR="00160712" w:rsidRPr="00654417" w:rsidRDefault="00160712" w:rsidP="00602563">
      <w:pPr>
        <w:spacing w:line="360" w:lineRule="auto"/>
        <w:ind w:left="567" w:right="616"/>
        <w:jc w:val="both"/>
        <w:rPr>
          <w:rFonts w:ascii="Palatino Linotype" w:eastAsia="Calibri" w:hAnsi="Palatino Linotype" w:cs="Tahoma"/>
          <w:b/>
          <w:bCs/>
          <w:i/>
          <w:lang w:val="es-ES_tradnl" w:eastAsia="en-US"/>
        </w:rPr>
      </w:pPr>
      <w:r w:rsidRPr="00654417">
        <w:rPr>
          <w:rFonts w:ascii="Palatino Linotype" w:eastAsia="Calibri" w:hAnsi="Palatino Linotype" w:cs="Tahoma"/>
          <w:b/>
          <w:bCs/>
          <w:i/>
          <w:lang w:val="es-ES_tradnl" w:eastAsia="en-US"/>
        </w:rPr>
        <w:t>XI. Diseñar y producir campañas de difusión de las acciones del Gobierno Municipal; y</w:t>
      </w:r>
    </w:p>
    <w:p w14:paraId="4AE84382" w14:textId="07E4D44F" w:rsidR="00102E4C" w:rsidRPr="00654417" w:rsidRDefault="00160712" w:rsidP="00602563">
      <w:pPr>
        <w:spacing w:line="360" w:lineRule="auto"/>
        <w:ind w:left="567" w:right="616"/>
        <w:jc w:val="both"/>
        <w:rPr>
          <w:rFonts w:ascii="Palatino Linotype" w:eastAsia="Calibri" w:hAnsi="Palatino Linotype" w:cs="Tahoma"/>
          <w:bCs/>
          <w:i/>
          <w:lang w:val="es-ES_tradnl" w:eastAsia="en-US"/>
        </w:rPr>
      </w:pPr>
      <w:r w:rsidRPr="00654417">
        <w:rPr>
          <w:rFonts w:ascii="Palatino Linotype" w:eastAsia="Calibri" w:hAnsi="Palatino Linotype" w:cs="Tahoma"/>
          <w:bCs/>
          <w:i/>
          <w:lang w:val="es-ES_tradnl" w:eastAsia="en-US"/>
        </w:rPr>
        <w:t>XII. Las demás que le señalen otros ordenamientos jurídicos aplicables, o aquellas que la o el Presidenta(e) le confiera.” (Sic)</w:t>
      </w:r>
    </w:p>
    <w:p w14:paraId="65B66E0D" w14:textId="77777777" w:rsidR="00BB1159" w:rsidRPr="00654417" w:rsidRDefault="00BB1159" w:rsidP="00160712">
      <w:pPr>
        <w:spacing w:line="360" w:lineRule="auto"/>
        <w:ind w:left="567" w:right="616"/>
        <w:jc w:val="both"/>
        <w:rPr>
          <w:rFonts w:ascii="Palatino Linotype" w:eastAsia="Calibri" w:hAnsi="Palatino Linotype" w:cs="Tahoma"/>
          <w:bCs/>
          <w:i/>
          <w:lang w:val="es-ES_tradnl" w:eastAsia="en-US"/>
        </w:rPr>
      </w:pPr>
    </w:p>
    <w:p w14:paraId="22A8E6AE" w14:textId="77777777" w:rsidR="00BB1159" w:rsidRPr="00654417" w:rsidRDefault="00BB1159" w:rsidP="00160712">
      <w:pPr>
        <w:spacing w:line="360" w:lineRule="auto"/>
        <w:ind w:left="567" w:right="616"/>
        <w:jc w:val="both"/>
        <w:rPr>
          <w:rFonts w:ascii="Palatino Linotype" w:eastAsia="Calibri" w:hAnsi="Palatino Linotype" w:cs="Tahoma"/>
          <w:bCs/>
          <w:i/>
          <w:lang w:val="es-ES_tradnl" w:eastAsia="en-US"/>
        </w:rPr>
      </w:pPr>
    </w:p>
    <w:p w14:paraId="6086391E" w14:textId="63AD61F5" w:rsidR="00160712" w:rsidRPr="00654417" w:rsidRDefault="00160712" w:rsidP="00160712">
      <w:pPr>
        <w:tabs>
          <w:tab w:val="left" w:pos="426"/>
        </w:tabs>
        <w:spacing w:after="160" w:line="360" w:lineRule="auto"/>
        <w:ind w:right="51"/>
        <w:contextualSpacing/>
        <w:jc w:val="both"/>
        <w:rPr>
          <w:rFonts w:ascii="Palatino Linotype" w:eastAsia="Calibri" w:hAnsi="Palatino Linotype" w:cs="Tahoma"/>
          <w:bCs/>
          <w:i/>
          <w:lang w:val="es-MX" w:eastAsia="en-US"/>
        </w:rPr>
      </w:pPr>
      <w:r w:rsidRPr="00654417">
        <w:rPr>
          <w:rFonts w:ascii="Palatino Linotype" w:eastAsia="Calibri" w:hAnsi="Palatino Linotype" w:cs="Tahoma"/>
          <w:b/>
          <w:bCs/>
          <w:lang w:val="es-ES_tradnl" w:eastAsia="en-US"/>
        </w:rPr>
        <w:t>28</w:t>
      </w:r>
      <w:r w:rsidRPr="00654417">
        <w:rPr>
          <w:rFonts w:ascii="Palatino Linotype" w:eastAsia="Calibri" w:hAnsi="Palatino Linotype" w:cs="Tahoma"/>
          <w:bCs/>
          <w:lang w:val="es-ES_tradnl" w:eastAsia="en-US"/>
        </w:rPr>
        <w:t xml:space="preserve">. En ese sentido, por cuanto hace a la adecuada búsqueda exhaustiva de la información solicitada es necesario traer a contexto el artículo 162 de la Ley de Transparencia y Acceso a la Información Pública del Estado de México y Municipios, mismo que señala que las Unidades de Transparencia deberán garantizar que las solicitudes se turnen a todas las Áreas, que, por razón de su competencia puedan contar con la información solicitada, como a continuación se observa: </w:t>
      </w:r>
    </w:p>
    <w:p w14:paraId="184A232B" w14:textId="77777777" w:rsidR="00160712" w:rsidRPr="00654417" w:rsidRDefault="00160712" w:rsidP="00160712">
      <w:pPr>
        <w:tabs>
          <w:tab w:val="left" w:pos="426"/>
        </w:tabs>
        <w:spacing w:after="160" w:line="360" w:lineRule="auto"/>
        <w:ind w:right="51"/>
        <w:contextualSpacing/>
        <w:jc w:val="both"/>
        <w:rPr>
          <w:rFonts w:ascii="Palatino Linotype" w:eastAsia="Calibri" w:hAnsi="Palatino Linotype" w:cs="Tahoma"/>
          <w:bCs/>
          <w:lang w:val="es-ES_tradnl" w:eastAsia="en-US"/>
        </w:rPr>
      </w:pPr>
    </w:p>
    <w:p w14:paraId="6F33F858" w14:textId="77777777" w:rsidR="00160712" w:rsidRPr="00654417" w:rsidRDefault="00160712" w:rsidP="00160712">
      <w:pPr>
        <w:tabs>
          <w:tab w:val="left" w:pos="426"/>
        </w:tabs>
        <w:spacing w:after="160" w:line="360" w:lineRule="auto"/>
        <w:ind w:left="567" w:right="616"/>
        <w:contextualSpacing/>
        <w:jc w:val="both"/>
        <w:rPr>
          <w:rFonts w:ascii="Palatino Linotype" w:eastAsia="Calibri" w:hAnsi="Palatino Linotype" w:cs="Tahoma"/>
          <w:bCs/>
          <w:i/>
          <w:lang w:val="es-ES_tradnl" w:eastAsia="en-US"/>
        </w:rPr>
      </w:pPr>
      <w:r w:rsidRPr="00654417">
        <w:rPr>
          <w:rFonts w:ascii="Palatino Linotype" w:eastAsia="Calibri" w:hAnsi="Palatino Linotype" w:cs="Tahoma"/>
          <w:bCs/>
          <w:i/>
          <w:lang w:val="es-ES_tradnl" w:eastAsia="en-US"/>
        </w:rPr>
        <w:t xml:space="preserve">   “</w:t>
      </w:r>
      <w:r w:rsidRPr="00654417">
        <w:rPr>
          <w:rFonts w:ascii="Palatino Linotype" w:eastAsia="Calibri" w:hAnsi="Palatino Linotype" w:cs="Tahoma"/>
          <w:b/>
          <w:bCs/>
          <w:i/>
          <w:lang w:eastAsia="en-US"/>
        </w:rPr>
        <w:t>Artículo 162.</w:t>
      </w:r>
      <w:r w:rsidRPr="00654417">
        <w:rPr>
          <w:rFonts w:ascii="Palatino Linotype" w:eastAsia="Calibri" w:hAnsi="Palatino Linotype" w:cs="Tahoma"/>
          <w:bCs/>
          <w:i/>
          <w:lang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37CB2C00" w14:textId="77777777" w:rsidR="00160712" w:rsidRPr="00654417" w:rsidRDefault="00160712" w:rsidP="00160712">
      <w:pPr>
        <w:tabs>
          <w:tab w:val="left" w:pos="426"/>
        </w:tabs>
        <w:spacing w:after="160" w:line="360" w:lineRule="auto"/>
        <w:ind w:right="51"/>
        <w:contextualSpacing/>
        <w:jc w:val="both"/>
        <w:rPr>
          <w:rFonts w:ascii="Palatino Linotype" w:eastAsia="Calibri" w:hAnsi="Palatino Linotype" w:cs="Tahoma"/>
          <w:bCs/>
          <w:lang w:val="es-ES_tradnl" w:eastAsia="en-US"/>
        </w:rPr>
      </w:pPr>
    </w:p>
    <w:p w14:paraId="76380384" w14:textId="426D223B" w:rsidR="00160712" w:rsidRPr="00654417" w:rsidRDefault="00160712" w:rsidP="00160712">
      <w:pPr>
        <w:pStyle w:val="Prrafodelista"/>
        <w:numPr>
          <w:ilvl w:val="0"/>
          <w:numId w:val="11"/>
        </w:numPr>
        <w:tabs>
          <w:tab w:val="left" w:pos="426"/>
        </w:tabs>
        <w:spacing w:after="160" w:line="360" w:lineRule="auto"/>
        <w:ind w:left="0" w:right="51" w:firstLine="0"/>
        <w:contextualSpacing/>
        <w:jc w:val="both"/>
        <w:rPr>
          <w:rFonts w:ascii="Palatino Linotype" w:hAnsi="Palatino Linotype" w:cs="Tahoma"/>
          <w:b/>
          <w:color w:val="000000"/>
          <w:lang w:val="es-ES_tradnl"/>
        </w:rPr>
      </w:pPr>
      <w:r w:rsidRPr="00654417">
        <w:rPr>
          <w:rFonts w:ascii="Palatino Linotype" w:eastAsia="MS Mincho" w:hAnsi="Palatino Linotype"/>
          <w:color w:val="000000"/>
          <w:lang w:val="es-ES_tradnl"/>
        </w:rPr>
        <w:t xml:space="preserve">De lo anterior, es posible advertir que quien han otorgado respuesta al  requerimiento realizado resulta ser el Servidor Público Habilitado </w:t>
      </w:r>
      <w:r w:rsidRPr="00654417">
        <w:rPr>
          <w:rFonts w:ascii="Palatino Linotype" w:eastAsia="MS Mincho" w:hAnsi="Palatino Linotype" w:cs="Arial"/>
          <w:lang w:val="es-ES_tradnl"/>
        </w:rPr>
        <w:t>que tiene atribuciones para poseer, administrar o generar la información solicitada, ya que</w:t>
      </w:r>
      <w:r w:rsidRPr="00654417">
        <w:rPr>
          <w:rFonts w:ascii="Palatino Linotype" w:eastAsia="MS Mincho" w:hAnsi="Palatino Linotype"/>
          <w:color w:val="000000"/>
          <w:lang w:val="es-MX"/>
        </w:rPr>
        <w:t xml:space="preserve">  se obser</w:t>
      </w:r>
      <w:r w:rsidR="0061355B" w:rsidRPr="00654417">
        <w:rPr>
          <w:rFonts w:ascii="Palatino Linotype" w:eastAsia="MS Mincho" w:hAnsi="Palatino Linotype"/>
          <w:color w:val="000000"/>
          <w:lang w:val="es-MX"/>
        </w:rPr>
        <w:t>va que tiene facultades para causar la difusión de las acciones, programas y actos del gobierno</w:t>
      </w:r>
      <w:r w:rsidRPr="00654417">
        <w:rPr>
          <w:rFonts w:ascii="Palatino Linotype" w:eastAsia="MS Mincho" w:hAnsi="Palatino Linotype"/>
          <w:color w:val="000000"/>
          <w:lang w:val="es-MX"/>
        </w:rPr>
        <w:t xml:space="preserve">, por otro lado, </w:t>
      </w:r>
      <w:r w:rsidRPr="00654417">
        <w:rPr>
          <w:rFonts w:ascii="Palatino Linotype" w:eastAsia="MS Mincho" w:hAnsi="Palatino Linotype"/>
          <w:color w:val="000000"/>
          <w:lang w:val="es-ES_tradnl"/>
        </w:rPr>
        <w:t>es pertinente mencionar que de conformidad con lo que señala el artículo 12</w:t>
      </w:r>
      <w:r w:rsidRPr="00654417">
        <w:rPr>
          <w:rStyle w:val="Refdenotaalpie"/>
          <w:rFonts w:ascii="Palatino Linotype" w:eastAsia="MS Mincho" w:hAnsi="Palatino Linotype"/>
          <w:color w:val="000000"/>
          <w:lang w:val="es-ES_tradnl"/>
        </w:rPr>
        <w:footnoteReference w:id="3"/>
      </w:r>
      <w:r w:rsidRPr="00654417">
        <w:rPr>
          <w:rFonts w:ascii="Palatino Linotype" w:eastAsia="MS Mincho" w:hAnsi="Palatino Linotype"/>
          <w:color w:val="000000"/>
          <w:lang w:val="es-ES_tradnl"/>
        </w:rPr>
        <w:t xml:space="preserve"> de la Ley de Transparencia y Acceso a la Información </w:t>
      </w:r>
      <w:r w:rsidRPr="00654417">
        <w:rPr>
          <w:rFonts w:ascii="Palatino Linotype" w:eastAsia="MS Mincho" w:hAnsi="Palatino Linotype"/>
          <w:color w:val="000000"/>
          <w:lang w:val="es-ES_tradnl"/>
        </w:rPr>
        <w:lastRenderedPageBreak/>
        <w:t xml:space="preserve">Pública del Estado de México y Municipios, los </w:t>
      </w:r>
      <w:r w:rsidRPr="00654417">
        <w:rPr>
          <w:rFonts w:ascii="Palatino Linotype" w:eastAsia="MS Mincho" w:hAnsi="Palatino Linotype" w:cs="Arial"/>
          <w:lang w:val="es-ES_tradnl"/>
        </w:rPr>
        <w:t>Sujetos Obligados sólo proporcionarán la información que se le requiera y que obre en sus archivos, lo que a </w:t>
      </w:r>
      <w:r w:rsidRPr="00654417">
        <w:rPr>
          <w:rFonts w:ascii="Palatino Linotype" w:eastAsia="MS Mincho" w:hAnsi="Palatino Linotype" w:cs="Arial"/>
          <w:i/>
          <w:lang w:val="es-ES_tradnl"/>
        </w:rPr>
        <w:t>contrario sensu</w:t>
      </w:r>
      <w:r w:rsidRPr="00654417">
        <w:rPr>
          <w:rFonts w:ascii="Palatino Linotype" w:eastAsia="MS Mincho" w:hAnsi="Palatino Linotype" w:cs="Arial"/>
          <w:lang w:val="es-ES_tradnl"/>
        </w:rPr>
        <w:t> significa que no se está obligado a proporcionar lo que no obre en sus archivos</w:t>
      </w:r>
      <w:bookmarkEnd w:id="70"/>
      <w:bookmarkEnd w:id="71"/>
      <w:r w:rsidR="0061355B" w:rsidRPr="00654417">
        <w:rPr>
          <w:rFonts w:ascii="Palatino Linotype" w:eastAsia="MS Mincho" w:hAnsi="Palatino Linotype" w:cs="Arial"/>
          <w:lang w:val="es-ES_tradnl"/>
        </w:rPr>
        <w:t>.</w:t>
      </w:r>
    </w:p>
    <w:p w14:paraId="3CE29305" w14:textId="77777777" w:rsidR="00160712" w:rsidRPr="00654417" w:rsidRDefault="00160712" w:rsidP="00160712">
      <w:pPr>
        <w:pStyle w:val="Prrafodelista"/>
        <w:tabs>
          <w:tab w:val="left" w:pos="426"/>
        </w:tabs>
        <w:spacing w:after="160" w:line="360" w:lineRule="auto"/>
        <w:ind w:left="0" w:right="51"/>
        <w:contextualSpacing/>
        <w:jc w:val="both"/>
        <w:rPr>
          <w:rFonts w:ascii="Palatino Linotype" w:hAnsi="Palatino Linotype" w:cs="Tahoma"/>
          <w:b/>
          <w:color w:val="000000"/>
          <w:lang w:val="es-ES_tradnl"/>
        </w:rPr>
      </w:pPr>
    </w:p>
    <w:p w14:paraId="6399EF24" w14:textId="77777777" w:rsidR="00160712" w:rsidRPr="00654417" w:rsidRDefault="00160712" w:rsidP="00160712">
      <w:pPr>
        <w:pStyle w:val="Prrafodelista"/>
        <w:numPr>
          <w:ilvl w:val="0"/>
          <w:numId w:val="11"/>
        </w:numPr>
        <w:tabs>
          <w:tab w:val="left" w:pos="426"/>
        </w:tabs>
        <w:spacing w:after="160" w:line="360" w:lineRule="auto"/>
        <w:ind w:left="0" w:right="51" w:firstLine="0"/>
        <w:contextualSpacing/>
        <w:jc w:val="both"/>
        <w:rPr>
          <w:rFonts w:ascii="Palatino Linotype" w:hAnsi="Palatino Linotype" w:cs="Tahoma"/>
          <w:b/>
          <w:color w:val="000000"/>
          <w:lang w:val="es-ES_tradnl"/>
        </w:rPr>
      </w:pPr>
      <w:r w:rsidRPr="00654417">
        <w:rPr>
          <w:rFonts w:ascii="Palatino Linotype" w:eastAsia="MS Mincho" w:hAnsi="Palatino Linotype"/>
          <w:color w:val="000000"/>
          <w:lang w:val="es-ES_tradnl"/>
        </w:rPr>
        <w:t xml:space="preserve">Al margen de lo anterior, es pertinente mencionar que </w:t>
      </w:r>
      <w:r w:rsidRPr="00654417">
        <w:rPr>
          <w:rFonts w:ascii="Palatino Linotype" w:eastAsia="MS Mincho" w:hAnsi="Palatino Linotype"/>
          <w:lang w:val="es-ES_tradnl"/>
        </w:rPr>
        <w:t xml:space="preserve">este Órgano Garante no tiene facultades para pronunciarse sobre la veracidad de la información que los sujetos Obligados ponen a disposición de los particulares, toda vez que se aleja de las atribuciones de éste Instituto, máxime que al momento en que el </w:t>
      </w:r>
      <w:r w:rsidRPr="00654417">
        <w:rPr>
          <w:rFonts w:ascii="Palatino Linotype" w:eastAsia="MS Mincho" w:hAnsi="Palatino Linotype"/>
          <w:b/>
          <w:lang w:val="es-ES_tradnl"/>
        </w:rPr>
        <w:t>SUJETO OBLIGADO</w:t>
      </w:r>
      <w:r w:rsidRPr="00654417">
        <w:rPr>
          <w:rFonts w:ascii="Palatino Linotype" w:eastAsia="MS Mincho" w:hAnsi="Palatino Linotype"/>
          <w:lang w:val="es-ES_tradnl"/>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542869F1" w14:textId="77777777" w:rsidR="00160712" w:rsidRPr="00654417" w:rsidRDefault="00160712" w:rsidP="00160712">
      <w:pPr>
        <w:pStyle w:val="Prrafodelista"/>
        <w:rPr>
          <w:rFonts w:ascii="Palatino Linotype" w:eastAsia="MS Mincho" w:hAnsi="Palatino Linotype"/>
          <w:color w:val="000000"/>
          <w:lang w:val="es-ES_tradnl"/>
        </w:rPr>
      </w:pPr>
    </w:p>
    <w:p w14:paraId="2BF817B9" w14:textId="23782B78" w:rsidR="00160712" w:rsidRPr="00654417" w:rsidRDefault="00160712" w:rsidP="00160712">
      <w:pPr>
        <w:pStyle w:val="Prrafodelista"/>
        <w:numPr>
          <w:ilvl w:val="0"/>
          <w:numId w:val="11"/>
        </w:numPr>
        <w:tabs>
          <w:tab w:val="left" w:pos="426"/>
        </w:tabs>
        <w:spacing w:after="160" w:line="360" w:lineRule="auto"/>
        <w:ind w:left="0" w:right="51" w:firstLine="0"/>
        <w:contextualSpacing/>
        <w:jc w:val="both"/>
        <w:rPr>
          <w:rFonts w:ascii="Palatino Linotype" w:hAnsi="Palatino Linotype" w:cs="Tahoma"/>
          <w:b/>
          <w:color w:val="000000"/>
          <w:lang w:val="es-ES_tradnl"/>
        </w:rPr>
      </w:pPr>
      <w:r w:rsidRPr="00654417">
        <w:rPr>
          <w:rFonts w:ascii="Palatino Linotype" w:eastAsia="MS Mincho" w:hAnsi="Palatino Linotype"/>
          <w:color w:val="000000"/>
          <w:lang w:val="es-ES_tradnl"/>
        </w:rPr>
        <w:t xml:space="preserve">Sirve </w:t>
      </w:r>
      <w:r w:rsidRPr="00654417">
        <w:rPr>
          <w:rFonts w:ascii="Palatino Linotype" w:eastAsia="MS Mincho" w:hAnsi="Palatino Linotype"/>
          <w:lang w:val="es-ES_tradnl"/>
        </w:rPr>
        <w:t>de apoyo a lo anterior, el Criterio 31-10 emitido por el entonces Instituto Federal de Acceso a la Información y Protección de Datos, mismo que dice:</w:t>
      </w:r>
    </w:p>
    <w:p w14:paraId="00E3CD3A" w14:textId="77777777" w:rsidR="00BB1159" w:rsidRPr="00654417" w:rsidRDefault="00BB1159" w:rsidP="00BB1159">
      <w:pPr>
        <w:pStyle w:val="Prrafodelista"/>
        <w:rPr>
          <w:rFonts w:ascii="Palatino Linotype" w:hAnsi="Palatino Linotype" w:cs="Tahoma"/>
          <w:b/>
          <w:color w:val="000000"/>
          <w:lang w:val="es-ES_tradnl"/>
        </w:rPr>
      </w:pPr>
    </w:p>
    <w:p w14:paraId="67B2DD43" w14:textId="1F57AC9D" w:rsidR="00160712" w:rsidRPr="00654417" w:rsidRDefault="00160712" w:rsidP="00BB1159">
      <w:pPr>
        <w:tabs>
          <w:tab w:val="left" w:pos="1575"/>
        </w:tabs>
        <w:spacing w:line="360" w:lineRule="auto"/>
        <w:ind w:right="758"/>
        <w:contextualSpacing/>
        <w:jc w:val="both"/>
        <w:rPr>
          <w:rFonts w:ascii="Palatino Linotype" w:eastAsia="MS Mincho" w:hAnsi="Palatino Linotype"/>
          <w:color w:val="000000"/>
          <w:lang w:val="es-ES_tradnl"/>
        </w:rPr>
      </w:pPr>
    </w:p>
    <w:p w14:paraId="3467A8CA" w14:textId="44A661A6" w:rsidR="00160712" w:rsidRPr="00654417" w:rsidRDefault="00160712" w:rsidP="00BB1159">
      <w:pPr>
        <w:spacing w:line="360" w:lineRule="auto"/>
        <w:ind w:left="567" w:right="900"/>
        <w:jc w:val="both"/>
        <w:rPr>
          <w:rFonts w:ascii="Palatino Linotype" w:eastAsia="MS Mincho" w:hAnsi="Palatino Linotype"/>
          <w:i/>
        </w:rPr>
      </w:pPr>
      <w:r w:rsidRPr="00654417">
        <w:rPr>
          <w:rFonts w:ascii="Palatino Linotype" w:eastAsia="MS Mincho" w:hAnsi="Palatino Linotype"/>
          <w:i/>
        </w:rPr>
        <w:t>“</w:t>
      </w:r>
      <w:r w:rsidRPr="00654417">
        <w:rPr>
          <w:rFonts w:ascii="Palatino Linotype" w:eastAsia="MS Mincho" w:hAnsi="Palatino Linotype"/>
          <w:b/>
          <w:i/>
        </w:rPr>
        <w:t>El Instituto Federal de Acceso a la Información y Protección de Datos no cuenta con facultades para pronunciarse respecto de la veracidad de los documentos proporcionados por los sujetos obligados.</w:t>
      </w:r>
      <w:r w:rsidRPr="00654417">
        <w:rPr>
          <w:rFonts w:ascii="Palatino Linotype" w:eastAsia="MS Mincho" w:hAnsi="Palatino Linotype"/>
          <w:i/>
        </w:rPr>
        <w:t xml:space="preserve"> El Instituto Federal de Acceso a la Información y Protección de </w:t>
      </w:r>
      <w:r w:rsidRPr="00654417">
        <w:rPr>
          <w:rFonts w:ascii="Palatino Linotype" w:eastAsia="MS Mincho" w:hAnsi="Palatino Linotype"/>
          <w:i/>
        </w:rPr>
        <w:lastRenderedPageBreak/>
        <w:t>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C3146B" w14:textId="77777777" w:rsidR="00160712" w:rsidRPr="00654417" w:rsidRDefault="00160712" w:rsidP="00160712">
      <w:pPr>
        <w:keepNext/>
        <w:keepLines/>
        <w:spacing w:before="240" w:line="259" w:lineRule="auto"/>
        <w:jc w:val="both"/>
        <w:outlineLvl w:val="0"/>
        <w:rPr>
          <w:rFonts w:ascii="Palatino Linotype" w:eastAsia="MS Mincho" w:hAnsi="Palatino Linotype"/>
          <w:b/>
          <w:lang w:val="es-ES_tradnl"/>
        </w:rPr>
      </w:pPr>
      <w:bookmarkStart w:id="72" w:name="_Toc67588008"/>
      <w:bookmarkStart w:id="73" w:name="_Toc68804770"/>
      <w:bookmarkStart w:id="74" w:name="_Toc80958963"/>
      <w:bookmarkStart w:id="75" w:name="_Toc97833534"/>
      <w:bookmarkStart w:id="76" w:name="_Toc101376019"/>
      <w:bookmarkStart w:id="77" w:name="_Toc102070731"/>
      <w:r w:rsidRPr="00654417">
        <w:rPr>
          <w:rFonts w:ascii="Palatino Linotype" w:eastAsia="MS Mincho" w:hAnsi="Palatino Linotype"/>
          <w:b/>
          <w:lang w:val="es-ES_tradnl"/>
        </w:rPr>
        <w:t>QUINTO. De la decisión.</w:t>
      </w:r>
      <w:bookmarkEnd w:id="72"/>
      <w:bookmarkEnd w:id="73"/>
      <w:bookmarkEnd w:id="74"/>
      <w:bookmarkEnd w:id="75"/>
      <w:bookmarkEnd w:id="76"/>
      <w:bookmarkEnd w:id="77"/>
      <w:r w:rsidRPr="00654417">
        <w:rPr>
          <w:rFonts w:ascii="Palatino Linotype" w:eastAsia="MS Mincho" w:hAnsi="Palatino Linotype"/>
          <w:b/>
          <w:lang w:val="es-ES_tradnl"/>
        </w:rPr>
        <w:t xml:space="preserve"> </w:t>
      </w:r>
    </w:p>
    <w:p w14:paraId="61F307D7" w14:textId="77777777" w:rsidR="00160712" w:rsidRPr="00654417" w:rsidRDefault="00160712" w:rsidP="00160712">
      <w:pPr>
        <w:keepNext/>
        <w:keepLines/>
        <w:spacing w:line="360" w:lineRule="auto"/>
        <w:jc w:val="both"/>
        <w:outlineLvl w:val="1"/>
        <w:rPr>
          <w:rFonts w:ascii="Palatino Linotype" w:eastAsia="MS Mincho" w:hAnsi="Palatino Linotype"/>
          <w:b/>
          <w:color w:val="000000"/>
          <w:lang w:val="es-ES_tradnl"/>
        </w:rPr>
      </w:pPr>
    </w:p>
    <w:p w14:paraId="43809B12" w14:textId="730C21CA" w:rsidR="00160712" w:rsidRPr="00654417" w:rsidRDefault="00160712" w:rsidP="00160712">
      <w:pPr>
        <w:pStyle w:val="Prrafodelista"/>
        <w:numPr>
          <w:ilvl w:val="0"/>
          <w:numId w:val="11"/>
        </w:numPr>
        <w:spacing w:after="160" w:line="360" w:lineRule="auto"/>
        <w:ind w:left="0" w:right="49" w:firstLine="0"/>
        <w:contextualSpacing/>
        <w:jc w:val="both"/>
        <w:rPr>
          <w:rFonts w:ascii="Palatino Linotype" w:eastAsia="MS Mincho" w:hAnsi="Palatino Linotype"/>
          <w:color w:val="000000"/>
        </w:rPr>
      </w:pPr>
      <w:r w:rsidRPr="00654417">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654417">
        <w:rPr>
          <w:rFonts w:ascii="Palatino Linotype" w:hAnsi="Palatino Linotype" w:cs="Tahoma"/>
          <w:b/>
          <w:lang w:val="es-MX"/>
        </w:rPr>
        <w:t xml:space="preserve">CONFIRMAR </w:t>
      </w:r>
      <w:r w:rsidRPr="00654417">
        <w:rPr>
          <w:rFonts w:ascii="Palatino Linotype" w:hAnsi="Palatino Linotype" w:cs="Tahoma"/>
          <w:lang w:val="es-MX"/>
        </w:rPr>
        <w:t>la respuesta otorgada por el</w:t>
      </w:r>
      <w:r w:rsidRPr="00654417">
        <w:rPr>
          <w:rFonts w:ascii="Palatino Linotype" w:eastAsia="Calibri" w:hAnsi="Palatino Linotype" w:cs="Tahoma"/>
          <w:color w:val="000000"/>
          <w:lang w:val="es-MX" w:eastAsia="en-US"/>
        </w:rPr>
        <w:t xml:space="preserve"> </w:t>
      </w:r>
      <w:r w:rsidRPr="00654417">
        <w:rPr>
          <w:rFonts w:ascii="Palatino Linotype" w:hAnsi="Palatino Linotype" w:cs="Tahoma"/>
          <w:b/>
          <w:lang w:val="es-ES_tradnl"/>
        </w:rPr>
        <w:t>Ayunt</w:t>
      </w:r>
      <w:r w:rsidR="0061355B" w:rsidRPr="00654417">
        <w:rPr>
          <w:rFonts w:ascii="Palatino Linotype" w:hAnsi="Palatino Linotype" w:cs="Tahoma"/>
          <w:b/>
          <w:lang w:val="es-ES_tradnl"/>
        </w:rPr>
        <w:t>amiento de Metepec</w:t>
      </w:r>
      <w:r w:rsidRPr="00654417">
        <w:rPr>
          <w:rFonts w:ascii="Palatino Linotype" w:eastAsia="MS Mincho" w:hAnsi="Palatino Linotype"/>
          <w:lang w:val="es-ES_tradnl"/>
        </w:rPr>
        <w:t xml:space="preserve">, debido a que se atendió el requerimiento realizado por el particular por el servidor público habilitado. </w:t>
      </w:r>
    </w:p>
    <w:p w14:paraId="37C9E4D2" w14:textId="77777777" w:rsidR="00160712" w:rsidRPr="00654417" w:rsidRDefault="00160712" w:rsidP="00160712">
      <w:pPr>
        <w:spacing w:line="360" w:lineRule="auto"/>
        <w:ind w:right="49"/>
        <w:contextualSpacing/>
        <w:jc w:val="both"/>
        <w:rPr>
          <w:rFonts w:ascii="Palatino Linotype" w:eastAsia="MS Mincho" w:hAnsi="Palatino Linotype"/>
          <w:color w:val="000000"/>
        </w:rPr>
      </w:pPr>
    </w:p>
    <w:p w14:paraId="575C199D" w14:textId="77777777" w:rsidR="00160712" w:rsidRPr="00654417" w:rsidRDefault="00160712" w:rsidP="00160712">
      <w:pPr>
        <w:numPr>
          <w:ilvl w:val="0"/>
          <w:numId w:val="11"/>
        </w:numPr>
        <w:spacing w:after="160" w:line="360" w:lineRule="auto"/>
        <w:ind w:left="0" w:right="49" w:firstLine="0"/>
        <w:contextualSpacing/>
        <w:jc w:val="both"/>
        <w:rPr>
          <w:rFonts w:ascii="Palatino Linotype" w:eastAsia="MS Mincho" w:hAnsi="Palatino Linotype"/>
          <w:lang w:val="es-ES_tradnl"/>
        </w:rPr>
      </w:pPr>
      <w:r w:rsidRPr="00654417">
        <w:rPr>
          <w:rFonts w:ascii="Palatino Linotype" w:eastAsia="MS Mincho" w:hAnsi="Palatino Linotype"/>
          <w:color w:val="000000"/>
        </w:rPr>
        <w:t xml:space="preserve">Por lo anteriormente expuesto y fundado, este </w:t>
      </w:r>
      <w:r w:rsidRPr="00654417">
        <w:rPr>
          <w:rFonts w:ascii="Palatino Linotype" w:eastAsia="MS Mincho" w:hAnsi="Palatino Linotype"/>
          <w:b/>
          <w:bCs/>
          <w:color w:val="000000"/>
        </w:rPr>
        <w:t>ÓRGANO GARANTE</w:t>
      </w:r>
      <w:r w:rsidRPr="00654417">
        <w:rPr>
          <w:rFonts w:ascii="Palatino Linotype" w:eastAsia="MS Mincho" w:hAnsi="Palatino Linotype"/>
          <w:color w:val="000000"/>
        </w:rPr>
        <w:t xml:space="preserve"> emite los siguientes:</w:t>
      </w:r>
    </w:p>
    <w:p w14:paraId="034F8743" w14:textId="77777777" w:rsidR="00160712" w:rsidRPr="00654417" w:rsidRDefault="00160712" w:rsidP="00160712">
      <w:pPr>
        <w:spacing w:line="360" w:lineRule="auto"/>
        <w:jc w:val="both"/>
        <w:rPr>
          <w:rFonts w:ascii="Palatino Linotype" w:eastAsia="MS Mincho" w:hAnsi="Palatino Linotype"/>
          <w:b/>
          <w:color w:val="000000"/>
          <w:lang w:val="es-ES_tradnl"/>
        </w:rPr>
      </w:pPr>
      <w:bookmarkStart w:id="78" w:name="_Toc495427547"/>
      <w:bookmarkStart w:id="79" w:name="_Toc497905366"/>
    </w:p>
    <w:p w14:paraId="1D04C60C" w14:textId="77777777" w:rsidR="00160712" w:rsidRPr="00654417" w:rsidRDefault="00160712" w:rsidP="00160712">
      <w:pPr>
        <w:keepNext/>
        <w:keepLines/>
        <w:spacing w:before="240" w:line="259" w:lineRule="auto"/>
        <w:jc w:val="center"/>
        <w:outlineLvl w:val="0"/>
        <w:rPr>
          <w:rFonts w:ascii="Palatino Linotype" w:hAnsi="Palatino Linotype"/>
          <w:b/>
          <w:color w:val="000000"/>
          <w:lang w:val="es-MX" w:eastAsia="en-US"/>
        </w:rPr>
      </w:pPr>
      <w:bookmarkStart w:id="80" w:name="_Toc80958964"/>
      <w:bookmarkStart w:id="81" w:name="_Toc97833535"/>
      <w:bookmarkStart w:id="82" w:name="_Toc101376020"/>
      <w:bookmarkStart w:id="83" w:name="_Toc102070732"/>
      <w:r w:rsidRPr="00654417">
        <w:rPr>
          <w:rFonts w:ascii="Palatino Linotype" w:hAnsi="Palatino Linotype"/>
          <w:b/>
          <w:color w:val="000000"/>
          <w:lang w:val="es-MX" w:eastAsia="en-US"/>
        </w:rPr>
        <w:t>R E S O L U T I V O S</w:t>
      </w:r>
      <w:bookmarkEnd w:id="78"/>
      <w:bookmarkEnd w:id="79"/>
      <w:bookmarkEnd w:id="80"/>
      <w:bookmarkEnd w:id="81"/>
      <w:bookmarkEnd w:id="82"/>
      <w:bookmarkEnd w:id="83"/>
    </w:p>
    <w:p w14:paraId="5B2E7062" w14:textId="77777777" w:rsidR="00160712" w:rsidRPr="00654417" w:rsidRDefault="00160712" w:rsidP="00160712">
      <w:pPr>
        <w:tabs>
          <w:tab w:val="left" w:pos="426"/>
        </w:tabs>
        <w:spacing w:line="360" w:lineRule="auto"/>
        <w:ind w:right="51"/>
        <w:contextualSpacing/>
        <w:jc w:val="both"/>
        <w:rPr>
          <w:rFonts w:ascii="Palatino Linotype" w:eastAsia="MS Mincho" w:hAnsi="Palatino Linotype"/>
          <w:b/>
          <w:color w:val="000000"/>
          <w:lang w:val="es-ES_tradnl"/>
        </w:rPr>
      </w:pPr>
    </w:p>
    <w:p w14:paraId="1F9A4F06" w14:textId="3B12507A" w:rsidR="00160712" w:rsidRPr="00654417" w:rsidRDefault="00160712" w:rsidP="00160712">
      <w:pPr>
        <w:spacing w:line="360" w:lineRule="auto"/>
        <w:jc w:val="both"/>
        <w:rPr>
          <w:rFonts w:ascii="Palatino Linotype" w:eastAsia="Calibri" w:hAnsi="Palatino Linotype" w:cs="Arial"/>
          <w:b/>
        </w:rPr>
      </w:pPr>
      <w:r w:rsidRPr="00654417">
        <w:rPr>
          <w:rFonts w:ascii="Palatino Linotype" w:hAnsi="Palatino Linotype" w:cs="Arial"/>
          <w:b/>
          <w:lang w:val="es-ES_tradnl"/>
        </w:rPr>
        <w:lastRenderedPageBreak/>
        <w:t xml:space="preserve">PRIMERO. </w:t>
      </w:r>
      <w:r w:rsidRPr="00654417">
        <w:rPr>
          <w:rFonts w:ascii="Palatino Linotype" w:hAnsi="Palatino Linotype" w:cs="Arial"/>
          <w:lang w:val="es-ES_tradnl"/>
        </w:rPr>
        <w:t>Resultan infundadas las</w:t>
      </w:r>
      <w:r w:rsidRPr="00654417">
        <w:rPr>
          <w:rFonts w:ascii="Palatino Linotype" w:hAnsi="Palatino Linotype" w:cs="Arial"/>
          <w:b/>
          <w:lang w:val="es-ES_tradnl"/>
        </w:rPr>
        <w:t xml:space="preserve"> </w:t>
      </w:r>
      <w:r w:rsidRPr="00654417">
        <w:rPr>
          <w:rFonts w:ascii="Palatino Linotype" w:hAnsi="Palatino Linotype" w:cs="Arial"/>
        </w:rPr>
        <w:t xml:space="preserve">razones o motivos de inconformidad hechos valer </w:t>
      </w:r>
      <w:r w:rsidRPr="00654417">
        <w:rPr>
          <w:rFonts w:ascii="Palatino Linotype" w:eastAsia="Calibri" w:hAnsi="Palatino Linotype" w:cs="Arial"/>
        </w:rPr>
        <w:t>en el recurso de revisión</w:t>
      </w:r>
      <w:r w:rsidRPr="00654417">
        <w:rPr>
          <w:rFonts w:ascii="Palatino Linotype" w:hAnsi="Palatino Linotype"/>
        </w:rPr>
        <w:t xml:space="preserve"> </w:t>
      </w:r>
      <w:r w:rsidR="0061355B" w:rsidRPr="00654417">
        <w:rPr>
          <w:rFonts w:ascii="Palatino Linotype" w:hAnsi="Palatino Linotype"/>
          <w:b/>
          <w:bCs/>
        </w:rPr>
        <w:t>02013/INFOEM/IP/RR/202</w:t>
      </w:r>
      <w:r w:rsidRPr="00654417">
        <w:rPr>
          <w:rFonts w:ascii="Palatino Linotype" w:eastAsia="MS Mincho" w:hAnsi="Palatino Linotype" w:cs="Arial"/>
          <w:b/>
          <w:bCs/>
          <w:lang w:val="es-ES_tradnl"/>
        </w:rPr>
        <w:t xml:space="preserve">, </w:t>
      </w:r>
      <w:r w:rsidRPr="00654417">
        <w:rPr>
          <w:rFonts w:ascii="Palatino Linotype" w:eastAsia="MS Mincho" w:hAnsi="Palatino Linotype" w:cs="Arial"/>
          <w:bCs/>
          <w:lang w:val="es-ES_tradnl"/>
        </w:rPr>
        <w:t xml:space="preserve">en términos de los </w:t>
      </w:r>
      <w:r w:rsidRPr="00654417">
        <w:rPr>
          <w:rFonts w:ascii="Palatino Linotype" w:eastAsia="MS Mincho" w:hAnsi="Palatino Linotype" w:cs="Arial"/>
          <w:lang w:val="es-ES_tradnl"/>
        </w:rPr>
        <w:t>Considerandos</w:t>
      </w:r>
      <w:r w:rsidRPr="00654417">
        <w:rPr>
          <w:rFonts w:ascii="Palatino Linotype" w:eastAsia="MS Mincho" w:hAnsi="Palatino Linotype" w:cs="Arial"/>
          <w:bCs/>
          <w:lang w:val="es-ES_tradnl"/>
        </w:rPr>
        <w:t xml:space="preserve"> </w:t>
      </w:r>
      <w:r w:rsidRPr="00654417">
        <w:rPr>
          <w:rFonts w:ascii="Palatino Linotype" w:eastAsia="MS Mincho" w:hAnsi="Palatino Linotype" w:cs="Arial"/>
          <w:b/>
          <w:bCs/>
          <w:lang w:val="es-ES_tradnl"/>
        </w:rPr>
        <w:t>CUARTO</w:t>
      </w:r>
      <w:r w:rsidRPr="00654417">
        <w:rPr>
          <w:rFonts w:ascii="Palatino Linotype" w:eastAsia="MS Mincho" w:hAnsi="Palatino Linotype" w:cs="Arial"/>
          <w:bCs/>
          <w:lang w:val="es-ES_tradnl"/>
        </w:rPr>
        <w:t xml:space="preserve"> y </w:t>
      </w:r>
      <w:r w:rsidRPr="00654417">
        <w:rPr>
          <w:rFonts w:ascii="Palatino Linotype" w:eastAsia="MS Mincho" w:hAnsi="Palatino Linotype" w:cs="Arial"/>
          <w:b/>
          <w:lang w:val="es-ES_tradnl"/>
        </w:rPr>
        <w:t>QUINTO</w:t>
      </w:r>
      <w:r w:rsidRPr="00654417">
        <w:rPr>
          <w:rFonts w:ascii="Palatino Linotype" w:eastAsia="MS Mincho" w:hAnsi="Palatino Linotype" w:cs="Arial"/>
          <w:bCs/>
          <w:lang w:val="es-ES_tradnl"/>
        </w:rPr>
        <w:t xml:space="preserve"> de la presente resolución.</w:t>
      </w:r>
    </w:p>
    <w:p w14:paraId="7DD65079" w14:textId="77777777" w:rsidR="00160712" w:rsidRPr="00654417" w:rsidRDefault="00160712" w:rsidP="00160712">
      <w:pPr>
        <w:spacing w:line="360" w:lineRule="auto"/>
        <w:jc w:val="both"/>
        <w:rPr>
          <w:rFonts w:ascii="Palatino Linotype" w:eastAsia="MS Mincho" w:hAnsi="Palatino Linotype"/>
          <w:b/>
          <w:lang w:val="es-ES_tradnl"/>
        </w:rPr>
      </w:pPr>
    </w:p>
    <w:p w14:paraId="21DA341C" w14:textId="50EBD3C6" w:rsidR="00160712" w:rsidRPr="00654417" w:rsidRDefault="00160712" w:rsidP="00160712">
      <w:pPr>
        <w:spacing w:line="360" w:lineRule="auto"/>
        <w:jc w:val="both"/>
        <w:rPr>
          <w:rFonts w:ascii="Palatino Linotype" w:eastAsia="Calibri" w:hAnsi="Palatino Linotype" w:cs="Arial"/>
          <w:b/>
          <w:lang w:val="es-MX"/>
        </w:rPr>
      </w:pPr>
      <w:r w:rsidRPr="00654417">
        <w:rPr>
          <w:rFonts w:ascii="Palatino Linotype" w:eastAsia="MS Mincho" w:hAnsi="Palatino Linotype"/>
          <w:b/>
          <w:lang w:val="es-ES_tradnl"/>
        </w:rPr>
        <w:t>SEGUNDO.</w:t>
      </w:r>
      <w:r w:rsidRPr="00654417">
        <w:rPr>
          <w:rFonts w:ascii="Palatino Linotype" w:eastAsia="MS Gothic" w:hAnsi="Palatino Linotype"/>
          <w:b/>
          <w:color w:val="365F91"/>
          <w:lang w:val="es-MX" w:eastAsia="en-US"/>
        </w:rPr>
        <w:t xml:space="preserve"> </w:t>
      </w:r>
      <w:r w:rsidRPr="00654417">
        <w:rPr>
          <w:rFonts w:ascii="Palatino Linotype" w:eastAsia="Calibri" w:hAnsi="Palatino Linotype" w:cs="Arial"/>
        </w:rPr>
        <w:t>Se</w:t>
      </w:r>
      <w:r w:rsidRPr="00654417">
        <w:rPr>
          <w:rFonts w:ascii="Palatino Linotype" w:eastAsia="Calibri" w:hAnsi="Palatino Linotype" w:cs="Arial"/>
          <w:b/>
        </w:rPr>
        <w:t xml:space="preserve"> CONFIRMA </w:t>
      </w:r>
      <w:r w:rsidRPr="00654417">
        <w:rPr>
          <w:rFonts w:ascii="Palatino Linotype" w:eastAsia="Calibri" w:hAnsi="Palatino Linotype" w:cs="Arial"/>
        </w:rPr>
        <w:t xml:space="preserve">la respuesta emitida por el </w:t>
      </w:r>
      <w:r w:rsidRPr="00654417">
        <w:rPr>
          <w:rFonts w:ascii="Palatino Linotype" w:eastAsia="Calibri" w:hAnsi="Palatino Linotype" w:cs="Arial"/>
          <w:b/>
          <w:lang w:val="es-ES_tradnl"/>
        </w:rPr>
        <w:t xml:space="preserve">Ayuntamiento de </w:t>
      </w:r>
      <w:r w:rsidR="0061355B" w:rsidRPr="00654417">
        <w:rPr>
          <w:rFonts w:ascii="Palatino Linotype" w:eastAsia="Calibri" w:hAnsi="Palatino Linotype" w:cs="Arial"/>
          <w:b/>
          <w:lang w:val="es-ES_tradnl"/>
        </w:rPr>
        <w:t>Metepec</w:t>
      </w:r>
      <w:r w:rsidRPr="00654417">
        <w:rPr>
          <w:rFonts w:ascii="Palatino Linotype" w:eastAsia="Calibri" w:hAnsi="Palatino Linotype" w:cs="Arial"/>
          <w:b/>
          <w:lang w:val="es-ES_tradnl"/>
        </w:rPr>
        <w:t xml:space="preserve"> </w:t>
      </w:r>
      <w:r w:rsidRPr="00654417">
        <w:rPr>
          <w:rFonts w:ascii="Palatino Linotype" w:eastAsia="Calibri" w:hAnsi="Palatino Linotype" w:cs="Arial"/>
        </w:rPr>
        <w:t>a la solicitud</w:t>
      </w:r>
      <w:r w:rsidRPr="00654417">
        <w:rPr>
          <w:rFonts w:ascii="Palatino Linotype" w:eastAsia="Calibri" w:hAnsi="Palatino Linotype"/>
          <w:color w:val="000000"/>
          <w:lang w:val="es-MX" w:eastAsia="en-US"/>
        </w:rPr>
        <w:t xml:space="preserve"> </w:t>
      </w:r>
      <w:r w:rsidR="0061355B" w:rsidRPr="00654417">
        <w:rPr>
          <w:rFonts w:ascii="Palatino Linotype" w:eastAsia="Calibri" w:hAnsi="Palatino Linotype"/>
          <w:b/>
          <w:color w:val="000000"/>
          <w:lang w:val="es-MX" w:eastAsia="en-US"/>
        </w:rPr>
        <w:t>00870/METEPEC/IP/2022</w:t>
      </w:r>
      <w:r w:rsidR="0061355B" w:rsidRPr="00654417">
        <w:rPr>
          <w:rFonts w:ascii="Palatino Linotype" w:eastAsia="Calibri" w:hAnsi="Palatino Linotype"/>
          <w:color w:val="000000"/>
          <w:lang w:val="es-MX" w:eastAsia="en-US"/>
        </w:rPr>
        <w:t>.</w:t>
      </w:r>
    </w:p>
    <w:p w14:paraId="4B0DDD47" w14:textId="77777777" w:rsidR="00160712" w:rsidRPr="00654417" w:rsidRDefault="00160712" w:rsidP="00160712">
      <w:pPr>
        <w:spacing w:line="360" w:lineRule="auto"/>
        <w:jc w:val="both"/>
        <w:rPr>
          <w:rFonts w:ascii="Palatino Linotype" w:eastAsia="Calibri" w:hAnsi="Palatino Linotype" w:cs="Arial"/>
        </w:rPr>
      </w:pPr>
    </w:p>
    <w:p w14:paraId="6DEED517" w14:textId="77777777" w:rsidR="00160712" w:rsidRPr="00654417" w:rsidRDefault="00160712" w:rsidP="00160712">
      <w:pPr>
        <w:shd w:val="clear" w:color="auto" w:fill="FFFFFF"/>
        <w:spacing w:line="360" w:lineRule="auto"/>
        <w:jc w:val="both"/>
        <w:rPr>
          <w:rFonts w:ascii="Palatino Linotype" w:hAnsi="Palatino Linotype" w:cs="Arial"/>
          <w:b/>
          <w:lang w:val="es-ES_tradnl"/>
        </w:rPr>
      </w:pPr>
      <w:r w:rsidRPr="00654417">
        <w:rPr>
          <w:rFonts w:ascii="Palatino Linotype" w:hAnsi="Palatino Linotype" w:cs="Arial"/>
          <w:b/>
          <w:bCs/>
          <w:color w:val="222222"/>
          <w:lang w:val="es-ES_tradnl" w:eastAsia="es-MX"/>
        </w:rPr>
        <w:t xml:space="preserve">TERCERO. </w:t>
      </w:r>
      <w:r w:rsidRPr="00654417">
        <w:rPr>
          <w:rFonts w:ascii="Palatino Linotype" w:hAnsi="Palatino Linotype" w:cs="Arial"/>
          <w:b/>
          <w:color w:val="222222"/>
          <w:lang w:val="es-ES_tradnl" w:eastAsia="es-MX"/>
        </w:rPr>
        <w:t>Notifíquese</w:t>
      </w:r>
      <w:r w:rsidRPr="00654417">
        <w:rPr>
          <w:rFonts w:ascii="Palatino Linotype" w:hAnsi="Palatino Linotype" w:cs="Arial"/>
          <w:b/>
          <w:bCs/>
          <w:color w:val="222222"/>
          <w:lang w:val="es-ES_tradnl" w:eastAsia="es-MX"/>
        </w:rPr>
        <w:t xml:space="preserve"> </w:t>
      </w:r>
      <w:r w:rsidRPr="00654417">
        <w:rPr>
          <w:rFonts w:ascii="Palatino Linotype" w:hAnsi="Palatino Linotype" w:cs="Arial"/>
          <w:color w:val="222222"/>
          <w:lang w:val="es-ES_tradnl" w:eastAsia="es-MX"/>
        </w:rPr>
        <w:t xml:space="preserve">al Titular de la Unidad de Transparencia del </w:t>
      </w:r>
      <w:r w:rsidRPr="00654417">
        <w:rPr>
          <w:rFonts w:ascii="Palatino Linotype" w:hAnsi="Palatino Linotype" w:cs="Arial"/>
          <w:b/>
          <w:bCs/>
          <w:color w:val="222222"/>
          <w:lang w:val="es-ES_tradnl" w:eastAsia="es-MX"/>
        </w:rPr>
        <w:t xml:space="preserve">SUJETO OBLIGADO </w:t>
      </w:r>
      <w:r w:rsidRPr="00654417">
        <w:rPr>
          <w:rFonts w:ascii="Palatino Linotype" w:hAnsi="Palatino Linotype" w:cs="Arial"/>
          <w:bCs/>
          <w:color w:val="222222"/>
          <w:lang w:val="es-ES_tradnl" w:eastAsia="es-MX"/>
        </w:rPr>
        <w:t>la presente resolución vía Sistema de Acceso a la Información Mexiquense</w:t>
      </w:r>
      <w:r w:rsidRPr="00654417">
        <w:rPr>
          <w:rFonts w:ascii="Palatino Linotype" w:hAnsi="Palatino Linotype" w:cs="Arial"/>
          <w:b/>
          <w:bCs/>
          <w:color w:val="222222"/>
          <w:lang w:val="es-ES_tradnl" w:eastAsia="es-MX"/>
        </w:rPr>
        <w:t xml:space="preserve"> (SAIMEX)</w:t>
      </w:r>
      <w:r w:rsidRPr="00654417">
        <w:rPr>
          <w:rFonts w:ascii="Palatino Linotype" w:hAnsi="Palatino Linotype" w:cs="Arial"/>
          <w:color w:val="222222"/>
          <w:lang w:val="es-ES_tradnl" w:eastAsia="es-MX"/>
        </w:rPr>
        <w:t>.</w:t>
      </w:r>
    </w:p>
    <w:p w14:paraId="7E71CD8F" w14:textId="77777777" w:rsidR="00160712" w:rsidRPr="00654417" w:rsidRDefault="00160712" w:rsidP="00160712">
      <w:pPr>
        <w:spacing w:line="360" w:lineRule="auto"/>
        <w:rPr>
          <w:rFonts w:ascii="Palatino Linotype" w:eastAsia="MS Mincho" w:hAnsi="Palatino Linotype"/>
        </w:rPr>
      </w:pPr>
    </w:p>
    <w:p w14:paraId="6EE7F10A" w14:textId="77777777" w:rsidR="00160712" w:rsidRPr="00654417" w:rsidRDefault="00160712" w:rsidP="00160712">
      <w:pPr>
        <w:shd w:val="clear" w:color="auto" w:fill="FFFFFF"/>
        <w:spacing w:line="360" w:lineRule="auto"/>
        <w:jc w:val="both"/>
        <w:rPr>
          <w:rFonts w:ascii="Palatino Linotype" w:hAnsi="Palatino Linotype"/>
          <w:color w:val="000000" w:themeColor="text1"/>
          <w:lang w:val="es-ES_tradnl"/>
        </w:rPr>
      </w:pPr>
      <w:r w:rsidRPr="00654417">
        <w:rPr>
          <w:rFonts w:ascii="Palatino Linotype" w:hAnsi="Palatino Linotype" w:cs="Arial"/>
          <w:b/>
          <w:lang w:val="es-ES_tradnl"/>
        </w:rPr>
        <w:t xml:space="preserve">QUINTO. </w:t>
      </w:r>
      <w:r w:rsidRPr="00654417">
        <w:rPr>
          <w:rFonts w:ascii="Palatino Linotype" w:hAnsi="Palatino Linotype"/>
          <w:b/>
          <w:bCs/>
          <w:color w:val="222222"/>
        </w:rPr>
        <w:t xml:space="preserve">Notifíquese </w:t>
      </w:r>
      <w:r w:rsidRPr="00654417">
        <w:rPr>
          <w:rFonts w:ascii="Palatino Linotype" w:hAnsi="Palatino Linotype"/>
          <w:bCs/>
          <w:color w:val="222222"/>
        </w:rPr>
        <w:t xml:space="preserve">al </w:t>
      </w:r>
      <w:r w:rsidRPr="00654417">
        <w:rPr>
          <w:rFonts w:ascii="Palatino Linotype" w:hAnsi="Palatino Linotype"/>
          <w:b/>
          <w:bCs/>
          <w:color w:val="222222"/>
        </w:rPr>
        <w:t>RECURRENTE</w:t>
      </w:r>
      <w:r w:rsidRPr="00654417">
        <w:rPr>
          <w:rFonts w:ascii="Palatino Linotype" w:hAnsi="Palatino Linotype"/>
          <w:bCs/>
          <w:color w:val="222222"/>
        </w:rPr>
        <w:t xml:space="preserve"> </w:t>
      </w:r>
      <w:r w:rsidRPr="00654417">
        <w:rPr>
          <w:rFonts w:ascii="Palatino Linotype" w:hAnsi="Palatino Linotype"/>
          <w:lang w:val="es-ES_tradnl"/>
        </w:rPr>
        <w:t xml:space="preserve">la presente resolución vía </w:t>
      </w:r>
      <w:r w:rsidRPr="00654417">
        <w:rPr>
          <w:rFonts w:ascii="Palatino Linotype" w:hAnsi="Palatino Linotype" w:cs="Arial"/>
          <w:lang w:val="es-ES_tradnl"/>
        </w:rPr>
        <w:t xml:space="preserve">Sistema de Acceso a la Información Mexiquense </w:t>
      </w:r>
      <w:r w:rsidRPr="00654417">
        <w:rPr>
          <w:rFonts w:ascii="Palatino Linotype" w:hAnsi="Palatino Linotype" w:cs="Arial"/>
          <w:b/>
          <w:lang w:val="es-ES_tradnl"/>
        </w:rPr>
        <w:t>(SAIMEX).</w:t>
      </w:r>
    </w:p>
    <w:p w14:paraId="531703D8" w14:textId="77777777" w:rsidR="00160712" w:rsidRPr="00654417" w:rsidRDefault="00160712" w:rsidP="00160712">
      <w:pPr>
        <w:spacing w:line="360" w:lineRule="auto"/>
        <w:jc w:val="both"/>
        <w:rPr>
          <w:rFonts w:ascii="Palatino Linotype" w:eastAsia="MS Mincho" w:hAnsi="Palatino Linotype"/>
          <w:b/>
          <w:lang w:val="es-MX"/>
        </w:rPr>
      </w:pPr>
    </w:p>
    <w:p w14:paraId="34FB4F02" w14:textId="77777777" w:rsidR="00160712" w:rsidRPr="00654417" w:rsidRDefault="00160712" w:rsidP="00160712">
      <w:pPr>
        <w:spacing w:line="360" w:lineRule="auto"/>
        <w:jc w:val="both"/>
        <w:rPr>
          <w:rFonts w:ascii="Palatino Linotype" w:eastAsia="Calibri" w:hAnsi="Palatino Linotype" w:cs="Arial"/>
        </w:rPr>
      </w:pPr>
      <w:r w:rsidRPr="00654417">
        <w:rPr>
          <w:rFonts w:ascii="Palatino Linotype" w:eastAsia="MS Mincho" w:hAnsi="Palatino Linotype"/>
          <w:b/>
          <w:lang w:val="es-MX"/>
        </w:rPr>
        <w:t>QUINTO.</w:t>
      </w:r>
      <w:r w:rsidRPr="00654417">
        <w:rPr>
          <w:rFonts w:ascii="Palatino Linotype" w:eastAsia="MS Mincho" w:hAnsi="Palatino Linotype"/>
          <w:lang w:val="es-MX"/>
        </w:rPr>
        <w:t xml:space="preserve"> </w:t>
      </w:r>
      <w:r w:rsidRPr="00654417">
        <w:rPr>
          <w:rFonts w:ascii="Palatino Linotype" w:eastAsia="MS Mincho" w:hAnsi="Palatino Linotype"/>
        </w:rPr>
        <w:t xml:space="preserve">Se hace del conocimiento del </w:t>
      </w:r>
      <w:r w:rsidRPr="00654417">
        <w:rPr>
          <w:rFonts w:ascii="Palatino Linotype" w:eastAsia="MS Mincho" w:hAnsi="Palatino Linotype"/>
          <w:b/>
        </w:rPr>
        <w:t>RECURRENTE</w:t>
      </w:r>
      <w:r w:rsidRPr="00654417">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54417">
        <w:rPr>
          <w:rFonts w:ascii="Palatino Linotype" w:eastAsia="MS Mincho" w:hAnsi="Palatino Linotype"/>
          <w:bCs/>
        </w:rPr>
        <w:t>vía juicio de amparo</w:t>
      </w:r>
      <w:r w:rsidRPr="00654417">
        <w:rPr>
          <w:rFonts w:ascii="Palatino Linotype" w:eastAsia="MS Mincho" w:hAnsi="Palatino Linotype"/>
        </w:rPr>
        <w:t xml:space="preserve"> en los términos de las leyes aplicables.</w:t>
      </w:r>
    </w:p>
    <w:p w14:paraId="2812DBE4" w14:textId="77777777" w:rsidR="00160712" w:rsidRPr="00654417" w:rsidRDefault="00160712" w:rsidP="00160712">
      <w:pPr>
        <w:spacing w:line="360" w:lineRule="auto"/>
        <w:contextualSpacing/>
        <w:jc w:val="both"/>
        <w:rPr>
          <w:rFonts w:ascii="Palatino Linotype" w:hAnsi="Palatino Linotype"/>
          <w:lang w:val="es-ES_tradnl"/>
        </w:rPr>
      </w:pPr>
    </w:p>
    <w:p w14:paraId="37D1362C" w14:textId="77777777" w:rsidR="00654417" w:rsidRDefault="00654417" w:rsidP="00654417">
      <w:pPr>
        <w:spacing w:before="240" w:after="240" w:line="360" w:lineRule="auto"/>
        <w:ind w:firstLine="1"/>
        <w:jc w:val="both"/>
        <w:rPr>
          <w:rFonts w:ascii="Palatino Linotype" w:hAnsi="Palatino Linotype"/>
        </w:rPr>
      </w:pPr>
      <w:r w:rsidRPr="0065441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654417">
        <w:rPr>
          <w:rFonts w:ascii="Palatino Linotype" w:hAnsi="Palatino Linotype"/>
        </w:rPr>
        <w:lastRenderedPageBreak/>
        <w:t>VILCHIS; MARÍA DEL ROSARIO MEJÍA AYALA; SHARON CRISTINA MORALES MARTÍNEZ; LUIS GUSTAVO PARRA NORIEGA Y GUADALUPE RAMÍREZ PEÑA EN LA DÉCIMA SEXTA SESIÓN ORDINARIA CELEBRADA EL CUATRO (04) DE MAYO DE DOS MIL VEINTIDÓS, ANTE EL SECRETARIO TÉCNICO DEL PLENO ALEXIS TAPIA RAMÍREZ.</w:t>
      </w:r>
      <w:bookmarkStart w:id="84" w:name="_GoBack"/>
      <w:bookmarkEnd w:id="84"/>
      <w:r w:rsidRPr="00624AAD">
        <w:rPr>
          <w:rFonts w:ascii="Palatino Linotype" w:hAnsi="Palatino Linotype"/>
        </w:rPr>
        <w:t xml:space="preserve"> </w:t>
      </w:r>
    </w:p>
    <w:p w14:paraId="4453F8E6" w14:textId="0CDC3D99" w:rsidR="00090DE6" w:rsidRPr="00E72B09" w:rsidRDefault="00090DE6" w:rsidP="007D7513">
      <w:pPr>
        <w:spacing w:before="240" w:after="240" w:line="360" w:lineRule="auto"/>
        <w:ind w:firstLine="1"/>
        <w:jc w:val="both"/>
        <w:rPr>
          <w:rFonts w:ascii="Palatino Linotype" w:hAnsi="Palatino Linotype"/>
          <w:lang w:val="es-ES_tradnl"/>
        </w:rPr>
      </w:pPr>
    </w:p>
    <w:sectPr w:rsidR="00090DE6" w:rsidRPr="00E72B09"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982E2" w14:textId="77777777" w:rsidR="00FB58E2" w:rsidRDefault="00FB58E2" w:rsidP="00C80F8C">
      <w:r>
        <w:separator/>
      </w:r>
    </w:p>
  </w:endnote>
  <w:endnote w:type="continuationSeparator" w:id="0">
    <w:p w14:paraId="2269856C" w14:textId="77777777" w:rsidR="00FB58E2" w:rsidRDefault="00FB58E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614CAE5" w:rsidR="00BD6B75" w:rsidRPr="00817AAB" w:rsidRDefault="00BD6B75"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54417">
      <w:rPr>
        <w:rFonts w:ascii="Palatino Linotype" w:hAnsi="Palatino Linotype" w:cs="Arial"/>
        <w:b/>
        <w:bCs/>
        <w:noProof/>
      </w:rPr>
      <w:t>18</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54417">
      <w:rPr>
        <w:rFonts w:ascii="Palatino Linotype" w:hAnsi="Palatino Linotype" w:cs="Arial"/>
        <w:b/>
        <w:bCs/>
        <w:noProof/>
      </w:rPr>
      <w:t>18</w:t>
    </w:r>
    <w:r w:rsidRPr="00817AAB">
      <w:rPr>
        <w:rFonts w:ascii="Palatino Linotype" w:hAnsi="Palatino Linotype" w:cs="Arial"/>
        <w:b/>
        <w:bCs/>
      </w:rPr>
      <w:fldChar w:fldCharType="end"/>
    </w:r>
  </w:p>
  <w:p w14:paraId="1192A578" w14:textId="77777777" w:rsidR="00BD6B75" w:rsidRDefault="00BD6B75" w:rsidP="00935A0D">
    <w:pPr>
      <w:pStyle w:val="Piedepgina"/>
      <w:rPr>
        <w:rFonts w:ascii="Times New Roman" w:hAnsi="Times New Roman" w:cs="Times New Roman"/>
      </w:rPr>
    </w:pPr>
  </w:p>
  <w:p w14:paraId="14A770F8" w14:textId="77777777" w:rsidR="00BD6B75" w:rsidRDefault="00BD6B7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BC07DD7" w:rsidR="00BD6B75" w:rsidRDefault="00BD6B7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5441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54417">
      <w:rPr>
        <w:rFonts w:ascii="Arial" w:hAnsi="Arial" w:cs="Arial"/>
        <w:b/>
        <w:bCs/>
        <w:noProof/>
        <w:sz w:val="20"/>
        <w:szCs w:val="20"/>
      </w:rPr>
      <w:t>18</w:t>
    </w:r>
    <w:r>
      <w:rPr>
        <w:rFonts w:ascii="Arial" w:hAnsi="Arial" w:cs="Arial"/>
        <w:b/>
        <w:bCs/>
        <w:sz w:val="20"/>
        <w:szCs w:val="20"/>
      </w:rPr>
      <w:fldChar w:fldCharType="end"/>
    </w:r>
  </w:p>
  <w:p w14:paraId="5D98ABD5" w14:textId="77777777" w:rsidR="00BD6B75" w:rsidRDefault="00BD6B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6C928" w14:textId="77777777" w:rsidR="00FB58E2" w:rsidRDefault="00FB58E2" w:rsidP="00C80F8C">
      <w:r>
        <w:separator/>
      </w:r>
    </w:p>
  </w:footnote>
  <w:footnote w:type="continuationSeparator" w:id="0">
    <w:p w14:paraId="1C32021F" w14:textId="77777777" w:rsidR="00FB58E2" w:rsidRDefault="00FB58E2" w:rsidP="00C80F8C">
      <w:r>
        <w:continuationSeparator/>
      </w:r>
    </w:p>
  </w:footnote>
  <w:footnote w:id="1">
    <w:p w14:paraId="006D09F9" w14:textId="77777777" w:rsidR="00445D54" w:rsidRDefault="00445D54" w:rsidP="00445D54">
      <w:pPr>
        <w:pStyle w:val="Textonotapie"/>
        <w:jc w:val="both"/>
        <w:rPr>
          <w:lang w:val="es-ES"/>
        </w:rPr>
      </w:pPr>
      <w:r>
        <w:rPr>
          <w:rStyle w:val="Refdenotaalpie"/>
        </w:rPr>
        <w:footnoteRef/>
      </w:r>
      <w:r w:rsidRPr="00BE6EA7">
        <w:rPr>
          <w:lang w:val="es-ES"/>
        </w:rPr>
        <w:t>Artículo 179. El recurso de revisión es un medio de protección que la Ley otorga a los particulares, para hacer valer su derecho de acceso a la información pública, y procederá en contra de las siguientes causas:</w:t>
      </w:r>
    </w:p>
    <w:p w14:paraId="722451C6" w14:textId="77777777" w:rsidR="00445D54" w:rsidRDefault="00445D54" w:rsidP="00445D54">
      <w:pPr>
        <w:pStyle w:val="Textonotapie"/>
        <w:jc w:val="both"/>
        <w:rPr>
          <w:lang w:val="es-ES"/>
        </w:rPr>
      </w:pPr>
      <w:r>
        <w:rPr>
          <w:lang w:val="es-ES"/>
        </w:rPr>
        <w:t>(…)</w:t>
      </w:r>
    </w:p>
    <w:p w14:paraId="7661FB3C" w14:textId="77777777" w:rsidR="00445D54" w:rsidRDefault="00445D54" w:rsidP="00445D54">
      <w:pPr>
        <w:pStyle w:val="Textonotapie"/>
        <w:jc w:val="both"/>
      </w:pPr>
      <w:r w:rsidRPr="00450E50">
        <w:rPr>
          <w:lang w:val="es-ES"/>
        </w:rPr>
        <w:t>VI. La entrega de información que no corresponda con lo solicitado;</w:t>
      </w:r>
    </w:p>
    <w:p w14:paraId="27F01E2A" w14:textId="77777777" w:rsidR="00445D54" w:rsidRDefault="00445D54" w:rsidP="00445D54">
      <w:pPr>
        <w:pStyle w:val="Textonotapie"/>
        <w:jc w:val="both"/>
        <w:rPr>
          <w:lang w:val="es-ES"/>
        </w:rPr>
      </w:pPr>
      <w:r>
        <w:rPr>
          <w:lang w:val="es-ES"/>
        </w:rPr>
        <w:t xml:space="preserve"> (…)</w:t>
      </w:r>
    </w:p>
    <w:p w14:paraId="41C2045A" w14:textId="77777777" w:rsidR="00445D54" w:rsidRDefault="00445D54" w:rsidP="00445D54">
      <w:pPr>
        <w:pStyle w:val="Textonotapie"/>
        <w:jc w:val="both"/>
        <w:rPr>
          <w:lang w:val="es-ES"/>
        </w:rPr>
      </w:pPr>
      <w:r w:rsidRPr="00450E50">
        <w:rPr>
          <w:lang w:val="es-ES"/>
        </w:rPr>
        <w:t>XIII. La falta, deficiencia o insuficiencia de la fundamentación y/o motivación en la respuesta; y</w:t>
      </w:r>
    </w:p>
    <w:p w14:paraId="4B2DDB65" w14:textId="77777777" w:rsidR="00445D54" w:rsidRPr="00BE6EA7" w:rsidRDefault="00445D54" w:rsidP="00445D54">
      <w:pPr>
        <w:pStyle w:val="Textonotapie"/>
        <w:jc w:val="both"/>
        <w:rPr>
          <w:lang w:val="es-ES"/>
        </w:rPr>
      </w:pPr>
      <w:r>
        <w:rPr>
          <w:lang w:val="es-ES"/>
        </w:rPr>
        <w:t>(…)</w:t>
      </w:r>
    </w:p>
  </w:footnote>
  <w:footnote w:id="2">
    <w:p w14:paraId="7631853F" w14:textId="77777777" w:rsidR="00976C25" w:rsidRPr="003F10E6" w:rsidRDefault="00976C25" w:rsidP="00976C25">
      <w:pPr>
        <w:pStyle w:val="Textonotapie"/>
        <w:rPr>
          <w:i/>
          <w:lang w:val="es-ES_tradnl"/>
        </w:rPr>
      </w:pPr>
      <w:r>
        <w:rPr>
          <w:rStyle w:val="Refdenotaalpie"/>
        </w:rPr>
        <w:footnoteRef/>
      </w:r>
      <w:r>
        <w:t xml:space="preserve"> </w:t>
      </w:r>
      <w:r w:rsidRPr="003F10E6">
        <w:rPr>
          <w:i/>
          <w:lang w:val="es-ES_tradnl"/>
        </w:rPr>
        <w:t>“</w:t>
      </w:r>
      <w:r w:rsidRPr="003F10E6">
        <w:rPr>
          <w:b/>
          <w:i/>
          <w:lang w:val="es-ES_tradnl"/>
        </w:rPr>
        <w:t>Artículo 9.</w:t>
      </w:r>
      <w:r w:rsidRPr="003F10E6">
        <w:rPr>
          <w:i/>
          <w:lang w:val="es-ES_tradnl"/>
        </w:rPr>
        <w:t xml:space="preserve"> El Instituto deberá regir su funcionamiento de acuerdo a los siguientes principios: </w:t>
      </w:r>
    </w:p>
    <w:p w14:paraId="64D1BA72" w14:textId="77777777" w:rsidR="00976C25" w:rsidRPr="003F10E6" w:rsidRDefault="00976C25" w:rsidP="00976C25">
      <w:pPr>
        <w:pStyle w:val="Textonotapie"/>
        <w:rPr>
          <w:i/>
          <w:lang w:val="es-ES_tradnl"/>
        </w:rPr>
      </w:pPr>
      <w:r w:rsidRPr="003F10E6">
        <w:rPr>
          <w:b/>
          <w:i/>
          <w:lang w:val="es-ES_tradnl"/>
        </w:rPr>
        <w:t>I. Certeza:</w:t>
      </w:r>
      <w:r w:rsidRPr="003F10E6">
        <w:rPr>
          <w:i/>
          <w:lang w:val="es-ES_tradnl"/>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5CEA8B4B" w14:textId="77777777" w:rsidR="00976C25" w:rsidRPr="003F10E6" w:rsidRDefault="00976C25" w:rsidP="00976C25">
      <w:pPr>
        <w:pStyle w:val="Textonotapie"/>
        <w:rPr>
          <w:i/>
          <w:lang w:val="es-ES_tradnl"/>
        </w:rPr>
      </w:pPr>
      <w:r w:rsidRPr="003F10E6">
        <w:rPr>
          <w:b/>
          <w:i/>
          <w:lang w:val="es-ES_tradnl"/>
        </w:rPr>
        <w:t>II. Eficacia:</w:t>
      </w:r>
      <w:r w:rsidRPr="003F10E6">
        <w:rPr>
          <w:i/>
          <w:lang w:val="es-ES_tradnl"/>
        </w:rPr>
        <w:t xml:space="preserve"> Obligación del Instituto para tutelar, de manera efectiva, el derecho de acceso a la información;</w:t>
      </w:r>
    </w:p>
    <w:p w14:paraId="2CEE9AF5" w14:textId="77777777" w:rsidR="00976C25" w:rsidRPr="003F10E6" w:rsidRDefault="00976C25" w:rsidP="00976C25">
      <w:pPr>
        <w:pStyle w:val="Textonotapie"/>
        <w:rPr>
          <w:i/>
          <w:lang w:val="es-ES_tradnl"/>
        </w:rPr>
      </w:pPr>
      <w:r w:rsidRPr="003F10E6">
        <w:rPr>
          <w:i/>
          <w:lang w:val="es-ES_tradnl"/>
        </w:rPr>
        <w:t>(…)</w:t>
      </w:r>
    </w:p>
    <w:p w14:paraId="58BB7342" w14:textId="77777777" w:rsidR="00976C25" w:rsidRPr="003F10E6" w:rsidRDefault="00976C25" w:rsidP="00976C25">
      <w:pPr>
        <w:pStyle w:val="Textonotapie"/>
        <w:rPr>
          <w:i/>
          <w:lang w:val="es-ES_tradnl"/>
        </w:rPr>
      </w:pPr>
      <w:r w:rsidRPr="003F10E6">
        <w:rPr>
          <w:b/>
          <w:i/>
          <w:lang w:val="es-ES_tradnl"/>
        </w:rPr>
        <w:t>VI. Legalidad:</w:t>
      </w:r>
      <w:r w:rsidRPr="003F10E6">
        <w:rPr>
          <w:i/>
          <w:lang w:val="es-ES_tradnl"/>
        </w:rPr>
        <w:t xml:space="preserve"> Obligación del Instituto de ajustar su actuación, que funde y motive sus resoluciones y actos en las normas aplicables;</w:t>
      </w:r>
    </w:p>
    <w:p w14:paraId="2A41850B" w14:textId="77777777" w:rsidR="00976C25" w:rsidRPr="003F10E6" w:rsidRDefault="00976C25" w:rsidP="00976C25">
      <w:pPr>
        <w:pStyle w:val="Textonotapie"/>
        <w:rPr>
          <w:i/>
          <w:lang w:val="es-ES_tradnl"/>
        </w:rPr>
      </w:pPr>
      <w:r w:rsidRPr="003F10E6">
        <w:rPr>
          <w:i/>
          <w:lang w:val="es-ES_tradnl"/>
        </w:rPr>
        <w:t>(…)”</w:t>
      </w:r>
    </w:p>
  </w:footnote>
  <w:footnote w:id="3">
    <w:p w14:paraId="044FA30D" w14:textId="77777777" w:rsidR="00160712" w:rsidRDefault="00160712" w:rsidP="00160712">
      <w:pPr>
        <w:pStyle w:val="Textonotapie"/>
        <w:jc w:val="both"/>
        <w:rPr>
          <w:lang w:val="es-ES"/>
        </w:rPr>
      </w:pPr>
      <w:r>
        <w:rPr>
          <w:rStyle w:val="Refdenotaalpie"/>
        </w:rPr>
        <w:footnoteRef/>
      </w:r>
      <w:r>
        <w:t xml:space="preserve"> </w:t>
      </w:r>
      <w:r w:rsidRPr="00B8593E">
        <w:rPr>
          <w:lang w:val="es-ES"/>
        </w:rPr>
        <w:t xml:space="preserve">Artículo 12. Quienes generen, recopilen, administren, manejen, procesen, archiven o conserven información pública serán responsables de la misma en los términos de las disposiciones jurídicas aplicables. </w:t>
      </w:r>
    </w:p>
    <w:p w14:paraId="7E2EE13E" w14:textId="77777777" w:rsidR="00160712" w:rsidRPr="00B8593E" w:rsidRDefault="00160712" w:rsidP="00160712">
      <w:pPr>
        <w:pStyle w:val="Textonotapie"/>
        <w:jc w:val="both"/>
        <w:rPr>
          <w:lang w:val="es-ES"/>
        </w:rPr>
      </w:pPr>
      <w:r w:rsidRPr="00B8593E">
        <w:rPr>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D6B75" w14:paraId="6B4E3B81" w14:textId="77777777" w:rsidTr="00B4299A">
      <w:tc>
        <w:tcPr>
          <w:tcW w:w="2701" w:type="dxa"/>
          <w:vAlign w:val="center"/>
          <w:hideMark/>
        </w:tcPr>
        <w:p w14:paraId="0ABBC6C0" w14:textId="1226DAAF" w:rsidR="00BD6B75" w:rsidRPr="00B4299A" w:rsidRDefault="00BD6B75"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E0983A2" w:rsidR="00BD6B75" w:rsidRPr="00B4299A" w:rsidRDefault="00A1039C" w:rsidP="006E011A">
          <w:pPr>
            <w:rPr>
              <w:rFonts w:ascii="Palatino Linotype" w:hAnsi="Palatino Linotype"/>
              <w:b/>
              <w:szCs w:val="22"/>
              <w:lang w:val="es-ES_tradnl"/>
            </w:rPr>
          </w:pPr>
          <w:r w:rsidRPr="00A1039C">
            <w:rPr>
              <w:rFonts w:ascii="Palatino Linotype" w:hAnsi="Palatino Linotype"/>
              <w:b/>
              <w:szCs w:val="22"/>
              <w:lang w:val="es-ES_tradnl"/>
            </w:rPr>
            <w:t>02013/INFOEM/IP/RR/2022</w:t>
          </w:r>
        </w:p>
      </w:tc>
    </w:tr>
    <w:tr w:rsidR="00BD6B75" w14:paraId="31CB780F" w14:textId="77777777" w:rsidTr="00B4299A">
      <w:trPr>
        <w:trHeight w:val="228"/>
      </w:trPr>
      <w:tc>
        <w:tcPr>
          <w:tcW w:w="2701" w:type="dxa"/>
          <w:vAlign w:val="center"/>
          <w:hideMark/>
        </w:tcPr>
        <w:p w14:paraId="4F49CB4A" w14:textId="6966D32E" w:rsidR="00BD6B75" w:rsidRPr="00B4299A" w:rsidRDefault="00BD6B75"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25A831E" w:rsidR="00BD6B75" w:rsidRPr="00B4299A" w:rsidRDefault="00A1039C" w:rsidP="00BC4C9B">
          <w:pPr>
            <w:jc w:val="both"/>
            <w:rPr>
              <w:rFonts w:ascii="Palatino Linotype" w:hAnsi="Palatino Linotype"/>
              <w:b/>
              <w:szCs w:val="22"/>
              <w:lang w:val="es-ES_tradnl"/>
            </w:rPr>
          </w:pPr>
          <w:r w:rsidRPr="00A1039C">
            <w:rPr>
              <w:rFonts w:ascii="Palatino Linotype" w:hAnsi="Palatino Linotype"/>
              <w:b/>
              <w:szCs w:val="22"/>
              <w:lang w:val="es-ES_tradnl"/>
            </w:rPr>
            <w:t>Ayuntamiento de Metepec</w:t>
          </w:r>
        </w:p>
      </w:tc>
    </w:tr>
    <w:tr w:rsidR="00BD6B75" w14:paraId="69050F56" w14:textId="77777777" w:rsidTr="00B4299A">
      <w:tc>
        <w:tcPr>
          <w:tcW w:w="2701" w:type="dxa"/>
          <w:vAlign w:val="center"/>
          <w:hideMark/>
        </w:tcPr>
        <w:p w14:paraId="65C9B735" w14:textId="75C78F81" w:rsidR="00BD6B75" w:rsidRPr="00B4299A" w:rsidRDefault="00BD6B75"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D6B75" w:rsidRPr="00B4299A" w:rsidRDefault="00BD6B75"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D6B75" w:rsidRDefault="00BD6B7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4590BC53">
          <wp:simplePos x="0" y="0"/>
          <wp:positionH relativeFrom="page">
            <wp:posOffset>76200</wp:posOffset>
          </wp:positionH>
          <wp:positionV relativeFrom="paragraph">
            <wp:posOffset>-1227455</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D6B75" w:rsidRDefault="00BD6B75"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D6B75" w:rsidRDefault="00BD6B75"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D6B75" w14:paraId="477E149B" w14:textId="77777777" w:rsidTr="00CB57FD">
      <w:trPr>
        <w:trHeight w:val="277"/>
      </w:trPr>
      <w:tc>
        <w:tcPr>
          <w:tcW w:w="2693" w:type="dxa"/>
          <w:vAlign w:val="center"/>
          <w:hideMark/>
        </w:tcPr>
        <w:p w14:paraId="5C0586E4" w14:textId="77777777"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45DD3FD" w:rsidR="00BD6B75" w:rsidRPr="009B3353" w:rsidRDefault="00A1039C" w:rsidP="00A1039C">
          <w:pPr>
            <w:rPr>
              <w:rFonts w:ascii="Palatino Linotype" w:hAnsi="Palatino Linotype"/>
              <w:b/>
              <w:szCs w:val="22"/>
              <w:lang w:val="es-ES_tradnl"/>
            </w:rPr>
          </w:pPr>
          <w:r w:rsidRPr="00A1039C">
            <w:rPr>
              <w:rFonts w:ascii="Palatino Linotype" w:hAnsi="Palatino Linotype"/>
              <w:b/>
              <w:szCs w:val="22"/>
              <w:lang w:val="es-ES_tradnl"/>
            </w:rPr>
            <w:t>02013/INFOEM/IP/RR/2022</w:t>
          </w:r>
        </w:p>
      </w:tc>
    </w:tr>
    <w:tr w:rsidR="00BD6B75" w14:paraId="5B5BE21C" w14:textId="77777777" w:rsidTr="00CB57FD">
      <w:tc>
        <w:tcPr>
          <w:tcW w:w="2693" w:type="dxa"/>
          <w:vAlign w:val="center"/>
          <w:hideMark/>
        </w:tcPr>
        <w:p w14:paraId="4AE96902" w14:textId="4E063913"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5C501E2" w:rsidR="00BD6B75" w:rsidRPr="009B3353" w:rsidRDefault="00BD6B75" w:rsidP="002B7BCC">
          <w:pPr>
            <w:rPr>
              <w:rFonts w:ascii="Palatino Linotype" w:hAnsi="Palatino Linotype"/>
              <w:b/>
              <w:szCs w:val="22"/>
              <w:lang w:val="es-ES_tradnl"/>
            </w:rPr>
          </w:pPr>
          <w:r>
            <w:rPr>
              <w:rFonts w:ascii="Palatino Linotype" w:hAnsi="Palatino Linotype"/>
              <w:b/>
              <w:szCs w:val="22"/>
              <w:lang w:val="es-ES_tradnl"/>
            </w:rPr>
            <w:t>Sin Especificar</w:t>
          </w:r>
        </w:p>
      </w:tc>
    </w:tr>
    <w:tr w:rsidR="00BD6B75" w14:paraId="22601A11" w14:textId="77777777" w:rsidTr="00CB57FD">
      <w:trPr>
        <w:trHeight w:val="228"/>
      </w:trPr>
      <w:tc>
        <w:tcPr>
          <w:tcW w:w="2693" w:type="dxa"/>
          <w:vAlign w:val="center"/>
          <w:hideMark/>
        </w:tcPr>
        <w:p w14:paraId="6EFE221D" w14:textId="49C5F800"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2262BB1" w:rsidR="00BD6B75" w:rsidRPr="009B3353" w:rsidRDefault="00A1039C" w:rsidP="003D473A">
          <w:pPr>
            <w:jc w:val="both"/>
            <w:rPr>
              <w:rFonts w:ascii="Palatino Linotype" w:eastAsia="Calibri" w:hAnsi="Palatino Linotype"/>
              <w:b/>
              <w:szCs w:val="22"/>
              <w:lang w:val="es-MX" w:eastAsia="en-US"/>
            </w:rPr>
          </w:pPr>
          <w:r w:rsidRPr="00A1039C">
            <w:rPr>
              <w:rFonts w:ascii="Palatino Linotype" w:eastAsia="Calibri" w:hAnsi="Palatino Linotype"/>
              <w:b/>
              <w:szCs w:val="22"/>
              <w:lang w:val="es-MX" w:eastAsia="en-US"/>
            </w:rPr>
            <w:t>Ayuntamiento de Metepec</w:t>
          </w:r>
        </w:p>
      </w:tc>
    </w:tr>
    <w:tr w:rsidR="00BD6B75" w14:paraId="2D6C630E" w14:textId="77777777" w:rsidTr="00CB57FD">
      <w:tc>
        <w:tcPr>
          <w:tcW w:w="2693" w:type="dxa"/>
          <w:vAlign w:val="center"/>
          <w:hideMark/>
        </w:tcPr>
        <w:p w14:paraId="5BD4C6DB" w14:textId="7CF21504" w:rsidR="00BD6B75" w:rsidRPr="009B3353" w:rsidRDefault="00BD6B75"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D6B75" w:rsidRPr="009B3353" w:rsidRDefault="00BD6B75"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D6B75" w:rsidRDefault="00BD6B7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2A920CC"/>
    <w:multiLevelType w:val="hybridMultilevel"/>
    <w:tmpl w:val="A98CDF4E"/>
    <w:lvl w:ilvl="0" w:tplc="6D667812">
      <w:start w:val="29"/>
      <w:numFmt w:val="decimal"/>
      <w:lvlText w:val="%1."/>
      <w:lvlJc w:val="left"/>
      <w:pPr>
        <w:ind w:left="720" w:hanging="360"/>
      </w:pPr>
      <w:rPr>
        <w:rFonts w:eastAsia="MS Mincho" w:cs="Times New Roman"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927D1D"/>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98D5D87"/>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9571C4"/>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3"/>
  </w:num>
  <w:num w:numId="5">
    <w:abstractNumId w:val="0"/>
  </w:num>
  <w:num w:numId="6">
    <w:abstractNumId w:val="10"/>
  </w:num>
  <w:num w:numId="7">
    <w:abstractNumId w:val="8"/>
  </w:num>
  <w:num w:numId="8">
    <w:abstractNumId w:val="5"/>
  </w:num>
  <w:num w:numId="9">
    <w:abstractNumId w:val="6"/>
  </w:num>
  <w:num w:numId="10">
    <w:abstractNumId w:val="9"/>
  </w:num>
  <w:num w:numId="11">
    <w:abstractNumId w:val="1"/>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CB3"/>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3D2"/>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6FB0"/>
    <w:rsid w:val="000D7676"/>
    <w:rsid w:val="000D7CBE"/>
    <w:rsid w:val="000D7F38"/>
    <w:rsid w:val="000D7F6F"/>
    <w:rsid w:val="000E08B8"/>
    <w:rsid w:val="000E1259"/>
    <w:rsid w:val="000E1C85"/>
    <w:rsid w:val="000E1CA1"/>
    <w:rsid w:val="000E2D5E"/>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2B7D"/>
    <w:rsid w:val="00102E4C"/>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64F"/>
    <w:rsid w:val="00152866"/>
    <w:rsid w:val="0015311F"/>
    <w:rsid w:val="001539B3"/>
    <w:rsid w:val="00153F8E"/>
    <w:rsid w:val="001543BC"/>
    <w:rsid w:val="0015502B"/>
    <w:rsid w:val="0015554A"/>
    <w:rsid w:val="0015575F"/>
    <w:rsid w:val="00155BCB"/>
    <w:rsid w:val="00155D53"/>
    <w:rsid w:val="00160712"/>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0FA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EB5"/>
    <w:rsid w:val="001D54C7"/>
    <w:rsid w:val="001D5E26"/>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1F6DCA"/>
    <w:rsid w:val="0020054B"/>
    <w:rsid w:val="00201E21"/>
    <w:rsid w:val="00203E4E"/>
    <w:rsid w:val="00204373"/>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F5"/>
    <w:rsid w:val="002817BA"/>
    <w:rsid w:val="00281EF2"/>
    <w:rsid w:val="00282135"/>
    <w:rsid w:val="00282F58"/>
    <w:rsid w:val="00283308"/>
    <w:rsid w:val="00284224"/>
    <w:rsid w:val="002856CF"/>
    <w:rsid w:val="002856DC"/>
    <w:rsid w:val="0028632C"/>
    <w:rsid w:val="002864D4"/>
    <w:rsid w:val="0028674A"/>
    <w:rsid w:val="00286C23"/>
    <w:rsid w:val="00286DC8"/>
    <w:rsid w:val="002874C3"/>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356"/>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6D"/>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4680"/>
    <w:rsid w:val="002F54A4"/>
    <w:rsid w:val="002F5A90"/>
    <w:rsid w:val="002F6977"/>
    <w:rsid w:val="002F700E"/>
    <w:rsid w:val="002F74B6"/>
    <w:rsid w:val="002F750C"/>
    <w:rsid w:val="002F772C"/>
    <w:rsid w:val="002F78A1"/>
    <w:rsid w:val="002F78E8"/>
    <w:rsid w:val="003002F7"/>
    <w:rsid w:val="00302787"/>
    <w:rsid w:val="00302C06"/>
    <w:rsid w:val="00302C33"/>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200"/>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3FE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14E"/>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7B04"/>
    <w:rsid w:val="003A080D"/>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1230"/>
    <w:rsid w:val="003B5CA9"/>
    <w:rsid w:val="003B62A2"/>
    <w:rsid w:val="003B6A7C"/>
    <w:rsid w:val="003B72E9"/>
    <w:rsid w:val="003B7A17"/>
    <w:rsid w:val="003C23B9"/>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00C"/>
    <w:rsid w:val="00445454"/>
    <w:rsid w:val="0044547C"/>
    <w:rsid w:val="00445D54"/>
    <w:rsid w:val="00446BB3"/>
    <w:rsid w:val="00446C36"/>
    <w:rsid w:val="004471D2"/>
    <w:rsid w:val="00450182"/>
    <w:rsid w:val="00450869"/>
    <w:rsid w:val="00450C33"/>
    <w:rsid w:val="00450E50"/>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7DB"/>
    <w:rsid w:val="004F0A75"/>
    <w:rsid w:val="004F0CC9"/>
    <w:rsid w:val="004F1841"/>
    <w:rsid w:val="004F227C"/>
    <w:rsid w:val="004F2CC0"/>
    <w:rsid w:val="004F36DB"/>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003"/>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4802"/>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3F4C"/>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4FF"/>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2E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12C"/>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6B7"/>
    <w:rsid w:val="00600733"/>
    <w:rsid w:val="006010BF"/>
    <w:rsid w:val="00601222"/>
    <w:rsid w:val="0060127F"/>
    <w:rsid w:val="00601296"/>
    <w:rsid w:val="00601A09"/>
    <w:rsid w:val="00601B42"/>
    <w:rsid w:val="00602563"/>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55B"/>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BE1"/>
    <w:rsid w:val="00640D71"/>
    <w:rsid w:val="00640FB3"/>
    <w:rsid w:val="00641BB7"/>
    <w:rsid w:val="00643D6C"/>
    <w:rsid w:val="006443ED"/>
    <w:rsid w:val="006445D2"/>
    <w:rsid w:val="00645887"/>
    <w:rsid w:val="0064661F"/>
    <w:rsid w:val="00647094"/>
    <w:rsid w:val="006505D9"/>
    <w:rsid w:val="00650880"/>
    <w:rsid w:val="00650D78"/>
    <w:rsid w:val="00653030"/>
    <w:rsid w:val="00654417"/>
    <w:rsid w:val="0065578F"/>
    <w:rsid w:val="00655A5C"/>
    <w:rsid w:val="00655B83"/>
    <w:rsid w:val="00655F33"/>
    <w:rsid w:val="00656AB0"/>
    <w:rsid w:val="00656C59"/>
    <w:rsid w:val="006578C2"/>
    <w:rsid w:val="00660AFC"/>
    <w:rsid w:val="00661AC2"/>
    <w:rsid w:val="00661B36"/>
    <w:rsid w:val="00663207"/>
    <w:rsid w:val="00663F26"/>
    <w:rsid w:val="00666655"/>
    <w:rsid w:val="00666C54"/>
    <w:rsid w:val="00667C8B"/>
    <w:rsid w:val="00667D3E"/>
    <w:rsid w:val="00672BDA"/>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4CF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1CBC"/>
    <w:rsid w:val="0079298A"/>
    <w:rsid w:val="00793368"/>
    <w:rsid w:val="0079361A"/>
    <w:rsid w:val="00793A7B"/>
    <w:rsid w:val="00794261"/>
    <w:rsid w:val="00794305"/>
    <w:rsid w:val="00794323"/>
    <w:rsid w:val="007966AC"/>
    <w:rsid w:val="00797539"/>
    <w:rsid w:val="007A02EB"/>
    <w:rsid w:val="007A0327"/>
    <w:rsid w:val="007A1080"/>
    <w:rsid w:val="007A1177"/>
    <w:rsid w:val="007A11F1"/>
    <w:rsid w:val="007A1A5F"/>
    <w:rsid w:val="007A2132"/>
    <w:rsid w:val="007A237F"/>
    <w:rsid w:val="007A29CA"/>
    <w:rsid w:val="007A3089"/>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5D4D"/>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5C2A"/>
    <w:rsid w:val="008063E2"/>
    <w:rsid w:val="00806829"/>
    <w:rsid w:val="00806A83"/>
    <w:rsid w:val="00807739"/>
    <w:rsid w:val="0080791A"/>
    <w:rsid w:val="008100C2"/>
    <w:rsid w:val="00810A48"/>
    <w:rsid w:val="00811637"/>
    <w:rsid w:val="008139B9"/>
    <w:rsid w:val="00814930"/>
    <w:rsid w:val="00815752"/>
    <w:rsid w:val="00816105"/>
    <w:rsid w:val="00817AAB"/>
    <w:rsid w:val="008207CA"/>
    <w:rsid w:val="00821826"/>
    <w:rsid w:val="008223A5"/>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0E"/>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2F9"/>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C6C18"/>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844"/>
    <w:rsid w:val="008E4F15"/>
    <w:rsid w:val="008E537E"/>
    <w:rsid w:val="008E5BC1"/>
    <w:rsid w:val="008E72F5"/>
    <w:rsid w:val="008E7698"/>
    <w:rsid w:val="008E7709"/>
    <w:rsid w:val="008E7A65"/>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2E4"/>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A6C"/>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C25"/>
    <w:rsid w:val="00977454"/>
    <w:rsid w:val="009816F9"/>
    <w:rsid w:val="00981F51"/>
    <w:rsid w:val="0098269C"/>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97208"/>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0DE1"/>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2F18"/>
    <w:rsid w:val="00A037CB"/>
    <w:rsid w:val="00A0469A"/>
    <w:rsid w:val="00A04B89"/>
    <w:rsid w:val="00A04EB0"/>
    <w:rsid w:val="00A05063"/>
    <w:rsid w:val="00A075F7"/>
    <w:rsid w:val="00A076B7"/>
    <w:rsid w:val="00A1039C"/>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5195"/>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6FE7"/>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5EF"/>
    <w:rsid w:val="00B01E0D"/>
    <w:rsid w:val="00B03459"/>
    <w:rsid w:val="00B03CE2"/>
    <w:rsid w:val="00B04008"/>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3EAA"/>
    <w:rsid w:val="00B25866"/>
    <w:rsid w:val="00B25A6F"/>
    <w:rsid w:val="00B25BC6"/>
    <w:rsid w:val="00B270F3"/>
    <w:rsid w:val="00B30948"/>
    <w:rsid w:val="00B316E2"/>
    <w:rsid w:val="00B322FC"/>
    <w:rsid w:val="00B33A9A"/>
    <w:rsid w:val="00B33C2F"/>
    <w:rsid w:val="00B34D6D"/>
    <w:rsid w:val="00B35432"/>
    <w:rsid w:val="00B373AD"/>
    <w:rsid w:val="00B40DA2"/>
    <w:rsid w:val="00B41343"/>
    <w:rsid w:val="00B4134E"/>
    <w:rsid w:val="00B4137E"/>
    <w:rsid w:val="00B41837"/>
    <w:rsid w:val="00B41BE7"/>
    <w:rsid w:val="00B41C8B"/>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367"/>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30C"/>
    <w:rsid w:val="00BB0CC2"/>
    <w:rsid w:val="00BB107D"/>
    <w:rsid w:val="00BB1159"/>
    <w:rsid w:val="00BB195A"/>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4C9B"/>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BEA"/>
    <w:rsid w:val="00BD5EA7"/>
    <w:rsid w:val="00BD6857"/>
    <w:rsid w:val="00BD6B75"/>
    <w:rsid w:val="00BD6BED"/>
    <w:rsid w:val="00BD71EB"/>
    <w:rsid w:val="00BD7483"/>
    <w:rsid w:val="00BE097D"/>
    <w:rsid w:val="00BE0E74"/>
    <w:rsid w:val="00BE1DBF"/>
    <w:rsid w:val="00BE226E"/>
    <w:rsid w:val="00BE3B2F"/>
    <w:rsid w:val="00BE421A"/>
    <w:rsid w:val="00BE4666"/>
    <w:rsid w:val="00BE66D6"/>
    <w:rsid w:val="00BE67A1"/>
    <w:rsid w:val="00BE732D"/>
    <w:rsid w:val="00BF0540"/>
    <w:rsid w:val="00BF0748"/>
    <w:rsid w:val="00BF0B64"/>
    <w:rsid w:val="00BF212E"/>
    <w:rsid w:val="00BF330A"/>
    <w:rsid w:val="00BF42CF"/>
    <w:rsid w:val="00BF469C"/>
    <w:rsid w:val="00BF558C"/>
    <w:rsid w:val="00BF685A"/>
    <w:rsid w:val="00BF6B39"/>
    <w:rsid w:val="00BF6CDB"/>
    <w:rsid w:val="00C0076A"/>
    <w:rsid w:val="00C0095A"/>
    <w:rsid w:val="00C0130F"/>
    <w:rsid w:val="00C0590E"/>
    <w:rsid w:val="00C05950"/>
    <w:rsid w:val="00C06929"/>
    <w:rsid w:val="00C06EF4"/>
    <w:rsid w:val="00C0705A"/>
    <w:rsid w:val="00C07899"/>
    <w:rsid w:val="00C07FA9"/>
    <w:rsid w:val="00C10AEE"/>
    <w:rsid w:val="00C10DD6"/>
    <w:rsid w:val="00C10DEC"/>
    <w:rsid w:val="00C1122F"/>
    <w:rsid w:val="00C11F89"/>
    <w:rsid w:val="00C120C6"/>
    <w:rsid w:val="00C12C0F"/>
    <w:rsid w:val="00C134E5"/>
    <w:rsid w:val="00C13832"/>
    <w:rsid w:val="00C1424D"/>
    <w:rsid w:val="00C143AE"/>
    <w:rsid w:val="00C1470E"/>
    <w:rsid w:val="00C15931"/>
    <w:rsid w:val="00C16490"/>
    <w:rsid w:val="00C16ECF"/>
    <w:rsid w:val="00C17535"/>
    <w:rsid w:val="00C1778D"/>
    <w:rsid w:val="00C20E42"/>
    <w:rsid w:val="00C22635"/>
    <w:rsid w:val="00C22842"/>
    <w:rsid w:val="00C2290E"/>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400E5"/>
    <w:rsid w:val="00C40AB5"/>
    <w:rsid w:val="00C4201F"/>
    <w:rsid w:val="00C420DF"/>
    <w:rsid w:val="00C4284F"/>
    <w:rsid w:val="00C42ACD"/>
    <w:rsid w:val="00C4317A"/>
    <w:rsid w:val="00C4357D"/>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5979"/>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54B5"/>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183E"/>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6596"/>
    <w:rsid w:val="00CC77E3"/>
    <w:rsid w:val="00CD04A8"/>
    <w:rsid w:val="00CD0985"/>
    <w:rsid w:val="00CD2AE3"/>
    <w:rsid w:val="00CD4A97"/>
    <w:rsid w:val="00CD4D23"/>
    <w:rsid w:val="00CD50FB"/>
    <w:rsid w:val="00CD55AE"/>
    <w:rsid w:val="00CD57CA"/>
    <w:rsid w:val="00CD6519"/>
    <w:rsid w:val="00CD707C"/>
    <w:rsid w:val="00CD737C"/>
    <w:rsid w:val="00CD7BC3"/>
    <w:rsid w:val="00CD7BE0"/>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D4F"/>
    <w:rsid w:val="00D07F0D"/>
    <w:rsid w:val="00D11533"/>
    <w:rsid w:val="00D11854"/>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1DB2"/>
    <w:rsid w:val="00D62FF1"/>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2BC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4C1C"/>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8A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3F5E"/>
    <w:rsid w:val="00DF578F"/>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0D7"/>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2B09"/>
    <w:rsid w:val="00E733A6"/>
    <w:rsid w:val="00E7373D"/>
    <w:rsid w:val="00E742B9"/>
    <w:rsid w:val="00E747D5"/>
    <w:rsid w:val="00E74EB3"/>
    <w:rsid w:val="00E75D14"/>
    <w:rsid w:val="00E8003A"/>
    <w:rsid w:val="00E805C5"/>
    <w:rsid w:val="00E8080E"/>
    <w:rsid w:val="00E81221"/>
    <w:rsid w:val="00E81502"/>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A27"/>
    <w:rsid w:val="00EF3FA7"/>
    <w:rsid w:val="00EF4435"/>
    <w:rsid w:val="00EF507D"/>
    <w:rsid w:val="00EF6D71"/>
    <w:rsid w:val="00EF7AE7"/>
    <w:rsid w:val="00F00AB6"/>
    <w:rsid w:val="00F00CD5"/>
    <w:rsid w:val="00F00D29"/>
    <w:rsid w:val="00F00FF2"/>
    <w:rsid w:val="00F01081"/>
    <w:rsid w:val="00F01AD6"/>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31E"/>
    <w:rsid w:val="00F23DD7"/>
    <w:rsid w:val="00F240EA"/>
    <w:rsid w:val="00F2496F"/>
    <w:rsid w:val="00F252AC"/>
    <w:rsid w:val="00F25D1F"/>
    <w:rsid w:val="00F25EC1"/>
    <w:rsid w:val="00F26185"/>
    <w:rsid w:val="00F26DC3"/>
    <w:rsid w:val="00F300EF"/>
    <w:rsid w:val="00F301C6"/>
    <w:rsid w:val="00F30A35"/>
    <w:rsid w:val="00F30F7B"/>
    <w:rsid w:val="00F322EA"/>
    <w:rsid w:val="00F32682"/>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57F23"/>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0F6F"/>
    <w:rsid w:val="00F81DCD"/>
    <w:rsid w:val="00F82380"/>
    <w:rsid w:val="00F83A74"/>
    <w:rsid w:val="00F84BAA"/>
    <w:rsid w:val="00F84D35"/>
    <w:rsid w:val="00F85D73"/>
    <w:rsid w:val="00F86921"/>
    <w:rsid w:val="00F86A78"/>
    <w:rsid w:val="00F86E48"/>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6732"/>
    <w:rsid w:val="00FA7275"/>
    <w:rsid w:val="00FA7B5A"/>
    <w:rsid w:val="00FA7FCA"/>
    <w:rsid w:val="00FA7FF8"/>
    <w:rsid w:val="00FB1668"/>
    <w:rsid w:val="00FB1D01"/>
    <w:rsid w:val="00FB1D39"/>
    <w:rsid w:val="00FB3A38"/>
    <w:rsid w:val="00FB48D6"/>
    <w:rsid w:val="00FB52E0"/>
    <w:rsid w:val="00FB53E4"/>
    <w:rsid w:val="00FB58E2"/>
    <w:rsid w:val="00FB59B6"/>
    <w:rsid w:val="00FB75C0"/>
    <w:rsid w:val="00FC02EA"/>
    <w:rsid w:val="00FC12AD"/>
    <w:rsid w:val="00FC17E0"/>
    <w:rsid w:val="00FC1BD1"/>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43BA"/>
    <w:rsid w:val="00FE4939"/>
    <w:rsid w:val="00FE5006"/>
    <w:rsid w:val="00FE517E"/>
    <w:rsid w:val="00FE5219"/>
    <w:rsid w:val="00FE5747"/>
    <w:rsid w:val="00FE612F"/>
    <w:rsid w:val="00FE6C02"/>
    <w:rsid w:val="00FE71F9"/>
    <w:rsid w:val="00FE7FBB"/>
    <w:rsid w:val="00FF0383"/>
    <w:rsid w:val="00FF0FB1"/>
    <w:rsid w:val="00FF175C"/>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8789347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8766413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7800561">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932936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183498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0061271">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2841557">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0992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60844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1318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31741.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231741.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A7F9-513E-4620-944C-EA5D198B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3632</Words>
  <Characters>19978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2021-11-30T23:45:00Z</cp:lastPrinted>
  <dcterms:created xsi:type="dcterms:W3CDTF">2022-05-02T23:11:00Z</dcterms:created>
  <dcterms:modified xsi:type="dcterms:W3CDTF">2022-05-03T19:38:00Z</dcterms:modified>
</cp:coreProperties>
</file>