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30j0zll"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uno de junio de dos mil veintidós.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VISTO</w:t>
      </w:r>
      <w:r w:rsidDel="00000000" w:rsidR="00000000" w:rsidRPr="00000000">
        <w:rPr>
          <w:rFonts w:ascii="Palatino Linotype" w:cs="Palatino Linotype" w:eastAsia="Palatino Linotype" w:hAnsi="Palatino Linotype"/>
          <w:color w:val="000000"/>
          <w:rtl w:val="0"/>
        </w:rPr>
        <w:t xml:space="preserve"> el expediente electrónico formado con motivo del recurso de revisión número </w:t>
      </w:r>
      <w:r w:rsidDel="00000000" w:rsidR="00000000" w:rsidRPr="00000000">
        <w:rPr>
          <w:rFonts w:ascii="Palatino Linotype" w:cs="Palatino Linotype" w:eastAsia="Palatino Linotype" w:hAnsi="Palatino Linotype"/>
          <w:b w:val="1"/>
          <w:color w:val="000000"/>
          <w:rtl w:val="0"/>
        </w:rPr>
        <w:t xml:space="preserve">02349/INFOEM/IP/RR/2022</w:t>
      </w:r>
      <w:r w:rsidDel="00000000" w:rsidR="00000000" w:rsidRPr="00000000">
        <w:rPr>
          <w:rFonts w:ascii="Palatino Linotype" w:cs="Palatino Linotype" w:eastAsia="Palatino Linotype" w:hAnsi="Palatino Linotype"/>
          <w:color w:val="000000"/>
          <w:rtl w:val="0"/>
        </w:rPr>
        <w:t xml:space="preserve">, interpuesto por </w:t>
      </w:r>
      <w:r w:rsidDel="00000000" w:rsidR="00000000" w:rsidRPr="00000000">
        <w:rPr>
          <w:rFonts w:ascii="Palatino Linotype" w:cs="Palatino Linotype" w:eastAsia="Palatino Linotype" w:hAnsi="Palatino Linotype"/>
          <w:rtl w:val="0"/>
        </w:rPr>
        <w:t xml:space="preserve">XXXXX</w:t>
      </w:r>
      <w:r w:rsidDel="00000000" w:rsidR="00000000" w:rsidRPr="00000000">
        <w:rPr>
          <w:rFonts w:ascii="Palatino Linotype" w:cs="Palatino Linotype" w:eastAsia="Palatino Linotype" w:hAnsi="Palatino Linotype"/>
          <w:color w:val="000000"/>
          <w:rtl w:val="0"/>
        </w:rPr>
        <w:t xml:space="preserve">, en lo sucesivo el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en contra de la respuesta del </w:t>
      </w:r>
      <w:r w:rsidDel="00000000" w:rsidR="00000000" w:rsidRPr="00000000">
        <w:rPr>
          <w:rFonts w:ascii="Palatino Linotype" w:cs="Palatino Linotype" w:eastAsia="Palatino Linotype" w:hAnsi="Palatino Linotype"/>
          <w:b w:val="1"/>
          <w:color w:val="000000"/>
          <w:rtl w:val="0"/>
        </w:rPr>
        <w:t xml:space="preserve">Ayuntamiento de Calimaya</w:t>
      </w:r>
      <w:r w:rsidDel="00000000" w:rsidR="00000000" w:rsidRPr="00000000">
        <w:rPr>
          <w:rFonts w:ascii="Palatino Linotype" w:cs="Palatino Linotype" w:eastAsia="Palatino Linotype" w:hAnsi="Palatino Linotype"/>
          <w:color w:val="000000"/>
          <w:rtl w:val="0"/>
        </w:rPr>
        <w:t xml:space="preserve">, en lo subsecuente</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el</w:t>
      </w:r>
      <w:r w:rsidDel="00000000" w:rsidR="00000000" w:rsidRPr="00000000">
        <w:rPr>
          <w:rFonts w:ascii="Palatino Linotype" w:cs="Palatino Linotype" w:eastAsia="Palatino Linotype" w:hAnsi="Palatino Linotype"/>
          <w:b w:val="1"/>
          <w:color w:val="000000"/>
          <w:rtl w:val="0"/>
        </w:rPr>
        <w:t xml:space="preserve"> Sujeto Obligado, </w:t>
      </w:r>
      <w:r w:rsidDel="00000000" w:rsidR="00000000" w:rsidRPr="00000000">
        <w:rPr>
          <w:rFonts w:ascii="Palatino Linotype" w:cs="Palatino Linotype" w:eastAsia="Palatino Linotype" w:hAnsi="Palatino Linotype"/>
          <w:color w:val="000000"/>
          <w:rtl w:val="0"/>
        </w:rPr>
        <w:t xml:space="preserve">se procede a dictar la presente resolución.</w:t>
      </w:r>
    </w:p>
    <w:p w:rsidR="00000000" w:rsidDel="00000000" w:rsidP="00000000" w:rsidRDefault="00000000" w:rsidRPr="00000000" w14:paraId="00000003">
      <w:pPr>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N T E C E D E N T E S</w:t>
      </w:r>
    </w:p>
    <w:p w:rsidR="00000000" w:rsidDel="00000000" w:rsidP="00000000" w:rsidRDefault="00000000" w:rsidRPr="00000000" w14:paraId="00000004">
      <w:pPr>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sz w:val="26"/>
          <w:szCs w:val="26"/>
          <w:rtl w:val="0"/>
        </w:rPr>
        <w:t xml:space="preserve">1.</w:t>
      </w:r>
      <w:r w:rsidDel="00000000" w:rsidR="00000000" w:rsidRPr="00000000">
        <w:rPr>
          <w:rFonts w:ascii="Palatino Linotype" w:cs="Palatino Linotype" w:eastAsia="Palatino Linotype" w:hAnsi="Palatino Linotype"/>
          <w:color w:val="000000"/>
          <w:sz w:val="26"/>
          <w:szCs w:val="26"/>
          <w:rtl w:val="0"/>
        </w:rPr>
        <w:t xml:space="preserve"> </w:t>
      </w:r>
      <w:r w:rsidDel="00000000" w:rsidR="00000000" w:rsidRPr="00000000">
        <w:rPr>
          <w:rFonts w:ascii="Palatino Linotype" w:cs="Palatino Linotype" w:eastAsia="Palatino Linotype" w:hAnsi="Palatino Linotype"/>
          <w:b w:val="1"/>
          <w:color w:val="000000"/>
          <w:sz w:val="26"/>
          <w:szCs w:val="26"/>
          <w:rtl w:val="0"/>
        </w:rPr>
        <w:t xml:space="preserve">Solicitud de acceso a la información.</w:t>
      </w:r>
      <w:r w:rsidDel="00000000" w:rsidR="00000000" w:rsidRPr="00000000">
        <w:rPr>
          <w:rFonts w:ascii="Palatino Linotype" w:cs="Palatino Linotype" w:eastAsia="Palatino Linotype" w:hAnsi="Palatino Linotype"/>
          <w:color w:val="000000"/>
          <w:sz w:val="26"/>
          <w:szCs w:val="26"/>
          <w:rtl w:val="0"/>
        </w:rPr>
        <w:t xml:space="preserve"> </w:t>
      </w:r>
      <w:r w:rsidDel="00000000" w:rsidR="00000000" w:rsidRPr="00000000">
        <w:rPr>
          <w:rFonts w:ascii="Palatino Linotype" w:cs="Palatino Linotype" w:eastAsia="Palatino Linotype" w:hAnsi="Palatino Linotype"/>
          <w:color w:val="000000"/>
          <w:rtl w:val="0"/>
        </w:rPr>
        <w:t xml:space="preserve">Con fecha </w:t>
      </w:r>
      <w:r w:rsidDel="00000000" w:rsidR="00000000" w:rsidRPr="00000000">
        <w:rPr>
          <w:rFonts w:ascii="Palatino Linotype" w:cs="Palatino Linotype" w:eastAsia="Palatino Linotype" w:hAnsi="Palatino Linotype"/>
          <w:b w:val="1"/>
          <w:color w:val="000000"/>
          <w:rtl w:val="0"/>
        </w:rPr>
        <w:t xml:space="preserve">veinte de enero de dos mil veintidós</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presentó a través de la Plataforma Nacional de Transparencia (PNT), la cual se encuentra vinculada al Sistema de Acceso a la Información Mexiquense, en lo subsecuente el SAIMEX ante el Sujeto Obligado, la solicitud de acceso a la información pública, a la que se le asignó el número de folio </w:t>
      </w:r>
      <w:r w:rsidDel="00000000" w:rsidR="00000000" w:rsidRPr="00000000">
        <w:rPr>
          <w:rFonts w:ascii="Palatino Linotype" w:cs="Palatino Linotype" w:eastAsia="Palatino Linotype" w:hAnsi="Palatino Linotype"/>
          <w:b w:val="1"/>
          <w:color w:val="000000"/>
          <w:rtl w:val="0"/>
        </w:rPr>
        <w:t xml:space="preserve">00037/CALIMAYA/IP/2022</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mediante la cual requirió la información siguiente:</w:t>
      </w:r>
    </w:p>
    <w:p w:rsidR="00000000" w:rsidDel="00000000" w:rsidP="00000000" w:rsidRDefault="00000000" w:rsidRPr="00000000" w14:paraId="00000006">
      <w:pPr>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0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Solicito los ingresos que recibió el municipio en el mes de agosto de 2019</w:t>
      </w:r>
      <w:r w:rsidDel="00000000" w:rsidR="00000000" w:rsidRPr="00000000">
        <w:rPr>
          <w:rFonts w:ascii="Palatino Linotype" w:cs="Palatino Linotype" w:eastAsia="Palatino Linotype" w:hAnsi="Palatino Linotype"/>
          <w:i w:val="1"/>
          <w:color w:val="000000"/>
          <w:sz w:val="22"/>
          <w:szCs w:val="22"/>
          <w:rtl w:val="0"/>
        </w:rPr>
        <w:t xml:space="preserve">.” (Sic)</w:t>
      </w:r>
      <w:r w:rsidDel="00000000" w:rsidR="00000000" w:rsidRPr="00000000">
        <w:rPr>
          <w:rtl w:val="0"/>
        </w:rPr>
      </w:r>
    </w:p>
    <w:p w:rsidR="00000000" w:rsidDel="00000000" w:rsidP="00000000" w:rsidRDefault="00000000" w:rsidRPr="00000000" w14:paraId="00000008">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Modalidad de entrega: </w:t>
      </w:r>
      <w:r w:rsidDel="00000000" w:rsidR="00000000" w:rsidRPr="00000000">
        <w:rPr>
          <w:rFonts w:ascii="Palatino Linotype" w:cs="Palatino Linotype" w:eastAsia="Palatino Linotype" w:hAnsi="Palatino Linotype"/>
          <w:b w:val="1"/>
          <w:color w:val="000000"/>
          <w:rtl w:val="0"/>
        </w:rPr>
        <w:t xml:space="preserve">A través del SAIMEX</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color w:val="000000"/>
        </w:rPr>
      </w:pPr>
      <w:r w:rsidDel="00000000" w:rsidR="00000000" w:rsidRPr="00000000">
        <w:rPr/>
        <w:drawing>
          <wp:inline distB="0" distT="0" distL="0" distR="0">
            <wp:extent cx="4343400" cy="561975"/>
            <wp:effectExtent b="0" l="0" r="0" t="0"/>
            <wp:docPr id="4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34340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particular adjuntó  a su solicitud de información un archivo denominado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t xml:space="preserve">“</w:t>
      </w:r>
      <w:hyperlink r:id="rId9">
        <w:r w:rsidDel="00000000" w:rsidR="00000000" w:rsidRPr="00000000">
          <w:rPr>
            <w:rFonts w:ascii="Palatino Linotype" w:cs="Palatino Linotype" w:eastAsia="Palatino Linotype" w:hAnsi="Palatino Linotype"/>
            <w:b w:val="1"/>
            <w:i w:val="1"/>
            <w:color w:val="000000"/>
            <w:rtl w:val="0"/>
          </w:rPr>
          <w:t xml:space="preserve">Archivo Adjunto a la Solicitud</w:t>
        </w:r>
      </w:hyperlink>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el cual no fue posible visualizar.</w:t>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del Sujeto Obligado.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once de febrero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notificó su respuesta a la solicitud de acceso a la información, a través de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sustancialmente en los términos siguientes: </w:t>
      </w:r>
    </w:p>
    <w:p w:rsidR="00000000" w:rsidDel="00000000" w:rsidP="00000000" w:rsidRDefault="00000000" w:rsidRPr="00000000" w14:paraId="0000000D">
      <w:pPr>
        <w:spacing w:before="240" w:lineRule="auto"/>
        <w:ind w:left="567" w:right="902"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“Calimaya, México a 11 de Febrero de 2022</w:t>
      </w:r>
    </w:p>
    <w:p w:rsidR="00000000" w:rsidDel="00000000" w:rsidP="00000000" w:rsidRDefault="00000000" w:rsidRPr="00000000" w14:paraId="0000000E">
      <w:pPr>
        <w:ind w:left="567" w:right="902"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Nombre del solicitante:</w:t>
      </w:r>
    </w:p>
    <w:p w:rsidR="00000000" w:rsidDel="00000000" w:rsidP="00000000" w:rsidRDefault="00000000" w:rsidRPr="00000000" w14:paraId="0000000F">
      <w:pPr>
        <w:ind w:left="567" w:right="902"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Folio de la solicitud: 00037/CALIMAYA/IP/2022</w:t>
      </w:r>
    </w:p>
    <w:p w:rsidR="00000000" w:rsidDel="00000000" w:rsidP="00000000" w:rsidRDefault="00000000" w:rsidRPr="00000000" w14:paraId="00000010">
      <w:pPr>
        <w:ind w:left="567" w:right="902" w:firstLine="0"/>
        <w:jc w:val="right"/>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1">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2">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3">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ESTIMADO SOLICITANTE: EN ATENCIÓN A SU SOLICITUD DE INFORMACIÓN CON NÚMERO DE FOLIO 00037/CALIMAYA/IP/2022 POR ESTE MEDIO ME PERMITO HACER DE SU CONOCIMIENTO QUE SU SOLICITUD FUE TURNADA A LOS SERVIDORES PÚBLICOS HABILITADOS QUE A CONTINUACIÓN SE ENLISTAN, QUIENES CONFORME A LO QUE ESTABLECE EL ARTÍCULO 59 DE LA LEY DE TRANSPARENCIA Y ACCESO A LA INFORMACIÓN PÚBLICA DEL ESTADO DE MÉXICO Y MUNICIPIOS, OTORGARON LAS SIGUIENTES RESPUESTAS " En atención a solicitud de información sobre los ingresos que recibió el municipio en el mes de agosto de 2019 Se anexa archivo PDF con la información solicitada”. (Tesorería Municipal) SIN OTRO PARTICULAR Y DEJANDO A SALVO LAS PRERROGATIVAS QUE ESTÁN SEÑALADAS EN EL TÍTULO OCTAVO DE LA LEY ANTES CITADA, QUEDO DE USTED.</w:t>
      </w:r>
    </w:p>
    <w:p w:rsidR="00000000" w:rsidDel="00000000" w:rsidP="00000000" w:rsidRDefault="00000000" w:rsidRPr="00000000" w14:paraId="00000014">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5">
      <w:pPr>
        <w:tabs>
          <w:tab w:val="left" w:pos="5865"/>
        </w:tabs>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tab/>
      </w:r>
    </w:p>
    <w:p w:rsidR="00000000" w:rsidDel="00000000" w:rsidP="00000000" w:rsidRDefault="00000000" w:rsidRPr="00000000" w14:paraId="0000001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DRA. YESIKA GUADALUPE GÓMEZ CARMONA”. (Sic)</w:t>
      </w:r>
    </w:p>
    <w:p w:rsidR="00000000" w:rsidDel="00000000" w:rsidP="00000000" w:rsidRDefault="00000000" w:rsidRPr="00000000" w14:paraId="00000017">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8">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a su respuesta el archivo </w:t>
      </w:r>
      <w:r w:rsidDel="00000000" w:rsidR="00000000" w:rsidRPr="00000000">
        <w:rPr>
          <w:rFonts w:ascii="Palatino Linotype" w:cs="Palatino Linotype" w:eastAsia="Palatino Linotype" w:hAnsi="Palatino Linotype"/>
          <w:b w:val="1"/>
          <w:i w:val="1"/>
          <w:rtl w:val="0"/>
        </w:rPr>
        <w:t xml:space="preserve">INGRESOS AGOSTO 2019.pdf, </w:t>
      </w:r>
      <w:r w:rsidDel="00000000" w:rsidR="00000000" w:rsidRPr="00000000">
        <w:rPr>
          <w:rFonts w:ascii="Palatino Linotype" w:cs="Palatino Linotype" w:eastAsia="Palatino Linotype" w:hAnsi="Palatino Linotype"/>
          <w:rtl w:val="0"/>
        </w:rPr>
        <w:t xml:space="preserve">el cual contiene el desglose de ingresos del 01 al 31 de agosto de 2019, integrado por un total de 15 hojas de las cuales únicamente se inserta la primera a manera de ejemplo: </w:t>
      </w:r>
    </w:p>
    <w:p w:rsidR="00000000" w:rsidDel="00000000" w:rsidP="00000000" w:rsidRDefault="00000000" w:rsidRPr="00000000" w14:paraId="00000019">
      <w:pPr>
        <w:ind w:right="902"/>
        <w:jc w:val="both"/>
        <w:rPr>
          <w:rFonts w:ascii="Palatino Linotype" w:cs="Palatino Linotype" w:eastAsia="Palatino Linotype" w:hAnsi="Palatino Linotype"/>
          <w:sz w:val="22"/>
          <w:szCs w:val="22"/>
        </w:rPr>
      </w:pPr>
      <w:r w:rsidDel="00000000" w:rsidR="00000000" w:rsidRPr="00000000">
        <w:rPr/>
        <w:drawing>
          <wp:inline distB="0" distT="0" distL="0" distR="0">
            <wp:extent cx="5612130" cy="5829300"/>
            <wp:effectExtent b="0" l="0" r="0" t="0"/>
            <wp:docPr id="4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61213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la respuesta, el día </w:t>
      </w:r>
      <w:r w:rsidDel="00000000" w:rsidR="00000000" w:rsidRPr="00000000">
        <w:rPr>
          <w:rFonts w:ascii="Palatino Linotype" w:cs="Palatino Linotype" w:eastAsia="Palatino Linotype" w:hAnsi="Palatino Linotype"/>
          <w:b w:val="1"/>
          <w:rtl w:val="0"/>
        </w:rPr>
        <w:t xml:space="preserve">veintiocho de febrero del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materia del presente estudio, en el que señaló como:</w:t>
      </w:r>
    </w:p>
    <w:p w:rsidR="00000000" w:rsidDel="00000000" w:rsidP="00000000" w:rsidRDefault="00000000" w:rsidRPr="00000000" w14:paraId="0000001C">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p>
    <w:p w:rsidR="00000000" w:rsidDel="00000000" w:rsidP="00000000" w:rsidRDefault="00000000" w:rsidRPr="00000000" w14:paraId="0000001D">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“falta de información” (Sic)</w:t>
      </w:r>
    </w:p>
    <w:p w:rsidR="00000000" w:rsidDel="00000000" w:rsidP="00000000" w:rsidRDefault="00000000" w:rsidRPr="00000000" w14:paraId="0000001E">
      <w:pPr>
        <w:ind w:right="902"/>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Razones o motivos de inconformidad:</w:t>
      </w:r>
    </w:p>
    <w:p w:rsidR="00000000" w:rsidDel="00000000" w:rsidP="00000000" w:rsidRDefault="00000000" w:rsidRPr="00000000" w14:paraId="0000002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particular no expresó manifestación alguna en este rubro.</w:t>
      </w:r>
    </w:p>
    <w:p w:rsidR="00000000" w:rsidDel="00000000" w:rsidP="00000000" w:rsidRDefault="00000000" w:rsidRPr="00000000" w14:paraId="00000021">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recurso de revisión </w:t>
      </w:r>
      <w:r w:rsidDel="00000000" w:rsidR="00000000" w:rsidRPr="00000000">
        <w:rPr>
          <w:rFonts w:ascii="Palatino Linotype" w:cs="Palatino Linotype" w:eastAsia="Palatino Linotype" w:hAnsi="Palatino Linotype"/>
          <w:b w:val="1"/>
          <w:rtl w:val="0"/>
        </w:rPr>
        <w:t xml:space="preserve">02349/INFOEM/IP/RR/2022</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23">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Recursos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cuatro de marzo del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 </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constancias del expediente electrónico del SAIMEX,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su informe justificado, asimismo cabe señalar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fue omiso en emitir pronunciamientos, ofrecer pruebas o alegatos, por lo que se tiene por precluido su derecho para tal efecto. </w:t>
      </w:r>
      <w:r w:rsidDel="00000000" w:rsidR="00000000" w:rsidRPr="00000000">
        <w:rPr/>
        <w:drawing>
          <wp:inline distB="0" distT="0" distL="0" distR="0">
            <wp:extent cx="5726960" cy="1918293"/>
            <wp:effectExtent b="0" l="0" r="0" t="0"/>
            <wp:docPr id="41" name="image3.png"/>
            <a:graphic>
              <a:graphicData uri="http://schemas.openxmlformats.org/drawingml/2006/picture">
                <pic:pic>
                  <pic:nvPicPr>
                    <pic:cNvPr id="0" name="image3.png"/>
                    <pic:cNvPicPr preferRelativeResize="0"/>
                  </pic:nvPicPr>
                  <pic:blipFill>
                    <a:blip r:embed="rId11"/>
                    <a:srcRect b="37491" l="8217" r="32123" t="26966"/>
                    <a:stretch>
                      <a:fillRect/>
                    </a:stretch>
                  </pic:blipFill>
                  <pic:spPr>
                    <a:xfrm>
                      <a:off x="0" y="0"/>
                      <a:ext cx="5726960" cy="191829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7. </w:t>
      </w: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Del="00000000" w:rsidR="00000000" w:rsidRPr="00000000">
        <w:rPr>
          <w:rFonts w:ascii="Palatino Linotype" w:cs="Palatino Linotype" w:eastAsia="Palatino Linotype" w:hAnsi="Palatino Linotype"/>
          <w:b w:val="1"/>
          <w:rtl w:val="0"/>
        </w:rPr>
        <w:t xml:space="preserve">once de mayo de dos mil veintidós,</w:t>
      </w:r>
      <w:r w:rsidDel="00000000" w:rsidR="00000000" w:rsidRPr="00000000">
        <w:rPr>
          <w:rFonts w:ascii="Palatino Linotype" w:cs="Palatino Linotype" w:eastAsia="Palatino Linotype" w:hAnsi="Palatino Linotype"/>
          <w:rtl w:val="0"/>
        </w:rPr>
        <w:t xml:space="preserve"> se procedió a decretar el cierre de instrucción respectivo y no existiendo diligencia pendiente de desahogo, se ordenó emitir la resolución que conforme a derecho proceda. </w:t>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8. </w:t>
      </w:r>
      <w:r w:rsidDel="00000000" w:rsidR="00000000" w:rsidRPr="00000000">
        <w:rPr>
          <w:rFonts w:ascii="Palatino Linotype" w:cs="Palatino Linotype" w:eastAsia="Palatino Linotype" w:hAnsi="Palatino Linotype"/>
          <w:b w:val="1"/>
          <w:rtl w:val="0"/>
        </w:rPr>
        <w:t xml:space="preserve">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once  de mayo de dos mil veintidós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p>
    <w:p w:rsidR="00000000" w:rsidDel="00000000" w:rsidP="00000000" w:rsidRDefault="00000000" w:rsidRPr="00000000" w14:paraId="000000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240" w:before="240" w:line="360" w:lineRule="auto"/>
        <w:ind w:left="720" w:hanging="720"/>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 O N S I D E R A N D O:</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 los Recursos de Revisión</w:t>
      </w:r>
      <w:r w:rsidDel="00000000" w:rsidR="00000000" w:rsidRPr="00000000">
        <w:rPr>
          <w:rFonts w:ascii="Palatino Linotype" w:cs="Palatino Linotype" w:eastAsia="Palatino Linotype" w:hAnsi="Palatino Linotype"/>
          <w:rtl w:val="0"/>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el solicitante el once de febrero de dos mil veintiuno y el recurrente presentó el recurso de revisión el veintiocho del mismo mes y año, esto es al onceavo día hábil siguiente de aquel en que tuvo conocimiento de la respuesta</w:t>
      </w:r>
      <w:r w:rsidDel="00000000" w:rsidR="00000000" w:rsidRPr="00000000">
        <w:rPr>
          <w:rFonts w:ascii="Palatino Linotype" w:cs="Palatino Linotype" w:eastAsia="Palatino Linotype" w:hAnsi="Palatino Linotype"/>
          <w:highlight w:val="white"/>
          <w:rtl w:val="0"/>
        </w:rPr>
        <w:t xml:space="preserve">;</w:t>
      </w:r>
      <w:r w:rsidDel="00000000" w:rsidR="00000000" w:rsidRPr="00000000">
        <w:rPr>
          <w:rFonts w:ascii="Palatino Linotype" w:cs="Palatino Linotype" w:eastAsia="Palatino Linotype" w:hAnsi="Palatino Linotype"/>
          <w:rtl w:val="0"/>
        </w:rPr>
        <w:t xml:space="preserve"> evidenciándose que la interposición del recurso se encuentra dentro de los márgenes temporales previstos en el citado precepto legal. </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color w:val="000000"/>
          <w:rtl w:val="0"/>
        </w:rPr>
        <w:t xml:space="preserve">Ahora bien, por cuanto hace a la procedibilidad del recurso de revisión, es de suma importancia señalar que la parte Recurrente, no señaló nombre completo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r w:rsidDel="00000000" w:rsidR="00000000" w:rsidRPr="00000000">
        <w:rPr>
          <w:rtl w:val="0"/>
        </w:rPr>
      </w:r>
    </w:p>
    <w:p w:rsidR="00000000" w:rsidDel="00000000" w:rsidP="00000000" w:rsidRDefault="00000000" w:rsidRPr="00000000" w14:paraId="0000002F">
      <w:pPr>
        <w:spacing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30">
      <w:pPr>
        <w:spacing w:after="240" w:line="360" w:lineRule="auto"/>
        <w:jc w:val="both"/>
        <w:rPr>
          <w:i w:val="1"/>
          <w:color w:val="1f1f1f"/>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80" w:before="280" w:line="360" w:lineRule="auto"/>
        <w:ind w:right="-15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80" w:before="280" w:line="360" w:lineRule="auto"/>
        <w:ind w:right="-15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Finalmente, se advierte que resulta procedente la interposición del recurso, según lo manifestado por el Recurrente en sus motivos de inconformidad, de acuerdo al artículo 179, fracción V del ordenamiento legal citado, que a la letra dice: </w:t>
      </w:r>
    </w:p>
    <w:p w:rsidR="00000000" w:rsidDel="00000000" w:rsidP="00000000" w:rsidRDefault="00000000" w:rsidRPr="00000000" w14:paraId="00000033">
      <w:pPr>
        <w:spacing w:after="280" w:before="28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4">
      <w:pPr>
        <w:spacing w:after="280" w:before="28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5">
      <w:pPr>
        <w:spacing w:after="280" w:before="28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6">
      <w:pPr>
        <w:spacing w:after="280" w:before="280"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entrega de información incompleta;</w:t>
      </w:r>
    </w:p>
    <w:p w:rsidR="00000000" w:rsidDel="00000000" w:rsidP="00000000" w:rsidRDefault="00000000" w:rsidRPr="00000000" w14:paraId="00000037">
      <w:pPr>
        <w:spacing w:after="280" w:before="28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8">
      <w:pPr>
        <w:spacing w:after="280" w:before="28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39">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1"/>
          <w:rtl w:val="0"/>
        </w:rPr>
        <w:t xml:space="preserve">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3B">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C">
      <w:pPr>
        <w:tabs>
          <w:tab w:val="left" w:pos="709"/>
        </w:tabs>
        <w:spacing w:after="240" w:before="240" w:line="276" w:lineRule="auto"/>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3D">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3E">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F">
      <w:pPr>
        <w:spacing w:after="240" w:before="240" w:line="276"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40">
      <w:pPr>
        <w:spacing w:after="240" w:before="240" w:line="276"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1">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42">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3">
      <w:pPr>
        <w:spacing w:after="240" w:before="240"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4">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45">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46">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47">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48">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A">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B">
      <w:pPr>
        <w:spacing w:after="240" w:before="240" w:line="276" w:lineRule="auto"/>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C">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4E">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F">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para satisfacer el derecho de acceso a la información pública, </w:t>
      </w:r>
      <w:r w:rsidDel="00000000" w:rsidR="00000000" w:rsidRPr="00000000">
        <w:rPr>
          <w:rFonts w:ascii="Palatino Linotype" w:cs="Palatino Linotype" w:eastAsia="Palatino Linotype" w:hAnsi="Palatino Linotype"/>
          <w:rtl w:val="0"/>
        </w:rPr>
        <w:t xml:space="preserve">como así lo establece el criterio 03/17 emitido por el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51">
      <w:pPr>
        <w:spacing w:after="240" w:before="240"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52">
      <w:pPr>
        <w:spacing w:after="240" w:before="240"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p>
    <w:p w:rsidR="00000000" w:rsidDel="00000000" w:rsidP="00000000" w:rsidRDefault="00000000" w:rsidRPr="00000000" w14:paraId="00000053">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7">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8">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9">
      <w:pPr>
        <w:spacing w:after="240" w:before="240" w:line="276" w:lineRule="auto"/>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w:t>
      </w:r>
      <w:r w:rsidDel="00000000" w:rsidR="00000000" w:rsidRPr="00000000">
        <w:rPr>
          <w:rFonts w:ascii="Palatino Linotype" w:cs="Palatino Linotype" w:eastAsia="Palatino Linotype" w:hAnsi="Palatino Linotype"/>
          <w:b w:val="1"/>
          <w:i w:val="1"/>
          <w:color w:val="000000"/>
          <w:sz w:val="22"/>
          <w:szCs w:val="22"/>
          <w:rtl w:val="0"/>
        </w:rPr>
        <w:t xml:space="preserve">actas,</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(Sic)</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B">
      <w:pPr>
        <w:spacing w:after="240" w:before="240"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5C">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5D">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after="240" w:before="240" w:line="276"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5F">
      <w:pPr>
        <w:numPr>
          <w:ilvl w:val="0"/>
          <w:numId w:val="4"/>
        </w:numPr>
        <w:pBdr>
          <w:top w:space="0" w:sz="0" w:val="nil"/>
          <w:left w:space="0" w:sz="0" w:val="nil"/>
          <w:bottom w:space="0" w:sz="0" w:val="nil"/>
          <w:right w:space="0" w:sz="0" w:val="nil"/>
          <w:between w:space="0" w:sz="0" w:val="nil"/>
        </w:pBdr>
        <w:spacing w:after="240" w:before="240" w:line="276"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60">
      <w:pPr>
        <w:spacing w:after="240" w:before="240" w:line="276" w:lineRule="auto"/>
        <w:ind w:left="567" w:right="567"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 encuentre en posesión de los Sujetos Obligados.” (Sic)</w:t>
      </w:r>
      <w:r w:rsidDel="00000000" w:rsidR="00000000" w:rsidRPr="00000000">
        <w:rPr>
          <w:rtl w:val="0"/>
        </w:rPr>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profundizar en el estudio del presente asunto, es conveniente recordar que la parte solicitante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after="240" w:before="240" w:lineRule="auto"/>
        <w:ind w:left="720" w:right="49" w:hanging="36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 “Solicito los ingresos que recibió el municipio en el mes de agosto de 2019.” (Sic)</w:t>
      </w:r>
    </w:p>
    <w:p w:rsidR="00000000" w:rsidDel="00000000" w:rsidP="00000000" w:rsidRDefault="00000000" w:rsidRPr="00000000" w14:paraId="00000064">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través de su Titular de la Unidad de Transparencia, quien manifestó remitir archivo pdf con la información solicitada, misma que fue remitida por el Tesorero Municipal. </w:t>
      </w:r>
    </w:p>
    <w:p w:rsidR="00000000" w:rsidDel="00000000" w:rsidP="00000000" w:rsidRDefault="00000000" w:rsidRPr="00000000" w14:paraId="0000006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refirió en los antecedentes, el archivo remitido en respuesta contiene el desglose de ingresos del 01 al 31 de agosto de 2019, integrado por un total de 15 hojas de las cuales únicamente se inserta la primera a manera de ejemplo: </w:t>
      </w:r>
    </w:p>
    <w:p w:rsidR="00000000" w:rsidDel="00000000" w:rsidP="00000000" w:rsidRDefault="00000000" w:rsidRPr="00000000" w14:paraId="00000067">
      <w:pPr>
        <w:ind w:right="902"/>
        <w:jc w:val="both"/>
        <w:rPr>
          <w:rFonts w:ascii="Palatino Linotype" w:cs="Palatino Linotype" w:eastAsia="Palatino Linotype" w:hAnsi="Palatino Linotype"/>
          <w:sz w:val="22"/>
          <w:szCs w:val="22"/>
        </w:rPr>
      </w:pPr>
      <w:r w:rsidDel="00000000" w:rsidR="00000000" w:rsidRPr="00000000">
        <w:rPr/>
        <w:drawing>
          <wp:inline distB="0" distT="0" distL="0" distR="0">
            <wp:extent cx="5612130" cy="5829300"/>
            <wp:effectExtent b="0" l="0" r="0" t="0"/>
            <wp:docPr id="4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61213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Conocida la respuesta a la solicitud de información, el particular, al no estar conforme con los términos de la misma, interpuso el recurso de revisión que nos ocupa, donde señaló como acto impugnado: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falta información”</w:t>
      </w:r>
      <w:r w:rsidDel="00000000" w:rsidR="00000000" w:rsidRPr="00000000">
        <w:rPr>
          <w:rFonts w:ascii="Palatino Linotype" w:cs="Palatino Linotype" w:eastAsia="Palatino Linotype" w:hAnsi="Palatino Linotype"/>
          <w:i w:val="1"/>
          <w:rtl w:val="0"/>
        </w:rPr>
        <w:t xml:space="preserve"> (Sic) (Énfasis añadido)</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durante la etapa de manifestaciones,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su informe justificado, asimismo por cuanto hace al</w:t>
      </w:r>
      <w:r w:rsidDel="00000000" w:rsidR="00000000" w:rsidRPr="00000000">
        <w:rPr>
          <w:rFonts w:ascii="Palatino Linotype" w:cs="Palatino Linotype" w:eastAsia="Palatino Linotype" w:hAnsi="Palatino Linotype"/>
          <w:b w:val="1"/>
          <w:rtl w:val="0"/>
        </w:rPr>
        <w:t xml:space="preserve"> Recurrente, </w:t>
      </w:r>
      <w:r w:rsidDel="00000000" w:rsidR="00000000" w:rsidRPr="00000000">
        <w:rPr>
          <w:rFonts w:ascii="Palatino Linotype" w:cs="Palatino Linotype" w:eastAsia="Palatino Linotype" w:hAnsi="Palatino Linotype"/>
          <w:rtl w:val="0"/>
        </w:rPr>
        <w:t xml:space="preserve">se tiene que no emitió alegatos, manifestaciones o pronunciamiento alguno que a su derecho conviniera, luego entonces, se tiene por precluido su derecho para tal efecto.</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a efecto de garantizar el efectivo ejercicio del derecho de acceso a la información pública que asiste al particular, resulta conveniente entrar al estudio de las siguientes consideraciones de hecho y derecho: </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primera instancia, de las constancias que conforman el expediente electrónico, se tiene que la solicitud materia del medio de impugnación que nos ocupa, fue turnada a</w:t>
      </w:r>
      <w:r w:rsidDel="00000000" w:rsidR="00000000" w:rsidRPr="00000000">
        <w:rPr>
          <w:rFonts w:ascii="Palatino Linotype" w:cs="Palatino Linotype" w:eastAsia="Palatino Linotype" w:hAnsi="Palatino Linotype"/>
          <w:color w:val="000000"/>
          <w:rtl w:val="0"/>
        </w:rPr>
        <w:t xml:space="preserve"> la </w:t>
      </w:r>
      <w:r w:rsidDel="00000000" w:rsidR="00000000" w:rsidRPr="00000000">
        <w:rPr>
          <w:rFonts w:ascii="Palatino Linotype" w:cs="Palatino Linotype" w:eastAsia="Palatino Linotype" w:hAnsi="Palatino Linotype"/>
          <w:b w:val="1"/>
          <w:color w:val="000000"/>
          <w:rtl w:val="0"/>
        </w:rPr>
        <w:t xml:space="preserve">Tesorería Municipal</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como </w:t>
      </w:r>
      <w:r w:rsidDel="00000000" w:rsidR="00000000" w:rsidRPr="00000000">
        <w:rPr>
          <w:rFonts w:ascii="Palatino Linotype" w:cs="Palatino Linotype" w:eastAsia="Palatino Linotype" w:hAnsi="Palatino Linotype"/>
          <w:color w:val="000000"/>
          <w:rtl w:val="0"/>
        </w:rPr>
        <w:t xml:space="preserve">Servidor Público Habilitado competente, a efecto de que </w:t>
      </w:r>
      <w:r w:rsidDel="00000000" w:rsidR="00000000" w:rsidRPr="00000000">
        <w:rPr>
          <w:rFonts w:ascii="Palatino Linotype" w:cs="Palatino Linotype" w:eastAsia="Palatino Linotype" w:hAnsi="Palatino Linotype"/>
          <w:rtl w:val="0"/>
        </w:rPr>
        <w:t xml:space="preserve">emitiera el pronunciamiento que diera respuesta a la solicitud de información, para mayor referencia resulta importante traer a colación las siguientes capturas de pantalla: </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1063625"/>
            <wp:effectExtent b="0" l="0" r="0" t="0"/>
            <wp:docPr id="4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612130" cy="106362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4286250" cy="3343275"/>
            <wp:effectExtent b="0" l="0" r="0" t="0"/>
            <wp:docPr id="4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28625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esta línea de pensamiento conviene apuntar que la  Tesorería Municipal es la unidad administrativa competente para atender el requerimiento del particular, en virtud de que el artículo 93 de la Ley Orgánica Municipal del Estado de México, establece que la Tesorería Municipal es el órgano encargado de la recaudación de los ingresos municipales, asimismo, el artículo 95 del ordenamiento legal referido, el Tesorero Municipal tiene las siguientes atribuciones: </w:t>
      </w:r>
    </w:p>
    <w:p w:rsidR="00000000" w:rsidDel="00000000" w:rsidP="00000000" w:rsidRDefault="00000000" w:rsidRPr="00000000" w14:paraId="00000073">
      <w:pPr>
        <w:spacing w:after="240" w:before="240" w:line="276" w:lineRule="auto"/>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95.- Son atribuciones del tesorero municipal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pacing w:after="240" w:before="240" w:line="276" w:lineRule="auto"/>
        <w:ind w:left="567" w:right="851" w:hanging="141"/>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Administrar la hacienda pública municipal, de conformidad con las disposiciones legales aplicables; </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pacing w:after="240" w:before="240" w:line="276" w:lineRule="auto"/>
        <w:ind w:left="567" w:right="851" w:hanging="141"/>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i w:val="1"/>
          <w:color w:val="000000"/>
          <w:sz w:val="22"/>
          <w:szCs w:val="22"/>
          <w:rtl w:val="0"/>
        </w:rPr>
        <w:t xml:space="preserve">Determinar, liquidar, recaudar, fiscalizar y administrar las contribuciones en los términos de los ordenamientos jurídicos aplicables y, en su caso, aplicar el procedimiento administrativo de ejecución en términos de las disposiciones aplicables; </w:t>
      </w:r>
      <w:r w:rsidDel="00000000" w:rsidR="00000000" w:rsidRPr="00000000">
        <w:rPr>
          <w:rtl w:val="0"/>
        </w:rPr>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pacing w:after="240" w:before="240" w:line="276" w:lineRule="auto"/>
        <w:ind w:left="567" w:right="851" w:hanging="141"/>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i w:val="1"/>
          <w:color w:val="000000"/>
          <w:sz w:val="22"/>
          <w:szCs w:val="22"/>
          <w:rtl w:val="0"/>
        </w:rPr>
        <w:t xml:space="preserve">Imponer las sanciones administrativas que procedan por infracciones a las disposiciones fiscales; </w:t>
      </w:r>
      <w:r w:rsidDel="00000000" w:rsidR="00000000" w:rsidRPr="00000000">
        <w:rPr>
          <w:rtl w:val="0"/>
        </w:rPr>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pacing w:after="240" w:before="240" w:line="276" w:lineRule="auto"/>
        <w:ind w:left="567" w:right="851" w:hanging="141"/>
        <w:jc w:val="both"/>
        <w:rPr>
          <w:rFonts w:ascii="Palatino Linotype" w:cs="Palatino Linotype" w:eastAsia="Palatino Linotype" w:hAnsi="Palatino Linotype"/>
          <w:b w:val="1"/>
          <w:i w:val="1"/>
          <w:color w:val="000000"/>
          <w:sz w:val="20"/>
          <w:szCs w:val="2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Llevar los registros contables, financieros y administrativos de los ingresos, egresos, e inventarios; </w:t>
      </w:r>
      <w:r w:rsidDel="00000000" w:rsidR="00000000" w:rsidRPr="00000000">
        <w:rPr>
          <w:rtl w:val="0"/>
        </w:rPr>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pacing w:after="240" w:before="240" w:line="276" w:lineRule="auto"/>
        <w:ind w:left="567" w:right="851" w:hanging="141"/>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i w:val="1"/>
          <w:color w:val="000000"/>
          <w:sz w:val="22"/>
          <w:szCs w:val="22"/>
          <w:rtl w:val="0"/>
        </w:rPr>
        <w:t xml:space="preserve">Proporcionar oportunamente al ayuntamiento todos los datos o informes que sean necesarios para la formulación del Presupuesto de Egresos Municipales, vigilando que se ajuste a las disposiciones de esta Ley y otros ordenamientos aplicables; </w:t>
      </w:r>
      <w:r w:rsidDel="00000000" w:rsidR="00000000" w:rsidRPr="00000000">
        <w:rPr>
          <w:rtl w:val="0"/>
        </w:rPr>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pacing w:after="240" w:before="240" w:line="276" w:lineRule="auto"/>
        <w:ind w:left="567" w:right="851" w:hanging="141"/>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i w:val="1"/>
          <w:color w:val="000000"/>
          <w:sz w:val="22"/>
          <w:szCs w:val="22"/>
          <w:rtl w:val="0"/>
        </w:rPr>
        <w:t xml:space="preserve">Presentar anualmente al ayuntamiento un informe de la situación contable financiera de la Tesorería Municipal; </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240" w:line="276" w:lineRule="auto"/>
        <w:ind w:left="567" w:right="851" w:hanging="141"/>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 </w:t>
      </w:r>
    </w:p>
    <w:p w:rsidR="00000000" w:rsidDel="00000000" w:rsidP="00000000" w:rsidRDefault="00000000" w:rsidRPr="00000000" w14:paraId="0000007B">
      <w:pPr>
        <w:spacing w:after="240" w:before="240"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w:t>
      </w:r>
      <w:r w:rsidDel="00000000" w:rsidR="00000000" w:rsidRPr="00000000">
        <w:rPr>
          <w:rFonts w:ascii="Palatino Linotype" w:cs="Palatino Linotype" w:eastAsia="Palatino Linotype" w:hAnsi="Palatino Linotype"/>
          <w:b w:val="1"/>
          <w:i w:val="1"/>
          <w:sz w:val="22"/>
          <w:szCs w:val="22"/>
          <w:u w:val="single"/>
          <w:rtl w:val="0"/>
        </w:rPr>
        <w:t xml:space="preserve">Recaudar y administrar los ingresos </w:t>
      </w:r>
      <w:r w:rsidDel="00000000" w:rsidR="00000000" w:rsidRPr="00000000">
        <w:rPr>
          <w:rFonts w:ascii="Palatino Linotype" w:cs="Palatino Linotype" w:eastAsia="Palatino Linotype" w:hAnsi="Palatino Linotype"/>
          <w:i w:val="1"/>
          <w:sz w:val="22"/>
          <w:szCs w:val="22"/>
          <w:rtl w:val="0"/>
        </w:rPr>
        <w:t xml:space="preserve">que se deriven de la suscripción de convenios, acuerdos o la emisión de declaratorias de coordinación; los relativos a las transferencias otorgadas a favor del Municipio en el marco del Sistema Nacional o Estatal de Coordinación Fiscal, o los </w:t>
      </w:r>
      <w:r w:rsidDel="00000000" w:rsidR="00000000" w:rsidRPr="00000000">
        <w:rPr>
          <w:rFonts w:ascii="Palatino Linotype" w:cs="Palatino Linotype" w:eastAsia="Palatino Linotype" w:hAnsi="Palatino Linotype"/>
          <w:b w:val="1"/>
          <w:i w:val="1"/>
          <w:sz w:val="22"/>
          <w:szCs w:val="22"/>
          <w:u w:val="single"/>
          <w:rtl w:val="0"/>
        </w:rPr>
        <w:t xml:space="preserve">que reciba por cualquier otro concept</w:t>
      </w:r>
      <w:r w:rsidDel="00000000" w:rsidR="00000000" w:rsidRPr="00000000">
        <w:rPr>
          <w:rFonts w:ascii="Palatino Linotype" w:cs="Palatino Linotype" w:eastAsia="Palatino Linotype" w:hAnsi="Palatino Linotype"/>
          <w:i w:val="1"/>
          <w:sz w:val="22"/>
          <w:szCs w:val="22"/>
          <w:rtl w:val="0"/>
        </w:rPr>
        <w:t xml:space="preserve">o; así como el importe de las sanciones por infracciones impuestas por las autoridades competentes, por la inobservancia de las diversas disposiciones y ordenamientos legales, constituyendo los créditos fiscales correspondientes; </w:t>
      </w:r>
    </w:p>
    <w:p w:rsidR="00000000" w:rsidDel="00000000" w:rsidP="00000000" w:rsidRDefault="00000000" w:rsidRPr="00000000" w14:paraId="0000007C">
      <w:pPr>
        <w:spacing w:after="240" w:before="240" w:line="276" w:lineRule="auto"/>
        <w:ind w:left="567" w:right="851" w:firstLine="0"/>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7D">
      <w:pPr>
        <w:spacing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62, del Bando Municipal de Calimaya 2019, menciona lo siguiente:</w:t>
      </w:r>
    </w:p>
    <w:p w:rsidR="00000000" w:rsidDel="00000000" w:rsidP="00000000" w:rsidRDefault="00000000" w:rsidRPr="00000000" w14:paraId="0000007F">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62.-</w:t>
      </w:r>
      <w:r w:rsidDel="00000000" w:rsidR="00000000" w:rsidRPr="00000000">
        <w:rPr>
          <w:rFonts w:ascii="Palatino Linotype" w:cs="Palatino Linotype" w:eastAsia="Palatino Linotype" w:hAnsi="Palatino Linotype"/>
          <w:i w:val="1"/>
          <w:sz w:val="22"/>
          <w:szCs w:val="22"/>
          <w:rtl w:val="0"/>
        </w:rPr>
        <w:t xml:space="preserve"> La Tesorería Municipal es el único órgano de la Administración Pública, autorizado para la </w:t>
      </w:r>
      <w:r w:rsidDel="00000000" w:rsidR="00000000" w:rsidRPr="00000000">
        <w:rPr>
          <w:rFonts w:ascii="Palatino Linotype" w:cs="Palatino Linotype" w:eastAsia="Palatino Linotype" w:hAnsi="Palatino Linotype"/>
          <w:b w:val="1"/>
          <w:i w:val="1"/>
          <w:sz w:val="22"/>
          <w:szCs w:val="22"/>
          <w:u w:val="single"/>
          <w:rtl w:val="0"/>
        </w:rPr>
        <w:t xml:space="preserve">recaudación de los impuestos y demás contribuciones</w:t>
      </w:r>
      <w:r w:rsidDel="00000000" w:rsidR="00000000" w:rsidRPr="00000000">
        <w:rPr>
          <w:rFonts w:ascii="Palatino Linotype" w:cs="Palatino Linotype" w:eastAsia="Palatino Linotype" w:hAnsi="Palatino Linotype"/>
          <w:i w:val="1"/>
          <w:sz w:val="22"/>
          <w:szCs w:val="22"/>
          <w:rtl w:val="0"/>
        </w:rPr>
        <w:t xml:space="preserve"> de los particulares de acuerdo con la Ley de Ingresos de los Municipios del Estado de México para el ejercicio fiscal del año 2019 y del Código Financiero del Estado de México vigentes y demás Leyes aplicables.”(Sic)</w:t>
      </w:r>
    </w:p>
    <w:p w:rsidR="00000000" w:rsidDel="00000000" w:rsidP="00000000" w:rsidRDefault="00000000" w:rsidRPr="00000000" w14:paraId="00000080">
      <w:pPr>
        <w:spacing w:line="360" w:lineRule="auto"/>
        <w:ind w:left="1418" w:right="132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sobre el tema en estudio, el documento emitido por el Sujeto Obligado colma la información solicitada, ya que dicho documento muestra los ingresos recibidos por el Sujeto Obligado durante el mes de octubre de 2019, dicha información fue remitida en el formato que se encuentra dentro de los Lineamientos para la Entrega del Informe Mensual Municipal 2019, que deben rendir los Ayuntamientos del Estado de México al OSFEM (Órgano superior de Fiscalización del Estado de México), como se advierte en las siguientes imágenes que se insertan de manera ilustrativa:</w:t>
      </w:r>
    </w:p>
    <w:p w:rsidR="00000000" w:rsidDel="00000000" w:rsidP="00000000" w:rsidRDefault="00000000" w:rsidRPr="00000000" w14:paraId="00000084">
      <w:pPr>
        <w:spacing w:after="240" w:before="240" w:line="360" w:lineRule="auto"/>
        <w:jc w:val="both"/>
        <w:rPr/>
      </w:pPr>
      <w:r w:rsidDel="00000000" w:rsidR="00000000" w:rsidRPr="00000000">
        <w:rPr>
          <w:rtl w:val="0"/>
        </w:rPr>
      </w:r>
    </w:p>
    <w:p w:rsidR="00000000" w:rsidDel="00000000" w:rsidP="00000000" w:rsidRDefault="00000000" w:rsidRPr="00000000" w14:paraId="00000085">
      <w:pPr>
        <w:spacing w:after="240" w:before="240" w:line="360" w:lineRule="auto"/>
        <w:jc w:val="both"/>
        <w:rPr/>
      </w:pPr>
      <w:r w:rsidDel="00000000" w:rsidR="00000000" w:rsidRPr="00000000">
        <w:rPr>
          <w:rtl w:val="0"/>
        </w:rPr>
      </w:r>
    </w:p>
    <w:p w:rsidR="00000000" w:rsidDel="00000000" w:rsidP="00000000" w:rsidRDefault="00000000" w:rsidRPr="00000000" w14:paraId="00000086">
      <w:pPr>
        <w:spacing w:after="240" w:before="240" w:line="360" w:lineRule="auto"/>
        <w:jc w:val="both"/>
        <w:rPr/>
      </w:pPr>
      <w:r w:rsidDel="00000000" w:rsidR="00000000" w:rsidRPr="00000000">
        <w:rPr>
          <w:rtl w:val="0"/>
        </w:rPr>
      </w:r>
    </w:p>
    <w:p w:rsidR="00000000" w:rsidDel="00000000" w:rsidP="00000000" w:rsidRDefault="00000000" w:rsidRPr="00000000" w14:paraId="00000087">
      <w:pPr>
        <w:spacing w:after="240" w:before="240" w:line="360" w:lineRule="auto"/>
        <w:jc w:val="both"/>
        <w:rPr/>
      </w:pPr>
      <w:r w:rsidDel="00000000" w:rsidR="00000000" w:rsidRPr="00000000">
        <w:rPr>
          <w:rtl w:val="0"/>
        </w:rPr>
      </w:r>
    </w:p>
    <w:p w:rsidR="00000000" w:rsidDel="00000000" w:rsidP="00000000" w:rsidRDefault="00000000" w:rsidRPr="00000000" w14:paraId="00000088">
      <w:pPr>
        <w:spacing w:after="240" w:before="240" w:line="360" w:lineRule="auto"/>
        <w:jc w:val="both"/>
        <w:rPr/>
      </w:pPr>
      <w:r w:rsidDel="00000000" w:rsidR="00000000" w:rsidRPr="00000000">
        <w:rPr/>
        <w:drawing>
          <wp:inline distB="0" distT="0" distL="0" distR="0">
            <wp:extent cx="5453868" cy="6747053"/>
            <wp:effectExtent b="0" l="0" r="0" t="0"/>
            <wp:docPr id="45" name="image7.png"/>
            <a:graphic>
              <a:graphicData uri="http://schemas.openxmlformats.org/drawingml/2006/picture">
                <pic:pic>
                  <pic:nvPicPr>
                    <pic:cNvPr id="0" name="image7.png"/>
                    <pic:cNvPicPr preferRelativeResize="0"/>
                  </pic:nvPicPr>
                  <pic:blipFill>
                    <a:blip r:embed="rId14"/>
                    <a:srcRect b="13901" l="41864" r="28265" t="16697"/>
                    <a:stretch>
                      <a:fillRect/>
                    </a:stretch>
                  </pic:blipFill>
                  <pic:spPr>
                    <a:xfrm>
                      <a:off x="0" y="0"/>
                      <a:ext cx="5453868" cy="674705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5778500</wp:posOffset>
                </wp:positionV>
                <wp:extent cx="5384800" cy="514350"/>
                <wp:effectExtent b="0" l="0" r="0" t="0"/>
                <wp:wrapNone/>
                <wp:docPr id="38" name=""/>
                <a:graphic>
                  <a:graphicData uri="http://schemas.microsoft.com/office/word/2010/wordprocessingShape">
                    <wps:wsp>
                      <wps:cNvSpPr/>
                      <wps:cNvPr id="3" name="Shape 3"/>
                      <wps:spPr>
                        <a:xfrm>
                          <a:off x="2688525" y="3557750"/>
                          <a:ext cx="5314950" cy="444500"/>
                        </a:xfrm>
                        <a:prstGeom prst="rect">
                          <a:avLst/>
                        </a:prstGeom>
                        <a:noFill/>
                        <a:ln cap="flat" cmpd="sng" w="34925">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5778500</wp:posOffset>
                </wp:positionV>
                <wp:extent cx="5384800" cy="514350"/>
                <wp:effectExtent b="0" l="0" r="0" t="0"/>
                <wp:wrapNone/>
                <wp:docPr id="38"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5384800" cy="514350"/>
                        </a:xfrm>
                        <a:prstGeom prst="rect"/>
                        <a:ln/>
                      </pic:spPr>
                    </pic:pic>
                  </a:graphicData>
                </a:graphic>
              </wp:anchor>
            </w:drawing>
          </mc:Fallback>
        </mc:AlternateConten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410200" cy="2559050"/>
            <wp:effectExtent b="0" l="0" r="0" t="0"/>
            <wp:docPr id="49" name="image8.png"/>
            <a:graphic>
              <a:graphicData uri="http://schemas.openxmlformats.org/drawingml/2006/picture">
                <pic:pic>
                  <pic:nvPicPr>
                    <pic:cNvPr id="0" name="image8.png"/>
                    <pic:cNvPicPr preferRelativeResize="0"/>
                  </pic:nvPicPr>
                  <pic:blipFill>
                    <a:blip r:embed="rId16"/>
                    <a:srcRect b="28585" l="43787" r="27246" t="42043"/>
                    <a:stretch>
                      <a:fillRect/>
                    </a:stretch>
                  </pic:blipFill>
                  <pic:spPr>
                    <a:xfrm>
                      <a:off x="0" y="0"/>
                      <a:ext cx="5410200" cy="25590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596900</wp:posOffset>
                </wp:positionV>
                <wp:extent cx="5384800" cy="514350"/>
                <wp:effectExtent b="0" l="0" r="0" t="0"/>
                <wp:wrapNone/>
                <wp:docPr id="37" name=""/>
                <a:graphic>
                  <a:graphicData uri="http://schemas.microsoft.com/office/word/2010/wordprocessingShape">
                    <wps:wsp>
                      <wps:cNvSpPr/>
                      <wps:cNvPr id="2" name="Shape 2"/>
                      <wps:spPr>
                        <a:xfrm>
                          <a:off x="2688525" y="3557750"/>
                          <a:ext cx="5314950" cy="444500"/>
                        </a:xfrm>
                        <a:prstGeom prst="rect">
                          <a:avLst/>
                        </a:prstGeom>
                        <a:noFill/>
                        <a:ln cap="flat" cmpd="sng" w="34925">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596900</wp:posOffset>
                </wp:positionV>
                <wp:extent cx="5384800" cy="514350"/>
                <wp:effectExtent b="0" l="0" r="0" t="0"/>
                <wp:wrapNone/>
                <wp:docPr id="37"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5384800" cy="514350"/>
                        </a:xfrm>
                        <a:prstGeom prst="rect"/>
                        <a:ln/>
                      </pic:spPr>
                    </pic:pic>
                  </a:graphicData>
                </a:graphic>
              </wp:anchor>
            </w:drawing>
          </mc:Fallback>
        </mc:AlternateConten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207000" cy="3454400"/>
            <wp:effectExtent b="0" l="0" r="0" t="0"/>
            <wp:docPr id="47" name="image4.png"/>
            <a:graphic>
              <a:graphicData uri="http://schemas.openxmlformats.org/drawingml/2006/picture">
                <pic:pic>
                  <pic:nvPicPr>
                    <pic:cNvPr id="0" name="image4.png"/>
                    <pic:cNvPicPr preferRelativeResize="0"/>
                  </pic:nvPicPr>
                  <pic:blipFill>
                    <a:blip r:embed="rId18"/>
                    <a:srcRect b="17321" l="35755" r="18758" t="29572"/>
                    <a:stretch>
                      <a:fillRect/>
                    </a:stretch>
                  </pic:blipFill>
                  <pic:spPr>
                    <a:xfrm>
                      <a:off x="0" y="0"/>
                      <a:ext cx="52070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se confirma que en el documento emitido consta los ingresos que recibió el municipio en el mes de agosto del año 2019.</w:t>
      </w:r>
    </w:p>
    <w:p w:rsidR="00000000" w:rsidDel="00000000" w:rsidP="00000000" w:rsidRDefault="00000000" w:rsidRPr="00000000" w14:paraId="0000008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se tiene que la respuesta fue vertida por la unidad administrativa competente, ello en virtud de que la Tesorería Municipal es la encargada de  administrar la hacienda pública municipal, así como de recaudar los ingresos, por lo que al haber existido 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000000" w:rsidDel="00000000" w:rsidP="00000000" w:rsidRDefault="00000000" w:rsidRPr="00000000" w14:paraId="0000008D">
      <w:pPr>
        <w:tabs>
          <w:tab w:val="left" w:pos="709"/>
        </w:tabs>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bookmarkStart w:colFirst="0" w:colLast="0" w:name="_heading=h.1fob9te" w:id="1"/>
      <w:bookmarkEnd w:id="1"/>
      <w:r w:rsidDel="00000000" w:rsidR="00000000" w:rsidRPr="00000000">
        <w:rPr>
          <w:rFonts w:ascii="Palatino Linotype" w:cs="Palatino Linotype" w:eastAsia="Palatino Linotype" w:hAnsi="Palatino Linotype"/>
          <w:rtl w:val="0"/>
        </w:rPr>
        <w:t xml:space="preserve">Es por todo lo expuesto que este Instituto determina que del análisis a la respuesta vertida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tiene que es adecuada y suficiente, ello en virtud de que la Tesorería Municipal reportó los ingresos recibidos por el municipio durante agosto de 2019, mismos que fueron solicitados por el particular, por lo que al coincidir lo reportado con el requerimiento del particular, se concluye que se satisface el derecho de acceso a la información pública. </w:t>
      </w:r>
    </w:p>
    <w:p w:rsidR="00000000" w:rsidDel="00000000" w:rsidP="00000000" w:rsidRDefault="00000000" w:rsidRPr="00000000" w14:paraId="0000008F">
      <w:pPr>
        <w:widowControl w:val="0"/>
        <w:tabs>
          <w:tab w:val="left" w:pos="1701"/>
          <w:tab w:val="left" w:pos="1843"/>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sidDel="00000000" w:rsidR="00000000" w:rsidRPr="00000000">
        <w:rPr>
          <w:rFonts w:ascii="Palatino Linotype" w:cs="Palatino Linotype" w:eastAsia="Palatino Linotype" w:hAnsi="Palatino Linotype"/>
          <w:b w:val="1"/>
          <w:rtl w:val="0"/>
        </w:rPr>
        <w:t xml:space="preserve">CONFIRMAR</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 E S U E L V E:</w:t>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infundados </w:t>
      </w:r>
      <w:r w:rsidDel="00000000" w:rsidR="00000000" w:rsidRPr="00000000">
        <w:rPr>
          <w:rFonts w:ascii="Palatino Linotype" w:cs="Palatino Linotype" w:eastAsia="Palatino Linotype" w:hAnsi="Palatino Linotype"/>
          <w:rtl w:val="0"/>
        </w:rPr>
        <w:t xml:space="preserve">los motivos de inconformidad aducidos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el Recurso de revisión</w:t>
      </w:r>
      <w:r w:rsidDel="00000000" w:rsidR="00000000" w:rsidRPr="00000000">
        <w:rPr>
          <w:rFonts w:ascii="Palatino Linotype" w:cs="Palatino Linotype" w:eastAsia="Palatino Linotype" w:hAnsi="Palatino Linotype"/>
          <w:b w:val="1"/>
          <w:rtl w:val="0"/>
        </w:rPr>
        <w:t xml:space="preserve"> 02349/INFOEM/IP/RR/2022, </w:t>
      </w:r>
      <w:r w:rsidDel="00000000" w:rsidR="00000000" w:rsidRPr="00000000">
        <w:rPr>
          <w:rFonts w:ascii="Palatino Linotype" w:cs="Palatino Linotype" w:eastAsia="Palatino Linotype" w:hAnsi="Palatino Linotype"/>
          <w:rtl w:val="0"/>
        </w:rPr>
        <w:t xml:space="preserve">por lo que, en términos de los argumentos señalados en el </w:t>
      </w:r>
      <w:r w:rsidDel="00000000" w:rsidR="00000000" w:rsidRPr="00000000">
        <w:rPr>
          <w:rFonts w:ascii="Palatino Linotype" w:cs="Palatino Linotype" w:eastAsia="Palatino Linotype" w:hAnsi="Palatino Linotype"/>
          <w:b w:val="1"/>
          <w:rtl w:val="0"/>
        </w:rPr>
        <w:t xml:space="preserve">Considerando Cuarto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CONFIRMA </w:t>
      </w:r>
      <w:r w:rsidDel="00000000" w:rsidR="00000000" w:rsidRPr="00000000">
        <w:rPr>
          <w:rFonts w:ascii="Palatino Linotype" w:cs="Palatino Linotype" w:eastAsia="Palatino Linotype" w:hAnsi="Palatino Linotype"/>
          <w:rtl w:val="0"/>
        </w:rPr>
        <w:t xml:space="preserve">la respuesta emitida por el</w:t>
      </w:r>
      <w:r w:rsidDel="00000000" w:rsidR="00000000" w:rsidRPr="00000000">
        <w:rPr>
          <w:rFonts w:ascii="Palatino Linotype" w:cs="Palatino Linotype" w:eastAsia="Palatino Linotype" w:hAnsi="Palatino Linotype"/>
          <w:b w:val="1"/>
          <w:rtl w:val="0"/>
        </w:rPr>
        <w:t xml:space="preserve"> Sujeto Obligado.</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Notifíquese al Titular de la Unidad de Transparencia, vía Sistema de Acceso a la Información Mexiquense (SAIMEX)</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para su conocimiento.</w:t>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w:t>
      </w:r>
      <w:r w:rsidDel="00000000" w:rsidR="00000000" w:rsidRPr="00000000">
        <w:rPr>
          <w:rFonts w:ascii="Palatino Linotype" w:cs="Palatino Linotype" w:eastAsia="Palatino Linotype" w:hAnsi="Palatino Linotype"/>
          <w:rtl w:val="0"/>
        </w:rPr>
        <w:t xml:space="preserve">Notifíquese vía Sistema de Acceso a la Información Mexiquense (SAIMEX)</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la presente resolución a la parte Recurrente, así como, que de conformidad con lo establecido en el artículo 196 de la Ley de Transparencia y Acceso a la Información Pública del Estado de México y Municipios, podrá impugnarla vía </w:t>
      </w:r>
      <w:r w:rsidDel="00000000" w:rsidR="00000000" w:rsidRPr="00000000">
        <w:rPr>
          <w:rFonts w:ascii="Palatino Linotype" w:cs="Palatino Linotype" w:eastAsia="Palatino Linotype" w:hAnsi="Palatino Linotype"/>
          <w:b w:val="1"/>
          <w:rtl w:val="0"/>
        </w:rPr>
        <w:t xml:space="preserve">Juicio de Amparo</w:t>
      </w:r>
      <w:r w:rsidDel="00000000" w:rsidR="00000000" w:rsidRPr="00000000">
        <w:rPr>
          <w:rFonts w:ascii="Palatino Linotype" w:cs="Palatino Linotype" w:eastAsia="Palatino Linotype" w:hAnsi="Palatino Linotype"/>
          <w:rtl w:val="0"/>
        </w:rPr>
        <w:t xml:space="preserve"> en los términos de las leyes aplicables.</w:t>
      </w:r>
    </w:p>
    <w:p w:rsidR="00000000" w:rsidDel="00000000" w:rsidP="00000000" w:rsidRDefault="00000000" w:rsidRPr="00000000" w14:paraId="00000095">
      <w:pPr>
        <w:spacing w:after="240" w:before="240" w:line="360" w:lineRule="auto"/>
        <w:jc w:val="both"/>
        <w:rPr>
          <w:rFonts w:ascii="Palatino Linotype" w:cs="Palatino Linotype" w:eastAsia="Palatino Linotype" w:hAnsi="Palatino Linotype"/>
        </w:rPr>
        <w:sectPr>
          <w:headerReference r:id="rId19" w:type="default"/>
          <w:headerReference r:id="rId20" w:type="first"/>
          <w:footerReference r:id="rId21" w:type="default"/>
          <w:footerReference r:id="rId22" w:type="first"/>
          <w:pgSz w:h="15840" w:w="12240" w:orient="portrait"/>
          <w:pgMar w:bottom="1701" w:top="2041" w:left="1701" w:right="1701" w:header="709" w:footer="709"/>
          <w:pgNumType w:start="1"/>
          <w:titlePg w:val="1"/>
        </w:sectPr>
      </w:pPr>
      <w:bookmarkStart w:colFirst="0" w:colLast="0" w:name="_heading=h.gjdgxs" w:id="2"/>
      <w:bookmarkEnd w:id="2"/>
      <w:r w:rsidDel="00000000" w:rsidR="00000000" w:rsidRPr="00000000">
        <w:rPr>
          <w:rFonts w:ascii="Palatino Linotype" w:cs="Palatino Linotype" w:eastAsia="Palatino Linotype" w:hAnsi="Palatino Linotype"/>
          <w:color w:val="222222"/>
          <w:highlight w:val="whit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PRIMERO DE JUNIO DE</w:t>
      </w:r>
      <w:r w:rsidDel="00000000" w:rsidR="00000000" w:rsidRPr="00000000">
        <w:rPr>
          <w:rFonts w:ascii="Palatino Linotype" w:cs="Palatino Linotype" w:eastAsia="Palatino Linotype" w:hAnsi="Palatino Linotype"/>
          <w:rtl w:val="0"/>
        </w:rPr>
        <w:t xml:space="preserve"> DOS MIL VEINTIDÓS, ANTE EL SECRETARIO TÉCNICO DEL PLENO ALEXIS TAPIA RAMÍREZ.</w:t>
      </w:r>
    </w:p>
    <w:p w:rsidR="00000000" w:rsidDel="00000000" w:rsidP="00000000" w:rsidRDefault="00000000" w:rsidRPr="00000000" w14:paraId="00000096">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23"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pos="4252"/>
        <w:tab w:val="right"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-846159</wp:posOffset>
          </wp:positionH>
          <wp:positionV relativeFrom="paragraph">
            <wp:posOffset>-171230</wp:posOffset>
          </wp:positionV>
          <wp:extent cx="7809876" cy="10165823"/>
          <wp:effectExtent b="0" l="0" r="0" t="0"/>
          <wp:wrapNone/>
          <wp:docPr id="3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9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9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02349/INFOEM/IP/RR/2022 </w:t>
          </w:r>
        </w:p>
      </w:tc>
    </w:tr>
    <w:tr>
      <w:trPr>
        <w:cantSplit w:val="0"/>
        <w:tblHeader w:val="0"/>
      </w:trPr>
      <w:tc>
        <w:tcPr>
          <w:vAlign w:val="center"/>
        </w:tcPr>
        <w:p w:rsidR="00000000" w:rsidDel="00000000" w:rsidP="00000000" w:rsidRDefault="00000000" w:rsidRPr="00000000" w14:paraId="0000009C">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9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w:t>
          </w:r>
        </w:p>
      </w:tc>
    </w:tr>
    <w:tr>
      <w:trPr>
        <w:cantSplit w:val="0"/>
        <w:trHeight w:val="228" w:hRule="atLeast"/>
        <w:tblHeader w:val="0"/>
      </w:trPr>
      <w:tc>
        <w:tcPr>
          <w:vAlign w:val="center"/>
        </w:tcPr>
        <w:p w:rsidR="00000000" w:rsidDel="00000000" w:rsidP="00000000" w:rsidRDefault="00000000" w:rsidRPr="00000000" w14:paraId="0000009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9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Calimaya.</w:t>
          </w:r>
        </w:p>
      </w:tc>
    </w:tr>
    <w:tr>
      <w:trPr>
        <w:cantSplit w:val="0"/>
        <w:tblHeader w:val="0"/>
      </w:trPr>
      <w:tc>
        <w:tcPr>
          <w:vAlign w:val="center"/>
        </w:tcPr>
        <w:p w:rsidR="00000000" w:rsidDel="00000000" w:rsidP="00000000" w:rsidRDefault="00000000" w:rsidRPr="00000000" w14:paraId="000000A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A1">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2"/>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0A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A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02349/INFOEM/IP/RR/2022 </w:t>
          </w:r>
        </w:p>
      </w:tc>
    </w:tr>
    <w:tr>
      <w:trPr>
        <w:cantSplit w:val="0"/>
        <w:trHeight w:val="228" w:hRule="atLeast"/>
        <w:tblHeader w:val="0"/>
      </w:trPr>
      <w:tc>
        <w:tcPr>
          <w:vAlign w:val="center"/>
        </w:tcPr>
        <w:p w:rsidR="00000000" w:rsidDel="00000000" w:rsidP="00000000" w:rsidRDefault="00000000" w:rsidRPr="00000000" w14:paraId="000000A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A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Calimaya.</w:t>
          </w:r>
        </w:p>
      </w:tc>
    </w:tr>
    <w:tr>
      <w:trPr>
        <w:cantSplit w:val="0"/>
        <w:tblHeader w:val="0"/>
      </w:trPr>
      <w:tc>
        <w:tcPr>
          <w:vAlign w:val="center"/>
        </w:tcPr>
        <w:p w:rsidR="00000000" w:rsidDel="00000000" w:rsidP="00000000" w:rsidRDefault="00000000" w:rsidRPr="00000000" w14:paraId="000000A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A9">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pos="4252"/>
        <w:tab w:val="right" w:pos="8504"/>
        <w:tab w:val="left"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-695769</wp:posOffset>
          </wp:positionH>
          <wp:positionV relativeFrom="paragraph">
            <wp:posOffset>-1200944</wp:posOffset>
          </wp:positionV>
          <wp:extent cx="7809876" cy="10165823"/>
          <wp:effectExtent b="0" l="0" r="0" t="0"/>
          <wp:wrapNone/>
          <wp:docPr id="48"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5"/>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C3C64"/>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image" Target="media/image1.png"/><Relationship Id="rId21" Type="http://schemas.openxmlformats.org/officeDocument/2006/relationships/footer" Target="footer2.xml"/><Relationship Id="rId13" Type="http://schemas.openxmlformats.org/officeDocument/2006/relationships/image" Target="media/image2.png"/><Relationship Id="rId12" Type="http://schemas.openxmlformats.org/officeDocument/2006/relationships/image" Target="media/image11.png"/><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aimex.org.mx/saimex/upload/2022/pnt/Archivo1642714665144." TargetMode="External"/><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ZlQxN+3ePOignXaQdtdhx6yRaw==">AMUW2mU4UZJqs9xoguZy1ntfcVmAWgJUVg2zfKjf4RAwxfbbvlla4kZy3CHwfeCprrTjSgSQFnv2rtjNoZPwcXfiDeF/JW0CVOcfCCB5c5xLRaLyv5eES1Y3jyuXyJj5G1YQ794jaZeU423EATIm7ZJCSjz5oUePcg==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2022-07-07T19:29:00Z</dcterms:created>
  <dc:creator>USER</dc:creator>
</cp:coreProperties>
</file>