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9BC" w:rsidRPr="003529DE" w:rsidRDefault="009F09BC" w:rsidP="009F09BC">
      <w:pPr>
        <w:tabs>
          <w:tab w:val="left" w:pos="3465"/>
        </w:tabs>
        <w:spacing w:before="240" w:after="360" w:line="360" w:lineRule="auto"/>
        <w:jc w:val="both"/>
        <w:rPr>
          <w:rFonts w:ascii="Palatino Linotype" w:hAnsi="Palatino Linotype"/>
        </w:rPr>
      </w:pPr>
      <w:r w:rsidRPr="003529DE">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DD0347" w:rsidRPr="003529DE">
        <w:rPr>
          <w:rFonts w:ascii="Palatino Linotype" w:hAnsi="Palatino Linotype"/>
        </w:rPr>
        <w:t>ocho</w:t>
      </w:r>
      <w:r w:rsidR="006A04B6" w:rsidRPr="003529DE">
        <w:rPr>
          <w:rFonts w:ascii="Palatino Linotype" w:hAnsi="Palatino Linotype"/>
        </w:rPr>
        <w:t xml:space="preserve"> (</w:t>
      </w:r>
      <w:r w:rsidR="00652937" w:rsidRPr="003529DE">
        <w:rPr>
          <w:rFonts w:ascii="Palatino Linotype" w:hAnsi="Palatino Linotype"/>
        </w:rPr>
        <w:t>0</w:t>
      </w:r>
      <w:r w:rsidR="00DD0347" w:rsidRPr="003529DE">
        <w:rPr>
          <w:rFonts w:ascii="Palatino Linotype" w:hAnsi="Palatino Linotype"/>
        </w:rPr>
        <w:t>8</w:t>
      </w:r>
      <w:r w:rsidRPr="003529DE">
        <w:rPr>
          <w:rFonts w:ascii="Palatino Linotype" w:hAnsi="Palatino Linotype"/>
        </w:rPr>
        <w:t xml:space="preserve">) de </w:t>
      </w:r>
      <w:r w:rsidR="00652937" w:rsidRPr="003529DE">
        <w:rPr>
          <w:rFonts w:ascii="Palatino Linotype" w:hAnsi="Palatino Linotype"/>
        </w:rPr>
        <w:t>juni</w:t>
      </w:r>
      <w:r w:rsidR="00DE2F5A" w:rsidRPr="003529DE">
        <w:rPr>
          <w:rFonts w:ascii="Palatino Linotype" w:hAnsi="Palatino Linotype"/>
        </w:rPr>
        <w:t>o</w:t>
      </w:r>
      <w:r w:rsidR="00E61C13" w:rsidRPr="003529DE">
        <w:rPr>
          <w:rFonts w:ascii="Palatino Linotype" w:hAnsi="Palatino Linotype"/>
        </w:rPr>
        <w:t xml:space="preserve"> de dos mil veintidós</w:t>
      </w:r>
      <w:r w:rsidRPr="003529DE">
        <w:rPr>
          <w:rFonts w:ascii="Palatino Linotype" w:hAnsi="Palatino Linotype"/>
        </w:rPr>
        <w:t>.</w:t>
      </w:r>
    </w:p>
    <w:p w:rsidR="009F09BC" w:rsidRPr="003529DE" w:rsidRDefault="009F09BC" w:rsidP="009F09BC">
      <w:pPr>
        <w:spacing w:before="240" w:after="360" w:line="360" w:lineRule="auto"/>
        <w:jc w:val="both"/>
        <w:rPr>
          <w:rFonts w:ascii="Palatino Linotype" w:hAnsi="Palatino Linotype"/>
          <w:b/>
        </w:rPr>
      </w:pPr>
      <w:r w:rsidRPr="003529DE">
        <w:rPr>
          <w:rFonts w:ascii="Palatino Linotype" w:hAnsi="Palatino Linotype"/>
          <w:b/>
        </w:rPr>
        <w:t>VISTO</w:t>
      </w:r>
      <w:r w:rsidRPr="003529DE">
        <w:rPr>
          <w:rFonts w:ascii="Palatino Linotype" w:hAnsi="Palatino Linotype"/>
        </w:rPr>
        <w:t xml:space="preserve"> </w:t>
      </w:r>
      <w:r w:rsidR="008A699B" w:rsidRPr="003529DE">
        <w:rPr>
          <w:rFonts w:ascii="Palatino Linotype" w:hAnsi="Palatino Linotype"/>
        </w:rPr>
        <w:t>e</w:t>
      </w:r>
      <w:r w:rsidRPr="003529DE">
        <w:rPr>
          <w:rFonts w:ascii="Palatino Linotype" w:hAnsi="Palatino Linotype"/>
        </w:rPr>
        <w:t xml:space="preserve">l expediente electrónico formado con motivo del recurso de revisión </w:t>
      </w:r>
      <w:r w:rsidR="00DD0347" w:rsidRPr="003529DE">
        <w:rPr>
          <w:rFonts w:ascii="Palatino Linotype" w:hAnsi="Palatino Linotype"/>
          <w:b/>
        </w:rPr>
        <w:t>01948/INFOEM/IP/RR/2022</w:t>
      </w:r>
      <w:r w:rsidRPr="003529DE">
        <w:rPr>
          <w:rFonts w:ascii="Palatino Linotype" w:hAnsi="Palatino Linotype"/>
        </w:rPr>
        <w:t>,</w:t>
      </w:r>
      <w:r w:rsidRPr="003529DE">
        <w:rPr>
          <w:rFonts w:ascii="Palatino Linotype" w:hAnsi="Palatino Linotype" w:cs="Arial"/>
          <w:b/>
          <w:bCs/>
        </w:rPr>
        <w:t xml:space="preserve"> </w:t>
      </w:r>
      <w:r w:rsidRPr="003529DE">
        <w:rPr>
          <w:rFonts w:ascii="Palatino Linotype" w:hAnsi="Palatino Linotype"/>
        </w:rPr>
        <w:t xml:space="preserve">promovido por </w:t>
      </w:r>
      <w:proofErr w:type="spellStart"/>
      <w:r w:rsidR="003121DE">
        <w:rPr>
          <w:rFonts w:ascii="Palatino Linotype" w:hAnsi="Palatino Linotype"/>
          <w:b/>
        </w:rPr>
        <w:t>xxxxxx</w:t>
      </w:r>
      <w:proofErr w:type="spellEnd"/>
      <w:r w:rsidR="003121DE">
        <w:rPr>
          <w:rFonts w:ascii="Palatino Linotype" w:hAnsi="Palatino Linotype"/>
          <w:b/>
        </w:rPr>
        <w:t xml:space="preserve"> </w:t>
      </w:r>
      <w:proofErr w:type="spellStart"/>
      <w:r w:rsidR="003121DE">
        <w:rPr>
          <w:rFonts w:ascii="Palatino Linotype" w:hAnsi="Palatino Linotype"/>
          <w:b/>
        </w:rPr>
        <w:t>xxxxxxx</w:t>
      </w:r>
      <w:proofErr w:type="spellEnd"/>
      <w:r w:rsidRPr="003529DE">
        <w:rPr>
          <w:rFonts w:ascii="Palatino Linotype" w:hAnsi="Palatino Linotype"/>
        </w:rPr>
        <w:t xml:space="preserve">, a quien en lo sucesivo se le identificará como </w:t>
      </w:r>
      <w:r w:rsidR="005D1419">
        <w:rPr>
          <w:rFonts w:ascii="Palatino Linotype" w:hAnsi="Palatino Linotype"/>
          <w:b/>
        </w:rPr>
        <w:t>LA RECURRENTE</w:t>
      </w:r>
      <w:r w:rsidRPr="003529DE">
        <w:rPr>
          <w:rFonts w:ascii="Palatino Linotype" w:hAnsi="Palatino Linotype" w:cs="Arial"/>
        </w:rPr>
        <w:t xml:space="preserve">, en contra de la respuesta </w:t>
      </w:r>
      <w:r w:rsidR="00652937" w:rsidRPr="003529DE">
        <w:rPr>
          <w:rFonts w:ascii="Palatino Linotype" w:hAnsi="Palatino Linotype" w:cs="Arial"/>
        </w:rPr>
        <w:t xml:space="preserve">del </w:t>
      </w:r>
      <w:r w:rsidR="00DD0347" w:rsidRPr="003529DE">
        <w:rPr>
          <w:rFonts w:ascii="Palatino Linotype" w:hAnsi="Palatino Linotype" w:cs="Arial"/>
          <w:b/>
        </w:rPr>
        <w:t>Ayuntamiento de Tlalnepantla de Baz</w:t>
      </w:r>
      <w:r w:rsidRPr="003529DE">
        <w:rPr>
          <w:rFonts w:ascii="Palatino Linotype" w:hAnsi="Palatino Linotype" w:cs="Arial"/>
          <w:b/>
        </w:rPr>
        <w:t>,</w:t>
      </w:r>
      <w:r w:rsidRPr="003529DE">
        <w:rPr>
          <w:rFonts w:ascii="Palatino Linotype" w:hAnsi="Palatino Linotype"/>
          <w:b/>
        </w:rPr>
        <w:t xml:space="preserve"> </w:t>
      </w:r>
      <w:r w:rsidRPr="003529DE">
        <w:rPr>
          <w:rFonts w:ascii="Palatino Linotype" w:hAnsi="Palatino Linotype"/>
        </w:rPr>
        <w:t>en lo sucesivo el</w:t>
      </w:r>
      <w:r w:rsidRPr="003529DE">
        <w:rPr>
          <w:rFonts w:ascii="Palatino Linotype" w:hAnsi="Palatino Linotype"/>
          <w:b/>
        </w:rPr>
        <w:t xml:space="preserve"> SUJETO OBLIGADO</w:t>
      </w:r>
      <w:r w:rsidRPr="003529DE">
        <w:rPr>
          <w:rFonts w:ascii="Palatino Linotype" w:hAnsi="Palatino Linotype"/>
        </w:rPr>
        <w:t>, se procede a dictar la presente resolución, con base en los siguientes:</w:t>
      </w:r>
    </w:p>
    <w:p w:rsidR="009F09BC" w:rsidRPr="003529DE" w:rsidRDefault="009F09BC" w:rsidP="009F09BC">
      <w:pPr>
        <w:pStyle w:val="Ttulo1"/>
        <w:spacing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3529DE">
        <w:rPr>
          <w:rFonts w:ascii="Palatino Linotype" w:hAnsi="Palatino Linotype"/>
          <w:b/>
          <w:color w:val="000000" w:themeColor="text1"/>
          <w:sz w:val="24"/>
          <w:szCs w:val="24"/>
        </w:rPr>
        <w:t>ANTECEDENTES</w:t>
      </w:r>
      <w:bookmarkEnd w:id="0"/>
      <w:bookmarkEnd w:id="1"/>
      <w:bookmarkEnd w:id="2"/>
    </w:p>
    <w:p w:rsidR="009F09BC" w:rsidRPr="003529DE" w:rsidRDefault="009F09BC" w:rsidP="008A699B">
      <w:pPr>
        <w:pStyle w:val="Prrafodelista"/>
        <w:numPr>
          <w:ilvl w:val="0"/>
          <w:numId w:val="15"/>
        </w:numPr>
        <w:spacing w:before="240" w:after="240" w:line="360" w:lineRule="auto"/>
        <w:ind w:left="0" w:firstLine="0"/>
        <w:jc w:val="both"/>
        <w:rPr>
          <w:rFonts w:ascii="Palatino Linotype" w:eastAsia="Calibri" w:hAnsi="Palatino Linotype" w:cs="Arial"/>
          <w:lang w:val="es-ES"/>
        </w:rPr>
      </w:pPr>
      <w:r w:rsidRPr="003529DE">
        <w:rPr>
          <w:rFonts w:ascii="Palatino Linotype" w:eastAsia="Calibri" w:hAnsi="Palatino Linotype" w:cs="Arial"/>
          <w:lang w:val="es-ES"/>
        </w:rPr>
        <w:t xml:space="preserve">El día </w:t>
      </w:r>
      <w:r w:rsidR="00DD0347" w:rsidRPr="003529DE">
        <w:rPr>
          <w:rFonts w:ascii="Palatino Linotype" w:eastAsia="Calibri" w:hAnsi="Palatino Linotype" w:cs="Arial"/>
          <w:lang w:val="es-ES"/>
        </w:rPr>
        <w:t>veintitrés</w:t>
      </w:r>
      <w:r w:rsidRPr="003529DE">
        <w:rPr>
          <w:rFonts w:ascii="Palatino Linotype" w:eastAsia="Calibri" w:hAnsi="Palatino Linotype" w:cs="Arial"/>
          <w:lang w:val="es-ES"/>
        </w:rPr>
        <w:t xml:space="preserve"> (</w:t>
      </w:r>
      <w:r w:rsidR="00DD0347" w:rsidRPr="003529DE">
        <w:rPr>
          <w:rFonts w:ascii="Palatino Linotype" w:eastAsia="Calibri" w:hAnsi="Palatino Linotype" w:cs="Arial"/>
          <w:lang w:val="es-ES"/>
        </w:rPr>
        <w:t>23</w:t>
      </w:r>
      <w:r w:rsidRPr="003529DE">
        <w:rPr>
          <w:rFonts w:ascii="Palatino Linotype" w:eastAsia="Calibri" w:hAnsi="Palatino Linotype" w:cs="Arial"/>
          <w:lang w:val="es-ES"/>
        </w:rPr>
        <w:t xml:space="preserve">) de </w:t>
      </w:r>
      <w:r w:rsidR="002D294C" w:rsidRPr="003529DE">
        <w:rPr>
          <w:rFonts w:ascii="Palatino Linotype" w:eastAsia="Calibri" w:hAnsi="Palatino Linotype" w:cs="Arial"/>
          <w:lang w:val="es-ES"/>
        </w:rPr>
        <w:t>febre</w:t>
      </w:r>
      <w:r w:rsidR="00E61C13" w:rsidRPr="003529DE">
        <w:rPr>
          <w:rFonts w:ascii="Palatino Linotype" w:eastAsia="Calibri" w:hAnsi="Palatino Linotype" w:cs="Arial"/>
          <w:lang w:val="es-ES"/>
        </w:rPr>
        <w:t>ro de dos mil veintidós</w:t>
      </w:r>
      <w:r w:rsidRPr="003529DE">
        <w:rPr>
          <w:rFonts w:ascii="Palatino Linotype" w:hAnsi="Palatino Linotype"/>
          <w:b/>
        </w:rPr>
        <w:t xml:space="preserve">, </w:t>
      </w:r>
      <w:r w:rsidRPr="003529DE">
        <w:rPr>
          <w:rFonts w:ascii="Palatino Linotype" w:eastAsia="Calibri" w:hAnsi="Palatino Linotype" w:cs="Arial"/>
          <w:lang w:val="es-ES"/>
        </w:rPr>
        <w:t xml:space="preserve">se presentó ante el </w:t>
      </w:r>
      <w:r w:rsidRPr="003529DE">
        <w:rPr>
          <w:rFonts w:ascii="Palatino Linotype" w:eastAsia="Calibri" w:hAnsi="Palatino Linotype" w:cs="Arial"/>
          <w:b/>
          <w:lang w:val="es-ES"/>
        </w:rPr>
        <w:t>SUJETO OBLIGADO</w:t>
      </w:r>
      <w:r w:rsidRPr="003529DE">
        <w:rPr>
          <w:rFonts w:ascii="Palatino Linotype" w:eastAsia="Calibri" w:hAnsi="Palatino Linotype" w:cs="Arial"/>
        </w:rPr>
        <w:t xml:space="preserve"> vía </w:t>
      </w:r>
      <w:r w:rsidR="008A699B" w:rsidRPr="003529DE">
        <w:rPr>
          <w:rFonts w:ascii="Palatino Linotype" w:eastAsia="Calibri" w:hAnsi="Palatino Linotype" w:cs="Arial"/>
          <w:lang w:val="es-ES"/>
        </w:rPr>
        <w:t>SAIMEX, la solicitud</w:t>
      </w:r>
      <w:r w:rsidRPr="003529DE">
        <w:rPr>
          <w:rFonts w:ascii="Palatino Linotype" w:eastAsia="Calibri" w:hAnsi="Palatino Linotype" w:cs="Arial"/>
          <w:lang w:val="es-ES"/>
        </w:rPr>
        <w:t xml:space="preserve"> de información pública</w:t>
      </w:r>
      <w:r w:rsidR="008A699B" w:rsidRPr="003529DE">
        <w:rPr>
          <w:rFonts w:ascii="Palatino Linotype" w:eastAsia="Calibri" w:hAnsi="Palatino Linotype" w:cs="Arial"/>
          <w:lang w:val="es-ES"/>
        </w:rPr>
        <w:t xml:space="preserve"> registrada</w:t>
      </w:r>
      <w:r w:rsidRPr="003529DE">
        <w:rPr>
          <w:rFonts w:ascii="Palatino Linotype" w:eastAsia="Calibri" w:hAnsi="Palatino Linotype" w:cs="Arial"/>
          <w:lang w:val="es-ES"/>
        </w:rPr>
        <w:t xml:space="preserve"> con </w:t>
      </w:r>
      <w:r w:rsidR="008A699B" w:rsidRPr="003529DE">
        <w:rPr>
          <w:rFonts w:ascii="Palatino Linotype" w:eastAsia="Calibri" w:hAnsi="Palatino Linotype" w:cs="Arial"/>
          <w:lang w:val="es-ES"/>
        </w:rPr>
        <w:t xml:space="preserve">el </w:t>
      </w:r>
      <w:r w:rsidRPr="003529DE">
        <w:rPr>
          <w:rFonts w:ascii="Palatino Linotype" w:eastAsia="Calibri" w:hAnsi="Palatino Linotype" w:cs="Arial"/>
          <w:lang w:val="es-ES"/>
        </w:rPr>
        <w:t>número</w:t>
      </w:r>
      <w:r w:rsidRPr="003529DE">
        <w:rPr>
          <w:rFonts w:ascii="Palatino Linotype" w:hAnsi="Palatino Linotype"/>
          <w:b/>
          <w:bCs/>
          <w:color w:val="000000" w:themeColor="text1"/>
        </w:rPr>
        <w:t xml:space="preserve"> </w:t>
      </w:r>
      <w:r w:rsidR="00DD0347" w:rsidRPr="003529DE">
        <w:rPr>
          <w:rFonts w:ascii="Palatino Linotype" w:hAnsi="Palatino Linotype"/>
          <w:b/>
          <w:bCs/>
          <w:color w:val="000000" w:themeColor="text1"/>
        </w:rPr>
        <w:t>00230/TLALNEPA/IP/2022</w:t>
      </w:r>
      <w:r w:rsidRPr="003529DE">
        <w:rPr>
          <w:rFonts w:ascii="Palatino Linotype" w:hAnsi="Palatino Linotype"/>
          <w:b/>
          <w:bCs/>
          <w:color w:val="000000" w:themeColor="text1"/>
        </w:rPr>
        <w:t xml:space="preserve">; </w:t>
      </w:r>
      <w:r w:rsidRPr="003529DE">
        <w:rPr>
          <w:rFonts w:ascii="Palatino Linotype" w:eastAsia="Calibri" w:hAnsi="Palatino Linotype" w:cs="Arial"/>
          <w:lang w:val="es-ES"/>
        </w:rPr>
        <w:t>mediante la cual se solicitó la siguiente información:</w:t>
      </w:r>
    </w:p>
    <w:p w:rsidR="008A699B" w:rsidRPr="003529DE" w:rsidRDefault="008A699B" w:rsidP="008A699B">
      <w:pPr>
        <w:pStyle w:val="Prrafodelista"/>
        <w:spacing w:before="240" w:after="240" w:line="360" w:lineRule="auto"/>
        <w:ind w:left="0"/>
        <w:jc w:val="both"/>
        <w:rPr>
          <w:rFonts w:ascii="Palatino Linotype" w:eastAsia="Calibri" w:hAnsi="Palatino Linotype" w:cs="Arial"/>
          <w:lang w:val="es-ES"/>
        </w:rPr>
      </w:pPr>
    </w:p>
    <w:p w:rsidR="009F09BC" w:rsidRPr="003529DE" w:rsidRDefault="008A699B" w:rsidP="008A699B">
      <w:pPr>
        <w:pStyle w:val="Prrafodelista"/>
        <w:spacing w:line="360" w:lineRule="auto"/>
        <w:ind w:left="426" w:right="474"/>
        <w:jc w:val="both"/>
        <w:rPr>
          <w:rFonts w:ascii="Palatino Linotype" w:hAnsi="Palatino Linotype"/>
          <w:i/>
        </w:rPr>
      </w:pPr>
      <w:r w:rsidRPr="003529DE">
        <w:rPr>
          <w:rFonts w:ascii="Palatino Linotype" w:hAnsi="Palatino Linotype"/>
          <w:i/>
        </w:rPr>
        <w:t>“</w:t>
      </w:r>
      <w:r w:rsidR="00DD0347" w:rsidRPr="003529DE">
        <w:rPr>
          <w:rFonts w:ascii="Palatino Linotype" w:hAnsi="Palatino Linotype"/>
          <w:i/>
        </w:rPr>
        <w:t>VERSION PÚBLICA DE LOS AVISOS DE PRIVACIDAD QUE SE FIRMARON POR PARTE DE LAS PERSONAS QUE APARECEN EN LAS FOTOGRAFIAS DIFUNDIDAS EN SU RED SOCIAL RESPECTO A LA ULTIMA CAMPAÑA DE VACUNACION Y RESPECTO A LA CAMPAÑA DE SALUBRIDAD DE ESTERILIZACION DE PERROS Y GATOS QUE DIFUNDE EL INSTITUTO MUNICIPAL DE SALUD</w:t>
      </w:r>
      <w:r w:rsidRPr="003529DE">
        <w:rPr>
          <w:rFonts w:ascii="Palatino Linotype" w:hAnsi="Palatino Linotype"/>
          <w:i/>
        </w:rPr>
        <w:t>”</w:t>
      </w:r>
    </w:p>
    <w:p w:rsidR="008A699B" w:rsidRPr="003529DE" w:rsidRDefault="008A699B" w:rsidP="009F09BC">
      <w:pPr>
        <w:pStyle w:val="Prrafodelista"/>
        <w:spacing w:line="360" w:lineRule="auto"/>
        <w:ind w:left="851" w:right="34"/>
        <w:jc w:val="both"/>
        <w:rPr>
          <w:rFonts w:ascii="Palatino Linotype" w:hAnsi="Palatino Linotype"/>
        </w:rPr>
      </w:pPr>
    </w:p>
    <w:p w:rsidR="009F09BC" w:rsidRPr="003529DE" w:rsidRDefault="009F09BC" w:rsidP="009F09BC">
      <w:pPr>
        <w:pStyle w:val="Prrafodelista"/>
        <w:numPr>
          <w:ilvl w:val="0"/>
          <w:numId w:val="23"/>
        </w:numPr>
        <w:spacing w:line="360" w:lineRule="auto"/>
        <w:ind w:left="851" w:right="34"/>
        <w:jc w:val="both"/>
        <w:rPr>
          <w:rFonts w:ascii="Palatino Linotype" w:hAnsi="Palatino Linotype"/>
        </w:rPr>
      </w:pPr>
      <w:r w:rsidRPr="003529DE">
        <w:rPr>
          <w:rFonts w:ascii="Palatino Linotype" w:eastAsia="Times New Roman" w:hAnsi="Palatino Linotype" w:cs="Arial"/>
          <w:lang w:val="es-ES"/>
        </w:rPr>
        <w:lastRenderedPageBreak/>
        <w:t>Se eligió como modalidad de entrega de la información</w:t>
      </w:r>
      <w:r w:rsidRPr="003529DE">
        <w:rPr>
          <w:rFonts w:ascii="Palatino Linotype" w:hAnsi="Palatino Linotype"/>
        </w:rPr>
        <w:t xml:space="preserve">: A través del </w:t>
      </w:r>
      <w:r w:rsidRPr="003529DE">
        <w:rPr>
          <w:rFonts w:ascii="Palatino Linotype" w:hAnsi="Palatino Linotype"/>
          <w:b/>
        </w:rPr>
        <w:t>SAIMEX</w:t>
      </w:r>
    </w:p>
    <w:p w:rsidR="00DD0347" w:rsidRPr="003529DE" w:rsidRDefault="00DD0347" w:rsidP="00DD0347">
      <w:pPr>
        <w:pStyle w:val="Prrafodelista"/>
        <w:spacing w:line="360" w:lineRule="auto"/>
        <w:ind w:left="851" w:right="34"/>
        <w:jc w:val="both"/>
        <w:rPr>
          <w:rFonts w:ascii="Palatino Linotype" w:hAnsi="Palatino Linotype"/>
        </w:rPr>
      </w:pPr>
    </w:p>
    <w:p w:rsidR="009F09BC" w:rsidRPr="003529DE" w:rsidRDefault="00DD0347" w:rsidP="00E61C13">
      <w:pPr>
        <w:pStyle w:val="Prrafodelista"/>
        <w:numPr>
          <w:ilvl w:val="0"/>
          <w:numId w:val="15"/>
        </w:numPr>
        <w:tabs>
          <w:tab w:val="left" w:pos="0"/>
        </w:tabs>
        <w:spacing w:line="360" w:lineRule="auto"/>
        <w:ind w:left="0" w:right="51" w:firstLine="0"/>
        <w:jc w:val="both"/>
        <w:rPr>
          <w:rFonts w:ascii="Palatino Linotype" w:hAnsi="Palatino Linotype" w:cs="Arial"/>
          <w:i/>
          <w:color w:val="000000" w:themeColor="text1"/>
        </w:rPr>
      </w:pPr>
      <w:r w:rsidRPr="003529DE">
        <w:rPr>
          <w:rFonts w:ascii="Palatino Linotype" w:hAnsi="Palatino Linotype" w:cs="Arial"/>
          <w:color w:val="000000" w:themeColor="text1"/>
        </w:rPr>
        <w:t>El veinticinco</w:t>
      </w:r>
      <w:r w:rsidR="009F09BC" w:rsidRPr="003529DE">
        <w:rPr>
          <w:rFonts w:ascii="Palatino Linotype" w:hAnsi="Palatino Linotype" w:cs="Arial"/>
          <w:color w:val="000000" w:themeColor="text1"/>
        </w:rPr>
        <w:t xml:space="preserve"> (</w:t>
      </w:r>
      <w:r w:rsidRPr="003529DE">
        <w:rPr>
          <w:rFonts w:ascii="Palatino Linotype" w:hAnsi="Palatino Linotype" w:cs="Arial"/>
          <w:color w:val="000000" w:themeColor="text1"/>
        </w:rPr>
        <w:t>25</w:t>
      </w:r>
      <w:r w:rsidR="009F09BC" w:rsidRPr="003529DE">
        <w:rPr>
          <w:rFonts w:ascii="Palatino Linotype" w:hAnsi="Palatino Linotype" w:cs="Arial"/>
          <w:color w:val="000000" w:themeColor="text1"/>
        </w:rPr>
        <w:t xml:space="preserve">) de </w:t>
      </w:r>
      <w:r w:rsidR="00E61C13" w:rsidRPr="003529DE">
        <w:rPr>
          <w:rFonts w:ascii="Palatino Linotype" w:hAnsi="Palatino Linotype" w:cs="Arial"/>
          <w:color w:val="000000" w:themeColor="text1"/>
        </w:rPr>
        <w:t>febre</w:t>
      </w:r>
      <w:r w:rsidR="002C4997" w:rsidRPr="003529DE">
        <w:rPr>
          <w:rFonts w:ascii="Palatino Linotype" w:hAnsi="Palatino Linotype" w:cs="Arial"/>
          <w:color w:val="000000" w:themeColor="text1"/>
        </w:rPr>
        <w:t>ro de dos mil veintidós</w:t>
      </w:r>
      <w:r w:rsidR="009F09BC" w:rsidRPr="003529DE">
        <w:rPr>
          <w:rFonts w:ascii="Palatino Linotype" w:hAnsi="Palatino Linotype" w:cs="Arial"/>
          <w:color w:val="000000" w:themeColor="text1"/>
        </w:rPr>
        <w:t xml:space="preserve">, el </w:t>
      </w:r>
      <w:r w:rsidR="009F09BC" w:rsidRPr="003529DE">
        <w:rPr>
          <w:rFonts w:ascii="Palatino Linotype" w:hAnsi="Palatino Linotype" w:cs="Arial"/>
          <w:b/>
          <w:color w:val="000000" w:themeColor="text1"/>
        </w:rPr>
        <w:t>SUJETO OBLIGADO,</w:t>
      </w:r>
      <w:r w:rsidR="009F09BC" w:rsidRPr="003529DE">
        <w:rPr>
          <w:rFonts w:ascii="Palatino Linotype" w:hAnsi="Palatino Linotype" w:cs="Arial"/>
          <w:color w:val="000000" w:themeColor="text1"/>
        </w:rPr>
        <w:t xml:space="preserve"> dio respuesta</w:t>
      </w:r>
      <w:r w:rsidRPr="003529DE">
        <w:rPr>
          <w:rFonts w:ascii="Palatino Linotype" w:hAnsi="Palatino Linotype" w:cs="Arial"/>
          <w:color w:val="000000" w:themeColor="text1"/>
        </w:rPr>
        <w:t xml:space="preserve"> declinando su competencia</w:t>
      </w:r>
      <w:r w:rsidR="009F09BC" w:rsidRPr="003529DE">
        <w:rPr>
          <w:rFonts w:ascii="Palatino Linotype" w:hAnsi="Palatino Linotype" w:cs="Arial"/>
          <w:color w:val="000000" w:themeColor="text1"/>
        </w:rPr>
        <w:t xml:space="preserve"> </w:t>
      </w:r>
      <w:r w:rsidR="002C4997" w:rsidRPr="003529DE">
        <w:rPr>
          <w:rFonts w:ascii="Palatino Linotype" w:hAnsi="Palatino Linotype" w:cs="Arial"/>
          <w:color w:val="000000" w:themeColor="text1"/>
        </w:rPr>
        <w:t>en los siguientes términos</w:t>
      </w:r>
      <w:r w:rsidR="009F09BC" w:rsidRPr="003529DE">
        <w:rPr>
          <w:rFonts w:ascii="Palatino Linotype" w:hAnsi="Palatino Linotype" w:cs="Arial"/>
          <w:color w:val="000000" w:themeColor="text1"/>
        </w:rPr>
        <w:t>:</w:t>
      </w:r>
    </w:p>
    <w:p w:rsidR="00DD0347" w:rsidRPr="003529DE" w:rsidRDefault="00DD0347" w:rsidP="00DD0347">
      <w:pPr>
        <w:pStyle w:val="Prrafodelista"/>
        <w:tabs>
          <w:tab w:val="left" w:pos="0"/>
        </w:tabs>
        <w:spacing w:line="360" w:lineRule="auto"/>
        <w:ind w:left="0" w:right="51"/>
        <w:jc w:val="both"/>
        <w:rPr>
          <w:rFonts w:ascii="Palatino Linotype" w:hAnsi="Palatino Linotype" w:cs="Arial"/>
          <w:color w:val="000000" w:themeColor="text1"/>
        </w:rPr>
      </w:pPr>
      <w:r w:rsidRPr="003529DE">
        <w:rPr>
          <w:rFonts w:ascii="Palatino Linotype" w:hAnsi="Palatino Linotype" w:cs="Arial"/>
          <w:noProof/>
          <w:color w:val="000000" w:themeColor="text1"/>
          <w:lang w:val="es-ES"/>
        </w:rPr>
        <mc:AlternateContent>
          <mc:Choice Requires="wps">
            <w:drawing>
              <wp:anchor distT="0" distB="0" distL="114300" distR="114300" simplePos="0" relativeHeight="251677696" behindDoc="0" locked="0" layoutInCell="1" allowOverlap="1">
                <wp:simplePos x="0" y="0"/>
                <wp:positionH relativeFrom="margin">
                  <wp:align>left</wp:align>
                </wp:positionH>
                <wp:positionV relativeFrom="paragraph">
                  <wp:posOffset>187587</wp:posOffset>
                </wp:positionV>
                <wp:extent cx="5570548" cy="5211519"/>
                <wp:effectExtent l="0" t="0" r="30480" b="27305"/>
                <wp:wrapNone/>
                <wp:docPr id="4" name="Conector recto 4"/>
                <wp:cNvGraphicFramePr/>
                <a:graphic xmlns:a="http://schemas.openxmlformats.org/drawingml/2006/main">
                  <a:graphicData uri="http://schemas.microsoft.com/office/word/2010/wordprocessingShape">
                    <wps:wsp>
                      <wps:cNvCnPr/>
                      <wps:spPr>
                        <a:xfrm>
                          <a:off x="0" y="0"/>
                          <a:ext cx="5570548" cy="5211519"/>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A4BE5F" id="Conector recto 4" o:spid="_x0000_s1026" style="position:absolute;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75pt" to="438.65pt,4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" strokecolor="black [3200]" strokeweight="1.5pt">
                <v:stroke joinstyle="miter"/>
                <w10:wrap anchorx="margin"/>
              </v:line>
            </w:pict>
          </mc:Fallback>
        </mc:AlternateContent>
      </w:r>
    </w:p>
    <w:p w:rsidR="00DD0347" w:rsidRPr="003529DE" w:rsidRDefault="00DD0347" w:rsidP="00DD0347">
      <w:pPr>
        <w:pStyle w:val="Prrafodelista"/>
        <w:tabs>
          <w:tab w:val="left" w:pos="0"/>
        </w:tabs>
        <w:spacing w:line="360" w:lineRule="auto"/>
        <w:ind w:left="0" w:right="51"/>
        <w:jc w:val="center"/>
        <w:rPr>
          <w:rFonts w:ascii="Palatino Linotype" w:hAnsi="Palatino Linotype" w:cs="Arial"/>
          <w:i/>
          <w:color w:val="000000" w:themeColor="text1"/>
        </w:rPr>
      </w:pPr>
      <w:r w:rsidRPr="003529DE">
        <w:rPr>
          <w:rFonts w:ascii="Palatino Linotype" w:hAnsi="Palatino Linotype" w:cs="Arial"/>
          <w:i/>
          <w:noProof/>
          <w:color w:val="000000" w:themeColor="text1"/>
          <w:lang w:val="es-ES"/>
        </w:rPr>
        <w:lastRenderedPageBreak/>
        <w:drawing>
          <wp:inline distT="0" distB="0" distL="0" distR="0">
            <wp:extent cx="5037615" cy="7364484"/>
            <wp:effectExtent l="19050" t="19050" r="10795" b="273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8907" cy="7366372"/>
                    </a:xfrm>
                    <a:prstGeom prst="rect">
                      <a:avLst/>
                    </a:prstGeom>
                    <a:noFill/>
                    <a:ln>
                      <a:solidFill>
                        <a:schemeClr val="tx1"/>
                      </a:solidFill>
                    </a:ln>
                  </pic:spPr>
                </pic:pic>
              </a:graphicData>
            </a:graphic>
          </wp:inline>
        </w:drawing>
      </w:r>
    </w:p>
    <w:p w:rsidR="00DD0347" w:rsidRPr="003529DE" w:rsidRDefault="00DD0347" w:rsidP="00DD0347">
      <w:pPr>
        <w:pStyle w:val="Prrafodelista"/>
        <w:tabs>
          <w:tab w:val="left" w:pos="0"/>
        </w:tabs>
        <w:spacing w:line="360" w:lineRule="auto"/>
        <w:ind w:left="0" w:right="51"/>
        <w:jc w:val="center"/>
        <w:rPr>
          <w:rFonts w:ascii="Palatino Linotype" w:hAnsi="Palatino Linotype" w:cs="Arial"/>
          <w:i/>
          <w:color w:val="000000" w:themeColor="text1"/>
        </w:rPr>
      </w:pPr>
      <w:r w:rsidRPr="003529DE">
        <w:rPr>
          <w:rFonts w:ascii="Palatino Linotype" w:hAnsi="Palatino Linotype" w:cs="Arial"/>
          <w:i/>
          <w:noProof/>
          <w:color w:val="000000" w:themeColor="text1"/>
          <w:lang w:val="es-ES"/>
        </w:rPr>
        <w:lastRenderedPageBreak/>
        <w:drawing>
          <wp:inline distT="0" distB="0" distL="0" distR="0">
            <wp:extent cx="4863711" cy="7342011"/>
            <wp:effectExtent l="19050" t="19050" r="13335" b="114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5240" cy="7344319"/>
                    </a:xfrm>
                    <a:prstGeom prst="rect">
                      <a:avLst/>
                    </a:prstGeom>
                    <a:noFill/>
                    <a:ln>
                      <a:solidFill>
                        <a:schemeClr val="tx1"/>
                      </a:solidFill>
                    </a:ln>
                  </pic:spPr>
                </pic:pic>
              </a:graphicData>
            </a:graphic>
          </wp:inline>
        </w:drawing>
      </w:r>
    </w:p>
    <w:p w:rsidR="00DD0347" w:rsidRPr="003529DE" w:rsidRDefault="00DD0347" w:rsidP="00DD0347">
      <w:pPr>
        <w:pStyle w:val="Prrafodelista"/>
        <w:tabs>
          <w:tab w:val="left" w:pos="0"/>
        </w:tabs>
        <w:spacing w:line="360" w:lineRule="auto"/>
        <w:ind w:left="0" w:right="51"/>
        <w:jc w:val="center"/>
        <w:rPr>
          <w:rFonts w:ascii="Palatino Linotype" w:hAnsi="Palatino Linotype" w:cs="Arial"/>
          <w:i/>
          <w:color w:val="000000" w:themeColor="text1"/>
        </w:rPr>
      </w:pPr>
      <w:r w:rsidRPr="003529DE">
        <w:rPr>
          <w:rFonts w:ascii="Palatino Linotype" w:hAnsi="Palatino Linotype" w:cs="Arial"/>
          <w:i/>
          <w:noProof/>
          <w:color w:val="000000" w:themeColor="text1"/>
          <w:lang w:val="es-ES"/>
        </w:rPr>
        <w:lastRenderedPageBreak/>
        <w:drawing>
          <wp:inline distT="0" distB="0" distL="0" distR="0">
            <wp:extent cx="5076884" cy="5253893"/>
            <wp:effectExtent l="19050" t="19050" r="9525" b="234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2162" cy="5259355"/>
                    </a:xfrm>
                    <a:prstGeom prst="rect">
                      <a:avLst/>
                    </a:prstGeom>
                    <a:noFill/>
                    <a:ln>
                      <a:solidFill>
                        <a:schemeClr val="tx1"/>
                      </a:solidFill>
                    </a:ln>
                  </pic:spPr>
                </pic:pic>
              </a:graphicData>
            </a:graphic>
          </wp:inline>
        </w:drawing>
      </w:r>
    </w:p>
    <w:p w:rsidR="00652937" w:rsidRPr="003529DE" w:rsidRDefault="00652937" w:rsidP="00652937">
      <w:pPr>
        <w:pStyle w:val="Prrafodelista"/>
        <w:tabs>
          <w:tab w:val="left" w:pos="0"/>
        </w:tabs>
        <w:spacing w:line="360" w:lineRule="auto"/>
        <w:ind w:left="0" w:right="51"/>
        <w:jc w:val="both"/>
        <w:rPr>
          <w:rFonts w:ascii="Palatino Linotype" w:hAnsi="Palatino Linotype" w:cs="Arial"/>
          <w:i/>
          <w:color w:val="000000" w:themeColor="text1"/>
        </w:rPr>
      </w:pPr>
    </w:p>
    <w:p w:rsidR="009F09BC" w:rsidRPr="003529DE" w:rsidRDefault="009F09BC" w:rsidP="009F09BC">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3529DE">
        <w:rPr>
          <w:rFonts w:ascii="Palatino Linotype" w:eastAsia="Times New Roman" w:hAnsi="Palatino Linotype" w:cs="Arial"/>
          <w:color w:val="000000" w:themeColor="text1"/>
          <w:lang w:val="es-ES"/>
        </w:rPr>
        <w:t>E</w:t>
      </w:r>
      <w:r w:rsidR="002C4997" w:rsidRPr="003529DE">
        <w:rPr>
          <w:rFonts w:ascii="Palatino Linotype" w:eastAsia="Times New Roman" w:hAnsi="Palatino Linotype" w:cs="Arial"/>
          <w:color w:val="000000" w:themeColor="text1"/>
          <w:lang w:val="es-ES"/>
        </w:rPr>
        <w:t xml:space="preserve">l </w:t>
      </w:r>
      <w:r w:rsidR="00DD0347" w:rsidRPr="003529DE">
        <w:rPr>
          <w:rFonts w:ascii="Palatino Linotype" w:eastAsia="Times New Roman" w:hAnsi="Palatino Linotype" w:cs="Arial"/>
          <w:color w:val="000000" w:themeColor="text1"/>
          <w:lang w:val="es-ES"/>
        </w:rPr>
        <w:t>veinticinco</w:t>
      </w:r>
      <w:r w:rsidR="002C4997" w:rsidRPr="003529DE">
        <w:rPr>
          <w:rFonts w:ascii="Palatino Linotype" w:eastAsia="Times New Roman" w:hAnsi="Palatino Linotype" w:cs="Arial"/>
          <w:color w:val="000000" w:themeColor="text1"/>
          <w:lang w:val="es-ES"/>
        </w:rPr>
        <w:t xml:space="preserve"> </w:t>
      </w:r>
      <w:r w:rsidRPr="003529DE">
        <w:rPr>
          <w:rFonts w:ascii="Palatino Linotype" w:eastAsia="Times New Roman" w:hAnsi="Palatino Linotype" w:cs="Arial"/>
          <w:color w:val="000000" w:themeColor="text1"/>
          <w:lang w:val="es-ES"/>
        </w:rPr>
        <w:t>(</w:t>
      </w:r>
      <w:r w:rsidR="00804DAA" w:rsidRPr="003529DE">
        <w:rPr>
          <w:rFonts w:ascii="Palatino Linotype" w:eastAsia="Times New Roman" w:hAnsi="Palatino Linotype" w:cs="Arial"/>
          <w:color w:val="000000" w:themeColor="text1"/>
          <w:lang w:val="es-ES"/>
        </w:rPr>
        <w:t>2</w:t>
      </w:r>
      <w:r w:rsidR="00DD0347" w:rsidRPr="003529DE">
        <w:rPr>
          <w:rFonts w:ascii="Palatino Linotype" w:eastAsia="Times New Roman" w:hAnsi="Palatino Linotype" w:cs="Arial"/>
          <w:color w:val="000000" w:themeColor="text1"/>
          <w:lang w:val="es-ES"/>
        </w:rPr>
        <w:t>5</w:t>
      </w:r>
      <w:r w:rsidRPr="003529DE">
        <w:rPr>
          <w:rFonts w:ascii="Palatino Linotype" w:eastAsia="Times New Roman" w:hAnsi="Palatino Linotype" w:cs="Arial"/>
          <w:color w:val="000000" w:themeColor="text1"/>
          <w:lang w:val="es-ES"/>
        </w:rPr>
        <w:t xml:space="preserve">) de </w:t>
      </w:r>
      <w:r w:rsidR="002650A0" w:rsidRPr="003529DE">
        <w:rPr>
          <w:rFonts w:ascii="Palatino Linotype" w:eastAsia="Times New Roman" w:hAnsi="Palatino Linotype" w:cs="Arial"/>
          <w:color w:val="000000" w:themeColor="text1"/>
          <w:lang w:val="es-ES"/>
        </w:rPr>
        <w:t>febrer</w:t>
      </w:r>
      <w:r w:rsidRPr="003529DE">
        <w:rPr>
          <w:rFonts w:ascii="Palatino Linotype" w:eastAsia="Times New Roman" w:hAnsi="Palatino Linotype" w:cs="Arial"/>
          <w:color w:val="000000" w:themeColor="text1"/>
          <w:lang w:val="es-ES"/>
        </w:rPr>
        <w:t xml:space="preserve">o de </w:t>
      </w:r>
      <w:r w:rsidR="00025C53" w:rsidRPr="003529DE">
        <w:rPr>
          <w:rFonts w:ascii="Palatino Linotype" w:eastAsia="Times New Roman" w:hAnsi="Palatino Linotype" w:cs="Arial"/>
          <w:color w:val="000000" w:themeColor="text1"/>
          <w:lang w:val="es-ES"/>
        </w:rPr>
        <w:t>dos mil veintidós</w:t>
      </w:r>
      <w:r w:rsidRPr="003529DE">
        <w:rPr>
          <w:rFonts w:ascii="Palatino Linotype" w:eastAsia="Times New Roman" w:hAnsi="Palatino Linotype" w:cs="Arial"/>
          <w:color w:val="000000" w:themeColor="text1"/>
          <w:lang w:val="es-ES"/>
        </w:rPr>
        <w:t xml:space="preserve">, el particular interpuso </w:t>
      </w:r>
      <w:r w:rsidR="002C4997" w:rsidRPr="003529DE">
        <w:rPr>
          <w:rFonts w:ascii="Palatino Linotype" w:eastAsia="Times New Roman" w:hAnsi="Palatino Linotype" w:cs="Arial"/>
          <w:color w:val="000000" w:themeColor="text1"/>
          <w:lang w:val="es-ES"/>
        </w:rPr>
        <w:t>e</w:t>
      </w:r>
      <w:r w:rsidRPr="003529DE">
        <w:rPr>
          <w:rFonts w:ascii="Palatino Linotype" w:eastAsia="Times New Roman" w:hAnsi="Palatino Linotype" w:cs="Arial"/>
          <w:color w:val="000000" w:themeColor="text1"/>
          <w:lang w:val="es-ES"/>
        </w:rPr>
        <w:t>l recurso de revisión en contra de la respuesta, manifestando l</w:t>
      </w:r>
      <w:r w:rsidR="002C4997" w:rsidRPr="003529DE">
        <w:rPr>
          <w:rFonts w:ascii="Palatino Linotype" w:eastAsia="Times New Roman" w:hAnsi="Palatino Linotype" w:cs="Arial"/>
          <w:color w:val="000000" w:themeColor="text1"/>
          <w:lang w:val="es-ES"/>
        </w:rPr>
        <w:t>a</w:t>
      </w:r>
      <w:r w:rsidRPr="003529DE">
        <w:rPr>
          <w:rFonts w:ascii="Palatino Linotype" w:eastAsia="Times New Roman" w:hAnsi="Palatino Linotype" w:cs="Arial"/>
          <w:color w:val="000000" w:themeColor="text1"/>
          <w:lang w:val="es-ES"/>
        </w:rPr>
        <w:t xml:space="preserve">s </w:t>
      </w:r>
      <w:r w:rsidR="002C4997" w:rsidRPr="003529DE">
        <w:rPr>
          <w:rFonts w:ascii="Palatino Linotype" w:eastAsia="Times New Roman" w:hAnsi="Palatino Linotype" w:cs="Arial"/>
          <w:color w:val="000000" w:themeColor="text1"/>
          <w:lang w:val="es-ES"/>
        </w:rPr>
        <w:t>siguientes</w:t>
      </w:r>
      <w:r w:rsidRPr="003529DE">
        <w:rPr>
          <w:rFonts w:ascii="Palatino Linotype" w:eastAsia="Times New Roman" w:hAnsi="Palatino Linotype" w:cs="Arial"/>
          <w:color w:val="000000" w:themeColor="text1"/>
          <w:lang w:val="es-ES"/>
        </w:rPr>
        <w:t xml:space="preserve"> razones o motivos de inconformidad:</w:t>
      </w:r>
    </w:p>
    <w:p w:rsidR="009F09BC" w:rsidRPr="003529DE" w:rsidRDefault="009F09BC" w:rsidP="009F09BC">
      <w:pPr>
        <w:pStyle w:val="Prrafodelista"/>
        <w:tabs>
          <w:tab w:val="left" w:pos="0"/>
        </w:tabs>
        <w:spacing w:line="360" w:lineRule="auto"/>
        <w:ind w:left="0" w:right="49"/>
        <w:jc w:val="both"/>
        <w:rPr>
          <w:rFonts w:ascii="Palatino Linotype" w:hAnsi="Palatino Linotype" w:cs="Arial"/>
          <w:i/>
          <w:color w:val="000000" w:themeColor="text1"/>
        </w:rPr>
      </w:pPr>
    </w:p>
    <w:p w:rsidR="009F09BC" w:rsidRPr="003529DE" w:rsidRDefault="009F09BC" w:rsidP="00DD0347">
      <w:pPr>
        <w:pStyle w:val="Prrafodelista"/>
        <w:numPr>
          <w:ilvl w:val="0"/>
          <w:numId w:val="23"/>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3529DE">
        <w:rPr>
          <w:rStyle w:val="Ttulo2Car"/>
          <w:rFonts w:ascii="Palatino Linotype" w:hAnsi="Palatino Linotype"/>
          <w:b/>
          <w:color w:val="auto"/>
          <w:sz w:val="24"/>
          <w:szCs w:val="24"/>
        </w:rPr>
        <w:t>Acto impugnado</w:t>
      </w:r>
      <w:bookmarkEnd w:id="3"/>
      <w:r w:rsidRPr="003529DE">
        <w:rPr>
          <w:rStyle w:val="Ttulo2Car"/>
          <w:rFonts w:ascii="Palatino Linotype" w:hAnsi="Palatino Linotype"/>
          <w:b/>
          <w:color w:val="000000" w:themeColor="text1"/>
          <w:sz w:val="24"/>
          <w:szCs w:val="24"/>
        </w:rPr>
        <w:t xml:space="preserve">: </w:t>
      </w:r>
      <w:r w:rsidRPr="003529DE">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DD0347" w:rsidRPr="003529DE">
        <w:rPr>
          <w:rStyle w:val="Ttulo2Car"/>
          <w:rFonts w:ascii="Palatino Linotype" w:hAnsi="Palatino Linotype"/>
          <w:i/>
          <w:color w:val="000000" w:themeColor="text1"/>
          <w:sz w:val="24"/>
          <w:szCs w:val="24"/>
        </w:rPr>
        <w:t>la incompetencia</w:t>
      </w:r>
      <w:r w:rsidR="00652937" w:rsidRPr="003529DE">
        <w:rPr>
          <w:rStyle w:val="Ttulo2Car"/>
          <w:rFonts w:ascii="Palatino Linotype" w:hAnsi="Palatino Linotype"/>
          <w:i/>
          <w:color w:val="000000" w:themeColor="text1"/>
          <w:sz w:val="24"/>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9F09BC" w:rsidRPr="003529DE" w:rsidRDefault="009F09BC" w:rsidP="002650A0">
      <w:pPr>
        <w:spacing w:line="360" w:lineRule="auto"/>
        <w:jc w:val="both"/>
        <w:rPr>
          <w:rFonts w:ascii="Palatino Linotype" w:hAnsi="Palatino Linotype"/>
          <w:i/>
          <w:color w:val="000000" w:themeColor="text1"/>
        </w:rPr>
      </w:pPr>
    </w:p>
    <w:p w:rsidR="009F09BC" w:rsidRPr="003529DE" w:rsidRDefault="009F09BC" w:rsidP="00DD0347">
      <w:pPr>
        <w:pStyle w:val="Prrafodelista"/>
        <w:numPr>
          <w:ilvl w:val="0"/>
          <w:numId w:val="23"/>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3529DE">
        <w:rPr>
          <w:rStyle w:val="Ttulo2Car"/>
          <w:rFonts w:ascii="Palatino Linotype" w:hAnsi="Palatino Linotype"/>
          <w:b/>
          <w:color w:val="000000" w:themeColor="text1"/>
          <w:sz w:val="24"/>
          <w:szCs w:val="24"/>
        </w:rPr>
        <w:lastRenderedPageBreak/>
        <w:t>Razones o Motivos de inconformidad:</w:t>
      </w:r>
      <w:bookmarkEnd w:id="68"/>
      <w:bookmarkEnd w:id="127"/>
      <w:bookmarkEnd w:id="128"/>
      <w:bookmarkEnd w:id="129"/>
      <w:bookmarkEnd w:id="130"/>
      <w:bookmarkEnd w:id="131"/>
      <w:bookmarkEnd w:id="132"/>
      <w:r w:rsidRPr="003529DE">
        <w:rPr>
          <w:rFonts w:ascii="Palatino Linotype" w:hAnsi="Palatino Linotype"/>
          <w:b/>
          <w:color w:val="000000" w:themeColor="text1"/>
        </w:rPr>
        <w:t xml:space="preserve"> </w:t>
      </w:r>
      <w:r w:rsidRPr="003529DE">
        <w:rPr>
          <w:rFonts w:ascii="Palatino Linotype" w:hAnsi="Palatino Linotype"/>
          <w:i/>
          <w:color w:val="000000" w:themeColor="text1"/>
        </w:rPr>
        <w:t>“</w:t>
      </w:r>
      <w:r w:rsidR="00DD0347" w:rsidRPr="003529DE">
        <w:rPr>
          <w:rFonts w:ascii="Palatino Linotype" w:hAnsi="Palatino Linotype"/>
          <w:i/>
          <w:color w:val="000000" w:themeColor="text1"/>
        </w:rPr>
        <w:t xml:space="preserve">Recurro la incompetencia declarada ya que no estoy ciñendo mi solicitud a la gestión 22-24, pedí los avisos de privacidad de las </w:t>
      </w:r>
      <w:proofErr w:type="spellStart"/>
      <w:r w:rsidR="00DD0347" w:rsidRPr="003529DE">
        <w:rPr>
          <w:rFonts w:ascii="Palatino Linotype" w:hAnsi="Palatino Linotype"/>
          <w:i/>
          <w:color w:val="000000" w:themeColor="text1"/>
        </w:rPr>
        <w:t>ultimas</w:t>
      </w:r>
      <w:proofErr w:type="spellEnd"/>
      <w:r w:rsidR="00DD0347" w:rsidRPr="003529DE">
        <w:rPr>
          <w:rFonts w:ascii="Palatino Linotype" w:hAnsi="Palatino Linotype"/>
          <w:i/>
          <w:color w:val="000000" w:themeColor="text1"/>
        </w:rPr>
        <w:t xml:space="preserve"> campañas del INSTITUTO MUNICIPAL DE SALUD DE TLALNEPANTLA DE BAZ, A CARGO DE LA LILIAN RODRIGUEZ SOTO, ASI QUE ESA INFORMACIÓN DEBE OBRAR EN SUS ARCHIVOS.</w:t>
      </w:r>
      <w:r w:rsidRPr="003529DE">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82142B" w:rsidRPr="003529DE" w:rsidRDefault="0082142B" w:rsidP="0082142B">
      <w:pPr>
        <w:pStyle w:val="Prrafodelista"/>
        <w:rPr>
          <w:rFonts w:ascii="Palatino Linotype" w:hAnsi="Palatino Linotype"/>
          <w:i/>
          <w:color w:val="000000" w:themeColor="text1"/>
        </w:rPr>
      </w:pPr>
    </w:p>
    <w:p w:rsidR="009F09BC" w:rsidRPr="003529DE" w:rsidRDefault="00CC5B2F" w:rsidP="009F09BC">
      <w:pPr>
        <w:pStyle w:val="Prrafodelista"/>
        <w:numPr>
          <w:ilvl w:val="0"/>
          <w:numId w:val="15"/>
        </w:numPr>
        <w:spacing w:before="240" w:after="240" w:line="360" w:lineRule="auto"/>
        <w:ind w:left="0" w:firstLine="0"/>
        <w:jc w:val="both"/>
        <w:rPr>
          <w:rFonts w:ascii="Palatino Linotype" w:hAnsi="Palatino Linotype"/>
          <w:i/>
        </w:rPr>
      </w:pPr>
      <w:r w:rsidRPr="003529DE">
        <w:rPr>
          <w:rFonts w:ascii="Palatino Linotype" w:eastAsia="Calibri" w:hAnsi="Palatino Linotype" w:cs="Arial"/>
          <w:lang w:val="es-ES"/>
        </w:rPr>
        <w:t>La Comisionada</w:t>
      </w:r>
      <w:r w:rsidR="009F09BC" w:rsidRPr="003529DE">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AA657D" w:rsidRPr="003529DE">
        <w:rPr>
          <w:rFonts w:ascii="Palatino Linotype" w:eastAsia="Calibri" w:hAnsi="Palatino Linotype" w:cs="Arial"/>
          <w:lang w:val="es-ES"/>
        </w:rPr>
        <w:t>tres</w:t>
      </w:r>
      <w:r w:rsidR="009F09BC" w:rsidRPr="003529DE">
        <w:rPr>
          <w:rFonts w:ascii="Palatino Linotype" w:eastAsia="Calibri" w:hAnsi="Palatino Linotype" w:cs="Arial"/>
          <w:lang w:val="es-ES"/>
        </w:rPr>
        <w:t xml:space="preserve"> (</w:t>
      </w:r>
      <w:r w:rsidR="00AA657D" w:rsidRPr="003529DE">
        <w:rPr>
          <w:rFonts w:ascii="Palatino Linotype" w:eastAsia="Calibri" w:hAnsi="Palatino Linotype" w:cs="Arial"/>
          <w:lang w:val="es-ES"/>
        </w:rPr>
        <w:t>03</w:t>
      </w:r>
      <w:r w:rsidR="009F09BC" w:rsidRPr="003529DE">
        <w:rPr>
          <w:rFonts w:ascii="Palatino Linotype" w:eastAsia="Calibri" w:hAnsi="Palatino Linotype" w:cs="Arial"/>
          <w:lang w:val="es-ES"/>
        </w:rPr>
        <w:t xml:space="preserve">) de </w:t>
      </w:r>
      <w:r w:rsidR="003933C4" w:rsidRPr="003529DE">
        <w:rPr>
          <w:rFonts w:ascii="Palatino Linotype" w:eastAsia="Calibri" w:hAnsi="Palatino Linotype" w:cs="Arial"/>
          <w:lang w:val="es-ES"/>
        </w:rPr>
        <w:t>febre</w:t>
      </w:r>
      <w:r w:rsidR="002C4997" w:rsidRPr="003529DE">
        <w:rPr>
          <w:rFonts w:ascii="Palatino Linotype" w:eastAsia="Calibri" w:hAnsi="Palatino Linotype" w:cs="Arial"/>
          <w:lang w:val="es-ES"/>
        </w:rPr>
        <w:t>r</w:t>
      </w:r>
      <w:r w:rsidR="009F09BC" w:rsidRPr="003529DE">
        <w:rPr>
          <w:rFonts w:ascii="Palatino Linotype" w:eastAsia="Calibri" w:hAnsi="Palatino Linotype" w:cs="Arial"/>
          <w:lang w:val="es-ES"/>
        </w:rPr>
        <w:t xml:space="preserve">o del año en curso, puso a disposición de las partes el expediente electrónico </w:t>
      </w:r>
      <w:r w:rsidR="009F09BC" w:rsidRPr="003529DE">
        <w:rPr>
          <w:rFonts w:ascii="Palatino Linotype" w:eastAsia="Calibri" w:hAnsi="Palatino Linotype" w:cs="Arial"/>
        </w:rPr>
        <w:t xml:space="preserve">vía </w:t>
      </w:r>
      <w:r w:rsidR="009F09BC" w:rsidRPr="003529DE">
        <w:rPr>
          <w:rFonts w:ascii="Palatino Linotype" w:eastAsia="Calibri" w:hAnsi="Palatino Linotype" w:cs="Arial"/>
          <w:b/>
          <w:lang w:val="es-ES"/>
        </w:rPr>
        <w:t xml:space="preserve">SAIMEX </w:t>
      </w:r>
      <w:r w:rsidR="009F09BC" w:rsidRPr="003529DE">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3529DE">
        <w:rPr>
          <w:rFonts w:ascii="Palatino Linotype" w:eastAsia="Calibri" w:hAnsi="Palatino Linotype" w:cs="Arial"/>
          <w:b/>
          <w:lang w:val="es-ES"/>
        </w:rPr>
        <w:t>SUJETO OBLIGADO</w:t>
      </w:r>
      <w:r w:rsidR="009F09BC" w:rsidRPr="003529DE">
        <w:rPr>
          <w:rFonts w:ascii="Palatino Linotype" w:eastAsia="Calibri" w:hAnsi="Palatino Linotype" w:cs="Arial"/>
          <w:lang w:val="es-ES"/>
        </w:rPr>
        <w:t xml:space="preserve"> presentará el Informe Justificado procedente.</w:t>
      </w:r>
    </w:p>
    <w:p w:rsidR="009F09BC" w:rsidRPr="003529DE" w:rsidRDefault="009F09BC" w:rsidP="009F09BC">
      <w:pPr>
        <w:pStyle w:val="Prrafodelista"/>
        <w:spacing w:before="240" w:after="240" w:line="360" w:lineRule="auto"/>
        <w:ind w:left="0"/>
        <w:jc w:val="both"/>
        <w:rPr>
          <w:rFonts w:ascii="Palatino Linotype" w:hAnsi="Palatino Linotype"/>
        </w:rPr>
      </w:pPr>
    </w:p>
    <w:p w:rsidR="009F09BC" w:rsidRPr="003529DE" w:rsidRDefault="009F09BC" w:rsidP="006672E1">
      <w:pPr>
        <w:pStyle w:val="Prrafodelista"/>
        <w:numPr>
          <w:ilvl w:val="0"/>
          <w:numId w:val="15"/>
        </w:numPr>
        <w:spacing w:before="240" w:after="240" w:line="360" w:lineRule="auto"/>
        <w:ind w:left="0" w:firstLine="0"/>
        <w:jc w:val="both"/>
        <w:rPr>
          <w:rFonts w:ascii="Palatino Linotype" w:hAnsi="Palatino Linotype"/>
        </w:rPr>
      </w:pPr>
      <w:r w:rsidRPr="003529DE">
        <w:rPr>
          <w:rFonts w:ascii="Palatino Linotype" w:hAnsi="Palatino Linotype"/>
          <w:color w:val="000000"/>
        </w:rPr>
        <w:t xml:space="preserve">El </w:t>
      </w:r>
      <w:r w:rsidRPr="003529DE">
        <w:rPr>
          <w:rFonts w:ascii="Palatino Linotype" w:hAnsi="Palatino Linotype"/>
          <w:b/>
          <w:color w:val="000000"/>
        </w:rPr>
        <w:t xml:space="preserve">SUJETO </w:t>
      </w:r>
      <w:r w:rsidRPr="003529DE">
        <w:rPr>
          <w:rFonts w:ascii="Palatino Linotype" w:eastAsia="Calibri" w:hAnsi="Palatino Linotype" w:cs="Arial"/>
          <w:b/>
          <w:lang w:val="es-ES"/>
        </w:rPr>
        <w:t>OBLIGADO</w:t>
      </w:r>
      <w:r w:rsidR="007A6A1A" w:rsidRPr="003529DE">
        <w:rPr>
          <w:rFonts w:ascii="Palatino Linotype" w:hAnsi="Palatino Linotype"/>
          <w:color w:val="000000"/>
        </w:rPr>
        <w:t xml:space="preserve"> </w:t>
      </w:r>
      <w:r w:rsidR="00AA657D" w:rsidRPr="003529DE">
        <w:rPr>
          <w:rFonts w:ascii="Palatino Linotype" w:hAnsi="Palatino Linotype"/>
          <w:color w:val="000000"/>
        </w:rPr>
        <w:t>en fecha catorce (14) de marzo del año en curso, rindió el informe justificado correspondiente, mismo que fue puesto a la vista del particular mediante acuerdo de fecha cuatro (04) abril de dos mil veintidós</w:t>
      </w:r>
      <w:r w:rsidR="002C4997" w:rsidRPr="003529DE">
        <w:rPr>
          <w:rFonts w:ascii="Palatino Linotype" w:hAnsi="Palatino Linotype"/>
          <w:color w:val="000000"/>
        </w:rPr>
        <w:t xml:space="preserve">. </w:t>
      </w:r>
      <w:r w:rsidRPr="003529DE">
        <w:rPr>
          <w:rFonts w:ascii="Palatino Linotype" w:hAnsi="Palatino Linotype"/>
          <w:color w:val="000000"/>
        </w:rPr>
        <w:t xml:space="preserve">Por su parte </w:t>
      </w:r>
      <w:r w:rsidRPr="003529DE">
        <w:rPr>
          <w:rFonts w:ascii="Palatino Linotype" w:hAnsi="Palatino Linotype"/>
          <w:b/>
          <w:color w:val="000000"/>
        </w:rPr>
        <w:t xml:space="preserve">EL PARTICULAR </w:t>
      </w:r>
      <w:r w:rsidR="00A305ED" w:rsidRPr="003529DE">
        <w:rPr>
          <w:rFonts w:ascii="Palatino Linotype" w:hAnsi="Palatino Linotype"/>
          <w:color w:val="000000"/>
        </w:rPr>
        <w:t>dejó de realizar manifestaciones que a su derecho conviniera y asistiera</w:t>
      </w:r>
      <w:r w:rsidRPr="003529DE">
        <w:rPr>
          <w:rFonts w:ascii="Palatino Linotype" w:hAnsi="Palatino Linotype"/>
          <w:color w:val="000000"/>
        </w:rPr>
        <w:t>.</w:t>
      </w:r>
    </w:p>
    <w:p w:rsidR="00ED6E75" w:rsidRPr="003529DE" w:rsidRDefault="00ED6E75" w:rsidP="00ED6E75">
      <w:pPr>
        <w:pStyle w:val="Prrafodelista"/>
        <w:spacing w:before="240" w:after="240" w:line="360" w:lineRule="auto"/>
        <w:ind w:left="0"/>
        <w:jc w:val="both"/>
        <w:rPr>
          <w:rFonts w:ascii="Palatino Linotype" w:hAnsi="Palatino Linotype"/>
        </w:rPr>
      </w:pPr>
    </w:p>
    <w:p w:rsidR="00A305ED" w:rsidRPr="003529DE" w:rsidRDefault="00A305ED" w:rsidP="00A305ED">
      <w:pPr>
        <w:pStyle w:val="Prrafodelista"/>
        <w:numPr>
          <w:ilvl w:val="0"/>
          <w:numId w:val="15"/>
        </w:numPr>
        <w:spacing w:before="240" w:after="240" w:line="360" w:lineRule="auto"/>
        <w:ind w:left="0" w:firstLine="0"/>
        <w:jc w:val="both"/>
        <w:rPr>
          <w:rFonts w:ascii="Palatino Linotype" w:hAnsi="Palatino Linotype"/>
          <w:b/>
          <w:color w:val="000000" w:themeColor="text1"/>
        </w:rPr>
      </w:pPr>
      <w:r w:rsidRPr="003529DE">
        <w:rPr>
          <w:rFonts w:ascii="Palatino Linotype" w:hAnsi="Palatino Linotype"/>
        </w:rPr>
        <w:t>M</w:t>
      </w:r>
      <w:r w:rsidR="006672E1" w:rsidRPr="003529DE">
        <w:rPr>
          <w:rFonts w:ascii="Palatino Linotype" w:hAnsi="Palatino Linotype"/>
        </w:rPr>
        <w:t xml:space="preserve">ediante </w:t>
      </w:r>
      <w:r w:rsidR="006672E1" w:rsidRPr="003529DE">
        <w:rPr>
          <w:rFonts w:ascii="Palatino Linotype" w:hAnsi="Palatino Linotype"/>
          <w:color w:val="000000"/>
        </w:rPr>
        <w:t>acuerdos</w:t>
      </w:r>
      <w:r w:rsidR="006672E1" w:rsidRPr="003529DE">
        <w:rPr>
          <w:rFonts w:ascii="Palatino Linotype" w:hAnsi="Palatino Linotype"/>
        </w:rPr>
        <w:t xml:space="preserve"> de fecha </w:t>
      </w:r>
      <w:r w:rsidR="00AA657D" w:rsidRPr="003529DE">
        <w:rPr>
          <w:rFonts w:ascii="Palatino Linotype" w:hAnsi="Palatino Linotype"/>
        </w:rPr>
        <w:t>treinta y uno</w:t>
      </w:r>
      <w:r w:rsidRPr="003529DE">
        <w:rPr>
          <w:rFonts w:ascii="Palatino Linotype" w:hAnsi="Palatino Linotype"/>
        </w:rPr>
        <w:t xml:space="preserve"> (</w:t>
      </w:r>
      <w:r w:rsidR="00AA657D" w:rsidRPr="003529DE">
        <w:rPr>
          <w:rFonts w:ascii="Palatino Linotype" w:hAnsi="Palatino Linotype"/>
        </w:rPr>
        <w:t>31</w:t>
      </w:r>
      <w:r w:rsidR="0001674C" w:rsidRPr="003529DE">
        <w:rPr>
          <w:rFonts w:ascii="Palatino Linotype" w:hAnsi="Palatino Linotype"/>
        </w:rPr>
        <w:t xml:space="preserve">) de </w:t>
      </w:r>
      <w:r w:rsidR="006672E1" w:rsidRPr="003529DE">
        <w:rPr>
          <w:rFonts w:ascii="Palatino Linotype" w:hAnsi="Palatino Linotype"/>
        </w:rPr>
        <w:t>may</w:t>
      </w:r>
      <w:r w:rsidR="0001674C" w:rsidRPr="003529DE">
        <w:rPr>
          <w:rFonts w:ascii="Palatino Linotype" w:hAnsi="Palatino Linotype"/>
        </w:rPr>
        <w:t xml:space="preserve">o del año en curso, </w:t>
      </w:r>
      <w:r w:rsidR="006672E1" w:rsidRPr="003529DE">
        <w:rPr>
          <w:rFonts w:ascii="Palatino Linotype" w:hAnsi="Palatino Linotype"/>
        </w:rPr>
        <w:t xml:space="preserve">se amplió el termino para resolver y posteriormente </w:t>
      </w:r>
      <w:r w:rsidR="0001674C" w:rsidRPr="003529DE">
        <w:rPr>
          <w:rFonts w:ascii="Palatino Linotype" w:hAnsi="Palatino Linotype"/>
        </w:rPr>
        <w:t>se d</w:t>
      </w:r>
      <w:r w:rsidR="006672E1" w:rsidRPr="003529DE">
        <w:rPr>
          <w:rFonts w:ascii="Palatino Linotype" w:hAnsi="Palatino Linotype"/>
        </w:rPr>
        <w:t>ecretó el cierre de instrucción</w:t>
      </w:r>
      <w:r w:rsidR="0001674C" w:rsidRPr="003529DE">
        <w:rPr>
          <w:rFonts w:ascii="Palatino Linotype" w:hAnsi="Palatino Linotype"/>
        </w:rPr>
        <w:t xml:space="preserve">, </w:t>
      </w:r>
      <w:r w:rsidR="009F09BC" w:rsidRPr="003529DE">
        <w:rPr>
          <w:rFonts w:ascii="Palatino Linotype" w:hAnsi="Palatino Linotype" w:cs="Arial"/>
        </w:rPr>
        <w:t>por lo que no habiendo más que hacer constar, y --------------------------</w:t>
      </w:r>
      <w:r w:rsidR="0001674C" w:rsidRPr="003529DE">
        <w:rPr>
          <w:rFonts w:ascii="Palatino Linotype" w:hAnsi="Palatino Linotype" w:cs="Arial"/>
        </w:rPr>
        <w:t>-------------------</w:t>
      </w:r>
      <w:bookmarkStart w:id="133" w:name="_Toc491791302"/>
      <w:bookmarkStart w:id="134" w:name="_Toc83128578"/>
    </w:p>
    <w:p w:rsidR="00AA657D" w:rsidRPr="003529DE" w:rsidRDefault="00AA657D" w:rsidP="00A305ED">
      <w:pPr>
        <w:pStyle w:val="Prrafodelista"/>
        <w:spacing w:before="240" w:after="240" w:line="360" w:lineRule="auto"/>
        <w:ind w:left="0"/>
        <w:jc w:val="center"/>
        <w:rPr>
          <w:rFonts w:ascii="Palatino Linotype" w:hAnsi="Palatino Linotype"/>
          <w:b/>
          <w:color w:val="000000" w:themeColor="text1"/>
        </w:rPr>
      </w:pPr>
    </w:p>
    <w:p w:rsidR="009F09BC" w:rsidRPr="003529DE" w:rsidRDefault="009F09BC" w:rsidP="00A305ED">
      <w:pPr>
        <w:pStyle w:val="Prrafodelista"/>
        <w:spacing w:before="240" w:after="240" w:line="360" w:lineRule="auto"/>
        <w:ind w:left="0"/>
        <w:jc w:val="center"/>
        <w:rPr>
          <w:rFonts w:ascii="Palatino Linotype" w:hAnsi="Palatino Linotype"/>
          <w:b/>
          <w:color w:val="000000" w:themeColor="text1"/>
        </w:rPr>
      </w:pPr>
      <w:r w:rsidRPr="003529DE">
        <w:rPr>
          <w:rFonts w:ascii="Palatino Linotype" w:hAnsi="Palatino Linotype"/>
          <w:b/>
          <w:color w:val="000000" w:themeColor="text1"/>
        </w:rPr>
        <w:t>CONSIDERANDO</w:t>
      </w:r>
      <w:bookmarkEnd w:id="133"/>
      <w:bookmarkEnd w:id="134"/>
    </w:p>
    <w:p w:rsidR="009F09BC" w:rsidRPr="003529DE" w:rsidRDefault="009F09BC" w:rsidP="009F09BC">
      <w:pPr>
        <w:pStyle w:val="Ttulo2"/>
        <w:rPr>
          <w:rFonts w:ascii="Palatino Linotype" w:hAnsi="Palatino Linotype"/>
          <w:b/>
          <w:color w:val="auto"/>
          <w:sz w:val="24"/>
          <w:szCs w:val="24"/>
        </w:rPr>
      </w:pPr>
      <w:bookmarkStart w:id="135" w:name="_Toc491791303"/>
      <w:bookmarkStart w:id="136" w:name="_Toc83128579"/>
      <w:r w:rsidRPr="003529DE">
        <w:rPr>
          <w:rFonts w:ascii="Palatino Linotype" w:hAnsi="Palatino Linotype"/>
          <w:b/>
          <w:color w:val="auto"/>
          <w:sz w:val="24"/>
          <w:szCs w:val="24"/>
        </w:rPr>
        <w:lastRenderedPageBreak/>
        <w:t>PRIMERO. De la competencia</w:t>
      </w:r>
      <w:bookmarkEnd w:id="135"/>
      <w:bookmarkEnd w:id="136"/>
    </w:p>
    <w:p w:rsidR="009F09BC" w:rsidRPr="003529DE" w:rsidRDefault="009F09BC" w:rsidP="009F09BC">
      <w:pPr>
        <w:rPr>
          <w:rFonts w:ascii="Palatino Linotype" w:hAnsi="Palatino Linotype"/>
          <w:lang w:val="es-MX" w:eastAsia="en-US"/>
        </w:rPr>
      </w:pPr>
    </w:p>
    <w:p w:rsidR="00353F1D" w:rsidRPr="003529DE" w:rsidRDefault="00353F1D" w:rsidP="00353F1D">
      <w:pPr>
        <w:pStyle w:val="Prrafodelista"/>
        <w:numPr>
          <w:ilvl w:val="0"/>
          <w:numId w:val="15"/>
        </w:numPr>
        <w:spacing w:line="360" w:lineRule="auto"/>
        <w:ind w:left="0" w:firstLine="0"/>
        <w:jc w:val="both"/>
        <w:rPr>
          <w:rFonts w:ascii="Palatino Linotype" w:hAnsi="Palatino Linotype"/>
          <w:color w:val="000000" w:themeColor="text1"/>
        </w:rPr>
      </w:pPr>
      <w:r w:rsidRPr="003529DE">
        <w:rPr>
          <w:rFonts w:ascii="Palatino Linotype" w:hAnsi="Palatino Linotype"/>
          <w:color w:val="000000" w:themeColor="text1"/>
        </w:rPr>
        <w:t xml:space="preserve">El </w:t>
      </w:r>
      <w:r w:rsidRPr="003529DE">
        <w:rPr>
          <w:rFonts w:ascii="Palatino Linotype" w:hAnsi="Palatino Linotype"/>
        </w:rPr>
        <w:t>Instituto</w:t>
      </w:r>
      <w:r w:rsidRPr="003529DE">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9F09BC" w:rsidRPr="003529DE" w:rsidRDefault="009F09BC" w:rsidP="00353F1D">
      <w:pPr>
        <w:pStyle w:val="Prrafodelista"/>
        <w:spacing w:line="360" w:lineRule="auto"/>
        <w:ind w:left="0"/>
        <w:jc w:val="both"/>
        <w:rPr>
          <w:rFonts w:ascii="Palatino Linotype" w:eastAsia="Calibri" w:hAnsi="Palatino Linotype" w:cs="Times New Roman"/>
          <w:b/>
          <w:lang w:val="es-ES"/>
        </w:rPr>
      </w:pPr>
    </w:p>
    <w:p w:rsidR="009F09BC" w:rsidRPr="003529DE" w:rsidRDefault="009F09BC" w:rsidP="009F09BC">
      <w:pPr>
        <w:pStyle w:val="Ttulo2"/>
        <w:rPr>
          <w:rFonts w:ascii="Palatino Linotype" w:hAnsi="Palatino Linotype"/>
          <w:b/>
          <w:color w:val="auto"/>
          <w:sz w:val="24"/>
          <w:szCs w:val="24"/>
        </w:rPr>
      </w:pPr>
      <w:bookmarkStart w:id="137" w:name="_Toc491791304"/>
      <w:bookmarkStart w:id="138" w:name="_Toc83128580"/>
      <w:r w:rsidRPr="003529DE">
        <w:rPr>
          <w:rFonts w:ascii="Palatino Linotype" w:hAnsi="Palatino Linotype"/>
          <w:b/>
          <w:color w:val="auto"/>
          <w:sz w:val="24"/>
          <w:szCs w:val="24"/>
        </w:rPr>
        <w:t>SEGUNDO. De la oportunidad y procedencia.</w:t>
      </w:r>
      <w:bookmarkEnd w:id="137"/>
      <w:bookmarkEnd w:id="138"/>
    </w:p>
    <w:p w:rsidR="009F09BC" w:rsidRPr="003529DE" w:rsidRDefault="009F09BC" w:rsidP="009F09BC">
      <w:pPr>
        <w:rPr>
          <w:rFonts w:ascii="Palatino Linotype" w:hAnsi="Palatino Linotype"/>
          <w:lang w:val="es-MX" w:eastAsia="en-US"/>
        </w:rPr>
      </w:pPr>
    </w:p>
    <w:p w:rsidR="009F09BC" w:rsidRPr="003529DE" w:rsidRDefault="00425842" w:rsidP="009F09BC">
      <w:pPr>
        <w:pStyle w:val="Prrafodelista"/>
        <w:numPr>
          <w:ilvl w:val="0"/>
          <w:numId w:val="15"/>
        </w:numPr>
        <w:spacing w:line="360" w:lineRule="auto"/>
        <w:ind w:left="0" w:firstLine="0"/>
        <w:jc w:val="both"/>
        <w:rPr>
          <w:rFonts w:ascii="Palatino Linotype" w:hAnsi="Palatino Linotype"/>
        </w:rPr>
      </w:pPr>
      <w:r w:rsidRPr="003529DE">
        <w:rPr>
          <w:rFonts w:ascii="Palatino Linotype" w:eastAsia="Calibri" w:hAnsi="Palatino Linotype" w:cs="Arial"/>
        </w:rPr>
        <w:t>El</w:t>
      </w:r>
      <w:r w:rsidR="00AD63B4" w:rsidRPr="003529DE">
        <w:rPr>
          <w:rFonts w:ascii="Palatino Linotype" w:eastAsia="Calibri" w:hAnsi="Palatino Linotype" w:cs="Arial"/>
        </w:rPr>
        <w:t xml:space="preserve"> </w:t>
      </w:r>
      <w:r w:rsidR="009F09BC" w:rsidRPr="003529DE">
        <w:rPr>
          <w:rFonts w:ascii="Palatino Linotype" w:eastAsia="Calibri" w:hAnsi="Palatino Linotype" w:cs="Arial"/>
        </w:rPr>
        <w:t xml:space="preserve">medio de impugnación fue presentado a través del </w:t>
      </w:r>
      <w:r w:rsidR="009F09BC" w:rsidRPr="003529DE">
        <w:rPr>
          <w:rFonts w:ascii="Palatino Linotype" w:eastAsia="Calibri" w:hAnsi="Palatino Linotype" w:cs="Arial"/>
          <w:b/>
        </w:rPr>
        <w:t>SAIMEX,</w:t>
      </w:r>
      <w:r w:rsidR="009F09BC" w:rsidRPr="003529DE">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3529DE">
        <w:rPr>
          <w:rFonts w:ascii="Palatino Linotype" w:eastAsia="Calibri" w:hAnsi="Palatino Linotype" w:cs="Arial"/>
          <w:b/>
        </w:rPr>
        <w:t>SUJETO OBLIGADO</w:t>
      </w:r>
      <w:r w:rsidRPr="003529DE">
        <w:rPr>
          <w:rFonts w:ascii="Palatino Linotype" w:eastAsia="Calibri" w:hAnsi="Palatino Linotype" w:cs="Arial"/>
        </w:rPr>
        <w:t xml:space="preserve"> entregó su</w:t>
      </w:r>
      <w:r w:rsidR="009F09BC" w:rsidRPr="003529DE">
        <w:rPr>
          <w:rFonts w:ascii="Palatino Linotype" w:eastAsia="Calibri" w:hAnsi="Palatino Linotype" w:cs="Arial"/>
        </w:rPr>
        <w:t xml:space="preserve"> respuesta </w:t>
      </w:r>
      <w:r w:rsidRPr="003529DE">
        <w:rPr>
          <w:rFonts w:ascii="Palatino Linotype" w:eastAsia="Calibri" w:hAnsi="Palatino Linotype" w:cs="Arial"/>
        </w:rPr>
        <w:t>e</w:t>
      </w:r>
      <w:r w:rsidR="009F09BC" w:rsidRPr="003529DE">
        <w:rPr>
          <w:rFonts w:ascii="Palatino Linotype" w:eastAsia="Calibri" w:hAnsi="Palatino Linotype" w:cs="Arial"/>
        </w:rPr>
        <w:t xml:space="preserve">l </w:t>
      </w:r>
      <w:r w:rsidR="00AA657D" w:rsidRPr="003529DE">
        <w:rPr>
          <w:rFonts w:ascii="Palatino Linotype" w:eastAsia="Calibri" w:hAnsi="Palatino Linotype" w:cs="Arial"/>
        </w:rPr>
        <w:t>veinticinco</w:t>
      </w:r>
      <w:r w:rsidRPr="003529DE">
        <w:rPr>
          <w:rFonts w:ascii="Palatino Linotype" w:eastAsia="Calibri" w:hAnsi="Palatino Linotype" w:cs="Arial"/>
        </w:rPr>
        <w:t xml:space="preserve"> (</w:t>
      </w:r>
      <w:r w:rsidR="00AA657D" w:rsidRPr="003529DE">
        <w:rPr>
          <w:rFonts w:ascii="Palatino Linotype" w:eastAsia="Calibri" w:hAnsi="Palatino Linotype" w:cs="Arial"/>
        </w:rPr>
        <w:t>25</w:t>
      </w:r>
      <w:r w:rsidR="009F09BC" w:rsidRPr="003529DE">
        <w:rPr>
          <w:rFonts w:ascii="Palatino Linotype" w:eastAsia="Calibri" w:hAnsi="Palatino Linotype" w:cs="Arial"/>
        </w:rPr>
        <w:t xml:space="preserve">) de </w:t>
      </w:r>
      <w:r w:rsidR="007A460E" w:rsidRPr="003529DE">
        <w:rPr>
          <w:rFonts w:ascii="Palatino Linotype" w:eastAsia="Calibri" w:hAnsi="Palatino Linotype" w:cs="Arial"/>
        </w:rPr>
        <w:t>febre</w:t>
      </w:r>
      <w:r w:rsidRPr="003529DE">
        <w:rPr>
          <w:rFonts w:ascii="Palatino Linotype" w:eastAsia="Calibri" w:hAnsi="Palatino Linotype" w:cs="Arial"/>
        </w:rPr>
        <w:t>ro de dos mil veintidós</w:t>
      </w:r>
      <w:r w:rsidR="009F09BC" w:rsidRPr="003529DE">
        <w:rPr>
          <w:rFonts w:ascii="Palatino Linotype" w:eastAsia="Calibri" w:hAnsi="Palatino Linotype" w:cs="Arial"/>
        </w:rPr>
        <w:t xml:space="preserve">, </w:t>
      </w:r>
      <w:r w:rsidR="009F09BC" w:rsidRPr="003529DE">
        <w:rPr>
          <w:rFonts w:ascii="Palatino Linotype" w:hAnsi="Palatino Linotype" w:cs="Arial"/>
        </w:rPr>
        <w:t xml:space="preserve">de tal forma que </w:t>
      </w:r>
      <w:r w:rsidRPr="003529DE">
        <w:rPr>
          <w:rFonts w:ascii="Palatino Linotype" w:hAnsi="Palatino Linotype" w:cs="Arial"/>
        </w:rPr>
        <w:t>e</w:t>
      </w:r>
      <w:r w:rsidR="009F09BC" w:rsidRPr="003529DE">
        <w:rPr>
          <w:rFonts w:ascii="Palatino Linotype" w:hAnsi="Palatino Linotype" w:cs="Arial"/>
        </w:rPr>
        <w:t xml:space="preserve">l plazo para interponer </w:t>
      </w:r>
      <w:r w:rsidRPr="003529DE">
        <w:rPr>
          <w:rFonts w:ascii="Palatino Linotype" w:hAnsi="Palatino Linotype" w:cs="Arial"/>
        </w:rPr>
        <w:t>e</w:t>
      </w:r>
      <w:r w:rsidR="009F09BC" w:rsidRPr="003529DE">
        <w:rPr>
          <w:rFonts w:ascii="Palatino Linotype" w:hAnsi="Palatino Linotype" w:cs="Arial"/>
        </w:rPr>
        <w:t xml:space="preserve">l recurso de revisión </w:t>
      </w:r>
      <w:r w:rsidRPr="003529DE">
        <w:rPr>
          <w:rFonts w:ascii="Palatino Linotype" w:hAnsi="Palatino Linotype" w:cs="Arial"/>
        </w:rPr>
        <w:t>transcurrió</w:t>
      </w:r>
      <w:r w:rsidR="009F09BC" w:rsidRPr="003529DE">
        <w:rPr>
          <w:rFonts w:ascii="Palatino Linotype" w:hAnsi="Palatino Linotype" w:cs="Arial"/>
        </w:rPr>
        <w:t xml:space="preserve"> del día </w:t>
      </w:r>
      <w:r w:rsidR="00AA657D" w:rsidRPr="003529DE">
        <w:rPr>
          <w:rFonts w:ascii="Palatino Linotype" w:hAnsi="Palatino Linotype" w:cs="Arial"/>
        </w:rPr>
        <w:t>veintiocho</w:t>
      </w:r>
      <w:r w:rsidR="000F1081" w:rsidRPr="003529DE">
        <w:rPr>
          <w:rFonts w:ascii="Palatino Linotype" w:hAnsi="Palatino Linotype" w:cs="Arial"/>
        </w:rPr>
        <w:t xml:space="preserve"> (2</w:t>
      </w:r>
      <w:r w:rsidR="00AA657D" w:rsidRPr="003529DE">
        <w:rPr>
          <w:rFonts w:ascii="Palatino Linotype" w:hAnsi="Palatino Linotype" w:cs="Arial"/>
        </w:rPr>
        <w:t>8</w:t>
      </w:r>
      <w:r w:rsidR="009F09BC" w:rsidRPr="003529DE">
        <w:rPr>
          <w:rFonts w:ascii="Palatino Linotype" w:hAnsi="Palatino Linotype" w:cs="Arial"/>
        </w:rPr>
        <w:t xml:space="preserve">) de </w:t>
      </w:r>
      <w:r w:rsidR="007A460E" w:rsidRPr="003529DE">
        <w:rPr>
          <w:rFonts w:ascii="Palatino Linotype" w:hAnsi="Palatino Linotype" w:cs="Arial"/>
        </w:rPr>
        <w:t>febre</w:t>
      </w:r>
      <w:r w:rsidRPr="003529DE">
        <w:rPr>
          <w:rFonts w:ascii="Palatino Linotype" w:hAnsi="Palatino Linotype" w:cs="Arial"/>
        </w:rPr>
        <w:t>ro</w:t>
      </w:r>
      <w:r w:rsidR="007A460E" w:rsidRPr="003529DE">
        <w:rPr>
          <w:rFonts w:ascii="Palatino Linotype" w:hAnsi="Palatino Linotype" w:cs="Arial"/>
        </w:rPr>
        <w:t xml:space="preserve"> al </w:t>
      </w:r>
      <w:r w:rsidR="00AA657D" w:rsidRPr="003529DE">
        <w:rPr>
          <w:rFonts w:ascii="Palatino Linotype" w:hAnsi="Palatino Linotype" w:cs="Arial"/>
        </w:rPr>
        <w:t>veintidós</w:t>
      </w:r>
      <w:r w:rsidR="009F09BC" w:rsidRPr="003529DE">
        <w:rPr>
          <w:rFonts w:ascii="Palatino Linotype" w:hAnsi="Palatino Linotype" w:cs="Arial"/>
        </w:rPr>
        <w:t xml:space="preserve"> (</w:t>
      </w:r>
      <w:r w:rsidR="00AA657D" w:rsidRPr="003529DE">
        <w:rPr>
          <w:rFonts w:ascii="Palatino Linotype" w:hAnsi="Palatino Linotype" w:cs="Arial"/>
        </w:rPr>
        <w:t>22</w:t>
      </w:r>
      <w:r w:rsidR="009F09BC" w:rsidRPr="003529DE">
        <w:rPr>
          <w:rFonts w:ascii="Palatino Linotype" w:hAnsi="Palatino Linotype" w:cs="Arial"/>
        </w:rPr>
        <w:t>)</w:t>
      </w:r>
      <w:r w:rsidR="0001674C" w:rsidRPr="003529DE">
        <w:rPr>
          <w:rFonts w:ascii="Palatino Linotype" w:hAnsi="Palatino Linotype" w:cs="Arial"/>
        </w:rPr>
        <w:t xml:space="preserve"> de </w:t>
      </w:r>
      <w:r w:rsidR="007A460E" w:rsidRPr="003529DE">
        <w:rPr>
          <w:rFonts w:ascii="Palatino Linotype" w:hAnsi="Palatino Linotype" w:cs="Arial"/>
        </w:rPr>
        <w:t>marz</w:t>
      </w:r>
      <w:r w:rsidRPr="003529DE">
        <w:rPr>
          <w:rFonts w:ascii="Palatino Linotype" w:hAnsi="Palatino Linotype" w:cs="Arial"/>
        </w:rPr>
        <w:t>o</w:t>
      </w:r>
      <w:r w:rsidR="0001674C" w:rsidRPr="003529DE">
        <w:rPr>
          <w:rFonts w:ascii="Palatino Linotype" w:hAnsi="Palatino Linotype" w:cs="Arial"/>
        </w:rPr>
        <w:t xml:space="preserve"> de dos mil </w:t>
      </w:r>
      <w:r w:rsidRPr="003529DE">
        <w:rPr>
          <w:rFonts w:ascii="Palatino Linotype" w:hAnsi="Palatino Linotype" w:cs="Arial"/>
        </w:rPr>
        <w:t>veintidós</w:t>
      </w:r>
      <w:r w:rsidR="0001674C" w:rsidRPr="003529DE">
        <w:rPr>
          <w:rFonts w:ascii="Palatino Linotype" w:hAnsi="Palatino Linotype" w:cs="Arial"/>
        </w:rPr>
        <w:t>; e</w:t>
      </w:r>
      <w:r w:rsidR="009F09BC" w:rsidRPr="003529DE">
        <w:rPr>
          <w:rFonts w:ascii="Palatino Linotype" w:hAnsi="Palatino Linotype" w:cs="Arial"/>
        </w:rPr>
        <w:t xml:space="preserve">n consecuencia, el ahora </w:t>
      </w:r>
      <w:r w:rsidR="009F09BC" w:rsidRPr="003529DE">
        <w:rPr>
          <w:rFonts w:ascii="Palatino Linotype" w:hAnsi="Palatino Linotype" w:cs="Arial"/>
          <w:b/>
        </w:rPr>
        <w:t>RECURRENTE</w:t>
      </w:r>
      <w:r w:rsidR="009F09BC" w:rsidRPr="003529DE">
        <w:rPr>
          <w:rFonts w:ascii="Palatino Linotype" w:hAnsi="Palatino Linotype" w:cs="Arial"/>
        </w:rPr>
        <w:t xml:space="preserve"> presentó </w:t>
      </w:r>
      <w:r w:rsidR="00CA1063" w:rsidRPr="003529DE">
        <w:rPr>
          <w:rFonts w:ascii="Palatino Linotype" w:hAnsi="Palatino Linotype" w:cs="Arial"/>
        </w:rPr>
        <w:t xml:space="preserve">su inconformidad el día </w:t>
      </w:r>
      <w:r w:rsidR="00AA657D" w:rsidRPr="003529DE">
        <w:rPr>
          <w:rFonts w:ascii="Palatino Linotype" w:hAnsi="Palatino Linotype" w:cs="Arial"/>
        </w:rPr>
        <w:t>veinticinco</w:t>
      </w:r>
      <w:r w:rsidR="0082142B" w:rsidRPr="003529DE">
        <w:rPr>
          <w:rFonts w:ascii="Palatino Linotype" w:hAnsi="Palatino Linotype" w:cs="Arial"/>
        </w:rPr>
        <w:t xml:space="preserve"> </w:t>
      </w:r>
      <w:r w:rsidR="009F09BC" w:rsidRPr="003529DE">
        <w:rPr>
          <w:rFonts w:ascii="Palatino Linotype" w:hAnsi="Palatino Linotype" w:cs="Arial"/>
        </w:rPr>
        <w:t>(</w:t>
      </w:r>
      <w:r w:rsidR="0082142B" w:rsidRPr="003529DE">
        <w:rPr>
          <w:rFonts w:ascii="Palatino Linotype" w:hAnsi="Palatino Linotype" w:cs="Arial"/>
        </w:rPr>
        <w:t>2</w:t>
      </w:r>
      <w:r w:rsidR="00AA657D" w:rsidRPr="003529DE">
        <w:rPr>
          <w:rFonts w:ascii="Palatino Linotype" w:hAnsi="Palatino Linotype" w:cs="Arial"/>
        </w:rPr>
        <w:t>5</w:t>
      </w:r>
      <w:r w:rsidR="009F09BC" w:rsidRPr="003529DE">
        <w:rPr>
          <w:rFonts w:ascii="Palatino Linotype" w:hAnsi="Palatino Linotype" w:cs="Arial"/>
        </w:rPr>
        <w:t xml:space="preserve">) de </w:t>
      </w:r>
      <w:r w:rsidR="007A460E" w:rsidRPr="003529DE">
        <w:rPr>
          <w:rFonts w:ascii="Palatino Linotype" w:hAnsi="Palatino Linotype" w:cs="Arial"/>
        </w:rPr>
        <w:t>febre</w:t>
      </w:r>
      <w:r w:rsidR="007142D6" w:rsidRPr="003529DE">
        <w:rPr>
          <w:rFonts w:ascii="Palatino Linotype" w:hAnsi="Palatino Linotype" w:cs="Arial"/>
        </w:rPr>
        <w:t>ro de dos mil veintidós</w:t>
      </w:r>
      <w:r w:rsidR="009F09BC" w:rsidRPr="003529DE">
        <w:rPr>
          <w:rFonts w:ascii="Palatino Linotype" w:hAnsi="Palatino Linotype" w:cs="Arial"/>
        </w:rPr>
        <w:t xml:space="preserve">; </w:t>
      </w:r>
      <w:r w:rsidR="0062406B" w:rsidRPr="003529DE">
        <w:rPr>
          <w:rFonts w:ascii="Palatino Linotype" w:hAnsi="Palatino Linotype" w:cs="Arial"/>
        </w:rPr>
        <w:t xml:space="preserve">es decir </w:t>
      </w:r>
      <w:r w:rsidR="0082142B" w:rsidRPr="003529DE">
        <w:rPr>
          <w:rFonts w:ascii="Palatino Linotype" w:hAnsi="Palatino Linotype" w:cs="Arial"/>
        </w:rPr>
        <w:t>dentro d</w:t>
      </w:r>
      <w:r w:rsidR="009F09BC" w:rsidRPr="003529DE">
        <w:rPr>
          <w:rFonts w:ascii="Palatino Linotype" w:hAnsi="Palatino Linotype" w:cs="Arial"/>
        </w:rPr>
        <w:t>el lapso legalmente establecido para tal efecto.</w:t>
      </w:r>
    </w:p>
    <w:p w:rsidR="009F09BC" w:rsidRPr="003529DE" w:rsidRDefault="009F09BC" w:rsidP="00CF0D2B">
      <w:pPr>
        <w:pStyle w:val="Prrafodelista"/>
        <w:numPr>
          <w:ilvl w:val="0"/>
          <w:numId w:val="15"/>
        </w:numPr>
        <w:spacing w:line="360" w:lineRule="auto"/>
        <w:ind w:left="0" w:firstLine="0"/>
        <w:jc w:val="both"/>
        <w:rPr>
          <w:rFonts w:ascii="Palatino Linotype" w:hAnsi="Palatino Linotype"/>
        </w:rPr>
      </w:pPr>
      <w:r w:rsidRPr="003529DE">
        <w:rPr>
          <w:rFonts w:ascii="Palatino Linotype" w:eastAsia="Calibri" w:hAnsi="Palatino Linotype" w:cs="Arial"/>
        </w:rPr>
        <w:lastRenderedPageBreak/>
        <w:t xml:space="preserve">Asimismo, </w:t>
      </w:r>
      <w:r w:rsidR="00CF0D2B" w:rsidRPr="003529DE">
        <w:rPr>
          <w:rFonts w:ascii="Palatino Linotype" w:eastAsia="Calibri" w:hAnsi="Palatino Linotype" w:cs="Arial"/>
        </w:rPr>
        <w:t>e</w:t>
      </w:r>
      <w:r w:rsidRPr="003529DE">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F0D2B" w:rsidRPr="003529DE" w:rsidRDefault="00CF0D2B" w:rsidP="007142AB">
      <w:pPr>
        <w:rPr>
          <w:rFonts w:ascii="Palatino Linotype" w:hAnsi="Palatino Linotype"/>
        </w:rPr>
      </w:pPr>
    </w:p>
    <w:p w:rsidR="009F09BC" w:rsidRPr="003529DE" w:rsidRDefault="009F09BC" w:rsidP="00CF0D2B">
      <w:pPr>
        <w:pStyle w:val="Ttulo1"/>
        <w:spacing w:before="0" w:line="360" w:lineRule="auto"/>
        <w:rPr>
          <w:rFonts w:ascii="Palatino Linotype" w:hAnsi="Palatino Linotype"/>
          <w:b/>
          <w:color w:val="000000" w:themeColor="text1"/>
          <w:sz w:val="24"/>
          <w:szCs w:val="24"/>
        </w:rPr>
      </w:pPr>
      <w:bookmarkStart w:id="139" w:name="_Toc34246179"/>
      <w:bookmarkStart w:id="140" w:name="_Toc50033991"/>
      <w:bookmarkStart w:id="141" w:name="_Toc51259588"/>
      <w:bookmarkStart w:id="142" w:name="_Toc83128581"/>
      <w:r w:rsidRPr="003529DE">
        <w:rPr>
          <w:rFonts w:ascii="Palatino Linotype" w:hAnsi="Palatino Linotype"/>
          <w:b/>
          <w:color w:val="000000" w:themeColor="text1"/>
          <w:sz w:val="24"/>
          <w:szCs w:val="24"/>
        </w:rPr>
        <w:t xml:space="preserve">TERCERO. </w:t>
      </w:r>
      <w:bookmarkStart w:id="143" w:name="_Toc501021589"/>
      <w:r w:rsidRPr="003529DE">
        <w:rPr>
          <w:rFonts w:ascii="Palatino Linotype" w:hAnsi="Palatino Linotype"/>
          <w:b/>
          <w:color w:val="000000" w:themeColor="text1"/>
          <w:sz w:val="24"/>
          <w:szCs w:val="24"/>
        </w:rPr>
        <w:t xml:space="preserve">Del planteamiento de la </w:t>
      </w:r>
      <w:r w:rsidRPr="003529DE">
        <w:rPr>
          <w:rFonts w:ascii="Palatino Linotype" w:hAnsi="Palatino Linotype"/>
          <w:b/>
          <w:i/>
          <w:color w:val="000000" w:themeColor="text1"/>
          <w:sz w:val="24"/>
          <w:szCs w:val="24"/>
        </w:rPr>
        <w:t>Litis</w:t>
      </w:r>
      <w:r w:rsidRPr="003529DE">
        <w:rPr>
          <w:rFonts w:ascii="Palatino Linotype" w:hAnsi="Palatino Linotype"/>
          <w:b/>
          <w:color w:val="000000" w:themeColor="text1"/>
          <w:sz w:val="24"/>
          <w:szCs w:val="24"/>
        </w:rPr>
        <w:t>.</w:t>
      </w:r>
      <w:bookmarkEnd w:id="139"/>
      <w:bookmarkEnd w:id="140"/>
      <w:bookmarkEnd w:id="141"/>
      <w:bookmarkEnd w:id="142"/>
      <w:bookmarkEnd w:id="143"/>
    </w:p>
    <w:p w:rsidR="009F09BC" w:rsidRPr="003529DE" w:rsidRDefault="009F09BC" w:rsidP="009F09BC">
      <w:pPr>
        <w:rPr>
          <w:rFonts w:ascii="Palatino Linotype" w:hAnsi="Palatino Linotype"/>
          <w:lang w:val="es-MX" w:eastAsia="en-US"/>
        </w:rPr>
      </w:pPr>
    </w:p>
    <w:p w:rsidR="009F09BC" w:rsidRPr="003529DE" w:rsidRDefault="009F09BC" w:rsidP="009F09BC">
      <w:pPr>
        <w:pStyle w:val="Prrafodelista"/>
        <w:numPr>
          <w:ilvl w:val="0"/>
          <w:numId w:val="15"/>
        </w:numPr>
        <w:spacing w:line="360" w:lineRule="auto"/>
        <w:ind w:left="0" w:firstLine="0"/>
        <w:jc w:val="both"/>
        <w:rPr>
          <w:rFonts w:ascii="Palatino Linotype" w:hAnsi="Palatino Linotype" w:cs="Arial"/>
        </w:rPr>
      </w:pPr>
      <w:r w:rsidRPr="003529DE">
        <w:rPr>
          <w:rFonts w:ascii="Palatino Linotype" w:hAnsi="Palatino Linotype" w:cs="Arial"/>
        </w:rPr>
        <w:t xml:space="preserve">Se </w:t>
      </w:r>
      <w:r w:rsidRPr="003529DE">
        <w:rPr>
          <w:rFonts w:ascii="Palatino Linotype" w:eastAsia="Calibri" w:hAnsi="Palatino Linotype" w:cs="Arial"/>
        </w:rPr>
        <w:t>solicitó</w:t>
      </w:r>
      <w:r w:rsidRPr="003529DE">
        <w:rPr>
          <w:rFonts w:ascii="Palatino Linotype" w:hAnsi="Palatino Linotype" w:cs="Arial"/>
        </w:rPr>
        <w:t xml:space="preserve"> </w:t>
      </w:r>
      <w:r w:rsidR="00AD63B4" w:rsidRPr="003529DE">
        <w:rPr>
          <w:rFonts w:ascii="Palatino Linotype" w:hAnsi="Palatino Linotype" w:cs="Arial"/>
        </w:rPr>
        <w:t xml:space="preserve">tener acceso, a la </w:t>
      </w:r>
      <w:r w:rsidRPr="003529DE">
        <w:rPr>
          <w:rFonts w:ascii="Palatino Linotype" w:hAnsi="Palatino Linotype" w:cs="Arial"/>
        </w:rPr>
        <w:t>información que a continuación se desagrega:</w:t>
      </w:r>
    </w:p>
    <w:p w:rsidR="009F09BC" w:rsidRPr="003529DE" w:rsidRDefault="009F09BC" w:rsidP="009F09BC">
      <w:pPr>
        <w:pStyle w:val="Prrafodelista"/>
        <w:spacing w:line="360" w:lineRule="auto"/>
        <w:ind w:left="0"/>
        <w:jc w:val="both"/>
        <w:rPr>
          <w:rFonts w:ascii="Palatino Linotype" w:hAnsi="Palatino Linotype" w:cs="Arial"/>
        </w:rPr>
      </w:pPr>
    </w:p>
    <w:p w:rsidR="009F09BC" w:rsidRPr="003529DE" w:rsidRDefault="00AA657D" w:rsidP="00AA657D">
      <w:pPr>
        <w:pStyle w:val="Prrafodelista"/>
        <w:numPr>
          <w:ilvl w:val="1"/>
          <w:numId w:val="27"/>
        </w:numPr>
        <w:spacing w:line="360" w:lineRule="auto"/>
        <w:ind w:left="709"/>
        <w:jc w:val="both"/>
        <w:rPr>
          <w:rFonts w:ascii="Palatino Linotype" w:hAnsi="Palatino Linotype" w:cs="Arial"/>
        </w:rPr>
      </w:pPr>
      <w:r w:rsidRPr="003529DE">
        <w:rPr>
          <w:rFonts w:ascii="Palatino Linotype" w:hAnsi="Palatino Linotype" w:cs="Arial"/>
          <w:b/>
        </w:rPr>
        <w:t xml:space="preserve">Avisos de privacidad firmados por las personas que aparecen en las fotografías difundidas por el Instituto Municipal de </w:t>
      </w:r>
      <w:r w:rsidR="005D1419">
        <w:rPr>
          <w:rFonts w:ascii="Palatino Linotype" w:hAnsi="Palatino Linotype" w:cs="Arial"/>
          <w:b/>
        </w:rPr>
        <w:t xml:space="preserve">la </w:t>
      </w:r>
      <w:r w:rsidRPr="003529DE">
        <w:rPr>
          <w:rFonts w:ascii="Palatino Linotype" w:hAnsi="Palatino Linotype" w:cs="Arial"/>
          <w:b/>
        </w:rPr>
        <w:t>Salud en redes sociales, respecto a la última campaña de vacunación y de esterilización de perros y gatos.</w:t>
      </w:r>
    </w:p>
    <w:p w:rsidR="007142D6" w:rsidRPr="003529DE" w:rsidRDefault="007142D6" w:rsidP="00D230AD">
      <w:pPr>
        <w:spacing w:line="360" w:lineRule="auto"/>
        <w:jc w:val="both"/>
        <w:rPr>
          <w:rFonts w:ascii="Palatino Linotype" w:hAnsi="Palatino Linotype" w:cs="Arial"/>
        </w:rPr>
      </w:pPr>
    </w:p>
    <w:p w:rsidR="009F09BC" w:rsidRPr="003529DE" w:rsidRDefault="000F1081" w:rsidP="009F09BC">
      <w:pPr>
        <w:numPr>
          <w:ilvl w:val="0"/>
          <w:numId w:val="15"/>
        </w:numPr>
        <w:spacing w:line="360" w:lineRule="auto"/>
        <w:ind w:left="0" w:firstLine="0"/>
        <w:contextualSpacing/>
        <w:jc w:val="both"/>
        <w:rPr>
          <w:rFonts w:ascii="Palatino Linotype" w:hAnsi="Palatino Linotype" w:cs="Arial"/>
        </w:rPr>
      </w:pPr>
      <w:r w:rsidRPr="003529DE">
        <w:rPr>
          <w:rFonts w:ascii="Palatino Linotype" w:hAnsi="Palatino Linotype" w:cs="Arial"/>
        </w:rPr>
        <w:t xml:space="preserve">En respuesta, el </w:t>
      </w:r>
      <w:r w:rsidRPr="003529DE">
        <w:rPr>
          <w:rFonts w:ascii="Palatino Linotype" w:hAnsi="Palatino Linotype" w:cs="Arial"/>
          <w:b/>
        </w:rPr>
        <w:t xml:space="preserve">SUJETO OBLIGADO </w:t>
      </w:r>
      <w:r w:rsidR="00957311" w:rsidRPr="003529DE">
        <w:rPr>
          <w:rFonts w:ascii="Palatino Linotype" w:hAnsi="Palatino Linotype" w:cs="Arial"/>
        </w:rPr>
        <w:t>declinó su competencia para generar, poseer y adminis</w:t>
      </w:r>
      <w:r w:rsidR="00D230AD" w:rsidRPr="003529DE">
        <w:rPr>
          <w:rFonts w:ascii="Palatino Linotype" w:hAnsi="Palatino Linotype" w:cs="Arial"/>
        </w:rPr>
        <w:t xml:space="preserve">trar a información orientando al particular ante un sujeto obligado </w:t>
      </w:r>
      <w:r w:rsidR="00957311" w:rsidRPr="003529DE">
        <w:rPr>
          <w:rFonts w:ascii="Palatino Linotype" w:hAnsi="Palatino Linotype" w:cs="Arial"/>
        </w:rPr>
        <w:t>uno diverso; asimismo señaló que en la actual administración la unidad administrativa señalada ostenta un nombre diferente</w:t>
      </w:r>
      <w:r w:rsidR="00C41E57" w:rsidRPr="003529DE">
        <w:rPr>
          <w:rFonts w:ascii="Palatino Linotype" w:hAnsi="Palatino Linotype" w:cs="Arial"/>
        </w:rPr>
        <w:t xml:space="preserve">. </w:t>
      </w:r>
      <w:r w:rsidR="009F09BC" w:rsidRPr="003529DE">
        <w:rPr>
          <w:rFonts w:ascii="Palatino Linotype" w:hAnsi="Palatino Linotype" w:cs="Arial"/>
          <w:b/>
        </w:rPr>
        <w:t xml:space="preserve">EL PARTICULAR </w:t>
      </w:r>
      <w:r w:rsidR="009F09BC" w:rsidRPr="003529DE">
        <w:rPr>
          <w:rFonts w:ascii="Palatino Linotype" w:hAnsi="Palatino Linotype" w:cs="Arial"/>
        </w:rPr>
        <w:t xml:space="preserve">inconforme con la respuesta, expuso </w:t>
      </w:r>
      <w:r w:rsidR="00CF0D2B" w:rsidRPr="003529DE">
        <w:rPr>
          <w:rFonts w:ascii="Palatino Linotype" w:hAnsi="Palatino Linotype" w:cs="Arial"/>
          <w:i/>
        </w:rPr>
        <w:t>grosso modo</w:t>
      </w:r>
      <w:r w:rsidR="00CF0D2B" w:rsidRPr="003529DE">
        <w:rPr>
          <w:rFonts w:ascii="Palatino Linotype" w:hAnsi="Palatino Linotype" w:cs="Arial"/>
        </w:rPr>
        <w:t xml:space="preserve"> </w:t>
      </w:r>
      <w:r w:rsidR="009F09BC" w:rsidRPr="003529DE">
        <w:rPr>
          <w:rFonts w:ascii="Palatino Linotype" w:hAnsi="Palatino Linotype" w:cs="Arial"/>
        </w:rPr>
        <w:t xml:space="preserve">su </w:t>
      </w:r>
      <w:r w:rsidR="00403D64" w:rsidRPr="003529DE">
        <w:rPr>
          <w:rFonts w:ascii="Palatino Linotype" w:hAnsi="Palatino Linotype" w:cs="Arial"/>
        </w:rPr>
        <w:t xml:space="preserve">inconformidad </w:t>
      </w:r>
      <w:r w:rsidR="003D688A" w:rsidRPr="003529DE">
        <w:rPr>
          <w:rFonts w:ascii="Palatino Linotype" w:hAnsi="Palatino Linotype" w:cs="Arial"/>
        </w:rPr>
        <w:t>por la pretendida incompetencia formulada</w:t>
      </w:r>
      <w:r w:rsidR="00C41E57" w:rsidRPr="003529DE">
        <w:rPr>
          <w:rFonts w:ascii="Palatino Linotype" w:hAnsi="Palatino Linotype" w:cs="Arial"/>
        </w:rPr>
        <w:t>.</w:t>
      </w:r>
    </w:p>
    <w:p w:rsidR="0074110E" w:rsidRPr="003529DE" w:rsidRDefault="0074110E" w:rsidP="0074110E">
      <w:pPr>
        <w:spacing w:line="360" w:lineRule="auto"/>
        <w:contextualSpacing/>
        <w:jc w:val="both"/>
        <w:rPr>
          <w:rFonts w:ascii="Palatino Linotype" w:hAnsi="Palatino Linotype" w:cs="Arial"/>
        </w:rPr>
      </w:pPr>
    </w:p>
    <w:p w:rsidR="009F09BC" w:rsidRPr="003529DE" w:rsidRDefault="009F09BC" w:rsidP="003D688A">
      <w:pPr>
        <w:numPr>
          <w:ilvl w:val="0"/>
          <w:numId w:val="15"/>
        </w:numPr>
        <w:spacing w:line="360" w:lineRule="auto"/>
        <w:ind w:left="0" w:firstLine="0"/>
        <w:contextualSpacing/>
        <w:jc w:val="both"/>
        <w:rPr>
          <w:rFonts w:ascii="Palatino Linotype" w:eastAsia="MS Mincho" w:hAnsi="Palatino Linotype" w:cs="Arial"/>
        </w:rPr>
      </w:pPr>
      <w:r w:rsidRPr="003529DE">
        <w:rPr>
          <w:rFonts w:ascii="Palatino Linotype" w:eastAsia="MS Mincho" w:hAnsi="Palatino Linotype" w:cs="Arial"/>
        </w:rPr>
        <w:t xml:space="preserve">En </w:t>
      </w:r>
      <w:r w:rsidRPr="003529DE">
        <w:rPr>
          <w:rFonts w:ascii="Palatino Linotype" w:hAnsi="Palatino Linotype" w:cs="Arial"/>
          <w:lang w:eastAsia="es-MX"/>
        </w:rPr>
        <w:t>dichas</w:t>
      </w:r>
      <w:r w:rsidRPr="003529DE">
        <w:rPr>
          <w:rFonts w:ascii="Palatino Linotype" w:eastAsia="Times New Roman" w:hAnsi="Palatino Linotype" w:cs="Arial"/>
        </w:rPr>
        <w:t xml:space="preserve"> condiciones, la </w:t>
      </w:r>
      <w:r w:rsidRPr="003529DE">
        <w:rPr>
          <w:rFonts w:ascii="Palatino Linotype" w:eastAsia="Times New Roman" w:hAnsi="Palatino Linotype" w:cs="Arial"/>
          <w:i/>
        </w:rPr>
        <w:t>Litis</w:t>
      </w:r>
      <w:r w:rsidRPr="003529DE">
        <w:rPr>
          <w:rFonts w:ascii="Palatino Linotype" w:eastAsia="Times New Roman" w:hAnsi="Palatino Linotype" w:cs="Arial"/>
        </w:rPr>
        <w:t xml:space="preserve"> a resolver en este recurso se circunscribe a determinar si </w:t>
      </w:r>
      <w:r w:rsidR="007142AB" w:rsidRPr="003529DE">
        <w:rPr>
          <w:rFonts w:ascii="Palatino Linotype" w:eastAsia="MS Mincho" w:hAnsi="Palatino Linotype" w:cs="Arial"/>
        </w:rPr>
        <w:t>se actualiza</w:t>
      </w:r>
      <w:r w:rsidRPr="003529DE">
        <w:rPr>
          <w:rFonts w:ascii="Palatino Linotype" w:eastAsia="MS Mincho" w:hAnsi="Palatino Linotype" w:cs="Arial"/>
        </w:rPr>
        <w:t xml:space="preserve"> la causal de procedencia prevista en el artículo 179, </w:t>
      </w:r>
      <w:r w:rsidRPr="003529DE">
        <w:rPr>
          <w:rFonts w:ascii="Palatino Linotype" w:eastAsia="MS Mincho" w:hAnsi="Palatino Linotype" w:cs="Arial"/>
          <w:b/>
        </w:rPr>
        <w:t xml:space="preserve">fracción </w:t>
      </w:r>
      <w:r w:rsidR="003D688A" w:rsidRPr="003529DE">
        <w:rPr>
          <w:rFonts w:ascii="Palatino Linotype" w:eastAsia="MS Mincho" w:hAnsi="Palatino Linotype" w:cs="Arial"/>
          <w:b/>
        </w:rPr>
        <w:t>I</w:t>
      </w:r>
      <w:r w:rsidR="007142AB" w:rsidRPr="003529DE">
        <w:rPr>
          <w:rFonts w:ascii="Palatino Linotype" w:eastAsia="MS Mincho" w:hAnsi="Palatino Linotype" w:cs="Arial"/>
          <w:b/>
        </w:rPr>
        <w:t>V</w:t>
      </w:r>
      <w:r w:rsidRPr="003529DE">
        <w:rPr>
          <w:rFonts w:ascii="Palatino Linotype" w:eastAsia="MS Mincho" w:hAnsi="Palatino Linotype" w:cs="Arial"/>
        </w:rPr>
        <w:t xml:space="preserve"> de la </w:t>
      </w:r>
      <w:r w:rsidRPr="003529DE">
        <w:rPr>
          <w:rFonts w:ascii="Palatino Linotype" w:eastAsia="MS Mincho" w:hAnsi="Palatino Linotype" w:cs="Arial"/>
          <w:b/>
        </w:rPr>
        <w:t xml:space="preserve">Ley de Transparencia y Acceso a la Información Pública del </w:t>
      </w:r>
      <w:r w:rsidRPr="003529DE">
        <w:rPr>
          <w:rFonts w:ascii="Palatino Linotype" w:eastAsia="MS Mincho" w:hAnsi="Palatino Linotype" w:cs="Arial"/>
          <w:b/>
        </w:rPr>
        <w:lastRenderedPageBreak/>
        <w:t>Estado de México y Municipios</w:t>
      </w:r>
      <w:r w:rsidRPr="003529DE">
        <w:rPr>
          <w:rFonts w:ascii="Palatino Linotype" w:eastAsia="MS Mincho" w:hAnsi="Palatino Linotype" w:cs="Arial"/>
        </w:rPr>
        <w:t xml:space="preserve">; </w:t>
      </w:r>
      <w:r w:rsidRPr="003529DE">
        <w:rPr>
          <w:rFonts w:ascii="Palatino Linotype" w:eastAsia="Times New Roman" w:hAnsi="Palatino Linotype" w:cs="Arial"/>
          <w:color w:val="000000" w:themeColor="text1"/>
          <w:lang w:val="es-ES" w:eastAsia="es-MX"/>
        </w:rPr>
        <w:t xml:space="preserve">fracción que determina </w:t>
      </w:r>
      <w:r w:rsidR="005B6702" w:rsidRPr="003529DE">
        <w:rPr>
          <w:rFonts w:ascii="Palatino Linotype" w:eastAsia="Times New Roman" w:hAnsi="Palatino Linotype" w:cs="Arial"/>
          <w:color w:val="000000" w:themeColor="text1"/>
          <w:lang w:val="es-ES" w:eastAsia="es-MX"/>
        </w:rPr>
        <w:t>la hipótesis jurídica</w:t>
      </w:r>
      <w:r w:rsidRPr="003529DE">
        <w:rPr>
          <w:rFonts w:ascii="Palatino Linotype" w:eastAsia="Times New Roman" w:hAnsi="Palatino Linotype" w:cs="Arial"/>
          <w:color w:val="000000" w:themeColor="text1"/>
          <w:lang w:val="es-ES" w:eastAsia="es-MX"/>
        </w:rPr>
        <w:t xml:space="preserve"> relativa </w:t>
      </w:r>
      <w:r w:rsidR="005B6702" w:rsidRPr="003529DE">
        <w:rPr>
          <w:rFonts w:ascii="Palatino Linotype" w:eastAsia="Times New Roman" w:hAnsi="Palatino Linotype" w:cs="Arial"/>
          <w:color w:val="000000" w:themeColor="text1"/>
          <w:lang w:val="es-ES" w:eastAsia="es-MX"/>
        </w:rPr>
        <w:t xml:space="preserve">a </w:t>
      </w:r>
      <w:r w:rsidR="003D688A" w:rsidRPr="003529DE">
        <w:rPr>
          <w:rFonts w:ascii="Palatino Linotype" w:eastAsia="Times New Roman" w:hAnsi="Palatino Linotype" w:cs="Arial"/>
          <w:color w:val="000000" w:themeColor="text1"/>
          <w:lang w:val="es-ES" w:eastAsia="es-MX"/>
        </w:rPr>
        <w:t>la declaración de incompetencia por el sujeto obligado</w:t>
      </w:r>
      <w:r w:rsidRPr="003529DE">
        <w:rPr>
          <w:rFonts w:ascii="Palatino Linotype" w:eastAsia="Times New Roman" w:hAnsi="Palatino Linotype" w:cs="Arial"/>
          <w:color w:val="000000" w:themeColor="text1"/>
          <w:lang w:val="es-ES" w:eastAsia="es-MX"/>
        </w:rPr>
        <w:t xml:space="preserve">; </w:t>
      </w:r>
      <w:r w:rsidRPr="003529DE">
        <w:rPr>
          <w:rFonts w:ascii="Palatino Linotype" w:eastAsia="MS Mincho" w:hAnsi="Palatino Linotype" w:cs="Arial"/>
        </w:rPr>
        <w:t xml:space="preserve">contexto del cual se dolió </w:t>
      </w:r>
      <w:r w:rsidR="009B4602" w:rsidRPr="003529DE">
        <w:rPr>
          <w:rFonts w:ascii="Palatino Linotype" w:eastAsia="MS Mincho" w:hAnsi="Palatino Linotype" w:cs="Arial"/>
          <w:b/>
        </w:rPr>
        <w:t>LA</w:t>
      </w:r>
      <w:r w:rsidRPr="003529DE">
        <w:rPr>
          <w:rFonts w:ascii="Palatino Linotype" w:eastAsia="MS Mincho" w:hAnsi="Palatino Linotype" w:cs="Arial"/>
          <w:b/>
        </w:rPr>
        <w:t xml:space="preserve"> RECURRENTE </w:t>
      </w:r>
      <w:r w:rsidRPr="003529DE">
        <w:rPr>
          <w:rFonts w:ascii="Palatino Linotype" w:eastAsia="MS Mincho" w:hAnsi="Palatino Linotype" w:cs="Arial"/>
        </w:rPr>
        <w:t>al momento de interponer su inconformidad.</w:t>
      </w:r>
      <w:r w:rsidRPr="003529DE">
        <w:rPr>
          <w:rFonts w:ascii="Palatino Linotype" w:eastAsia="Times New Roman" w:hAnsi="Palatino Linotype" w:cs="Arial"/>
          <w:color w:val="000000" w:themeColor="text1"/>
          <w:lang w:val="es-ES" w:eastAsia="es-MX"/>
        </w:rPr>
        <w:t xml:space="preserve"> De modo tal </w:t>
      </w:r>
      <w:r w:rsidRPr="003529DE">
        <w:rPr>
          <w:rFonts w:ascii="Palatino Linotype" w:hAnsi="Palatino Linotype" w:cs="Arial"/>
          <w:color w:val="000000" w:themeColor="text1"/>
        </w:rPr>
        <w:t xml:space="preserve">que el presente recurso de revisión se abocara en determinar si el </w:t>
      </w:r>
      <w:r w:rsidRPr="003529DE">
        <w:rPr>
          <w:rFonts w:ascii="Palatino Linotype" w:hAnsi="Palatino Linotype" w:cs="Arial"/>
          <w:b/>
          <w:color w:val="000000" w:themeColor="text1"/>
        </w:rPr>
        <w:t>SUJETO</w:t>
      </w:r>
      <w:r w:rsidRPr="003529DE">
        <w:rPr>
          <w:rFonts w:ascii="Palatino Linotype" w:hAnsi="Palatino Linotype" w:cs="Arial"/>
          <w:color w:val="000000" w:themeColor="text1"/>
        </w:rPr>
        <w:t xml:space="preserve"> </w:t>
      </w:r>
      <w:r w:rsidRPr="003529DE">
        <w:rPr>
          <w:rFonts w:ascii="Palatino Linotype" w:hAnsi="Palatino Linotype" w:cs="Arial"/>
          <w:b/>
          <w:color w:val="000000" w:themeColor="text1"/>
        </w:rPr>
        <w:t>OBLIGADO</w:t>
      </w:r>
      <w:r w:rsidRPr="003529DE">
        <w:rPr>
          <w:rFonts w:ascii="Palatino Linotype" w:hAnsi="Palatino Linotype" w:cs="Arial"/>
          <w:color w:val="000000" w:themeColor="text1"/>
        </w:rPr>
        <w:t xml:space="preserve"> con su respuesta ciertamente </w:t>
      </w:r>
      <w:r w:rsidRPr="003529DE">
        <w:rPr>
          <w:rFonts w:ascii="Palatino Linotype" w:eastAsia="Times New Roman" w:hAnsi="Palatino Linotype"/>
          <w:color w:val="000000" w:themeColor="text1"/>
        </w:rPr>
        <w:t>actualiza la causal de procedencia</w:t>
      </w:r>
      <w:r w:rsidRPr="003529DE">
        <w:rPr>
          <w:rFonts w:ascii="Palatino Linotype" w:eastAsia="Times New Roman" w:hAnsi="Palatino Linotype"/>
          <w:b/>
          <w:color w:val="000000" w:themeColor="text1"/>
        </w:rPr>
        <w:t xml:space="preserve"> </w:t>
      </w:r>
      <w:r w:rsidRPr="003529DE">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rsidR="009F09BC" w:rsidRPr="003529DE" w:rsidRDefault="009F09BC" w:rsidP="009F09BC">
      <w:pPr>
        <w:pStyle w:val="Prrafodelista"/>
        <w:rPr>
          <w:rFonts w:ascii="Palatino Linotype" w:eastAsia="MS Mincho" w:hAnsi="Palatino Linotype" w:cs="Arial"/>
        </w:rPr>
      </w:pPr>
    </w:p>
    <w:p w:rsidR="009F09BC" w:rsidRPr="003529DE" w:rsidRDefault="009F09BC" w:rsidP="009F09BC">
      <w:pPr>
        <w:pStyle w:val="Ttulo2"/>
        <w:rPr>
          <w:rFonts w:ascii="Palatino Linotype" w:hAnsi="Palatino Linotype"/>
          <w:b/>
          <w:color w:val="000000" w:themeColor="text1"/>
          <w:sz w:val="24"/>
          <w:szCs w:val="24"/>
        </w:rPr>
      </w:pPr>
      <w:bookmarkStart w:id="144" w:name="_Toc495427545"/>
      <w:bookmarkStart w:id="145" w:name="_Toc23414596"/>
      <w:bookmarkStart w:id="146" w:name="_Toc34819433"/>
      <w:bookmarkStart w:id="147" w:name="_Toc51259589"/>
      <w:bookmarkStart w:id="148" w:name="_Toc83128582"/>
      <w:r w:rsidRPr="003529DE">
        <w:rPr>
          <w:rFonts w:ascii="Palatino Linotype" w:hAnsi="Palatino Linotype"/>
          <w:b/>
          <w:color w:val="000000" w:themeColor="text1"/>
          <w:sz w:val="24"/>
          <w:szCs w:val="24"/>
        </w:rPr>
        <w:t>CUARTO. Del estudio y resolución del asunto.</w:t>
      </w:r>
      <w:bookmarkEnd w:id="144"/>
      <w:bookmarkEnd w:id="145"/>
      <w:bookmarkEnd w:id="146"/>
      <w:bookmarkEnd w:id="147"/>
      <w:bookmarkEnd w:id="148"/>
    </w:p>
    <w:p w:rsidR="009F09BC" w:rsidRPr="003529DE" w:rsidRDefault="009F09BC" w:rsidP="009F09BC">
      <w:pPr>
        <w:spacing w:line="360" w:lineRule="auto"/>
        <w:rPr>
          <w:rFonts w:ascii="Palatino Linotype" w:hAnsi="Palatino Linotype"/>
          <w:lang w:val="es-MX" w:eastAsia="en-US"/>
        </w:rPr>
      </w:pPr>
    </w:p>
    <w:p w:rsidR="005B6702" w:rsidRPr="003529DE" w:rsidRDefault="005B6702" w:rsidP="005B6702">
      <w:pPr>
        <w:numPr>
          <w:ilvl w:val="0"/>
          <w:numId w:val="15"/>
        </w:numPr>
        <w:spacing w:line="360" w:lineRule="auto"/>
        <w:ind w:left="0" w:firstLine="0"/>
        <w:contextualSpacing/>
        <w:jc w:val="both"/>
        <w:rPr>
          <w:rFonts w:ascii="Palatino Linotype" w:hAnsi="Palatino Linotype"/>
          <w:color w:val="000000" w:themeColor="text1"/>
        </w:rPr>
      </w:pPr>
      <w:r w:rsidRPr="003529DE">
        <w:rPr>
          <w:rFonts w:ascii="Palatino Linotype" w:hAnsi="Palatino Linotype"/>
          <w:color w:val="000000" w:themeColor="text1"/>
        </w:rPr>
        <w:t xml:space="preserve">Acotada la </w:t>
      </w:r>
      <w:r w:rsidRPr="003529DE">
        <w:rPr>
          <w:rFonts w:ascii="Palatino Linotype" w:hAnsi="Palatino Linotype"/>
          <w:i/>
          <w:color w:val="000000" w:themeColor="text1"/>
        </w:rPr>
        <w:t>Litis</w:t>
      </w:r>
      <w:r w:rsidRPr="003529DE">
        <w:rPr>
          <w:rFonts w:ascii="Palatino Linotype" w:hAnsi="Palatino Linotype"/>
          <w:color w:val="000000" w:themeColor="text1"/>
        </w:rPr>
        <w:t xml:space="preserve"> del presente asunto, primeramente es menester precisar</w:t>
      </w:r>
      <w:r w:rsidRPr="003529DE">
        <w:rPr>
          <w:rFonts w:ascii="Palatino Linotype" w:hAnsi="Palatino Linotype"/>
          <w:bCs/>
          <w:color w:val="000000" w:themeColor="text1"/>
          <w:lang w:val="es-MX"/>
        </w:rPr>
        <w:t xml:space="preserve"> que </w:t>
      </w:r>
      <w:r w:rsidRPr="003529DE">
        <w:rPr>
          <w:rFonts w:ascii="Palatino Linotype" w:hAnsi="Palatino Linotype"/>
          <w:bCs/>
          <w:color w:val="000000" w:themeColor="text1"/>
        </w:rPr>
        <w:t xml:space="preserve">este Órgano Garante parte del hecho que el Derecho de </w:t>
      </w:r>
      <w:r w:rsidRPr="003529DE">
        <w:rPr>
          <w:rFonts w:ascii="Palatino Linotype" w:eastAsia="MS Mincho" w:hAnsi="Palatino Linotype" w:cs="Arial"/>
        </w:rPr>
        <w:t>Acceso</w:t>
      </w:r>
      <w:r w:rsidRPr="003529DE">
        <w:rPr>
          <w:rFonts w:ascii="Palatino Linotype" w:hAnsi="Palatino Linotype"/>
          <w:bCs/>
          <w:color w:val="000000" w:themeColor="text1"/>
        </w:rPr>
        <w:t xml:space="preserve"> a la Información Pública, es un derecho humano reconocido en el Pacto de Derechos Civiles y Políticos en su artículo 19.2; en la </w:t>
      </w:r>
      <w:r w:rsidRPr="003529DE">
        <w:rPr>
          <w:rFonts w:ascii="Palatino Linotype" w:hAnsi="Palatino Linotype"/>
          <w:lang w:val="es-MX" w:eastAsia="en-US"/>
        </w:rPr>
        <w:t>Convención</w:t>
      </w:r>
      <w:r w:rsidRPr="003529DE">
        <w:rPr>
          <w:rFonts w:ascii="Palatino Linotype" w:hAnsi="Palatino Linotype"/>
          <w:bCs/>
          <w:color w:val="000000" w:themeColor="text1"/>
        </w:rPr>
        <w:t xml:space="preserve"> Americana sobre Derechos Humanos en su artículo 13.1; en el artículo sexto de la Constitución Política de los Estados Unidos Mexicanos y en el artículo quinto de la Particular del Estado de México, por lo que al respecto el </w:t>
      </w:r>
      <w:r w:rsidRPr="003529DE">
        <w:rPr>
          <w:rFonts w:ascii="Palatino Linotype" w:hAnsi="Palatino Linotype"/>
          <w:b/>
          <w:bCs/>
          <w:color w:val="000000" w:themeColor="text1"/>
        </w:rPr>
        <w:t>SUJETO OBLIGADO</w:t>
      </w:r>
      <w:r w:rsidRPr="003529DE">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3529DE">
        <w:rPr>
          <w:rFonts w:ascii="Palatino Linotype" w:hAnsi="Palatino Linotype"/>
          <w:b/>
          <w:bCs/>
          <w:color w:val="000000" w:themeColor="text1"/>
        </w:rPr>
        <w:t xml:space="preserve">Constitución Política de los Estados Unidos Mexicanos </w:t>
      </w:r>
      <w:r w:rsidRPr="003529DE">
        <w:rPr>
          <w:rFonts w:ascii="Palatino Linotype" w:hAnsi="Palatino Linotype"/>
          <w:bCs/>
          <w:color w:val="000000" w:themeColor="text1"/>
        </w:rPr>
        <w:t xml:space="preserve">al señalar la obligación de “promover, respetar, proteger y </w:t>
      </w:r>
      <w:r w:rsidRPr="003529DE">
        <w:rPr>
          <w:rFonts w:ascii="Palatino Linotype" w:hAnsi="Palatino Linotype"/>
          <w:b/>
          <w:bCs/>
          <w:color w:val="000000" w:themeColor="text1"/>
        </w:rPr>
        <w:t>garantizar</w:t>
      </w:r>
      <w:r w:rsidRPr="003529DE">
        <w:rPr>
          <w:rFonts w:ascii="Palatino Linotype" w:hAnsi="Palatino Linotype"/>
          <w:bCs/>
          <w:color w:val="000000" w:themeColor="text1"/>
        </w:rPr>
        <w:t xml:space="preserve"> los derechos humanos”, entre los cuales se encuentra dicho derecho.</w:t>
      </w:r>
    </w:p>
    <w:p w:rsidR="005B6702" w:rsidRPr="003529DE" w:rsidRDefault="005B6702" w:rsidP="005B6702">
      <w:pPr>
        <w:pStyle w:val="Prrafodelista"/>
        <w:spacing w:line="360" w:lineRule="auto"/>
        <w:ind w:left="0"/>
        <w:jc w:val="both"/>
        <w:rPr>
          <w:rFonts w:ascii="Palatino Linotype" w:hAnsi="Palatino Linotype"/>
          <w:color w:val="000000" w:themeColor="text1"/>
        </w:rPr>
      </w:pPr>
    </w:p>
    <w:p w:rsidR="005B6702" w:rsidRPr="003529DE" w:rsidRDefault="005B6702" w:rsidP="005B6702">
      <w:pPr>
        <w:numPr>
          <w:ilvl w:val="0"/>
          <w:numId w:val="15"/>
        </w:numPr>
        <w:spacing w:line="360" w:lineRule="auto"/>
        <w:ind w:left="0" w:firstLine="0"/>
        <w:contextualSpacing/>
        <w:jc w:val="both"/>
        <w:rPr>
          <w:rFonts w:ascii="Palatino Linotype" w:hAnsi="Palatino Linotype"/>
          <w:color w:val="000000" w:themeColor="text1"/>
        </w:rPr>
      </w:pPr>
      <w:r w:rsidRPr="003529DE">
        <w:rPr>
          <w:rFonts w:ascii="Palatino Linotype" w:hAnsi="Palatino Linotype"/>
          <w:color w:val="000000" w:themeColor="text1"/>
        </w:rPr>
        <w:t xml:space="preserve">Por </w:t>
      </w:r>
      <w:r w:rsidRPr="003529DE">
        <w:rPr>
          <w:rFonts w:ascii="Palatino Linotype" w:hAnsi="Palatino Linotype"/>
          <w:color w:val="000000" w:themeColor="text1"/>
          <w:lang w:val="es-MX"/>
        </w:rPr>
        <w:t xml:space="preserve">lo anterior, se deduce que el derecho de acceso a la información pública es un </w:t>
      </w:r>
      <w:r w:rsidRPr="003529DE">
        <w:rPr>
          <w:rFonts w:ascii="Palatino Linotype" w:hAnsi="Palatino Linotype"/>
          <w:color w:val="000000" w:themeColor="text1"/>
        </w:rPr>
        <w:t>derecho</w:t>
      </w:r>
      <w:r w:rsidRPr="003529DE">
        <w:rPr>
          <w:rFonts w:ascii="Palatino Linotype" w:hAnsi="Palatino Linotype"/>
          <w:color w:val="000000" w:themeColor="text1"/>
          <w:lang w:val="es-MX"/>
        </w:rPr>
        <w:t xml:space="preserve"> humano convencional y constitucionalmente reconocido; en </w:t>
      </w:r>
      <w:r w:rsidRPr="003529DE">
        <w:rPr>
          <w:rFonts w:ascii="Palatino Linotype" w:hAnsi="Palatino Linotype"/>
          <w:color w:val="000000" w:themeColor="text1"/>
        </w:rPr>
        <w:lastRenderedPageBreak/>
        <w:t>consecuencia</w:t>
      </w:r>
      <w:r w:rsidRPr="003529DE">
        <w:rPr>
          <w:rFonts w:ascii="Palatino Linotype" w:hAnsi="Palatino Linotype"/>
          <w:color w:val="000000" w:themeColor="text1"/>
          <w:lang w:val="es-MX"/>
        </w:rPr>
        <w:t>, todas las autoridades en el ámbito de sus competencias, funciones y atribuciones tienen la obligación de respetarlo, protegerlo y garantizarlo.</w:t>
      </w:r>
    </w:p>
    <w:p w:rsidR="0037157C" w:rsidRPr="003529DE" w:rsidRDefault="0037157C" w:rsidP="0037157C">
      <w:pPr>
        <w:pStyle w:val="Prrafodelista"/>
        <w:rPr>
          <w:rFonts w:ascii="Palatino Linotype" w:hAnsi="Palatino Linotype"/>
          <w:color w:val="000000" w:themeColor="text1"/>
        </w:rPr>
      </w:pPr>
    </w:p>
    <w:p w:rsidR="005B6702" w:rsidRPr="003529DE" w:rsidRDefault="005B6702" w:rsidP="005B6702">
      <w:pPr>
        <w:numPr>
          <w:ilvl w:val="0"/>
          <w:numId w:val="15"/>
        </w:numPr>
        <w:spacing w:line="360" w:lineRule="auto"/>
        <w:ind w:left="0" w:firstLine="0"/>
        <w:contextualSpacing/>
        <w:jc w:val="both"/>
        <w:rPr>
          <w:rFonts w:ascii="Palatino Linotype" w:hAnsi="Palatino Linotype"/>
          <w:color w:val="000000" w:themeColor="text1"/>
        </w:rPr>
      </w:pPr>
      <w:r w:rsidRPr="003529DE">
        <w:rPr>
          <w:rFonts w:ascii="Palatino Linotype" w:hAnsi="Palatino Linotype"/>
          <w:color w:val="000000" w:themeColor="text1"/>
        </w:rPr>
        <w:t xml:space="preserve">Así las cosas, </w:t>
      </w:r>
      <w:r w:rsidRPr="003529DE">
        <w:rPr>
          <w:rFonts w:ascii="Palatino Linotype" w:hAnsi="Palatino Linotype"/>
          <w:color w:val="000000" w:themeColor="text1"/>
          <w:lang w:val="es-MX"/>
        </w:rPr>
        <w:t xml:space="preserve">podemos definir el Derecho de Acceso a la Información Pública como: </w:t>
      </w:r>
      <w:r w:rsidRPr="003529DE">
        <w:rPr>
          <w:rFonts w:ascii="Palatino Linotype" w:hAnsi="Palatino Linotype"/>
          <w:i/>
          <w:color w:val="000000" w:themeColor="text1"/>
          <w:lang w:val="es-MX"/>
        </w:rPr>
        <w:t>La igualdad de oportunidades para recibir, buscar e impartir información</w:t>
      </w:r>
      <w:r w:rsidRPr="003529DE">
        <w:rPr>
          <w:rFonts w:ascii="Palatino Linotype" w:hAnsi="Palatino Linotype"/>
          <w:i/>
          <w:color w:val="000000" w:themeColor="text1"/>
          <w:vertAlign w:val="superscript"/>
          <w:lang w:val="es-MX"/>
        </w:rPr>
        <w:footnoteReference w:id="1"/>
      </w:r>
      <w:r w:rsidRPr="003529DE">
        <w:rPr>
          <w:rFonts w:ascii="Palatino Linotype" w:hAnsi="Palatino Linotype"/>
          <w:i/>
          <w:color w:val="000000" w:themeColor="text1"/>
          <w:lang w:val="es-MX"/>
        </w:rPr>
        <w:t xml:space="preserve">en posesión de </w:t>
      </w:r>
      <w:r w:rsidRPr="003529DE">
        <w:rPr>
          <w:rFonts w:ascii="Palatino Linotype" w:hAnsi="Palatino Linotype"/>
          <w:color w:val="000000" w:themeColor="text1"/>
        </w:rPr>
        <w:t>cualquier</w:t>
      </w:r>
      <w:r w:rsidRPr="003529DE">
        <w:rPr>
          <w:rFonts w:ascii="Palatino Linotype" w:hAnsi="Palatino Linotype"/>
          <w:i/>
          <w:color w:val="000000" w:themeColor="text1"/>
          <w:lang w:val="es-MX"/>
        </w:rPr>
        <w:t xml:space="preserve">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529DE">
        <w:rPr>
          <w:rFonts w:ascii="Palatino Linotype" w:hAnsi="Palatino Linotype"/>
          <w:i/>
          <w:color w:val="000000" w:themeColor="text1"/>
          <w:vertAlign w:val="superscript"/>
          <w:lang w:val="es-MX"/>
        </w:rPr>
        <w:footnoteReference w:id="2"/>
      </w:r>
      <w:r w:rsidRPr="003529DE">
        <w:rPr>
          <w:rFonts w:ascii="Palatino Linotype" w:hAnsi="Palatino Linotype"/>
          <w:color w:val="000000" w:themeColor="text1"/>
          <w:lang w:val="es-MX"/>
        </w:rPr>
        <w:t>que se constituye como una herramienta fundamental para ejercer</w:t>
      </w:r>
      <w:r w:rsidRPr="003529DE">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3529DE">
        <w:rPr>
          <w:rFonts w:ascii="Palatino Linotype" w:hAnsi="Palatino Linotype"/>
          <w:i/>
          <w:color w:val="000000" w:themeColor="text1"/>
          <w:vertAlign w:val="superscript"/>
          <w:lang w:val="es-MX"/>
        </w:rPr>
        <w:footnoteReference w:id="3"/>
      </w:r>
      <w:r w:rsidRPr="003529DE">
        <w:rPr>
          <w:rFonts w:ascii="Palatino Linotype" w:hAnsi="Palatino Linotype"/>
          <w:i/>
          <w:color w:val="000000" w:themeColor="text1"/>
          <w:lang w:val="es-MX"/>
        </w:rPr>
        <w:t xml:space="preserve"> </w:t>
      </w:r>
      <w:r w:rsidRPr="003529DE">
        <w:rPr>
          <w:rFonts w:ascii="Palatino Linotype" w:hAnsi="Palatino Linotype"/>
          <w:color w:val="000000" w:themeColor="text1"/>
          <w:lang w:val="es-MX"/>
        </w:rPr>
        <w:t>fomentando</w:t>
      </w:r>
      <w:r w:rsidRPr="003529DE">
        <w:rPr>
          <w:rFonts w:ascii="Palatino Linotype" w:hAnsi="Palatino Linotype"/>
          <w:i/>
          <w:color w:val="000000" w:themeColor="text1"/>
          <w:lang w:val="es-MX"/>
        </w:rPr>
        <w:t xml:space="preserve"> la transparencia de las actividades estatales y </w:t>
      </w:r>
      <w:r w:rsidRPr="003529DE">
        <w:rPr>
          <w:rFonts w:ascii="Palatino Linotype" w:hAnsi="Palatino Linotype"/>
          <w:color w:val="000000" w:themeColor="text1"/>
          <w:lang w:val="es-MX"/>
        </w:rPr>
        <w:t>promoviendo</w:t>
      </w:r>
      <w:r w:rsidRPr="003529DE">
        <w:rPr>
          <w:rFonts w:ascii="Palatino Linotype" w:hAnsi="Palatino Linotype"/>
          <w:i/>
          <w:color w:val="000000" w:themeColor="text1"/>
          <w:lang w:val="es-MX"/>
        </w:rPr>
        <w:t xml:space="preserve"> la responsabilidad de los funcionarios sobre su gestión pública,</w:t>
      </w:r>
      <w:r w:rsidRPr="003529DE">
        <w:rPr>
          <w:rFonts w:ascii="Palatino Linotype" w:hAnsi="Palatino Linotype"/>
          <w:i/>
          <w:color w:val="000000" w:themeColor="text1"/>
          <w:vertAlign w:val="superscript"/>
          <w:lang w:val="es-MX"/>
        </w:rPr>
        <w:footnoteReference w:id="4"/>
      </w:r>
      <w:r w:rsidRPr="003529DE">
        <w:rPr>
          <w:rFonts w:ascii="Palatino Linotype" w:hAnsi="Palatino Linotype"/>
          <w:color w:val="000000" w:themeColor="text1"/>
          <w:lang w:val="es-MX"/>
        </w:rPr>
        <w:t>que permite</w:t>
      </w:r>
      <w:r w:rsidRPr="003529DE">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rsidR="005B6702" w:rsidRPr="003529DE" w:rsidRDefault="005B6702" w:rsidP="005B6702">
      <w:pPr>
        <w:pStyle w:val="Prrafodelista"/>
        <w:rPr>
          <w:rFonts w:ascii="Palatino Linotype" w:hAnsi="Palatino Linotype"/>
          <w:color w:val="000000" w:themeColor="text1"/>
        </w:rPr>
      </w:pPr>
    </w:p>
    <w:p w:rsidR="005B6702" w:rsidRPr="003529DE" w:rsidRDefault="005B6702" w:rsidP="005B6702">
      <w:pPr>
        <w:numPr>
          <w:ilvl w:val="0"/>
          <w:numId w:val="15"/>
        </w:numPr>
        <w:spacing w:line="360" w:lineRule="auto"/>
        <w:ind w:left="0" w:firstLine="0"/>
        <w:contextualSpacing/>
        <w:jc w:val="both"/>
        <w:rPr>
          <w:rFonts w:ascii="Palatino Linotype" w:hAnsi="Palatino Linotype"/>
          <w:color w:val="000000" w:themeColor="text1"/>
        </w:rPr>
      </w:pPr>
      <w:r w:rsidRPr="003529DE">
        <w:rPr>
          <w:rFonts w:ascii="Palatino Linotype" w:hAnsi="Palatino Linotype"/>
          <w:color w:val="000000" w:themeColor="text1"/>
        </w:rPr>
        <w:t xml:space="preserve">Por otro lado, </w:t>
      </w:r>
      <w:r w:rsidRPr="003529DE">
        <w:rPr>
          <w:rFonts w:ascii="Palatino Linotype" w:hAnsi="Palatino Linotype"/>
          <w:color w:val="000000" w:themeColor="text1"/>
          <w:lang w:val="es-MX"/>
        </w:rPr>
        <w:t xml:space="preserve">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w:t>
      </w:r>
      <w:r w:rsidRPr="003529DE">
        <w:rPr>
          <w:rFonts w:ascii="Palatino Linotype" w:hAnsi="Palatino Linotype"/>
          <w:color w:val="000000" w:themeColor="text1"/>
          <w:lang w:val="es-MX"/>
        </w:rPr>
        <w:lastRenderedPageBreak/>
        <w:t>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rsidR="005B6702" w:rsidRPr="003529DE" w:rsidRDefault="005B6702" w:rsidP="005B6702">
      <w:pPr>
        <w:pStyle w:val="Prrafodelista"/>
        <w:rPr>
          <w:rFonts w:ascii="Palatino Linotype" w:hAnsi="Palatino Linotype"/>
          <w:color w:val="000000" w:themeColor="text1"/>
        </w:rPr>
      </w:pPr>
    </w:p>
    <w:p w:rsidR="00EB21AE" w:rsidRPr="003529DE" w:rsidRDefault="005B6702" w:rsidP="0050702D">
      <w:pPr>
        <w:numPr>
          <w:ilvl w:val="0"/>
          <w:numId w:val="15"/>
        </w:numPr>
        <w:spacing w:line="360" w:lineRule="auto"/>
        <w:ind w:left="0" w:firstLine="0"/>
        <w:contextualSpacing/>
        <w:jc w:val="both"/>
        <w:rPr>
          <w:rFonts w:ascii="Palatino Linotype" w:hAnsi="Palatino Linotype"/>
          <w:color w:val="000000" w:themeColor="text1"/>
        </w:rPr>
      </w:pPr>
      <w:r w:rsidRPr="003529DE">
        <w:rPr>
          <w:rFonts w:ascii="Palatino Linotype" w:hAnsi="Palatino Linotype"/>
          <w:color w:val="000000" w:themeColor="text1"/>
        </w:rPr>
        <w:t xml:space="preserve">Ahora bien, </w:t>
      </w:r>
      <w:r w:rsidR="00EB21AE" w:rsidRPr="003529DE">
        <w:rPr>
          <w:rFonts w:ascii="Palatino Linotype" w:hAnsi="Palatino Linotype"/>
          <w:color w:val="000000" w:themeColor="text1"/>
        </w:rPr>
        <w:t xml:space="preserve">con relación a la respuesta emitida, es dable primeramente mencionar lo relativo a que la unidad administrativa señalada en la solicitud de información a saber Instituto Municipal de </w:t>
      </w:r>
      <w:r w:rsidR="006B3ED3">
        <w:rPr>
          <w:rFonts w:ascii="Palatino Linotype" w:hAnsi="Palatino Linotype"/>
          <w:color w:val="000000" w:themeColor="text1"/>
        </w:rPr>
        <w:t xml:space="preserve">la </w:t>
      </w:r>
      <w:r w:rsidR="00EB21AE" w:rsidRPr="003529DE">
        <w:rPr>
          <w:rFonts w:ascii="Palatino Linotype" w:hAnsi="Palatino Linotype"/>
          <w:color w:val="000000" w:themeColor="text1"/>
        </w:rPr>
        <w:t xml:space="preserve">Salud, donde el </w:t>
      </w:r>
      <w:r w:rsidR="00EB21AE" w:rsidRPr="003529DE">
        <w:rPr>
          <w:rFonts w:ascii="Palatino Linotype" w:hAnsi="Palatino Linotype"/>
          <w:b/>
          <w:color w:val="000000" w:themeColor="text1"/>
        </w:rPr>
        <w:t>SUJETO OBLIGADO</w:t>
      </w:r>
      <w:r w:rsidR="00EB21AE" w:rsidRPr="003529DE">
        <w:rPr>
          <w:rFonts w:ascii="Palatino Linotype" w:hAnsi="Palatino Linotype"/>
          <w:color w:val="000000" w:themeColor="text1"/>
        </w:rPr>
        <w:t xml:space="preserve"> mencionó que en la actual administración pública municipal, ya no detenta ese nombre.</w:t>
      </w:r>
    </w:p>
    <w:p w:rsidR="00EB21AE" w:rsidRPr="003529DE" w:rsidRDefault="00EB21AE" w:rsidP="00EB21AE">
      <w:pPr>
        <w:pStyle w:val="Prrafodelista"/>
        <w:rPr>
          <w:rFonts w:ascii="Palatino Linotype" w:hAnsi="Palatino Linotype"/>
          <w:color w:val="000000" w:themeColor="text1"/>
        </w:rPr>
      </w:pPr>
    </w:p>
    <w:p w:rsidR="00EB21AE" w:rsidRPr="003529DE" w:rsidRDefault="00EB21AE" w:rsidP="0050702D">
      <w:pPr>
        <w:numPr>
          <w:ilvl w:val="0"/>
          <w:numId w:val="15"/>
        </w:numPr>
        <w:spacing w:line="360" w:lineRule="auto"/>
        <w:ind w:left="0" w:firstLine="0"/>
        <w:contextualSpacing/>
        <w:jc w:val="both"/>
        <w:rPr>
          <w:rFonts w:ascii="Palatino Linotype" w:hAnsi="Palatino Linotype"/>
          <w:color w:val="000000" w:themeColor="text1"/>
        </w:rPr>
      </w:pPr>
      <w:r w:rsidRPr="003529DE">
        <w:rPr>
          <w:rFonts w:ascii="Palatino Linotype" w:hAnsi="Palatino Linotype"/>
          <w:color w:val="000000" w:themeColor="text1"/>
        </w:rPr>
        <w:t xml:space="preserve">La respuesta de referencia, se advierte que no guarda relación con lo peticionado, en virtud de que si bien pudiera ya no detentar ese nombre, el particular fue puntual en referir la </w:t>
      </w:r>
      <w:r w:rsidRPr="003529DE">
        <w:rPr>
          <w:rFonts w:ascii="Palatino Linotype" w:hAnsi="Palatino Linotype"/>
          <w:b/>
          <w:color w:val="000000" w:themeColor="text1"/>
        </w:rPr>
        <w:t xml:space="preserve">última </w:t>
      </w:r>
      <w:r w:rsidRPr="003529DE">
        <w:rPr>
          <w:rFonts w:ascii="Palatino Linotype" w:hAnsi="Palatino Linotype"/>
          <w:color w:val="000000" w:themeColor="text1"/>
        </w:rPr>
        <w:t xml:space="preserve"> campaña de esterilización y vacunación en la que </w:t>
      </w:r>
      <w:r w:rsidR="006B3ED3">
        <w:rPr>
          <w:rFonts w:ascii="Palatino Linotype" w:hAnsi="Palatino Linotype"/>
          <w:color w:val="000000" w:themeColor="text1"/>
        </w:rPr>
        <w:t xml:space="preserve">el </w:t>
      </w:r>
      <w:r w:rsidR="006B3ED3" w:rsidRPr="003529DE">
        <w:rPr>
          <w:rFonts w:ascii="Palatino Linotype" w:hAnsi="Palatino Linotype"/>
          <w:color w:val="000000" w:themeColor="text1"/>
        </w:rPr>
        <w:t xml:space="preserve">Instituto Municipal de </w:t>
      </w:r>
      <w:r w:rsidR="006B3ED3">
        <w:rPr>
          <w:rFonts w:ascii="Palatino Linotype" w:hAnsi="Palatino Linotype"/>
          <w:color w:val="000000" w:themeColor="text1"/>
        </w:rPr>
        <w:t xml:space="preserve">la </w:t>
      </w:r>
      <w:r w:rsidR="006B3ED3" w:rsidRPr="003529DE">
        <w:rPr>
          <w:rFonts w:ascii="Palatino Linotype" w:hAnsi="Palatino Linotype"/>
          <w:color w:val="000000" w:themeColor="text1"/>
        </w:rPr>
        <w:t xml:space="preserve">Salud </w:t>
      </w:r>
      <w:r w:rsidR="006B3ED3">
        <w:rPr>
          <w:rFonts w:ascii="Palatino Linotype" w:hAnsi="Palatino Linotype"/>
          <w:color w:val="000000" w:themeColor="text1"/>
        </w:rPr>
        <w:t xml:space="preserve">de Tlalnepantla </w:t>
      </w:r>
      <w:r w:rsidRPr="003529DE">
        <w:rPr>
          <w:rFonts w:ascii="Palatino Linotype" w:hAnsi="Palatino Linotype"/>
          <w:color w:val="000000" w:themeColor="text1"/>
        </w:rPr>
        <w:t>hizo público</w:t>
      </w:r>
      <w:r w:rsidR="006B3ED3">
        <w:rPr>
          <w:rFonts w:ascii="Palatino Linotype" w:hAnsi="Palatino Linotype"/>
          <w:color w:val="000000" w:themeColor="text1"/>
        </w:rPr>
        <w:t xml:space="preserve"> en redes sociales</w:t>
      </w:r>
      <w:r w:rsidRPr="003529DE">
        <w:rPr>
          <w:rFonts w:ascii="Palatino Linotype" w:hAnsi="Palatino Linotype"/>
          <w:color w:val="000000" w:themeColor="text1"/>
        </w:rPr>
        <w:t xml:space="preserve"> los hechos narrados en la solicitud; luego entonces el </w:t>
      </w:r>
      <w:r w:rsidRPr="003529DE">
        <w:rPr>
          <w:rFonts w:ascii="Palatino Linotype" w:hAnsi="Palatino Linotype"/>
          <w:b/>
          <w:color w:val="000000" w:themeColor="text1"/>
        </w:rPr>
        <w:t>SUJETO OBLIGADO</w:t>
      </w:r>
      <w:r w:rsidRPr="003529DE">
        <w:rPr>
          <w:rFonts w:ascii="Palatino Linotype" w:hAnsi="Palatino Linotype"/>
          <w:color w:val="000000" w:themeColor="text1"/>
        </w:rPr>
        <w:t xml:space="preserve"> se debió ceñir a la búsqueda del soporte documental solicitado, generado</w:t>
      </w:r>
      <w:r w:rsidR="00F16087" w:rsidRPr="003529DE">
        <w:rPr>
          <w:rFonts w:ascii="Palatino Linotype" w:hAnsi="Palatino Linotype"/>
          <w:color w:val="000000" w:themeColor="text1"/>
        </w:rPr>
        <w:t>, poseído y administrado</w:t>
      </w:r>
      <w:r w:rsidRPr="003529DE">
        <w:rPr>
          <w:rFonts w:ascii="Palatino Linotype" w:hAnsi="Palatino Linotype"/>
          <w:color w:val="000000" w:themeColor="text1"/>
        </w:rPr>
        <w:t xml:space="preserve"> </w:t>
      </w:r>
      <w:r w:rsidR="006B3ED3">
        <w:rPr>
          <w:rFonts w:ascii="Palatino Linotype" w:hAnsi="Palatino Linotype"/>
          <w:color w:val="000000" w:themeColor="text1"/>
        </w:rPr>
        <w:t>al respecto</w:t>
      </w:r>
      <w:r w:rsidRPr="003529DE">
        <w:rPr>
          <w:rFonts w:ascii="Palatino Linotype" w:hAnsi="Palatino Linotype"/>
          <w:color w:val="000000" w:themeColor="text1"/>
        </w:rPr>
        <w:t>, lo cual a todas luces no guarda relación, con el hecho de que en la actual administración le fuera cambiado el nombre.</w:t>
      </w:r>
    </w:p>
    <w:p w:rsidR="00EB21AE" w:rsidRPr="003529DE" w:rsidRDefault="00EB21AE" w:rsidP="00EB21AE">
      <w:pPr>
        <w:pStyle w:val="Prrafodelista"/>
        <w:rPr>
          <w:rFonts w:ascii="Palatino Linotype" w:hAnsi="Palatino Linotype"/>
          <w:color w:val="000000" w:themeColor="text1"/>
        </w:rPr>
      </w:pPr>
    </w:p>
    <w:p w:rsidR="00EB21AE" w:rsidRPr="003529DE" w:rsidRDefault="00EB21AE" w:rsidP="0050702D">
      <w:pPr>
        <w:numPr>
          <w:ilvl w:val="0"/>
          <w:numId w:val="15"/>
        </w:numPr>
        <w:spacing w:line="360" w:lineRule="auto"/>
        <w:ind w:left="0" w:firstLine="0"/>
        <w:contextualSpacing/>
        <w:jc w:val="both"/>
        <w:rPr>
          <w:rFonts w:ascii="Palatino Linotype" w:hAnsi="Palatino Linotype"/>
          <w:color w:val="000000" w:themeColor="text1"/>
        </w:rPr>
      </w:pPr>
      <w:r w:rsidRPr="003529DE">
        <w:rPr>
          <w:rFonts w:ascii="Palatino Linotype" w:hAnsi="Palatino Linotype"/>
          <w:color w:val="000000" w:themeColor="text1"/>
        </w:rPr>
        <w:t xml:space="preserve">Así las cosas, queda establecido que la solicitud de información </w:t>
      </w:r>
      <w:r w:rsidR="00F16087" w:rsidRPr="003529DE">
        <w:rPr>
          <w:rFonts w:ascii="Palatino Linotype" w:hAnsi="Palatino Linotype"/>
          <w:color w:val="000000" w:themeColor="text1"/>
        </w:rPr>
        <w:t>detenta una temporalidad de lo requerido. Por otro lado</w:t>
      </w:r>
      <w:r w:rsidR="009F5917" w:rsidRPr="003529DE">
        <w:rPr>
          <w:rFonts w:ascii="Palatino Linotype" w:hAnsi="Palatino Linotype"/>
          <w:color w:val="000000" w:themeColor="text1"/>
        </w:rPr>
        <w:t>,</w:t>
      </w:r>
      <w:r w:rsidR="00F16087" w:rsidRPr="003529DE">
        <w:rPr>
          <w:rFonts w:ascii="Palatino Linotype" w:hAnsi="Palatino Linotype"/>
          <w:color w:val="000000" w:themeColor="text1"/>
        </w:rPr>
        <w:t xml:space="preserve"> </w:t>
      </w:r>
      <w:r w:rsidR="006B3ED3" w:rsidRPr="003529DE">
        <w:rPr>
          <w:rFonts w:ascii="Palatino Linotype" w:hAnsi="Palatino Linotype"/>
          <w:color w:val="000000" w:themeColor="text1"/>
        </w:rPr>
        <w:t>referente</w:t>
      </w:r>
      <w:r w:rsidR="00F16087" w:rsidRPr="003529DE">
        <w:rPr>
          <w:rFonts w:ascii="Palatino Linotype" w:hAnsi="Palatino Linotype"/>
          <w:color w:val="000000" w:themeColor="text1"/>
        </w:rPr>
        <w:t xml:space="preserve"> a la incompetencia del Ayuntamiento de Tlalnepantla, se desprende que resulta improcedente por las siguientes consideraciones.</w:t>
      </w:r>
    </w:p>
    <w:p w:rsidR="00EB21AE" w:rsidRPr="003529DE" w:rsidRDefault="00701BF5" w:rsidP="00701BF5">
      <w:pPr>
        <w:numPr>
          <w:ilvl w:val="0"/>
          <w:numId w:val="15"/>
        </w:numPr>
        <w:spacing w:line="360" w:lineRule="auto"/>
        <w:ind w:left="0" w:firstLine="0"/>
        <w:contextualSpacing/>
        <w:jc w:val="both"/>
        <w:rPr>
          <w:rFonts w:ascii="Palatino Linotype" w:hAnsi="Palatino Linotype"/>
          <w:color w:val="000000" w:themeColor="text1"/>
        </w:rPr>
      </w:pPr>
      <w:r w:rsidRPr="003529DE">
        <w:rPr>
          <w:rFonts w:ascii="Palatino Linotype" w:hAnsi="Palatino Linotype"/>
          <w:color w:val="000000" w:themeColor="text1"/>
        </w:rPr>
        <w:lastRenderedPageBreak/>
        <w:t>El Reglamento Interno de la Administración Pública Municipal de Tlalnepantla de Baz de la administración 2019 – 2021, establece al caso concreto lo siguiente:</w:t>
      </w:r>
    </w:p>
    <w:p w:rsidR="009F5917" w:rsidRPr="003529DE" w:rsidRDefault="009F5917" w:rsidP="009F5917">
      <w:pPr>
        <w:spacing w:line="360" w:lineRule="auto"/>
        <w:contextualSpacing/>
        <w:jc w:val="both"/>
        <w:rPr>
          <w:rFonts w:ascii="Palatino Linotype" w:hAnsi="Palatino Linotype"/>
          <w:color w:val="000000" w:themeColor="text1"/>
        </w:rPr>
      </w:pP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w:t>
      </w:r>
      <w:r w:rsidRPr="003529DE">
        <w:rPr>
          <w:rFonts w:ascii="Palatino Linotype" w:hAnsi="Palatino Linotype"/>
          <w:b/>
          <w:i/>
          <w:color w:val="000000" w:themeColor="text1"/>
        </w:rPr>
        <w:t>DEL INSTITUTO MUNICIPAL DE LA SALUD</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ARTÍCULO 220</w:t>
      </w:r>
      <w:r w:rsidRPr="003529DE">
        <w:rPr>
          <w:rFonts w:ascii="Palatino Linotype" w:hAnsi="Palatino Linotype"/>
          <w:b/>
          <w:i/>
          <w:color w:val="000000" w:themeColor="text1"/>
        </w:rPr>
        <w:t>. Son facultades y obligaciones del Instituto Municipal de Salud</w:t>
      </w:r>
      <w:r w:rsidRPr="003529DE">
        <w:rPr>
          <w:rFonts w:ascii="Palatino Linotype" w:hAnsi="Palatino Linotype"/>
          <w:i/>
          <w:color w:val="000000" w:themeColor="text1"/>
        </w:rPr>
        <w:t>, las siguientes:</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I. Dirigir la ejecución de los programas, proyectos, estrategias y acciones municipales del Instituto;</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II. Proponer y operar el Programa Municipal de Salud, basado principalmente en la cultura de la prevención y cuyo objetivo sea elevar los índices de desarrollo humano que tengan relación con el rubro de la salud entre la población;</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III. Proponer al Ayuntamiento los proyectos, acciones, y estrategias para una mejor prestación de los servicios de salud, con base en lo establecido en el Plan de Desarrollo Municipal;</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IV. Promover la activación física gratuita entre la población del Municipio en coordinación con el Instituto Municipal de Cultura Física, Deporte y Juventud;</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V. Promover la correcta alimentación, entre los alumnos de escuelas primarias y secundarias del territorio municipal en coordinación con el Instituto Municipal de Educación, a fin de prevenir la obesidad infantil;</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VI. Organizar clubes, talleres y terapias grupales para afrontar diversas enfermedades emocionales, físicas y trastornos de conducta;</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VII. Fomentar entre la población del Municipio la salud, entendida ésta como el estado de bienestar y no sólo como la ausencia de enfermedades;</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lastRenderedPageBreak/>
        <w:t>VIII. Proponer los lineamientos para la coordinación de las actividades de las dependencias y entidades involucradas, en lo relativo al cumplimiento del Programa Municipal de Salud;</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IX. Realizar con las autoridades del ramo campañas permanentes y gratuitas de la vacuna antirrábica, expidiendo el certificado correspondiente debidamente autorizado;</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X. Realizar campañas de concientización y orientación en centros educativos, comunidades y en general en el territorio municipal, tendientes a la responsabilidad de salvaguardar los derechos y bienestar de los perros y gatos;</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XI. Acopio de perros y gatos procurando en todo momento el exhorto a los particulares para que los conserven;</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XII. Aislar y confinar a perros agresores para su observación a fin de descartar la transmisión de enfermedades de acuerdo a la normatividad aplicable;</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XIII. Canalizar a las personas agredidas por mordeduras de perros o gatos a la institución de salud más cercana;</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XIV. Retiro de perros y gatos abandonados en la vía pública, previniendo posibles agresiones;</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XV. Realizar eutanasia para perros y gatos de acuerdo a la norma oficial NOM-0337-SAG/ZOO-2014;</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XVI. Promover la concertación de acciones con las instituciones de los sectores social y privado, que lleven a cabo tareas relacionadas con el programa;</w:t>
      </w:r>
    </w:p>
    <w:p w:rsidR="00701BF5"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XVII. Fomentar la realización de acciones de promoción, difusión y educación en materia de salud entre los habitantes del Municipio;</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XVIII. Proponer sistemas de control y evaluación del avance del Programa Municipal de Salud;</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lastRenderedPageBreak/>
        <w:t>XIX. Promover la coordinación entre los organismos y agencias nacionales e internacionales en lo relativo al Programa Municipal de Salud; y</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XX. Las demás que deriven de otros ordenamientos legales aplicables o le sean encomendados en el área de su competencia por sus superiores jerárquicos.”</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 xml:space="preserve">“ARTÍCULO 221. </w:t>
      </w:r>
      <w:r w:rsidRPr="003529DE">
        <w:rPr>
          <w:rFonts w:ascii="Palatino Linotype" w:hAnsi="Palatino Linotype"/>
          <w:b/>
          <w:i/>
          <w:color w:val="000000" w:themeColor="text1"/>
        </w:rPr>
        <w:t>Para el desempeño de sus atribuciones, el Instituto Municipal de Salud, contará</w:t>
      </w:r>
      <w:r w:rsidRPr="003529DE">
        <w:rPr>
          <w:rFonts w:ascii="Palatino Linotype" w:hAnsi="Palatino Linotype"/>
          <w:i/>
          <w:color w:val="000000" w:themeColor="text1"/>
        </w:rPr>
        <w:t xml:space="preserve"> con un Titular que será responsable de la conducción, ejecución y supervisión de las acciones a que se refiere el artículo que antecede y que para su auxilio tendrá a su cargo las siguientes unidades administrativas:</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I. Departamento de Programas de Salud;</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II. Departamento de Cultura para la Salud;</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III. Departamento de Atención de Animales Expuestos y en Custodia; y</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IV. Enlace Administrativo.”</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SUBSECCIÓN II</w:t>
      </w:r>
    </w:p>
    <w:p w:rsidR="001448BA" w:rsidRPr="003529DE" w:rsidRDefault="001448BA" w:rsidP="001448BA">
      <w:pPr>
        <w:spacing w:line="360" w:lineRule="auto"/>
        <w:ind w:left="360" w:right="333"/>
        <w:contextualSpacing/>
        <w:jc w:val="both"/>
        <w:rPr>
          <w:rFonts w:ascii="Palatino Linotype" w:hAnsi="Palatino Linotype"/>
          <w:b/>
          <w:i/>
          <w:color w:val="000000" w:themeColor="text1"/>
        </w:rPr>
      </w:pPr>
      <w:r w:rsidRPr="003529DE">
        <w:rPr>
          <w:rFonts w:ascii="Palatino Linotype" w:hAnsi="Palatino Linotype"/>
          <w:b/>
          <w:i/>
          <w:color w:val="000000" w:themeColor="text1"/>
        </w:rPr>
        <w:t>DEL DEPARTAMENTO DE CULTURA PARA LA SALUD</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 xml:space="preserve">ARTÍCULO 224. </w:t>
      </w:r>
      <w:r w:rsidRPr="003529DE">
        <w:rPr>
          <w:rFonts w:ascii="Palatino Linotype" w:hAnsi="Palatino Linotype"/>
          <w:b/>
          <w:i/>
          <w:color w:val="000000" w:themeColor="text1"/>
        </w:rPr>
        <w:t>Son facultades y obligaciones del Departamento de Cultura</w:t>
      </w:r>
      <w:r w:rsidRPr="003529DE">
        <w:rPr>
          <w:rFonts w:ascii="Palatino Linotype" w:hAnsi="Palatino Linotype"/>
          <w:i/>
          <w:color w:val="000000" w:themeColor="text1"/>
        </w:rPr>
        <w:t xml:space="preserve"> para la Salud, las siguientes:</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 xml:space="preserve">I. Organizar, difundir y supervisar el desarrollo de las </w:t>
      </w:r>
      <w:r w:rsidRPr="003529DE">
        <w:rPr>
          <w:rFonts w:ascii="Palatino Linotype" w:hAnsi="Palatino Linotype"/>
          <w:b/>
          <w:i/>
          <w:color w:val="000000" w:themeColor="text1"/>
        </w:rPr>
        <w:t>campañas de salud</w:t>
      </w:r>
      <w:r w:rsidRPr="003529DE">
        <w:rPr>
          <w:rFonts w:ascii="Palatino Linotype" w:hAnsi="Palatino Linotype"/>
          <w:i/>
          <w:color w:val="000000" w:themeColor="text1"/>
        </w:rPr>
        <w:t xml:space="preserve"> en las comunidades;</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“SUBSECCIÓN III</w:t>
      </w:r>
    </w:p>
    <w:p w:rsidR="001448BA" w:rsidRPr="003529DE" w:rsidRDefault="001448BA" w:rsidP="001448BA">
      <w:pPr>
        <w:spacing w:line="360" w:lineRule="auto"/>
        <w:ind w:left="360" w:right="333"/>
        <w:contextualSpacing/>
        <w:jc w:val="both"/>
        <w:rPr>
          <w:rFonts w:ascii="Palatino Linotype" w:hAnsi="Palatino Linotype"/>
          <w:b/>
          <w:i/>
          <w:color w:val="000000" w:themeColor="text1"/>
        </w:rPr>
      </w:pPr>
      <w:r w:rsidRPr="003529DE">
        <w:rPr>
          <w:rFonts w:ascii="Palatino Linotype" w:hAnsi="Palatino Linotype"/>
          <w:b/>
          <w:i/>
          <w:color w:val="000000" w:themeColor="text1"/>
        </w:rPr>
        <w:lastRenderedPageBreak/>
        <w:t>DEL DEPARTAMENTO DE ATENCIÓN DE ANIMALES EXPUESTOS Y EN CUSTODIA.</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 xml:space="preserve">ARTÍCULO 226. </w:t>
      </w:r>
      <w:r w:rsidRPr="003529DE">
        <w:rPr>
          <w:rFonts w:ascii="Palatino Linotype" w:hAnsi="Palatino Linotype"/>
          <w:b/>
          <w:i/>
          <w:color w:val="000000" w:themeColor="text1"/>
        </w:rPr>
        <w:t>Son facultades y obligaciones del Departamento de Atención de Animales Expuestos y en Custodia</w:t>
      </w:r>
      <w:r w:rsidRPr="003529DE">
        <w:rPr>
          <w:rFonts w:ascii="Palatino Linotype" w:hAnsi="Palatino Linotype"/>
          <w:i/>
          <w:color w:val="000000" w:themeColor="text1"/>
        </w:rPr>
        <w:t xml:space="preserve"> las siguientes: </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 xml:space="preserve">I. </w:t>
      </w:r>
      <w:r w:rsidRPr="003529DE">
        <w:rPr>
          <w:rFonts w:ascii="Palatino Linotype" w:hAnsi="Palatino Linotype"/>
          <w:b/>
          <w:i/>
          <w:color w:val="000000" w:themeColor="text1"/>
        </w:rPr>
        <w:t>Instrumentar los programas establecidos para evitar la sobrepoblación animal canina y felina</w:t>
      </w:r>
      <w:r w:rsidRPr="003529DE">
        <w:rPr>
          <w:rFonts w:ascii="Palatino Linotype" w:hAnsi="Palatino Linotype"/>
          <w:i/>
          <w:color w:val="000000" w:themeColor="text1"/>
        </w:rPr>
        <w:t>, a través de los medios establecidos por la Ley;</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w:t>
      </w:r>
    </w:p>
    <w:p w:rsidR="001448BA" w:rsidRPr="003529DE" w:rsidRDefault="001448BA" w:rsidP="001448BA">
      <w:pPr>
        <w:spacing w:line="360" w:lineRule="auto"/>
        <w:ind w:left="360" w:right="333"/>
        <w:contextualSpacing/>
        <w:jc w:val="both"/>
        <w:rPr>
          <w:rFonts w:ascii="Palatino Linotype" w:hAnsi="Palatino Linotype"/>
          <w:i/>
          <w:color w:val="000000" w:themeColor="text1"/>
        </w:rPr>
      </w:pPr>
      <w:r w:rsidRPr="003529DE">
        <w:rPr>
          <w:rFonts w:ascii="Palatino Linotype" w:hAnsi="Palatino Linotype"/>
          <w:i/>
          <w:color w:val="000000" w:themeColor="text1"/>
        </w:rPr>
        <w:t xml:space="preserve">III. </w:t>
      </w:r>
      <w:r w:rsidRPr="003529DE">
        <w:rPr>
          <w:rFonts w:ascii="Palatino Linotype" w:hAnsi="Palatino Linotype"/>
          <w:b/>
          <w:i/>
          <w:color w:val="000000" w:themeColor="text1"/>
        </w:rPr>
        <w:t>Promover e instrumentar permanentemente campañas de esterilización canina y felina</w:t>
      </w:r>
      <w:r w:rsidRPr="003529DE">
        <w:rPr>
          <w:rFonts w:ascii="Palatino Linotype" w:hAnsi="Palatino Linotype"/>
          <w:i/>
          <w:color w:val="000000" w:themeColor="text1"/>
        </w:rPr>
        <w:t>;</w:t>
      </w:r>
    </w:p>
    <w:p w:rsidR="009F5917" w:rsidRPr="003529DE" w:rsidRDefault="009F5917" w:rsidP="001448BA">
      <w:pPr>
        <w:spacing w:line="360" w:lineRule="auto"/>
        <w:ind w:left="360" w:right="333"/>
        <w:contextualSpacing/>
        <w:jc w:val="both"/>
        <w:rPr>
          <w:rFonts w:ascii="Palatino Linotype" w:hAnsi="Palatino Linotype"/>
          <w:i/>
          <w:color w:val="000000" w:themeColor="text1"/>
        </w:rPr>
      </w:pPr>
    </w:p>
    <w:p w:rsidR="00EB21AE" w:rsidRPr="003529DE" w:rsidRDefault="009F5917" w:rsidP="009F5917">
      <w:pPr>
        <w:numPr>
          <w:ilvl w:val="0"/>
          <w:numId w:val="15"/>
        </w:numPr>
        <w:spacing w:line="360" w:lineRule="auto"/>
        <w:ind w:left="0" w:firstLine="0"/>
        <w:contextualSpacing/>
        <w:jc w:val="both"/>
        <w:rPr>
          <w:rFonts w:ascii="Palatino Linotype" w:hAnsi="Palatino Linotype"/>
          <w:color w:val="000000" w:themeColor="text1"/>
        </w:rPr>
      </w:pPr>
      <w:r w:rsidRPr="003529DE">
        <w:rPr>
          <w:rFonts w:ascii="Palatino Linotype" w:hAnsi="Palatino Linotype"/>
          <w:color w:val="000000" w:themeColor="text1"/>
        </w:rPr>
        <w:t>De los preceptos legales de referencia, se desprende que ciertamente existió una unidad administrativa denominad</w:t>
      </w:r>
      <w:r w:rsidR="006B3ED3">
        <w:rPr>
          <w:rFonts w:ascii="Palatino Linotype" w:hAnsi="Palatino Linotype"/>
          <w:color w:val="000000" w:themeColor="text1"/>
        </w:rPr>
        <w:t>a</w:t>
      </w:r>
      <w:r w:rsidRPr="003529DE">
        <w:rPr>
          <w:rFonts w:ascii="Palatino Linotype" w:hAnsi="Palatino Linotype"/>
          <w:color w:val="000000" w:themeColor="text1"/>
        </w:rPr>
        <w:t xml:space="preserve"> Instituto Municipal de la Salud de Tlalnepantla</w:t>
      </w:r>
      <w:r w:rsidR="006B3ED3">
        <w:rPr>
          <w:rFonts w:ascii="Palatino Linotype" w:hAnsi="Palatino Linotype"/>
          <w:color w:val="000000" w:themeColor="text1"/>
        </w:rPr>
        <w:t xml:space="preserve"> la cual no se encontraba adscrita al DIF Tlalnepantla</w:t>
      </w:r>
      <w:r w:rsidRPr="003529DE">
        <w:rPr>
          <w:rFonts w:ascii="Palatino Linotype" w:hAnsi="Palatino Linotype"/>
          <w:color w:val="000000" w:themeColor="text1"/>
        </w:rPr>
        <w:t>, en cuyas atribuciones se encuentran aplicables al caso concreto la de desarrollar campañas de salud y promover e instrumentar permanentemente campañas de esterilización canina y felina.</w:t>
      </w:r>
    </w:p>
    <w:p w:rsidR="009F5917" w:rsidRPr="003529DE" w:rsidRDefault="009F5917" w:rsidP="009F5917">
      <w:pPr>
        <w:spacing w:line="360" w:lineRule="auto"/>
        <w:contextualSpacing/>
        <w:jc w:val="both"/>
        <w:rPr>
          <w:rFonts w:ascii="Palatino Linotype" w:hAnsi="Palatino Linotype"/>
          <w:color w:val="000000" w:themeColor="text1"/>
        </w:rPr>
      </w:pPr>
    </w:p>
    <w:p w:rsidR="005D1419" w:rsidRDefault="005D1419" w:rsidP="009F5917">
      <w:pPr>
        <w:numPr>
          <w:ilvl w:val="0"/>
          <w:numId w:val="15"/>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En el mismo contexto, si dicha unidad administrativa en la actual administración pública municipal se encuentra adscrita al DIF Municipal como se señaló en el informe justificado, ello no es óbice para que se de atención de a la solicitud de información de mérito, si el </w:t>
      </w:r>
      <w:r>
        <w:rPr>
          <w:rFonts w:ascii="Palatino Linotype" w:hAnsi="Palatino Linotype"/>
          <w:b/>
          <w:color w:val="000000" w:themeColor="text1"/>
        </w:rPr>
        <w:t xml:space="preserve">SUJETO OBLIGADO </w:t>
      </w:r>
      <w:r>
        <w:rPr>
          <w:rFonts w:ascii="Palatino Linotype" w:hAnsi="Palatino Linotype"/>
          <w:color w:val="000000" w:themeColor="text1"/>
        </w:rPr>
        <w:t>fue quien generó la información</w:t>
      </w:r>
      <w:r w:rsidR="007B5042">
        <w:rPr>
          <w:rFonts w:ascii="Palatino Linotype" w:hAnsi="Palatino Linotype"/>
          <w:color w:val="000000" w:themeColor="text1"/>
        </w:rPr>
        <w:t xml:space="preserve"> ya que tiene el deber de documentar los actos que en ejercicio de sus funciones y atribuciones realice.</w:t>
      </w:r>
    </w:p>
    <w:p w:rsidR="007B5042" w:rsidRDefault="007B5042" w:rsidP="007B5042">
      <w:pPr>
        <w:pStyle w:val="Prrafodelista"/>
        <w:rPr>
          <w:rFonts w:ascii="Palatino Linotype" w:hAnsi="Palatino Linotype"/>
          <w:color w:val="000000" w:themeColor="text1"/>
        </w:rPr>
      </w:pPr>
    </w:p>
    <w:p w:rsidR="007B5042" w:rsidRPr="00CA0CF1" w:rsidRDefault="007B5042" w:rsidP="007B5042">
      <w:pPr>
        <w:pStyle w:val="Prrafodelista"/>
        <w:numPr>
          <w:ilvl w:val="0"/>
          <w:numId w:val="15"/>
        </w:numPr>
        <w:shd w:val="clear" w:color="auto" w:fill="FFFFFF"/>
        <w:tabs>
          <w:tab w:val="left" w:pos="0"/>
        </w:tabs>
        <w:spacing w:before="240" w:after="150" w:line="360" w:lineRule="auto"/>
        <w:ind w:left="0" w:right="49" w:firstLine="0"/>
        <w:jc w:val="both"/>
        <w:rPr>
          <w:rFonts w:ascii="Palatino Linotype" w:hAnsi="Palatino Linotype"/>
          <w:shd w:val="clear" w:color="auto" w:fill="FFFFFF"/>
        </w:rPr>
      </w:pPr>
      <w:r>
        <w:rPr>
          <w:rFonts w:ascii="Palatino Linotype" w:eastAsiaTheme="minorHAnsi" w:hAnsi="Palatino Linotype"/>
          <w:lang w:eastAsia="en-US"/>
        </w:rPr>
        <w:lastRenderedPageBreak/>
        <w:t>En ese contexto</w:t>
      </w:r>
      <w:r w:rsidRPr="00CA0CF1">
        <w:rPr>
          <w:rFonts w:ascii="Palatino Linotype" w:eastAsiaTheme="minorHAnsi" w:hAnsi="Palatino Linotype"/>
          <w:lang w:eastAsia="en-US"/>
        </w:rPr>
        <w:t>, en el artículo sexto constitucional se reconoce el derecho de las personas de acceder a la información en posesión de los sujetos obligados la que, por principio, es pública, salvo las restricciones que defina la ley; así como el reconocimiento de las garantías para su protección, entre ellas, podemos identificar a las primarias como las inmediatamente relacionadas con el derecho y, por lo tanto, comunes para todos los sujetos obligados: el deber de documentar todo acto que realicen en el ejercicio de sus facultades, competencias o funciones; de resguardar los documentos en archivos administrativos actualizados; la de publicar, a través de los medios electrónicos disponibles, la información completa y actualizada, relacionada con el ejercicio de los recursos públicos y con los indicadores que permitan rendir cuenta del cumplimiento de sus objetivos y de los resultados obtenidos; y, finalmente, los procedimientos para solicitar información.</w:t>
      </w:r>
    </w:p>
    <w:p w:rsidR="005D1419" w:rsidRDefault="005D1419" w:rsidP="005D1419">
      <w:pPr>
        <w:pStyle w:val="Prrafodelista"/>
        <w:rPr>
          <w:rFonts w:ascii="Palatino Linotype" w:hAnsi="Palatino Linotype"/>
          <w:color w:val="000000" w:themeColor="text1"/>
        </w:rPr>
      </w:pPr>
    </w:p>
    <w:p w:rsidR="009F5917" w:rsidRPr="003529DE" w:rsidRDefault="005D1419" w:rsidP="009F5917">
      <w:pPr>
        <w:numPr>
          <w:ilvl w:val="0"/>
          <w:numId w:val="15"/>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Por otro lado, si bien</w:t>
      </w:r>
      <w:r w:rsidR="009F5917" w:rsidRPr="003529DE">
        <w:rPr>
          <w:rFonts w:ascii="Palatino Linotype" w:hAnsi="Palatino Linotype"/>
          <w:color w:val="000000" w:themeColor="text1"/>
        </w:rPr>
        <w:t xml:space="preserve"> la solicitud de información detenta una temporalidad al señalar </w:t>
      </w:r>
      <w:r w:rsidR="009F5917" w:rsidRPr="005D1419">
        <w:rPr>
          <w:rFonts w:ascii="Palatino Linotype" w:hAnsi="Palatino Linotype"/>
          <w:b/>
          <w:color w:val="000000" w:themeColor="text1"/>
        </w:rPr>
        <w:t>la última</w:t>
      </w:r>
      <w:r w:rsidR="009F5917" w:rsidRPr="003529DE">
        <w:rPr>
          <w:rFonts w:ascii="Palatino Linotype" w:hAnsi="Palatino Linotype"/>
          <w:color w:val="000000" w:themeColor="text1"/>
        </w:rPr>
        <w:t xml:space="preserve"> campaña de vacunación  y de esterilización canina y felina; también lo es que no fue preciso en señalar la fecha </w:t>
      </w:r>
      <w:r w:rsidR="006B3ED3">
        <w:rPr>
          <w:rFonts w:ascii="Palatino Linotype" w:hAnsi="Palatino Linotype"/>
          <w:color w:val="000000" w:themeColor="text1"/>
        </w:rPr>
        <w:t>exacta</w:t>
      </w:r>
      <w:r w:rsidR="009F5917" w:rsidRPr="003529DE">
        <w:rPr>
          <w:rFonts w:ascii="Palatino Linotype" w:hAnsi="Palatino Linotype"/>
          <w:color w:val="000000" w:themeColor="text1"/>
        </w:rPr>
        <w:t xml:space="preserve"> o el lapso temporal especifico del cual requiere la información, y sumado a la falta de pronunciamiento del </w:t>
      </w:r>
      <w:r w:rsidR="009F5917" w:rsidRPr="003529DE">
        <w:rPr>
          <w:rFonts w:ascii="Palatino Linotype" w:hAnsi="Palatino Linotype"/>
          <w:b/>
          <w:color w:val="000000" w:themeColor="text1"/>
        </w:rPr>
        <w:t>SUJETO OBLIGADO</w:t>
      </w:r>
      <w:r w:rsidR="009F5917" w:rsidRPr="003529DE">
        <w:rPr>
          <w:rFonts w:ascii="Palatino Linotype" w:hAnsi="Palatino Linotype"/>
          <w:color w:val="000000" w:themeColor="text1"/>
        </w:rPr>
        <w:t>, es que no</w:t>
      </w:r>
      <w:r w:rsidR="006B3ED3">
        <w:rPr>
          <w:rFonts w:ascii="Palatino Linotype" w:hAnsi="Palatino Linotype"/>
          <w:color w:val="000000" w:themeColor="text1"/>
        </w:rPr>
        <w:t xml:space="preserve"> </w:t>
      </w:r>
      <w:r w:rsidR="009F5917" w:rsidRPr="003529DE">
        <w:rPr>
          <w:rFonts w:ascii="Palatino Linotype" w:hAnsi="Palatino Linotype"/>
          <w:color w:val="000000" w:themeColor="text1"/>
        </w:rPr>
        <w:t>se cuenta con la certeza de la última campaña emprendida o bien si es que existió alguna.</w:t>
      </w:r>
    </w:p>
    <w:p w:rsidR="009F5917" w:rsidRPr="003529DE" w:rsidRDefault="009F5917" w:rsidP="009F5917">
      <w:pPr>
        <w:pStyle w:val="Prrafodelista"/>
        <w:rPr>
          <w:rFonts w:ascii="Palatino Linotype" w:hAnsi="Palatino Linotype"/>
          <w:color w:val="000000" w:themeColor="text1"/>
        </w:rPr>
      </w:pPr>
    </w:p>
    <w:p w:rsidR="009F5917" w:rsidRPr="003529DE" w:rsidRDefault="009F5917" w:rsidP="009F5917">
      <w:pPr>
        <w:numPr>
          <w:ilvl w:val="0"/>
          <w:numId w:val="15"/>
        </w:numPr>
        <w:spacing w:line="360" w:lineRule="auto"/>
        <w:ind w:left="0" w:firstLine="0"/>
        <w:contextualSpacing/>
        <w:jc w:val="both"/>
        <w:rPr>
          <w:rFonts w:ascii="Palatino Linotype" w:hAnsi="Palatino Linotype"/>
          <w:color w:val="000000" w:themeColor="text1"/>
        </w:rPr>
      </w:pPr>
      <w:r w:rsidRPr="003529DE">
        <w:rPr>
          <w:rFonts w:ascii="Palatino Linotype" w:hAnsi="Palatino Linotype"/>
          <w:color w:val="000000" w:themeColor="text1"/>
        </w:rPr>
        <w:t xml:space="preserve">Por tal motivo, es que esta Ponencia que resuelve, se aboco a la búsqueda de los indicios señalado en la solicitud de información dentro de las redes sociales del </w:t>
      </w:r>
      <w:r w:rsidR="007B5042">
        <w:rPr>
          <w:rFonts w:ascii="Palatino Linotype" w:hAnsi="Palatino Linotype"/>
          <w:color w:val="000000" w:themeColor="text1"/>
        </w:rPr>
        <w:t>de</w:t>
      </w:r>
      <w:r w:rsidRPr="003529DE">
        <w:rPr>
          <w:rFonts w:ascii="Palatino Linotype" w:hAnsi="Palatino Linotype"/>
          <w:color w:val="000000" w:themeColor="text1"/>
        </w:rPr>
        <w:t xml:space="preserve">nominado Instituto Municipal de la Salud de Tlalnepantla, encontrando lo siguiente en la cuenta oficial de la red social </w:t>
      </w:r>
      <w:r w:rsidR="007B5042" w:rsidRPr="003529DE">
        <w:rPr>
          <w:rFonts w:ascii="Palatino Linotype" w:hAnsi="Palatino Linotype"/>
          <w:color w:val="000000" w:themeColor="text1"/>
        </w:rPr>
        <w:t>nombrada</w:t>
      </w:r>
      <w:r w:rsidRPr="003529DE">
        <w:rPr>
          <w:rFonts w:ascii="Palatino Linotype" w:hAnsi="Palatino Linotype"/>
          <w:color w:val="000000" w:themeColor="text1"/>
        </w:rPr>
        <w:t xml:space="preserve"> “</w:t>
      </w:r>
      <w:r w:rsidRPr="006B3ED3">
        <w:rPr>
          <w:rFonts w:ascii="Palatino Linotype" w:hAnsi="Palatino Linotype"/>
          <w:i/>
          <w:color w:val="000000" w:themeColor="text1"/>
        </w:rPr>
        <w:t>Facebook</w:t>
      </w:r>
      <w:r w:rsidRPr="003529DE">
        <w:rPr>
          <w:rFonts w:ascii="Palatino Linotype" w:hAnsi="Palatino Linotype"/>
          <w:color w:val="000000" w:themeColor="text1"/>
        </w:rPr>
        <w:t>”:</w:t>
      </w:r>
    </w:p>
    <w:p w:rsidR="009F5917" w:rsidRPr="003529DE" w:rsidRDefault="009F5917" w:rsidP="009F5917">
      <w:pPr>
        <w:pStyle w:val="Prrafodelista"/>
        <w:rPr>
          <w:rFonts w:ascii="Palatino Linotype" w:hAnsi="Palatino Linotype"/>
          <w:color w:val="000000" w:themeColor="text1"/>
        </w:rPr>
      </w:pPr>
    </w:p>
    <w:p w:rsidR="003B505A" w:rsidRPr="003529DE" w:rsidRDefault="003B505A" w:rsidP="009F5917">
      <w:pPr>
        <w:pStyle w:val="Prrafodelista"/>
        <w:rPr>
          <w:rFonts w:ascii="Palatino Linotype" w:hAnsi="Palatino Linotype"/>
          <w:color w:val="000000" w:themeColor="text1"/>
        </w:rPr>
      </w:pPr>
      <w:r w:rsidRPr="003529DE">
        <w:rPr>
          <w:rFonts w:ascii="Palatino Linotype" w:hAnsi="Palatino Linotype"/>
          <w:noProof/>
          <w:color w:val="000000" w:themeColor="text1"/>
          <w:lang w:val="es-ES"/>
        </w:rPr>
        <w:lastRenderedPageBreak/>
        <mc:AlternateContent>
          <mc:Choice Requires="wps">
            <w:drawing>
              <wp:anchor distT="0" distB="0" distL="114300" distR="114300" simplePos="0" relativeHeight="251678720" behindDoc="0" locked="0" layoutInCell="1" allowOverlap="1">
                <wp:simplePos x="0" y="0"/>
                <wp:positionH relativeFrom="margin">
                  <wp:align>left</wp:align>
                </wp:positionH>
                <wp:positionV relativeFrom="paragraph">
                  <wp:posOffset>5239451</wp:posOffset>
                </wp:positionV>
                <wp:extent cx="5510151" cy="1626920"/>
                <wp:effectExtent l="0" t="0" r="33655" b="30480"/>
                <wp:wrapNone/>
                <wp:docPr id="5" name="Conector recto 5"/>
                <wp:cNvGraphicFramePr/>
                <a:graphic xmlns:a="http://schemas.openxmlformats.org/drawingml/2006/main">
                  <a:graphicData uri="http://schemas.microsoft.com/office/word/2010/wordprocessingShape">
                    <wps:wsp>
                      <wps:cNvCnPr/>
                      <wps:spPr>
                        <a:xfrm>
                          <a:off x="0" y="0"/>
                          <a:ext cx="5510151" cy="1626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C550CA" id="Conector recto 5" o:spid="_x0000_s1026" style="position:absolute;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12.55pt" to="433.85pt,5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" strokecolor="black [3200]" strokeweight=".5pt">
                <v:stroke joinstyle="miter"/>
                <w10:wrap anchorx="margin"/>
              </v:line>
            </w:pict>
          </mc:Fallback>
        </mc:AlternateContent>
      </w:r>
      <w:r w:rsidRPr="003529DE">
        <w:rPr>
          <w:rFonts w:ascii="Palatino Linotype" w:hAnsi="Palatino Linotype"/>
          <w:noProof/>
          <w:color w:val="000000" w:themeColor="text1"/>
          <w:lang w:val="es-ES"/>
        </w:rPr>
        <w:drawing>
          <wp:inline distT="0" distB="0" distL="0" distR="0">
            <wp:extent cx="4874820" cy="4947093"/>
            <wp:effectExtent l="19050" t="19050" r="21590" b="254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8555" cy="4950884"/>
                    </a:xfrm>
                    <a:prstGeom prst="rect">
                      <a:avLst/>
                    </a:prstGeom>
                    <a:noFill/>
                    <a:ln>
                      <a:solidFill>
                        <a:schemeClr val="tx1"/>
                      </a:solidFill>
                    </a:ln>
                  </pic:spPr>
                </pic:pic>
              </a:graphicData>
            </a:graphic>
          </wp:inline>
        </w:drawing>
      </w:r>
    </w:p>
    <w:p w:rsidR="003B505A" w:rsidRPr="003529DE" w:rsidRDefault="003B505A" w:rsidP="009F5917">
      <w:pPr>
        <w:pStyle w:val="Prrafodelista"/>
        <w:rPr>
          <w:rFonts w:ascii="Palatino Linotype" w:hAnsi="Palatino Linotype"/>
          <w:color w:val="000000" w:themeColor="text1"/>
        </w:rPr>
      </w:pPr>
      <w:r w:rsidRPr="003529DE">
        <w:rPr>
          <w:rFonts w:ascii="Palatino Linotype" w:hAnsi="Palatino Linotype"/>
          <w:noProof/>
          <w:color w:val="000000" w:themeColor="text1"/>
          <w:lang w:val="es-ES"/>
        </w:rPr>
        <w:lastRenderedPageBreak/>
        <w:drawing>
          <wp:inline distT="0" distB="0" distL="0" distR="0">
            <wp:extent cx="4773295" cy="3879248"/>
            <wp:effectExtent l="19050" t="19050" r="27305" b="260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7895" cy="3891113"/>
                    </a:xfrm>
                    <a:prstGeom prst="rect">
                      <a:avLst/>
                    </a:prstGeom>
                    <a:noFill/>
                    <a:ln>
                      <a:solidFill>
                        <a:schemeClr val="tx1"/>
                      </a:solidFill>
                    </a:ln>
                  </pic:spPr>
                </pic:pic>
              </a:graphicData>
            </a:graphic>
          </wp:inline>
        </w:drawing>
      </w:r>
    </w:p>
    <w:p w:rsidR="003B505A" w:rsidRPr="003529DE" w:rsidRDefault="003B505A" w:rsidP="009F5917">
      <w:pPr>
        <w:pStyle w:val="Prrafodelista"/>
        <w:rPr>
          <w:rFonts w:ascii="Palatino Linotype" w:hAnsi="Palatino Linotype"/>
          <w:color w:val="000000" w:themeColor="text1"/>
        </w:rPr>
      </w:pPr>
    </w:p>
    <w:p w:rsidR="003B505A" w:rsidRPr="003529DE" w:rsidRDefault="003B505A" w:rsidP="009F5917">
      <w:pPr>
        <w:pStyle w:val="Prrafodelista"/>
        <w:rPr>
          <w:rFonts w:ascii="Palatino Linotype" w:hAnsi="Palatino Linotype"/>
          <w:color w:val="000000" w:themeColor="text1"/>
        </w:rPr>
      </w:pPr>
      <w:r w:rsidRPr="003529DE">
        <w:rPr>
          <w:rFonts w:ascii="Palatino Linotype" w:hAnsi="Palatino Linotype"/>
          <w:noProof/>
          <w:color w:val="000000" w:themeColor="text1"/>
          <w:lang w:val="es-ES"/>
        </w:rPr>
        <w:drawing>
          <wp:inline distT="0" distB="0" distL="0" distR="0">
            <wp:extent cx="4773880" cy="2874809"/>
            <wp:effectExtent l="19050" t="19050" r="27305" b="209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0349" cy="2878704"/>
                    </a:xfrm>
                    <a:prstGeom prst="rect">
                      <a:avLst/>
                    </a:prstGeom>
                    <a:noFill/>
                    <a:ln>
                      <a:solidFill>
                        <a:schemeClr val="tx1"/>
                      </a:solidFill>
                    </a:ln>
                  </pic:spPr>
                </pic:pic>
              </a:graphicData>
            </a:graphic>
          </wp:inline>
        </w:drawing>
      </w:r>
    </w:p>
    <w:p w:rsidR="009F5917" w:rsidRPr="003529DE" w:rsidRDefault="009F5917" w:rsidP="009F5917">
      <w:pPr>
        <w:spacing w:line="360" w:lineRule="auto"/>
        <w:contextualSpacing/>
        <w:jc w:val="both"/>
        <w:rPr>
          <w:rFonts w:ascii="Palatino Linotype" w:hAnsi="Palatino Linotype"/>
          <w:color w:val="000000" w:themeColor="text1"/>
        </w:rPr>
      </w:pPr>
    </w:p>
    <w:p w:rsidR="003B505A" w:rsidRPr="003529DE" w:rsidRDefault="003B505A" w:rsidP="0050702D">
      <w:pPr>
        <w:numPr>
          <w:ilvl w:val="0"/>
          <w:numId w:val="15"/>
        </w:numPr>
        <w:spacing w:line="360" w:lineRule="auto"/>
        <w:ind w:left="0" w:firstLine="0"/>
        <w:contextualSpacing/>
        <w:jc w:val="both"/>
        <w:rPr>
          <w:rFonts w:ascii="Palatino Linotype" w:hAnsi="Palatino Linotype"/>
          <w:color w:val="000000" w:themeColor="text1"/>
        </w:rPr>
      </w:pPr>
      <w:r w:rsidRPr="003529DE">
        <w:rPr>
          <w:rFonts w:ascii="Palatino Linotype" w:hAnsi="Palatino Linotype"/>
          <w:color w:val="000000" w:themeColor="text1"/>
        </w:rPr>
        <w:lastRenderedPageBreak/>
        <w:t xml:space="preserve">Como se observa, ciertamente el Instituto Municipal de la Salud de Tlalnepantla, publicó en redes sociales, campañas de vacunación y de esterilización a mascotas, por lo cual se tiene certeza de que </w:t>
      </w:r>
      <w:r w:rsidRPr="00DF3E8F">
        <w:rPr>
          <w:rFonts w:ascii="Palatino Linotype" w:hAnsi="Palatino Linotype"/>
          <w:b/>
          <w:color w:val="000000" w:themeColor="text1"/>
        </w:rPr>
        <w:t>los hechos narrados en la solicitud de información ocurrieron</w:t>
      </w:r>
      <w:r w:rsidRPr="003529DE">
        <w:rPr>
          <w:rFonts w:ascii="Palatino Linotype" w:hAnsi="Palatino Linotype"/>
          <w:color w:val="000000" w:themeColor="text1"/>
        </w:rPr>
        <w:t>; asimismo precisar que de la búsqueda realizada por esta Ponencia que resuelve se aprecia que las últimas campañas emprendidas por el Instituto Municipal de la Salud de Tla</w:t>
      </w:r>
      <w:r w:rsidR="006B3ED3">
        <w:rPr>
          <w:rFonts w:ascii="Palatino Linotype" w:hAnsi="Palatino Linotype"/>
          <w:color w:val="000000" w:themeColor="text1"/>
        </w:rPr>
        <w:t>lnepantla fueron en el año 2021;</w:t>
      </w:r>
      <w:r w:rsidRPr="003529DE">
        <w:rPr>
          <w:rFonts w:ascii="Palatino Linotype" w:hAnsi="Palatino Linotype"/>
          <w:color w:val="000000" w:themeColor="text1"/>
        </w:rPr>
        <w:t xml:space="preserve"> sin embargo ello no es óbice para que pudiera</w:t>
      </w:r>
      <w:r w:rsidR="006B3ED3">
        <w:rPr>
          <w:rFonts w:ascii="Palatino Linotype" w:hAnsi="Palatino Linotype"/>
          <w:color w:val="000000" w:themeColor="text1"/>
        </w:rPr>
        <w:t>n</w:t>
      </w:r>
      <w:r w:rsidRPr="003529DE">
        <w:rPr>
          <w:rFonts w:ascii="Palatino Linotype" w:hAnsi="Palatino Linotype"/>
          <w:color w:val="000000" w:themeColor="text1"/>
        </w:rPr>
        <w:t xml:space="preserve"> ser en otra </w:t>
      </w:r>
      <w:r w:rsidR="00DF3E8F">
        <w:rPr>
          <w:rFonts w:ascii="Palatino Linotype" w:hAnsi="Palatino Linotype"/>
          <w:color w:val="000000" w:themeColor="text1"/>
        </w:rPr>
        <w:t>anualidad</w:t>
      </w:r>
      <w:r w:rsidRPr="003529DE">
        <w:rPr>
          <w:rFonts w:ascii="Palatino Linotype" w:hAnsi="Palatino Linotype"/>
          <w:color w:val="000000" w:themeColor="text1"/>
        </w:rPr>
        <w:t xml:space="preserve"> la</w:t>
      </w:r>
      <w:r w:rsidR="00DF3E8F">
        <w:rPr>
          <w:rFonts w:ascii="Palatino Linotype" w:hAnsi="Palatino Linotype"/>
          <w:color w:val="000000" w:themeColor="text1"/>
        </w:rPr>
        <w:t>s</w:t>
      </w:r>
      <w:r w:rsidRPr="003529DE">
        <w:rPr>
          <w:rFonts w:ascii="Palatino Linotype" w:hAnsi="Palatino Linotype"/>
          <w:color w:val="000000" w:themeColor="text1"/>
        </w:rPr>
        <w:t xml:space="preserve"> últimas campañas llevadas a cabo, en todo caso corresponderá al </w:t>
      </w:r>
      <w:r w:rsidRPr="003529DE">
        <w:rPr>
          <w:rFonts w:ascii="Palatino Linotype" w:hAnsi="Palatino Linotype"/>
          <w:b/>
          <w:color w:val="000000" w:themeColor="text1"/>
        </w:rPr>
        <w:t>SUJETO OBLIGADO</w:t>
      </w:r>
      <w:r w:rsidRPr="003529DE">
        <w:rPr>
          <w:rFonts w:ascii="Palatino Linotype" w:hAnsi="Palatino Linotype"/>
          <w:color w:val="000000" w:themeColor="text1"/>
        </w:rPr>
        <w:t xml:space="preserve"> llevar a cabo la búsqueda exhaustiva y razonable </w:t>
      </w:r>
      <w:r w:rsidR="00DF3E8F">
        <w:rPr>
          <w:rFonts w:ascii="Palatino Linotype" w:hAnsi="Palatino Linotype"/>
          <w:color w:val="000000" w:themeColor="text1"/>
        </w:rPr>
        <w:t xml:space="preserve">en sus archivos, </w:t>
      </w:r>
      <w:r w:rsidRPr="003529DE">
        <w:rPr>
          <w:rFonts w:ascii="Palatino Linotype" w:hAnsi="Palatino Linotype"/>
          <w:color w:val="000000" w:themeColor="text1"/>
        </w:rPr>
        <w:t>del ultimo soporte documental generado de los eventos de referencia</w:t>
      </w:r>
      <w:r w:rsidR="007B5042">
        <w:rPr>
          <w:rFonts w:ascii="Palatino Linotype" w:hAnsi="Palatino Linotype"/>
          <w:color w:val="000000" w:themeColor="text1"/>
        </w:rPr>
        <w:t>, a la fecha de interposición de la solicitud de información</w:t>
      </w:r>
      <w:r w:rsidRPr="003529DE">
        <w:rPr>
          <w:rFonts w:ascii="Palatino Linotype" w:hAnsi="Palatino Linotype"/>
          <w:color w:val="000000" w:themeColor="text1"/>
        </w:rPr>
        <w:t>.</w:t>
      </w:r>
    </w:p>
    <w:p w:rsidR="003B505A" w:rsidRPr="003529DE" w:rsidRDefault="003B505A" w:rsidP="003B505A">
      <w:pPr>
        <w:spacing w:line="360" w:lineRule="auto"/>
        <w:contextualSpacing/>
        <w:jc w:val="both"/>
        <w:rPr>
          <w:rFonts w:ascii="Palatino Linotype" w:hAnsi="Palatino Linotype"/>
          <w:color w:val="000000" w:themeColor="text1"/>
        </w:rPr>
      </w:pPr>
    </w:p>
    <w:p w:rsidR="00DF3E8F" w:rsidRDefault="003B505A" w:rsidP="00C31129">
      <w:pPr>
        <w:numPr>
          <w:ilvl w:val="0"/>
          <w:numId w:val="15"/>
        </w:numPr>
        <w:spacing w:line="360" w:lineRule="auto"/>
        <w:ind w:left="0" w:firstLine="0"/>
        <w:contextualSpacing/>
        <w:jc w:val="both"/>
        <w:rPr>
          <w:rFonts w:ascii="Palatino Linotype" w:hAnsi="Palatino Linotype"/>
          <w:color w:val="000000" w:themeColor="text1"/>
        </w:rPr>
      </w:pPr>
      <w:r w:rsidRPr="003529DE">
        <w:rPr>
          <w:rFonts w:ascii="Palatino Linotype" w:hAnsi="Palatino Linotype"/>
          <w:color w:val="000000" w:themeColor="text1"/>
        </w:rPr>
        <w:t xml:space="preserve">Por otro lado, de las publicaciones de </w:t>
      </w:r>
      <w:r w:rsidR="006B3ED3">
        <w:rPr>
          <w:rFonts w:ascii="Palatino Linotype" w:hAnsi="Palatino Linotype"/>
          <w:color w:val="000000" w:themeColor="text1"/>
        </w:rPr>
        <w:t>mérito</w:t>
      </w:r>
      <w:r w:rsidRPr="003529DE">
        <w:rPr>
          <w:rFonts w:ascii="Palatino Linotype" w:hAnsi="Palatino Linotype"/>
          <w:color w:val="000000" w:themeColor="text1"/>
        </w:rPr>
        <w:t xml:space="preserve">, se aprecia que </w:t>
      </w:r>
      <w:r w:rsidR="00DF3E8F">
        <w:rPr>
          <w:rFonts w:ascii="Palatino Linotype" w:hAnsi="Palatino Linotype"/>
          <w:color w:val="000000" w:themeColor="text1"/>
        </w:rPr>
        <w:t>ciertamente</w:t>
      </w:r>
      <w:r w:rsidRPr="003529DE">
        <w:rPr>
          <w:rFonts w:ascii="Palatino Linotype" w:hAnsi="Palatino Linotype"/>
          <w:color w:val="000000" w:themeColor="text1"/>
        </w:rPr>
        <w:t xml:space="preserve"> existen fotografías de particulares</w:t>
      </w:r>
      <w:r w:rsidR="00C31129" w:rsidRPr="003529DE">
        <w:rPr>
          <w:rFonts w:ascii="Palatino Linotype" w:hAnsi="Palatino Linotype"/>
          <w:color w:val="000000" w:themeColor="text1"/>
        </w:rPr>
        <w:t xml:space="preserve"> </w:t>
      </w:r>
      <w:r w:rsidR="00DF3E8F">
        <w:rPr>
          <w:rFonts w:ascii="Palatino Linotype" w:hAnsi="Palatino Linotype"/>
          <w:color w:val="000000" w:themeColor="text1"/>
        </w:rPr>
        <w:t>-</w:t>
      </w:r>
      <w:r w:rsidR="00C31129" w:rsidRPr="003529DE">
        <w:rPr>
          <w:rFonts w:ascii="Palatino Linotype" w:hAnsi="Palatino Linotype"/>
          <w:color w:val="000000" w:themeColor="text1"/>
        </w:rPr>
        <w:t>que corresponde a la parte toral de lo requerido</w:t>
      </w:r>
      <w:r w:rsidR="00DF3E8F">
        <w:rPr>
          <w:rFonts w:ascii="Palatino Linotype" w:hAnsi="Palatino Linotype"/>
          <w:color w:val="000000" w:themeColor="text1"/>
        </w:rPr>
        <w:t>-</w:t>
      </w:r>
      <w:r w:rsidR="00C31129" w:rsidRPr="003529DE">
        <w:rPr>
          <w:rFonts w:ascii="Palatino Linotype" w:hAnsi="Palatino Linotype"/>
          <w:color w:val="000000" w:themeColor="text1"/>
        </w:rPr>
        <w:t xml:space="preserve">. </w:t>
      </w:r>
      <w:r w:rsidR="00DF3E8F">
        <w:rPr>
          <w:rFonts w:ascii="Palatino Linotype" w:hAnsi="Palatino Linotype"/>
          <w:color w:val="000000" w:themeColor="text1"/>
        </w:rPr>
        <w:t>Al respecto</w:t>
      </w:r>
      <w:r w:rsidR="00C31129" w:rsidRPr="003529DE">
        <w:rPr>
          <w:rFonts w:ascii="Palatino Linotype" w:hAnsi="Palatino Linotype"/>
          <w:color w:val="000000" w:themeColor="text1"/>
        </w:rPr>
        <w:t xml:space="preserve"> precisar que del análisis a las mismas, se advierte que la mayoría son fotografías en las que aparecen personas, </w:t>
      </w:r>
      <w:r w:rsidR="007B5042">
        <w:rPr>
          <w:rFonts w:ascii="Palatino Linotype" w:hAnsi="Palatino Linotype"/>
          <w:color w:val="000000" w:themeColor="text1"/>
        </w:rPr>
        <w:t xml:space="preserve">de las cuales </w:t>
      </w:r>
      <w:r w:rsidR="007B5042" w:rsidRPr="007B5042">
        <w:rPr>
          <w:rFonts w:ascii="Palatino Linotype" w:hAnsi="Palatino Linotype"/>
          <w:b/>
          <w:color w:val="000000" w:themeColor="text1"/>
        </w:rPr>
        <w:t xml:space="preserve">eventualmente pudieran </w:t>
      </w:r>
      <w:r w:rsidR="007B5042">
        <w:rPr>
          <w:rFonts w:ascii="Palatino Linotype" w:hAnsi="Palatino Linotype"/>
          <w:color w:val="000000" w:themeColor="text1"/>
        </w:rPr>
        <w:t>ser</w:t>
      </w:r>
      <w:r w:rsidR="00C31129" w:rsidRPr="003529DE">
        <w:rPr>
          <w:rFonts w:ascii="Palatino Linotype" w:hAnsi="Palatino Linotype"/>
          <w:color w:val="000000" w:themeColor="text1"/>
        </w:rPr>
        <w:t xml:space="preserve"> mayor</w:t>
      </w:r>
      <w:r w:rsidR="007B5042">
        <w:rPr>
          <w:rFonts w:ascii="Palatino Linotype" w:hAnsi="Palatino Linotype"/>
          <w:color w:val="000000" w:themeColor="text1"/>
        </w:rPr>
        <w:t xml:space="preserve">es de edad y menores de edad, mismos que ciertamente se </w:t>
      </w:r>
      <w:r w:rsidR="00C31129" w:rsidRPr="003529DE">
        <w:rPr>
          <w:rFonts w:ascii="Palatino Linotype" w:hAnsi="Palatino Linotype"/>
          <w:color w:val="000000" w:themeColor="text1"/>
        </w:rPr>
        <w:t xml:space="preserve">requiere de su consentimiento expreso por escrito para poder hacer tratamiento de sus fotografías; </w:t>
      </w:r>
      <w:r w:rsidR="00DF3E8F">
        <w:rPr>
          <w:rFonts w:ascii="Palatino Linotype" w:hAnsi="Palatino Linotype"/>
          <w:color w:val="000000" w:themeColor="text1"/>
        </w:rPr>
        <w:t xml:space="preserve">no obstante </w:t>
      </w:r>
      <w:r w:rsidR="00C31129" w:rsidRPr="003529DE">
        <w:rPr>
          <w:rFonts w:ascii="Palatino Linotype" w:hAnsi="Palatino Linotype"/>
          <w:color w:val="000000" w:themeColor="text1"/>
        </w:rPr>
        <w:t xml:space="preserve">también lo es que la mayoría de las fotografías se aprecian de manera </w:t>
      </w:r>
      <w:r w:rsidR="00C31129" w:rsidRPr="003529DE">
        <w:rPr>
          <w:rFonts w:ascii="Palatino Linotype" w:hAnsi="Palatino Linotype"/>
          <w:b/>
          <w:color w:val="000000" w:themeColor="text1"/>
        </w:rPr>
        <w:t>ANONIMIZADA</w:t>
      </w:r>
      <w:r w:rsidR="00DF3E8F">
        <w:rPr>
          <w:rFonts w:ascii="Palatino Linotype" w:hAnsi="Palatino Linotype"/>
          <w:color w:val="000000" w:themeColor="text1"/>
        </w:rPr>
        <w:t>.</w:t>
      </w:r>
    </w:p>
    <w:p w:rsidR="00DF3E8F" w:rsidRDefault="00DF3E8F" w:rsidP="00DF3E8F">
      <w:pPr>
        <w:pStyle w:val="Prrafodelista"/>
        <w:rPr>
          <w:rFonts w:ascii="Palatino Linotype" w:hAnsi="Palatino Linotype"/>
          <w:color w:val="000000" w:themeColor="text1"/>
        </w:rPr>
      </w:pPr>
    </w:p>
    <w:p w:rsidR="003B505A" w:rsidRPr="003529DE" w:rsidRDefault="00C31129" w:rsidP="00C31129">
      <w:pPr>
        <w:numPr>
          <w:ilvl w:val="0"/>
          <w:numId w:val="15"/>
        </w:numPr>
        <w:spacing w:line="360" w:lineRule="auto"/>
        <w:ind w:left="0" w:firstLine="0"/>
        <w:contextualSpacing/>
        <w:jc w:val="both"/>
        <w:rPr>
          <w:rFonts w:ascii="Palatino Linotype" w:hAnsi="Palatino Linotype"/>
          <w:color w:val="000000" w:themeColor="text1"/>
        </w:rPr>
      </w:pPr>
      <w:r w:rsidRPr="003529DE">
        <w:rPr>
          <w:rFonts w:ascii="Palatino Linotype" w:hAnsi="Palatino Linotype"/>
          <w:color w:val="000000" w:themeColor="text1"/>
        </w:rPr>
        <w:t xml:space="preserve">En ese sentido, </w:t>
      </w:r>
      <w:r w:rsidRPr="00DF3E8F">
        <w:rPr>
          <w:rFonts w:ascii="Palatino Linotype" w:hAnsi="Palatino Linotype"/>
          <w:b/>
          <w:color w:val="000000" w:themeColor="text1"/>
        </w:rPr>
        <w:t>los principios de protección de datos personales no pueden aplicarse a la información anónima</w:t>
      </w:r>
      <w:r w:rsidRPr="003529DE">
        <w:rPr>
          <w:rFonts w:ascii="Palatino Linotype" w:hAnsi="Palatino Linotype"/>
          <w:color w:val="000000" w:themeColor="text1"/>
        </w:rPr>
        <w:t>, que no guarda relación con una persona física identificada o identificable ni a los datos anonimizados de forma que el interesado no sea identificable o deje de serlo.</w:t>
      </w:r>
    </w:p>
    <w:p w:rsidR="00C31129" w:rsidRPr="003529DE" w:rsidRDefault="00C31129" w:rsidP="00C31129">
      <w:pPr>
        <w:numPr>
          <w:ilvl w:val="0"/>
          <w:numId w:val="15"/>
        </w:numPr>
        <w:spacing w:line="360" w:lineRule="auto"/>
        <w:ind w:left="0" w:firstLine="0"/>
        <w:contextualSpacing/>
        <w:jc w:val="both"/>
        <w:rPr>
          <w:rFonts w:ascii="Palatino Linotype" w:hAnsi="Palatino Linotype"/>
          <w:color w:val="000000" w:themeColor="text1"/>
        </w:rPr>
      </w:pPr>
      <w:r w:rsidRPr="003529DE">
        <w:rPr>
          <w:rFonts w:ascii="Palatino Linotype" w:hAnsi="Palatino Linotype"/>
          <w:color w:val="000000" w:themeColor="text1"/>
        </w:rPr>
        <w:lastRenderedPageBreak/>
        <w:t xml:space="preserve">Los datos </w:t>
      </w:r>
      <w:proofErr w:type="spellStart"/>
      <w:r w:rsidRPr="003529DE">
        <w:rPr>
          <w:rFonts w:ascii="Palatino Linotype" w:hAnsi="Palatino Linotype"/>
          <w:color w:val="000000" w:themeColor="text1"/>
        </w:rPr>
        <w:t>seudo</w:t>
      </w:r>
      <w:proofErr w:type="spellEnd"/>
      <w:r w:rsidRPr="003529DE">
        <w:rPr>
          <w:rFonts w:ascii="Palatino Linotype" w:hAnsi="Palatino Linotype"/>
          <w:color w:val="000000" w:themeColor="text1"/>
        </w:rPr>
        <w:t xml:space="preserve"> anonimizados son aquellos que se podrían atribuir a una persona física mediante la utilización de información adicional, deben considerarse información de una persona física identificable.</w:t>
      </w:r>
    </w:p>
    <w:p w:rsidR="00C31129" w:rsidRPr="003529DE" w:rsidRDefault="00C31129" w:rsidP="00C31129">
      <w:pPr>
        <w:pStyle w:val="Prrafodelista"/>
        <w:rPr>
          <w:rFonts w:ascii="Palatino Linotype" w:hAnsi="Palatino Linotype"/>
          <w:color w:val="000000" w:themeColor="text1"/>
        </w:rPr>
      </w:pPr>
    </w:p>
    <w:p w:rsidR="00C31129" w:rsidRPr="003529DE" w:rsidRDefault="00C31129" w:rsidP="00C31129">
      <w:pPr>
        <w:numPr>
          <w:ilvl w:val="0"/>
          <w:numId w:val="15"/>
        </w:numPr>
        <w:spacing w:line="360" w:lineRule="auto"/>
        <w:ind w:left="0" w:firstLine="0"/>
        <w:contextualSpacing/>
        <w:jc w:val="both"/>
        <w:rPr>
          <w:rFonts w:ascii="Palatino Linotype" w:hAnsi="Palatino Linotype"/>
          <w:color w:val="000000" w:themeColor="text1"/>
        </w:rPr>
      </w:pPr>
      <w:r w:rsidRPr="003529DE">
        <w:rPr>
          <w:rFonts w:ascii="Palatino Linotype" w:hAnsi="Palatino Linotype"/>
          <w:color w:val="000000" w:themeColor="text1"/>
        </w:rPr>
        <w:t xml:space="preserve">La </w:t>
      </w:r>
      <w:proofErr w:type="spellStart"/>
      <w:r w:rsidRPr="003529DE">
        <w:rPr>
          <w:rFonts w:ascii="Palatino Linotype" w:hAnsi="Palatino Linotype"/>
          <w:color w:val="000000" w:themeColor="text1"/>
        </w:rPr>
        <w:t>seudo</w:t>
      </w:r>
      <w:proofErr w:type="spellEnd"/>
      <w:r w:rsidRPr="003529DE">
        <w:rPr>
          <w:rFonts w:ascii="Palatino Linotype" w:hAnsi="Palatino Linotype"/>
          <w:color w:val="000000" w:themeColor="text1"/>
        </w:rPr>
        <w:t xml:space="preserve"> </w:t>
      </w:r>
      <w:proofErr w:type="spellStart"/>
      <w:r w:rsidRPr="003529DE">
        <w:rPr>
          <w:rFonts w:ascii="Palatino Linotype" w:hAnsi="Palatino Linotype"/>
          <w:color w:val="000000" w:themeColor="text1"/>
        </w:rPr>
        <w:t>anonimización</w:t>
      </w:r>
      <w:proofErr w:type="spellEnd"/>
      <w:r w:rsidRPr="003529DE">
        <w:rPr>
          <w:rFonts w:ascii="Palatino Linotype" w:hAnsi="Palatino Linotype"/>
          <w:color w:val="000000" w:themeColor="text1"/>
        </w:rPr>
        <w:t xml:space="preserve"> puede reducir los riesgos para los interesados afectados y ayudar a los responsables del tratamiento a cumplir sus obligaciones en materia de datos. Esta figura, en el Reglamento Europeo no excluye otras medidas de protección de datos, </w:t>
      </w:r>
      <w:r w:rsidRPr="007B5042">
        <w:rPr>
          <w:rFonts w:ascii="Palatino Linotype" w:hAnsi="Palatino Linotype"/>
          <w:b/>
          <w:color w:val="000000" w:themeColor="text1"/>
          <w:u w:val="single"/>
        </w:rPr>
        <w:t>en nuestra ley, si excluye el principio de consentimiento</w:t>
      </w:r>
      <w:r w:rsidRPr="007B5042">
        <w:rPr>
          <w:rFonts w:ascii="Palatino Linotype" w:hAnsi="Palatino Linotype"/>
          <w:color w:val="000000" w:themeColor="text1"/>
          <w:u w:val="single"/>
        </w:rPr>
        <w:t>.</w:t>
      </w:r>
    </w:p>
    <w:p w:rsidR="00C31129" w:rsidRPr="003529DE" w:rsidRDefault="00C31129" w:rsidP="00C31129">
      <w:pPr>
        <w:pStyle w:val="Prrafodelista"/>
        <w:rPr>
          <w:rFonts w:ascii="Palatino Linotype" w:hAnsi="Palatino Linotype"/>
          <w:color w:val="000000" w:themeColor="text1"/>
        </w:rPr>
      </w:pPr>
    </w:p>
    <w:p w:rsidR="003529DE" w:rsidRPr="003529DE" w:rsidRDefault="003529DE" w:rsidP="003529DE">
      <w:pPr>
        <w:numPr>
          <w:ilvl w:val="0"/>
          <w:numId w:val="15"/>
        </w:numPr>
        <w:spacing w:line="360" w:lineRule="auto"/>
        <w:ind w:left="0" w:firstLine="0"/>
        <w:contextualSpacing/>
        <w:jc w:val="both"/>
        <w:rPr>
          <w:rFonts w:ascii="Palatino Linotype" w:hAnsi="Palatino Linotype"/>
          <w:color w:val="000000" w:themeColor="text1"/>
        </w:rPr>
      </w:pPr>
      <w:r w:rsidRPr="003529DE">
        <w:rPr>
          <w:rFonts w:ascii="Palatino Linotype" w:hAnsi="Palatino Linotype"/>
          <w:color w:val="000000" w:themeColor="text1"/>
        </w:rPr>
        <w:t>Por otro lado, no se puede perder de vista que estamos en una materia de contenido técnico, por lo tanto, debe atenderse a la definición del término “disociación”, establecida por la Ley General de Protección de Datos Personales en Posesión de Sujetos Obligados:</w:t>
      </w:r>
    </w:p>
    <w:p w:rsidR="003529DE" w:rsidRPr="003529DE" w:rsidRDefault="003529DE" w:rsidP="003529DE">
      <w:pPr>
        <w:pStyle w:val="Prrafodelista"/>
        <w:rPr>
          <w:rFonts w:ascii="Palatino Linotype" w:hAnsi="Palatino Linotype"/>
          <w:color w:val="000000" w:themeColor="text1"/>
        </w:rPr>
      </w:pPr>
    </w:p>
    <w:p w:rsidR="003529DE" w:rsidRPr="007B5042" w:rsidRDefault="003529DE" w:rsidP="003529DE">
      <w:pPr>
        <w:spacing w:line="360" w:lineRule="auto"/>
        <w:ind w:left="360"/>
        <w:contextualSpacing/>
        <w:jc w:val="both"/>
        <w:rPr>
          <w:rFonts w:ascii="Palatino Linotype" w:hAnsi="Palatino Linotype"/>
          <w:i/>
          <w:color w:val="000000" w:themeColor="text1"/>
        </w:rPr>
      </w:pPr>
      <w:r w:rsidRPr="007B5042">
        <w:rPr>
          <w:rFonts w:ascii="Palatino Linotype" w:hAnsi="Palatino Linotype"/>
          <w:i/>
          <w:color w:val="000000" w:themeColor="text1"/>
        </w:rPr>
        <w:t>XIII. Disociación: El procedimiento mediante el cual los datos personales no pueden asociarse al titular ni permitir, por su estructura, contenido o grado de desagregación, la identificación del mismo.</w:t>
      </w:r>
    </w:p>
    <w:p w:rsidR="003529DE" w:rsidRPr="003529DE" w:rsidRDefault="003529DE" w:rsidP="003529DE">
      <w:pPr>
        <w:pStyle w:val="Prrafodelista"/>
        <w:rPr>
          <w:rFonts w:ascii="Palatino Linotype" w:hAnsi="Palatino Linotype"/>
          <w:color w:val="000000" w:themeColor="text1"/>
        </w:rPr>
      </w:pPr>
    </w:p>
    <w:p w:rsidR="003529DE" w:rsidRDefault="003529DE" w:rsidP="003529DE">
      <w:pPr>
        <w:numPr>
          <w:ilvl w:val="0"/>
          <w:numId w:val="15"/>
        </w:numPr>
        <w:spacing w:line="360" w:lineRule="auto"/>
        <w:ind w:left="0" w:firstLine="0"/>
        <w:contextualSpacing/>
        <w:jc w:val="both"/>
        <w:rPr>
          <w:rFonts w:ascii="Palatino Linotype" w:hAnsi="Palatino Linotype"/>
        </w:rPr>
      </w:pPr>
      <w:r w:rsidRPr="003529DE">
        <w:rPr>
          <w:rFonts w:ascii="Palatino Linotype" w:hAnsi="Palatino Linotype"/>
        </w:rPr>
        <w:t xml:space="preserve">En </w:t>
      </w:r>
      <w:r w:rsidRPr="003529DE">
        <w:rPr>
          <w:rFonts w:ascii="Palatino Linotype" w:hAnsi="Palatino Linotype"/>
          <w:color w:val="000000" w:themeColor="text1"/>
        </w:rPr>
        <w:t>relación</w:t>
      </w:r>
      <w:r w:rsidRPr="003529DE">
        <w:rPr>
          <w:rFonts w:ascii="Palatino Linotype" w:hAnsi="Palatino Linotype"/>
        </w:rPr>
        <w:t xml:space="preserve"> directa con lo anterior, el artículo 52 de la Ley de Transparencia y Acceso a la Información Pública del Estado de México y Municipios, hace referencia al proceso de disociación, bajo el siguiente texto:</w:t>
      </w:r>
    </w:p>
    <w:p w:rsidR="003529DE" w:rsidRPr="003529DE" w:rsidRDefault="003529DE" w:rsidP="003529DE">
      <w:pPr>
        <w:spacing w:line="360" w:lineRule="auto"/>
        <w:contextualSpacing/>
        <w:jc w:val="both"/>
        <w:rPr>
          <w:rFonts w:ascii="Palatino Linotype" w:hAnsi="Palatino Linotype"/>
        </w:rPr>
      </w:pPr>
    </w:p>
    <w:p w:rsidR="003529DE" w:rsidRPr="003529DE" w:rsidRDefault="003529DE" w:rsidP="00DF3E8F">
      <w:pPr>
        <w:pStyle w:val="Prrafodelista"/>
        <w:spacing w:after="120" w:line="360" w:lineRule="auto"/>
        <w:ind w:left="357" w:right="992"/>
        <w:jc w:val="both"/>
        <w:rPr>
          <w:rFonts w:ascii="Palatino Linotype" w:hAnsi="Palatino Linotype"/>
          <w:i/>
        </w:rPr>
      </w:pPr>
      <w:r w:rsidRPr="003529DE">
        <w:rPr>
          <w:rFonts w:ascii="Palatino Linotype" w:hAnsi="Palatino Linotype"/>
          <w:b/>
          <w:i/>
        </w:rPr>
        <w:t>“Artículo 52.</w:t>
      </w:r>
      <w:r w:rsidRPr="003529DE">
        <w:rPr>
          <w:rFonts w:ascii="Palatino Linotype" w:hAnsi="Palatino Linotype"/>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w:t>
      </w:r>
      <w:r w:rsidRPr="003529DE">
        <w:rPr>
          <w:rFonts w:ascii="Palatino Linotype" w:hAnsi="Palatino Linotype"/>
          <w:i/>
        </w:rPr>
        <w:lastRenderedPageBreak/>
        <w:t>su acceso en su versión pública, siempre y cuando la resolución de referencia se someta a un proceso de disociación, es decir, no haga identificable al titular de tales datos personales.”</w:t>
      </w:r>
    </w:p>
    <w:p w:rsidR="003529DE" w:rsidRPr="003529DE" w:rsidRDefault="003529DE" w:rsidP="003529DE">
      <w:pPr>
        <w:pStyle w:val="Prrafodelista"/>
        <w:spacing w:after="120"/>
        <w:ind w:left="360" w:right="992"/>
        <w:jc w:val="both"/>
        <w:rPr>
          <w:rFonts w:ascii="Palatino Linotype" w:hAnsi="Palatino Linotype"/>
          <w:i/>
        </w:rPr>
      </w:pPr>
    </w:p>
    <w:p w:rsidR="003529DE" w:rsidRDefault="003529DE" w:rsidP="003529DE">
      <w:pPr>
        <w:numPr>
          <w:ilvl w:val="0"/>
          <w:numId w:val="15"/>
        </w:numPr>
        <w:spacing w:line="360" w:lineRule="auto"/>
        <w:ind w:left="0" w:firstLine="0"/>
        <w:contextualSpacing/>
        <w:jc w:val="both"/>
        <w:rPr>
          <w:rFonts w:ascii="Palatino Linotype" w:hAnsi="Palatino Linotype"/>
          <w:i/>
        </w:rPr>
      </w:pPr>
      <w:r w:rsidRPr="003529DE">
        <w:rPr>
          <w:rFonts w:ascii="Palatino Linotype" w:hAnsi="Palatino Linotype"/>
        </w:rPr>
        <w:t xml:space="preserve">El cual fue definido en la Ley General de Protección de Datos Personales en Posesión de Sujetos Obligados y por la Ley de Protección de Datos Personales en Posesión de Sujetos Obligados del Estado de México y Municipios, como el </w:t>
      </w:r>
      <w:r w:rsidRPr="003529DE">
        <w:rPr>
          <w:rFonts w:ascii="Palatino Linotype" w:hAnsi="Palatino Linotype"/>
          <w:i/>
        </w:rPr>
        <w:t>procedimiento por el que los datos personales no pueden asociarse a la o el titular, ni permitir por su estructura, contenido o grado de desagregación, la identificación individual del mismo.</w:t>
      </w:r>
    </w:p>
    <w:p w:rsidR="003529DE" w:rsidRPr="003529DE" w:rsidRDefault="003529DE" w:rsidP="003529DE">
      <w:pPr>
        <w:spacing w:line="360" w:lineRule="auto"/>
        <w:contextualSpacing/>
        <w:jc w:val="both"/>
        <w:rPr>
          <w:rFonts w:ascii="Palatino Linotype" w:hAnsi="Palatino Linotype"/>
          <w:i/>
        </w:rPr>
      </w:pPr>
    </w:p>
    <w:p w:rsidR="003529DE" w:rsidRDefault="003529DE" w:rsidP="003529DE">
      <w:pPr>
        <w:numPr>
          <w:ilvl w:val="0"/>
          <w:numId w:val="15"/>
        </w:numPr>
        <w:spacing w:line="360" w:lineRule="auto"/>
        <w:ind w:left="0" w:firstLine="0"/>
        <w:contextualSpacing/>
        <w:jc w:val="both"/>
        <w:rPr>
          <w:rFonts w:ascii="Palatino Linotype" w:hAnsi="Palatino Linotype"/>
        </w:rPr>
      </w:pPr>
      <w:r w:rsidRPr="003529DE">
        <w:rPr>
          <w:rFonts w:ascii="Palatino Linotype" w:hAnsi="Palatino Linotype"/>
        </w:rPr>
        <w:t xml:space="preserve">Proceso que no es otra cosa, que la técnica de </w:t>
      </w:r>
      <w:proofErr w:type="spellStart"/>
      <w:r w:rsidRPr="003529DE">
        <w:rPr>
          <w:rFonts w:ascii="Palatino Linotype" w:hAnsi="Palatino Linotype"/>
        </w:rPr>
        <w:t>anonimización</w:t>
      </w:r>
      <w:proofErr w:type="spellEnd"/>
      <w:r w:rsidRPr="003529DE">
        <w:rPr>
          <w:rFonts w:ascii="Palatino Linotype" w:hAnsi="Palatino Linotype"/>
        </w:rPr>
        <w:t xml:space="preserve"> que surgió en España como una herramienta para mitigar los riesgos que representan la obtención y tratamiento masivo de datos de carácter personal, a través de un proceso que permite delimitar y suprimir información sensible contenida en los documentos, permitiendo su divulgación, sin que ello implique vulnerar el derecho a la protección de datos personales, en razón de que permite eliminar de forma irreversible la posibilidad de identificación cuando los datos sean reutilizados.</w:t>
      </w:r>
    </w:p>
    <w:p w:rsidR="00DF3E8F" w:rsidRDefault="00DF3E8F" w:rsidP="00DF3E8F">
      <w:pPr>
        <w:pStyle w:val="Prrafodelista"/>
        <w:rPr>
          <w:rFonts w:ascii="Palatino Linotype" w:hAnsi="Palatino Linotype"/>
        </w:rPr>
      </w:pPr>
    </w:p>
    <w:p w:rsidR="003529DE" w:rsidRDefault="003529DE" w:rsidP="00DF3E8F">
      <w:pPr>
        <w:numPr>
          <w:ilvl w:val="0"/>
          <w:numId w:val="15"/>
        </w:numPr>
        <w:spacing w:line="360" w:lineRule="auto"/>
        <w:ind w:left="0" w:firstLine="0"/>
        <w:contextualSpacing/>
        <w:jc w:val="both"/>
        <w:rPr>
          <w:rFonts w:ascii="Palatino Linotype" w:hAnsi="Palatino Linotype"/>
        </w:rPr>
      </w:pPr>
      <w:r w:rsidRPr="003529DE">
        <w:rPr>
          <w:rFonts w:ascii="Palatino Linotype" w:hAnsi="Palatino Linotype"/>
        </w:rPr>
        <w:t xml:space="preserve">La finalidad del proceso </w:t>
      </w:r>
      <w:proofErr w:type="spellStart"/>
      <w:r w:rsidRPr="003529DE">
        <w:rPr>
          <w:rFonts w:ascii="Palatino Linotype" w:hAnsi="Palatino Linotype"/>
        </w:rPr>
        <w:t>anonimización</w:t>
      </w:r>
      <w:proofErr w:type="spellEnd"/>
      <w:r w:rsidRPr="003529DE">
        <w:rPr>
          <w:rFonts w:ascii="Palatino Linotype" w:hAnsi="Palatino Linotype"/>
        </w:rPr>
        <w:t xml:space="preserve"> es </w:t>
      </w:r>
      <w:r w:rsidRPr="003529DE">
        <w:rPr>
          <w:rFonts w:ascii="Palatino Linotype" w:hAnsi="Palatino Linotype"/>
          <w:i/>
        </w:rPr>
        <w:t xml:space="preserve">eliminar o reducir al mínimo los riesgos de </w:t>
      </w:r>
      <w:proofErr w:type="spellStart"/>
      <w:r w:rsidRPr="003529DE">
        <w:rPr>
          <w:rFonts w:ascii="Palatino Linotype" w:hAnsi="Palatino Linotype"/>
          <w:i/>
        </w:rPr>
        <w:t>reidentificación</w:t>
      </w:r>
      <w:proofErr w:type="spellEnd"/>
      <w:r w:rsidRPr="003529DE">
        <w:rPr>
          <w:rFonts w:ascii="Palatino Linotype" w:hAnsi="Palatino Linotype"/>
          <w:i/>
        </w:rPr>
        <w:t xml:space="preserve"> de los datos anonimizados manteniendo la veracidad de los resultados del tratamiento de los mismos, es decir, además de evitar la identificación de las personas, los datos anonimizados deben garantizar que cualquier operación o tratamiento que pueda ser realizado con posterioridad a la </w:t>
      </w:r>
      <w:proofErr w:type="spellStart"/>
      <w:r w:rsidRPr="003529DE">
        <w:rPr>
          <w:rFonts w:ascii="Palatino Linotype" w:hAnsi="Palatino Linotype"/>
          <w:i/>
        </w:rPr>
        <w:t>anonimización</w:t>
      </w:r>
      <w:proofErr w:type="spellEnd"/>
      <w:r w:rsidRPr="003529DE">
        <w:rPr>
          <w:rFonts w:ascii="Palatino Linotype" w:hAnsi="Palatino Linotype"/>
          <w:i/>
        </w:rPr>
        <w:t xml:space="preserve"> no conlleva una distorsión de los datos reales. Un análisis masivo de los datos o </w:t>
      </w:r>
      <w:proofErr w:type="spellStart"/>
      <w:r w:rsidRPr="003529DE">
        <w:rPr>
          <w:rFonts w:ascii="Palatino Linotype" w:hAnsi="Palatino Linotype"/>
          <w:i/>
        </w:rPr>
        <w:t>macrodatos</w:t>
      </w:r>
      <w:proofErr w:type="spellEnd"/>
      <w:r w:rsidRPr="003529DE">
        <w:rPr>
          <w:rFonts w:ascii="Palatino Linotype" w:hAnsi="Palatino Linotype"/>
          <w:i/>
        </w:rPr>
        <w:t xml:space="preserve"> que puedan derivar de los datos </w:t>
      </w:r>
      <w:r w:rsidRPr="003529DE">
        <w:rPr>
          <w:rFonts w:ascii="Palatino Linotype" w:hAnsi="Palatino Linotype"/>
          <w:i/>
        </w:rPr>
        <w:lastRenderedPageBreak/>
        <w:t>anonimizados no debería diferir del análisis que pudiera obtenerse si hubiera sido realizado con datos no anonimizados</w:t>
      </w:r>
      <w:r w:rsidRPr="003529DE">
        <w:rPr>
          <w:rStyle w:val="Refdenotaalpie"/>
          <w:rFonts w:ascii="Palatino Linotype" w:hAnsi="Palatino Linotype"/>
          <w:i/>
        </w:rPr>
        <w:footnoteReference w:id="5"/>
      </w:r>
      <w:r w:rsidRPr="003529DE">
        <w:rPr>
          <w:rFonts w:ascii="Palatino Linotype" w:hAnsi="Palatino Linotype"/>
        </w:rPr>
        <w:t>.</w:t>
      </w:r>
    </w:p>
    <w:p w:rsidR="00DF3E8F" w:rsidRDefault="00DF3E8F" w:rsidP="00DF3E8F">
      <w:pPr>
        <w:pStyle w:val="Prrafodelista"/>
        <w:rPr>
          <w:rFonts w:ascii="Palatino Linotype" w:hAnsi="Palatino Linotype"/>
        </w:rPr>
      </w:pPr>
    </w:p>
    <w:p w:rsidR="003529DE" w:rsidRDefault="003529DE" w:rsidP="00DF3E8F">
      <w:pPr>
        <w:numPr>
          <w:ilvl w:val="0"/>
          <w:numId w:val="15"/>
        </w:numPr>
        <w:spacing w:line="360" w:lineRule="auto"/>
        <w:ind w:left="0" w:firstLine="0"/>
        <w:contextualSpacing/>
        <w:jc w:val="both"/>
        <w:rPr>
          <w:rFonts w:ascii="Palatino Linotype" w:hAnsi="Palatino Linotype" w:cs="Arial"/>
          <w:shd w:val="clear" w:color="auto" w:fill="FFFFFF"/>
        </w:rPr>
      </w:pPr>
      <w:r w:rsidRPr="003529DE">
        <w:rPr>
          <w:rFonts w:ascii="Palatino Linotype" w:hAnsi="Palatino Linotype"/>
        </w:rPr>
        <w:t xml:space="preserve">El Grupo de Trabajo del artículo 29 de Protección de Datos personales, señala que la </w:t>
      </w:r>
      <w:proofErr w:type="spellStart"/>
      <w:r w:rsidRPr="003529DE">
        <w:rPr>
          <w:rFonts w:ascii="Palatino Linotype" w:hAnsi="Palatino Linotype"/>
        </w:rPr>
        <w:t>a</w:t>
      </w:r>
      <w:r w:rsidRPr="003529DE">
        <w:rPr>
          <w:rFonts w:ascii="Palatino Linotype" w:hAnsi="Palatino Linotype" w:cs="Arial"/>
          <w:shd w:val="clear" w:color="auto" w:fill="FFFFFF"/>
        </w:rPr>
        <w:t>nonimización</w:t>
      </w:r>
      <w:proofErr w:type="spellEnd"/>
      <w:r w:rsidRPr="003529DE">
        <w:rPr>
          <w:rFonts w:ascii="Palatino Linotype" w:hAnsi="Palatino Linotype" w:cs="Arial"/>
          <w:shd w:val="clear" w:color="auto" w:fill="FFFFFF"/>
        </w:rPr>
        <w:t xml:space="preserve"> tiene relevancia en un contexto </w:t>
      </w:r>
      <w:r w:rsidRPr="003529DE">
        <w:rPr>
          <w:rFonts w:ascii="Palatino Linotype" w:hAnsi="Palatino Linotype" w:cs="Arial"/>
          <w:i/>
          <w:iCs/>
          <w:bdr w:val="none" w:sz="0" w:space="0" w:color="auto" w:frame="1"/>
          <w:shd w:val="clear" w:color="auto" w:fill="FFFFFF"/>
        </w:rPr>
        <w:t>Open Data</w:t>
      </w:r>
      <w:r w:rsidRPr="003529DE">
        <w:rPr>
          <w:rFonts w:ascii="Palatino Linotype" w:hAnsi="Palatino Linotype" w:cs="Arial"/>
          <w:shd w:val="clear" w:color="auto" w:fill="FFFFFF"/>
        </w:rPr>
        <w:t>, donde es necesaria la reutilización de los datos, considerando que la legislación vigente en materia de protección de datos establece que, los datos anónimos quedan fuera de su ámbito de aplicación; toda vez que la anonimizarían supone que no será posible identificar a la persona con datos o información de diversas fuentes. Asimismo, en su Dictamen sobre el principio de finalidad (WP 203) establece los siguientes criterios para el tratamiento posterior de datos personales con finalidades adicionales a la finalidad original:</w:t>
      </w:r>
    </w:p>
    <w:p w:rsidR="00DF3E8F" w:rsidRDefault="00DF3E8F" w:rsidP="00DF3E8F">
      <w:pPr>
        <w:pStyle w:val="Prrafodelista"/>
        <w:rPr>
          <w:rFonts w:ascii="Palatino Linotype" w:hAnsi="Palatino Linotype" w:cs="Arial"/>
          <w:shd w:val="clear" w:color="auto" w:fill="FFFFFF"/>
        </w:rPr>
      </w:pPr>
    </w:p>
    <w:p w:rsidR="003529DE" w:rsidRPr="003529DE" w:rsidRDefault="003529DE" w:rsidP="00DF3E8F">
      <w:pPr>
        <w:pStyle w:val="Prrafodelista"/>
        <w:spacing w:line="360" w:lineRule="auto"/>
        <w:ind w:left="357" w:right="333"/>
        <w:jc w:val="both"/>
        <w:rPr>
          <w:rFonts w:ascii="Palatino Linotype" w:hAnsi="Palatino Linotype"/>
          <w:i/>
        </w:rPr>
      </w:pPr>
      <w:r w:rsidRPr="003529DE">
        <w:rPr>
          <w:rFonts w:ascii="Palatino Linotype" w:hAnsi="Palatino Linotype"/>
          <w:i/>
        </w:rPr>
        <w:t xml:space="preserve">-Debe existir una relación entre la finalidad original y la finalidad o finalidades ulteriores. </w:t>
      </w:r>
    </w:p>
    <w:p w:rsidR="003529DE" w:rsidRPr="003529DE" w:rsidRDefault="003529DE" w:rsidP="00DF3E8F">
      <w:pPr>
        <w:pStyle w:val="Prrafodelista"/>
        <w:spacing w:line="360" w:lineRule="auto"/>
        <w:ind w:left="357" w:right="333"/>
        <w:jc w:val="both"/>
        <w:rPr>
          <w:rFonts w:ascii="Palatino Linotype" w:hAnsi="Palatino Linotype"/>
          <w:i/>
        </w:rPr>
      </w:pPr>
      <w:r w:rsidRPr="003529DE">
        <w:rPr>
          <w:rFonts w:ascii="Palatino Linotype" w:hAnsi="Palatino Linotype"/>
          <w:i/>
        </w:rPr>
        <w:t xml:space="preserve">-El tratamiento ulterior debe encontrarse dentro de las expectativas razonables del interesado. </w:t>
      </w:r>
    </w:p>
    <w:p w:rsidR="003529DE" w:rsidRPr="003529DE" w:rsidRDefault="003529DE" w:rsidP="00DF3E8F">
      <w:pPr>
        <w:pStyle w:val="Prrafodelista"/>
        <w:spacing w:line="360" w:lineRule="auto"/>
        <w:ind w:left="357" w:right="333"/>
        <w:jc w:val="both"/>
        <w:rPr>
          <w:rFonts w:ascii="Palatino Linotype" w:hAnsi="Palatino Linotype"/>
          <w:i/>
        </w:rPr>
      </w:pPr>
      <w:r w:rsidRPr="003529DE">
        <w:rPr>
          <w:rFonts w:ascii="Palatino Linotype" w:hAnsi="Palatino Linotype"/>
          <w:i/>
        </w:rPr>
        <w:t xml:space="preserve">-Debe tenerse en cuenta la naturaleza de los datos objeto de tratamiento y la sensibilidad de los mismos. </w:t>
      </w:r>
    </w:p>
    <w:p w:rsidR="003529DE" w:rsidRPr="003529DE" w:rsidRDefault="003529DE" w:rsidP="00DF3E8F">
      <w:pPr>
        <w:pStyle w:val="Prrafodelista"/>
        <w:spacing w:line="360" w:lineRule="auto"/>
        <w:ind w:left="357" w:right="333"/>
        <w:jc w:val="both"/>
        <w:rPr>
          <w:rFonts w:ascii="Palatino Linotype" w:hAnsi="Palatino Linotype"/>
          <w:i/>
        </w:rPr>
      </w:pPr>
      <w:r w:rsidRPr="003529DE">
        <w:rPr>
          <w:rFonts w:ascii="Palatino Linotype" w:hAnsi="Palatino Linotype"/>
          <w:i/>
        </w:rPr>
        <w:t xml:space="preserve">-Debe considerarse el impacto que este tratamiento va a tener en los interesados. </w:t>
      </w:r>
    </w:p>
    <w:p w:rsidR="003529DE" w:rsidRDefault="003529DE" w:rsidP="00DF3E8F">
      <w:pPr>
        <w:pStyle w:val="Prrafodelista"/>
        <w:spacing w:line="360" w:lineRule="auto"/>
        <w:ind w:left="357" w:right="333"/>
        <w:jc w:val="both"/>
        <w:rPr>
          <w:rFonts w:ascii="Palatino Linotype" w:hAnsi="Palatino Linotype"/>
          <w:i/>
        </w:rPr>
      </w:pPr>
      <w:r w:rsidRPr="003529DE">
        <w:rPr>
          <w:rFonts w:ascii="Palatino Linotype" w:hAnsi="Palatino Linotype"/>
          <w:i/>
        </w:rPr>
        <w:t xml:space="preserve">-Deben considerarse las medidas de protección que el responsable del tratamiento establece, en particular las medidas técnicas y organizativas: encriptación, </w:t>
      </w:r>
      <w:proofErr w:type="spellStart"/>
      <w:r w:rsidRPr="003529DE">
        <w:rPr>
          <w:rFonts w:ascii="Palatino Linotype" w:hAnsi="Palatino Linotype"/>
          <w:i/>
        </w:rPr>
        <w:t>seudonimización</w:t>
      </w:r>
      <w:proofErr w:type="spellEnd"/>
      <w:r w:rsidRPr="003529DE">
        <w:rPr>
          <w:rFonts w:ascii="Palatino Linotype" w:hAnsi="Palatino Linotype"/>
          <w:i/>
        </w:rPr>
        <w:t>, separación funcional, transparencia, oposición al tratamiento.</w:t>
      </w:r>
    </w:p>
    <w:p w:rsidR="003529DE" w:rsidRDefault="003529DE" w:rsidP="00DF3E8F">
      <w:pPr>
        <w:numPr>
          <w:ilvl w:val="0"/>
          <w:numId w:val="15"/>
        </w:numPr>
        <w:spacing w:line="360" w:lineRule="auto"/>
        <w:ind w:left="0" w:firstLine="0"/>
        <w:contextualSpacing/>
        <w:jc w:val="both"/>
        <w:rPr>
          <w:rFonts w:ascii="Palatino Linotype" w:hAnsi="Palatino Linotype"/>
        </w:rPr>
      </w:pPr>
      <w:r w:rsidRPr="003529DE">
        <w:rPr>
          <w:rFonts w:ascii="Palatino Linotype" w:hAnsi="Palatino Linotype"/>
        </w:rPr>
        <w:lastRenderedPageBreak/>
        <w:t xml:space="preserve">Cabe decir, que la Ley General de Protección de Datos no hizo referencia al proceso de </w:t>
      </w:r>
      <w:proofErr w:type="spellStart"/>
      <w:r w:rsidRPr="003529DE">
        <w:rPr>
          <w:rFonts w:ascii="Palatino Linotype" w:hAnsi="Palatino Linotype"/>
        </w:rPr>
        <w:t>anonimización</w:t>
      </w:r>
      <w:proofErr w:type="spellEnd"/>
      <w:r w:rsidRPr="003529DE">
        <w:rPr>
          <w:rFonts w:ascii="Palatino Linotype" w:hAnsi="Palatino Linotype"/>
        </w:rPr>
        <w:t>, pero sí reconoció el proceso de disociación</w:t>
      </w:r>
      <w:r w:rsidRPr="003529DE">
        <w:rPr>
          <w:rFonts w:ascii="Palatino Linotype" w:hAnsi="Palatino Linotype"/>
          <w:i/>
        </w:rPr>
        <w:t xml:space="preserve"> </w:t>
      </w:r>
      <w:r w:rsidRPr="003529DE">
        <w:rPr>
          <w:rFonts w:ascii="Palatino Linotype" w:hAnsi="Palatino Linotype"/>
        </w:rPr>
        <w:t xml:space="preserve">como el procedimiento que permite aislar o eliminar datos que identifiquen a un individuo y desvincular datos referentes a una misma persona, mientras que la Ley de Protección de Datos Personales en Posesión de Sujetos Obligados de la entidad, en su artículo 21 fracciones VIII y IX señala que cuando se adviertan datos personales en fuentes de acceso público serán sometidos al procedimiento de </w:t>
      </w:r>
      <w:proofErr w:type="spellStart"/>
      <w:r w:rsidRPr="003529DE">
        <w:rPr>
          <w:rFonts w:ascii="Palatino Linotype" w:hAnsi="Palatino Linotype"/>
        </w:rPr>
        <w:t>anonimización</w:t>
      </w:r>
      <w:proofErr w:type="spellEnd"/>
      <w:r w:rsidRPr="003529DE">
        <w:rPr>
          <w:rFonts w:ascii="Palatino Linotype" w:hAnsi="Palatino Linotype"/>
        </w:rPr>
        <w:t xml:space="preserve">, disociación o </w:t>
      </w:r>
      <w:proofErr w:type="spellStart"/>
      <w:r w:rsidRPr="003529DE">
        <w:rPr>
          <w:rFonts w:ascii="Palatino Linotype" w:hAnsi="Palatino Linotype"/>
        </w:rPr>
        <w:t>seudonimización</w:t>
      </w:r>
      <w:proofErr w:type="spellEnd"/>
      <w:r w:rsidRPr="003529DE">
        <w:rPr>
          <w:rFonts w:ascii="Palatino Linotype" w:hAnsi="Palatino Linotype"/>
        </w:rPr>
        <w:t>, tendientes a evitar la asociación de los datos personales con su titular.</w:t>
      </w:r>
    </w:p>
    <w:p w:rsidR="00DF3E8F" w:rsidRPr="003529DE" w:rsidRDefault="00DF3E8F" w:rsidP="00DF3E8F">
      <w:pPr>
        <w:spacing w:line="360" w:lineRule="auto"/>
        <w:contextualSpacing/>
        <w:jc w:val="both"/>
        <w:rPr>
          <w:rFonts w:ascii="Palatino Linotype" w:hAnsi="Palatino Linotype"/>
        </w:rPr>
      </w:pPr>
    </w:p>
    <w:p w:rsidR="003529DE" w:rsidRDefault="006B3ED3" w:rsidP="00DF3E8F">
      <w:pPr>
        <w:numPr>
          <w:ilvl w:val="0"/>
          <w:numId w:val="15"/>
        </w:numPr>
        <w:spacing w:line="360" w:lineRule="auto"/>
        <w:ind w:left="0" w:firstLine="0"/>
        <w:contextualSpacing/>
        <w:jc w:val="both"/>
        <w:rPr>
          <w:rFonts w:ascii="Palatino Linotype" w:hAnsi="Palatino Linotype"/>
        </w:rPr>
      </w:pPr>
      <w:r>
        <w:rPr>
          <w:rFonts w:ascii="Palatino Linotype" w:hAnsi="Palatino Linotype"/>
        </w:rPr>
        <w:t>Por otro lado,</w:t>
      </w:r>
      <w:r w:rsidR="00A14813">
        <w:rPr>
          <w:rFonts w:ascii="Palatino Linotype" w:hAnsi="Palatino Linotype"/>
        </w:rPr>
        <w:t xml:space="preserve"> de una revisión a  las fotografías hechas públicas por el propio </w:t>
      </w:r>
      <w:r w:rsidR="00A14813">
        <w:rPr>
          <w:rFonts w:ascii="Palatino Linotype" w:hAnsi="Palatino Linotype"/>
          <w:b/>
        </w:rPr>
        <w:t xml:space="preserve">SUJETO OBLIGADO </w:t>
      </w:r>
      <w:r w:rsidR="00A14813" w:rsidRPr="00A14813">
        <w:rPr>
          <w:rFonts w:ascii="Palatino Linotype" w:hAnsi="Palatino Linotype"/>
        </w:rPr>
        <w:t xml:space="preserve">en </w:t>
      </w:r>
      <w:r>
        <w:rPr>
          <w:rFonts w:ascii="Palatino Linotype" w:hAnsi="Palatino Linotype"/>
        </w:rPr>
        <w:t>redes sociales</w:t>
      </w:r>
      <w:r w:rsidR="00A14813">
        <w:rPr>
          <w:rFonts w:ascii="Palatino Linotype" w:hAnsi="Palatino Linotype"/>
        </w:rPr>
        <w:t>, también se aprecian fotografías de personas cuyos rasgos físicos se dejaron completamente a la vista, de los cuales</w:t>
      </w:r>
      <w:r w:rsidR="00D0058C">
        <w:rPr>
          <w:rFonts w:ascii="Palatino Linotype" w:hAnsi="Palatino Linotype"/>
        </w:rPr>
        <w:t xml:space="preserve"> –de ser el caso– se requiere el consentimiento expreso por escrito si se tratada de:</w:t>
      </w:r>
    </w:p>
    <w:p w:rsidR="00D0058C" w:rsidRDefault="00D0058C" w:rsidP="00D0058C">
      <w:pPr>
        <w:pStyle w:val="Prrafodelista"/>
        <w:rPr>
          <w:rFonts w:ascii="Palatino Linotype" w:hAnsi="Palatino Linotype"/>
        </w:rPr>
      </w:pPr>
    </w:p>
    <w:p w:rsidR="00D0058C" w:rsidRPr="00D0058C" w:rsidRDefault="00D0058C" w:rsidP="00D0058C">
      <w:pPr>
        <w:pStyle w:val="Prrafodelista"/>
        <w:numPr>
          <w:ilvl w:val="0"/>
          <w:numId w:val="41"/>
        </w:numPr>
        <w:spacing w:line="360" w:lineRule="auto"/>
        <w:jc w:val="both"/>
        <w:rPr>
          <w:rFonts w:ascii="Palatino Linotype" w:hAnsi="Palatino Linotype"/>
          <w:b/>
        </w:rPr>
      </w:pPr>
      <w:r w:rsidRPr="00D0058C">
        <w:rPr>
          <w:rFonts w:ascii="Palatino Linotype" w:hAnsi="Palatino Linotype"/>
          <w:b/>
        </w:rPr>
        <w:t>Menores de edad</w:t>
      </w:r>
    </w:p>
    <w:p w:rsidR="00D0058C" w:rsidRPr="00D0058C" w:rsidRDefault="00D0058C" w:rsidP="00D0058C">
      <w:pPr>
        <w:pStyle w:val="Prrafodelista"/>
        <w:numPr>
          <w:ilvl w:val="0"/>
          <w:numId w:val="41"/>
        </w:numPr>
        <w:spacing w:line="360" w:lineRule="auto"/>
        <w:jc w:val="both"/>
        <w:rPr>
          <w:rFonts w:ascii="Palatino Linotype" w:hAnsi="Palatino Linotype"/>
          <w:b/>
        </w:rPr>
      </w:pPr>
      <w:r w:rsidRPr="00D0058C">
        <w:rPr>
          <w:rFonts w:ascii="Palatino Linotype" w:hAnsi="Palatino Linotype"/>
          <w:b/>
        </w:rPr>
        <w:t>Personas en estado de interdicción</w:t>
      </w:r>
    </w:p>
    <w:p w:rsidR="00D0058C" w:rsidRDefault="00D0058C" w:rsidP="00D0058C">
      <w:pPr>
        <w:pStyle w:val="Prrafodelista"/>
        <w:numPr>
          <w:ilvl w:val="0"/>
          <w:numId w:val="41"/>
        </w:numPr>
        <w:spacing w:line="360" w:lineRule="auto"/>
        <w:jc w:val="both"/>
        <w:rPr>
          <w:rFonts w:ascii="Palatino Linotype" w:hAnsi="Palatino Linotype"/>
          <w:b/>
        </w:rPr>
      </w:pPr>
      <w:r w:rsidRPr="00D0058C">
        <w:rPr>
          <w:rFonts w:ascii="Palatino Linotype" w:hAnsi="Palatino Linotype"/>
          <w:b/>
        </w:rPr>
        <w:t>De pe</w:t>
      </w:r>
      <w:r>
        <w:rPr>
          <w:rFonts w:ascii="Palatino Linotype" w:hAnsi="Palatino Linotype"/>
          <w:b/>
        </w:rPr>
        <w:t>rsonas en estado de incapacidad</w:t>
      </w:r>
    </w:p>
    <w:p w:rsidR="00D0058C" w:rsidRPr="00D0058C" w:rsidRDefault="00D0058C" w:rsidP="00D0058C">
      <w:pPr>
        <w:pStyle w:val="Prrafodelista"/>
        <w:spacing w:line="360" w:lineRule="auto"/>
        <w:jc w:val="both"/>
        <w:rPr>
          <w:rFonts w:ascii="Palatino Linotype" w:hAnsi="Palatino Linotype"/>
          <w:b/>
        </w:rPr>
      </w:pPr>
    </w:p>
    <w:p w:rsidR="003529DE" w:rsidRDefault="00D0058C" w:rsidP="00D0058C">
      <w:pPr>
        <w:numPr>
          <w:ilvl w:val="0"/>
          <w:numId w:val="15"/>
        </w:numPr>
        <w:spacing w:line="360" w:lineRule="auto"/>
        <w:ind w:left="0" w:firstLine="0"/>
        <w:contextualSpacing/>
        <w:jc w:val="both"/>
        <w:rPr>
          <w:rFonts w:ascii="Palatino Linotype" w:hAnsi="Palatino Linotype"/>
          <w:color w:val="000000" w:themeColor="text1"/>
        </w:rPr>
      </w:pPr>
      <w:r w:rsidRPr="00D0058C">
        <w:rPr>
          <w:rFonts w:ascii="Palatino Linotype" w:hAnsi="Palatino Linotype"/>
          <w:color w:val="000000" w:themeColor="text1"/>
        </w:rPr>
        <w:t>Para el caso de mayores de edad, adultos mayores y/o personas de grupos</w:t>
      </w:r>
      <w:r>
        <w:rPr>
          <w:rFonts w:ascii="Palatino Linotype" w:hAnsi="Palatino Linotype"/>
          <w:color w:val="000000" w:themeColor="text1"/>
        </w:rPr>
        <w:t xml:space="preserve"> vulnerables, el</w:t>
      </w:r>
      <w:r w:rsidRPr="00D0058C">
        <w:rPr>
          <w:rFonts w:ascii="Palatino Linotype" w:hAnsi="Palatino Linotype"/>
          <w:b/>
          <w:color w:val="000000" w:themeColor="text1"/>
        </w:rPr>
        <w:t xml:space="preserve"> consentimiento tácito es suficiente</w:t>
      </w:r>
      <w:r>
        <w:rPr>
          <w:rFonts w:ascii="Palatino Linotype" w:hAnsi="Palatino Linotype"/>
          <w:color w:val="000000" w:themeColor="text1"/>
        </w:rPr>
        <w:t xml:space="preserve">, y el consentimiento expreso por escrito es </w:t>
      </w:r>
      <w:r w:rsidRPr="00D0058C">
        <w:rPr>
          <w:rFonts w:ascii="Palatino Linotype" w:hAnsi="Palatino Linotype"/>
          <w:b/>
          <w:color w:val="000000" w:themeColor="text1"/>
        </w:rPr>
        <w:t>opcional</w:t>
      </w:r>
      <w:r>
        <w:rPr>
          <w:rFonts w:ascii="Palatino Linotype" w:hAnsi="Palatino Linotype"/>
          <w:color w:val="000000" w:themeColor="text1"/>
        </w:rPr>
        <w:t>; empero, no debe perderse de vista que en el presente asunto no se requirieron los consentimientos, sino el aviso de privacidad, en esa tesitura es de señalar que e</w:t>
      </w:r>
      <w:r w:rsidRPr="00D0058C">
        <w:rPr>
          <w:rFonts w:ascii="Palatino Linotype" w:hAnsi="Palatino Linotype"/>
          <w:color w:val="000000" w:themeColor="text1"/>
        </w:rPr>
        <w:t xml:space="preserve">s necesario dar a conocer el </w:t>
      </w:r>
      <w:r w:rsidRPr="00D0058C">
        <w:rPr>
          <w:rFonts w:ascii="Palatino Linotype" w:hAnsi="Palatino Linotype"/>
          <w:b/>
          <w:color w:val="000000" w:themeColor="text1"/>
        </w:rPr>
        <w:t>aviso de privacidad de manera conjunta al requerimiento del consentimiento expreso por escrito</w:t>
      </w:r>
      <w:r w:rsidRPr="00D0058C">
        <w:rPr>
          <w:rFonts w:ascii="Palatino Linotype" w:hAnsi="Palatino Linotype"/>
          <w:color w:val="000000" w:themeColor="text1"/>
        </w:rPr>
        <w:t>.</w:t>
      </w:r>
    </w:p>
    <w:p w:rsidR="003529DE" w:rsidRPr="00EB4127" w:rsidRDefault="00D0058C" w:rsidP="00EB4127">
      <w:pPr>
        <w:numPr>
          <w:ilvl w:val="0"/>
          <w:numId w:val="15"/>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lastRenderedPageBreak/>
        <w:t>Ahora bien</w:t>
      </w:r>
      <w:r w:rsidR="00EB4127">
        <w:rPr>
          <w:rFonts w:ascii="Palatino Linotype" w:hAnsi="Palatino Linotype"/>
          <w:color w:val="000000" w:themeColor="text1"/>
        </w:rPr>
        <w:t xml:space="preserve">, del caso concreto lo entregado </w:t>
      </w:r>
      <w:r w:rsidR="007C5090">
        <w:rPr>
          <w:rFonts w:ascii="Palatino Linotype" w:hAnsi="Palatino Linotype"/>
          <w:color w:val="000000" w:themeColor="text1"/>
        </w:rPr>
        <w:t xml:space="preserve">a las personas, </w:t>
      </w:r>
      <w:r w:rsidR="00EB4127">
        <w:rPr>
          <w:rFonts w:ascii="Palatino Linotype" w:hAnsi="Palatino Linotype"/>
          <w:color w:val="000000" w:themeColor="text1"/>
        </w:rPr>
        <w:t xml:space="preserve">debió versar en el </w:t>
      </w:r>
      <w:r w:rsidR="00EB4127" w:rsidRPr="00EB4127">
        <w:rPr>
          <w:rFonts w:ascii="Palatino Linotype" w:hAnsi="Palatino Linotype"/>
          <w:b/>
          <w:color w:val="000000" w:themeColor="text1"/>
        </w:rPr>
        <w:t>Consentimiento de Publicación y Difusión</w:t>
      </w:r>
      <w:r w:rsidR="00EB4127">
        <w:rPr>
          <w:rFonts w:ascii="Palatino Linotype" w:hAnsi="Palatino Linotype"/>
          <w:b/>
          <w:color w:val="000000" w:themeColor="text1"/>
        </w:rPr>
        <w:t xml:space="preserve">, </w:t>
      </w:r>
      <w:r w:rsidR="00EB4127" w:rsidRPr="00EB4127">
        <w:rPr>
          <w:rFonts w:ascii="Palatino Linotype" w:hAnsi="Palatino Linotype"/>
          <w:color w:val="000000" w:themeColor="text1"/>
        </w:rPr>
        <w:t>del cual</w:t>
      </w:r>
      <w:r w:rsidR="00EB4127">
        <w:rPr>
          <w:rFonts w:ascii="Palatino Linotype" w:hAnsi="Palatino Linotype"/>
          <w:color w:val="000000" w:themeColor="text1"/>
        </w:rPr>
        <w:t xml:space="preserve"> también</w:t>
      </w:r>
      <w:r w:rsidR="00EB4127" w:rsidRPr="00EB4127">
        <w:rPr>
          <w:rFonts w:ascii="Palatino Linotype" w:hAnsi="Palatino Linotype"/>
          <w:color w:val="000000" w:themeColor="text1"/>
        </w:rPr>
        <w:t xml:space="preserve"> es necesario dar a conocer el aviso de privacidad de manera conjunta al requerimiento del consentimiento expreso por escrito, para los casos que ya se señalaron anteriormente, en dicho aviso de privacidad, se deb</w:t>
      </w:r>
      <w:r w:rsidR="007C5090">
        <w:rPr>
          <w:rFonts w:ascii="Palatino Linotype" w:hAnsi="Palatino Linotype"/>
          <w:color w:val="000000" w:themeColor="text1"/>
        </w:rPr>
        <w:t>ió</w:t>
      </w:r>
      <w:r w:rsidR="00EB4127" w:rsidRPr="00EB4127">
        <w:rPr>
          <w:rFonts w:ascii="Palatino Linotype" w:hAnsi="Palatino Linotype"/>
          <w:color w:val="000000" w:themeColor="text1"/>
        </w:rPr>
        <w:t xml:space="preserve"> de señalar:</w:t>
      </w:r>
    </w:p>
    <w:p w:rsidR="00EB4127" w:rsidRDefault="00EB4127" w:rsidP="00EB4127">
      <w:pPr>
        <w:pStyle w:val="Prrafodelista"/>
        <w:rPr>
          <w:rFonts w:ascii="Palatino Linotype" w:hAnsi="Palatino Linotype"/>
          <w:color w:val="000000" w:themeColor="text1"/>
        </w:rPr>
      </w:pPr>
    </w:p>
    <w:p w:rsidR="00EB4127" w:rsidRPr="00EB4127" w:rsidRDefault="00EB4127" w:rsidP="00EB4127">
      <w:pPr>
        <w:pStyle w:val="Prrafodelista"/>
        <w:numPr>
          <w:ilvl w:val="0"/>
          <w:numId w:val="42"/>
        </w:numPr>
        <w:spacing w:line="360" w:lineRule="auto"/>
        <w:jc w:val="both"/>
        <w:rPr>
          <w:rFonts w:ascii="Palatino Linotype" w:hAnsi="Palatino Linotype"/>
          <w:color w:val="000000" w:themeColor="text1"/>
        </w:rPr>
      </w:pPr>
      <w:r w:rsidRPr="00EB4127">
        <w:rPr>
          <w:rFonts w:ascii="Palatino Linotype" w:hAnsi="Palatino Linotype"/>
          <w:color w:val="000000" w:themeColor="text1"/>
        </w:rPr>
        <w:t>Imagen</w:t>
      </w:r>
      <w:r w:rsidR="007C5090">
        <w:rPr>
          <w:rFonts w:ascii="Palatino Linotype" w:hAnsi="Palatino Linotype"/>
          <w:color w:val="000000" w:themeColor="text1"/>
        </w:rPr>
        <w:t xml:space="preserve"> que</w:t>
      </w:r>
      <w:r w:rsidRPr="00EB4127">
        <w:rPr>
          <w:rFonts w:ascii="Palatino Linotype" w:hAnsi="Palatino Linotype"/>
          <w:color w:val="000000" w:themeColor="text1"/>
        </w:rPr>
        <w:t xml:space="preserve"> será recabada y difundida con fotografías o videos (principio de información).</w:t>
      </w:r>
    </w:p>
    <w:p w:rsidR="00EB4127" w:rsidRPr="00EB4127" w:rsidRDefault="00EB4127" w:rsidP="00EB4127">
      <w:pPr>
        <w:pStyle w:val="Prrafodelista"/>
        <w:numPr>
          <w:ilvl w:val="0"/>
          <w:numId w:val="42"/>
        </w:numPr>
        <w:spacing w:line="360" w:lineRule="auto"/>
        <w:jc w:val="both"/>
        <w:rPr>
          <w:rFonts w:ascii="Palatino Linotype" w:hAnsi="Palatino Linotype"/>
          <w:color w:val="000000" w:themeColor="text1"/>
        </w:rPr>
      </w:pPr>
      <w:r w:rsidRPr="00EB4127">
        <w:rPr>
          <w:rFonts w:ascii="Palatino Linotype" w:hAnsi="Palatino Linotype"/>
          <w:color w:val="000000" w:themeColor="text1"/>
        </w:rPr>
        <w:t xml:space="preserve">Precisar, </w:t>
      </w:r>
      <w:r w:rsidR="007C5090">
        <w:rPr>
          <w:rFonts w:ascii="Palatino Linotype" w:hAnsi="Palatino Linotype"/>
          <w:color w:val="000000" w:themeColor="text1"/>
        </w:rPr>
        <w:t xml:space="preserve">que </w:t>
      </w:r>
      <w:r w:rsidRPr="00EB4127">
        <w:rPr>
          <w:rFonts w:ascii="Palatino Linotype" w:hAnsi="Palatino Linotype"/>
          <w:color w:val="000000" w:themeColor="text1"/>
        </w:rPr>
        <w:t>al dar a conocer al titular el aviso de privacidad, se entiende cuenta con consentimiento tácito para el uso de las imágenes;</w:t>
      </w:r>
    </w:p>
    <w:p w:rsidR="00EB4127" w:rsidRPr="00EB4127" w:rsidRDefault="00EB4127" w:rsidP="00EB4127">
      <w:pPr>
        <w:pStyle w:val="Prrafodelista"/>
        <w:numPr>
          <w:ilvl w:val="0"/>
          <w:numId w:val="42"/>
        </w:numPr>
        <w:spacing w:line="360" w:lineRule="auto"/>
        <w:jc w:val="both"/>
        <w:rPr>
          <w:rFonts w:ascii="Palatino Linotype" w:hAnsi="Palatino Linotype"/>
          <w:color w:val="000000" w:themeColor="text1"/>
        </w:rPr>
      </w:pPr>
      <w:r w:rsidRPr="00EB4127">
        <w:rPr>
          <w:rFonts w:ascii="Palatino Linotype" w:hAnsi="Palatino Linotype"/>
          <w:color w:val="000000" w:themeColor="text1"/>
        </w:rPr>
        <w:t>En tanto no exista manifestación de los titulares, la información se utilizará para los fines previstos.</w:t>
      </w:r>
    </w:p>
    <w:p w:rsidR="00D31FC8" w:rsidRDefault="00D31FC8" w:rsidP="00EB4127">
      <w:pPr>
        <w:rPr>
          <w:rFonts w:ascii="Palatino Linotype" w:hAnsi="Palatino Linotype"/>
        </w:rPr>
      </w:pPr>
    </w:p>
    <w:p w:rsidR="00EB4127" w:rsidRPr="002C3FE3" w:rsidRDefault="00EB4127" w:rsidP="002C3FE3">
      <w:pPr>
        <w:numPr>
          <w:ilvl w:val="0"/>
          <w:numId w:val="15"/>
        </w:numPr>
        <w:spacing w:line="360" w:lineRule="auto"/>
        <w:ind w:left="0" w:firstLine="0"/>
        <w:contextualSpacing/>
        <w:jc w:val="both"/>
        <w:rPr>
          <w:rFonts w:ascii="Palatino Linotype" w:hAnsi="Palatino Linotype"/>
        </w:rPr>
      </w:pPr>
      <w:r>
        <w:rPr>
          <w:rFonts w:ascii="Palatino Linotype" w:hAnsi="Palatino Linotype"/>
          <w:color w:val="000000" w:themeColor="text1"/>
        </w:rPr>
        <w:t>Si bien ya se estableció que en estricto sentido son los avisos de privacidad y no los consentimientos</w:t>
      </w:r>
      <w:r w:rsidR="002C3FE3">
        <w:rPr>
          <w:rFonts w:ascii="Palatino Linotype" w:hAnsi="Palatino Linotype"/>
          <w:color w:val="000000" w:themeColor="text1"/>
        </w:rPr>
        <w:t xml:space="preserve"> lo solicitado</w:t>
      </w:r>
      <w:r>
        <w:rPr>
          <w:rFonts w:ascii="Palatino Linotype" w:hAnsi="Palatino Linotype"/>
          <w:color w:val="000000" w:themeColor="text1"/>
        </w:rPr>
        <w:t xml:space="preserve">, también lo es que el particular si manifestó expresamente, que requiere el documento </w:t>
      </w:r>
      <w:r w:rsidRPr="00EB4127">
        <w:rPr>
          <w:rFonts w:ascii="Palatino Linotype" w:hAnsi="Palatino Linotype"/>
          <w:i/>
          <w:color w:val="000000" w:themeColor="text1"/>
        </w:rPr>
        <w:t>firmado por las personas</w:t>
      </w:r>
      <w:r>
        <w:rPr>
          <w:rFonts w:ascii="Palatino Linotype" w:hAnsi="Palatino Linotype"/>
          <w:color w:val="000000" w:themeColor="text1"/>
        </w:rPr>
        <w:t xml:space="preserve">. De lo anterior se deduce que el hoy </w:t>
      </w:r>
      <w:r>
        <w:rPr>
          <w:rFonts w:ascii="Palatino Linotype" w:hAnsi="Palatino Linotype"/>
          <w:b/>
          <w:color w:val="000000" w:themeColor="text1"/>
        </w:rPr>
        <w:t>RECURRENTE</w:t>
      </w:r>
      <w:r>
        <w:rPr>
          <w:rFonts w:ascii="Palatino Linotype" w:hAnsi="Palatino Linotype"/>
          <w:color w:val="000000" w:themeColor="text1"/>
        </w:rPr>
        <w:t xml:space="preserve"> pudo no haber señalado corre</w:t>
      </w:r>
      <w:r w:rsidR="002C3FE3">
        <w:rPr>
          <w:rFonts w:ascii="Palatino Linotype" w:hAnsi="Palatino Linotype"/>
          <w:color w:val="000000" w:themeColor="text1"/>
        </w:rPr>
        <w:t>ctamente el documento requerido,</w:t>
      </w:r>
      <w:r>
        <w:rPr>
          <w:rFonts w:ascii="Palatino Linotype" w:hAnsi="Palatino Linotype"/>
          <w:color w:val="000000" w:themeColor="text1"/>
        </w:rPr>
        <w:t xml:space="preserve"> sin embargo no debe perderse de vista que los particulares eventualmente </w:t>
      </w:r>
      <w:r w:rsidRPr="002C3FE3">
        <w:rPr>
          <w:rFonts w:ascii="Palatino Linotype" w:hAnsi="Palatino Linotype"/>
          <w:b/>
          <w:color w:val="000000" w:themeColor="text1"/>
        </w:rPr>
        <w:t>no son expertos en la materia</w:t>
      </w:r>
      <w:r>
        <w:rPr>
          <w:rFonts w:ascii="Palatino Linotype" w:hAnsi="Palatino Linotype"/>
          <w:color w:val="000000" w:themeColor="text1"/>
        </w:rPr>
        <w:t xml:space="preserve">, por lo cual </w:t>
      </w:r>
      <w:r w:rsidRPr="002C3FE3">
        <w:rPr>
          <w:rFonts w:ascii="Palatino Linotype" w:hAnsi="Palatino Linotype"/>
          <w:b/>
          <w:color w:val="000000" w:themeColor="text1"/>
        </w:rPr>
        <w:t>no se encuentran obligados</w:t>
      </w:r>
      <w:r w:rsidR="002C3FE3" w:rsidRPr="002C3FE3">
        <w:rPr>
          <w:rFonts w:ascii="Palatino Linotype" w:hAnsi="Palatino Linotype"/>
          <w:b/>
          <w:color w:val="000000" w:themeColor="text1"/>
        </w:rPr>
        <w:t xml:space="preserve"> </w:t>
      </w:r>
      <w:r w:rsidR="002C3FE3">
        <w:rPr>
          <w:rFonts w:ascii="Palatino Linotype" w:hAnsi="Palatino Linotype"/>
          <w:color w:val="000000" w:themeColor="text1"/>
        </w:rPr>
        <w:t xml:space="preserve">a precisar el nombre correcto del cual conste o se advierta la información de su interés, bastando con otorgar una expresión documental de lo que requieren, sirve de sustento a lo anterior, el Criterio 16/17, emitido por el </w:t>
      </w:r>
      <w:r w:rsidR="002C3FE3" w:rsidRPr="002C3FE3">
        <w:rPr>
          <w:rFonts w:ascii="Palatino Linotype" w:hAnsi="Palatino Linotype"/>
          <w:color w:val="000000" w:themeColor="text1"/>
        </w:rPr>
        <w:t>Instituto Nacional de Transparencia, Acceso a la Información y Protección de Datos Personales</w:t>
      </w:r>
      <w:r w:rsidR="002C3FE3">
        <w:rPr>
          <w:rFonts w:ascii="Palatino Linotype" w:hAnsi="Palatino Linotype"/>
          <w:color w:val="000000" w:themeColor="text1"/>
        </w:rPr>
        <w:t>:</w:t>
      </w:r>
    </w:p>
    <w:p w:rsidR="002C3FE3" w:rsidRDefault="002C3FE3" w:rsidP="002C3FE3">
      <w:pPr>
        <w:spacing w:line="360" w:lineRule="auto"/>
        <w:contextualSpacing/>
        <w:jc w:val="both"/>
        <w:rPr>
          <w:rFonts w:ascii="Palatino Linotype" w:hAnsi="Palatino Linotype"/>
          <w:color w:val="000000" w:themeColor="text1"/>
        </w:rPr>
      </w:pPr>
    </w:p>
    <w:p w:rsidR="002C3FE3" w:rsidRPr="002C3FE3" w:rsidRDefault="002C3FE3" w:rsidP="002C3FE3">
      <w:pPr>
        <w:spacing w:line="360" w:lineRule="auto"/>
        <w:ind w:left="426" w:right="474"/>
        <w:contextualSpacing/>
        <w:jc w:val="both"/>
        <w:rPr>
          <w:rFonts w:ascii="Palatino Linotype" w:hAnsi="Palatino Linotype"/>
          <w:i/>
        </w:rPr>
      </w:pPr>
      <w:r w:rsidRPr="002C3FE3">
        <w:rPr>
          <w:rFonts w:ascii="Palatino Linotype" w:hAnsi="Palatino Linotype"/>
          <w:b/>
          <w:i/>
        </w:rPr>
        <w:lastRenderedPageBreak/>
        <w:t>“Expresión documental.</w:t>
      </w:r>
      <w:r w:rsidRPr="002C3FE3">
        <w:rPr>
          <w:rFonts w:ascii="Palatino Linotype" w:hAnsi="Palatino Linotype"/>
          <w:i/>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rsidR="00EB4127" w:rsidRDefault="00EB4127" w:rsidP="00EB4127">
      <w:pPr>
        <w:rPr>
          <w:rFonts w:ascii="Palatino Linotype" w:hAnsi="Palatino Linotype"/>
        </w:rPr>
      </w:pPr>
    </w:p>
    <w:p w:rsidR="002C3FE3" w:rsidRPr="000D0DB4" w:rsidRDefault="002C3FE3" w:rsidP="002C3FE3">
      <w:pPr>
        <w:pStyle w:val="Prrafodelista"/>
        <w:numPr>
          <w:ilvl w:val="0"/>
          <w:numId w:val="15"/>
        </w:numPr>
        <w:spacing w:line="360" w:lineRule="auto"/>
        <w:ind w:left="0" w:firstLine="0"/>
        <w:jc w:val="both"/>
        <w:rPr>
          <w:rFonts w:ascii="Palatino Linotype" w:hAnsi="Palatino Linotype"/>
        </w:rPr>
      </w:pPr>
      <w:r>
        <w:rPr>
          <w:rFonts w:ascii="Palatino Linotype" w:hAnsi="Palatino Linotype"/>
          <w:color w:val="000000" w:themeColor="text1"/>
        </w:rPr>
        <w:t>En esa tesitura</w:t>
      </w:r>
      <w:r w:rsidRPr="000D0DB4">
        <w:rPr>
          <w:rFonts w:ascii="Palatino Linotype" w:hAnsi="Palatino Linotype"/>
          <w:color w:val="000000" w:themeColor="text1"/>
        </w:rPr>
        <w:t xml:space="preserve">, </w:t>
      </w:r>
      <w:r w:rsidRPr="000D0DB4">
        <w:rPr>
          <w:rFonts w:ascii="Palatino Linotype" w:eastAsia="Calibri" w:hAnsi="Palatino Linotype" w:cs="Arial"/>
          <w:bCs/>
          <w:color w:val="000000"/>
        </w:rPr>
        <w:t xml:space="preserve">es necesario precisar que </w:t>
      </w:r>
      <w:r w:rsidRPr="000D0DB4">
        <w:rPr>
          <w:rFonts w:ascii="Palatino Linotype" w:eastAsia="MS Mincho" w:hAnsi="Palatino Linotype"/>
        </w:rPr>
        <w:t xml:space="preserve">el particular al no ser experto en la materia, </w:t>
      </w:r>
      <w:r>
        <w:rPr>
          <w:rFonts w:ascii="Palatino Linotype" w:eastAsia="MS Mincho" w:hAnsi="Palatino Linotype"/>
        </w:rPr>
        <w:t>y al</w:t>
      </w:r>
      <w:r w:rsidRPr="000D0DB4">
        <w:rPr>
          <w:rFonts w:ascii="Palatino Linotype" w:eastAsia="MS Mincho" w:hAnsi="Palatino Linotype"/>
        </w:rPr>
        <w:t xml:space="preserve"> no indicar correctamente </w:t>
      </w:r>
      <w:r>
        <w:rPr>
          <w:rFonts w:ascii="Palatino Linotype" w:eastAsia="MS Mincho" w:hAnsi="Palatino Linotype"/>
        </w:rPr>
        <w:t xml:space="preserve">el nombre del documento con </w:t>
      </w:r>
      <w:r w:rsidRPr="000D0DB4">
        <w:rPr>
          <w:rFonts w:ascii="Palatino Linotype" w:eastAsia="MS Mincho" w:hAnsi="Palatino Linotype"/>
        </w:rPr>
        <w:t xml:space="preserve">la información que desea obtener, y siendo que este Órgano Garante, tiene la obligación de garantizar el acceso a la información en la medida de lo posible, atendiendo a la suplencia de la deficiencia, </w:t>
      </w:r>
      <w:r w:rsidRPr="004610DB">
        <w:rPr>
          <w:rFonts w:ascii="Palatino Linotype" w:eastAsia="MS Mincho" w:hAnsi="Palatino Linotype"/>
          <w:b/>
        </w:rPr>
        <w:t>sin cambiar los hechos expuestos</w:t>
      </w:r>
      <w:r w:rsidRPr="000D0DB4">
        <w:rPr>
          <w:rFonts w:ascii="Palatino Linotype" w:eastAsia="MS Mincho" w:hAnsi="Palatino Linotype"/>
        </w:rPr>
        <w:t xml:space="preserve"> por el peticionario conforme a la facultad que otorga la Ley de Transparencia y Acceso a la Información Pública del Estado de México y Municipios en los artículos 13 y 181 cuarto párrafo, los cuales contienen lo siguiente:</w:t>
      </w:r>
    </w:p>
    <w:p w:rsidR="002C3FE3" w:rsidRPr="000D0DB4" w:rsidRDefault="002C3FE3" w:rsidP="002C3FE3">
      <w:pPr>
        <w:tabs>
          <w:tab w:val="left" w:pos="5430"/>
        </w:tabs>
        <w:spacing w:line="360" w:lineRule="auto"/>
        <w:ind w:left="567" w:right="616"/>
        <w:contextualSpacing/>
        <w:jc w:val="both"/>
        <w:rPr>
          <w:rFonts w:ascii="Palatino Linotype" w:eastAsia="MS Mincho" w:hAnsi="Palatino Linotype"/>
        </w:rPr>
      </w:pPr>
      <w:r w:rsidRPr="000D0DB4">
        <w:rPr>
          <w:rFonts w:ascii="Palatino Linotype" w:eastAsia="MS Mincho" w:hAnsi="Palatino Linotype"/>
        </w:rPr>
        <w:tab/>
      </w:r>
    </w:p>
    <w:p w:rsidR="002C3FE3" w:rsidRPr="000D0DB4" w:rsidRDefault="002C3FE3" w:rsidP="002C3FE3">
      <w:pPr>
        <w:autoSpaceDE w:val="0"/>
        <w:autoSpaceDN w:val="0"/>
        <w:adjustRightInd w:val="0"/>
        <w:spacing w:line="360" w:lineRule="auto"/>
        <w:ind w:left="567" w:right="616"/>
        <w:jc w:val="both"/>
        <w:rPr>
          <w:rFonts w:ascii="Palatino Linotype" w:eastAsia="MS Mincho" w:hAnsi="Palatino Linotype" w:cs="Bookman Old Style"/>
          <w:i/>
        </w:rPr>
      </w:pPr>
      <w:r w:rsidRPr="000D0DB4">
        <w:rPr>
          <w:rFonts w:ascii="Palatino Linotype" w:eastAsia="MS Mincho" w:hAnsi="Palatino Linotype" w:cs="Bookman Old Style,Bold"/>
          <w:b/>
          <w:bCs/>
          <w:i/>
        </w:rPr>
        <w:t xml:space="preserve">“Artículo 13. </w:t>
      </w:r>
      <w:r w:rsidRPr="000D0DB4">
        <w:rPr>
          <w:rFonts w:ascii="Palatino Linotype" w:eastAsia="MS Mincho" w:hAnsi="Palatino Linotype" w:cs="Bookman Old Style"/>
          <w:i/>
        </w:rPr>
        <w:t xml:space="preserve">El Instituto, en el ámbito de sus atribuciones, deberá </w:t>
      </w:r>
      <w:r w:rsidRPr="000D0DB4">
        <w:rPr>
          <w:rFonts w:ascii="Palatino Linotype" w:eastAsia="MS Mincho" w:hAnsi="Palatino Linotype" w:cs="Bookman Old Style"/>
          <w:b/>
          <w:i/>
        </w:rPr>
        <w:t xml:space="preserve">suplir cualquier deficiencia </w:t>
      </w:r>
      <w:r w:rsidRPr="000D0DB4">
        <w:rPr>
          <w:rFonts w:ascii="Palatino Linotype" w:eastAsia="MS Mincho" w:hAnsi="Palatino Linotype" w:cs="Bookman Old Style"/>
          <w:i/>
        </w:rPr>
        <w:t>para garantizar el ejercicio del derecho de acceso a la información.”</w:t>
      </w:r>
    </w:p>
    <w:p w:rsidR="002C3FE3" w:rsidRPr="000D0DB4" w:rsidRDefault="002C3FE3" w:rsidP="002C3FE3">
      <w:pPr>
        <w:autoSpaceDE w:val="0"/>
        <w:autoSpaceDN w:val="0"/>
        <w:adjustRightInd w:val="0"/>
        <w:spacing w:line="360" w:lineRule="auto"/>
        <w:ind w:left="567" w:right="616"/>
        <w:jc w:val="both"/>
        <w:rPr>
          <w:rFonts w:ascii="Palatino Linotype" w:eastAsia="MS Mincho" w:hAnsi="Palatino Linotype" w:cs="Bookman Old Style"/>
          <w:i/>
        </w:rPr>
      </w:pPr>
    </w:p>
    <w:p w:rsidR="002C3FE3" w:rsidRPr="000D0DB4" w:rsidRDefault="002C3FE3" w:rsidP="002C3FE3">
      <w:pPr>
        <w:autoSpaceDE w:val="0"/>
        <w:autoSpaceDN w:val="0"/>
        <w:adjustRightInd w:val="0"/>
        <w:spacing w:line="360" w:lineRule="auto"/>
        <w:ind w:left="567" w:right="616"/>
        <w:jc w:val="both"/>
        <w:rPr>
          <w:rFonts w:ascii="Palatino Linotype" w:eastAsia="MS Mincho" w:hAnsi="Palatino Linotype"/>
          <w:i/>
          <w:color w:val="000000"/>
        </w:rPr>
      </w:pPr>
      <w:r w:rsidRPr="000D0DB4">
        <w:rPr>
          <w:rFonts w:ascii="Palatino Linotype" w:eastAsia="MS Mincho" w:hAnsi="Palatino Linotype"/>
          <w:i/>
          <w:color w:val="000000"/>
        </w:rPr>
        <w:t>“</w:t>
      </w:r>
      <w:r w:rsidRPr="000D0DB4">
        <w:rPr>
          <w:rFonts w:ascii="Palatino Linotype" w:eastAsia="MS Mincho" w:hAnsi="Palatino Linotype"/>
          <w:b/>
          <w:i/>
          <w:color w:val="000000"/>
        </w:rPr>
        <w:t>Artículo 181</w:t>
      </w:r>
    </w:p>
    <w:p w:rsidR="002C3FE3" w:rsidRPr="000D0DB4" w:rsidRDefault="002C3FE3" w:rsidP="002C3FE3">
      <w:pPr>
        <w:autoSpaceDE w:val="0"/>
        <w:autoSpaceDN w:val="0"/>
        <w:adjustRightInd w:val="0"/>
        <w:spacing w:line="360" w:lineRule="auto"/>
        <w:ind w:left="567" w:right="616"/>
        <w:jc w:val="both"/>
        <w:rPr>
          <w:rFonts w:ascii="Palatino Linotype" w:eastAsia="MS Mincho" w:hAnsi="Palatino Linotype"/>
          <w:i/>
          <w:color w:val="000000"/>
        </w:rPr>
      </w:pPr>
      <w:r w:rsidRPr="000D0DB4">
        <w:rPr>
          <w:rFonts w:ascii="Palatino Linotype" w:eastAsia="MS Mincho" w:hAnsi="Palatino Linotype"/>
          <w:i/>
          <w:color w:val="000000"/>
        </w:rPr>
        <w:t>…</w:t>
      </w:r>
    </w:p>
    <w:p w:rsidR="002C3FE3" w:rsidRPr="000D0DB4" w:rsidRDefault="002C3FE3" w:rsidP="002C3FE3">
      <w:pPr>
        <w:autoSpaceDE w:val="0"/>
        <w:autoSpaceDN w:val="0"/>
        <w:adjustRightInd w:val="0"/>
        <w:spacing w:line="360" w:lineRule="auto"/>
        <w:ind w:left="567" w:right="616"/>
        <w:jc w:val="both"/>
        <w:rPr>
          <w:rFonts w:ascii="Palatino Linotype" w:eastAsia="MS Mincho" w:hAnsi="Palatino Linotype" w:cs="Bookman Old Style"/>
          <w:i/>
        </w:rPr>
      </w:pPr>
      <w:r w:rsidRPr="000D0DB4">
        <w:rPr>
          <w:rFonts w:ascii="Palatino Linotype" w:eastAsia="MS Mincho" w:hAnsi="Palatino Linotype" w:cs="Bookman Old Style"/>
          <w:i/>
        </w:rPr>
        <w:t xml:space="preserve">Durante el procedimiento deberá aplicarse la </w:t>
      </w:r>
      <w:r w:rsidRPr="000D0DB4">
        <w:rPr>
          <w:rFonts w:ascii="Palatino Linotype" w:eastAsia="MS Mincho" w:hAnsi="Palatino Linotype" w:cs="Bookman Old Style"/>
          <w:b/>
          <w:i/>
        </w:rPr>
        <w:t>suplencia de la queja a favor del recurrente</w:t>
      </w:r>
      <w:r w:rsidRPr="000D0DB4">
        <w:rPr>
          <w:rFonts w:ascii="Palatino Linotype" w:eastAsia="MS Mincho" w:hAnsi="Palatino Linotype" w:cs="Bookman Old Style"/>
          <w:i/>
        </w:rPr>
        <w:t xml:space="preserve">, sin cambiar los hechos expuestos, asegurándose de que las partes </w:t>
      </w:r>
      <w:r w:rsidRPr="000D0DB4">
        <w:rPr>
          <w:rFonts w:ascii="Palatino Linotype" w:eastAsia="MS Mincho" w:hAnsi="Palatino Linotype" w:cs="Bookman Old Style"/>
          <w:i/>
        </w:rPr>
        <w:lastRenderedPageBreak/>
        <w:t>puedan presentar, de manera oral o escrita, los argumentos que funden y motiven sus pretensiones</w:t>
      </w:r>
    </w:p>
    <w:p w:rsidR="002C3FE3" w:rsidRDefault="002C3FE3" w:rsidP="002C3FE3">
      <w:pPr>
        <w:autoSpaceDE w:val="0"/>
        <w:autoSpaceDN w:val="0"/>
        <w:adjustRightInd w:val="0"/>
        <w:spacing w:line="360" w:lineRule="auto"/>
        <w:ind w:left="851" w:right="567"/>
        <w:jc w:val="both"/>
        <w:rPr>
          <w:rFonts w:ascii="Palatino Linotype" w:eastAsia="MS Mincho" w:hAnsi="Palatino Linotype"/>
          <w:i/>
          <w:color w:val="000000"/>
        </w:rPr>
      </w:pPr>
      <w:r w:rsidRPr="000D0DB4">
        <w:rPr>
          <w:rFonts w:ascii="Palatino Linotype" w:eastAsia="MS Mincho" w:hAnsi="Palatino Linotype"/>
          <w:i/>
          <w:color w:val="000000"/>
        </w:rPr>
        <w:t>…</w:t>
      </w:r>
      <w:r>
        <w:rPr>
          <w:rFonts w:ascii="Palatino Linotype" w:eastAsia="MS Mincho" w:hAnsi="Palatino Linotype"/>
          <w:i/>
          <w:color w:val="000000"/>
        </w:rPr>
        <w:t>”</w:t>
      </w:r>
    </w:p>
    <w:p w:rsidR="002C3FE3" w:rsidRPr="000D0DB4" w:rsidRDefault="002C3FE3" w:rsidP="002C3FE3">
      <w:pPr>
        <w:autoSpaceDE w:val="0"/>
        <w:autoSpaceDN w:val="0"/>
        <w:adjustRightInd w:val="0"/>
        <w:spacing w:line="360" w:lineRule="auto"/>
        <w:ind w:left="851" w:right="567"/>
        <w:jc w:val="both"/>
        <w:rPr>
          <w:rFonts w:ascii="Palatino Linotype" w:eastAsia="MS Mincho" w:hAnsi="Palatino Linotype"/>
          <w:i/>
          <w:color w:val="000000"/>
        </w:rPr>
      </w:pPr>
    </w:p>
    <w:p w:rsidR="002C3FE3" w:rsidRPr="000D0DB4" w:rsidRDefault="002C3FE3" w:rsidP="002C3FE3">
      <w:pPr>
        <w:pStyle w:val="Prrafodelista"/>
        <w:numPr>
          <w:ilvl w:val="0"/>
          <w:numId w:val="15"/>
        </w:numPr>
        <w:spacing w:line="360" w:lineRule="auto"/>
        <w:ind w:left="0" w:firstLine="0"/>
        <w:jc w:val="both"/>
        <w:rPr>
          <w:rFonts w:ascii="Palatino Linotype" w:eastAsia="MS Mincho" w:hAnsi="Palatino Linotype"/>
        </w:rPr>
      </w:pPr>
      <w:r w:rsidRPr="000D0DB4">
        <w:rPr>
          <w:rFonts w:ascii="Palatino Linotype" w:eastAsia="MS Mincho" w:hAnsi="Palatino Linotype"/>
        </w:rPr>
        <w:t xml:space="preserve">Es así que en aras de tutelar la correcta aplicación de la ley, y términos de los </w:t>
      </w:r>
      <w:r w:rsidRPr="004610DB">
        <w:rPr>
          <w:rFonts w:ascii="Palatino Linotype" w:hAnsi="Palatino Linotype" w:cs="Arial"/>
        </w:rPr>
        <w:t>artículos</w:t>
      </w:r>
      <w:r w:rsidRPr="000D0DB4">
        <w:rPr>
          <w:rFonts w:ascii="Palatino Linotype" w:eastAsia="MS Mincho" w:hAnsi="Palatino Linotype"/>
        </w:rPr>
        <w:t xml:space="preserve">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w:t>
      </w:r>
      <w:proofErr w:type="spellStart"/>
      <w:r w:rsidRPr="000D0DB4">
        <w:rPr>
          <w:rFonts w:ascii="Palatino Linotype" w:eastAsia="MS Mincho" w:hAnsi="Palatino Linotype"/>
        </w:rPr>
        <w:t>refutantes</w:t>
      </w:r>
      <w:proofErr w:type="spellEnd"/>
      <w:r w:rsidRPr="000D0DB4">
        <w:rPr>
          <w:rFonts w:ascii="Palatino Linotype" w:eastAsia="MS Mincho" w:hAnsi="Palatino Linotype"/>
        </w:rPr>
        <w:t xml:space="preserve"> que cubran los elementos mínimos requeridos de la </w:t>
      </w:r>
      <w:r w:rsidRPr="000D0DB4">
        <w:rPr>
          <w:rFonts w:ascii="Palatino Linotype" w:eastAsia="MS Mincho" w:hAnsi="Palatino Linotype"/>
          <w:i/>
        </w:rPr>
        <w:t xml:space="preserve">causa </w:t>
      </w:r>
      <w:proofErr w:type="spellStart"/>
      <w:r w:rsidRPr="000D0DB4">
        <w:rPr>
          <w:rFonts w:ascii="Palatino Linotype" w:eastAsia="MS Mincho" w:hAnsi="Palatino Linotype"/>
          <w:i/>
        </w:rPr>
        <w:t>petendi</w:t>
      </w:r>
      <w:proofErr w:type="spellEnd"/>
      <w:r w:rsidRPr="000D0DB4">
        <w:rPr>
          <w:rFonts w:ascii="Palatino Linotype" w:eastAsia="MS Mincho" w:hAnsi="Palatino Linotype"/>
          <w:i/>
        </w:rPr>
        <w:t>, (</w:t>
      </w:r>
      <w:r w:rsidRPr="000D0DB4">
        <w:rPr>
          <w:rFonts w:ascii="Palatino Linotype" w:eastAsia="MS Mincho" w:hAnsi="Palatino Linotype"/>
        </w:rPr>
        <w:t>causa de pedir</w:t>
      </w:r>
      <w:r w:rsidRPr="000D0DB4">
        <w:rPr>
          <w:rFonts w:ascii="Palatino Linotype" w:eastAsia="MS Mincho" w:hAnsi="Palatino Linotype"/>
          <w:i/>
        </w:rPr>
        <w:t xml:space="preserve">) </w:t>
      </w:r>
      <w:r w:rsidRPr="000D0DB4">
        <w:rPr>
          <w:rFonts w:ascii="Palatino Linotype" w:eastAsia="MS Mincho" w:hAnsi="Palatino Linotype"/>
        </w:rPr>
        <w:t>aunado a que existe jurisprudencia que no obliga a los particulares a cubrir tales parámetros en las materias que admitan la suplencia de la queja deficiente</w:t>
      </w:r>
      <w:r w:rsidRPr="000D0DB4">
        <w:rPr>
          <w:rFonts w:ascii="Palatino Linotype" w:hAnsi="Palatino Linotype"/>
          <w:vertAlign w:val="superscript"/>
        </w:rPr>
        <w:footnoteReference w:id="6"/>
      </w:r>
      <w:r w:rsidRPr="000D0DB4">
        <w:rPr>
          <w:rFonts w:ascii="Palatino Linotype" w:eastAsia="MS Mincho" w:hAnsi="Palatino Linotype"/>
        </w:rPr>
        <w:t xml:space="preserve">. </w:t>
      </w:r>
    </w:p>
    <w:p w:rsidR="002C3FE3" w:rsidRPr="000D0DB4" w:rsidRDefault="002C3FE3" w:rsidP="002C3FE3">
      <w:pPr>
        <w:spacing w:line="360" w:lineRule="auto"/>
        <w:ind w:right="49"/>
        <w:contextualSpacing/>
        <w:jc w:val="both"/>
        <w:rPr>
          <w:rFonts w:ascii="Palatino Linotype" w:eastAsia="MS Mincho" w:hAnsi="Palatino Linotype"/>
          <w:b/>
        </w:rPr>
      </w:pPr>
    </w:p>
    <w:p w:rsidR="002C3FE3" w:rsidRDefault="002C3FE3" w:rsidP="00AE71C7">
      <w:pPr>
        <w:pStyle w:val="Prrafodelista"/>
        <w:numPr>
          <w:ilvl w:val="0"/>
          <w:numId w:val="15"/>
        </w:numPr>
        <w:spacing w:line="360" w:lineRule="auto"/>
        <w:ind w:left="0" w:firstLine="0"/>
        <w:jc w:val="both"/>
        <w:rPr>
          <w:rFonts w:ascii="Palatino Linotype" w:hAnsi="Palatino Linotype"/>
        </w:rPr>
      </w:pPr>
      <w:r w:rsidRPr="000D0DB4">
        <w:rPr>
          <w:rFonts w:ascii="Palatino Linotype" w:eastAsia="MS Mincho" w:hAnsi="Palatino Linotype"/>
        </w:rPr>
        <w:t>En ese orden de ideas, de una interpretación sistemática de la solicitud y los motivos de inconformidad aducidos, se puede establecer que el recurrente solicita</w:t>
      </w:r>
      <w:r>
        <w:rPr>
          <w:rFonts w:ascii="Palatino Linotype" w:eastAsia="MS Mincho" w:hAnsi="Palatino Linotype"/>
        </w:rPr>
        <w:t xml:space="preserve"> los consentimientos, aun y cuando fue enfático en señalar avisos de privacidad; sin embargo también es dable establecer que al ser uno anexo del otro, es dable ordenarse ambos y colmar a cabalidad el derecho de acceso a la información del hoy recurrente</w:t>
      </w:r>
      <w:r w:rsidR="00AE71C7">
        <w:rPr>
          <w:rFonts w:ascii="Palatino Linotype" w:eastAsia="MS Mincho" w:hAnsi="Palatino Linotype"/>
        </w:rPr>
        <w:t xml:space="preserve">, pues los anexos son considerados parte integral del documento principal. Sirve de sustento a lo anterior </w:t>
      </w:r>
      <w:r w:rsidR="007C5090">
        <w:rPr>
          <w:rFonts w:ascii="Palatino Linotype" w:eastAsia="MS Mincho" w:hAnsi="Palatino Linotype"/>
        </w:rPr>
        <w:t xml:space="preserve">a </w:t>
      </w:r>
      <w:r w:rsidR="007C5090" w:rsidRPr="007C5090">
        <w:rPr>
          <w:rFonts w:ascii="Palatino Linotype" w:eastAsia="MS Mincho" w:hAnsi="Palatino Linotype"/>
          <w:i/>
        </w:rPr>
        <w:t>contrario sensu</w:t>
      </w:r>
      <w:r w:rsidR="007C5090">
        <w:rPr>
          <w:rFonts w:ascii="Palatino Linotype" w:eastAsia="MS Mincho" w:hAnsi="Palatino Linotype"/>
        </w:rPr>
        <w:t xml:space="preserve"> </w:t>
      </w:r>
      <w:r w:rsidR="00AE71C7">
        <w:rPr>
          <w:rFonts w:ascii="Palatino Linotype" w:eastAsia="MS Mincho" w:hAnsi="Palatino Linotype"/>
        </w:rPr>
        <w:t xml:space="preserve">el Criterio 17/17, también </w:t>
      </w:r>
      <w:r w:rsidR="00AE71C7">
        <w:rPr>
          <w:rFonts w:ascii="Palatino Linotype" w:eastAsia="MS Mincho" w:hAnsi="Palatino Linotype"/>
        </w:rPr>
        <w:lastRenderedPageBreak/>
        <w:t xml:space="preserve">emitido por </w:t>
      </w:r>
      <w:r w:rsidR="00AE71C7" w:rsidRPr="00AE71C7">
        <w:rPr>
          <w:rFonts w:ascii="Palatino Linotype" w:eastAsia="MS Mincho" w:hAnsi="Palatino Linotype"/>
        </w:rPr>
        <w:t>Instituto Nacional de Transparencia, Acceso a la Información y Protección de Datos Personales</w:t>
      </w:r>
      <w:r w:rsidR="00AE71C7">
        <w:rPr>
          <w:rFonts w:ascii="Palatino Linotype" w:eastAsia="MS Mincho" w:hAnsi="Palatino Linotype"/>
        </w:rPr>
        <w:t>, a saber:</w:t>
      </w:r>
    </w:p>
    <w:p w:rsidR="002C3FE3" w:rsidRDefault="002C3FE3" w:rsidP="00EB4127">
      <w:pPr>
        <w:rPr>
          <w:rFonts w:ascii="Palatino Linotype" w:hAnsi="Palatino Linotype"/>
        </w:rPr>
      </w:pPr>
    </w:p>
    <w:p w:rsidR="00AE71C7" w:rsidRDefault="00AE71C7" w:rsidP="00AE71C7">
      <w:pPr>
        <w:spacing w:line="360" w:lineRule="auto"/>
        <w:ind w:left="426" w:right="474"/>
        <w:jc w:val="both"/>
        <w:rPr>
          <w:rFonts w:ascii="Palatino Linotype" w:hAnsi="Palatino Linotype"/>
          <w:i/>
        </w:rPr>
      </w:pPr>
      <w:r w:rsidRPr="00AE71C7">
        <w:rPr>
          <w:rFonts w:ascii="Palatino Linotype" w:hAnsi="Palatino Linotype"/>
          <w:i/>
        </w:rPr>
        <w:t>“</w:t>
      </w:r>
      <w:r w:rsidRPr="00AE71C7">
        <w:rPr>
          <w:rFonts w:ascii="Palatino Linotype" w:hAnsi="Palatino Linotype"/>
          <w:b/>
          <w:i/>
        </w:rPr>
        <w:t>Anexos de los documentos solicitados</w:t>
      </w:r>
      <w:r w:rsidRPr="00AE71C7">
        <w:rPr>
          <w:rFonts w:ascii="Palatino Linotype" w:hAnsi="Palatino Linotype"/>
          <w:i/>
        </w:rPr>
        <w:t xml:space="preserve">. Los anexos de un documento se consideran parte integral del mismo. Por lo anterior, </w:t>
      </w:r>
      <w:r w:rsidRPr="00AE71C7">
        <w:rPr>
          <w:rFonts w:ascii="Palatino Linotype" w:hAnsi="Palatino Linotype"/>
          <w:b/>
          <w:i/>
        </w:rPr>
        <w:t>ante solicitudes de información relacionadas con documentos que incluyen anexos, los sujetos obligados deberán entregarlos</w:t>
      </w:r>
      <w:r w:rsidRPr="00AE71C7">
        <w:rPr>
          <w:rFonts w:ascii="Palatino Linotype" w:hAnsi="Palatino Linotype"/>
          <w:i/>
        </w:rPr>
        <w:t>, con excepción de aquellos casos en que el solicitante manifieste expresamente su interés de acceder únicamente al documento principal.”</w:t>
      </w:r>
    </w:p>
    <w:p w:rsidR="00AE71C7" w:rsidRPr="00AE71C7" w:rsidRDefault="00AE71C7" w:rsidP="00AE71C7">
      <w:pPr>
        <w:spacing w:line="360" w:lineRule="auto"/>
        <w:ind w:left="426" w:right="474"/>
        <w:jc w:val="both"/>
        <w:rPr>
          <w:rFonts w:ascii="Palatino Linotype" w:hAnsi="Palatino Linotype"/>
        </w:rPr>
      </w:pPr>
      <w:r>
        <w:rPr>
          <w:rFonts w:ascii="Palatino Linotype" w:hAnsi="Palatino Linotype"/>
        </w:rPr>
        <w:t>Énfasis añadido</w:t>
      </w:r>
    </w:p>
    <w:p w:rsidR="00AE71C7" w:rsidRDefault="00AE71C7" w:rsidP="00EB4127">
      <w:pPr>
        <w:rPr>
          <w:rFonts w:ascii="Palatino Linotype" w:hAnsi="Palatino Linotype"/>
        </w:rPr>
      </w:pPr>
    </w:p>
    <w:p w:rsidR="00F648E1" w:rsidRPr="00745D07" w:rsidRDefault="007C5090" w:rsidP="00F648E1">
      <w:pPr>
        <w:numPr>
          <w:ilvl w:val="0"/>
          <w:numId w:val="15"/>
        </w:numPr>
        <w:spacing w:line="360" w:lineRule="auto"/>
        <w:ind w:left="0" w:firstLine="0"/>
        <w:contextualSpacing/>
        <w:jc w:val="both"/>
        <w:rPr>
          <w:rFonts w:ascii="Palatino Linotype" w:hAnsi="Palatino Linotype" w:cs="Arial"/>
          <w:lang w:val="es-ES"/>
        </w:rPr>
      </w:pPr>
      <w:r>
        <w:rPr>
          <w:rFonts w:ascii="Palatino Linotype" w:hAnsi="Palatino Linotype"/>
        </w:rPr>
        <w:t xml:space="preserve">Retomando, los casos en los que se requiere consentimiento expreso, y que son menores de edad, personas </w:t>
      </w:r>
      <w:proofErr w:type="spellStart"/>
      <w:r>
        <w:rPr>
          <w:rFonts w:ascii="Palatino Linotype" w:hAnsi="Palatino Linotype"/>
        </w:rPr>
        <w:t>interdictas</w:t>
      </w:r>
      <w:proofErr w:type="spellEnd"/>
      <w:r>
        <w:rPr>
          <w:rFonts w:ascii="Palatino Linotype" w:hAnsi="Palatino Linotype"/>
        </w:rPr>
        <w:t xml:space="preserve"> y personas incapaces,</w:t>
      </w:r>
      <w:r w:rsidR="00F648E1">
        <w:rPr>
          <w:rFonts w:ascii="Palatino Linotype" w:hAnsi="Palatino Linotype"/>
        </w:rPr>
        <w:t xml:space="preserve"> no existe certeza de que hayan sido fotografiadas y publicadas personas con esas características, ante la falta de respuesta del </w:t>
      </w:r>
      <w:r w:rsidR="00F648E1">
        <w:rPr>
          <w:rFonts w:ascii="Palatino Linotype" w:hAnsi="Palatino Linotype"/>
          <w:b/>
        </w:rPr>
        <w:t>SUJETO OBLIGADO</w:t>
      </w:r>
      <w:r w:rsidR="00F648E1" w:rsidRPr="00F648E1">
        <w:rPr>
          <w:rFonts w:ascii="Palatino Linotype" w:hAnsi="Palatino Linotype"/>
        </w:rPr>
        <w:t xml:space="preserve">, por lo que </w:t>
      </w:r>
      <w:r w:rsidR="00F648E1" w:rsidRPr="00745D07">
        <w:rPr>
          <w:rFonts w:ascii="Palatino Linotype" w:hAnsi="Palatino Linotype" w:cs="Arial"/>
          <w:lang w:val="es-ES"/>
        </w:rPr>
        <w:t xml:space="preserve">debe considerarse que aun cuando la información requerida corresponda a alguna función, facultad o competencia del </w:t>
      </w:r>
      <w:r w:rsidR="00F648E1" w:rsidRPr="00745D07">
        <w:rPr>
          <w:rFonts w:ascii="Palatino Linotype" w:hAnsi="Palatino Linotype" w:cs="Arial"/>
          <w:b/>
          <w:lang w:val="es-ES"/>
        </w:rPr>
        <w:t>SUJETO OBLIGADO</w:t>
      </w:r>
      <w:r w:rsidR="00F648E1" w:rsidRPr="00745D07">
        <w:rPr>
          <w:rFonts w:ascii="Palatino Linotype" w:hAnsi="Palatino Linotype" w:cs="Arial"/>
          <w:lang w:val="es-ES"/>
        </w:rPr>
        <w:t xml:space="preserve">, es posible que esta información no se localice, </w:t>
      </w:r>
      <w:r w:rsidR="00E7460A">
        <w:rPr>
          <w:rFonts w:ascii="Palatino Linotype" w:hAnsi="Palatino Linotype" w:cs="Arial"/>
          <w:lang w:val="es-ES"/>
        </w:rPr>
        <w:t>porque no se haya generado</w:t>
      </w:r>
      <w:r w:rsidR="00F648E1" w:rsidRPr="00745D07">
        <w:rPr>
          <w:rFonts w:ascii="Palatino Linotype" w:hAnsi="Palatino Linotype" w:cs="Arial"/>
          <w:lang w:val="es-ES"/>
        </w:rPr>
        <w:t>.</w:t>
      </w:r>
    </w:p>
    <w:p w:rsidR="00F648E1" w:rsidRPr="00745D07" w:rsidRDefault="00F648E1" w:rsidP="00F648E1">
      <w:pPr>
        <w:spacing w:line="360" w:lineRule="auto"/>
        <w:contextualSpacing/>
        <w:rPr>
          <w:rFonts w:ascii="Palatino Linotype" w:hAnsi="Palatino Linotype" w:cs="Arial"/>
          <w:lang w:val="es-ES"/>
        </w:rPr>
      </w:pPr>
    </w:p>
    <w:p w:rsidR="005D1419" w:rsidRPr="00AB76AB" w:rsidRDefault="005D1419" w:rsidP="005D1419">
      <w:pPr>
        <w:numPr>
          <w:ilvl w:val="0"/>
          <w:numId w:val="15"/>
        </w:numPr>
        <w:spacing w:line="360" w:lineRule="auto"/>
        <w:ind w:left="0" w:firstLine="0"/>
        <w:contextualSpacing/>
        <w:jc w:val="both"/>
        <w:rPr>
          <w:rFonts w:ascii="Palatino Linotype" w:hAnsi="Palatino Linotype" w:cs="Arial"/>
        </w:rPr>
      </w:pPr>
      <w:r w:rsidRPr="00AB76AB">
        <w:rPr>
          <w:rFonts w:ascii="Palatino Linotype" w:eastAsia="Palatino Linotype" w:hAnsi="Palatino Linotype" w:cs="Palatino Linotype"/>
          <w:color w:val="000000"/>
        </w:rPr>
        <w:t xml:space="preserve">En esa línea de pensamiento, si luego de la búsqueda exhaustiva y razonable de la información, </w:t>
      </w:r>
      <w:r w:rsidRPr="00AB76AB">
        <w:rPr>
          <w:rFonts w:ascii="Palatino Linotype" w:hAnsi="Palatino Linotype" w:cs="Arial"/>
        </w:rPr>
        <w:t>prevaleciera</w:t>
      </w:r>
      <w:r w:rsidRPr="00AB76AB">
        <w:rPr>
          <w:rFonts w:ascii="Palatino Linotype" w:eastAsia="Palatino Linotype" w:hAnsi="Palatino Linotype" w:cs="Palatino Linotype"/>
          <w:color w:val="000000"/>
        </w:rPr>
        <w:t xml:space="preserve"> el sentido de no contar con ninguna información al respecto </w:t>
      </w:r>
      <w:r w:rsidRPr="00AB76AB">
        <w:rPr>
          <w:rFonts w:ascii="Palatino Linotype" w:hAnsi="Palatino Linotype"/>
        </w:rPr>
        <w:t xml:space="preserve">se deberá dar observancia a lo dispuesto en la </w:t>
      </w:r>
      <w:r w:rsidRPr="00AB76AB">
        <w:rPr>
          <w:rFonts w:ascii="Palatino Linotype" w:hAnsi="Palatino Linotype" w:cs="Arial"/>
        </w:rPr>
        <w:t xml:space="preserve">Ley de Transparencia y Acceso a la Información Pública del Estado de México y Municipios, en su artículo 19, que dispone lo siguiente: </w:t>
      </w:r>
    </w:p>
    <w:p w:rsidR="005D1419" w:rsidRPr="00AB76AB" w:rsidRDefault="005D1419" w:rsidP="005D1419">
      <w:pPr>
        <w:pStyle w:val="Prrafodelista"/>
        <w:spacing w:line="360" w:lineRule="auto"/>
        <w:ind w:left="851" w:right="425"/>
        <w:jc w:val="both"/>
        <w:rPr>
          <w:rFonts w:ascii="Palatino Linotype" w:eastAsia="Calibri" w:hAnsi="Palatino Linotype"/>
          <w:b/>
          <w:i/>
        </w:rPr>
      </w:pPr>
    </w:p>
    <w:p w:rsidR="005D1419" w:rsidRPr="00AB76AB" w:rsidRDefault="005D1419" w:rsidP="005D1419">
      <w:pPr>
        <w:pStyle w:val="Prrafodelista"/>
        <w:spacing w:line="360" w:lineRule="auto"/>
        <w:ind w:left="567" w:right="425"/>
        <w:jc w:val="both"/>
        <w:rPr>
          <w:rFonts w:ascii="Palatino Linotype" w:eastAsia="Calibri" w:hAnsi="Palatino Linotype"/>
          <w:i/>
        </w:rPr>
      </w:pPr>
      <w:r w:rsidRPr="00AB76AB">
        <w:rPr>
          <w:rFonts w:ascii="Palatino Linotype" w:eastAsia="Calibri" w:hAnsi="Palatino Linotype"/>
          <w:b/>
          <w:i/>
        </w:rPr>
        <w:lastRenderedPageBreak/>
        <w:t>“Artículo 19.</w:t>
      </w:r>
      <w:r w:rsidRPr="00AB76AB">
        <w:rPr>
          <w:rFonts w:ascii="Palatino Linotype" w:eastAsia="Calibri" w:hAnsi="Palatino Linotype"/>
          <w:i/>
        </w:rPr>
        <w:t xml:space="preserve"> Se presume que la información debe existir si se refiere a las facultades, competencias y funciones que los ordenamientos jurídicos aplicables otorgan a los sujetos obligados.</w:t>
      </w:r>
    </w:p>
    <w:p w:rsidR="005D1419" w:rsidRPr="00AB76AB" w:rsidRDefault="005D1419" w:rsidP="005D1419">
      <w:pPr>
        <w:pStyle w:val="Prrafodelista"/>
        <w:spacing w:line="360" w:lineRule="auto"/>
        <w:ind w:left="567" w:right="425"/>
        <w:jc w:val="both"/>
        <w:rPr>
          <w:rFonts w:ascii="Palatino Linotype" w:eastAsia="Calibri" w:hAnsi="Palatino Linotype"/>
          <w:b/>
          <w:i/>
        </w:rPr>
      </w:pPr>
      <w:r w:rsidRPr="00AB76AB">
        <w:rPr>
          <w:rFonts w:ascii="Palatino Linotype" w:eastAsia="Calibri" w:hAnsi="Palatino Linotype"/>
          <w:b/>
          <w:i/>
        </w:rPr>
        <w:t>En los casos en que ciertas facultades, competencias o funciones no se hayan ejercido, se debe motivar la respuesta en función de las causas que motiven tal circunstancia.</w:t>
      </w:r>
    </w:p>
    <w:p w:rsidR="005D1419" w:rsidRPr="00AB76AB" w:rsidRDefault="005D1419" w:rsidP="005D1419">
      <w:pPr>
        <w:pStyle w:val="Prrafodelista"/>
        <w:spacing w:line="360" w:lineRule="auto"/>
        <w:ind w:left="567" w:right="425"/>
        <w:jc w:val="both"/>
        <w:rPr>
          <w:rFonts w:ascii="Palatino Linotype" w:eastAsia="Calibri" w:hAnsi="Palatino Linotype"/>
          <w:i/>
        </w:rPr>
      </w:pPr>
      <w:r w:rsidRPr="00AB76AB">
        <w:rPr>
          <w:rFonts w:ascii="Palatino Linotype" w:eastAsia="Calibri" w:hAnsi="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5D1419" w:rsidRPr="00AB76AB" w:rsidRDefault="005D1419" w:rsidP="005D1419">
      <w:pPr>
        <w:pStyle w:val="Prrafodelista"/>
        <w:spacing w:line="360" w:lineRule="auto"/>
        <w:ind w:left="567" w:right="425"/>
        <w:jc w:val="both"/>
        <w:rPr>
          <w:rFonts w:ascii="Palatino Linotype" w:eastAsia="Calibri" w:hAnsi="Palatino Linotype"/>
        </w:rPr>
      </w:pPr>
      <w:r w:rsidRPr="00AB76AB">
        <w:rPr>
          <w:rFonts w:ascii="Palatino Linotype" w:eastAsia="Calibri" w:hAnsi="Palatino Linotype"/>
        </w:rPr>
        <w:t>(Énfasis añadido)</w:t>
      </w:r>
    </w:p>
    <w:p w:rsidR="005D1419" w:rsidRPr="00AB76AB" w:rsidRDefault="005D1419" w:rsidP="005D1419">
      <w:pPr>
        <w:pStyle w:val="Prrafodelista"/>
        <w:spacing w:line="360" w:lineRule="auto"/>
        <w:ind w:left="567" w:right="425"/>
        <w:jc w:val="both"/>
        <w:rPr>
          <w:rFonts w:ascii="Palatino Linotype" w:eastAsia="Calibri" w:hAnsi="Palatino Linotype"/>
        </w:rPr>
      </w:pPr>
    </w:p>
    <w:p w:rsidR="005D1419" w:rsidRPr="00AB76AB" w:rsidRDefault="005D1419" w:rsidP="005D1419">
      <w:pPr>
        <w:numPr>
          <w:ilvl w:val="0"/>
          <w:numId w:val="15"/>
        </w:numPr>
        <w:spacing w:line="360" w:lineRule="auto"/>
        <w:ind w:left="0" w:firstLine="0"/>
        <w:contextualSpacing/>
        <w:jc w:val="both"/>
        <w:rPr>
          <w:rFonts w:ascii="Palatino Linotype" w:eastAsia="Calibri" w:hAnsi="Palatino Linotype"/>
        </w:rPr>
      </w:pPr>
      <w:r w:rsidRPr="00AB76AB">
        <w:rPr>
          <w:rFonts w:ascii="Palatino Linotype" w:eastAsia="Calibri" w:hAnsi="Palatino Linotype"/>
        </w:rPr>
        <w:t>El</w:t>
      </w:r>
      <w:r w:rsidRPr="00AB76AB">
        <w:rPr>
          <w:rFonts w:ascii="Palatino Linotype" w:eastAsia="Calibri" w:hAnsi="Palatino Linotype" w:cs="Arial"/>
        </w:rPr>
        <w:t xml:space="preserve"> </w:t>
      </w:r>
      <w:r w:rsidRPr="005D1419">
        <w:rPr>
          <w:rFonts w:ascii="Palatino Linotype" w:eastAsia="Palatino Linotype" w:hAnsi="Palatino Linotype" w:cs="Palatino Linotype"/>
          <w:color w:val="000000"/>
        </w:rPr>
        <w:t>segundo</w:t>
      </w:r>
      <w:r w:rsidRPr="00AB76AB">
        <w:rPr>
          <w:rFonts w:ascii="Palatino Linotype" w:eastAsia="Calibri" w:hAnsi="Palatino Linotype" w:cs="Arial"/>
        </w:rPr>
        <w:t xml:space="preserve"> párrafo, alude a actos no realizados y contemplados en alguna hipótesis </w:t>
      </w:r>
      <w:r w:rsidRPr="00AB76AB">
        <w:rPr>
          <w:rFonts w:ascii="Palatino Linotype" w:hAnsi="Palatino Linotype" w:cs="Arial"/>
        </w:rPr>
        <w:t>jurídica</w:t>
      </w:r>
      <w:r w:rsidRPr="00AB76AB">
        <w:rPr>
          <w:rFonts w:ascii="Palatino Linotype" w:hAnsi="Palatino Linotype"/>
        </w:rPr>
        <w:t>,</w:t>
      </w:r>
      <w:r w:rsidRPr="00AB76AB">
        <w:rPr>
          <w:rFonts w:ascii="Palatino Linotype" w:eastAsia="Calibri" w:hAnsi="Palatino Linotype" w:cs="Arial"/>
        </w:rPr>
        <w:t xml:space="preserve">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w:t>
      </w:r>
    </w:p>
    <w:p w:rsidR="005D1419" w:rsidRPr="00AB76AB" w:rsidRDefault="005D1419" w:rsidP="005D1419">
      <w:pPr>
        <w:pStyle w:val="Prrafodelista"/>
        <w:spacing w:line="360" w:lineRule="auto"/>
        <w:ind w:left="0"/>
        <w:jc w:val="both"/>
        <w:rPr>
          <w:rFonts w:ascii="Palatino Linotype" w:eastAsia="Calibri" w:hAnsi="Palatino Linotype"/>
        </w:rPr>
      </w:pPr>
    </w:p>
    <w:p w:rsidR="005D1419" w:rsidRPr="00AB76AB" w:rsidRDefault="005D1419" w:rsidP="005D1419">
      <w:pPr>
        <w:numPr>
          <w:ilvl w:val="0"/>
          <w:numId w:val="15"/>
        </w:numPr>
        <w:spacing w:line="360" w:lineRule="auto"/>
        <w:ind w:left="0" w:firstLine="0"/>
        <w:contextualSpacing/>
        <w:jc w:val="both"/>
        <w:rPr>
          <w:rFonts w:ascii="Palatino Linotype" w:eastAsia="Calibri" w:hAnsi="Palatino Linotype"/>
        </w:rPr>
      </w:pPr>
      <w:r w:rsidRPr="00AB76AB">
        <w:rPr>
          <w:rFonts w:ascii="Palatino Linotype" w:eastAsia="Calibri" w:hAnsi="Palatino Linotype" w:cs="Arial"/>
        </w:rPr>
        <w:t xml:space="preserve">En estos casos, el sujeto obligado, al emitir su respuesta o cumplir con la resolución </w:t>
      </w:r>
      <w:r w:rsidRPr="00AB76AB">
        <w:rPr>
          <w:rFonts w:ascii="Palatino Linotype" w:hAnsi="Palatino Linotype" w:cs="Arial"/>
        </w:rPr>
        <w:t>emitida</w:t>
      </w:r>
      <w:r w:rsidRPr="00AB76AB">
        <w:rPr>
          <w:rFonts w:ascii="Palatino Linotype" w:eastAsia="Calibri" w:hAnsi="Palatino Linotype" w:cs="Arial"/>
        </w:rPr>
        <w:t xml:space="preserve"> por éste Órgano Garante, para el caso de no encontrar información al respecto deberá manifestar, de manera precisa y clara, las razones que expliquen las causas por las que no se ha realizado el acto de autoridad y, en consecuencia, no se ha documentado decisión alguna.</w:t>
      </w:r>
    </w:p>
    <w:p w:rsidR="00E7460A" w:rsidRDefault="009845EF" w:rsidP="00E7460A">
      <w:pPr>
        <w:numPr>
          <w:ilvl w:val="0"/>
          <w:numId w:val="15"/>
        </w:numPr>
        <w:spacing w:line="360" w:lineRule="auto"/>
        <w:ind w:left="0" w:firstLine="0"/>
        <w:contextualSpacing/>
        <w:jc w:val="both"/>
        <w:rPr>
          <w:rFonts w:ascii="Palatino Linotype" w:hAnsi="Palatino Linotype" w:cs="Arial"/>
        </w:rPr>
      </w:pPr>
      <w:r>
        <w:rPr>
          <w:rFonts w:ascii="Palatino Linotype" w:hAnsi="Palatino Linotype" w:cs="Arial"/>
        </w:rPr>
        <w:lastRenderedPageBreak/>
        <w:t>Por lo anteriormente expuesto</w:t>
      </w:r>
      <w:r w:rsidR="00E7460A" w:rsidRPr="00FC7E81">
        <w:rPr>
          <w:rFonts w:ascii="Palatino Linotype" w:hAnsi="Palatino Linotype" w:cs="Arial"/>
        </w:rPr>
        <w:t xml:space="preserve">, se actualizan los principios de presunción de existencia y el </w:t>
      </w:r>
      <w:r w:rsidR="00E7460A" w:rsidRPr="009845EF">
        <w:rPr>
          <w:rFonts w:ascii="Palatino Linotype" w:hAnsi="Palatino Linotype" w:cs="Arial"/>
          <w:b/>
        </w:rPr>
        <w:t xml:space="preserve">principio de documentar </w:t>
      </w:r>
      <w:r w:rsidRPr="009845EF">
        <w:rPr>
          <w:rFonts w:ascii="Palatino Linotype" w:hAnsi="Palatino Linotype" w:cs="Arial"/>
          <w:b/>
        </w:rPr>
        <w:t>por probablemente corresponder a soporte documental generado por una administración pública municipal anterior a la actual</w:t>
      </w:r>
      <w:r>
        <w:rPr>
          <w:rFonts w:ascii="Palatino Linotype" w:hAnsi="Palatino Linotype" w:cs="Arial"/>
        </w:rPr>
        <w:t xml:space="preserve">, </w:t>
      </w:r>
      <w:r w:rsidR="00E7460A" w:rsidRPr="00FC7E81">
        <w:rPr>
          <w:rFonts w:ascii="Palatino Linotype" w:hAnsi="Palatino Linotype" w:cs="Arial"/>
        </w:rPr>
        <w:t xml:space="preserve">que corresponde a los sujetos obligados cuando se refiere a las facultades, competencias o funciones que tienen encomendadas, así como a la obligatoriedad que tienen los funcionarios de documentar el ejercicio de sus atribuciones y funciones. </w:t>
      </w:r>
    </w:p>
    <w:p w:rsidR="00E7460A" w:rsidRPr="00FC7E81" w:rsidRDefault="00E7460A" w:rsidP="00E7460A">
      <w:pPr>
        <w:pStyle w:val="Prrafodelista"/>
        <w:spacing w:line="360" w:lineRule="auto"/>
        <w:ind w:left="426" w:right="142"/>
        <w:jc w:val="both"/>
        <w:rPr>
          <w:rFonts w:ascii="Palatino Linotype" w:hAnsi="Palatino Linotype" w:cs="Arial"/>
        </w:rPr>
      </w:pPr>
    </w:p>
    <w:p w:rsidR="00E7460A" w:rsidRPr="00002446" w:rsidRDefault="00E7460A" w:rsidP="00E7460A">
      <w:pPr>
        <w:numPr>
          <w:ilvl w:val="0"/>
          <w:numId w:val="15"/>
        </w:numPr>
        <w:spacing w:line="360" w:lineRule="auto"/>
        <w:ind w:left="0" w:firstLine="0"/>
        <w:contextualSpacing/>
        <w:jc w:val="both"/>
        <w:rPr>
          <w:rFonts w:ascii="Palatino Linotype" w:eastAsia="Times New Roman" w:hAnsi="Palatino Linotype" w:cs="Arial"/>
          <w:lang w:val="es-ES" w:eastAsia="es-MX"/>
        </w:rPr>
      </w:pPr>
      <w:r w:rsidRPr="008B00F7">
        <w:rPr>
          <w:rFonts w:ascii="Palatino Linotype" w:eastAsia="Times New Roman" w:hAnsi="Palatino Linotype" w:cs="Arial"/>
          <w:lang w:val="es-ES" w:eastAsia="es-MX"/>
        </w:rPr>
        <w:t xml:space="preserve">De la misma forma, </w:t>
      </w:r>
      <w:r w:rsidRPr="008B00F7">
        <w:rPr>
          <w:rFonts w:ascii="Palatino Linotype" w:eastAsia="MS Mincho" w:hAnsi="Palatino Linotype" w:cs="Times New Roman"/>
        </w:rPr>
        <w:t>de acuerdo al contenido del artículo 160</w:t>
      </w:r>
      <w:r w:rsidRPr="008B00F7">
        <w:rPr>
          <w:rFonts w:ascii="Palatino Linotype" w:eastAsia="Times New Roman" w:hAnsi="Palatino Linotype" w:cs="Arial"/>
        </w:rPr>
        <w:t xml:space="preserve"> de la Ley </w:t>
      </w:r>
      <w:r w:rsidRPr="008B00F7">
        <w:rPr>
          <w:rFonts w:ascii="Palatino Linotype" w:eastAsia="MS Mincho" w:hAnsi="Palatino Linotype" w:cs="Tahoma"/>
        </w:rPr>
        <w:t xml:space="preserve">General de </w:t>
      </w:r>
      <w:r w:rsidRPr="00002446">
        <w:rPr>
          <w:rFonts w:ascii="Palatino Linotype" w:hAnsi="Palatino Linotype" w:cs="Arial"/>
        </w:rPr>
        <w:t>Transparencia</w:t>
      </w:r>
      <w:r w:rsidRPr="008B00F7">
        <w:rPr>
          <w:rFonts w:ascii="Palatino Linotype" w:eastAsia="MS Mincho" w:hAnsi="Palatino Linotype" w:cs="Tahoma"/>
        </w:rPr>
        <w:t xml:space="preserve"> y Acceso a la Información Pública que a la letra dispone:</w:t>
      </w:r>
    </w:p>
    <w:p w:rsidR="00E7460A" w:rsidRDefault="00E7460A" w:rsidP="00E7460A">
      <w:pPr>
        <w:pStyle w:val="Prrafodelista"/>
        <w:rPr>
          <w:rFonts w:ascii="Palatino Linotype" w:eastAsia="Times New Roman" w:hAnsi="Palatino Linotype" w:cs="Arial"/>
          <w:lang w:val="es-ES" w:eastAsia="es-MX"/>
        </w:rPr>
      </w:pPr>
    </w:p>
    <w:p w:rsidR="00E7460A" w:rsidRDefault="00E7460A" w:rsidP="00E7460A">
      <w:pPr>
        <w:spacing w:line="360" w:lineRule="auto"/>
        <w:ind w:left="709" w:right="616"/>
        <w:contextualSpacing/>
        <w:jc w:val="both"/>
        <w:rPr>
          <w:rFonts w:ascii="Palatino Linotype" w:eastAsia="Times New Roman" w:hAnsi="Palatino Linotype" w:cs="Arial"/>
          <w:i/>
          <w:lang w:eastAsia="gl-ES"/>
        </w:rPr>
      </w:pPr>
      <w:r w:rsidRPr="00FC7E81">
        <w:rPr>
          <w:rFonts w:ascii="Palatino Linotype" w:eastAsia="Times New Roman" w:hAnsi="Palatino Linotype" w:cs="Arial"/>
          <w:b/>
          <w:i/>
          <w:lang w:eastAsia="gl-ES"/>
        </w:rPr>
        <w:t>Artículo 160</w:t>
      </w:r>
      <w:r w:rsidRPr="00FC7E81">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E7460A" w:rsidRPr="00203D33" w:rsidRDefault="00E7460A" w:rsidP="00E7460A">
      <w:pPr>
        <w:spacing w:line="360" w:lineRule="auto"/>
        <w:ind w:left="851" w:right="616"/>
        <w:contextualSpacing/>
        <w:jc w:val="both"/>
        <w:rPr>
          <w:rFonts w:ascii="Palatino Linotype" w:eastAsia="Times New Roman" w:hAnsi="Palatino Linotype" w:cs="Arial"/>
          <w:i/>
          <w:lang w:eastAsia="gl-ES"/>
        </w:rPr>
      </w:pPr>
    </w:p>
    <w:p w:rsidR="00E7460A" w:rsidRDefault="009845EF" w:rsidP="00E7460A">
      <w:pPr>
        <w:numPr>
          <w:ilvl w:val="0"/>
          <w:numId w:val="15"/>
        </w:numPr>
        <w:spacing w:line="360" w:lineRule="auto"/>
        <w:ind w:left="0" w:firstLine="0"/>
        <w:contextualSpacing/>
        <w:jc w:val="both"/>
        <w:rPr>
          <w:rFonts w:ascii="Palatino Linotype" w:eastAsia="Calibri" w:hAnsi="Palatino Linotype" w:cs="Arial"/>
        </w:rPr>
      </w:pPr>
      <w:r>
        <w:rPr>
          <w:rFonts w:ascii="Palatino Linotype" w:eastAsia="Calibri" w:hAnsi="Palatino Linotype" w:cs="Arial"/>
        </w:rPr>
        <w:t>Así, c</w:t>
      </w:r>
      <w:r w:rsidR="00E7460A" w:rsidRPr="007238F4">
        <w:rPr>
          <w:rFonts w:ascii="Palatino Linotype" w:eastAsia="Calibri" w:hAnsi="Palatino Linotype" w:cs="Arial"/>
        </w:rPr>
        <w:t xml:space="preserve">omo se puede advertir el derecho del particular de acceder a los documentos que obran en posesión del </w:t>
      </w:r>
      <w:r w:rsidRPr="009845EF">
        <w:rPr>
          <w:rFonts w:ascii="Palatino Linotype" w:eastAsia="Calibri" w:hAnsi="Palatino Linotype" w:cs="Arial"/>
          <w:b/>
        </w:rPr>
        <w:t>SUJETO OBLIGADO</w:t>
      </w:r>
      <w:r w:rsidRPr="007238F4">
        <w:rPr>
          <w:rFonts w:ascii="Palatino Linotype" w:eastAsia="Calibri" w:hAnsi="Palatino Linotype" w:cs="Arial"/>
        </w:rPr>
        <w:t xml:space="preserve"> </w:t>
      </w:r>
      <w:r w:rsidR="00E7460A" w:rsidRPr="007238F4">
        <w:rPr>
          <w:rFonts w:ascii="Palatino Linotype" w:eastAsia="Calibri" w:hAnsi="Palatino Linotype" w:cs="Arial"/>
        </w:rPr>
        <w:t xml:space="preserve">se encuentra limitado, en virtud de que </w:t>
      </w:r>
      <w:r w:rsidR="00E7460A">
        <w:rPr>
          <w:rFonts w:ascii="Palatino Linotype" w:eastAsia="Calibri" w:hAnsi="Palatino Linotype" w:cs="Arial"/>
        </w:rPr>
        <w:t>no le fue entregada la información;</w:t>
      </w:r>
      <w:r w:rsidR="00E7460A" w:rsidRPr="007238F4">
        <w:rPr>
          <w:rFonts w:ascii="Palatino Linotype" w:eastAsia="Calibri" w:hAnsi="Palatino Linotype" w:cs="Arial"/>
        </w:rPr>
        <w:t xml:space="preserve"> </w:t>
      </w:r>
      <w:r>
        <w:rPr>
          <w:rFonts w:ascii="Palatino Linotype" w:eastAsia="Calibri" w:hAnsi="Palatino Linotype" w:cs="Arial"/>
        </w:rPr>
        <w:t>se incumplió</w:t>
      </w:r>
      <w:r w:rsidR="00E7460A" w:rsidRPr="007238F4">
        <w:rPr>
          <w:rFonts w:ascii="Palatino Linotype" w:eastAsia="Calibri" w:hAnsi="Palatino Linotype" w:cs="Arial"/>
        </w:rPr>
        <w:t xml:space="preserve"> lo previsto en el artículo 4 de la Ley de la Materia, toda vez que el derecho de acceso a la información se define como la prerrogativa que tiene toda persona para acceder a la información generada, administrada o en poder de los sujetos obligados; apegándose en todo momento al principio de máxima publicidad consagrado en la Constitución Política </w:t>
      </w:r>
      <w:r w:rsidR="00E7460A" w:rsidRPr="007238F4">
        <w:rPr>
          <w:rFonts w:ascii="Palatino Linotype" w:eastAsia="Calibri" w:hAnsi="Palatino Linotype" w:cs="Arial"/>
        </w:rPr>
        <w:lastRenderedPageBreak/>
        <w:t xml:space="preserve">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solo podrá ser reservada temporalmente por razones de interés público en los términos que fijen las leyes; y al </w:t>
      </w:r>
      <w:r w:rsidR="00E7460A" w:rsidRPr="001D5E13">
        <w:rPr>
          <w:rFonts w:ascii="Palatino Linotype" w:eastAsia="Calibri" w:hAnsi="Palatino Linotype" w:cs="Arial"/>
        </w:rPr>
        <w:t>reconocerse como un derecho fundamental es que todo Sujeto Obligado debe ceñir su actuar a la conservación patrimonial de sus archivos documentales y posteriormente el acceso de la información pública.</w:t>
      </w:r>
    </w:p>
    <w:p w:rsidR="00E7460A" w:rsidRPr="00002446" w:rsidRDefault="00E7460A" w:rsidP="00E7460A">
      <w:pPr>
        <w:spacing w:line="360" w:lineRule="auto"/>
        <w:contextualSpacing/>
        <w:jc w:val="both"/>
        <w:rPr>
          <w:rFonts w:ascii="Palatino Linotype" w:hAnsi="Palatino Linotype" w:cs="Arial"/>
        </w:rPr>
      </w:pPr>
    </w:p>
    <w:p w:rsidR="00E7460A" w:rsidRDefault="00E7460A" w:rsidP="00E7460A">
      <w:pPr>
        <w:numPr>
          <w:ilvl w:val="0"/>
          <w:numId w:val="15"/>
        </w:numPr>
        <w:spacing w:line="360" w:lineRule="auto"/>
        <w:ind w:left="0" w:firstLine="0"/>
        <w:contextualSpacing/>
        <w:jc w:val="both"/>
        <w:rPr>
          <w:rFonts w:ascii="Palatino Linotype" w:hAnsi="Palatino Linotype" w:cs="Arial"/>
        </w:rPr>
      </w:pPr>
      <w:r w:rsidRPr="00002446">
        <w:rPr>
          <w:rFonts w:ascii="Palatino Linotype" w:eastAsia="Calibri" w:hAnsi="Palatino Linotype" w:cs="Arial"/>
        </w:rPr>
        <w:t>Consecuentemente</w:t>
      </w:r>
      <w:r w:rsidRPr="007238F4">
        <w:rPr>
          <w:rFonts w:ascii="Palatino Linotype" w:hAnsi="Palatino Linotype"/>
        </w:rPr>
        <w:t xml:space="preserve">, no </w:t>
      </w:r>
      <w:r>
        <w:rPr>
          <w:rFonts w:ascii="Palatino Linotype" w:hAnsi="Palatino Linotype"/>
        </w:rPr>
        <w:t>fue</w:t>
      </w:r>
      <w:r w:rsidRPr="007238F4">
        <w:rPr>
          <w:rFonts w:ascii="Palatino Linotype" w:hAnsi="Palatino Linotype"/>
        </w:rPr>
        <w:t xml:space="preserve"> posible tener por satisfecho el derecho de acceso a la información del hoy recurrente</w:t>
      </w:r>
      <w:r w:rsidRPr="007238F4">
        <w:rPr>
          <w:rFonts w:ascii="Palatino Linotype" w:hAnsi="Palatino Linotype"/>
          <w:b/>
          <w:i/>
        </w:rPr>
        <w:t xml:space="preserve"> </w:t>
      </w:r>
      <w:r w:rsidRPr="007238F4">
        <w:rPr>
          <w:rFonts w:ascii="Palatino Linotype" w:hAnsi="Palatino Linotype"/>
        </w:rPr>
        <w:t xml:space="preserve">en virtud de que </w:t>
      </w:r>
      <w:r>
        <w:rPr>
          <w:rFonts w:ascii="Palatino Linotype" w:hAnsi="Palatino Linotype"/>
        </w:rPr>
        <w:t>en</w:t>
      </w:r>
      <w:r w:rsidRPr="001D5E13">
        <w:rPr>
          <w:rFonts w:ascii="Palatino Linotype" w:hAnsi="Palatino Linotype" w:cs="Arial"/>
        </w:rPr>
        <w:t xml:space="preserve"> primer término es preciso referir que estamos ante el escenario de documentos los cuales son </w:t>
      </w:r>
      <w:r>
        <w:rPr>
          <w:rFonts w:ascii="Palatino Linotype" w:hAnsi="Palatino Linotype" w:cs="Arial"/>
        </w:rPr>
        <w:t>considerados públicos, es decir</w:t>
      </w:r>
      <w:r w:rsidRPr="001D5E13">
        <w:rPr>
          <w:rFonts w:ascii="Palatino Linotype" w:hAnsi="Palatino Linotype" w:cs="Arial"/>
        </w:rPr>
        <w:t>, la naturaleza de los oficios y de los asuntos que</w:t>
      </w:r>
      <w:r>
        <w:rPr>
          <w:rFonts w:ascii="Palatino Linotype" w:hAnsi="Palatino Linotype" w:cs="Arial"/>
        </w:rPr>
        <w:t xml:space="preserve"> se traten</w:t>
      </w:r>
      <w:r w:rsidRPr="001D5E13">
        <w:rPr>
          <w:rFonts w:ascii="Palatino Linotype" w:hAnsi="Palatino Linotype" w:cs="Arial"/>
        </w:rPr>
        <w:t>, sirve de referencia los artículos 1, 2, 5 y 6 de la Ley de Documentos Administrativos e Históricos del Estado de México que a continuación se trascriben:</w:t>
      </w:r>
    </w:p>
    <w:p w:rsidR="00E7460A" w:rsidRDefault="00E7460A" w:rsidP="00E7460A">
      <w:pPr>
        <w:pStyle w:val="Prrafodelista"/>
        <w:rPr>
          <w:rFonts w:ascii="Palatino Linotype" w:hAnsi="Palatino Linotype" w:cs="Arial"/>
        </w:rPr>
      </w:pPr>
    </w:p>
    <w:p w:rsidR="00E7460A" w:rsidRDefault="00E7460A" w:rsidP="00E7460A">
      <w:pPr>
        <w:spacing w:line="360" w:lineRule="auto"/>
        <w:ind w:left="567" w:right="616"/>
        <w:jc w:val="both"/>
        <w:rPr>
          <w:rFonts w:ascii="Palatino Linotype" w:hAnsi="Palatino Linotype" w:cs="Arial"/>
          <w:i/>
        </w:rPr>
      </w:pPr>
      <w:r w:rsidRPr="001D5E13">
        <w:rPr>
          <w:rFonts w:ascii="Palatino Linotype" w:hAnsi="Palatino Linotype" w:cs="Arial"/>
          <w:i/>
        </w:rPr>
        <w:t xml:space="preserve">“Artículo 1. La presente Ley, </w:t>
      </w:r>
      <w:r w:rsidRPr="001D5E13">
        <w:rPr>
          <w:rFonts w:ascii="Palatino Linotype" w:hAnsi="Palatino Linotype" w:cs="Arial"/>
          <w:b/>
          <w:i/>
          <w:u w:val="single"/>
        </w:rPr>
        <w:t xml:space="preserve">es de orden público e interés social y tiene por objeto normar y regular la administración de documentos administrativos </w:t>
      </w:r>
      <w:r w:rsidRPr="00943C74">
        <w:rPr>
          <w:rFonts w:ascii="Palatino Linotype" w:hAnsi="Palatino Linotype" w:cs="Arial"/>
          <w:i/>
        </w:rPr>
        <w:t>e históricos</w:t>
      </w:r>
      <w:r w:rsidRPr="001D5E13">
        <w:rPr>
          <w:rFonts w:ascii="Palatino Linotype" w:hAnsi="Palatino Linotype" w:cs="Arial"/>
          <w:b/>
          <w:i/>
          <w:u w:val="single"/>
        </w:rPr>
        <w:t xml:space="preserve"> de las autoridades del Estado</w:t>
      </w:r>
      <w:r w:rsidRPr="001D5E13">
        <w:rPr>
          <w:rFonts w:ascii="Palatino Linotype" w:hAnsi="Palatino Linotype" w:cs="Arial"/>
          <w:i/>
        </w:rPr>
        <w:t xml:space="preserve"> y los municipios en el ámbito de su competencia. Se entiende por documento, cualquier objeto o archivo electrónico o de cualquier otra tecnología existente que pueda dar constancia de un hecho.”</w:t>
      </w:r>
    </w:p>
    <w:p w:rsidR="009845EF" w:rsidRPr="001D5E13" w:rsidRDefault="009845EF" w:rsidP="00E7460A">
      <w:pPr>
        <w:spacing w:line="360" w:lineRule="auto"/>
        <w:ind w:left="567" w:right="616"/>
        <w:jc w:val="both"/>
        <w:rPr>
          <w:rFonts w:ascii="Palatino Linotype" w:hAnsi="Palatino Linotype" w:cs="Arial"/>
          <w:i/>
        </w:rPr>
      </w:pPr>
    </w:p>
    <w:p w:rsidR="00E7460A" w:rsidRPr="001D5E13" w:rsidRDefault="00E7460A" w:rsidP="00E7460A">
      <w:pPr>
        <w:spacing w:line="360" w:lineRule="auto"/>
        <w:ind w:left="567" w:right="616"/>
        <w:jc w:val="both"/>
        <w:rPr>
          <w:rFonts w:ascii="Palatino Linotype" w:hAnsi="Palatino Linotype" w:cs="Arial"/>
          <w:b/>
          <w:i/>
          <w:u w:val="single"/>
        </w:rPr>
      </w:pPr>
      <w:r w:rsidRPr="001D5E13">
        <w:rPr>
          <w:rFonts w:ascii="Palatino Linotype" w:hAnsi="Palatino Linotype" w:cs="Arial"/>
          <w:i/>
        </w:rPr>
        <w:t xml:space="preserve">“Artículo 2.- Para los efectos de esta Ley, </w:t>
      </w:r>
      <w:r w:rsidRPr="001D5E13">
        <w:rPr>
          <w:rFonts w:ascii="Palatino Linotype" w:hAnsi="Palatino Linotype" w:cs="Arial"/>
          <w:b/>
          <w:i/>
          <w:u w:val="single"/>
        </w:rPr>
        <w:t xml:space="preserve">se entiende por Administración de Documentos: </w:t>
      </w:r>
    </w:p>
    <w:p w:rsidR="00E7460A" w:rsidRPr="001D5E13" w:rsidRDefault="00E7460A" w:rsidP="00E7460A">
      <w:pPr>
        <w:spacing w:line="360" w:lineRule="auto"/>
        <w:ind w:left="567" w:right="616"/>
        <w:jc w:val="both"/>
        <w:rPr>
          <w:rFonts w:ascii="Palatino Linotype" w:hAnsi="Palatino Linotype" w:cs="Arial"/>
          <w:i/>
        </w:rPr>
      </w:pPr>
      <w:r w:rsidRPr="001D5E13">
        <w:rPr>
          <w:rFonts w:ascii="Palatino Linotype" w:hAnsi="Palatino Linotype" w:cs="Arial"/>
          <w:i/>
        </w:rPr>
        <w:lastRenderedPageBreak/>
        <w:t xml:space="preserve">a) </w:t>
      </w:r>
      <w:r w:rsidRPr="001D5E13">
        <w:rPr>
          <w:rFonts w:ascii="Palatino Linotype" w:hAnsi="Palatino Linotype" w:cs="Arial"/>
          <w:b/>
          <w:i/>
          <w:u w:val="single"/>
        </w:rPr>
        <w:t>Los actos tendientes a inventariar, regular, coordinar y dinamizar el funcionamiento y uso de los documentos existentes</w:t>
      </w:r>
      <w:r w:rsidRPr="001D5E13">
        <w:rPr>
          <w:rFonts w:ascii="Palatino Linotype" w:hAnsi="Palatino Linotype" w:cs="Arial"/>
          <w:i/>
        </w:rPr>
        <w:t xml:space="preserve"> en los Archivos Administrativos e Históricos de los Poderes del Estado, Municipios y Organismos Auxiliares y en su caso, los que posean particulares.</w:t>
      </w:r>
    </w:p>
    <w:p w:rsidR="00E7460A" w:rsidRDefault="00E7460A" w:rsidP="00E7460A">
      <w:pPr>
        <w:spacing w:line="360" w:lineRule="auto"/>
        <w:ind w:left="567" w:right="616"/>
        <w:jc w:val="both"/>
        <w:rPr>
          <w:rFonts w:ascii="Palatino Linotype" w:hAnsi="Palatino Linotype" w:cs="Arial"/>
          <w:i/>
        </w:rPr>
      </w:pPr>
      <w:r w:rsidRPr="001D5E13">
        <w:rPr>
          <w:rFonts w:ascii="Palatino Linotype" w:hAnsi="Palatino Linotype" w:cs="Arial"/>
          <w:i/>
        </w:rPr>
        <w:t xml:space="preserve">b) </w:t>
      </w:r>
      <w:r w:rsidRPr="001D5E13">
        <w:rPr>
          <w:rFonts w:ascii="Palatino Linotype" w:hAnsi="Palatino Linotype" w:cs="Arial"/>
          <w:b/>
          <w:i/>
          <w:u w:val="single"/>
        </w:rPr>
        <w:t>Los actos que se realicen para generar, recibir, mantener, custodiar, reconstruir, depurar o destruir Documentos Administrativos</w:t>
      </w:r>
      <w:r w:rsidRPr="001D5E13">
        <w:rPr>
          <w:rFonts w:ascii="Palatino Linotype" w:hAnsi="Palatino Linotype" w:cs="Arial"/>
          <w:i/>
        </w:rPr>
        <w:t xml:space="preserve"> o Históricos, que por su importancia sean fuentes esenciales de información acerca del pasado y presente de la vida institucional del Estado.”</w:t>
      </w:r>
    </w:p>
    <w:p w:rsidR="00E7460A" w:rsidRPr="001D5E13" w:rsidRDefault="00E7460A" w:rsidP="00E7460A">
      <w:pPr>
        <w:spacing w:line="360" w:lineRule="auto"/>
        <w:ind w:left="567" w:right="616"/>
        <w:jc w:val="both"/>
        <w:rPr>
          <w:rFonts w:ascii="Palatino Linotype" w:hAnsi="Palatino Linotype" w:cs="Arial"/>
          <w:i/>
        </w:rPr>
      </w:pPr>
    </w:p>
    <w:p w:rsidR="00E7460A" w:rsidRDefault="00E7460A" w:rsidP="00E7460A">
      <w:pPr>
        <w:spacing w:line="360" w:lineRule="auto"/>
        <w:ind w:left="567" w:right="616"/>
        <w:jc w:val="both"/>
        <w:rPr>
          <w:rFonts w:ascii="Palatino Linotype" w:hAnsi="Palatino Linotype" w:cs="Arial"/>
          <w:i/>
        </w:rPr>
      </w:pPr>
      <w:r w:rsidRPr="001D5E13">
        <w:rPr>
          <w:rFonts w:ascii="Palatino Linotype" w:hAnsi="Palatino Linotype" w:cs="Arial"/>
          <w:i/>
        </w:rPr>
        <w:t>“Artículo 3.- Los sujetos públicos encargados de realizar los actos a que se refiere el artículo anterior, son los Poderes del Estado, Municipios y Organismos Auxiliares. Los usuarios, son aquellas personas, que reciben el beneficio del uso temporal y controlado de los Documentos que obran en los Archivos.”</w:t>
      </w:r>
    </w:p>
    <w:p w:rsidR="00E7460A" w:rsidRPr="001D5E13" w:rsidRDefault="00E7460A" w:rsidP="00E7460A">
      <w:pPr>
        <w:spacing w:line="360" w:lineRule="auto"/>
        <w:ind w:left="567" w:right="616"/>
        <w:jc w:val="both"/>
        <w:rPr>
          <w:rFonts w:ascii="Palatino Linotype" w:hAnsi="Palatino Linotype" w:cs="Arial"/>
          <w:i/>
        </w:rPr>
      </w:pPr>
    </w:p>
    <w:p w:rsidR="00E7460A" w:rsidRDefault="00E7460A" w:rsidP="00E7460A">
      <w:pPr>
        <w:spacing w:line="360" w:lineRule="auto"/>
        <w:ind w:left="567" w:right="616"/>
        <w:jc w:val="both"/>
        <w:rPr>
          <w:rFonts w:ascii="Palatino Linotype" w:hAnsi="Palatino Linotype" w:cs="Arial"/>
          <w:b/>
          <w:i/>
          <w:u w:val="single"/>
        </w:rPr>
      </w:pPr>
      <w:r w:rsidRPr="001D5E13">
        <w:rPr>
          <w:rFonts w:ascii="Palatino Linotype" w:hAnsi="Palatino Linotype" w:cs="Arial"/>
          <w:i/>
        </w:rPr>
        <w:t xml:space="preserve">“Artículo 5.- </w:t>
      </w:r>
      <w:r w:rsidRPr="001D5E13">
        <w:rPr>
          <w:rFonts w:ascii="Palatino Linotype" w:hAnsi="Palatino Linotype" w:cs="Arial"/>
          <w:b/>
          <w:i/>
          <w:u w:val="single"/>
        </w:rPr>
        <w:t>El servidor público, encargado de recibir documentos, los registrará en el acto de su recepción, indicando el destino que deba darse a cada uno</w:t>
      </w:r>
    </w:p>
    <w:p w:rsidR="00E7460A" w:rsidRPr="001D5E13" w:rsidRDefault="00E7460A" w:rsidP="00E7460A">
      <w:pPr>
        <w:spacing w:line="360" w:lineRule="auto"/>
        <w:ind w:left="567" w:right="616"/>
        <w:jc w:val="both"/>
        <w:rPr>
          <w:rFonts w:ascii="Palatino Linotype" w:hAnsi="Palatino Linotype" w:cs="Arial"/>
          <w:i/>
        </w:rPr>
      </w:pPr>
    </w:p>
    <w:p w:rsidR="00E7460A" w:rsidRDefault="00E7460A" w:rsidP="00E7460A">
      <w:pPr>
        <w:spacing w:line="360" w:lineRule="auto"/>
        <w:ind w:left="567" w:right="616"/>
        <w:jc w:val="both"/>
        <w:rPr>
          <w:rFonts w:ascii="Palatino Linotype" w:hAnsi="Palatino Linotype" w:cs="Arial"/>
          <w:i/>
        </w:rPr>
      </w:pPr>
      <w:r w:rsidRPr="001D5E13">
        <w:rPr>
          <w:rFonts w:ascii="Palatino Linotype" w:hAnsi="Palatino Linotype" w:cs="Arial"/>
          <w:i/>
        </w:rPr>
        <w:t xml:space="preserve">“Artículo 6.- </w:t>
      </w:r>
      <w:r w:rsidRPr="001D5E13">
        <w:rPr>
          <w:rFonts w:ascii="Palatino Linotype" w:hAnsi="Palatino Linotype" w:cs="Arial"/>
          <w:b/>
          <w:i/>
          <w:u w:val="single"/>
        </w:rPr>
        <w:t>Los usuarios tendrán acceso a la información de los documentos, conforme a lo dispuesto por la ley de la materia</w:t>
      </w:r>
      <w:r w:rsidRPr="001D5E13">
        <w:rPr>
          <w:rFonts w:ascii="Palatino Linotype" w:hAnsi="Palatino Linotype" w:cs="Arial"/>
          <w:i/>
        </w:rPr>
        <w:t>.”</w:t>
      </w:r>
    </w:p>
    <w:p w:rsidR="00E7460A" w:rsidRDefault="00E7460A" w:rsidP="00E7460A">
      <w:pPr>
        <w:spacing w:line="360" w:lineRule="auto"/>
        <w:ind w:left="567" w:right="851"/>
        <w:jc w:val="both"/>
        <w:rPr>
          <w:rFonts w:ascii="Palatino Linotype" w:hAnsi="Palatino Linotype" w:cs="Arial"/>
        </w:rPr>
      </w:pPr>
      <w:r w:rsidRPr="00002446">
        <w:rPr>
          <w:rFonts w:ascii="Palatino Linotype" w:hAnsi="Palatino Linotype" w:cs="Arial"/>
        </w:rPr>
        <w:t>(Énfasis añadido)</w:t>
      </w:r>
    </w:p>
    <w:p w:rsidR="00E7460A" w:rsidRDefault="00E7460A" w:rsidP="00E7460A">
      <w:pPr>
        <w:spacing w:line="360" w:lineRule="auto"/>
        <w:ind w:left="851" w:right="851"/>
        <w:jc w:val="both"/>
        <w:rPr>
          <w:rFonts w:ascii="Palatino Linotype" w:hAnsi="Palatino Linotype" w:cs="Arial"/>
        </w:rPr>
      </w:pPr>
    </w:p>
    <w:p w:rsidR="00E7460A" w:rsidRDefault="00E7460A" w:rsidP="00E7460A">
      <w:pPr>
        <w:numPr>
          <w:ilvl w:val="0"/>
          <w:numId w:val="15"/>
        </w:numPr>
        <w:spacing w:before="240" w:after="240" w:line="360" w:lineRule="auto"/>
        <w:ind w:left="0" w:right="49" w:firstLine="0"/>
        <w:contextualSpacing/>
        <w:jc w:val="both"/>
        <w:rPr>
          <w:rFonts w:ascii="Palatino Linotype" w:hAnsi="Palatino Linotype"/>
        </w:rPr>
      </w:pPr>
      <w:r w:rsidRPr="00002446">
        <w:rPr>
          <w:rFonts w:ascii="Palatino Linotype" w:hAnsi="Palatino Linotype"/>
        </w:rPr>
        <w:t xml:space="preserve">De los preceptos jurídicos invocados con anterioridad se desprende que la Ley que regula los documentos en el Estado indica que es de orden público e interés </w:t>
      </w:r>
      <w:r w:rsidRPr="00002446">
        <w:rPr>
          <w:rFonts w:ascii="Palatino Linotype" w:hAnsi="Palatino Linotype"/>
        </w:rPr>
        <w:lastRenderedPageBreak/>
        <w:t xml:space="preserve">social, es </w:t>
      </w:r>
      <w:r w:rsidRPr="00002446">
        <w:rPr>
          <w:rFonts w:ascii="Palatino Linotype" w:eastAsia="Calibri" w:hAnsi="Palatino Linotype" w:cs="Arial"/>
        </w:rPr>
        <w:t>decir</w:t>
      </w:r>
      <w:r w:rsidRPr="00002446">
        <w:rPr>
          <w:rFonts w:ascii="Palatino Linotype" w:hAnsi="Palatino Linotype"/>
        </w:rPr>
        <w:t xml:space="preserve">, tiene efectos </w:t>
      </w:r>
      <w:r w:rsidRPr="00002446">
        <w:rPr>
          <w:rFonts w:ascii="Palatino Linotype" w:hAnsi="Palatino Linotype"/>
          <w:i/>
        </w:rPr>
        <w:t>erga omnes</w:t>
      </w:r>
      <w:r w:rsidRPr="00002446">
        <w:rPr>
          <w:rFonts w:ascii="Palatino Linotype" w:hAnsi="Palatino Linotype"/>
        </w:rPr>
        <w:t xml:space="preserve"> los cuales todas aquellas autoridades que estén en el territorio mexiquense les aplica la Ley en cuestión tratándose en materia de documentos, así mismo como lo es el Sujeto Obligado, juega un papel de autoridad, es decir, se configura el hecho de que estamos ante una dependencia que realiza actos de autoridad y que estos mismos se deben documentar como la Ley de la materia lo señala.</w:t>
      </w:r>
    </w:p>
    <w:p w:rsidR="00E7460A" w:rsidRPr="00002446" w:rsidRDefault="00E7460A" w:rsidP="00E7460A">
      <w:pPr>
        <w:spacing w:before="240" w:after="240" w:line="360" w:lineRule="auto"/>
        <w:ind w:left="284" w:right="49"/>
        <w:contextualSpacing/>
        <w:jc w:val="both"/>
        <w:rPr>
          <w:rFonts w:ascii="Palatino Linotype" w:hAnsi="Palatino Linotype"/>
        </w:rPr>
      </w:pPr>
    </w:p>
    <w:p w:rsidR="00E7460A" w:rsidRPr="001D5E13" w:rsidRDefault="00E7460A" w:rsidP="00E7460A">
      <w:pPr>
        <w:numPr>
          <w:ilvl w:val="0"/>
          <w:numId w:val="15"/>
        </w:numPr>
        <w:spacing w:line="360" w:lineRule="auto"/>
        <w:ind w:left="0" w:firstLine="0"/>
        <w:contextualSpacing/>
        <w:jc w:val="both"/>
        <w:rPr>
          <w:rFonts w:ascii="Palatino Linotype" w:hAnsi="Palatino Linotype"/>
        </w:rPr>
      </w:pPr>
      <w:r w:rsidRPr="001D5E13">
        <w:rPr>
          <w:rFonts w:ascii="Palatino Linotype" w:hAnsi="Palatino Linotype" w:cs="Arial"/>
        </w:rPr>
        <w:t xml:space="preserve">Por otro lado, las instituciones encargadas de la administración de documentos y que a su vez en </w:t>
      </w:r>
      <w:r w:rsidRPr="00002446">
        <w:rPr>
          <w:rFonts w:ascii="Palatino Linotype" w:hAnsi="Palatino Linotype"/>
        </w:rPr>
        <w:t>relación</w:t>
      </w:r>
      <w:r w:rsidRPr="001D5E13">
        <w:rPr>
          <w:rFonts w:ascii="Palatino Linotype" w:hAnsi="Palatino Linotype" w:cs="Arial"/>
        </w:rPr>
        <w:t xml:space="preserve"> con lo anterior realizan actos de autoridad, deben llevar una correcta administración de los documentos que</w:t>
      </w:r>
      <w:r>
        <w:rPr>
          <w:rFonts w:ascii="Palatino Linotype" w:hAnsi="Palatino Linotype" w:cs="Arial"/>
        </w:rPr>
        <w:t xml:space="preserve"> generan</w:t>
      </w:r>
      <w:r w:rsidRPr="001D5E13">
        <w:rPr>
          <w:rFonts w:ascii="Palatino Linotype" w:hAnsi="Palatino Linotype" w:cs="Arial"/>
        </w:rPr>
        <w:t xml:space="preserve"> y reciben, en el entendido que la administración no solo lleva el resguardo de los documentos sino también el inventario, regulación, coordinación y dinamización en el funcionamiento y uso de estos.</w:t>
      </w:r>
    </w:p>
    <w:p w:rsidR="00E7460A" w:rsidRPr="001D5E13" w:rsidRDefault="00E7460A" w:rsidP="00E7460A">
      <w:pPr>
        <w:pStyle w:val="Prrafodelista"/>
        <w:rPr>
          <w:rFonts w:ascii="Palatino Linotype" w:hAnsi="Palatino Linotype" w:cs="Arial"/>
        </w:rPr>
      </w:pPr>
    </w:p>
    <w:p w:rsidR="00EC7947" w:rsidRDefault="00E7460A" w:rsidP="006E1FA6">
      <w:pPr>
        <w:numPr>
          <w:ilvl w:val="0"/>
          <w:numId w:val="15"/>
        </w:numPr>
        <w:spacing w:line="360" w:lineRule="auto"/>
        <w:ind w:left="0" w:right="49" w:firstLine="0"/>
        <w:contextualSpacing/>
        <w:jc w:val="both"/>
        <w:rPr>
          <w:rFonts w:ascii="Palatino Linotype" w:hAnsi="Palatino Linotype" w:cs="Arial"/>
        </w:rPr>
      </w:pPr>
      <w:r w:rsidRPr="009845EF">
        <w:rPr>
          <w:rFonts w:ascii="Palatino Linotype" w:hAnsi="Palatino Linotype" w:cs="Arial"/>
        </w:rPr>
        <w:t>Asimismo, los documentos generados por las instituciones en este caso por el Ayuntamiento de</w:t>
      </w:r>
      <w:r w:rsidR="009845EF" w:rsidRPr="009845EF">
        <w:rPr>
          <w:rFonts w:ascii="Palatino Linotype" w:hAnsi="Palatino Linotype" w:cs="Arial"/>
        </w:rPr>
        <w:t xml:space="preserve"> Tlalnepantla de Baz</w:t>
      </w:r>
      <w:r w:rsidRPr="009845EF">
        <w:rPr>
          <w:rFonts w:ascii="Palatino Linotype" w:hAnsi="Palatino Linotype" w:cs="Arial"/>
        </w:rPr>
        <w:t>, debieron ser registrados en el acto de su generación o recepción, indicando en todo momento el destino de estos, para un control de específico y puntual de dichos documentos, también es importante hacer ver que el marco jurídico antes citado establece las bases mínimas para concentrar y administrar el material documental y dicha ley es el instrumento jurídico que norma el archivo y la administración de los documentos.</w:t>
      </w:r>
      <w:r w:rsidR="009845EF" w:rsidRPr="009845EF">
        <w:rPr>
          <w:rFonts w:ascii="Palatino Linotype" w:hAnsi="Palatino Linotype" w:cs="Arial"/>
        </w:rPr>
        <w:t xml:space="preserve"> </w:t>
      </w:r>
    </w:p>
    <w:p w:rsidR="009845EF" w:rsidRDefault="009845EF" w:rsidP="009845EF">
      <w:pPr>
        <w:pStyle w:val="Prrafodelista"/>
        <w:rPr>
          <w:rFonts w:ascii="Palatino Linotype" w:hAnsi="Palatino Linotype" w:cs="Arial"/>
        </w:rPr>
      </w:pPr>
    </w:p>
    <w:p w:rsidR="009F09BC" w:rsidRPr="003529DE" w:rsidRDefault="009F09BC" w:rsidP="009F09BC">
      <w:pPr>
        <w:pStyle w:val="Ttulo2"/>
        <w:rPr>
          <w:rFonts w:ascii="Palatino Linotype" w:hAnsi="Palatino Linotype"/>
          <w:b/>
          <w:color w:val="auto"/>
          <w:sz w:val="24"/>
          <w:szCs w:val="24"/>
        </w:rPr>
      </w:pPr>
      <w:bookmarkStart w:id="149" w:name="_Toc531859120"/>
      <w:bookmarkStart w:id="150" w:name="_Toc2871952"/>
      <w:bookmarkStart w:id="151" w:name="_Toc20246253"/>
      <w:bookmarkStart w:id="152" w:name="_Toc24023250"/>
      <w:bookmarkStart w:id="153" w:name="_Toc26461369"/>
      <w:bookmarkStart w:id="154" w:name="_Toc29481474"/>
      <w:bookmarkStart w:id="155" w:name="_Toc36648201"/>
      <w:bookmarkStart w:id="156" w:name="_Toc36732268"/>
      <w:bookmarkStart w:id="157" w:name="_Toc38560292"/>
      <w:bookmarkStart w:id="158" w:name="_Toc83128590"/>
      <w:bookmarkStart w:id="159" w:name="_Toc473799824"/>
      <w:bookmarkStart w:id="160" w:name="_Toc487025370"/>
      <w:bookmarkStart w:id="161" w:name="_Toc493790438"/>
      <w:bookmarkStart w:id="162" w:name="_Toc495606558"/>
      <w:bookmarkStart w:id="163" w:name="_Toc497297048"/>
      <w:bookmarkStart w:id="164" w:name="_Toc498503756"/>
      <w:bookmarkStart w:id="165" w:name="_Toc499201876"/>
      <w:bookmarkStart w:id="166" w:name="_Toc524000321"/>
      <w:r w:rsidRPr="003529DE">
        <w:rPr>
          <w:rFonts w:ascii="Palatino Linotype" w:hAnsi="Palatino Linotype"/>
          <w:b/>
          <w:color w:val="auto"/>
          <w:sz w:val="24"/>
          <w:szCs w:val="24"/>
        </w:rPr>
        <w:t xml:space="preserve">QUINTO. De la </w:t>
      </w:r>
      <w:bookmarkEnd w:id="149"/>
      <w:bookmarkEnd w:id="150"/>
      <w:r w:rsidRPr="003529DE">
        <w:rPr>
          <w:rFonts w:ascii="Palatino Linotype" w:hAnsi="Palatino Linotype"/>
          <w:b/>
          <w:color w:val="auto"/>
          <w:sz w:val="24"/>
          <w:szCs w:val="24"/>
        </w:rPr>
        <w:t>versión pública</w:t>
      </w:r>
      <w:bookmarkEnd w:id="151"/>
      <w:bookmarkEnd w:id="152"/>
      <w:bookmarkEnd w:id="153"/>
      <w:bookmarkEnd w:id="154"/>
      <w:bookmarkEnd w:id="155"/>
      <w:bookmarkEnd w:id="156"/>
      <w:bookmarkEnd w:id="157"/>
      <w:bookmarkEnd w:id="158"/>
    </w:p>
    <w:p w:rsidR="009F09BC" w:rsidRPr="003529DE" w:rsidRDefault="009F09BC" w:rsidP="009F09BC">
      <w:pPr>
        <w:rPr>
          <w:rFonts w:ascii="Palatino Linotype" w:hAnsi="Palatino Linotype"/>
          <w:lang w:val="es-MX" w:eastAsia="en-US"/>
        </w:rPr>
      </w:pPr>
    </w:p>
    <w:bookmarkEnd w:id="159"/>
    <w:bookmarkEnd w:id="160"/>
    <w:bookmarkEnd w:id="161"/>
    <w:bookmarkEnd w:id="162"/>
    <w:bookmarkEnd w:id="163"/>
    <w:bookmarkEnd w:id="164"/>
    <w:bookmarkEnd w:id="165"/>
    <w:bookmarkEnd w:id="166"/>
    <w:p w:rsidR="009F09BC" w:rsidRPr="003121DE" w:rsidRDefault="009845EF" w:rsidP="0096564D">
      <w:pPr>
        <w:numPr>
          <w:ilvl w:val="0"/>
          <w:numId w:val="15"/>
        </w:numPr>
        <w:spacing w:line="360" w:lineRule="auto"/>
        <w:ind w:left="0" w:right="49" w:firstLine="0"/>
        <w:contextualSpacing/>
        <w:jc w:val="both"/>
        <w:rPr>
          <w:rFonts w:ascii="Palatino Linotype" w:hAnsi="Palatino Linotype"/>
        </w:rPr>
      </w:pPr>
      <w:r w:rsidRPr="003121DE">
        <w:rPr>
          <w:rFonts w:ascii="Palatino Linotype" w:hAnsi="Palatino Linotype"/>
        </w:rPr>
        <w:t>Por otro lado, d</w:t>
      </w:r>
      <w:r w:rsidR="009F09BC" w:rsidRPr="003121DE">
        <w:rPr>
          <w:rFonts w:ascii="Palatino Linotype" w:hAnsi="Palatino Linotype"/>
        </w:rPr>
        <w:t xml:space="preserve">ebe </w:t>
      </w:r>
      <w:r w:rsidR="009F09BC" w:rsidRPr="003121DE">
        <w:rPr>
          <w:rFonts w:ascii="Palatino Linotype" w:hAnsi="Palatino Linotype" w:cs="Arial"/>
        </w:rPr>
        <w:t>destacarse</w:t>
      </w:r>
      <w:r w:rsidR="009F09BC" w:rsidRPr="003121DE">
        <w:rPr>
          <w:rFonts w:ascii="Palatino Linotype" w:hAnsi="Palatino Linotype"/>
        </w:rPr>
        <w:t xml:space="preserve"> que la información que se ha tenido a bien ordenar, </w:t>
      </w:r>
      <w:r w:rsidR="0096564D" w:rsidRPr="003121DE">
        <w:rPr>
          <w:rFonts w:ascii="Palatino Linotype" w:hAnsi="Palatino Linotype"/>
        </w:rPr>
        <w:t xml:space="preserve">en lo que toca a los </w:t>
      </w:r>
      <w:r w:rsidR="0096564D" w:rsidRPr="003121DE">
        <w:rPr>
          <w:rFonts w:ascii="Palatino Linotype" w:hAnsi="Palatino Linotype"/>
          <w:b/>
          <w:u w:val="single"/>
        </w:rPr>
        <w:t>consentimientos expresos por escrito</w:t>
      </w:r>
      <w:r w:rsidR="009F09BC" w:rsidRPr="003121DE">
        <w:rPr>
          <w:rFonts w:ascii="Palatino Linotype" w:hAnsi="Palatino Linotype"/>
        </w:rPr>
        <w:t>,</w:t>
      </w:r>
      <w:r w:rsidR="0096564D" w:rsidRPr="003121DE">
        <w:rPr>
          <w:rFonts w:ascii="Palatino Linotype" w:hAnsi="Palatino Linotype"/>
        </w:rPr>
        <w:t xml:space="preserve"> es información</w:t>
      </w:r>
      <w:r w:rsidR="009F09BC" w:rsidRPr="003121DE">
        <w:rPr>
          <w:rFonts w:ascii="Palatino Linotype" w:hAnsi="Palatino Linotype"/>
        </w:rPr>
        <w:t xml:space="preserve"> </w:t>
      </w:r>
      <w:r w:rsidR="0096564D" w:rsidRPr="003121DE">
        <w:rPr>
          <w:rFonts w:ascii="Palatino Linotype" w:hAnsi="Palatino Linotype"/>
        </w:rPr>
        <w:lastRenderedPageBreak/>
        <w:t xml:space="preserve">que </w:t>
      </w:r>
      <w:r w:rsidR="009E68D3" w:rsidRPr="003121DE">
        <w:rPr>
          <w:rFonts w:ascii="Palatino Linotype" w:hAnsi="Palatino Linotype"/>
          <w:b/>
        </w:rPr>
        <w:t>contiene</w:t>
      </w:r>
      <w:r w:rsidR="009F09BC" w:rsidRPr="003121DE">
        <w:rPr>
          <w:rFonts w:ascii="Palatino Linotype" w:hAnsi="Palatino Linotype"/>
          <w:b/>
        </w:rPr>
        <w:t xml:space="preserve"> </w:t>
      </w:r>
      <w:r w:rsidRPr="003121DE">
        <w:rPr>
          <w:rFonts w:ascii="Palatino Linotype" w:hAnsi="Palatino Linotype"/>
          <w:b/>
        </w:rPr>
        <w:t xml:space="preserve">eminentemente </w:t>
      </w:r>
      <w:r w:rsidR="009F09BC" w:rsidRPr="003121DE">
        <w:rPr>
          <w:rFonts w:ascii="Palatino Linotype" w:hAnsi="Palatino Linotype"/>
          <w:b/>
        </w:rPr>
        <w:t>datos personales susceptibles de ser protegidos mediante una versión pública</w:t>
      </w:r>
      <w:r w:rsidR="009F09BC" w:rsidRPr="003121DE">
        <w:rPr>
          <w:rFonts w:ascii="Palatino Linotype" w:hAnsi="Palatino Linotype"/>
        </w:rPr>
        <w:t xml:space="preserve">, la cual deberá estar soportada por el Acta del Comité de Transparencia que se emita para tal efecto, debiéndola poner a disposición del hoy </w:t>
      </w:r>
      <w:r w:rsidR="009F09BC" w:rsidRPr="003121DE">
        <w:rPr>
          <w:rFonts w:ascii="Palatino Linotype" w:hAnsi="Palatino Linotype"/>
          <w:b/>
        </w:rPr>
        <w:t>RECURRENTE</w:t>
      </w:r>
      <w:r w:rsidR="0096564D" w:rsidRPr="003121DE">
        <w:rPr>
          <w:rFonts w:ascii="Palatino Linotype" w:hAnsi="Palatino Linotype"/>
        </w:rPr>
        <w:t xml:space="preserve">, </w:t>
      </w:r>
      <w:r w:rsidR="0096564D" w:rsidRPr="003121DE">
        <w:rPr>
          <w:rFonts w:ascii="Palatino Linotype" w:hAnsi="Palatino Linotype"/>
          <w:b/>
          <w:u w:val="single"/>
        </w:rPr>
        <w:t>no así los avisos de privacidad</w:t>
      </w:r>
      <w:r w:rsidR="0096564D" w:rsidRPr="003121DE">
        <w:rPr>
          <w:rFonts w:ascii="Palatino Linotype" w:hAnsi="Palatino Linotype"/>
        </w:rPr>
        <w:t xml:space="preserve"> ya que corresponde a documentales de cuyo contenido no obran datos personales; toda vez que este corresponde a un documento físico, electrónico, digital o sonoro que pone se pone a disposición para que las personas estén enteradas sobre cuál es la información que se recaba por parte del Ayuntamiento como resulta del caso concreto, para qué fines se requiere y qué tratamiento se dará a sus datos personales, así como la posibilidad de ejercer los derechos ARCO (Acceso, Ratificación, Cancelación y Oposición).</w:t>
      </w:r>
    </w:p>
    <w:p w:rsidR="00002446" w:rsidRPr="003529DE" w:rsidRDefault="00002446" w:rsidP="00002446">
      <w:pPr>
        <w:spacing w:line="360" w:lineRule="auto"/>
        <w:contextualSpacing/>
        <w:jc w:val="both"/>
        <w:rPr>
          <w:rFonts w:ascii="Palatino Linotype" w:hAnsi="Palatino Linotype"/>
        </w:rPr>
      </w:pPr>
      <w:bookmarkStart w:id="167" w:name="_GoBack"/>
      <w:bookmarkEnd w:id="167"/>
    </w:p>
    <w:p w:rsidR="009F09BC" w:rsidRPr="003529DE" w:rsidRDefault="009F09BC" w:rsidP="00002446">
      <w:pPr>
        <w:numPr>
          <w:ilvl w:val="0"/>
          <w:numId w:val="15"/>
        </w:numPr>
        <w:spacing w:line="360" w:lineRule="auto"/>
        <w:ind w:left="0" w:firstLine="0"/>
        <w:contextualSpacing/>
        <w:jc w:val="both"/>
        <w:rPr>
          <w:rFonts w:ascii="Palatino Linotype" w:hAnsi="Palatino Linotype" w:cs="Arial"/>
        </w:rPr>
      </w:pPr>
      <w:r w:rsidRPr="003529DE">
        <w:rPr>
          <w:rFonts w:ascii="Palatino Linotype" w:eastAsia="MS Gothic" w:hAnsi="Palatino Linotype" w:cs="Times New Roman"/>
        </w:rPr>
        <w:t xml:space="preserve">La clasificación total o parcial de la información requerida, mediante solicitud de acceso a la </w:t>
      </w:r>
      <w:r w:rsidRPr="003529DE">
        <w:rPr>
          <w:rFonts w:ascii="Palatino Linotype" w:hAnsi="Palatino Linotype"/>
        </w:rPr>
        <w:t>información</w:t>
      </w:r>
      <w:r w:rsidRPr="003529DE">
        <w:rPr>
          <w:rFonts w:ascii="Palatino Linotype" w:eastAsia="MS Gothic" w:hAnsi="Palatino Linotype" w:cs="Times New Roman"/>
        </w:rPr>
        <w:t xml:space="preserve"> pública, constituye una restricción al derecho humano de acceso a la información. Como reiteradamente han dicho, diversos órganos jurisdiccionales, ningún derecho es absoluto</w:t>
      </w:r>
      <w:r w:rsidRPr="003529DE">
        <w:rPr>
          <w:rFonts w:ascii="Palatino Linotype" w:eastAsia="MS Gothic" w:hAnsi="Palatino Linotype" w:cs="Times New Roman"/>
          <w:vertAlign w:val="superscript"/>
        </w:rPr>
        <w:footnoteReference w:id="7"/>
      </w:r>
      <w:r w:rsidRPr="003529DE">
        <w:rPr>
          <w:rFonts w:ascii="Palatino Linotype" w:eastAsia="MS Gothic" w:hAnsi="Palatino Linotype" w:cs="Times New Roman"/>
        </w:rPr>
        <w:t xml:space="preserve"> aunque cualquier límite o restricción, </w:t>
      </w:r>
      <w:r w:rsidRPr="003529DE">
        <w:rPr>
          <w:rFonts w:ascii="Palatino Linotype" w:eastAsia="MS Gothic" w:hAnsi="Palatino Linotype" w:cs="Times New Roman"/>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3529DE">
        <w:rPr>
          <w:rFonts w:ascii="Palatino Linotype" w:eastAsia="MS Gothic" w:hAnsi="Palatino Linotype" w:cs="Times New Roman"/>
          <w:vertAlign w:val="superscript"/>
        </w:rPr>
        <w:footnoteReference w:id="8"/>
      </w:r>
      <w:r w:rsidRPr="003529DE">
        <w:rPr>
          <w:rFonts w:ascii="Palatino Linotype" w:eastAsia="MS Gothic" w:hAnsi="Palatino Linotype" w:cs="Times New Roman"/>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053FB7" w:rsidRPr="003529DE" w:rsidRDefault="00053FB7" w:rsidP="00053FB7">
      <w:pPr>
        <w:pStyle w:val="Prrafodelista"/>
        <w:rPr>
          <w:rFonts w:ascii="Palatino Linotype" w:hAnsi="Palatino Linotype" w:cs="Arial"/>
        </w:rPr>
      </w:pPr>
    </w:p>
    <w:p w:rsidR="009F09BC" w:rsidRPr="003529DE" w:rsidRDefault="009F09BC" w:rsidP="00053FB7">
      <w:pPr>
        <w:numPr>
          <w:ilvl w:val="0"/>
          <w:numId w:val="15"/>
        </w:numPr>
        <w:spacing w:line="360" w:lineRule="auto"/>
        <w:ind w:left="0" w:firstLine="0"/>
        <w:contextualSpacing/>
        <w:jc w:val="both"/>
        <w:rPr>
          <w:rFonts w:ascii="Palatino Linotype" w:hAnsi="Palatino Linotype" w:cs="Arial"/>
        </w:rPr>
      </w:pPr>
      <w:r w:rsidRPr="003529DE">
        <w:rPr>
          <w:rFonts w:ascii="Palatino Linotype" w:eastAsia="MS Gothic" w:hAnsi="Palatino Linotype" w:cs="Times New Roman"/>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9F09BC" w:rsidRPr="003529DE"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3529DE" w:rsidRDefault="009F09BC" w:rsidP="009F09BC">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bookmarkStart w:id="168" w:name="_Toc51863315"/>
      <w:bookmarkStart w:id="169" w:name="_Toc52444649"/>
      <w:bookmarkStart w:id="170" w:name="_Toc57154368"/>
      <w:bookmarkStart w:id="171" w:name="_Toc65170174"/>
      <w:bookmarkStart w:id="172" w:name="_Toc66371800"/>
      <w:bookmarkStart w:id="173" w:name="_Toc67584835"/>
      <w:bookmarkStart w:id="174" w:name="_Toc70070911"/>
      <w:bookmarkStart w:id="175" w:name="_Toc70593358"/>
      <w:bookmarkStart w:id="176" w:name="_Toc71290717"/>
      <w:bookmarkStart w:id="177" w:name="_Toc71291223"/>
      <w:bookmarkStart w:id="178" w:name="_Toc71674122"/>
      <w:bookmarkStart w:id="179" w:name="_Toc83128591"/>
      <w:r w:rsidRPr="003529DE">
        <w:rPr>
          <w:rFonts w:ascii="Palatino Linotype" w:hAnsi="Palatino Linotype" w:cs="Arial"/>
          <w:b/>
        </w:rPr>
        <w:t>Requisitos previos.</w:t>
      </w:r>
      <w:bookmarkEnd w:id="168"/>
      <w:bookmarkEnd w:id="169"/>
      <w:bookmarkEnd w:id="170"/>
      <w:bookmarkEnd w:id="171"/>
      <w:bookmarkEnd w:id="172"/>
      <w:bookmarkEnd w:id="173"/>
      <w:bookmarkEnd w:id="174"/>
      <w:bookmarkEnd w:id="175"/>
      <w:bookmarkEnd w:id="176"/>
      <w:bookmarkEnd w:id="177"/>
      <w:bookmarkEnd w:id="178"/>
      <w:bookmarkEnd w:id="179"/>
    </w:p>
    <w:p w:rsidR="009F09BC" w:rsidRPr="003529DE" w:rsidRDefault="009F09BC" w:rsidP="009F09BC">
      <w:pPr>
        <w:pStyle w:val="Prrafodelista"/>
        <w:tabs>
          <w:tab w:val="left" w:pos="142"/>
          <w:tab w:val="left" w:pos="284"/>
          <w:tab w:val="left" w:pos="426"/>
        </w:tabs>
        <w:spacing w:line="360" w:lineRule="auto"/>
        <w:ind w:left="1080"/>
        <w:jc w:val="both"/>
        <w:outlineLvl w:val="2"/>
        <w:rPr>
          <w:rFonts w:ascii="Palatino Linotype" w:hAnsi="Palatino Linotype" w:cs="Arial"/>
          <w:b/>
        </w:rPr>
      </w:pPr>
    </w:p>
    <w:p w:rsidR="009F09BC" w:rsidRPr="003529DE" w:rsidRDefault="009F09BC" w:rsidP="00053FB7">
      <w:pPr>
        <w:numPr>
          <w:ilvl w:val="0"/>
          <w:numId w:val="15"/>
        </w:numPr>
        <w:spacing w:line="360" w:lineRule="auto"/>
        <w:ind w:left="0" w:firstLine="0"/>
        <w:contextualSpacing/>
        <w:jc w:val="both"/>
        <w:rPr>
          <w:rFonts w:ascii="Palatino Linotype" w:hAnsi="Palatino Linotype" w:cs="Arial"/>
        </w:rPr>
      </w:pPr>
      <w:r w:rsidRPr="003529DE">
        <w:rPr>
          <w:rFonts w:ascii="Palatino Linotype" w:eastAsia="MS Gothic" w:hAnsi="Palatino Linotype" w:cs="Times New Roman"/>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w:t>
      </w:r>
      <w:r w:rsidRPr="003529DE">
        <w:rPr>
          <w:rFonts w:ascii="Palatino Linotype" w:eastAsia="MS Gothic" w:hAnsi="Palatino Linotype" w:cs="Times New Roman"/>
        </w:rPr>
        <w:lastRenderedPageBreak/>
        <w:t>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9F09BC" w:rsidRPr="003529DE"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3529DE" w:rsidRDefault="009F09BC" w:rsidP="00053FB7">
      <w:pPr>
        <w:numPr>
          <w:ilvl w:val="0"/>
          <w:numId w:val="15"/>
        </w:numPr>
        <w:spacing w:line="360" w:lineRule="auto"/>
        <w:ind w:left="0" w:firstLine="0"/>
        <w:contextualSpacing/>
        <w:jc w:val="both"/>
        <w:rPr>
          <w:rFonts w:ascii="Palatino Linotype" w:hAnsi="Palatino Linotype" w:cs="Arial"/>
        </w:rPr>
      </w:pPr>
      <w:r w:rsidRPr="003529DE">
        <w:rPr>
          <w:rFonts w:ascii="Palatino Linotype" w:eastAsia="MS Gothic" w:hAnsi="Palatino Linotype" w:cs="Times New Roman"/>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9F09BC" w:rsidRPr="003529DE" w:rsidRDefault="009F09BC" w:rsidP="009F09BC">
      <w:pPr>
        <w:pStyle w:val="Prrafodelista"/>
        <w:rPr>
          <w:rFonts w:ascii="Palatino Linotype" w:hAnsi="Palatino Linotype" w:cs="Arial"/>
        </w:rPr>
      </w:pPr>
    </w:p>
    <w:p w:rsidR="009F09BC" w:rsidRPr="003529DE" w:rsidRDefault="009F09BC" w:rsidP="00053FB7">
      <w:pPr>
        <w:numPr>
          <w:ilvl w:val="0"/>
          <w:numId w:val="15"/>
        </w:numPr>
        <w:spacing w:line="360" w:lineRule="auto"/>
        <w:ind w:left="0" w:firstLine="0"/>
        <w:contextualSpacing/>
        <w:jc w:val="both"/>
        <w:rPr>
          <w:rFonts w:ascii="Palatino Linotype" w:hAnsi="Palatino Linotype" w:cs="Arial"/>
        </w:rPr>
      </w:pPr>
      <w:r w:rsidRPr="003529DE">
        <w:rPr>
          <w:rFonts w:ascii="Palatino Linotype" w:eastAsia="MS Gothic" w:hAnsi="Palatino Linotype" w:cs="Times New Roman"/>
        </w:rPr>
        <w:t xml:space="preserve">El último de estos requisitos previos consiste en que no se pueden emitir acuerdos de carácter general ni particular, según lo disponen los artículos 134 y 108 de la Ley Estatal y de la Ley General, respectivamente, esto es, </w:t>
      </w:r>
      <w:r w:rsidRPr="003529DE">
        <w:rPr>
          <w:rFonts w:ascii="Palatino Linotype" w:eastAsia="MS Gothic" w:hAnsi="Palatino Linotype" w:cs="Times New Roman"/>
          <w:b/>
          <w:u w:val="single"/>
        </w:rPr>
        <w:t>no se puede hacer un acuerdo para clasificar de manera general todos los documentos de un expediente o área</w:t>
      </w:r>
      <w:r w:rsidRPr="003529DE">
        <w:rPr>
          <w:rFonts w:ascii="Palatino Linotype" w:eastAsia="MS Gothic" w:hAnsi="Palatino Linotype" w:cs="Times New Roman"/>
          <w:b/>
        </w:rPr>
        <w:t xml:space="preserve">,  </w:t>
      </w:r>
      <w:r w:rsidRPr="003529DE">
        <w:rPr>
          <w:rFonts w:ascii="Palatino Linotype" w:eastAsia="MS Gothic" w:hAnsi="Palatino Linotype" w:cs="Times New Roman"/>
        </w:rPr>
        <w:t>sin individualizar su análisis y tampoco se puede hacer un acuerdo por cada dato que se vaya a clasificar dentro de un documento con diez datos, por ejemplo, susceptibles de ser clasificados.</w:t>
      </w:r>
    </w:p>
    <w:p w:rsidR="009F09BC" w:rsidRPr="003529DE"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3529DE" w:rsidRDefault="009F09BC" w:rsidP="009F09BC">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bookmarkStart w:id="180" w:name="_Toc51863316"/>
      <w:bookmarkStart w:id="181" w:name="_Toc52444650"/>
      <w:bookmarkStart w:id="182" w:name="_Toc57154369"/>
      <w:bookmarkStart w:id="183" w:name="_Toc65170175"/>
      <w:bookmarkStart w:id="184" w:name="_Toc66371801"/>
      <w:bookmarkStart w:id="185" w:name="_Toc67584836"/>
      <w:bookmarkStart w:id="186" w:name="_Toc70070912"/>
      <w:bookmarkStart w:id="187" w:name="_Toc70593359"/>
      <w:bookmarkStart w:id="188" w:name="_Toc71290718"/>
      <w:bookmarkStart w:id="189" w:name="_Toc71291224"/>
      <w:bookmarkStart w:id="190" w:name="_Toc71674123"/>
      <w:bookmarkStart w:id="191" w:name="_Toc83128592"/>
      <w:r w:rsidRPr="003529DE">
        <w:rPr>
          <w:rFonts w:ascii="Palatino Linotype" w:hAnsi="Palatino Linotype" w:cs="Arial"/>
          <w:b/>
        </w:rPr>
        <w:t>Supuestos de clasificación.</w:t>
      </w:r>
      <w:bookmarkEnd w:id="180"/>
      <w:bookmarkEnd w:id="181"/>
      <w:bookmarkEnd w:id="182"/>
      <w:bookmarkEnd w:id="183"/>
      <w:bookmarkEnd w:id="184"/>
      <w:bookmarkEnd w:id="185"/>
      <w:bookmarkEnd w:id="186"/>
      <w:bookmarkEnd w:id="187"/>
      <w:bookmarkEnd w:id="188"/>
      <w:bookmarkEnd w:id="189"/>
      <w:bookmarkEnd w:id="190"/>
      <w:bookmarkEnd w:id="191"/>
    </w:p>
    <w:p w:rsidR="009F09BC" w:rsidRPr="003529DE" w:rsidRDefault="009F09BC" w:rsidP="00053FB7">
      <w:pPr>
        <w:numPr>
          <w:ilvl w:val="0"/>
          <w:numId w:val="15"/>
        </w:numPr>
        <w:spacing w:line="360" w:lineRule="auto"/>
        <w:ind w:left="0" w:firstLine="0"/>
        <w:contextualSpacing/>
        <w:jc w:val="both"/>
        <w:rPr>
          <w:rFonts w:ascii="Palatino Linotype" w:hAnsi="Palatino Linotype" w:cs="Arial"/>
        </w:rPr>
      </w:pPr>
      <w:r w:rsidRPr="003529DE">
        <w:rPr>
          <w:rFonts w:ascii="Palatino Linotype" w:eastAsia="MS Gothic" w:hAnsi="Palatino Linotype" w:cs="Times New Roman"/>
        </w:rPr>
        <w:t>Las disposiciones constitucionales y legales en la materia establecen los dos supuestos generales para clasificar la información: por reserva y por confidencialidad.</w:t>
      </w:r>
    </w:p>
    <w:p w:rsidR="009F09BC" w:rsidRPr="003529DE"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3529DE" w:rsidRDefault="009F09BC" w:rsidP="00053FB7">
      <w:pPr>
        <w:numPr>
          <w:ilvl w:val="0"/>
          <w:numId w:val="15"/>
        </w:numPr>
        <w:spacing w:line="360" w:lineRule="auto"/>
        <w:ind w:left="0" w:firstLine="0"/>
        <w:contextualSpacing/>
        <w:jc w:val="both"/>
        <w:rPr>
          <w:rFonts w:ascii="Palatino Linotype" w:hAnsi="Palatino Linotype" w:cs="Arial"/>
        </w:rPr>
      </w:pPr>
      <w:r w:rsidRPr="003529DE">
        <w:rPr>
          <w:rFonts w:ascii="Palatino Linotype" w:eastAsia="MS Gothic" w:hAnsi="Palatino Linotype" w:cs="Times New Roman"/>
        </w:rPr>
        <w:t>Los artículos 143 y 116 de la Ley Estatal y de la Ley General, respectivamente, señalan los supuestos para que la información pueda ser clasificada como confidencial:</w:t>
      </w:r>
    </w:p>
    <w:p w:rsidR="009F09BC" w:rsidRPr="003529DE"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3529DE"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3529DE">
        <w:rPr>
          <w:rFonts w:ascii="Palatino Linotype" w:hAnsi="Palatino Linotype" w:cs="Bookman Old Style"/>
          <w:bCs/>
          <w:i/>
          <w:color w:val="000000"/>
        </w:rPr>
        <w:t xml:space="preserve">“I. </w:t>
      </w:r>
      <w:r w:rsidRPr="003529DE">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9F09BC" w:rsidRPr="003529DE"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3529DE">
        <w:rPr>
          <w:rFonts w:ascii="Palatino Linotype" w:hAnsi="Palatino Linotype" w:cs="Bookman Old Style"/>
          <w:bCs/>
          <w:i/>
          <w:color w:val="000000"/>
        </w:rPr>
        <w:t xml:space="preserve">II. </w:t>
      </w:r>
      <w:r w:rsidRPr="003529DE">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9F09BC" w:rsidRPr="003529DE"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3529DE">
        <w:rPr>
          <w:rFonts w:ascii="Palatino Linotype" w:hAnsi="Palatino Linotype" w:cs="Bookman Old Style"/>
          <w:bCs/>
          <w:i/>
          <w:color w:val="000000"/>
        </w:rPr>
        <w:t xml:space="preserve">III. </w:t>
      </w:r>
      <w:r w:rsidRPr="003529DE">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9F09BC" w:rsidRPr="003529DE"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3529DE">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9F09BC" w:rsidRPr="003529DE"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3529DE">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9E68D3" w:rsidRPr="003529DE" w:rsidRDefault="009E68D3" w:rsidP="009F09BC">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p>
    <w:p w:rsidR="009F09BC" w:rsidRPr="003529DE" w:rsidRDefault="009F09BC" w:rsidP="00053FB7">
      <w:pPr>
        <w:numPr>
          <w:ilvl w:val="0"/>
          <w:numId w:val="15"/>
        </w:numPr>
        <w:spacing w:line="360" w:lineRule="auto"/>
        <w:ind w:left="0" w:firstLine="0"/>
        <w:contextualSpacing/>
        <w:jc w:val="both"/>
        <w:rPr>
          <w:rFonts w:ascii="Palatino Linotype" w:hAnsi="Palatino Linotype" w:cs="Arial"/>
        </w:rPr>
      </w:pPr>
      <w:r w:rsidRPr="003529DE">
        <w:rPr>
          <w:rFonts w:ascii="Palatino Linotype" w:eastAsia="MS Gothic" w:hAnsi="Palatino Linotype" w:cs="Times New Roman"/>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053FB7" w:rsidRPr="003529DE" w:rsidRDefault="00053FB7" w:rsidP="00053FB7">
      <w:pPr>
        <w:spacing w:line="360" w:lineRule="auto"/>
        <w:contextualSpacing/>
        <w:jc w:val="both"/>
        <w:rPr>
          <w:rFonts w:ascii="Palatino Linotype" w:hAnsi="Palatino Linotype" w:cs="Arial"/>
        </w:rPr>
      </w:pPr>
    </w:p>
    <w:p w:rsidR="009F09BC" w:rsidRPr="003529DE" w:rsidRDefault="009F09BC" w:rsidP="00053FB7">
      <w:pPr>
        <w:numPr>
          <w:ilvl w:val="0"/>
          <w:numId w:val="15"/>
        </w:numPr>
        <w:spacing w:line="360" w:lineRule="auto"/>
        <w:ind w:left="0" w:firstLine="0"/>
        <w:contextualSpacing/>
        <w:jc w:val="both"/>
        <w:rPr>
          <w:rFonts w:ascii="Palatino Linotype" w:hAnsi="Palatino Linotype" w:cs="Arial"/>
        </w:rPr>
      </w:pPr>
      <w:r w:rsidRPr="003529DE">
        <w:rPr>
          <w:rFonts w:ascii="Palatino Linotype" w:eastAsia="MS Gothic" w:hAnsi="Palatino Linotype" w:cs="Times New Roman"/>
        </w:rPr>
        <w:lastRenderedPageBreak/>
        <w:t xml:space="preserve">Como consecuencia de lo anterior, el </w:t>
      </w:r>
      <w:r w:rsidRPr="003529DE">
        <w:rPr>
          <w:rFonts w:ascii="Palatino Linotype" w:eastAsia="MS Gothic" w:hAnsi="Palatino Linotype" w:cs="Times New Roman"/>
          <w:b/>
        </w:rPr>
        <w:t>SUJETO OBLIGADO</w:t>
      </w:r>
      <w:r w:rsidRPr="003529DE">
        <w:rPr>
          <w:rFonts w:ascii="Palatino Linotype" w:eastAsia="MS Gothic" w:hAnsi="Palatino Linotype" w:cs="Times New Roman"/>
        </w:rPr>
        <w:t xml:space="preserve"> debe identificar claramente el tipo de información y hacer un juicio de subsunción o encaje</w:t>
      </w:r>
      <w:r w:rsidRPr="003529DE">
        <w:rPr>
          <w:rFonts w:ascii="Palatino Linotype" w:eastAsia="MS Gothic" w:hAnsi="Palatino Linotype" w:cs="Times New Roman"/>
          <w:vertAlign w:val="superscript"/>
        </w:rPr>
        <w:footnoteReference w:id="9"/>
      </w:r>
      <w:r w:rsidRPr="003529DE">
        <w:rPr>
          <w:rFonts w:ascii="Palatino Linotype" w:eastAsia="MS Gothic" w:hAnsi="Palatino Linotype" w:cs="Times New Roman"/>
        </w:rPr>
        <w:t xml:space="preserve"> para acreditar que el supuesto de hecho corresponde estrictamente con la hipótesis jurídica. Esto también lo debe de realizar el servidor público habilitado y el titular del área que administra la información.</w:t>
      </w:r>
    </w:p>
    <w:p w:rsidR="009F09BC" w:rsidRPr="003529DE" w:rsidRDefault="009F09BC" w:rsidP="009F09BC">
      <w:pPr>
        <w:pStyle w:val="Prrafodelista"/>
        <w:rPr>
          <w:rFonts w:ascii="Palatino Linotype" w:hAnsi="Palatino Linotype" w:cs="Arial"/>
        </w:rPr>
      </w:pPr>
    </w:p>
    <w:p w:rsidR="009F09BC" w:rsidRPr="003529DE" w:rsidRDefault="009F09BC" w:rsidP="00053FB7">
      <w:pPr>
        <w:numPr>
          <w:ilvl w:val="0"/>
          <w:numId w:val="15"/>
        </w:numPr>
        <w:spacing w:line="360" w:lineRule="auto"/>
        <w:ind w:left="0" w:firstLine="0"/>
        <w:contextualSpacing/>
        <w:jc w:val="both"/>
        <w:rPr>
          <w:rFonts w:ascii="Palatino Linotype" w:hAnsi="Palatino Linotype" w:cs="Arial"/>
        </w:rPr>
      </w:pPr>
      <w:r w:rsidRPr="003529DE">
        <w:rPr>
          <w:rFonts w:ascii="Palatino Linotype" w:eastAsia="MS Gothic" w:hAnsi="Palatino Linotype" w:cs="Times New Roman"/>
        </w:rPr>
        <w:t xml:space="preserve"> Al respecto, los Lineamientos Generales en Materia de Clasificación y Desclasificación de la Información, así Como para la Elaboración de Versiones Públicas, por cuanto hace a la clasificación de la información, señalan lo siguiente:</w:t>
      </w:r>
    </w:p>
    <w:p w:rsidR="009A2251" w:rsidRPr="003529DE" w:rsidRDefault="009A2251" w:rsidP="009A2251">
      <w:pPr>
        <w:pStyle w:val="Prrafodelista"/>
        <w:rPr>
          <w:rFonts w:ascii="Palatino Linotype" w:hAnsi="Palatino Linotype" w:cs="Arial"/>
        </w:rPr>
      </w:pPr>
    </w:p>
    <w:p w:rsidR="009F09BC" w:rsidRPr="003529DE"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3529DE">
        <w:rPr>
          <w:rFonts w:ascii="Palatino Linotype" w:hAnsi="Palatino Linotype" w:cs="Arial"/>
          <w:i/>
        </w:rPr>
        <w:t>“</w:t>
      </w:r>
      <w:r w:rsidRPr="003529DE">
        <w:rPr>
          <w:rFonts w:ascii="Palatino Linotype" w:hAnsi="Palatino Linotype" w:cs="Arial"/>
          <w:b/>
          <w:i/>
        </w:rPr>
        <w:t>Quincuagésimo.</w:t>
      </w:r>
      <w:r w:rsidRPr="003529DE">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9E68D3" w:rsidRPr="003529DE" w:rsidRDefault="009E68D3" w:rsidP="009F09BC">
      <w:pPr>
        <w:pStyle w:val="Prrafodelista"/>
        <w:tabs>
          <w:tab w:val="left" w:pos="142"/>
          <w:tab w:val="left" w:pos="284"/>
          <w:tab w:val="left" w:pos="426"/>
        </w:tabs>
        <w:spacing w:line="276" w:lineRule="auto"/>
        <w:ind w:left="567" w:right="567"/>
        <w:jc w:val="both"/>
        <w:rPr>
          <w:rFonts w:ascii="Palatino Linotype" w:hAnsi="Palatino Linotype" w:cs="Arial"/>
          <w:i/>
        </w:rPr>
      </w:pPr>
    </w:p>
    <w:p w:rsidR="009F09BC" w:rsidRPr="003529DE"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3529DE">
        <w:rPr>
          <w:rFonts w:ascii="Palatino Linotype" w:hAnsi="Palatino Linotype" w:cs="Arial"/>
          <w:b/>
          <w:i/>
        </w:rPr>
        <w:t>Quincuagésimo primero.</w:t>
      </w:r>
      <w:r w:rsidRPr="003529DE">
        <w:rPr>
          <w:rFonts w:ascii="Palatino Linotype" w:hAnsi="Palatino Linotype" w:cs="Arial"/>
          <w:i/>
        </w:rPr>
        <w:t xml:space="preserve"> La leyenda en los documentos clasificados indicará:</w:t>
      </w:r>
    </w:p>
    <w:p w:rsidR="009F09BC" w:rsidRPr="003529DE"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3529DE">
        <w:rPr>
          <w:rFonts w:ascii="Palatino Linotype" w:hAnsi="Palatino Linotype" w:cs="Arial"/>
          <w:i/>
        </w:rPr>
        <w:t>I. La fecha de sesión del Comité de Transparencia en donde se confirmó la clasificación, en su caso;</w:t>
      </w:r>
    </w:p>
    <w:p w:rsidR="009F09BC" w:rsidRPr="003529DE"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3529DE">
        <w:rPr>
          <w:rFonts w:ascii="Palatino Linotype" w:hAnsi="Palatino Linotype" w:cs="Arial"/>
          <w:i/>
        </w:rPr>
        <w:lastRenderedPageBreak/>
        <w:t>II. El nombre del área;</w:t>
      </w:r>
    </w:p>
    <w:p w:rsidR="009F09BC" w:rsidRPr="003529DE"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3529DE">
        <w:rPr>
          <w:rFonts w:ascii="Palatino Linotype" w:hAnsi="Palatino Linotype" w:cs="Arial"/>
          <w:i/>
        </w:rPr>
        <w:t>III. La palabra reservado o confidencial;</w:t>
      </w:r>
    </w:p>
    <w:p w:rsidR="009F09BC" w:rsidRPr="003529DE"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3529DE">
        <w:rPr>
          <w:rFonts w:ascii="Palatino Linotype" w:hAnsi="Palatino Linotype" w:cs="Arial"/>
          <w:i/>
        </w:rPr>
        <w:t>IV. Las partes o secciones reservadas o confidenciales, en su caso;</w:t>
      </w:r>
    </w:p>
    <w:p w:rsidR="009F09BC" w:rsidRPr="003529DE"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3529DE">
        <w:rPr>
          <w:rFonts w:ascii="Palatino Linotype" w:hAnsi="Palatino Linotype" w:cs="Arial"/>
          <w:i/>
        </w:rPr>
        <w:t>V. El fundamento legal;</w:t>
      </w:r>
    </w:p>
    <w:p w:rsidR="009F09BC" w:rsidRPr="003529DE"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3529DE">
        <w:rPr>
          <w:rFonts w:ascii="Palatino Linotype" w:hAnsi="Palatino Linotype" w:cs="Arial"/>
          <w:i/>
        </w:rPr>
        <w:t>VI. El periodo de reserva, y</w:t>
      </w:r>
    </w:p>
    <w:p w:rsidR="009F09BC" w:rsidRPr="003529DE"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3529DE">
        <w:rPr>
          <w:rFonts w:ascii="Palatino Linotype" w:hAnsi="Palatino Linotype" w:cs="Arial"/>
          <w:i/>
        </w:rPr>
        <w:t>VII. La rúbrica del titular del área.</w:t>
      </w:r>
    </w:p>
    <w:p w:rsidR="009F09BC" w:rsidRPr="003529DE"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p>
    <w:p w:rsidR="009F09BC" w:rsidRPr="003529DE"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3529DE">
        <w:rPr>
          <w:rFonts w:ascii="Palatino Linotype" w:hAnsi="Palatino Linotype" w:cs="Arial"/>
          <w:b/>
          <w:i/>
        </w:rPr>
        <w:t>Quincuagésimo segundo.</w:t>
      </w:r>
      <w:r w:rsidRPr="003529DE">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9F09BC" w:rsidRPr="003529DE"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3529DE">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9F09BC"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3529DE">
        <w:rPr>
          <w:rFonts w:ascii="Palatino Linotype" w:hAnsi="Palatino Linotype" w:cs="Arial"/>
          <w:b/>
          <w:i/>
        </w:rPr>
        <w:t>Quincuagésimo tercero.</w:t>
      </w:r>
      <w:r w:rsidRPr="003529DE">
        <w:rPr>
          <w:rFonts w:ascii="Palatino Linotype" w:hAnsi="Palatino Linotype" w:cs="Arial"/>
          <w:i/>
        </w:rPr>
        <w:t xml:space="preserve"> El formato para señalar la clasificación parcial de un documento, es el siguiente:</w:t>
      </w:r>
    </w:p>
    <w:p w:rsidR="00A31268" w:rsidRPr="003529DE" w:rsidRDefault="00A31268" w:rsidP="009F09BC">
      <w:pPr>
        <w:pStyle w:val="Prrafodelista"/>
        <w:tabs>
          <w:tab w:val="left" w:pos="142"/>
          <w:tab w:val="left" w:pos="284"/>
          <w:tab w:val="left" w:pos="426"/>
        </w:tabs>
        <w:spacing w:line="276" w:lineRule="auto"/>
        <w:ind w:left="567" w:right="567"/>
        <w:jc w:val="both"/>
        <w:rPr>
          <w:rFonts w:ascii="Palatino Linotype" w:hAnsi="Palatino Linotype" w:cs="Arial"/>
          <w:i/>
        </w:rPr>
      </w:pPr>
    </w:p>
    <w:p w:rsidR="009F09BC" w:rsidRPr="003529DE" w:rsidRDefault="009F09BC" w:rsidP="009F09BC">
      <w:pPr>
        <w:pStyle w:val="Prrafodelista"/>
        <w:tabs>
          <w:tab w:val="left" w:pos="142"/>
          <w:tab w:val="left" w:pos="284"/>
          <w:tab w:val="left" w:pos="426"/>
        </w:tabs>
        <w:spacing w:line="360" w:lineRule="auto"/>
        <w:ind w:left="0"/>
        <w:jc w:val="center"/>
        <w:rPr>
          <w:rFonts w:ascii="Palatino Linotype" w:hAnsi="Palatino Linotype" w:cs="Arial"/>
        </w:rPr>
      </w:pPr>
      <w:r w:rsidRPr="003529DE">
        <w:rPr>
          <w:rFonts w:ascii="Palatino Linotype" w:hAnsi="Palatino Linotype" w:cs="Arial"/>
          <w:i/>
          <w:noProof/>
          <w:lang w:val="es-ES"/>
        </w:rPr>
        <w:lastRenderedPageBreak/>
        <w:drawing>
          <wp:inline distT="0" distB="0" distL="0" distR="0" wp14:anchorId="2E6835A7" wp14:editId="6EDF19F0">
            <wp:extent cx="4264660" cy="3526971"/>
            <wp:effectExtent l="57150" t="57150" r="116840" b="111760"/>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9381" cy="346471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09BC" w:rsidRPr="003529DE"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3529DE" w:rsidRDefault="009F09BC" w:rsidP="00053FB7">
      <w:pPr>
        <w:numPr>
          <w:ilvl w:val="0"/>
          <w:numId w:val="15"/>
        </w:numPr>
        <w:spacing w:line="360" w:lineRule="auto"/>
        <w:ind w:left="0" w:firstLine="0"/>
        <w:contextualSpacing/>
        <w:jc w:val="both"/>
        <w:rPr>
          <w:rFonts w:ascii="Palatino Linotype" w:hAnsi="Palatino Linotype" w:cs="Arial"/>
        </w:rPr>
      </w:pPr>
      <w:r w:rsidRPr="003529DE">
        <w:rPr>
          <w:rFonts w:ascii="Palatino Linotype" w:eastAsia="MS Gothic" w:hAnsi="Palatino Linotype" w:cs="Times New Roman"/>
        </w:rPr>
        <w:t>Una vez hecho lo anterior, se remite la información al Titular de la Unidad de Transparencia, con el acuerdo de clasificación correspondiente, para que sea sometido al conocimiento del Comité de Transparencia.</w:t>
      </w:r>
    </w:p>
    <w:p w:rsidR="009F09BC" w:rsidRPr="003529DE" w:rsidRDefault="009F09BC" w:rsidP="009F09BC">
      <w:pPr>
        <w:pStyle w:val="Prrafodelista"/>
        <w:tabs>
          <w:tab w:val="left" w:pos="142"/>
          <w:tab w:val="left" w:pos="284"/>
          <w:tab w:val="left" w:pos="426"/>
        </w:tabs>
        <w:spacing w:after="160" w:line="360" w:lineRule="auto"/>
        <w:ind w:left="0"/>
        <w:jc w:val="both"/>
        <w:rPr>
          <w:rFonts w:ascii="Palatino Linotype" w:hAnsi="Palatino Linotype" w:cs="Arial"/>
        </w:rPr>
      </w:pPr>
    </w:p>
    <w:p w:rsidR="009F09BC" w:rsidRPr="003529DE" w:rsidRDefault="009F09BC" w:rsidP="009F09BC">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92" w:name="_Toc51863317"/>
      <w:bookmarkStart w:id="193" w:name="_Toc52444651"/>
      <w:bookmarkStart w:id="194" w:name="_Toc57154370"/>
      <w:bookmarkStart w:id="195" w:name="_Toc65170176"/>
      <w:bookmarkStart w:id="196" w:name="_Toc66371802"/>
      <w:bookmarkStart w:id="197" w:name="_Toc67584837"/>
      <w:bookmarkStart w:id="198" w:name="_Toc70070913"/>
      <w:bookmarkStart w:id="199" w:name="_Toc70593360"/>
      <w:bookmarkStart w:id="200" w:name="_Toc71290719"/>
      <w:bookmarkStart w:id="201" w:name="_Toc71291225"/>
      <w:bookmarkStart w:id="202" w:name="_Toc71674124"/>
      <w:bookmarkStart w:id="203" w:name="_Toc83128593"/>
      <w:r w:rsidRPr="003529DE">
        <w:rPr>
          <w:rFonts w:ascii="Palatino Linotype" w:hAnsi="Palatino Linotype" w:cs="Arial"/>
          <w:b/>
        </w:rPr>
        <w:t>III. La intervención del Comité de Transparencia.</w:t>
      </w:r>
      <w:bookmarkEnd w:id="192"/>
      <w:bookmarkEnd w:id="193"/>
      <w:bookmarkEnd w:id="194"/>
      <w:bookmarkEnd w:id="195"/>
      <w:bookmarkEnd w:id="196"/>
      <w:bookmarkEnd w:id="197"/>
      <w:bookmarkEnd w:id="198"/>
      <w:bookmarkEnd w:id="199"/>
      <w:bookmarkEnd w:id="200"/>
      <w:bookmarkEnd w:id="201"/>
      <w:bookmarkEnd w:id="202"/>
      <w:bookmarkEnd w:id="203"/>
    </w:p>
    <w:p w:rsidR="009F09BC" w:rsidRPr="003529DE" w:rsidRDefault="009F09BC" w:rsidP="009F09BC">
      <w:pPr>
        <w:pStyle w:val="Prrafodelista"/>
        <w:tabs>
          <w:tab w:val="left" w:pos="142"/>
          <w:tab w:val="left" w:pos="284"/>
          <w:tab w:val="left" w:pos="426"/>
        </w:tabs>
        <w:spacing w:line="360" w:lineRule="auto"/>
        <w:ind w:left="0"/>
        <w:jc w:val="both"/>
        <w:rPr>
          <w:rFonts w:ascii="Palatino Linotype" w:hAnsi="Palatino Linotype" w:cs="Arial"/>
          <w:b/>
        </w:rPr>
      </w:pPr>
      <w:r w:rsidRPr="003529DE">
        <w:rPr>
          <w:rFonts w:ascii="Palatino Linotype" w:hAnsi="Palatino Linotype" w:cs="Arial"/>
          <w:b/>
        </w:rPr>
        <w:t>a) Formalidades para emitir el Acuerdo de Clasificación.</w:t>
      </w:r>
    </w:p>
    <w:p w:rsidR="009F09BC" w:rsidRPr="003529DE" w:rsidRDefault="009F09BC" w:rsidP="00053FB7">
      <w:pPr>
        <w:numPr>
          <w:ilvl w:val="0"/>
          <w:numId w:val="15"/>
        </w:numPr>
        <w:spacing w:line="360" w:lineRule="auto"/>
        <w:ind w:left="0" w:firstLine="0"/>
        <w:contextualSpacing/>
        <w:jc w:val="both"/>
        <w:rPr>
          <w:rFonts w:ascii="Palatino Linotype" w:hAnsi="Palatino Linotype" w:cs="Arial"/>
        </w:rPr>
      </w:pPr>
      <w:r w:rsidRPr="003529DE">
        <w:rPr>
          <w:rFonts w:ascii="Palatino Linotype" w:eastAsia="MS Gothic" w:hAnsi="Palatino Linotype" w:cs="Times New Roman"/>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3529DE">
        <w:rPr>
          <w:rFonts w:ascii="Palatino Linotype" w:eastAsia="MS Gothic" w:hAnsi="Palatino Linotype" w:cs="Times New Roman"/>
          <w:b/>
          <w:u w:val="single"/>
        </w:rPr>
        <w:t xml:space="preserve">confirmar, modificar o </w:t>
      </w:r>
      <w:r w:rsidRPr="003529DE">
        <w:rPr>
          <w:rFonts w:ascii="Palatino Linotype" w:eastAsia="MS Gothic" w:hAnsi="Palatino Linotype" w:cs="Times New Roman"/>
          <w:b/>
          <w:u w:val="single"/>
        </w:rPr>
        <w:lastRenderedPageBreak/>
        <w:t>revocar</w:t>
      </w:r>
      <w:r w:rsidRPr="003529DE">
        <w:rPr>
          <w:rFonts w:ascii="Palatino Linotype" w:eastAsia="MS Gothic" w:hAnsi="Palatino Linotype" w:cs="Times New Roman"/>
        </w:rPr>
        <w:t xml:space="preserve"> la clasificación de la información que ha hecho el titular del área que administra la información. Por lo tanto, el Comité </w:t>
      </w:r>
      <w:r w:rsidRPr="003529DE">
        <w:rPr>
          <w:rFonts w:ascii="Palatino Linotype" w:eastAsia="MS Gothic" w:hAnsi="Palatino Linotype" w:cs="Times New Roman"/>
          <w:b/>
          <w:u w:val="single"/>
        </w:rPr>
        <w:t>no aprueba</w:t>
      </w:r>
      <w:r w:rsidRPr="003529DE">
        <w:rPr>
          <w:rFonts w:ascii="Palatino Linotype" w:eastAsia="MS Gothic" w:hAnsi="Palatino Linotype" w:cs="Times New Roman"/>
        </w:rPr>
        <w:t xml:space="preserve"> la clasificación, sino que revisa lo que ha hecho el titular del área y confirma, modifica o revoca la decisión a través de un acuerdo.</w:t>
      </w:r>
    </w:p>
    <w:p w:rsidR="009F09BC" w:rsidRPr="003529DE"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3529DE" w:rsidRDefault="009F09BC" w:rsidP="00053FB7">
      <w:pPr>
        <w:numPr>
          <w:ilvl w:val="0"/>
          <w:numId w:val="15"/>
        </w:numPr>
        <w:spacing w:line="360" w:lineRule="auto"/>
        <w:ind w:left="0" w:firstLine="0"/>
        <w:contextualSpacing/>
        <w:jc w:val="both"/>
        <w:rPr>
          <w:rFonts w:ascii="Palatino Linotype" w:hAnsi="Palatino Linotype" w:cs="Arial"/>
        </w:rPr>
      </w:pPr>
      <w:r w:rsidRPr="003529DE">
        <w:rPr>
          <w:rFonts w:ascii="Palatino Linotype" w:eastAsia="MS Gothic" w:hAnsi="Palatino Linotype" w:cs="Times New Roman"/>
        </w:rPr>
        <w:t xml:space="preserve">Evidentemente, esta decisión implica una restricción a un derecho humano, por lo tanto, puede generar un agravio al particular y, en consecuencia, es necesario que </w:t>
      </w:r>
      <w:r w:rsidRPr="003529DE">
        <w:rPr>
          <w:rFonts w:ascii="Palatino Linotype" w:eastAsia="MS Gothic" w:hAnsi="Palatino Linotype" w:cs="Times New Roman"/>
          <w:b/>
          <w:u w:val="single"/>
        </w:rPr>
        <w:t>el acto reúna con los requisitos elementales</w:t>
      </w:r>
      <w:r w:rsidRPr="003529DE">
        <w:rPr>
          <w:rFonts w:ascii="Palatino Linotype" w:eastAsia="MS Gothic" w:hAnsi="Palatino Linotype" w:cs="Times New Roman"/>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6D15D0" w:rsidRPr="003529DE" w:rsidRDefault="006D15D0" w:rsidP="006D15D0">
      <w:pPr>
        <w:pStyle w:val="Prrafodelista"/>
        <w:rPr>
          <w:rFonts w:ascii="Palatino Linotype" w:hAnsi="Palatino Linotype" w:cs="Arial"/>
        </w:rPr>
      </w:pPr>
    </w:p>
    <w:p w:rsidR="009F09BC" w:rsidRPr="003529DE" w:rsidRDefault="009F09BC" w:rsidP="00053FB7">
      <w:pPr>
        <w:numPr>
          <w:ilvl w:val="0"/>
          <w:numId w:val="15"/>
        </w:numPr>
        <w:spacing w:line="360" w:lineRule="auto"/>
        <w:ind w:left="0" w:firstLine="0"/>
        <w:contextualSpacing/>
        <w:jc w:val="both"/>
        <w:rPr>
          <w:rFonts w:ascii="Palatino Linotype" w:hAnsi="Palatino Linotype" w:cs="Arial"/>
        </w:rPr>
      </w:pPr>
      <w:r w:rsidRPr="003529DE">
        <w:rPr>
          <w:rFonts w:ascii="Palatino Linotype" w:eastAsia="MS Gothic" w:hAnsi="Palatino Linotype" w:cs="Times New Roman"/>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9F09BC" w:rsidRPr="003529DE"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3529DE" w:rsidRDefault="009F09BC" w:rsidP="009F09BC">
      <w:pPr>
        <w:pStyle w:val="Prrafodelista"/>
        <w:numPr>
          <w:ilvl w:val="0"/>
          <w:numId w:val="30"/>
        </w:numPr>
        <w:tabs>
          <w:tab w:val="left" w:pos="142"/>
          <w:tab w:val="left" w:pos="284"/>
          <w:tab w:val="left" w:pos="426"/>
        </w:tabs>
        <w:spacing w:line="360" w:lineRule="auto"/>
        <w:jc w:val="both"/>
        <w:rPr>
          <w:rFonts w:ascii="Palatino Linotype" w:hAnsi="Palatino Linotype" w:cs="Arial"/>
          <w:b/>
        </w:rPr>
      </w:pPr>
      <w:r w:rsidRPr="003529DE">
        <w:rPr>
          <w:rFonts w:ascii="Palatino Linotype" w:hAnsi="Palatino Linotype" w:cs="Arial"/>
          <w:b/>
        </w:rPr>
        <w:t>Requisitos de fondo del Acuerdo de Clasificación.</w:t>
      </w:r>
    </w:p>
    <w:p w:rsidR="009F09BC" w:rsidRPr="003529DE" w:rsidRDefault="009F09BC" w:rsidP="00053FB7">
      <w:pPr>
        <w:numPr>
          <w:ilvl w:val="0"/>
          <w:numId w:val="15"/>
        </w:numPr>
        <w:spacing w:line="360" w:lineRule="auto"/>
        <w:ind w:left="0" w:firstLine="0"/>
        <w:contextualSpacing/>
        <w:jc w:val="both"/>
        <w:rPr>
          <w:rFonts w:ascii="Palatino Linotype" w:hAnsi="Palatino Linotype" w:cs="Arial"/>
        </w:rPr>
      </w:pPr>
      <w:r w:rsidRPr="003529DE">
        <w:rPr>
          <w:rFonts w:ascii="Palatino Linotype" w:eastAsia="MS Gothic" w:hAnsi="Palatino Linotype" w:cs="Times New Roman"/>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r w:rsidR="00264C9A" w:rsidRPr="003529DE">
        <w:rPr>
          <w:rFonts w:ascii="Palatino Linotype" w:eastAsia="MS Gothic" w:hAnsi="Palatino Linotype" w:cs="Times New Roman"/>
        </w:rPr>
        <w:t>Generales, al</w:t>
      </w:r>
      <w:r w:rsidRPr="003529DE">
        <w:rPr>
          <w:rFonts w:ascii="Palatino Linotype" w:eastAsia="MS Gothic" w:hAnsi="Palatino Linotype" w:cs="Times New Roman"/>
        </w:rPr>
        <w:t xml:space="preserve"> señalar que la carga de la prueba, para justificar las restricciones, corresponde a los sujetos obligados, por lo que deberán fundar y motivar debidamente la clasificación.</w:t>
      </w:r>
    </w:p>
    <w:p w:rsidR="009F09BC" w:rsidRPr="003529DE" w:rsidRDefault="009F09BC" w:rsidP="009F09BC">
      <w:pPr>
        <w:pStyle w:val="Prrafodelista"/>
        <w:tabs>
          <w:tab w:val="left" w:pos="142"/>
          <w:tab w:val="left" w:pos="284"/>
          <w:tab w:val="left" w:pos="426"/>
        </w:tabs>
        <w:spacing w:after="160" w:line="360" w:lineRule="auto"/>
        <w:ind w:left="0"/>
        <w:jc w:val="both"/>
        <w:rPr>
          <w:rFonts w:ascii="Palatino Linotype" w:hAnsi="Palatino Linotype" w:cs="Arial"/>
        </w:rPr>
      </w:pPr>
    </w:p>
    <w:p w:rsidR="009F09BC" w:rsidRPr="003529DE" w:rsidRDefault="009F09BC" w:rsidP="00053FB7">
      <w:pPr>
        <w:numPr>
          <w:ilvl w:val="0"/>
          <w:numId w:val="15"/>
        </w:numPr>
        <w:spacing w:line="360" w:lineRule="auto"/>
        <w:ind w:left="0" w:firstLine="0"/>
        <w:contextualSpacing/>
        <w:jc w:val="both"/>
        <w:rPr>
          <w:rFonts w:ascii="Palatino Linotype" w:hAnsi="Palatino Linotype" w:cs="Arial"/>
        </w:rPr>
      </w:pPr>
      <w:r w:rsidRPr="003529DE">
        <w:rPr>
          <w:rFonts w:ascii="Palatino Linotype" w:eastAsia="MS Gothic" w:hAnsi="Palatino Linotype" w:cs="Times New Roman"/>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9F09BC" w:rsidRPr="003529DE" w:rsidRDefault="009F09BC" w:rsidP="009F09BC">
      <w:pPr>
        <w:pStyle w:val="Prrafodelista"/>
        <w:rPr>
          <w:rFonts w:ascii="Palatino Linotype" w:hAnsi="Palatino Linotype" w:cs="Arial"/>
        </w:rPr>
      </w:pPr>
    </w:p>
    <w:p w:rsidR="009F09BC" w:rsidRPr="003529DE" w:rsidRDefault="009F09BC" w:rsidP="00053FB7">
      <w:pPr>
        <w:numPr>
          <w:ilvl w:val="0"/>
          <w:numId w:val="15"/>
        </w:numPr>
        <w:spacing w:line="360" w:lineRule="auto"/>
        <w:ind w:left="0" w:firstLine="0"/>
        <w:contextualSpacing/>
        <w:jc w:val="both"/>
        <w:rPr>
          <w:rFonts w:ascii="Palatino Linotype" w:hAnsi="Palatino Linotype" w:cs="Arial"/>
        </w:rPr>
      </w:pPr>
      <w:r w:rsidRPr="003529DE">
        <w:rPr>
          <w:rFonts w:ascii="Palatino Linotype" w:eastAsia="MS Gothic" w:hAnsi="Palatino Linotype" w:cs="Times New Roman"/>
        </w:rPr>
        <w:t>Han sido vastos los estudios doctrinarios relativos a estos derechos fundamentales y al principio de legalidad en ellos contenidos; como ejemplo, el procesalista José Ovalle Fabela, en su obra “Garantías Constitucionales del Proceso”, refiere que “...</w:t>
      </w:r>
      <w:r w:rsidRPr="003529DE">
        <w:rPr>
          <w:rFonts w:ascii="Palatino Linotype" w:eastAsia="MS Gothic" w:hAnsi="Palatino Linotype" w:cs="Times New Roman"/>
          <w:i/>
        </w:rPr>
        <w:t xml:space="preserve">la garantía de fundamentación impone a las autoridades el deber de precisar las disposiciones jurídicas que aplican a los hechos de que se trate y que sustenten su </w:t>
      </w:r>
      <w:r w:rsidRPr="003529DE">
        <w:rPr>
          <w:rFonts w:ascii="Palatino Linotype" w:eastAsia="MS Gothic" w:hAnsi="Palatino Linotype" w:cs="Times New Roman"/>
          <w:i/>
        </w:rPr>
        <w:lastRenderedPageBreak/>
        <w:t>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3529DE">
        <w:rPr>
          <w:rFonts w:ascii="Palatino Linotype" w:eastAsia="MS Gothic" w:hAnsi="Palatino Linotype" w:cs="Times New Roman"/>
        </w:rPr>
        <w:t>....”</w:t>
      </w:r>
      <w:r w:rsidRPr="003529DE">
        <w:rPr>
          <w:rFonts w:ascii="Palatino Linotype" w:eastAsia="MS Gothic" w:hAnsi="Palatino Linotype" w:cs="Times New Roman"/>
          <w:vertAlign w:val="superscript"/>
        </w:rPr>
        <w:footnoteReference w:id="10"/>
      </w:r>
    </w:p>
    <w:p w:rsidR="009F09BC" w:rsidRPr="003529DE" w:rsidRDefault="009F09BC" w:rsidP="009F09BC">
      <w:pPr>
        <w:pStyle w:val="Prrafodelista"/>
        <w:rPr>
          <w:rFonts w:ascii="Palatino Linotype" w:hAnsi="Palatino Linotype" w:cs="Arial"/>
        </w:rPr>
      </w:pPr>
    </w:p>
    <w:p w:rsidR="009F09BC" w:rsidRPr="003529DE" w:rsidRDefault="009F09BC" w:rsidP="00053FB7">
      <w:pPr>
        <w:numPr>
          <w:ilvl w:val="0"/>
          <w:numId w:val="15"/>
        </w:numPr>
        <w:spacing w:line="360" w:lineRule="auto"/>
        <w:ind w:left="0" w:firstLine="0"/>
        <w:contextualSpacing/>
        <w:jc w:val="both"/>
        <w:rPr>
          <w:rFonts w:ascii="Palatino Linotype" w:hAnsi="Palatino Linotype" w:cs="Arial"/>
        </w:rPr>
      </w:pPr>
      <w:r w:rsidRPr="003529DE">
        <w:rPr>
          <w:rFonts w:ascii="Palatino Linotype" w:hAnsi="Palatino Linotype" w:cs="Arial"/>
        </w:rPr>
        <w:t xml:space="preserve"> Por su parte, el intérprete judicial del país ha establecido una jurisprudencia respecto a qué debe entenderse por fundamentación y motivación, en los siguientes términos:</w:t>
      </w:r>
    </w:p>
    <w:p w:rsidR="009F09BC" w:rsidRPr="003529DE"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3529DE" w:rsidRDefault="009E68D3" w:rsidP="009E68D3">
      <w:pPr>
        <w:spacing w:line="276" w:lineRule="auto"/>
        <w:ind w:left="567" w:right="618"/>
        <w:contextualSpacing/>
        <w:jc w:val="both"/>
        <w:rPr>
          <w:rFonts w:ascii="Palatino Linotype" w:hAnsi="Palatino Linotype" w:cs="Arial"/>
          <w:i/>
          <w:color w:val="000000"/>
        </w:rPr>
      </w:pPr>
      <w:r w:rsidRPr="003529DE">
        <w:rPr>
          <w:rFonts w:ascii="Palatino Linotype" w:hAnsi="Palatino Linotype" w:cs="Arial"/>
          <w:b/>
          <w:i/>
          <w:color w:val="000000"/>
        </w:rPr>
        <w:t>“</w:t>
      </w:r>
      <w:r w:rsidR="009F09BC" w:rsidRPr="003529DE">
        <w:rPr>
          <w:rFonts w:ascii="Palatino Linotype" w:hAnsi="Palatino Linotype" w:cs="Arial"/>
          <w:b/>
          <w:i/>
          <w:color w:val="000000"/>
        </w:rPr>
        <w:t>FUNDAMENTACIÓN Y MOTIVACIÓN.</w:t>
      </w:r>
      <w:r w:rsidR="009F09BC" w:rsidRPr="003529DE">
        <w:rPr>
          <w:rFonts w:ascii="Palatino Linotype" w:hAnsi="Palatino Linotype" w:cs="Arial"/>
          <w:i/>
          <w:color w:val="000000"/>
        </w:rPr>
        <w:t xml:space="preserve"> “La </w:t>
      </w:r>
      <w:r w:rsidR="009F09BC" w:rsidRPr="003529DE">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009F09BC" w:rsidRPr="003529DE">
        <w:rPr>
          <w:rFonts w:ascii="Palatino Linotype" w:hAnsi="Palatino Linotype" w:cs="Arial"/>
          <w:i/>
          <w:color w:val="000000"/>
        </w:rPr>
        <w:t>.”</w:t>
      </w:r>
    </w:p>
    <w:p w:rsidR="009F09BC" w:rsidRPr="003529DE" w:rsidRDefault="009F09BC" w:rsidP="009E68D3">
      <w:pPr>
        <w:spacing w:line="360" w:lineRule="auto"/>
        <w:ind w:left="567" w:right="618"/>
        <w:contextualSpacing/>
        <w:jc w:val="both"/>
        <w:rPr>
          <w:rFonts w:ascii="Palatino Linotype" w:hAnsi="Palatino Linotype" w:cs="Arial"/>
          <w:i/>
          <w:color w:val="000000"/>
        </w:rPr>
      </w:pPr>
      <w:r w:rsidRPr="003529DE">
        <w:rPr>
          <w:rFonts w:ascii="Palatino Linotype" w:hAnsi="Palatino Linotype" w:cs="Arial"/>
          <w:i/>
          <w:color w:val="000000"/>
        </w:rPr>
        <w:t>SEGUNDO TRIBUNAL COLEGIADO DEL SEXTO CIRCUITO.</w:t>
      </w:r>
    </w:p>
    <w:p w:rsidR="009F09BC" w:rsidRPr="003529DE" w:rsidRDefault="009F09BC" w:rsidP="009E68D3">
      <w:pPr>
        <w:spacing w:line="360" w:lineRule="auto"/>
        <w:ind w:left="567" w:right="618"/>
        <w:contextualSpacing/>
        <w:jc w:val="both"/>
        <w:rPr>
          <w:rFonts w:ascii="Palatino Linotype" w:hAnsi="Palatino Linotype" w:cs="Arial"/>
          <w:i/>
          <w:color w:val="000000"/>
        </w:rPr>
      </w:pPr>
      <w:r w:rsidRPr="003529DE">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9F09BC" w:rsidRPr="003529DE" w:rsidRDefault="009F09BC" w:rsidP="009E68D3">
      <w:pPr>
        <w:spacing w:line="360" w:lineRule="auto"/>
        <w:ind w:left="567" w:right="618"/>
        <w:contextualSpacing/>
        <w:jc w:val="both"/>
        <w:rPr>
          <w:rFonts w:ascii="Palatino Linotype" w:hAnsi="Palatino Linotype" w:cs="Arial"/>
          <w:i/>
          <w:color w:val="000000"/>
        </w:rPr>
      </w:pPr>
      <w:r w:rsidRPr="003529DE">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rsidR="009F09BC" w:rsidRPr="003529DE" w:rsidRDefault="009F09BC" w:rsidP="009E68D3">
      <w:pPr>
        <w:spacing w:line="360" w:lineRule="auto"/>
        <w:ind w:left="567" w:right="618"/>
        <w:contextualSpacing/>
        <w:jc w:val="both"/>
        <w:rPr>
          <w:rFonts w:ascii="Palatino Linotype" w:hAnsi="Palatino Linotype" w:cs="Arial"/>
          <w:i/>
          <w:color w:val="000000"/>
        </w:rPr>
      </w:pPr>
      <w:r w:rsidRPr="003529DE">
        <w:rPr>
          <w:rFonts w:ascii="Palatino Linotype" w:hAnsi="Palatino Linotype" w:cs="Arial"/>
          <w:i/>
          <w:color w:val="000000"/>
        </w:rPr>
        <w:lastRenderedPageBreak/>
        <w:t>Amparo en revisión 333/88. Adilia Romero. 26 de octubre de 1988. Unanimidad de votos. Ponente: Arnoldo Nájera Virgen. Secretario: Enrique Crispín Campos Ramírez.</w:t>
      </w:r>
    </w:p>
    <w:p w:rsidR="009F09BC" w:rsidRPr="003529DE" w:rsidRDefault="009F09BC" w:rsidP="009E68D3">
      <w:pPr>
        <w:spacing w:line="360" w:lineRule="auto"/>
        <w:ind w:left="567" w:right="618"/>
        <w:contextualSpacing/>
        <w:jc w:val="both"/>
        <w:rPr>
          <w:rFonts w:ascii="Palatino Linotype" w:hAnsi="Palatino Linotype" w:cs="Arial"/>
          <w:i/>
          <w:color w:val="000000"/>
        </w:rPr>
      </w:pPr>
      <w:r w:rsidRPr="003529DE">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rsidR="009F09BC" w:rsidRPr="003529DE" w:rsidRDefault="009F09BC" w:rsidP="009E68D3">
      <w:pPr>
        <w:spacing w:line="360" w:lineRule="auto"/>
        <w:ind w:left="567" w:right="618"/>
        <w:contextualSpacing/>
        <w:jc w:val="both"/>
        <w:rPr>
          <w:rFonts w:ascii="Palatino Linotype" w:hAnsi="Palatino Linotype" w:cs="Arial"/>
          <w:i/>
          <w:color w:val="000000"/>
        </w:rPr>
      </w:pPr>
      <w:r w:rsidRPr="003529DE">
        <w:rPr>
          <w:rFonts w:ascii="Palatino Linotype" w:hAnsi="Palatino Linotype" w:cs="Arial"/>
          <w:i/>
          <w:color w:val="000000"/>
        </w:rPr>
        <w:t>Amparo directo 7/96. Pedro Vicente López Miro. 21 de febrero de 1996. Unanimidad de votos. Ponente: María Eugenia Estela Martínez Cardiel. Secretario: Enrique Baigts Muñoz.</w:t>
      </w:r>
      <w:r w:rsidR="009E68D3" w:rsidRPr="003529DE">
        <w:rPr>
          <w:rFonts w:ascii="Palatino Linotype" w:hAnsi="Palatino Linotype" w:cs="Arial"/>
          <w:i/>
          <w:color w:val="000000"/>
        </w:rPr>
        <w:t>”</w:t>
      </w:r>
    </w:p>
    <w:p w:rsidR="009F09BC" w:rsidRPr="003529DE" w:rsidRDefault="009F09BC" w:rsidP="009F09BC">
      <w:pPr>
        <w:spacing w:line="360" w:lineRule="auto"/>
        <w:ind w:left="851" w:right="618"/>
        <w:contextualSpacing/>
        <w:jc w:val="both"/>
        <w:rPr>
          <w:rFonts w:ascii="Palatino Linotype" w:hAnsi="Palatino Linotype" w:cs="Arial"/>
          <w:i/>
          <w:color w:val="000000"/>
        </w:rPr>
      </w:pPr>
    </w:p>
    <w:p w:rsidR="009F09BC" w:rsidRPr="003529DE" w:rsidRDefault="009F09BC" w:rsidP="00053FB7">
      <w:pPr>
        <w:numPr>
          <w:ilvl w:val="0"/>
          <w:numId w:val="15"/>
        </w:numPr>
        <w:spacing w:line="360" w:lineRule="auto"/>
        <w:ind w:left="0" w:firstLine="0"/>
        <w:contextualSpacing/>
        <w:jc w:val="both"/>
        <w:rPr>
          <w:rFonts w:ascii="Palatino Linotype" w:hAnsi="Palatino Linotype" w:cs="Arial"/>
        </w:rPr>
      </w:pPr>
      <w:r w:rsidRPr="003529DE">
        <w:rPr>
          <w:rFonts w:ascii="Palatino Linotype" w:eastAsia="MS Gothic" w:hAnsi="Palatino Linotype" w:cs="Times New Roman"/>
        </w:rPr>
        <w:t xml:space="preserve"> </w:t>
      </w:r>
      <w:r w:rsidRPr="003529DE">
        <w:rPr>
          <w:rFonts w:ascii="Palatino Linotype" w:hAnsi="Palatino Linotype" w:cs="Arial"/>
        </w:rPr>
        <w:t>Así</w:t>
      </w:r>
      <w:r w:rsidRPr="003529DE">
        <w:rPr>
          <w:rFonts w:ascii="Palatino Linotype" w:eastAsia="MS Gothic" w:hAnsi="Palatino Linotype" w:cs="Times New Roman"/>
        </w:rPr>
        <w:t>,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9F09BC" w:rsidRPr="003529DE"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3529DE" w:rsidRDefault="009F09BC" w:rsidP="00053FB7">
      <w:pPr>
        <w:numPr>
          <w:ilvl w:val="0"/>
          <w:numId w:val="15"/>
        </w:numPr>
        <w:spacing w:line="360" w:lineRule="auto"/>
        <w:ind w:left="0" w:firstLine="0"/>
        <w:contextualSpacing/>
        <w:jc w:val="both"/>
        <w:rPr>
          <w:rFonts w:ascii="Palatino Linotype" w:hAnsi="Palatino Linotype" w:cs="Arial"/>
        </w:rPr>
      </w:pPr>
      <w:r w:rsidRPr="003529DE">
        <w:rPr>
          <w:rFonts w:ascii="Palatino Linotype" w:eastAsia="MS Gothic" w:hAnsi="Palatino Linotype" w:cs="Times New Roman"/>
        </w:rPr>
        <w:t xml:space="preserve"> En consecuencia, la fundamentación y motivación implica que, en el acto de autoridad, además de contenerse los supuestos jurídicos aplicables se expliquen </w:t>
      </w:r>
      <w:r w:rsidRPr="003529DE">
        <w:rPr>
          <w:rFonts w:ascii="Palatino Linotype" w:hAnsi="Palatino Linotype" w:cs="Arial"/>
        </w:rPr>
        <w:t>claramente</w:t>
      </w:r>
      <w:r w:rsidRPr="003529DE">
        <w:rPr>
          <w:rFonts w:ascii="Palatino Linotype" w:eastAsia="MS Gothic" w:hAnsi="Palatino Linotype" w:cs="Times New Roman"/>
        </w:rPr>
        <w:t xml:space="preserve"> por qué a través de la utilización de la norma se emitió el acto. De este modo, la persona que se sienta afectada pueda impugnar la decisión, permitiéndole una real y auténtica defensa.</w:t>
      </w:r>
    </w:p>
    <w:p w:rsidR="009F09BC" w:rsidRPr="003529DE"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3529DE" w:rsidRDefault="009F09BC" w:rsidP="00053FB7">
      <w:pPr>
        <w:numPr>
          <w:ilvl w:val="0"/>
          <w:numId w:val="15"/>
        </w:numPr>
        <w:spacing w:line="360" w:lineRule="auto"/>
        <w:ind w:left="0" w:firstLine="0"/>
        <w:contextualSpacing/>
        <w:jc w:val="both"/>
        <w:rPr>
          <w:rFonts w:ascii="Palatino Linotype" w:hAnsi="Palatino Linotype" w:cs="Arial"/>
        </w:rPr>
      </w:pPr>
      <w:r w:rsidRPr="003529DE">
        <w:rPr>
          <w:rFonts w:ascii="Palatino Linotype" w:eastAsia="MS Gothic" w:hAnsi="Palatino Linotype" w:cs="Times New Roman"/>
        </w:rPr>
        <w:t xml:space="preserve"> En ese mismo sentido, el numeral trigésimo tercero fracción V de los </w:t>
      </w:r>
      <w:r w:rsidRPr="003529DE">
        <w:rPr>
          <w:rFonts w:ascii="Palatino Linotype" w:hAnsi="Palatino Linotype" w:cs="Arial"/>
        </w:rPr>
        <w:t>Lineamientos</w:t>
      </w:r>
      <w:r w:rsidRPr="003529DE">
        <w:rPr>
          <w:rFonts w:ascii="Palatino Linotype" w:eastAsia="MS Gothic" w:hAnsi="Palatino Linotype" w:cs="Times New Roman"/>
        </w:rPr>
        <w:t xml:space="preserve"> Generales, precisa que para motivar la clasificación se deben acreditar las circunstancias de tiempo, modo y lugar.</w:t>
      </w:r>
    </w:p>
    <w:p w:rsidR="009E68D3" w:rsidRPr="003529DE" w:rsidRDefault="009E68D3" w:rsidP="009E68D3">
      <w:pPr>
        <w:pStyle w:val="Prrafodelista"/>
        <w:rPr>
          <w:rFonts w:ascii="Palatino Linotype" w:hAnsi="Palatino Linotype" w:cs="Arial"/>
        </w:rPr>
      </w:pPr>
    </w:p>
    <w:p w:rsidR="009F09BC" w:rsidRPr="003529DE" w:rsidRDefault="009F09BC" w:rsidP="00053FB7">
      <w:pPr>
        <w:numPr>
          <w:ilvl w:val="0"/>
          <w:numId w:val="15"/>
        </w:numPr>
        <w:spacing w:line="360" w:lineRule="auto"/>
        <w:ind w:left="0" w:firstLine="0"/>
        <w:contextualSpacing/>
        <w:jc w:val="both"/>
        <w:rPr>
          <w:rFonts w:ascii="Palatino Linotype" w:hAnsi="Palatino Linotype" w:cs="Arial"/>
        </w:rPr>
      </w:pPr>
      <w:r w:rsidRPr="003529DE">
        <w:rPr>
          <w:rFonts w:ascii="Palatino Linotype" w:eastAsia="MS Gothic" w:hAnsi="Palatino Linotype" w:cs="Times New Roman"/>
        </w:rPr>
        <w:t xml:space="preserve">Ahora bien, </w:t>
      </w:r>
      <w:r w:rsidRPr="003529DE">
        <w:rPr>
          <w:rFonts w:ascii="Palatino Linotype" w:eastAsia="MS Gothic" w:hAnsi="Palatino Linotype" w:cs="Times New Roman"/>
          <w:b/>
          <w:u w:val="single"/>
        </w:rPr>
        <w:t>para cada caso además de fundar y motivar</w:t>
      </w:r>
      <w:r w:rsidRPr="003529DE">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3529DE">
        <w:rPr>
          <w:rFonts w:ascii="Palatino Linotype" w:eastAsia="MS Gothic" w:hAnsi="Palatino Linotype" w:cs="Times New Roman"/>
          <w:vertAlign w:val="superscript"/>
        </w:rPr>
        <w:footnoteReference w:id="11"/>
      </w:r>
      <w:r w:rsidRPr="003529DE">
        <w:rPr>
          <w:rFonts w:ascii="Palatino Linotype" w:eastAsia="MS Gothic" w:hAnsi="Palatino Linotype" w:cs="Times New Roman"/>
        </w:rPr>
        <w:t xml:space="preserve"> del servidor público que no tienen ninguna injerencia en el tema de la transparencia y la rendición de cuentas, por ejemplo, </w:t>
      </w:r>
      <w:r w:rsidRPr="003529DE">
        <w:rPr>
          <w:rFonts w:ascii="Palatino Linotype" w:eastAsia="MS Gothic" w:hAnsi="Palatino Linotype" w:cs="Times New Roman"/>
          <w:lang w:val="es-ES"/>
        </w:rPr>
        <w:t>Clave Única de Registro de Población (CURP), Registro Federal de Contribuyentes (R.F.C.), son datos  susceptibles de clasificarse como confidenciales mediante una versión pública que deje a la vista los datos que ofrezcan la información requerida.</w:t>
      </w:r>
    </w:p>
    <w:p w:rsidR="009F09BC" w:rsidRPr="003529DE"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3529DE" w:rsidRDefault="009F09BC" w:rsidP="009F09BC">
      <w:pPr>
        <w:pStyle w:val="Ttulo2"/>
        <w:numPr>
          <w:ilvl w:val="0"/>
          <w:numId w:val="25"/>
        </w:numPr>
        <w:spacing w:line="259" w:lineRule="auto"/>
        <w:rPr>
          <w:rFonts w:ascii="Palatino Linotype" w:hAnsi="Palatino Linotype"/>
          <w:b/>
          <w:color w:val="000000" w:themeColor="text1"/>
          <w:sz w:val="24"/>
          <w:szCs w:val="24"/>
        </w:rPr>
      </w:pPr>
      <w:bookmarkStart w:id="204" w:name="_Toc70082953"/>
      <w:bookmarkStart w:id="205" w:name="_Toc70593361"/>
      <w:bookmarkStart w:id="206" w:name="_Toc71674125"/>
      <w:bookmarkStart w:id="207" w:name="_Toc83128594"/>
      <w:r w:rsidRPr="003529DE">
        <w:rPr>
          <w:rFonts w:ascii="Palatino Linotype" w:hAnsi="Palatino Linotype"/>
          <w:b/>
          <w:color w:val="000000" w:themeColor="text1"/>
          <w:sz w:val="24"/>
          <w:szCs w:val="24"/>
        </w:rPr>
        <w:t>Determinación</w:t>
      </w:r>
      <w:bookmarkEnd w:id="204"/>
      <w:bookmarkEnd w:id="205"/>
      <w:bookmarkEnd w:id="206"/>
      <w:bookmarkEnd w:id="207"/>
    </w:p>
    <w:p w:rsidR="009F09BC" w:rsidRPr="003529DE" w:rsidRDefault="009F09BC" w:rsidP="009F09BC">
      <w:pPr>
        <w:rPr>
          <w:rFonts w:ascii="Palatino Linotype" w:hAnsi="Palatino Linotype"/>
          <w:lang w:val="es-MX" w:eastAsia="en-US"/>
        </w:rPr>
      </w:pPr>
    </w:p>
    <w:p w:rsidR="009F09BC" w:rsidRPr="003529DE" w:rsidRDefault="009F09BC" w:rsidP="00053FB7">
      <w:pPr>
        <w:numPr>
          <w:ilvl w:val="0"/>
          <w:numId w:val="15"/>
        </w:numPr>
        <w:spacing w:line="360" w:lineRule="auto"/>
        <w:ind w:left="0" w:firstLine="0"/>
        <w:contextualSpacing/>
        <w:jc w:val="both"/>
        <w:rPr>
          <w:rFonts w:ascii="Palatino Linotype" w:hAnsi="Palatino Linotype"/>
          <w:color w:val="000000" w:themeColor="text1"/>
        </w:rPr>
      </w:pPr>
      <w:r w:rsidRPr="003529DE">
        <w:rPr>
          <w:rFonts w:ascii="Palatino Linotype" w:hAnsi="Palatino Linotype"/>
        </w:rPr>
        <w:t xml:space="preserve">Por lo anteriormente expuesto, este Órgano Garante considera fundadas </w:t>
      </w:r>
      <w:r w:rsidRPr="003529DE">
        <w:rPr>
          <w:rFonts w:ascii="Palatino Linotype" w:eastAsia="MS Gothic" w:hAnsi="Palatino Linotype" w:cs="Times New Roman"/>
        </w:rPr>
        <w:t>las</w:t>
      </w:r>
      <w:r w:rsidRPr="003529DE">
        <w:rPr>
          <w:rFonts w:ascii="Palatino Linotype" w:hAnsi="Palatino Linotype"/>
        </w:rPr>
        <w:t xml:space="preserve"> razones o motivos de inconformidad que plantea </w:t>
      </w:r>
      <w:r w:rsidR="009A2251" w:rsidRPr="003529DE">
        <w:rPr>
          <w:rFonts w:ascii="Palatino Linotype" w:hAnsi="Palatino Linotype"/>
        </w:rPr>
        <w:t>e</w:t>
      </w:r>
      <w:r w:rsidRPr="003529DE">
        <w:rPr>
          <w:rFonts w:ascii="Palatino Linotype" w:hAnsi="Palatino Linotype"/>
        </w:rPr>
        <w:t>l</w:t>
      </w:r>
      <w:r w:rsidRPr="003529DE">
        <w:rPr>
          <w:rFonts w:ascii="Palatino Linotype" w:hAnsi="Palatino Linotype"/>
          <w:b/>
        </w:rPr>
        <w:t xml:space="preserve"> RECURRENTE</w:t>
      </w:r>
      <w:r w:rsidRPr="003529DE">
        <w:rPr>
          <w:rFonts w:ascii="Palatino Linotype" w:hAnsi="Palatino Linotype"/>
        </w:rPr>
        <w:t xml:space="preserve">, determinando </w:t>
      </w:r>
      <w:r w:rsidRPr="003529DE">
        <w:rPr>
          <w:rFonts w:ascii="Palatino Linotype" w:hAnsi="Palatino Linotype"/>
          <w:b/>
        </w:rPr>
        <w:t>REVOCAR</w:t>
      </w:r>
      <w:r w:rsidRPr="003529DE">
        <w:rPr>
          <w:rFonts w:ascii="Palatino Linotype" w:hAnsi="Palatino Linotype"/>
        </w:rPr>
        <w:t xml:space="preserve"> la respuesta del </w:t>
      </w:r>
      <w:r w:rsidRPr="003529DE">
        <w:rPr>
          <w:rFonts w:ascii="Palatino Linotype" w:hAnsi="Palatino Linotype"/>
          <w:b/>
        </w:rPr>
        <w:t>SUJETO OBLIGADO</w:t>
      </w:r>
      <w:r w:rsidRPr="003529DE">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3529DE">
        <w:rPr>
          <w:rFonts w:ascii="Palatino Linotype" w:hAnsi="Palatino Linotype"/>
          <w:color w:val="000000" w:themeColor="text1"/>
          <w:lang w:val="es-ES" w:eastAsia="es-MX"/>
        </w:rPr>
        <w:t xml:space="preserve">este </w:t>
      </w:r>
      <w:r w:rsidRPr="003529DE">
        <w:rPr>
          <w:rFonts w:ascii="Palatino Linotype" w:hAnsi="Palatino Linotype"/>
          <w:b/>
          <w:bCs/>
          <w:color w:val="000000" w:themeColor="text1"/>
          <w:lang w:val="es-ES" w:eastAsia="es-MX"/>
        </w:rPr>
        <w:t>ÓRGANO GARANTE</w:t>
      </w:r>
      <w:r w:rsidRPr="003529DE">
        <w:rPr>
          <w:rFonts w:ascii="Palatino Linotype" w:hAnsi="Palatino Linotype"/>
          <w:color w:val="000000" w:themeColor="text1"/>
          <w:lang w:val="es-ES" w:eastAsia="es-MX"/>
        </w:rPr>
        <w:t xml:space="preserve"> emite los siguientes</w:t>
      </w:r>
      <w:r w:rsidRPr="003529DE">
        <w:rPr>
          <w:rFonts w:ascii="Palatino Linotype" w:hAnsi="Palatino Linotype"/>
          <w:color w:val="000000" w:themeColor="text1"/>
        </w:rPr>
        <w:t>.</w:t>
      </w:r>
    </w:p>
    <w:p w:rsidR="009E68D3" w:rsidRPr="003529DE" w:rsidRDefault="009E68D3" w:rsidP="009F09BC">
      <w:pPr>
        <w:spacing w:line="360" w:lineRule="auto"/>
        <w:contextualSpacing/>
        <w:jc w:val="both"/>
        <w:rPr>
          <w:rFonts w:ascii="Palatino Linotype" w:eastAsia="Calibri" w:hAnsi="Palatino Linotype" w:cs="Times New Roman"/>
        </w:rPr>
      </w:pPr>
    </w:p>
    <w:p w:rsidR="009F09BC" w:rsidRPr="003529DE" w:rsidRDefault="009F09BC" w:rsidP="00CE7B83">
      <w:pPr>
        <w:pStyle w:val="Ttulo1"/>
        <w:spacing w:before="0" w:line="360" w:lineRule="auto"/>
        <w:jc w:val="center"/>
        <w:rPr>
          <w:rFonts w:ascii="Palatino Linotype" w:eastAsia="Calibri" w:hAnsi="Palatino Linotype"/>
          <w:b/>
          <w:color w:val="000000" w:themeColor="text1"/>
          <w:sz w:val="24"/>
          <w:szCs w:val="24"/>
          <w:lang w:val="es-ES"/>
        </w:rPr>
      </w:pPr>
      <w:bookmarkStart w:id="208" w:name="_Toc504500693"/>
      <w:bookmarkStart w:id="209" w:name="_Toc534742545"/>
      <w:bookmarkStart w:id="210" w:name="_Toc2248738"/>
      <w:bookmarkStart w:id="211" w:name="_Toc34819440"/>
      <w:bookmarkStart w:id="212" w:name="_Toc51259595"/>
      <w:bookmarkStart w:id="213" w:name="_Toc83128595"/>
      <w:r w:rsidRPr="003529DE">
        <w:rPr>
          <w:rFonts w:ascii="Palatino Linotype" w:eastAsia="Calibri" w:hAnsi="Palatino Linotype"/>
          <w:b/>
          <w:color w:val="000000" w:themeColor="text1"/>
          <w:sz w:val="24"/>
          <w:szCs w:val="24"/>
          <w:lang w:val="es-ES"/>
        </w:rPr>
        <w:t>R E S O L U T I V O S</w:t>
      </w:r>
      <w:bookmarkEnd w:id="208"/>
      <w:bookmarkEnd w:id="209"/>
      <w:bookmarkEnd w:id="210"/>
      <w:bookmarkEnd w:id="211"/>
      <w:bookmarkEnd w:id="212"/>
      <w:bookmarkEnd w:id="213"/>
    </w:p>
    <w:p w:rsidR="00CE7B83" w:rsidRPr="003529DE" w:rsidRDefault="00CE7B83" w:rsidP="00CE7B83">
      <w:pPr>
        <w:rPr>
          <w:rFonts w:ascii="Palatino Linotype" w:hAnsi="Palatino Linotype"/>
          <w:lang w:val="es-ES"/>
        </w:rPr>
      </w:pPr>
    </w:p>
    <w:p w:rsidR="009F09BC" w:rsidRPr="003529DE" w:rsidRDefault="009F09BC" w:rsidP="00CE7B83">
      <w:pPr>
        <w:spacing w:line="360" w:lineRule="auto"/>
        <w:jc w:val="both"/>
        <w:rPr>
          <w:rFonts w:ascii="Palatino Linotype" w:eastAsia="Times New Roman" w:hAnsi="Palatino Linotype" w:cs="Arial"/>
          <w:lang w:val="es-ES"/>
        </w:rPr>
      </w:pPr>
      <w:r w:rsidRPr="003529DE">
        <w:rPr>
          <w:rFonts w:ascii="Palatino Linotype" w:eastAsia="Times New Roman" w:hAnsi="Palatino Linotype" w:cs="Arial"/>
          <w:b/>
        </w:rPr>
        <w:t>PRIMERO</w:t>
      </w:r>
      <w:r w:rsidRPr="003529DE">
        <w:rPr>
          <w:rFonts w:ascii="Palatino Linotype" w:eastAsia="Times New Roman" w:hAnsi="Palatino Linotype" w:cs="Arial"/>
          <w:lang w:val="es-ES"/>
        </w:rPr>
        <w:t>. Resultan</w:t>
      </w:r>
      <w:r w:rsidR="009845EF">
        <w:rPr>
          <w:rFonts w:ascii="Palatino Linotype" w:eastAsia="Times New Roman" w:hAnsi="Palatino Linotype" w:cs="Arial"/>
          <w:lang w:val="es-ES"/>
        </w:rPr>
        <w:t xml:space="preserve"> parcialmente</w:t>
      </w:r>
      <w:r w:rsidRPr="003529DE">
        <w:rPr>
          <w:rFonts w:ascii="Palatino Linotype" w:eastAsia="Times New Roman" w:hAnsi="Palatino Linotype" w:cs="Arial"/>
          <w:lang w:val="es-ES"/>
        </w:rPr>
        <w:t xml:space="preserve"> fundadas las razones o motivos de inconformidad hechos valer en</w:t>
      </w:r>
      <w:r w:rsidR="009A2251" w:rsidRPr="003529DE">
        <w:rPr>
          <w:rFonts w:ascii="Palatino Linotype" w:eastAsia="Times New Roman" w:hAnsi="Palatino Linotype" w:cs="Arial"/>
          <w:lang w:val="es-ES"/>
        </w:rPr>
        <w:t xml:space="preserve"> el</w:t>
      </w:r>
      <w:r w:rsidRPr="003529DE">
        <w:rPr>
          <w:rFonts w:ascii="Palatino Linotype" w:eastAsia="Times New Roman" w:hAnsi="Palatino Linotype" w:cs="Arial"/>
          <w:lang w:val="es-ES"/>
        </w:rPr>
        <w:t xml:space="preserve"> Recurso de Revisión </w:t>
      </w:r>
      <w:r w:rsidR="00DD0347" w:rsidRPr="003529DE">
        <w:rPr>
          <w:rFonts w:ascii="Palatino Linotype" w:hAnsi="Palatino Linotype"/>
          <w:b/>
        </w:rPr>
        <w:t>01948/INFOEM/IP/RR/2022</w:t>
      </w:r>
      <w:r w:rsidRPr="003529DE">
        <w:rPr>
          <w:rFonts w:ascii="Palatino Linotype" w:hAnsi="Palatino Linotype"/>
        </w:rPr>
        <w:t>,</w:t>
      </w:r>
      <w:r w:rsidRPr="003529DE">
        <w:rPr>
          <w:rFonts w:ascii="Palatino Linotype" w:eastAsia="Times New Roman" w:hAnsi="Palatino Linotype" w:cs="Arial"/>
          <w:b/>
          <w:lang w:val="es-ES"/>
        </w:rPr>
        <w:t xml:space="preserve"> </w:t>
      </w:r>
      <w:r w:rsidRPr="003529DE">
        <w:rPr>
          <w:rFonts w:ascii="Palatino Linotype" w:eastAsia="Times New Roman" w:hAnsi="Palatino Linotype" w:cs="Arial"/>
          <w:lang w:val="es-ES"/>
        </w:rPr>
        <w:t xml:space="preserve">en términos de los Considerandos </w:t>
      </w:r>
      <w:r w:rsidRPr="003529DE">
        <w:rPr>
          <w:rFonts w:ascii="Palatino Linotype" w:eastAsia="Times New Roman" w:hAnsi="Palatino Linotype" w:cs="Arial"/>
          <w:b/>
          <w:lang w:val="es-ES"/>
        </w:rPr>
        <w:t xml:space="preserve">CUARTO </w:t>
      </w:r>
      <w:r w:rsidRPr="003529DE">
        <w:rPr>
          <w:rFonts w:ascii="Palatino Linotype" w:eastAsia="Times New Roman" w:hAnsi="Palatino Linotype" w:cs="Arial"/>
          <w:lang w:val="es-ES"/>
        </w:rPr>
        <w:t>y</w:t>
      </w:r>
      <w:r w:rsidRPr="003529DE">
        <w:rPr>
          <w:rFonts w:ascii="Palatino Linotype" w:eastAsia="Times New Roman" w:hAnsi="Palatino Linotype" w:cs="Arial"/>
          <w:b/>
          <w:lang w:val="es-ES"/>
        </w:rPr>
        <w:t xml:space="preserve"> QUINTO </w:t>
      </w:r>
      <w:r w:rsidRPr="003529DE">
        <w:rPr>
          <w:rFonts w:ascii="Palatino Linotype" w:eastAsia="Times New Roman" w:hAnsi="Palatino Linotype" w:cs="Arial"/>
          <w:lang w:val="es-ES"/>
        </w:rPr>
        <w:t xml:space="preserve">de la presente resolución. </w:t>
      </w:r>
    </w:p>
    <w:p w:rsidR="00CE7B83" w:rsidRPr="003529DE" w:rsidRDefault="00CE7B83" w:rsidP="00CE7B83">
      <w:pPr>
        <w:spacing w:line="360" w:lineRule="auto"/>
        <w:jc w:val="both"/>
        <w:rPr>
          <w:rFonts w:ascii="Palatino Linotype" w:eastAsia="Times New Roman" w:hAnsi="Palatino Linotype" w:cs="Arial"/>
          <w:lang w:val="es-ES"/>
        </w:rPr>
      </w:pPr>
    </w:p>
    <w:p w:rsidR="009F09BC" w:rsidRPr="003529DE" w:rsidRDefault="009F09BC" w:rsidP="00CE7B83">
      <w:pPr>
        <w:spacing w:line="360" w:lineRule="auto"/>
        <w:jc w:val="both"/>
        <w:rPr>
          <w:rFonts w:ascii="Palatino Linotype" w:eastAsia="MS Mincho" w:hAnsi="Palatino Linotype" w:cs="Times New Roman"/>
          <w:color w:val="000000" w:themeColor="text1"/>
        </w:rPr>
      </w:pPr>
      <w:bookmarkStart w:id="214" w:name="_Toc503891607"/>
      <w:bookmarkStart w:id="215" w:name="_Toc511647757"/>
      <w:bookmarkStart w:id="216" w:name="_Toc511647818"/>
      <w:bookmarkStart w:id="217" w:name="_Toc477891768"/>
      <w:bookmarkStart w:id="218" w:name="_Toc477891858"/>
      <w:bookmarkStart w:id="219" w:name="_Toc481576259"/>
      <w:bookmarkStart w:id="220" w:name="_Toc492590391"/>
      <w:bookmarkStart w:id="221" w:name="_Toc462653937"/>
      <w:bookmarkStart w:id="222" w:name="_Toc453696502"/>
      <w:bookmarkStart w:id="223" w:name="_Toc454301155"/>
      <w:r w:rsidRPr="003529DE">
        <w:rPr>
          <w:rFonts w:ascii="Palatino Linotype" w:eastAsia="Times New Roman" w:hAnsi="Palatino Linotype" w:cs="Times New Roman"/>
          <w:b/>
        </w:rPr>
        <w:t>SEGUNDO.</w:t>
      </w:r>
      <w:bookmarkEnd w:id="214"/>
      <w:bookmarkEnd w:id="215"/>
      <w:bookmarkEnd w:id="216"/>
      <w:r w:rsidRPr="003529DE">
        <w:rPr>
          <w:rFonts w:ascii="Palatino Linotype" w:eastAsia="Times New Roman" w:hAnsi="Palatino Linotype" w:cs="Times New Roman"/>
          <w:b/>
        </w:rPr>
        <w:t xml:space="preserve"> </w:t>
      </w:r>
      <w:bookmarkEnd w:id="217"/>
      <w:bookmarkEnd w:id="218"/>
      <w:bookmarkEnd w:id="219"/>
      <w:bookmarkEnd w:id="220"/>
      <w:bookmarkEnd w:id="221"/>
      <w:bookmarkEnd w:id="222"/>
      <w:bookmarkEnd w:id="223"/>
      <w:r w:rsidRPr="003529DE">
        <w:rPr>
          <w:rFonts w:ascii="Palatino Linotype" w:eastAsia="MS Mincho" w:hAnsi="Palatino Linotype" w:cs="Times New Roman"/>
          <w:color w:val="000000" w:themeColor="text1"/>
        </w:rPr>
        <w:t xml:space="preserve">Se </w:t>
      </w:r>
      <w:r w:rsidRPr="003529DE">
        <w:rPr>
          <w:rFonts w:ascii="Palatino Linotype" w:eastAsia="MS Mincho" w:hAnsi="Palatino Linotype" w:cs="Times New Roman"/>
          <w:b/>
          <w:color w:val="000000" w:themeColor="text1"/>
        </w:rPr>
        <w:t xml:space="preserve">REVOCA </w:t>
      </w:r>
      <w:r w:rsidRPr="003529DE">
        <w:rPr>
          <w:rFonts w:ascii="Palatino Linotype" w:eastAsia="MS Mincho" w:hAnsi="Palatino Linotype" w:cs="Times New Roman"/>
          <w:color w:val="000000" w:themeColor="text1"/>
        </w:rPr>
        <w:t xml:space="preserve">la respuesta emitida por </w:t>
      </w:r>
      <w:r w:rsidR="002453DA" w:rsidRPr="003529DE">
        <w:rPr>
          <w:rFonts w:ascii="Palatino Linotype" w:eastAsia="MS Mincho" w:hAnsi="Palatino Linotype" w:cs="Times New Roman"/>
          <w:color w:val="000000" w:themeColor="text1"/>
        </w:rPr>
        <w:t xml:space="preserve">el </w:t>
      </w:r>
      <w:r w:rsidR="00DD0347" w:rsidRPr="003529DE">
        <w:rPr>
          <w:rFonts w:ascii="Palatino Linotype" w:eastAsia="MS Mincho" w:hAnsi="Palatino Linotype" w:cs="Times New Roman"/>
          <w:b/>
          <w:color w:val="000000" w:themeColor="text1"/>
        </w:rPr>
        <w:t>Ayuntamiento de Tlalnepantla de Baz</w:t>
      </w:r>
      <w:r w:rsidRPr="003529DE">
        <w:rPr>
          <w:rFonts w:ascii="Palatino Linotype" w:eastAsia="MS Mincho" w:hAnsi="Palatino Linotype" w:cs="Times New Roman"/>
          <w:b/>
          <w:color w:val="000000" w:themeColor="text1"/>
        </w:rPr>
        <w:t xml:space="preserve"> </w:t>
      </w:r>
      <w:r w:rsidRPr="003529DE">
        <w:rPr>
          <w:rFonts w:ascii="Palatino Linotype" w:eastAsia="MS Mincho" w:hAnsi="Palatino Linotype" w:cs="Times New Roman"/>
          <w:color w:val="000000" w:themeColor="text1"/>
        </w:rPr>
        <w:t xml:space="preserve">y se </w:t>
      </w:r>
      <w:r w:rsidRPr="003529DE">
        <w:rPr>
          <w:rFonts w:ascii="Palatino Linotype" w:eastAsia="MS Mincho" w:hAnsi="Palatino Linotype" w:cs="Times New Roman"/>
          <w:b/>
          <w:color w:val="000000" w:themeColor="text1"/>
        </w:rPr>
        <w:t>ORDENA</w:t>
      </w:r>
      <w:r w:rsidRPr="003529DE">
        <w:rPr>
          <w:rFonts w:ascii="Palatino Linotype" w:eastAsia="MS Mincho" w:hAnsi="Palatino Linotype" w:cs="Times New Roman"/>
          <w:color w:val="000000" w:themeColor="text1"/>
        </w:rPr>
        <w:t xml:space="preserve"> entregar vía Sistema de Acceso a la Información Mexiquense </w:t>
      </w:r>
      <w:r w:rsidRPr="003529DE">
        <w:rPr>
          <w:rFonts w:ascii="Palatino Linotype" w:eastAsia="MS Mincho" w:hAnsi="Palatino Linotype" w:cs="Times New Roman"/>
          <w:b/>
          <w:color w:val="000000" w:themeColor="text1"/>
        </w:rPr>
        <w:t>(SAIMEX)</w:t>
      </w:r>
      <w:r w:rsidRPr="003529DE">
        <w:rPr>
          <w:rFonts w:ascii="Palatino Linotype" w:eastAsia="MS Mincho" w:hAnsi="Palatino Linotype" w:cs="Times New Roman"/>
          <w:color w:val="000000" w:themeColor="text1"/>
        </w:rPr>
        <w:t xml:space="preserve">, en versión pública, </w:t>
      </w:r>
      <w:r w:rsidR="009C39C8">
        <w:rPr>
          <w:rFonts w:ascii="Palatino Linotype" w:eastAsia="MS Mincho" w:hAnsi="Palatino Linotype" w:cs="Times New Roman"/>
          <w:color w:val="000000" w:themeColor="text1"/>
        </w:rPr>
        <w:t>el siguiente soporte documental</w:t>
      </w:r>
      <w:r w:rsidR="00A31268" w:rsidRPr="00A31268">
        <w:rPr>
          <w:rFonts w:ascii="Palatino Linotype" w:hAnsi="Palatino Linotype" w:cs="Arial"/>
          <w:b/>
        </w:rPr>
        <w:t xml:space="preserve"> </w:t>
      </w:r>
      <w:r w:rsidR="00A31268" w:rsidRPr="00A31268">
        <w:rPr>
          <w:rFonts w:ascii="Palatino Linotype" w:hAnsi="Palatino Linotype" w:cs="Arial"/>
        </w:rPr>
        <w:t>informado a las personas fotografiadas y publicadas por el Instituto Municipal de la Salud de Tlalnepantla de Baz en redes Sociales, con motivo de la última campaña de vacunación y jornada de esterilización,</w:t>
      </w:r>
      <w:r w:rsidR="00A31268" w:rsidRPr="00A31268">
        <w:rPr>
          <w:rFonts w:ascii="Palatino Linotype" w:eastAsia="MS Mincho" w:hAnsi="Palatino Linotype" w:cs="Times New Roman"/>
          <w:color w:val="000000" w:themeColor="text1"/>
        </w:rPr>
        <w:t xml:space="preserve"> al 23 de febrero de 2022</w:t>
      </w:r>
      <w:r w:rsidR="00CE7B83" w:rsidRPr="00A31268">
        <w:rPr>
          <w:rFonts w:ascii="Palatino Linotype" w:eastAsia="MS Mincho" w:hAnsi="Palatino Linotype" w:cs="Times New Roman"/>
          <w:color w:val="000000" w:themeColor="text1"/>
        </w:rPr>
        <w:t>:</w:t>
      </w:r>
    </w:p>
    <w:p w:rsidR="00CE7B83" w:rsidRDefault="00CE7B83" w:rsidP="00CE7B83">
      <w:pPr>
        <w:spacing w:line="360" w:lineRule="auto"/>
        <w:jc w:val="both"/>
        <w:rPr>
          <w:rFonts w:ascii="Palatino Linotype" w:eastAsia="MS Mincho" w:hAnsi="Palatino Linotype" w:cs="Times New Roman"/>
          <w:color w:val="000000" w:themeColor="text1"/>
        </w:rPr>
      </w:pPr>
    </w:p>
    <w:p w:rsidR="009A2251" w:rsidRDefault="009C39C8" w:rsidP="009E68D3">
      <w:pPr>
        <w:pStyle w:val="Prrafodelista"/>
        <w:numPr>
          <w:ilvl w:val="0"/>
          <w:numId w:val="35"/>
        </w:numPr>
        <w:spacing w:line="360" w:lineRule="auto"/>
        <w:ind w:left="993"/>
        <w:jc w:val="both"/>
        <w:rPr>
          <w:rFonts w:ascii="Palatino Linotype" w:hAnsi="Palatino Linotype" w:cs="Arial"/>
          <w:b/>
        </w:rPr>
      </w:pPr>
      <w:bookmarkStart w:id="224" w:name="_Toc503891610"/>
      <w:bookmarkStart w:id="225" w:name="_Toc453696503"/>
      <w:bookmarkStart w:id="226" w:name="_Toc454301156"/>
      <w:bookmarkStart w:id="227" w:name="_Toc462653938"/>
      <w:bookmarkStart w:id="228" w:name="_Toc477891769"/>
      <w:bookmarkStart w:id="229" w:name="_Toc477891859"/>
      <w:bookmarkStart w:id="230" w:name="_Toc481576260"/>
      <w:bookmarkStart w:id="231" w:name="_Toc492590392"/>
      <w:r>
        <w:rPr>
          <w:rFonts w:ascii="Palatino Linotype" w:hAnsi="Palatino Linotype" w:cs="Arial"/>
          <w:b/>
        </w:rPr>
        <w:t>Aviso de privacidad; y</w:t>
      </w:r>
    </w:p>
    <w:p w:rsidR="009C39C8" w:rsidRPr="003529DE" w:rsidRDefault="009C39C8" w:rsidP="009E68D3">
      <w:pPr>
        <w:pStyle w:val="Prrafodelista"/>
        <w:numPr>
          <w:ilvl w:val="0"/>
          <w:numId w:val="35"/>
        </w:numPr>
        <w:spacing w:line="360" w:lineRule="auto"/>
        <w:ind w:left="993"/>
        <w:jc w:val="both"/>
        <w:rPr>
          <w:rFonts w:ascii="Palatino Linotype" w:hAnsi="Palatino Linotype" w:cs="Arial"/>
          <w:b/>
        </w:rPr>
      </w:pPr>
      <w:r>
        <w:rPr>
          <w:rFonts w:ascii="Palatino Linotype" w:hAnsi="Palatino Linotype" w:cs="Arial"/>
          <w:b/>
        </w:rPr>
        <w:t>Consentimiento expreso</w:t>
      </w:r>
      <w:r w:rsidR="00A31268">
        <w:rPr>
          <w:rFonts w:ascii="Palatino Linotype" w:hAnsi="Palatino Linotype" w:cs="Arial"/>
          <w:b/>
        </w:rPr>
        <w:t xml:space="preserve"> por escrito.</w:t>
      </w:r>
    </w:p>
    <w:p w:rsidR="009C39C8" w:rsidRPr="003529DE" w:rsidRDefault="009C39C8" w:rsidP="00CE7B83">
      <w:pPr>
        <w:spacing w:line="360" w:lineRule="auto"/>
        <w:jc w:val="both"/>
        <w:rPr>
          <w:rFonts w:ascii="Palatino Linotype" w:hAnsi="Palatino Linotype" w:cs="Arial"/>
          <w:b/>
        </w:rPr>
      </w:pPr>
    </w:p>
    <w:p w:rsidR="009F09BC" w:rsidRDefault="009F09BC" w:rsidP="00CE7B83">
      <w:pPr>
        <w:spacing w:line="360" w:lineRule="auto"/>
        <w:jc w:val="both"/>
        <w:rPr>
          <w:rFonts w:ascii="Palatino Linotype" w:eastAsia="Calibri" w:hAnsi="Palatino Linotype" w:cs="Arial"/>
        </w:rPr>
      </w:pPr>
      <w:r w:rsidRPr="003529DE">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005D1419">
        <w:rPr>
          <w:rFonts w:ascii="Palatino Linotype" w:eastAsia="Calibri" w:hAnsi="Palatino Linotype" w:cs="Arial"/>
          <w:b/>
        </w:rPr>
        <w:t>LA RECURRENTE</w:t>
      </w:r>
      <w:r w:rsidRPr="003529DE">
        <w:rPr>
          <w:rFonts w:ascii="Palatino Linotype" w:eastAsia="Calibri" w:hAnsi="Palatino Linotype" w:cs="Arial"/>
        </w:rPr>
        <w:t>.</w:t>
      </w:r>
    </w:p>
    <w:p w:rsidR="00A31268" w:rsidRPr="003529DE" w:rsidRDefault="00A31268" w:rsidP="00CE7B83">
      <w:pPr>
        <w:spacing w:line="360" w:lineRule="auto"/>
        <w:jc w:val="both"/>
        <w:rPr>
          <w:rFonts w:ascii="Palatino Linotype" w:eastAsia="Calibri" w:hAnsi="Palatino Linotype" w:cs="Arial"/>
          <w:b/>
        </w:rPr>
      </w:pPr>
    </w:p>
    <w:p w:rsidR="00A31268" w:rsidRPr="00AB76AB" w:rsidRDefault="00A31268" w:rsidP="00A31268">
      <w:pPr>
        <w:pStyle w:val="Prrafodelista"/>
        <w:autoSpaceDE w:val="0"/>
        <w:autoSpaceDN w:val="0"/>
        <w:adjustRightInd w:val="0"/>
        <w:spacing w:line="360" w:lineRule="auto"/>
        <w:ind w:left="0" w:right="-93"/>
        <w:jc w:val="both"/>
        <w:rPr>
          <w:rFonts w:ascii="Palatino Linotype" w:eastAsia="Calibri" w:hAnsi="Palatino Linotype" w:cs="Arial"/>
          <w:color w:val="000000" w:themeColor="text1"/>
        </w:rPr>
      </w:pPr>
      <w:r w:rsidRPr="00AB76AB">
        <w:rPr>
          <w:rFonts w:ascii="Palatino Linotype" w:hAnsi="Palatino Linotype"/>
        </w:rPr>
        <w:lastRenderedPageBreak/>
        <w:t xml:space="preserve">Para el caso que la información que se ordena en el </w:t>
      </w:r>
      <w:r>
        <w:rPr>
          <w:rFonts w:ascii="Palatino Linotype" w:hAnsi="Palatino Linotype"/>
          <w:b/>
        </w:rPr>
        <w:t>Inciso b</w:t>
      </w:r>
      <w:r w:rsidRPr="00AB76AB">
        <w:rPr>
          <w:rFonts w:ascii="Palatino Linotype" w:hAnsi="Palatino Linotype"/>
          <w:b/>
        </w:rPr>
        <w:t xml:space="preserve">), </w:t>
      </w:r>
      <w:r w:rsidRPr="00AB76AB">
        <w:rPr>
          <w:rFonts w:ascii="Palatino Linotype" w:eastAsia="Calibri" w:hAnsi="Palatino Linotype" w:cs="Arial"/>
          <w:b/>
          <w:color w:val="000000" w:themeColor="text1"/>
        </w:rPr>
        <w:t>no haya sido generada, poseída o administrada</w:t>
      </w:r>
      <w:r w:rsidRPr="00AB76AB">
        <w:rPr>
          <w:rFonts w:ascii="Palatino Linotype" w:eastAsia="Calibri" w:hAnsi="Palatino Linotype" w:cs="Arial"/>
          <w:color w:val="000000" w:themeColor="text1"/>
        </w:rPr>
        <w:t xml:space="preserve">, el </w:t>
      </w:r>
      <w:r w:rsidRPr="00AB76AB">
        <w:rPr>
          <w:rFonts w:ascii="Palatino Linotype" w:eastAsia="Calibri" w:hAnsi="Palatino Linotype" w:cs="Arial"/>
          <w:b/>
          <w:color w:val="000000" w:themeColor="text1"/>
        </w:rPr>
        <w:t>SUJETO OBLIGADO</w:t>
      </w:r>
      <w:r w:rsidRPr="00AB76AB">
        <w:rPr>
          <w:rFonts w:ascii="Palatino Linotype" w:eastAsia="Calibri" w:hAnsi="Palatino Linotype" w:cs="Arial"/>
          <w:color w:val="000000" w:themeColor="text1"/>
        </w:rPr>
        <w:t>, deberá manifestar de manera precisa y clara las razones que expliquen las causas por las cuales no se haya generado, poseído o administrado.</w:t>
      </w:r>
    </w:p>
    <w:p w:rsidR="00CE7B83" w:rsidRDefault="00CE7B83" w:rsidP="00CE7B83">
      <w:pPr>
        <w:spacing w:line="360" w:lineRule="auto"/>
        <w:jc w:val="both"/>
        <w:rPr>
          <w:rFonts w:ascii="Palatino Linotype" w:eastAsia="Calibri" w:hAnsi="Palatino Linotype" w:cs="Arial"/>
          <w:b/>
        </w:rPr>
      </w:pPr>
    </w:p>
    <w:p w:rsidR="009F09BC" w:rsidRPr="003529DE" w:rsidRDefault="009F09BC" w:rsidP="00CE7B83">
      <w:pPr>
        <w:tabs>
          <w:tab w:val="left" w:pos="8080"/>
        </w:tabs>
        <w:spacing w:line="360" w:lineRule="auto"/>
        <w:ind w:right="49"/>
        <w:jc w:val="both"/>
        <w:rPr>
          <w:rFonts w:ascii="Palatino Linotype" w:eastAsia="Times New Roman" w:hAnsi="Palatino Linotype" w:cs="Times New Roman"/>
          <w:shd w:val="clear" w:color="auto" w:fill="FFFFFF"/>
        </w:rPr>
      </w:pPr>
      <w:bookmarkStart w:id="232" w:name="_Toc511647758"/>
      <w:bookmarkStart w:id="233" w:name="_Toc511647819"/>
      <w:r w:rsidRPr="003529DE">
        <w:rPr>
          <w:rFonts w:ascii="Palatino Linotype" w:eastAsia="Times New Roman" w:hAnsi="Palatino Linotype" w:cs="Times New Roman"/>
          <w:b/>
        </w:rPr>
        <w:t>TERCERO.</w:t>
      </w:r>
      <w:bookmarkEnd w:id="224"/>
      <w:bookmarkEnd w:id="232"/>
      <w:bookmarkEnd w:id="233"/>
      <w:r w:rsidRPr="003529DE">
        <w:rPr>
          <w:rFonts w:ascii="Palatino Linotype" w:eastAsia="Times New Roman" w:hAnsi="Palatino Linotype" w:cs="Times New Roman"/>
          <w:b/>
        </w:rPr>
        <w:t xml:space="preserve"> </w:t>
      </w:r>
      <w:bookmarkEnd w:id="225"/>
      <w:bookmarkEnd w:id="226"/>
      <w:bookmarkEnd w:id="227"/>
      <w:bookmarkEnd w:id="228"/>
      <w:bookmarkEnd w:id="229"/>
      <w:bookmarkEnd w:id="230"/>
      <w:bookmarkEnd w:id="231"/>
      <w:r w:rsidRPr="003529DE">
        <w:rPr>
          <w:rFonts w:ascii="Palatino Linotype" w:eastAsia="Palatino Linotype" w:hAnsi="Palatino Linotype" w:cs="Palatino Linotype"/>
          <w:b/>
        </w:rPr>
        <w:t xml:space="preserve">Notifíquese </w:t>
      </w:r>
      <w:r w:rsidRPr="003529DE">
        <w:rPr>
          <w:rFonts w:ascii="Palatino Linotype" w:eastAsia="Palatino Linotype" w:hAnsi="Palatino Linotype" w:cs="Palatino Linotype"/>
        </w:rPr>
        <w:t xml:space="preserve">al Titular de la Unidad de Transparencia del </w:t>
      </w:r>
      <w:r w:rsidRPr="003529DE">
        <w:rPr>
          <w:rFonts w:ascii="Palatino Linotype" w:eastAsia="Palatino Linotype" w:hAnsi="Palatino Linotype" w:cs="Palatino Linotype"/>
          <w:b/>
        </w:rPr>
        <w:t>SUJETO OBLIGADO</w:t>
      </w:r>
      <w:r w:rsidR="00CE7B83" w:rsidRPr="003529DE">
        <w:rPr>
          <w:rFonts w:ascii="Palatino Linotype" w:eastAsia="Palatino Linotype" w:hAnsi="Palatino Linotype" w:cs="Palatino Linotype"/>
          <w:b/>
        </w:rPr>
        <w:t xml:space="preserve"> </w:t>
      </w:r>
      <w:r w:rsidR="00CE7B83" w:rsidRPr="003529DE">
        <w:rPr>
          <w:rFonts w:ascii="Palatino Linotype" w:eastAsia="Palatino Linotype" w:hAnsi="Palatino Linotype" w:cs="Palatino Linotype"/>
        </w:rPr>
        <w:t>vía SAIMEX</w:t>
      </w:r>
      <w:r w:rsidRPr="003529DE">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3529DE">
        <w:rPr>
          <w:rFonts w:ascii="Palatino Linotype" w:eastAsia="Times New Roman" w:hAnsi="Palatino Linotype" w:cs="Times New Roman"/>
          <w:shd w:val="clear" w:color="auto" w:fill="FFFFFF"/>
        </w:rPr>
        <w:t xml:space="preserve">vigente, dé cumplimiento a lo ordenado dentro del plazo de </w:t>
      </w:r>
      <w:r w:rsidR="00782A12" w:rsidRPr="003529DE">
        <w:rPr>
          <w:rFonts w:ascii="Palatino Linotype" w:eastAsia="Times New Roman" w:hAnsi="Palatino Linotype" w:cs="Times New Roman"/>
          <w:b/>
          <w:shd w:val="clear" w:color="auto" w:fill="FFFFFF"/>
        </w:rPr>
        <w:t>diez</w:t>
      </w:r>
      <w:r w:rsidRPr="003529DE">
        <w:rPr>
          <w:rFonts w:ascii="Palatino Linotype" w:eastAsia="Times New Roman" w:hAnsi="Palatino Linotype" w:cs="Times New Roman"/>
          <w:b/>
          <w:shd w:val="clear" w:color="auto" w:fill="FFFFFF"/>
        </w:rPr>
        <w:t xml:space="preserve"> días hábiles</w:t>
      </w:r>
      <w:r w:rsidRPr="003529DE">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rsidR="0057514F" w:rsidRPr="003529DE" w:rsidRDefault="0057514F" w:rsidP="00CE7B83">
      <w:pPr>
        <w:spacing w:line="360" w:lineRule="auto"/>
        <w:jc w:val="both"/>
        <w:rPr>
          <w:rFonts w:ascii="Palatino Linotype" w:hAnsi="Palatino Linotype" w:cs="Arial"/>
          <w:b/>
        </w:rPr>
      </w:pPr>
    </w:p>
    <w:p w:rsidR="0057514F" w:rsidRPr="003529DE" w:rsidRDefault="0057514F" w:rsidP="00CE7B83">
      <w:pPr>
        <w:spacing w:line="360" w:lineRule="auto"/>
        <w:jc w:val="both"/>
        <w:rPr>
          <w:rFonts w:ascii="Palatino Linotype" w:eastAsia="Calibri" w:hAnsi="Palatino Linotype" w:cs="Arial"/>
          <w:bCs/>
        </w:rPr>
      </w:pPr>
      <w:r w:rsidRPr="003529DE">
        <w:rPr>
          <w:rFonts w:ascii="Palatino Linotype" w:hAnsi="Palatino Linotype" w:cs="Arial"/>
          <w:b/>
        </w:rPr>
        <w:t xml:space="preserve">CUARTO. </w:t>
      </w:r>
      <w:r w:rsidRPr="003529DE">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3529DE">
        <w:rPr>
          <w:rFonts w:ascii="Palatino Linotype" w:eastAsia="Calibri" w:hAnsi="Palatino Linotype" w:cs="Arial"/>
          <w:b/>
          <w:bCs/>
        </w:rPr>
        <w:t>SUJETO OBLIGADO</w:t>
      </w:r>
      <w:r w:rsidRPr="003529DE">
        <w:rPr>
          <w:rFonts w:ascii="Palatino Linotype" w:eastAsia="Calibri" w:hAnsi="Palatino Linotype" w:cs="Arial"/>
          <w:bCs/>
        </w:rPr>
        <w:t xml:space="preserve"> de manera fundada y motivada, podrá solicitar una ampliación de plazo para el cumplimiento de la presente resolución.</w:t>
      </w:r>
    </w:p>
    <w:p w:rsidR="00CE7B83" w:rsidRPr="003529DE" w:rsidRDefault="00CE7B83" w:rsidP="00CE7B83">
      <w:pPr>
        <w:spacing w:line="360" w:lineRule="auto"/>
        <w:jc w:val="both"/>
        <w:rPr>
          <w:rFonts w:ascii="Palatino Linotype" w:eastAsia="Calibri" w:hAnsi="Palatino Linotype" w:cs="Arial"/>
          <w:bCs/>
        </w:rPr>
      </w:pPr>
    </w:p>
    <w:p w:rsidR="009F09BC" w:rsidRPr="003529DE" w:rsidRDefault="0057514F" w:rsidP="00CE7B83">
      <w:pPr>
        <w:tabs>
          <w:tab w:val="left" w:pos="8080"/>
        </w:tabs>
        <w:spacing w:line="360" w:lineRule="auto"/>
        <w:ind w:right="49"/>
        <w:jc w:val="both"/>
        <w:rPr>
          <w:rFonts w:ascii="Palatino Linotype" w:eastAsia="Times New Roman" w:hAnsi="Palatino Linotype" w:cs="Times New Roman"/>
          <w:lang w:val="es-ES" w:eastAsia="es-MX"/>
        </w:rPr>
      </w:pPr>
      <w:bookmarkStart w:id="234" w:name="_Toc492590393"/>
      <w:bookmarkStart w:id="235" w:name="_Toc503891611"/>
      <w:bookmarkStart w:id="236" w:name="_Toc511647759"/>
      <w:bookmarkStart w:id="237" w:name="_Toc511647820"/>
      <w:r w:rsidRPr="003529DE">
        <w:rPr>
          <w:rFonts w:ascii="Palatino Linotype" w:eastAsia="Times New Roman" w:hAnsi="Palatino Linotype" w:cs="Times New Roman"/>
          <w:b/>
        </w:rPr>
        <w:t>QUIN</w:t>
      </w:r>
      <w:r w:rsidR="009F09BC" w:rsidRPr="003529DE">
        <w:rPr>
          <w:rFonts w:ascii="Palatino Linotype" w:eastAsia="Times New Roman" w:hAnsi="Palatino Linotype" w:cs="Times New Roman"/>
          <w:b/>
        </w:rPr>
        <w:t xml:space="preserve">TO. </w:t>
      </w:r>
      <w:r w:rsidR="009F09BC" w:rsidRPr="003529DE">
        <w:rPr>
          <w:rFonts w:ascii="Palatino Linotype" w:eastAsia="Times New Roman" w:hAnsi="Palatino Linotype" w:cs="Times New Roman"/>
        </w:rPr>
        <w:t>Notifíquese</w:t>
      </w:r>
      <w:bookmarkEnd w:id="234"/>
      <w:bookmarkEnd w:id="235"/>
      <w:bookmarkEnd w:id="236"/>
      <w:bookmarkEnd w:id="237"/>
      <w:r w:rsidR="009F09BC" w:rsidRPr="003529DE">
        <w:rPr>
          <w:rFonts w:ascii="Palatino Linotype" w:eastAsia="Times New Roman" w:hAnsi="Palatino Linotype" w:cs="Times New Roman"/>
        </w:rPr>
        <w:t xml:space="preserve"> a </w:t>
      </w:r>
      <w:r w:rsidR="005D1419">
        <w:rPr>
          <w:rFonts w:ascii="Palatino Linotype" w:eastAsia="Times New Roman" w:hAnsi="Palatino Linotype" w:cs="Times New Roman"/>
          <w:b/>
        </w:rPr>
        <w:t>LA RECURRENTE</w:t>
      </w:r>
      <w:r w:rsidR="009F09BC" w:rsidRPr="003529DE">
        <w:rPr>
          <w:rFonts w:ascii="Palatino Linotype" w:eastAsia="Times New Roman" w:hAnsi="Palatino Linotype" w:cs="Times New Roman"/>
        </w:rPr>
        <w:t xml:space="preserve"> la presente</w:t>
      </w:r>
      <w:r w:rsidR="009F09BC" w:rsidRPr="003529DE">
        <w:rPr>
          <w:rFonts w:ascii="Palatino Linotype" w:eastAsia="Times New Roman" w:hAnsi="Palatino Linotype" w:cs="Times New Roman"/>
          <w:lang w:val="es-ES" w:eastAsia="es-MX"/>
        </w:rPr>
        <w:t xml:space="preserve"> resolución</w:t>
      </w:r>
      <w:r w:rsidR="00CE7B83" w:rsidRPr="003529DE">
        <w:rPr>
          <w:rFonts w:ascii="Palatino Linotype" w:eastAsia="Times New Roman" w:hAnsi="Palatino Linotype" w:cs="Times New Roman"/>
          <w:lang w:val="es-ES" w:eastAsia="es-MX"/>
        </w:rPr>
        <w:t>, vía SAIMEX</w:t>
      </w:r>
      <w:r w:rsidR="006D15D0" w:rsidRPr="003529DE">
        <w:rPr>
          <w:rFonts w:ascii="Palatino Linotype" w:eastAsia="Times New Roman" w:hAnsi="Palatino Linotype" w:cs="Times New Roman"/>
          <w:lang w:val="es-ES" w:eastAsia="es-MX"/>
        </w:rPr>
        <w:t>.</w:t>
      </w:r>
    </w:p>
    <w:p w:rsidR="00CE7B83" w:rsidRPr="003529DE" w:rsidRDefault="00CE7B83" w:rsidP="00CE7B83">
      <w:pPr>
        <w:tabs>
          <w:tab w:val="left" w:pos="8080"/>
        </w:tabs>
        <w:spacing w:line="360" w:lineRule="auto"/>
        <w:ind w:right="49"/>
        <w:jc w:val="both"/>
        <w:rPr>
          <w:rFonts w:ascii="Palatino Linotype" w:eastAsia="Times New Roman" w:hAnsi="Palatino Linotype" w:cs="Arial"/>
          <w:b/>
          <w:lang w:val="es-ES"/>
        </w:rPr>
      </w:pPr>
    </w:p>
    <w:p w:rsidR="009F09BC" w:rsidRPr="003529DE" w:rsidRDefault="0057514F" w:rsidP="00CE7B83">
      <w:pPr>
        <w:shd w:val="clear" w:color="auto" w:fill="FFFFFF"/>
        <w:spacing w:line="360" w:lineRule="auto"/>
        <w:jc w:val="both"/>
        <w:rPr>
          <w:rFonts w:ascii="Palatino Linotype" w:eastAsia="Times New Roman" w:hAnsi="Palatino Linotype" w:cs="Times New Roman"/>
          <w:lang w:val="es-ES" w:eastAsia="es-MX"/>
        </w:rPr>
      </w:pPr>
      <w:r w:rsidRPr="003529DE">
        <w:rPr>
          <w:rFonts w:ascii="Palatino Linotype" w:eastAsia="Calibri" w:hAnsi="Palatino Linotype" w:cs="Times New Roman"/>
          <w:b/>
          <w:lang w:val="es-MX" w:eastAsia="en-US"/>
        </w:rPr>
        <w:t>SEX</w:t>
      </w:r>
      <w:r w:rsidR="009F09BC" w:rsidRPr="003529DE">
        <w:rPr>
          <w:rFonts w:ascii="Palatino Linotype" w:eastAsia="Calibri" w:hAnsi="Palatino Linotype" w:cs="Times New Roman"/>
          <w:b/>
          <w:lang w:val="es-MX" w:eastAsia="en-US"/>
        </w:rPr>
        <w:t>TO.</w:t>
      </w:r>
      <w:r w:rsidR="009F09BC" w:rsidRPr="003529DE">
        <w:rPr>
          <w:rFonts w:ascii="Palatino Linotype" w:eastAsia="Calibri" w:hAnsi="Palatino Linotype" w:cs="Times New Roman"/>
          <w:lang w:val="es-MX" w:eastAsia="en-US"/>
        </w:rPr>
        <w:t xml:space="preserve"> </w:t>
      </w:r>
      <w:r w:rsidR="009F09BC" w:rsidRPr="003529DE">
        <w:rPr>
          <w:rFonts w:ascii="Palatino Linotype" w:eastAsia="Times New Roman" w:hAnsi="Palatino Linotype" w:cs="Times New Roman"/>
          <w:lang w:val="es-ES" w:eastAsia="es-MX"/>
        </w:rPr>
        <w:t xml:space="preserve">Se hace del conocimiento de </w:t>
      </w:r>
      <w:r w:rsidR="005D1419">
        <w:rPr>
          <w:rFonts w:ascii="Palatino Linotype" w:eastAsia="Times New Roman" w:hAnsi="Palatino Linotype" w:cs="Times New Roman"/>
          <w:b/>
          <w:lang w:val="es-ES" w:eastAsia="es-MX"/>
        </w:rPr>
        <w:t>LA RECURRENTE</w:t>
      </w:r>
      <w:r w:rsidR="009F09BC" w:rsidRPr="003529DE">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9F09BC" w:rsidRPr="003529DE">
        <w:rPr>
          <w:rFonts w:ascii="Palatino Linotype" w:eastAsia="Times New Roman" w:hAnsi="Palatino Linotype" w:cs="Times New Roman"/>
          <w:bCs/>
          <w:lang w:val="es-ES" w:eastAsia="es-MX"/>
        </w:rPr>
        <w:t>vía juicio de amparo</w:t>
      </w:r>
      <w:r w:rsidR="009F09BC" w:rsidRPr="003529DE">
        <w:rPr>
          <w:rFonts w:ascii="Palatino Linotype" w:eastAsia="Times New Roman" w:hAnsi="Palatino Linotype" w:cs="Times New Roman"/>
          <w:lang w:val="es-ES" w:eastAsia="es-MX"/>
        </w:rPr>
        <w:t> en los términos de las leyes aplicables.</w:t>
      </w:r>
    </w:p>
    <w:p w:rsidR="00053FB7" w:rsidRPr="003529DE" w:rsidRDefault="00053FB7" w:rsidP="00CE7B83">
      <w:pPr>
        <w:shd w:val="clear" w:color="auto" w:fill="FFFFFF"/>
        <w:spacing w:line="360" w:lineRule="auto"/>
        <w:jc w:val="both"/>
        <w:rPr>
          <w:rFonts w:ascii="Palatino Linotype" w:eastAsia="Times New Roman" w:hAnsi="Palatino Linotype" w:cs="Times New Roman"/>
          <w:lang w:val="es-ES" w:eastAsia="es-MX"/>
        </w:rPr>
      </w:pPr>
    </w:p>
    <w:p w:rsidR="00EC0D51" w:rsidRDefault="00EC0D51" w:rsidP="00EC0D51">
      <w:pPr>
        <w:spacing w:before="240" w:after="240" w:line="360" w:lineRule="auto"/>
        <w:ind w:firstLine="1"/>
        <w:jc w:val="both"/>
        <w:rPr>
          <w:rFonts w:ascii="Palatino Linotype" w:hAnsi="Palatino Linotype"/>
        </w:rPr>
      </w:pPr>
      <w:r w:rsidRPr="00A0054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rPr>
        <w:t xml:space="preserve">; </w:t>
      </w:r>
      <w:r w:rsidRPr="00A0054B">
        <w:rPr>
          <w:rFonts w:ascii="Palatino Linotype" w:hAnsi="Palatino Linotype"/>
        </w:rPr>
        <w:t xml:space="preserve">LUIS GUSTAVO PARRA NORIEGA Y GUADALUPE RAMÍREZ PEÑA EN LA </w:t>
      </w:r>
      <w:r>
        <w:rPr>
          <w:rFonts w:ascii="Palatino Linotype" w:hAnsi="Palatino Linotype"/>
        </w:rPr>
        <w:t xml:space="preserve">VIGÉSIMA PRIMERA </w:t>
      </w:r>
      <w:r w:rsidRPr="00A0054B">
        <w:rPr>
          <w:rFonts w:ascii="Palatino Linotype" w:hAnsi="Palatino Linotype"/>
        </w:rPr>
        <w:t xml:space="preserve">SESIÓN ORDINARIA CELEBRADA EL </w:t>
      </w:r>
      <w:r>
        <w:rPr>
          <w:rFonts w:ascii="Palatino Linotype" w:hAnsi="Palatino Linotype"/>
        </w:rPr>
        <w:t>OCHO (08)</w:t>
      </w:r>
      <w:r w:rsidRPr="00A0054B">
        <w:rPr>
          <w:rFonts w:ascii="Palatino Linotype" w:hAnsi="Palatino Linotype"/>
        </w:rPr>
        <w:t xml:space="preserve"> DE </w:t>
      </w:r>
      <w:r>
        <w:rPr>
          <w:rFonts w:ascii="Palatino Linotype" w:hAnsi="Palatino Linotype"/>
        </w:rPr>
        <w:t>JUNIO</w:t>
      </w:r>
      <w:r w:rsidRPr="00A0054B">
        <w:rPr>
          <w:rFonts w:ascii="Palatino Linotype" w:hAnsi="Palatino Linotype"/>
        </w:rPr>
        <w:t xml:space="preserve"> DE DOS MIL VEINTIDÓS, ANTE EL SECRETARIO TÉCNICO DEL PLENO ALEXIS TAPIA RAMÍREZ</w:t>
      </w:r>
      <w:r>
        <w:rPr>
          <w:rFonts w:ascii="Palatino Linotype" w:hAnsi="Palatino Linotype"/>
        </w:rPr>
        <w:t>.</w:t>
      </w:r>
      <w:r w:rsidRPr="00624AAD">
        <w:rPr>
          <w:rFonts w:ascii="Palatino Linotype" w:hAnsi="Palatino Linotype"/>
        </w:rPr>
        <w:t xml:space="preserve"> </w:t>
      </w:r>
    </w:p>
    <w:p w:rsidR="009F09BC" w:rsidRPr="003529DE" w:rsidRDefault="009F09BC" w:rsidP="009F09BC">
      <w:pPr>
        <w:spacing w:line="360" w:lineRule="auto"/>
        <w:jc w:val="both"/>
        <w:rPr>
          <w:rFonts w:ascii="Palatino Linotype" w:hAnsi="Palatino Linotype"/>
        </w:rPr>
      </w:pPr>
    </w:p>
    <w:p w:rsidR="009F09BC" w:rsidRPr="003529DE" w:rsidRDefault="009F09BC" w:rsidP="009F09BC">
      <w:pPr>
        <w:spacing w:line="360" w:lineRule="auto"/>
        <w:jc w:val="both"/>
        <w:rPr>
          <w:rFonts w:ascii="Palatino Linotype" w:hAnsi="Palatino Linotype"/>
        </w:rPr>
      </w:pPr>
    </w:p>
    <w:p w:rsidR="009F09BC" w:rsidRPr="003529DE" w:rsidRDefault="009F09BC" w:rsidP="009F09BC">
      <w:pPr>
        <w:spacing w:line="360" w:lineRule="auto"/>
        <w:jc w:val="both"/>
        <w:rPr>
          <w:rFonts w:ascii="Palatino Linotype" w:hAnsi="Palatino Linotype"/>
        </w:rPr>
      </w:pPr>
    </w:p>
    <w:p w:rsidR="009F09BC" w:rsidRPr="003529DE" w:rsidRDefault="009F09BC" w:rsidP="009F09BC">
      <w:pPr>
        <w:spacing w:line="360" w:lineRule="auto"/>
        <w:jc w:val="both"/>
        <w:rPr>
          <w:rFonts w:ascii="Palatino Linotype" w:hAnsi="Palatino Linotype"/>
        </w:rPr>
      </w:pPr>
    </w:p>
    <w:p w:rsidR="009F09BC" w:rsidRPr="003529DE" w:rsidRDefault="009F09BC" w:rsidP="009F09BC">
      <w:pPr>
        <w:spacing w:line="360" w:lineRule="auto"/>
        <w:jc w:val="both"/>
        <w:rPr>
          <w:rFonts w:ascii="Palatino Linotype" w:hAnsi="Palatino Linotype"/>
        </w:rPr>
      </w:pPr>
    </w:p>
    <w:p w:rsidR="009F09BC" w:rsidRPr="003529DE" w:rsidRDefault="009F09BC" w:rsidP="009F09BC">
      <w:pPr>
        <w:spacing w:line="360" w:lineRule="auto"/>
        <w:jc w:val="both"/>
        <w:rPr>
          <w:rFonts w:ascii="Palatino Linotype" w:hAnsi="Palatino Linotype"/>
        </w:rPr>
      </w:pPr>
    </w:p>
    <w:p w:rsidR="009F09BC" w:rsidRPr="003529DE" w:rsidRDefault="009F09BC" w:rsidP="009F09BC">
      <w:pPr>
        <w:spacing w:line="360" w:lineRule="auto"/>
        <w:jc w:val="both"/>
        <w:rPr>
          <w:rFonts w:ascii="Palatino Linotype" w:hAnsi="Palatino Linotype"/>
        </w:rPr>
      </w:pPr>
    </w:p>
    <w:p w:rsidR="009F09BC" w:rsidRPr="003529DE" w:rsidRDefault="009F09BC" w:rsidP="009F09BC">
      <w:pPr>
        <w:spacing w:line="360" w:lineRule="auto"/>
        <w:jc w:val="both"/>
        <w:rPr>
          <w:rFonts w:ascii="Palatino Linotype" w:hAnsi="Palatino Linotype"/>
        </w:rPr>
      </w:pPr>
    </w:p>
    <w:p w:rsidR="009F09BC" w:rsidRPr="003529DE" w:rsidRDefault="009F09BC" w:rsidP="009F09BC">
      <w:pPr>
        <w:spacing w:line="360" w:lineRule="auto"/>
        <w:jc w:val="both"/>
        <w:rPr>
          <w:rFonts w:ascii="Palatino Linotype" w:hAnsi="Palatino Linotype"/>
        </w:rPr>
      </w:pPr>
    </w:p>
    <w:p w:rsidR="009F09BC" w:rsidRPr="003529DE" w:rsidRDefault="009F09BC" w:rsidP="009F09BC">
      <w:pPr>
        <w:rPr>
          <w:rFonts w:ascii="Palatino Linotype" w:hAnsi="Palatino Linotype"/>
        </w:rPr>
      </w:pPr>
    </w:p>
    <w:p w:rsidR="009F09BC" w:rsidRPr="003529DE" w:rsidRDefault="009F09BC" w:rsidP="009F09BC">
      <w:pPr>
        <w:rPr>
          <w:rFonts w:ascii="Palatino Linotype" w:hAnsi="Palatino Linotype"/>
        </w:rPr>
      </w:pPr>
    </w:p>
    <w:p w:rsidR="009F09BC" w:rsidRPr="003529DE" w:rsidRDefault="009F09BC" w:rsidP="009F09BC">
      <w:pPr>
        <w:rPr>
          <w:rFonts w:ascii="Palatino Linotype" w:hAnsi="Palatino Linotype"/>
        </w:rPr>
      </w:pPr>
    </w:p>
    <w:p w:rsidR="009F09BC" w:rsidRPr="003529DE" w:rsidRDefault="009F09BC" w:rsidP="009F09BC">
      <w:pPr>
        <w:rPr>
          <w:rFonts w:ascii="Palatino Linotype" w:hAnsi="Palatino Linotype"/>
        </w:rPr>
      </w:pPr>
    </w:p>
    <w:p w:rsidR="009F09BC" w:rsidRPr="003529DE" w:rsidRDefault="009F09BC" w:rsidP="009F09BC">
      <w:pPr>
        <w:rPr>
          <w:rFonts w:ascii="Palatino Linotype" w:hAnsi="Palatino Linotype"/>
        </w:rPr>
      </w:pPr>
    </w:p>
    <w:p w:rsidR="009F09BC" w:rsidRPr="003529DE" w:rsidRDefault="009F09BC" w:rsidP="009F09BC">
      <w:pPr>
        <w:rPr>
          <w:rFonts w:ascii="Palatino Linotype" w:hAnsi="Palatino Linotype"/>
        </w:rPr>
      </w:pPr>
    </w:p>
    <w:p w:rsidR="009F09BC" w:rsidRPr="003529DE" w:rsidRDefault="009F09BC" w:rsidP="009F09BC">
      <w:pPr>
        <w:rPr>
          <w:rFonts w:ascii="Palatino Linotype" w:hAnsi="Palatino Linotype"/>
        </w:rPr>
      </w:pPr>
    </w:p>
    <w:p w:rsidR="009F09BC" w:rsidRPr="003529DE" w:rsidRDefault="009F09BC" w:rsidP="009F09BC">
      <w:pPr>
        <w:tabs>
          <w:tab w:val="left" w:pos="3374"/>
        </w:tabs>
        <w:rPr>
          <w:rFonts w:ascii="Palatino Linotype" w:hAnsi="Palatino Linotype"/>
        </w:rPr>
      </w:pPr>
      <w:r w:rsidRPr="003529DE">
        <w:rPr>
          <w:rFonts w:ascii="Palatino Linotype" w:hAnsi="Palatino Linotype"/>
        </w:rPr>
        <w:tab/>
      </w:r>
    </w:p>
    <w:p w:rsidR="0074110E" w:rsidRPr="003529DE" w:rsidRDefault="0074110E" w:rsidP="009F09BC">
      <w:pPr>
        <w:tabs>
          <w:tab w:val="left" w:pos="3374"/>
        </w:tabs>
        <w:rPr>
          <w:rFonts w:ascii="Palatino Linotype" w:hAnsi="Palatino Linotype"/>
        </w:rPr>
      </w:pPr>
    </w:p>
    <w:p w:rsidR="0074110E" w:rsidRPr="003529DE" w:rsidRDefault="0074110E" w:rsidP="009F09BC">
      <w:pPr>
        <w:tabs>
          <w:tab w:val="left" w:pos="3374"/>
        </w:tabs>
        <w:rPr>
          <w:rFonts w:ascii="Palatino Linotype" w:hAnsi="Palatino Linotype"/>
        </w:rPr>
      </w:pPr>
    </w:p>
    <w:p w:rsidR="0074110E" w:rsidRPr="003529DE" w:rsidRDefault="0074110E" w:rsidP="009F09BC">
      <w:pPr>
        <w:tabs>
          <w:tab w:val="left" w:pos="3374"/>
        </w:tabs>
        <w:rPr>
          <w:rFonts w:ascii="Palatino Linotype" w:hAnsi="Palatino Linotype"/>
        </w:rPr>
      </w:pPr>
    </w:p>
    <w:p w:rsidR="0074110E" w:rsidRPr="003529DE" w:rsidRDefault="0074110E" w:rsidP="009F09BC">
      <w:pPr>
        <w:tabs>
          <w:tab w:val="left" w:pos="3374"/>
        </w:tabs>
        <w:rPr>
          <w:rFonts w:ascii="Palatino Linotype" w:hAnsi="Palatino Linotype"/>
        </w:rPr>
      </w:pPr>
    </w:p>
    <w:p w:rsidR="0074110E" w:rsidRPr="003529DE" w:rsidRDefault="0074110E" w:rsidP="009F09BC">
      <w:pPr>
        <w:tabs>
          <w:tab w:val="left" w:pos="3374"/>
        </w:tabs>
        <w:rPr>
          <w:rFonts w:ascii="Palatino Linotype" w:hAnsi="Palatino Linotype"/>
        </w:rPr>
      </w:pPr>
    </w:p>
    <w:p w:rsidR="0074110E" w:rsidRPr="003529DE" w:rsidRDefault="0074110E" w:rsidP="009F09BC">
      <w:pPr>
        <w:tabs>
          <w:tab w:val="left" w:pos="3374"/>
        </w:tabs>
        <w:rPr>
          <w:rFonts w:ascii="Palatino Linotype" w:hAnsi="Palatino Linotype"/>
        </w:rPr>
      </w:pPr>
    </w:p>
    <w:p w:rsidR="0074110E" w:rsidRPr="003529DE" w:rsidRDefault="0074110E" w:rsidP="009F09BC">
      <w:pPr>
        <w:tabs>
          <w:tab w:val="left" w:pos="3374"/>
        </w:tabs>
        <w:rPr>
          <w:rFonts w:ascii="Palatino Linotype" w:hAnsi="Palatino Linotype"/>
        </w:rPr>
      </w:pPr>
    </w:p>
    <w:p w:rsidR="0074110E" w:rsidRPr="003529DE" w:rsidRDefault="0074110E" w:rsidP="009F09BC">
      <w:pPr>
        <w:tabs>
          <w:tab w:val="left" w:pos="3374"/>
        </w:tabs>
        <w:rPr>
          <w:rFonts w:ascii="Palatino Linotype" w:hAnsi="Palatino Linotype"/>
        </w:rPr>
      </w:pPr>
    </w:p>
    <w:p w:rsidR="00053FB7" w:rsidRPr="003529DE" w:rsidRDefault="00053FB7" w:rsidP="009F09BC">
      <w:pPr>
        <w:tabs>
          <w:tab w:val="left" w:pos="3374"/>
        </w:tabs>
        <w:rPr>
          <w:rFonts w:ascii="Palatino Linotype" w:hAnsi="Palatino Linotype"/>
        </w:rPr>
      </w:pPr>
    </w:p>
    <w:p w:rsidR="00053FB7" w:rsidRPr="003529DE" w:rsidRDefault="00053FB7" w:rsidP="009F09BC">
      <w:pPr>
        <w:tabs>
          <w:tab w:val="left" w:pos="3374"/>
        </w:tabs>
        <w:rPr>
          <w:rFonts w:ascii="Palatino Linotype" w:hAnsi="Palatino Linotype"/>
        </w:rPr>
      </w:pPr>
    </w:p>
    <w:p w:rsidR="00053FB7" w:rsidRPr="003529DE" w:rsidRDefault="00053FB7" w:rsidP="009F09BC">
      <w:pPr>
        <w:tabs>
          <w:tab w:val="left" w:pos="3374"/>
        </w:tabs>
        <w:rPr>
          <w:rFonts w:ascii="Palatino Linotype" w:hAnsi="Palatino Linotype"/>
        </w:rPr>
      </w:pPr>
    </w:p>
    <w:p w:rsidR="00053FB7" w:rsidRPr="003529DE" w:rsidRDefault="00053FB7" w:rsidP="009F09BC">
      <w:pPr>
        <w:tabs>
          <w:tab w:val="left" w:pos="3374"/>
        </w:tabs>
        <w:rPr>
          <w:rFonts w:ascii="Palatino Linotype" w:hAnsi="Palatino Linotype"/>
        </w:rPr>
      </w:pPr>
    </w:p>
    <w:p w:rsidR="00053FB7" w:rsidRPr="003529DE" w:rsidRDefault="00053FB7" w:rsidP="009F09BC">
      <w:pPr>
        <w:tabs>
          <w:tab w:val="left" w:pos="3374"/>
        </w:tabs>
        <w:rPr>
          <w:rFonts w:ascii="Palatino Linotype" w:hAnsi="Palatino Linotype"/>
        </w:rPr>
      </w:pPr>
    </w:p>
    <w:p w:rsidR="00053FB7" w:rsidRPr="003529DE" w:rsidRDefault="00053FB7" w:rsidP="009F09BC">
      <w:pPr>
        <w:tabs>
          <w:tab w:val="left" w:pos="3374"/>
        </w:tabs>
        <w:rPr>
          <w:rFonts w:ascii="Palatino Linotype" w:hAnsi="Palatino Linotype"/>
        </w:rPr>
      </w:pPr>
    </w:p>
    <w:p w:rsidR="00053FB7" w:rsidRPr="003529DE" w:rsidRDefault="00053FB7" w:rsidP="009F09BC">
      <w:pPr>
        <w:tabs>
          <w:tab w:val="left" w:pos="3374"/>
        </w:tabs>
        <w:rPr>
          <w:rFonts w:ascii="Palatino Linotype" w:hAnsi="Palatino Linotype"/>
        </w:rPr>
      </w:pPr>
    </w:p>
    <w:p w:rsidR="00053FB7" w:rsidRPr="003529DE" w:rsidRDefault="00053FB7" w:rsidP="009F09BC">
      <w:pPr>
        <w:tabs>
          <w:tab w:val="left" w:pos="3374"/>
        </w:tabs>
        <w:rPr>
          <w:rFonts w:ascii="Palatino Linotype" w:hAnsi="Palatino Linotype"/>
        </w:rPr>
      </w:pPr>
    </w:p>
    <w:p w:rsidR="00053FB7" w:rsidRPr="003529DE" w:rsidRDefault="00053FB7" w:rsidP="009F09BC">
      <w:pPr>
        <w:tabs>
          <w:tab w:val="left" w:pos="3374"/>
        </w:tabs>
        <w:rPr>
          <w:rFonts w:ascii="Palatino Linotype" w:hAnsi="Palatino Linotype"/>
        </w:rPr>
      </w:pPr>
    </w:p>
    <w:p w:rsidR="00053FB7" w:rsidRPr="003529DE" w:rsidRDefault="00053FB7" w:rsidP="009F09BC">
      <w:pPr>
        <w:tabs>
          <w:tab w:val="left" w:pos="3374"/>
        </w:tabs>
        <w:rPr>
          <w:rFonts w:ascii="Palatino Linotype" w:hAnsi="Palatino Linotype"/>
        </w:rPr>
      </w:pPr>
    </w:p>
    <w:p w:rsidR="00053FB7" w:rsidRPr="003529DE" w:rsidRDefault="00053FB7" w:rsidP="009F09BC">
      <w:pPr>
        <w:tabs>
          <w:tab w:val="left" w:pos="3374"/>
        </w:tabs>
        <w:rPr>
          <w:rFonts w:ascii="Palatino Linotype" w:hAnsi="Palatino Linotype"/>
        </w:rPr>
      </w:pPr>
    </w:p>
    <w:sectPr w:rsidR="00053FB7" w:rsidRPr="003529DE" w:rsidSect="00E61C13">
      <w:headerReference w:type="even" r:id="rId15"/>
      <w:headerReference w:type="default" r:id="rId16"/>
      <w:footerReference w:type="default" r:id="rId17"/>
      <w:headerReference w:type="first" r:id="rId18"/>
      <w:footerReference w:type="first" r:id="rId19"/>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578E" w:rsidRDefault="0032578E" w:rsidP="003B7751">
      <w:r>
        <w:separator/>
      </w:r>
    </w:p>
  </w:endnote>
  <w:endnote w:type="continuationSeparator" w:id="0">
    <w:p w:rsidR="0032578E" w:rsidRDefault="0032578E"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C31129" w:rsidRPr="002D6DD8" w:rsidRDefault="00C31129"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121DE">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121DE">
              <w:rPr>
                <w:rFonts w:ascii="Palatino Linotype" w:hAnsi="Palatino Linotype"/>
                <w:bCs/>
                <w:noProof/>
                <w:sz w:val="20"/>
              </w:rPr>
              <w:t>48</w:t>
            </w:r>
            <w:r>
              <w:rPr>
                <w:rFonts w:ascii="Palatino Linotype" w:hAnsi="Palatino Linotype"/>
                <w:bCs/>
                <w:noProof/>
                <w:sz w:val="20"/>
              </w:rPr>
              <w:fldChar w:fldCharType="end"/>
            </w:r>
          </w:p>
        </w:sdtContent>
      </w:sdt>
    </w:sdtContent>
  </w:sdt>
  <w:p w:rsidR="00C31129" w:rsidRDefault="00C3112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129" w:rsidRPr="000B69FA" w:rsidRDefault="00C31129"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121D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121DE">
      <w:rPr>
        <w:rFonts w:ascii="Palatino Linotype" w:hAnsi="Palatino Linotype"/>
        <w:bCs/>
        <w:noProof/>
        <w:sz w:val="20"/>
      </w:rPr>
      <w:t>48</w:t>
    </w:r>
    <w:r>
      <w:rPr>
        <w:rFonts w:ascii="Palatino Linotype" w:hAnsi="Palatino Linotype"/>
        <w:bCs/>
        <w:noProof/>
        <w:sz w:val="20"/>
      </w:rPr>
      <w:fldChar w:fldCharType="end"/>
    </w:r>
  </w:p>
  <w:p w:rsidR="00C31129" w:rsidRDefault="00C3112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578E" w:rsidRDefault="0032578E" w:rsidP="003B7751">
      <w:r>
        <w:separator/>
      </w:r>
    </w:p>
  </w:footnote>
  <w:footnote w:type="continuationSeparator" w:id="0">
    <w:p w:rsidR="0032578E" w:rsidRDefault="0032578E" w:rsidP="003B7751">
      <w:r>
        <w:continuationSeparator/>
      </w:r>
    </w:p>
  </w:footnote>
  <w:footnote w:id="1">
    <w:p w:rsidR="00C31129" w:rsidRPr="009C43C2" w:rsidRDefault="00C31129" w:rsidP="005B670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rsidR="00C31129" w:rsidRPr="009C43C2" w:rsidRDefault="00C31129" w:rsidP="005B670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rsidR="00C31129" w:rsidRPr="009C43C2" w:rsidRDefault="00C31129" w:rsidP="005B670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C31129" w:rsidRDefault="00C31129" w:rsidP="005B6702">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5">
    <w:p w:rsidR="003529DE" w:rsidRPr="00AF5B63" w:rsidRDefault="003529DE" w:rsidP="003529DE">
      <w:pPr>
        <w:pStyle w:val="Textonotapie"/>
        <w:rPr>
          <w:sz w:val="16"/>
          <w:szCs w:val="16"/>
        </w:rPr>
      </w:pPr>
      <w:r>
        <w:rPr>
          <w:rStyle w:val="Refdenotaalpie"/>
        </w:rPr>
        <w:footnoteRef/>
      </w:r>
      <w:r>
        <w:t xml:space="preserve"> </w:t>
      </w:r>
      <w:r>
        <w:rPr>
          <w:i/>
          <w:sz w:val="16"/>
          <w:szCs w:val="16"/>
        </w:rPr>
        <w:t xml:space="preserve">“Orientaciones y garantías en los Procedimientos de ANONIMIZACIÓN de datos personales”, </w:t>
      </w:r>
      <w:r>
        <w:rPr>
          <w:sz w:val="16"/>
          <w:szCs w:val="16"/>
        </w:rPr>
        <w:t>Agencia Española de Protección de Datos Personales, 2016, Pág. 2</w:t>
      </w:r>
    </w:p>
  </w:footnote>
  <w:footnote w:id="6">
    <w:p w:rsidR="002C3FE3" w:rsidRPr="005A5C85" w:rsidRDefault="002C3FE3" w:rsidP="002C3FE3">
      <w:pPr>
        <w:pStyle w:val="Textonotapie"/>
        <w:jc w:val="both"/>
        <w:rPr>
          <w:rFonts w:ascii="Palatino Linotype" w:hAnsi="Palatino Linotype"/>
          <w:sz w:val="18"/>
        </w:rPr>
      </w:pPr>
      <w:r w:rsidRPr="005A5C85">
        <w:rPr>
          <w:rStyle w:val="Refdenotaalpie"/>
          <w:rFonts w:ascii="Palatino Linotype" w:hAnsi="Palatino Linotype"/>
          <w:sz w:val="18"/>
        </w:rPr>
        <w:footnoteRef/>
      </w:r>
      <w:r w:rsidRPr="005A5C85">
        <w:rPr>
          <w:rFonts w:ascii="Palatino Linotype" w:hAnsi="Palatino Linotype"/>
          <w:sz w:val="18"/>
        </w:rPr>
        <w:t xml:space="preserve"> Referencias que tienen sustento bajo analogía con la jurisprudencia publicada en el Semanario Judicial de la Federación con número de registro 2010038 (V Región) 2º. J/1 (10ª) identificada con el rubro </w:t>
      </w:r>
      <w:r w:rsidRPr="005A5C85">
        <w:rPr>
          <w:rFonts w:ascii="Palatino Linotype" w:hAnsi="Palatino Linotype"/>
          <w:b/>
          <w:bCs/>
          <w:sz w:val="18"/>
        </w:rPr>
        <w:t>CONCEPTOS O AGRAVIOS INOPERANTES. QUÉ DEBE ENTENDERSE POR "RAZONAMIENTO" COMO COMPONENTE DE LA CAUSA DE PEDIR PARA QUE PROCEDA SU ESTUDIO</w:t>
      </w:r>
    </w:p>
  </w:footnote>
  <w:footnote w:id="7">
    <w:p w:rsidR="00C31129" w:rsidRDefault="00C31129" w:rsidP="009F09BC">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C31129" w:rsidRDefault="00C31129" w:rsidP="009F09BC">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8">
    <w:p w:rsidR="00C31129" w:rsidRDefault="00C31129" w:rsidP="009F09BC">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9">
    <w:p w:rsidR="00C31129" w:rsidRDefault="00C31129" w:rsidP="009F09B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C31129" w:rsidRDefault="00C31129" w:rsidP="009F09BC">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C31129" w:rsidRDefault="00C31129" w:rsidP="009F09BC">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0">
    <w:p w:rsidR="00C31129" w:rsidRDefault="00C31129" w:rsidP="009F09B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Época. Semanario Judicial de la Federación y su Gaceta. Tomo III, marzo de 1996. Pág 769. Consultado en http://sjf.scjn.gob.mx/sjfsist/Documentos/Tesis/203/203143.pdf  el viernes 16 de junio de 2017.</w:t>
      </w:r>
    </w:p>
  </w:footnote>
  <w:footnote w:id="11">
    <w:p w:rsidR="00C31129" w:rsidRDefault="00C31129" w:rsidP="009F09BC">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C31129" w:rsidRDefault="00C31129" w:rsidP="009F09BC">
      <w:pPr>
        <w:pStyle w:val="Textonotapie"/>
        <w:jc w:val="both"/>
        <w:rPr>
          <w:rFonts w:ascii="Palatino Linotype" w:hAnsi="Palatino Linotype"/>
          <w:sz w:val="18"/>
        </w:rPr>
      </w:pPr>
      <w:r>
        <w:rPr>
          <w:rFonts w:ascii="Palatino Linotype" w:hAnsi="Palatino Linotype"/>
          <w:sz w:val="18"/>
        </w:rPr>
        <w:t xml:space="preserve"> (…)</w:t>
      </w:r>
    </w:p>
    <w:p w:rsidR="00C31129" w:rsidRDefault="00C31129" w:rsidP="009F09BC">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129" w:rsidRDefault="0032578E">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C31129" w:rsidTr="006A04B6">
      <w:trPr>
        <w:trHeight w:val="227"/>
      </w:trPr>
      <w:tc>
        <w:tcPr>
          <w:tcW w:w="2976" w:type="dxa"/>
          <w:vAlign w:val="center"/>
          <w:hideMark/>
        </w:tcPr>
        <w:p w:rsidR="00C31129" w:rsidRPr="00674A46" w:rsidRDefault="00C31129"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C31129" w:rsidRPr="00485ED8" w:rsidRDefault="00C31129" w:rsidP="00D230AD">
          <w:pPr>
            <w:pStyle w:val="Encabezado"/>
            <w:rPr>
              <w:rFonts w:ascii="Palatino Linotype" w:hAnsi="Palatino Linotype"/>
              <w:b/>
              <w:sz w:val="22"/>
              <w:szCs w:val="22"/>
            </w:rPr>
          </w:pPr>
          <w:r>
            <w:rPr>
              <w:rFonts w:ascii="Palatino Linotype" w:hAnsi="Palatino Linotype" w:cs="Arial"/>
              <w:b/>
              <w:bCs/>
              <w:sz w:val="22"/>
              <w:szCs w:val="22"/>
              <w:lang w:eastAsia="es-MX"/>
            </w:rPr>
            <w:t>01948</w:t>
          </w:r>
          <w:r w:rsidRPr="00485ED8">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2</w:t>
          </w:r>
        </w:p>
      </w:tc>
    </w:tr>
    <w:tr w:rsidR="00C31129" w:rsidTr="006A04B6">
      <w:trPr>
        <w:trHeight w:val="242"/>
      </w:trPr>
      <w:tc>
        <w:tcPr>
          <w:tcW w:w="2976" w:type="dxa"/>
          <w:vAlign w:val="center"/>
          <w:hideMark/>
        </w:tcPr>
        <w:p w:rsidR="00C31129" w:rsidRPr="00674A46" w:rsidRDefault="00C31129"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C31129" w:rsidRDefault="00C31129" w:rsidP="009F09BC">
          <w:pPr>
            <w:pStyle w:val="Encabezado"/>
            <w:jc w:val="both"/>
            <w:rPr>
              <w:rFonts w:ascii="Palatino Linotype" w:hAnsi="Palatino Linotype"/>
              <w:b/>
              <w:bCs/>
              <w:color w:val="000000"/>
              <w:sz w:val="22"/>
              <w:szCs w:val="22"/>
            </w:rPr>
          </w:pPr>
          <w:r w:rsidRPr="00D230AD">
            <w:rPr>
              <w:rFonts w:ascii="Palatino Linotype" w:hAnsi="Palatino Linotype"/>
              <w:b/>
              <w:bCs/>
              <w:color w:val="000000"/>
              <w:sz w:val="22"/>
              <w:szCs w:val="22"/>
            </w:rPr>
            <w:t>Ayu</w:t>
          </w:r>
          <w:r>
            <w:rPr>
              <w:rFonts w:ascii="Palatino Linotype" w:hAnsi="Palatino Linotype"/>
              <w:b/>
              <w:bCs/>
              <w:color w:val="000000"/>
              <w:sz w:val="22"/>
              <w:szCs w:val="22"/>
            </w:rPr>
            <w:t>ntamiento de Tlalnepantla</w:t>
          </w:r>
        </w:p>
        <w:p w:rsidR="00C31129" w:rsidRPr="00485ED8" w:rsidRDefault="00C31129" w:rsidP="009F09BC">
          <w:pPr>
            <w:pStyle w:val="Encabezado"/>
            <w:jc w:val="both"/>
            <w:rPr>
              <w:rFonts w:ascii="Palatino Linotype" w:hAnsi="Palatino Linotype"/>
              <w:b/>
              <w:sz w:val="22"/>
              <w:szCs w:val="22"/>
            </w:rPr>
          </w:pPr>
          <w:r w:rsidRPr="00D230AD">
            <w:rPr>
              <w:rFonts w:ascii="Palatino Linotype" w:hAnsi="Palatino Linotype"/>
              <w:b/>
              <w:bCs/>
              <w:color w:val="000000"/>
              <w:sz w:val="22"/>
              <w:szCs w:val="22"/>
            </w:rPr>
            <w:t>de Baz</w:t>
          </w:r>
        </w:p>
      </w:tc>
    </w:tr>
    <w:tr w:rsidR="00C31129" w:rsidTr="006A04B6">
      <w:trPr>
        <w:trHeight w:val="342"/>
      </w:trPr>
      <w:tc>
        <w:tcPr>
          <w:tcW w:w="2976" w:type="dxa"/>
          <w:vAlign w:val="center"/>
          <w:hideMark/>
        </w:tcPr>
        <w:p w:rsidR="00C31129" w:rsidRPr="00674A46" w:rsidRDefault="00C31129"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rsidR="00C31129" w:rsidRPr="00485ED8" w:rsidRDefault="00C31129"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C31129" w:rsidRPr="00AE046A" w:rsidRDefault="0032578E"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C31129" w:rsidTr="006A04B6">
      <w:trPr>
        <w:trHeight w:val="227"/>
      </w:trPr>
      <w:tc>
        <w:tcPr>
          <w:tcW w:w="2977" w:type="dxa"/>
          <w:vAlign w:val="center"/>
          <w:hideMark/>
        </w:tcPr>
        <w:p w:rsidR="00C31129" w:rsidRPr="00674A46" w:rsidRDefault="00C31129"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C31129" w:rsidRPr="00485ED8" w:rsidRDefault="00C31129" w:rsidP="008A699B">
          <w:pPr>
            <w:pStyle w:val="Encabezado"/>
            <w:rPr>
              <w:rFonts w:ascii="Palatino Linotype" w:hAnsi="Palatino Linotype"/>
              <w:b/>
              <w:sz w:val="22"/>
              <w:szCs w:val="22"/>
            </w:rPr>
          </w:pPr>
          <w:r>
            <w:rPr>
              <w:rFonts w:ascii="Palatino Linotype" w:hAnsi="Palatino Linotype" w:cs="Arial"/>
              <w:b/>
              <w:bCs/>
              <w:sz w:val="22"/>
              <w:szCs w:val="22"/>
              <w:lang w:eastAsia="es-MX"/>
            </w:rPr>
            <w:t>01948</w:t>
          </w:r>
          <w:r w:rsidRPr="00DE2F5A">
            <w:rPr>
              <w:rFonts w:ascii="Palatino Linotype" w:hAnsi="Palatino Linotype" w:cs="Arial"/>
              <w:b/>
              <w:bCs/>
              <w:sz w:val="22"/>
              <w:szCs w:val="22"/>
              <w:lang w:eastAsia="es-MX"/>
            </w:rPr>
            <w:t>/INFOEM/IP/RR/2022</w:t>
          </w:r>
        </w:p>
      </w:tc>
    </w:tr>
    <w:tr w:rsidR="00C31129" w:rsidTr="00652937">
      <w:trPr>
        <w:trHeight w:val="242"/>
      </w:trPr>
      <w:tc>
        <w:tcPr>
          <w:tcW w:w="2977" w:type="dxa"/>
          <w:vAlign w:val="center"/>
          <w:hideMark/>
        </w:tcPr>
        <w:p w:rsidR="00C31129" w:rsidRPr="00674A46" w:rsidRDefault="00C31129"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rsidR="00C31129" w:rsidRPr="00B75F20" w:rsidRDefault="003121DE" w:rsidP="009F09BC">
          <w:pPr>
            <w:pStyle w:val="Encabezado"/>
            <w:tabs>
              <w:tab w:val="left" w:pos="521"/>
            </w:tabs>
            <w:rPr>
              <w:rFonts w:ascii="Palatino Linotype" w:hAnsi="Palatino Linotype"/>
              <w:b/>
              <w:sz w:val="22"/>
              <w:szCs w:val="22"/>
            </w:rPr>
          </w:pPr>
          <w:proofErr w:type="spellStart"/>
          <w:r>
            <w:rPr>
              <w:rFonts w:ascii="Palatino Linotype" w:hAnsi="Palatino Linotype"/>
              <w:b/>
              <w:sz w:val="22"/>
              <w:szCs w:val="22"/>
            </w:rPr>
            <w:t>Xxxxxx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p>
      </w:tc>
    </w:tr>
    <w:tr w:rsidR="00C31129" w:rsidTr="006A04B6">
      <w:trPr>
        <w:trHeight w:val="342"/>
      </w:trPr>
      <w:tc>
        <w:tcPr>
          <w:tcW w:w="2977" w:type="dxa"/>
          <w:vAlign w:val="center"/>
        </w:tcPr>
        <w:p w:rsidR="00C31129" w:rsidRPr="00674A46" w:rsidRDefault="00C31129"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C31129" w:rsidRDefault="00C31129" w:rsidP="009F09BC">
          <w:pPr>
            <w:pStyle w:val="Encabezado"/>
            <w:jc w:val="both"/>
            <w:rPr>
              <w:rFonts w:ascii="Palatino Linotype" w:hAnsi="Palatino Linotype"/>
              <w:b/>
              <w:bCs/>
              <w:color w:val="000000"/>
              <w:sz w:val="22"/>
              <w:szCs w:val="22"/>
            </w:rPr>
          </w:pPr>
          <w:r w:rsidRPr="00DD0347">
            <w:rPr>
              <w:rFonts w:ascii="Palatino Linotype" w:hAnsi="Palatino Linotype"/>
              <w:b/>
              <w:bCs/>
              <w:color w:val="000000"/>
              <w:sz w:val="22"/>
              <w:szCs w:val="22"/>
            </w:rPr>
            <w:t>Ayuntamiento de Tlalnepantl</w:t>
          </w:r>
          <w:r>
            <w:rPr>
              <w:rFonts w:ascii="Palatino Linotype" w:hAnsi="Palatino Linotype"/>
              <w:b/>
              <w:bCs/>
              <w:color w:val="000000"/>
              <w:sz w:val="22"/>
              <w:szCs w:val="22"/>
            </w:rPr>
            <w:t>a</w:t>
          </w:r>
        </w:p>
        <w:p w:rsidR="00C31129" w:rsidRPr="00674A46" w:rsidRDefault="00C31129" w:rsidP="009F09BC">
          <w:pPr>
            <w:pStyle w:val="Encabezado"/>
            <w:jc w:val="both"/>
            <w:rPr>
              <w:rFonts w:ascii="Palatino Linotype" w:hAnsi="Palatino Linotype"/>
              <w:b/>
              <w:sz w:val="22"/>
              <w:szCs w:val="22"/>
            </w:rPr>
          </w:pPr>
          <w:r w:rsidRPr="00DD0347">
            <w:rPr>
              <w:rFonts w:ascii="Palatino Linotype" w:hAnsi="Palatino Linotype"/>
              <w:b/>
              <w:bCs/>
              <w:color w:val="000000"/>
              <w:sz w:val="22"/>
              <w:szCs w:val="22"/>
            </w:rPr>
            <w:t>de Baz</w:t>
          </w:r>
        </w:p>
      </w:tc>
    </w:tr>
    <w:tr w:rsidR="00C31129" w:rsidTr="006A04B6">
      <w:trPr>
        <w:trHeight w:val="342"/>
      </w:trPr>
      <w:tc>
        <w:tcPr>
          <w:tcW w:w="2977" w:type="dxa"/>
          <w:vAlign w:val="center"/>
        </w:tcPr>
        <w:p w:rsidR="00C31129" w:rsidRPr="00674A46" w:rsidRDefault="00C31129"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C31129" w:rsidRPr="00674A46" w:rsidRDefault="00C31129"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C31129" w:rsidRPr="00C222C0" w:rsidRDefault="0032578E">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44252B"/>
    <w:multiLevelType w:val="hybridMultilevel"/>
    <w:tmpl w:val="17F8D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3B275B"/>
    <w:multiLevelType w:val="hybridMultilevel"/>
    <w:tmpl w:val="EB1C4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71479F"/>
    <w:multiLevelType w:val="hybridMultilevel"/>
    <w:tmpl w:val="D59203CC"/>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86112E"/>
    <w:multiLevelType w:val="hybridMultilevel"/>
    <w:tmpl w:val="954CF4F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5"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1"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3" w15:restartNumberingAfterBreak="0">
    <w:nsid w:val="3B434BFE"/>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0F4DC0"/>
    <w:multiLevelType w:val="hybridMultilevel"/>
    <w:tmpl w:val="2A542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9"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15:restartNumberingAfterBreak="0">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3"/>
  </w:num>
  <w:num w:numId="8">
    <w:abstractNumId w:val="0"/>
  </w:num>
  <w:num w:numId="9">
    <w:abstractNumId w:val="36"/>
  </w:num>
  <w:num w:numId="10">
    <w:abstractNumId w:val="22"/>
  </w:num>
  <w:num w:numId="11">
    <w:abstractNumId w:val="15"/>
  </w:num>
  <w:num w:numId="12">
    <w:abstractNumId w:val="28"/>
  </w:num>
  <w:num w:numId="13">
    <w:abstractNumId w:val="37"/>
  </w:num>
  <w:num w:numId="14">
    <w:abstractNumId w:val="5"/>
  </w:num>
  <w:num w:numId="15">
    <w:abstractNumId w:val="19"/>
  </w:num>
  <w:num w:numId="16">
    <w:abstractNumId w:val="33"/>
  </w:num>
  <w:num w:numId="17">
    <w:abstractNumId w:val="11"/>
  </w:num>
  <w:num w:numId="18">
    <w:abstractNumId w:val="30"/>
  </w:num>
  <w:num w:numId="19">
    <w:abstractNumId w:val="38"/>
  </w:num>
  <w:num w:numId="20">
    <w:abstractNumId w:val="20"/>
  </w:num>
  <w:num w:numId="21">
    <w:abstractNumId w:val="27"/>
  </w:num>
  <w:num w:numId="22">
    <w:abstractNumId w:val="17"/>
  </w:num>
  <w:num w:numId="23">
    <w:abstractNumId w:val="41"/>
  </w:num>
  <w:num w:numId="24">
    <w:abstractNumId w:val="9"/>
  </w:num>
  <w:num w:numId="25">
    <w:abstractNumId w:val="34"/>
  </w:num>
  <w:num w:numId="26">
    <w:abstractNumId w:val="25"/>
  </w:num>
  <w:num w:numId="27">
    <w:abstractNumId w:val="6"/>
  </w:num>
  <w:num w:numId="28">
    <w:abstractNumId w:val="35"/>
  </w:num>
  <w:num w:numId="29">
    <w:abstractNumId w:val="32"/>
  </w:num>
  <w:num w:numId="30">
    <w:abstractNumId w:val="29"/>
  </w:num>
  <w:num w:numId="31">
    <w:abstractNumId w:val="40"/>
  </w:num>
  <w:num w:numId="32">
    <w:abstractNumId w:val="21"/>
  </w:num>
  <w:num w:numId="33">
    <w:abstractNumId w:val="10"/>
  </w:num>
  <w:num w:numId="34">
    <w:abstractNumId w:val="14"/>
  </w:num>
  <w:num w:numId="35">
    <w:abstractNumId w:val="7"/>
  </w:num>
  <w:num w:numId="36">
    <w:abstractNumId w:val="39"/>
  </w:num>
  <w:num w:numId="37">
    <w:abstractNumId w:val="31"/>
  </w:num>
  <w:num w:numId="38">
    <w:abstractNumId w:val="23"/>
  </w:num>
  <w:num w:numId="39">
    <w:abstractNumId w:val="1"/>
  </w:num>
  <w:num w:numId="40">
    <w:abstractNumId w:val="2"/>
  </w:num>
  <w:num w:numId="41">
    <w:abstractNumId w:val="26"/>
  </w:num>
  <w:num w:numId="42">
    <w:abstractNumId w:val="8"/>
  </w:num>
  <w:num w:numId="43">
    <w:abstractNumId w:val="24"/>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67B3"/>
    <w:rsid w:val="00010C43"/>
    <w:rsid w:val="0001674C"/>
    <w:rsid w:val="00020780"/>
    <w:rsid w:val="00025C53"/>
    <w:rsid w:val="00030FBC"/>
    <w:rsid w:val="00036137"/>
    <w:rsid w:val="000373F6"/>
    <w:rsid w:val="00051287"/>
    <w:rsid w:val="00053FB7"/>
    <w:rsid w:val="000803F7"/>
    <w:rsid w:val="0008243D"/>
    <w:rsid w:val="000E1A02"/>
    <w:rsid w:val="000E4891"/>
    <w:rsid w:val="000F1081"/>
    <w:rsid w:val="00114502"/>
    <w:rsid w:val="00124FD1"/>
    <w:rsid w:val="001352F5"/>
    <w:rsid w:val="001448BA"/>
    <w:rsid w:val="00170D82"/>
    <w:rsid w:val="00173F2B"/>
    <w:rsid w:val="001A18E7"/>
    <w:rsid w:val="001C4290"/>
    <w:rsid w:val="001D23C1"/>
    <w:rsid w:val="001D373F"/>
    <w:rsid w:val="001D5404"/>
    <w:rsid w:val="001D630C"/>
    <w:rsid w:val="001E755B"/>
    <w:rsid w:val="00220982"/>
    <w:rsid w:val="00223C06"/>
    <w:rsid w:val="00237FA4"/>
    <w:rsid w:val="002453DA"/>
    <w:rsid w:val="00264C9A"/>
    <w:rsid w:val="002650A0"/>
    <w:rsid w:val="00272CA2"/>
    <w:rsid w:val="00277FAC"/>
    <w:rsid w:val="002901F4"/>
    <w:rsid w:val="00291500"/>
    <w:rsid w:val="002A3B71"/>
    <w:rsid w:val="002C0D3C"/>
    <w:rsid w:val="002C3821"/>
    <w:rsid w:val="002C3FE3"/>
    <w:rsid w:val="002C4997"/>
    <w:rsid w:val="002D294C"/>
    <w:rsid w:val="0030094A"/>
    <w:rsid w:val="003121DE"/>
    <w:rsid w:val="00312281"/>
    <w:rsid w:val="00323FFD"/>
    <w:rsid w:val="0032578E"/>
    <w:rsid w:val="003437D9"/>
    <w:rsid w:val="003529DE"/>
    <w:rsid w:val="00353F1D"/>
    <w:rsid w:val="0037157C"/>
    <w:rsid w:val="003833B3"/>
    <w:rsid w:val="00386912"/>
    <w:rsid w:val="003933C4"/>
    <w:rsid w:val="003A15C8"/>
    <w:rsid w:val="003B505A"/>
    <w:rsid w:val="003B7751"/>
    <w:rsid w:val="003C13F1"/>
    <w:rsid w:val="003D688A"/>
    <w:rsid w:val="003E66D2"/>
    <w:rsid w:val="00403D64"/>
    <w:rsid w:val="00407FDA"/>
    <w:rsid w:val="004118FA"/>
    <w:rsid w:val="00425842"/>
    <w:rsid w:val="00437672"/>
    <w:rsid w:val="00456CFF"/>
    <w:rsid w:val="00457062"/>
    <w:rsid w:val="004E4EE6"/>
    <w:rsid w:val="004E6CE4"/>
    <w:rsid w:val="004F34D1"/>
    <w:rsid w:val="0050702D"/>
    <w:rsid w:val="0051715A"/>
    <w:rsid w:val="005331D8"/>
    <w:rsid w:val="00541549"/>
    <w:rsid w:val="005432D0"/>
    <w:rsid w:val="00546076"/>
    <w:rsid w:val="00547ACE"/>
    <w:rsid w:val="005507B0"/>
    <w:rsid w:val="00554A21"/>
    <w:rsid w:val="00556E0A"/>
    <w:rsid w:val="00563F2E"/>
    <w:rsid w:val="0057514F"/>
    <w:rsid w:val="00575E75"/>
    <w:rsid w:val="00583A39"/>
    <w:rsid w:val="005B076D"/>
    <w:rsid w:val="005B6702"/>
    <w:rsid w:val="005C5021"/>
    <w:rsid w:val="005D1419"/>
    <w:rsid w:val="005D2F1C"/>
    <w:rsid w:val="005D4C57"/>
    <w:rsid w:val="0062406B"/>
    <w:rsid w:val="00647F7C"/>
    <w:rsid w:val="00652937"/>
    <w:rsid w:val="00657639"/>
    <w:rsid w:val="00661FE1"/>
    <w:rsid w:val="006672E1"/>
    <w:rsid w:val="00680C93"/>
    <w:rsid w:val="006A04B6"/>
    <w:rsid w:val="006A6390"/>
    <w:rsid w:val="006B3ED3"/>
    <w:rsid w:val="006D15D0"/>
    <w:rsid w:val="006D6CC1"/>
    <w:rsid w:val="006E7397"/>
    <w:rsid w:val="006E7C94"/>
    <w:rsid w:val="00701BF5"/>
    <w:rsid w:val="00711062"/>
    <w:rsid w:val="007142AB"/>
    <w:rsid w:val="007142D6"/>
    <w:rsid w:val="00716BCA"/>
    <w:rsid w:val="00720371"/>
    <w:rsid w:val="0074110E"/>
    <w:rsid w:val="00742823"/>
    <w:rsid w:val="00775EB2"/>
    <w:rsid w:val="00782A12"/>
    <w:rsid w:val="007851DB"/>
    <w:rsid w:val="007A33A8"/>
    <w:rsid w:val="007A460E"/>
    <w:rsid w:val="007A6A1A"/>
    <w:rsid w:val="007B5042"/>
    <w:rsid w:val="007C5090"/>
    <w:rsid w:val="00804DAA"/>
    <w:rsid w:val="0082142B"/>
    <w:rsid w:val="008227A9"/>
    <w:rsid w:val="008468BF"/>
    <w:rsid w:val="008526F4"/>
    <w:rsid w:val="008563C8"/>
    <w:rsid w:val="008573BF"/>
    <w:rsid w:val="0086792A"/>
    <w:rsid w:val="00873EB6"/>
    <w:rsid w:val="008A699B"/>
    <w:rsid w:val="008B0637"/>
    <w:rsid w:val="008C1ED7"/>
    <w:rsid w:val="008E330F"/>
    <w:rsid w:val="008E6574"/>
    <w:rsid w:val="008F1F1A"/>
    <w:rsid w:val="008F6998"/>
    <w:rsid w:val="008F6D18"/>
    <w:rsid w:val="00911A75"/>
    <w:rsid w:val="009126F1"/>
    <w:rsid w:val="009335F9"/>
    <w:rsid w:val="00945135"/>
    <w:rsid w:val="00957311"/>
    <w:rsid w:val="0096564D"/>
    <w:rsid w:val="009845EF"/>
    <w:rsid w:val="009972BB"/>
    <w:rsid w:val="009A2251"/>
    <w:rsid w:val="009B2286"/>
    <w:rsid w:val="009B4602"/>
    <w:rsid w:val="009C39C8"/>
    <w:rsid w:val="009D5A32"/>
    <w:rsid w:val="009E68D3"/>
    <w:rsid w:val="009F09BC"/>
    <w:rsid w:val="009F5917"/>
    <w:rsid w:val="00A14813"/>
    <w:rsid w:val="00A23E82"/>
    <w:rsid w:val="00A305ED"/>
    <w:rsid w:val="00A31268"/>
    <w:rsid w:val="00A626EB"/>
    <w:rsid w:val="00AA657D"/>
    <w:rsid w:val="00AD316E"/>
    <w:rsid w:val="00AD63B4"/>
    <w:rsid w:val="00AE71C7"/>
    <w:rsid w:val="00AF4BBC"/>
    <w:rsid w:val="00B07BF8"/>
    <w:rsid w:val="00B11CDD"/>
    <w:rsid w:val="00B530E8"/>
    <w:rsid w:val="00B86242"/>
    <w:rsid w:val="00BA4537"/>
    <w:rsid w:val="00BF3FB5"/>
    <w:rsid w:val="00C03BA3"/>
    <w:rsid w:val="00C0715F"/>
    <w:rsid w:val="00C105CC"/>
    <w:rsid w:val="00C14F2A"/>
    <w:rsid w:val="00C21FAE"/>
    <w:rsid w:val="00C242A7"/>
    <w:rsid w:val="00C31129"/>
    <w:rsid w:val="00C41B2B"/>
    <w:rsid w:val="00C41E57"/>
    <w:rsid w:val="00C47C3D"/>
    <w:rsid w:val="00C54D99"/>
    <w:rsid w:val="00C85E64"/>
    <w:rsid w:val="00C87396"/>
    <w:rsid w:val="00C90814"/>
    <w:rsid w:val="00C91F0F"/>
    <w:rsid w:val="00CA1063"/>
    <w:rsid w:val="00CB757D"/>
    <w:rsid w:val="00CC5B2F"/>
    <w:rsid w:val="00CE7B83"/>
    <w:rsid w:val="00CF0D2B"/>
    <w:rsid w:val="00D0058C"/>
    <w:rsid w:val="00D021A5"/>
    <w:rsid w:val="00D16FC7"/>
    <w:rsid w:val="00D230AD"/>
    <w:rsid w:val="00D31FC8"/>
    <w:rsid w:val="00D47231"/>
    <w:rsid w:val="00D6224B"/>
    <w:rsid w:val="00D81329"/>
    <w:rsid w:val="00D84DEA"/>
    <w:rsid w:val="00D96104"/>
    <w:rsid w:val="00DA6D37"/>
    <w:rsid w:val="00DB753F"/>
    <w:rsid w:val="00DD0347"/>
    <w:rsid w:val="00DE2F5A"/>
    <w:rsid w:val="00DF03A5"/>
    <w:rsid w:val="00DF3E8F"/>
    <w:rsid w:val="00E118BA"/>
    <w:rsid w:val="00E17429"/>
    <w:rsid w:val="00E56172"/>
    <w:rsid w:val="00E5636B"/>
    <w:rsid w:val="00E566C9"/>
    <w:rsid w:val="00E61C13"/>
    <w:rsid w:val="00E61DA9"/>
    <w:rsid w:val="00E7460A"/>
    <w:rsid w:val="00E92E04"/>
    <w:rsid w:val="00EB21AE"/>
    <w:rsid w:val="00EB4127"/>
    <w:rsid w:val="00EC0D51"/>
    <w:rsid w:val="00EC7947"/>
    <w:rsid w:val="00ED1D6B"/>
    <w:rsid w:val="00ED3A35"/>
    <w:rsid w:val="00ED6E75"/>
    <w:rsid w:val="00F16087"/>
    <w:rsid w:val="00F24A04"/>
    <w:rsid w:val="00F35B0C"/>
    <w:rsid w:val="00F42ADB"/>
    <w:rsid w:val="00F52E40"/>
    <w:rsid w:val="00F648E1"/>
    <w:rsid w:val="00F72588"/>
    <w:rsid w:val="00F7371C"/>
    <w:rsid w:val="00F946B5"/>
    <w:rsid w:val="00FA6B92"/>
    <w:rsid w:val="00FB6D42"/>
    <w:rsid w:val="00FD2FA4"/>
    <w:rsid w:val="00FE10CD"/>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D1219B"/>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9B387-741F-4C06-B81D-9DC039DEA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TotalTime>
  <Pages>48</Pages>
  <Words>8895</Words>
  <Characters>48926</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Lenovo</cp:lastModifiedBy>
  <cp:revision>14</cp:revision>
  <dcterms:created xsi:type="dcterms:W3CDTF">2022-05-25T17:55:00Z</dcterms:created>
  <dcterms:modified xsi:type="dcterms:W3CDTF">2022-07-12T02:28:00Z</dcterms:modified>
</cp:coreProperties>
</file>