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treinta y uno de agosto de dos mil veintidós</w:t>
      </w:r>
      <w:r>
        <w:rPr>
          <w:rFonts w:ascii="Palatino Linotype" w:eastAsia="Palatino Linotype" w:hAnsi="Palatino Linotype" w:cs="Palatino Linotype"/>
        </w:rPr>
        <w:t xml:space="preserve">. </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formados con motivo de los recursos de revisión </w:t>
      </w:r>
      <w:r>
        <w:rPr>
          <w:rFonts w:ascii="Palatino Linotype" w:eastAsia="Palatino Linotype" w:hAnsi="Palatino Linotype" w:cs="Palatino Linotype"/>
          <w:b/>
        </w:rPr>
        <w:t xml:space="preserve">04344/INFOEM/IP/RR/2022 y 04345/INFOEM/IP/RR/2022 acumulados, </w:t>
      </w:r>
      <w:r>
        <w:rPr>
          <w:rFonts w:ascii="Palatino Linotype" w:eastAsia="Palatino Linotype" w:hAnsi="Palatino Linotype" w:cs="Palatino Linotype"/>
        </w:rPr>
        <w:t>interpuestos por</w:t>
      </w:r>
      <w:r>
        <w:rPr>
          <w:rFonts w:ascii="Palatino Linotype" w:eastAsia="Palatino Linotype" w:hAnsi="Palatino Linotype" w:cs="Palatino Linotype"/>
          <w:b/>
        </w:rPr>
        <w:t xml:space="preserve"> </w:t>
      </w:r>
      <w:r w:rsidR="003454B0" w:rsidRPr="003454B0">
        <w:rPr>
          <w:rFonts w:ascii="Palatino Linotype" w:eastAsia="Palatino Linotype" w:hAnsi="Palatino Linotype" w:cs="Palatino Linotype"/>
          <w:b/>
        </w:rPr>
        <w:t>XXXXXXXX XXXXXXXX XXXXXX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las respuestas</w:t>
      </w:r>
      <w:r>
        <w:rPr>
          <w:rFonts w:ascii="Palatino Linotype" w:eastAsia="Palatino Linotype" w:hAnsi="Palatino Linotype" w:cs="Palatino Linotype"/>
        </w:rPr>
        <w:t xml:space="preserve"> en las solicitudes de información con número de folio </w:t>
      </w:r>
      <w:r>
        <w:rPr>
          <w:rFonts w:ascii="Palatino Linotype" w:eastAsia="Palatino Linotype" w:hAnsi="Palatino Linotype" w:cs="Palatino Linotype"/>
          <w:b/>
        </w:rPr>
        <w:t xml:space="preserve">00035/IEEM/IP/2022 y 00036/IEEM/IP/2022, </w:t>
      </w:r>
      <w:r>
        <w:rPr>
          <w:rFonts w:ascii="Palatino Linotype" w:eastAsia="Palatino Linotype" w:hAnsi="Palatino Linotype" w:cs="Palatino Linotype"/>
        </w:rPr>
        <w:t>por parte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 xml:space="preserve">Instituto Electoral del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r>
        <w:rPr>
          <w:rFonts w:ascii="Palatino Linotype" w:eastAsia="Palatino Linotype" w:hAnsi="Palatino Linotype" w:cs="Palatino Linotype"/>
        </w:rPr>
        <w:t xml:space="preserve">: </w:t>
      </w:r>
    </w:p>
    <w:p w:rsidR="000622D5" w:rsidRDefault="009B50D2">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0622D5" w:rsidRDefault="009B50D2">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1. Solicitudes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tres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formuló solicitudes de acceso a información pública a través de la Plataforma Nacional de Transparencia (PNT), la cual se </w:t>
      </w:r>
      <w:r>
        <w:rPr>
          <w:rFonts w:ascii="Palatino Linotype" w:eastAsia="Palatino Linotype" w:hAnsi="Palatino Linotype" w:cs="Palatino Linotype"/>
        </w:rPr>
        <w:t>encuentra vinculada al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tbl>
      <w:tblPr>
        <w:tblStyle w:val="aff3"/>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0622D5">
        <w:tc>
          <w:tcPr>
            <w:tcW w:w="3823" w:type="dxa"/>
            <w:shd w:val="clear" w:color="auto" w:fill="C6F7F6"/>
          </w:tcPr>
          <w:p w:rsidR="000622D5" w:rsidRDefault="009B50D2">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Número de solicitud</w:t>
            </w:r>
          </w:p>
        </w:tc>
        <w:tc>
          <w:tcPr>
            <w:tcW w:w="5098" w:type="dxa"/>
            <w:shd w:val="clear" w:color="auto" w:fill="C6F7F6"/>
          </w:tcPr>
          <w:p w:rsidR="000622D5" w:rsidRDefault="009B50D2">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Requerimientos</w:t>
            </w:r>
          </w:p>
        </w:tc>
      </w:tr>
      <w:tr w:rsidR="000622D5">
        <w:tc>
          <w:tcPr>
            <w:tcW w:w="3823" w:type="dxa"/>
          </w:tcPr>
          <w:p w:rsidR="000622D5" w:rsidRDefault="009B50D2">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00035/IEEM/IP/2022,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04344/INFOEM/IP/RR/2022</w:t>
            </w:r>
          </w:p>
        </w:tc>
        <w:tc>
          <w:tcPr>
            <w:tcW w:w="5098" w:type="dxa"/>
          </w:tcPr>
          <w:p w:rsidR="000622D5" w:rsidRDefault="009B50D2">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“Distribución final de v</w:t>
            </w:r>
            <w:r>
              <w:rPr>
                <w:rFonts w:ascii="Palatino Linotype" w:eastAsia="Palatino Linotype" w:hAnsi="Palatino Linotype" w:cs="Palatino Linotype"/>
                <w:i/>
                <w:sz w:val="20"/>
                <w:szCs w:val="20"/>
              </w:rPr>
              <w:t>otos a partidos políticos y candidaturas independientes por municipio de las elecciones para: -Ayuntamientos (2015, 2018, 2021) -Diputados Locales (2015, 2018, 2021) -Gubernatura (1945, 1951, 1957, 1963, 1969, 1975, 1981, 1987, 1993, 1999, 2005, 2011, 2017</w:t>
            </w:r>
            <w:r>
              <w:rPr>
                <w:rFonts w:ascii="Palatino Linotype" w:eastAsia="Palatino Linotype" w:hAnsi="Palatino Linotype" w:cs="Palatino Linotype"/>
                <w:i/>
                <w:sz w:val="20"/>
                <w:szCs w:val="20"/>
              </w:rPr>
              <w:t>) Adjuntar las actas que comprueben los datos, o en su defecto el medio por el cuál se acrediten dichos datos.” (Sic)</w:t>
            </w:r>
          </w:p>
        </w:tc>
      </w:tr>
      <w:tr w:rsidR="000622D5">
        <w:tc>
          <w:tcPr>
            <w:tcW w:w="3823" w:type="dxa"/>
          </w:tcPr>
          <w:p w:rsidR="000622D5" w:rsidRDefault="009B50D2">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00036/IEEM/IP/2022,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04345/INFOEM/IP/RR/2022</w:t>
            </w:r>
          </w:p>
        </w:tc>
        <w:tc>
          <w:tcPr>
            <w:tcW w:w="5098" w:type="dxa"/>
          </w:tcPr>
          <w:p w:rsidR="000622D5" w:rsidRDefault="009B50D2">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“Distribución final de votos a partidos políticos y candidaturas independientes por municipio de las elecciones para diputados locales y ayuntamientos de 1946 a 2012. Adjuntar las actas que comprueben los datos, o en su defecto el medio por el cuál se acre</w:t>
            </w:r>
            <w:r>
              <w:rPr>
                <w:rFonts w:ascii="Palatino Linotype" w:eastAsia="Palatino Linotype" w:hAnsi="Palatino Linotype" w:cs="Palatino Linotype"/>
                <w:i/>
                <w:sz w:val="20"/>
                <w:szCs w:val="20"/>
              </w:rPr>
              <w:t>diten dichos datos.” (Sic)</w:t>
            </w:r>
          </w:p>
        </w:tc>
      </w:tr>
    </w:tbl>
    <w:p w:rsidR="000622D5" w:rsidRDefault="009B50D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y </w:t>
      </w:r>
      <w:r>
        <w:rPr>
          <w:rFonts w:ascii="Palatino Linotype" w:eastAsia="Palatino Linotype" w:hAnsi="Palatino Linotype" w:cs="Palatino Linotype"/>
          <w:b/>
        </w:rPr>
        <w:t>correo electrónico.</w:t>
      </w:r>
    </w:p>
    <w:p w:rsidR="000622D5" w:rsidRDefault="009B50D2">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noProof/>
          <w:color w:val="FF0000"/>
          <w:lang w:val="es-MX"/>
        </w:rPr>
        <w:drawing>
          <wp:inline distT="0" distB="0" distL="0" distR="0">
            <wp:extent cx="6138982" cy="594095"/>
            <wp:effectExtent l="0" t="0" r="0" b="0"/>
            <wp:docPr id="40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6138982" cy="594095"/>
                    </a:xfrm>
                    <a:prstGeom prst="rect">
                      <a:avLst/>
                    </a:prstGeom>
                    <a:ln/>
                  </pic:spPr>
                </pic:pic>
              </a:graphicData>
            </a:graphic>
          </wp:inline>
        </w:drawing>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Prórrogas.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veinticuatro de febrero de dos mil veintidós</w:t>
      </w:r>
      <w:r>
        <w:rPr>
          <w:rFonts w:ascii="Palatino Linotype" w:eastAsia="Palatino Linotype" w:hAnsi="Palatino Linotype" w:cs="Palatino Linotype"/>
        </w:rPr>
        <w:t xml:space="preserve">, el Sujeto Obligado notificó al particular, las prórrogas para </w:t>
      </w:r>
      <w:r>
        <w:rPr>
          <w:rFonts w:ascii="Palatino Linotype" w:eastAsia="Palatino Linotype" w:hAnsi="Palatino Linotype" w:cs="Palatino Linotype"/>
        </w:rPr>
        <w:t xml:space="preserve">atender sus solicitudes de información, ambas se dieron en los siguientes términos: </w:t>
      </w:r>
    </w:p>
    <w:p w:rsidR="000622D5" w:rsidRDefault="009B50D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w:t>
      </w:r>
      <w:r>
        <w:rPr>
          <w:rFonts w:ascii="Palatino Linotype" w:eastAsia="Palatino Linotype" w:hAnsi="Palatino Linotype" w:cs="Palatino Linotype"/>
          <w:i/>
          <w:sz w:val="22"/>
          <w:szCs w:val="22"/>
        </w:rPr>
        <w:t>zo de 15 días hábiles para atender su solicitud de información ha sido prorrogado por 7 días en virtud de las siguientes razones:</w:t>
      </w:r>
    </w:p>
    <w:p w:rsidR="000622D5" w:rsidRDefault="009B50D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Con fundamento en lo establecido por el artículo 163, segundo párrafo de la Ley de Transparencia y Acceso a la Información Púb</w:t>
      </w:r>
      <w:r>
        <w:rPr>
          <w:rFonts w:ascii="Palatino Linotype" w:eastAsia="Palatino Linotype" w:hAnsi="Palatino Linotype" w:cs="Palatino Linotype"/>
          <w:i/>
          <w:sz w:val="22"/>
          <w:szCs w:val="22"/>
        </w:rPr>
        <w:t>lica del Estado de México y Municipios, se aprueba la ampliación de plazo para dar respuesta a la solicitud de información, de conformidad con el Acuerdo aprobado por el Comité de Transparencia que se adjunta.</w:t>
      </w:r>
    </w:p>
    <w:p w:rsidR="000622D5" w:rsidRDefault="009B50D2">
      <w:pPr>
        <w:spacing w:before="240" w:after="240"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MAESTRA LILIBETH ÁLVAREZ RODRÍGUEZ</w:t>
      </w:r>
    </w:p>
    <w:p w:rsidR="000622D5" w:rsidRDefault="009B50D2">
      <w:pPr>
        <w:spacing w:before="240" w:after="240"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w:t>
      </w:r>
      <w:r>
        <w:rPr>
          <w:rFonts w:ascii="Palatino Linotype" w:eastAsia="Palatino Linotype" w:hAnsi="Palatino Linotype" w:cs="Palatino Linotype"/>
          <w:i/>
          <w:sz w:val="22"/>
          <w:szCs w:val="22"/>
        </w:rPr>
        <w:t xml:space="preserve"> de la Unidad de Transparencia”</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Archivo adjunto: “</w:t>
      </w:r>
      <w:r>
        <w:rPr>
          <w:rFonts w:ascii="Palatino Linotype" w:eastAsia="Palatino Linotype" w:hAnsi="Palatino Linotype" w:cs="Palatino Linotype"/>
          <w:b/>
          <w:i/>
        </w:rPr>
        <w:t xml:space="preserve">Acuerdo IEEM-CT-17-2022.pdf”: </w:t>
      </w:r>
      <w:r>
        <w:rPr>
          <w:rFonts w:ascii="Palatino Linotype" w:eastAsia="Palatino Linotype" w:hAnsi="Palatino Linotype" w:cs="Palatino Linotype"/>
        </w:rPr>
        <w:t xml:space="preserve">Consiste en el Acuerdo N°. IEEM/CT/17/2022 de Ampliación de plazo, para otorgar respuesta a la solicitud de acceso a la información pública 00035/IEEM/IP/2022 y acumulada. </w:t>
      </w:r>
    </w:p>
    <w:p w:rsidR="000622D5" w:rsidRDefault="009B50D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3. Respuestas. </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nueve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ambos expedientes, las respuestas a sus solicitudes en los términos siguientes: </w:t>
      </w:r>
    </w:p>
    <w:p w:rsidR="000622D5" w:rsidRDefault="009B50D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w:t>
      </w:r>
      <w:r>
        <w:rPr>
          <w:rFonts w:ascii="Palatino Linotype" w:eastAsia="Palatino Linotype" w:hAnsi="Palatino Linotype" w:cs="Palatino Linotype"/>
          <w:i/>
          <w:sz w:val="22"/>
          <w:szCs w:val="22"/>
        </w:rPr>
        <w:t>onocimiento que con fundamento en el artículo 53, Fracciones: II, V y VI de la Ley de Transparencia y Acceso a la Información Pública del Estado de México y Municipios, le contestamos que:</w:t>
      </w:r>
    </w:p>
    <w:p w:rsidR="000622D5" w:rsidRDefault="009B50D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adjunta respuesta a su solicitud de información.</w:t>
      </w:r>
    </w:p>
    <w:p w:rsidR="000622D5" w:rsidRDefault="009B50D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0622D5" w:rsidRDefault="009B50D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MAE</w:t>
      </w:r>
      <w:r>
        <w:rPr>
          <w:rFonts w:ascii="Palatino Linotype" w:eastAsia="Palatino Linotype" w:hAnsi="Palatino Linotype" w:cs="Palatino Linotype"/>
          <w:i/>
          <w:sz w:val="22"/>
          <w:szCs w:val="22"/>
        </w:rPr>
        <w:t>STRA LILIBETH ÁLVAREZ RODRÍGUEZ”</w:t>
      </w:r>
    </w:p>
    <w:p w:rsidR="000622D5" w:rsidRDefault="009B50D2">
      <w:pPr>
        <w:spacing w:before="240" w:after="240" w:line="276"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04344/INFOEM/IP/RR/2022: </w:t>
      </w:r>
    </w:p>
    <w:p w:rsidR="000622D5" w:rsidRDefault="000622D5">
      <w:pPr>
        <w:spacing w:before="240" w:after="240" w:line="276" w:lineRule="auto"/>
        <w:ind w:left="567" w:right="900"/>
        <w:jc w:val="both"/>
        <w:rPr>
          <w:rFonts w:ascii="Palatino Linotype" w:eastAsia="Palatino Linotype" w:hAnsi="Palatino Linotype" w:cs="Palatino Linotype"/>
          <w:i/>
          <w:sz w:val="22"/>
          <w:szCs w:val="22"/>
        </w:rPr>
      </w:pPr>
    </w:p>
    <w:p w:rsidR="000622D5" w:rsidRDefault="009B50D2">
      <w:pPr>
        <w:numPr>
          <w:ilvl w:val="0"/>
          <w:numId w:val="1"/>
        </w:numPr>
        <w:pBdr>
          <w:top w:val="nil"/>
          <w:left w:val="nil"/>
          <w:bottom w:val="nil"/>
          <w:right w:val="nil"/>
          <w:between w:val="nil"/>
        </w:pBdr>
        <w:spacing w:before="240" w:after="240"/>
        <w:ind w:left="567" w:right="900"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Archivos adjuntos: </w:t>
      </w:r>
    </w:p>
    <w:p w:rsidR="000622D5" w:rsidRDefault="009B50D2">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“IEEM-DO-0147-2022.pdf”: </w:t>
      </w:r>
      <w:r>
        <w:rPr>
          <w:rFonts w:ascii="Palatino Linotype" w:eastAsia="Palatino Linotype" w:hAnsi="Palatino Linotype" w:cs="Palatino Linotype"/>
          <w:color w:val="000000"/>
        </w:rPr>
        <w:t>Oficio suscrito por el Director de Organización, mediante el cual refiere que el Instituto Electoral del Estado de México posee información estadística y de resultados electorales a partir del año 1996 año en que fue creado este Organismo Público Electoral</w:t>
      </w:r>
      <w:r>
        <w:rPr>
          <w:rFonts w:ascii="Palatino Linotype" w:eastAsia="Palatino Linotype" w:hAnsi="Palatino Linotype" w:cs="Palatino Linotype"/>
          <w:color w:val="000000"/>
        </w:rPr>
        <w:t>. Por tanto, esta Dirección de Organización no cuenta en sus archivos con información estadística ni documental de resultados electorales de los años 1946 a 1995, en virtud de que estos no obran en la información de la Comisión Estatal Electoral que pasó a</w:t>
      </w:r>
      <w:r>
        <w:rPr>
          <w:rFonts w:ascii="Palatino Linotype" w:eastAsia="Palatino Linotype" w:hAnsi="Palatino Linotype" w:cs="Palatino Linotype"/>
          <w:color w:val="000000"/>
        </w:rPr>
        <w:t xml:space="preserve"> formar parte del archivo del IEEM.</w:t>
      </w:r>
    </w:p>
    <w:p w:rsidR="000622D5" w:rsidRDefault="009B50D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extent cx="5553075" cy="4000500"/>
            <wp:effectExtent l="0" t="0" r="0" b="0"/>
            <wp:docPr id="40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5553075" cy="4000500"/>
                    </a:xfrm>
                    <a:prstGeom prst="rect">
                      <a:avLst/>
                    </a:prstGeom>
                    <a:ln/>
                  </pic:spPr>
                </pic:pic>
              </a:graphicData>
            </a:graphic>
          </wp:inline>
        </w:drawing>
      </w:r>
    </w:p>
    <w:p w:rsidR="000622D5" w:rsidRDefault="009B50D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extent cx="5200650" cy="6581775"/>
            <wp:effectExtent l="0" t="0" r="0" b="0"/>
            <wp:docPr id="40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5200650" cy="6581775"/>
                    </a:xfrm>
                    <a:prstGeom prst="rect">
                      <a:avLst/>
                    </a:prstGeom>
                    <a:ln/>
                  </pic:spPr>
                </pic:pic>
              </a:graphicData>
            </a:graphic>
          </wp:inline>
        </w:drawing>
      </w:r>
    </w:p>
    <w:p w:rsidR="000622D5" w:rsidRDefault="009B50D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extent cx="4991100" cy="2781300"/>
            <wp:effectExtent l="0" t="0" r="0" b="0"/>
            <wp:docPr id="40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4991100" cy="2781300"/>
                    </a:xfrm>
                    <a:prstGeom prst="rect">
                      <a:avLst/>
                    </a:prstGeom>
                    <a:ln/>
                  </pic:spPr>
                </pic:pic>
              </a:graphicData>
            </a:graphic>
          </wp:inline>
        </w:drawing>
      </w:r>
    </w:p>
    <w:p w:rsidR="000622D5" w:rsidRDefault="009B50D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drawing>
          <wp:inline distT="0" distB="0" distL="0" distR="0">
            <wp:extent cx="5353050" cy="3810000"/>
            <wp:effectExtent l="0" t="0" r="0" b="0"/>
            <wp:docPr id="40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5353050" cy="3810000"/>
                    </a:xfrm>
                    <a:prstGeom prst="rect">
                      <a:avLst/>
                    </a:prstGeom>
                    <a:ln/>
                  </pic:spPr>
                </pic:pic>
              </a:graphicData>
            </a:graphic>
          </wp:inline>
        </w:drawing>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lastRenderedPageBreak/>
        <w:t xml:space="preserve">“00035_2022_Actas CómputoMpal_2018_03.rar”: </w:t>
      </w:r>
      <w:r>
        <w:rPr>
          <w:rFonts w:ascii="Palatino Linotype" w:eastAsia="Palatino Linotype" w:hAnsi="Palatino Linotype" w:cs="Palatino Linotype"/>
          <w:color w:val="000000"/>
        </w:rPr>
        <w:t>Carpeta comprimida con 45 registros en las que se visualizan actas de cómputo municipales de la elección para Ayuntamiento, del proceso electoral local 2017-2018.</w:t>
      </w:r>
    </w:p>
    <w:p w:rsidR="000622D5" w:rsidRDefault="009B50D2">
      <w:pPr>
        <w:pBdr>
          <w:top w:val="nil"/>
          <w:left w:val="nil"/>
          <w:bottom w:val="nil"/>
          <w:right w:val="nil"/>
          <w:between w:val="nil"/>
        </w:pBdr>
        <w:tabs>
          <w:tab w:val="left" w:pos="7655"/>
        </w:tabs>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“00035_2022_TablasResultados_CSV.rar”: </w:t>
      </w:r>
      <w:r>
        <w:rPr>
          <w:rFonts w:ascii="Palatino Linotype" w:eastAsia="Palatino Linotype" w:hAnsi="Palatino Linotype" w:cs="Palatino Linotype"/>
          <w:color w:val="000000"/>
        </w:rPr>
        <w:t xml:space="preserve">Carpeta comprimida con 17 registros en los que se visualiza la siguiente información. </w:t>
      </w:r>
    </w:p>
    <w:p w:rsidR="000622D5" w:rsidRDefault="009B50D2">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drawing>
          <wp:inline distT="0" distB="0" distL="0" distR="0">
            <wp:extent cx="5600700" cy="1400175"/>
            <wp:effectExtent l="0" t="0" r="0" b="0"/>
            <wp:docPr id="4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600700" cy="1400175"/>
                    </a:xfrm>
                    <a:prstGeom prst="rect">
                      <a:avLst/>
                    </a:prstGeom>
                    <a:ln/>
                  </pic:spPr>
                </pic:pic>
              </a:graphicData>
            </a:graphic>
          </wp:inline>
        </w:drawing>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“00035_2022_Actas CómputoMpal_2018_01.rar”: </w:t>
      </w:r>
      <w:r>
        <w:rPr>
          <w:rFonts w:ascii="Palatino Linotype" w:eastAsia="Palatino Linotype" w:hAnsi="Palatino Linotype" w:cs="Palatino Linotype"/>
          <w:color w:val="000000"/>
        </w:rPr>
        <w:t xml:space="preserve">Carpeta comprimida en la que obran 40 registros de actas de cómputo municipales del </w:t>
      </w:r>
      <w:r>
        <w:rPr>
          <w:rFonts w:ascii="Palatino Linotype" w:eastAsia="Palatino Linotype" w:hAnsi="Palatino Linotype" w:cs="Palatino Linotype"/>
          <w:color w:val="000000"/>
        </w:rPr>
        <w:t>proceso electoral 2017-2018.</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“00035_2022_Actas CómputoMpal_2015.rar”: </w:t>
      </w:r>
      <w:r>
        <w:rPr>
          <w:rFonts w:ascii="Palatino Linotype" w:eastAsia="Palatino Linotype" w:hAnsi="Palatino Linotype" w:cs="Palatino Linotype"/>
          <w:color w:val="000000"/>
        </w:rPr>
        <w:t>Carpeta comprimida con 125 registros en las que se visualizan actas de cómputo municipales de la elección para Ayuntamiento, del proceso electoral local 2015.</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“00035_2022_TablasResultado</w:t>
      </w:r>
      <w:r>
        <w:rPr>
          <w:rFonts w:ascii="Palatino Linotype" w:eastAsia="Palatino Linotype" w:hAnsi="Palatino Linotype" w:cs="Palatino Linotype"/>
          <w:b/>
          <w:i/>
          <w:color w:val="000000"/>
          <w:sz w:val="22"/>
          <w:szCs w:val="22"/>
        </w:rPr>
        <w:t xml:space="preserve">s_XLS.rar”: </w:t>
      </w:r>
      <w:r>
        <w:rPr>
          <w:rFonts w:ascii="Palatino Linotype" w:eastAsia="Palatino Linotype" w:hAnsi="Palatino Linotype" w:cs="Palatino Linotype"/>
          <w:color w:val="000000"/>
        </w:rPr>
        <w:t xml:space="preserve">Carpeta comprimida con 17 registros en los que se visualizan las tablas de resultados por municipio, correspondiente a las elecciones de ayuntamientos, diputados locales y gubernatura de 1999 a 2021.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lastRenderedPageBreak/>
        <w:t>“00035_2022_Actas CómputoMpal_2018_02.rar”:</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Carpeta comprimida con 40 registros en las que se visualizan actas de cómputo municipales de la elección para Ayuntamiento, del proceso electoral local 2017-2018.</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“00035_2022_Actas CómputoMpal_2021_02.rar”: </w:t>
      </w:r>
      <w:r>
        <w:rPr>
          <w:rFonts w:ascii="Palatino Linotype" w:eastAsia="Palatino Linotype" w:hAnsi="Palatino Linotype" w:cs="Palatino Linotype"/>
          <w:color w:val="000000"/>
        </w:rPr>
        <w:t>Carpeta comprimida con 50 registros en las que s</w:t>
      </w:r>
      <w:r>
        <w:rPr>
          <w:rFonts w:ascii="Palatino Linotype" w:eastAsia="Palatino Linotype" w:hAnsi="Palatino Linotype" w:cs="Palatino Linotype"/>
          <w:color w:val="000000"/>
        </w:rPr>
        <w:t>e visualizan actas de cómputo municipales de la elección para Ayuntamiento, del proceso electoral local 2021.</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b/>
          <w:i/>
          <w:color w:val="000000"/>
        </w:rPr>
        <w:t xml:space="preserve">00035_2022_Actas CómputoMpal_2021_03.rar”: </w:t>
      </w:r>
      <w:r>
        <w:rPr>
          <w:rFonts w:ascii="Palatino Linotype" w:eastAsia="Palatino Linotype" w:hAnsi="Palatino Linotype" w:cs="Palatino Linotype"/>
          <w:color w:val="000000"/>
        </w:rPr>
        <w:t>Carpeta comprimida con 35 registros en las que se visualizan actas de cómputo municipales de la elección para Ayuntamiento, del proceso electoral local 2021.</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“00035_2022_Actas CómputoMpal_2021_01.rar”: </w:t>
      </w:r>
      <w:r>
        <w:rPr>
          <w:rFonts w:ascii="Palatino Linotype" w:eastAsia="Palatino Linotype" w:hAnsi="Palatino Linotype" w:cs="Palatino Linotype"/>
          <w:color w:val="000000"/>
        </w:rPr>
        <w:t>Carpeta comprimida con 40 registros en las que se visu</w:t>
      </w:r>
      <w:r>
        <w:rPr>
          <w:rFonts w:ascii="Palatino Linotype" w:eastAsia="Palatino Linotype" w:hAnsi="Palatino Linotype" w:cs="Palatino Linotype"/>
          <w:color w:val="000000"/>
        </w:rPr>
        <w:t>alizan actas de cómputo municipales de la elección para Ayuntamiento, del proceso electoral local 2021.</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“00035_2022_Actas_Gubernatura_1999_03.rar”: </w:t>
      </w:r>
      <w:r>
        <w:rPr>
          <w:rFonts w:ascii="Palatino Linotype" w:eastAsia="Palatino Linotype" w:hAnsi="Palatino Linotype" w:cs="Palatino Linotype"/>
          <w:color w:val="000000"/>
        </w:rPr>
        <w:t>Carpeta comprimida con 4 registros en los que se aprecian las Actas de la Sesión Permanente de cómputo distr</w:t>
      </w:r>
      <w:r>
        <w:rPr>
          <w:rFonts w:ascii="Palatino Linotype" w:eastAsia="Palatino Linotype" w:hAnsi="Palatino Linotype" w:cs="Palatino Linotype"/>
          <w:color w:val="000000"/>
        </w:rPr>
        <w:t>ital de la elección de gubernatura de 1999</w:t>
      </w:r>
      <w:r>
        <w:rPr>
          <w:rFonts w:ascii="Palatino Linotype" w:eastAsia="Palatino Linotype" w:hAnsi="Palatino Linotype" w:cs="Palatino Linotype"/>
          <w:color w:val="000000"/>
          <w:sz w:val="22"/>
          <w:szCs w:val="22"/>
        </w:rPr>
        <w:t xml:space="preserve">.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“00035_2022_Actas_Gubernatura_1999_01.rar”: </w:t>
      </w:r>
      <w:r>
        <w:rPr>
          <w:rFonts w:ascii="Palatino Linotype" w:eastAsia="Palatino Linotype" w:hAnsi="Palatino Linotype" w:cs="Palatino Linotype"/>
          <w:color w:val="000000"/>
        </w:rPr>
        <w:t xml:space="preserve">Carpeta comprimida con 20 registros en los que se aprecian las Actas de la Sesión Permanente de cómputo distrital de la elección de gubernatura de 1999.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lastRenderedPageBreak/>
        <w:t xml:space="preserve">“00035_2022_Actas_Dips_2018.rar”: </w:t>
      </w:r>
      <w:r>
        <w:rPr>
          <w:rFonts w:ascii="Palatino Linotype" w:eastAsia="Palatino Linotype" w:hAnsi="Palatino Linotype" w:cs="Palatino Linotype"/>
          <w:color w:val="000000"/>
        </w:rPr>
        <w:t xml:space="preserve">Carpeta con 45 registros en la que se advierte que corresponden a Actas de Cómputo Distrital de la elección para las diputaciones locales de mayoría relativa de la elección de diputados locales de 2018.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“00035_2022_Actas_</w:t>
      </w:r>
      <w:r>
        <w:rPr>
          <w:rFonts w:ascii="Palatino Linotype" w:eastAsia="Palatino Linotype" w:hAnsi="Palatino Linotype" w:cs="Palatino Linotype"/>
          <w:b/>
          <w:i/>
          <w:color w:val="000000"/>
        </w:rPr>
        <w:t xml:space="preserve">Dips_2021.rar”: </w:t>
      </w:r>
      <w:r>
        <w:rPr>
          <w:rFonts w:ascii="Palatino Linotype" w:eastAsia="Palatino Linotype" w:hAnsi="Palatino Linotype" w:cs="Palatino Linotype"/>
          <w:color w:val="000000"/>
        </w:rPr>
        <w:t xml:space="preserve">Carpeta con 45 registros en la que se advierte que corresponden a Actas de Cómputo Distrital de la elección para las diputaciones locales de mayoría relativa de la elección de diputados locales de 2021.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“00035_2022_Actas_Dips_2015.rar”: </w:t>
      </w:r>
      <w:r>
        <w:rPr>
          <w:rFonts w:ascii="Palatino Linotype" w:eastAsia="Palatino Linotype" w:hAnsi="Palatino Linotype" w:cs="Palatino Linotype"/>
          <w:color w:val="000000"/>
        </w:rPr>
        <w:t>Ca</w:t>
      </w:r>
      <w:r>
        <w:rPr>
          <w:rFonts w:ascii="Palatino Linotype" w:eastAsia="Palatino Linotype" w:hAnsi="Palatino Linotype" w:cs="Palatino Linotype"/>
          <w:color w:val="000000"/>
        </w:rPr>
        <w:t xml:space="preserve">rpeta con 45 registros en la que se advierte que corresponden a Actas de Cómputo Distrital de la elección para las diputaciones locales de mayoría relativa de la elección de diputados locales de 2015.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“00035_2022_Actas_Gubernatura_1999_02.rar”: </w:t>
      </w:r>
      <w:r>
        <w:rPr>
          <w:rFonts w:ascii="Palatino Linotype" w:eastAsia="Palatino Linotype" w:hAnsi="Palatino Linotype" w:cs="Palatino Linotype"/>
          <w:color w:val="000000"/>
        </w:rPr>
        <w:t>Carpeta co</w:t>
      </w:r>
      <w:r>
        <w:rPr>
          <w:rFonts w:ascii="Palatino Linotype" w:eastAsia="Palatino Linotype" w:hAnsi="Palatino Linotype" w:cs="Palatino Linotype"/>
          <w:color w:val="000000"/>
        </w:rPr>
        <w:t xml:space="preserve">n 21 registros en la que se advierte que corresponden a Actas de Cómputo Distrital para la elección de gobernador de 1999.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“00035_2022_Actas_Gubernatura_2005_03.rar”: </w:t>
      </w:r>
      <w:r>
        <w:rPr>
          <w:rFonts w:ascii="Palatino Linotype" w:eastAsia="Palatino Linotype" w:hAnsi="Palatino Linotype" w:cs="Palatino Linotype"/>
          <w:color w:val="000000"/>
        </w:rPr>
        <w:t>Carpeta con 21 registros en la que se advierte que corresponden a Actas de Cómputo Distr</w:t>
      </w:r>
      <w:r>
        <w:rPr>
          <w:rFonts w:ascii="Palatino Linotype" w:eastAsia="Palatino Linotype" w:hAnsi="Palatino Linotype" w:cs="Palatino Linotype"/>
          <w:color w:val="000000"/>
        </w:rPr>
        <w:t>ital para la elección de gobernador de 2005.</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rPr>
        <w:lastRenderedPageBreak/>
        <w:t xml:space="preserve">“00035_2022_Actas_Gubernatura_2011.rar”: </w:t>
      </w:r>
      <w:r>
        <w:rPr>
          <w:rFonts w:ascii="Palatino Linotype" w:eastAsia="Palatino Linotype" w:hAnsi="Palatino Linotype" w:cs="Palatino Linotype"/>
          <w:color w:val="000000"/>
        </w:rPr>
        <w:t>Carpeta con 45 registros en la que se advierte que corresponden a Actas de Cómputo Distrital para la elección de gobernador de 2011</w:t>
      </w:r>
      <w:r>
        <w:rPr>
          <w:rFonts w:ascii="Palatino Linotype" w:eastAsia="Palatino Linotype" w:hAnsi="Palatino Linotype" w:cs="Palatino Linotype"/>
          <w:color w:val="000000"/>
          <w:sz w:val="22"/>
          <w:szCs w:val="22"/>
        </w:rPr>
        <w:t>.</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“00035_2022_Actas_Gubernatura_2017.ra</w:t>
      </w:r>
      <w:r>
        <w:rPr>
          <w:rFonts w:ascii="Palatino Linotype" w:eastAsia="Palatino Linotype" w:hAnsi="Palatino Linotype" w:cs="Palatino Linotype"/>
          <w:b/>
          <w:i/>
          <w:color w:val="000000"/>
        </w:rPr>
        <w:t xml:space="preserve">r”: </w:t>
      </w:r>
      <w:r>
        <w:rPr>
          <w:rFonts w:ascii="Palatino Linotype" w:eastAsia="Palatino Linotype" w:hAnsi="Palatino Linotype" w:cs="Palatino Linotype"/>
          <w:color w:val="000000"/>
        </w:rPr>
        <w:t>Carpeta con 46 registros en la que se advierte que corresponden a Actas de Cómputo Distrital para la elección de gobernador de 2017.</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“00035_2022_Actas_Gubernatura_2005_02.rar”: </w:t>
      </w:r>
      <w:r>
        <w:rPr>
          <w:rFonts w:ascii="Palatino Linotype" w:eastAsia="Palatino Linotype" w:hAnsi="Palatino Linotype" w:cs="Palatino Linotype"/>
          <w:color w:val="000000"/>
        </w:rPr>
        <w:t xml:space="preserve">Carpeta con 15 registros en la que se advierte que corresponden a Actas de </w:t>
      </w:r>
      <w:r>
        <w:rPr>
          <w:rFonts w:ascii="Palatino Linotype" w:eastAsia="Palatino Linotype" w:hAnsi="Palatino Linotype" w:cs="Palatino Linotype"/>
          <w:color w:val="000000"/>
        </w:rPr>
        <w:t>Cómputo Distrital para la elección de gobernador de 2005.</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“00035_2022_Actas_Gubernatura_2005_01.rar”: </w:t>
      </w:r>
      <w:r>
        <w:rPr>
          <w:rFonts w:ascii="Palatino Linotype" w:eastAsia="Palatino Linotype" w:hAnsi="Palatino Linotype" w:cs="Palatino Linotype"/>
          <w:color w:val="000000"/>
        </w:rPr>
        <w:t>Carpeta con 15 registros en la que se advierte que corresponden a Actas de Cómputo Distrital para la elección de gobernador de 2005.</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“OFICIO RESPUESTA 35 </w:t>
      </w:r>
      <w:r>
        <w:rPr>
          <w:rFonts w:ascii="Palatino Linotype" w:eastAsia="Palatino Linotype" w:hAnsi="Palatino Linotype" w:cs="Palatino Linotype"/>
          <w:b/>
          <w:i/>
          <w:color w:val="000000"/>
        </w:rPr>
        <w:t>Y 36-2022 UT.pdf”:</w:t>
      </w:r>
      <w:r>
        <w:rPr>
          <w:rFonts w:ascii="Palatino Linotype" w:eastAsia="Palatino Linotype" w:hAnsi="Palatino Linotype" w:cs="Palatino Linotype"/>
          <w:color w:val="000000"/>
        </w:rPr>
        <w:t xml:space="preserve"> Oficio signado por la Titular de la Unidad de Transparencia, dirigido al solicitante, mediante el cual se remite la respuesta a sus solicitudes de información.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 Recurso de Revisión 04345/INFOEM/IP/RR/2022: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 “00036_2022_Actas Distritale</w:t>
      </w:r>
      <w:r>
        <w:rPr>
          <w:rFonts w:ascii="Palatino Linotype" w:eastAsia="Palatino Linotype" w:hAnsi="Palatino Linotype" w:cs="Palatino Linotype"/>
          <w:b/>
          <w:i/>
          <w:color w:val="000000"/>
        </w:rPr>
        <w:t xml:space="preserve">s PE 2000_03.rar”: </w:t>
      </w:r>
      <w:r>
        <w:rPr>
          <w:rFonts w:ascii="Palatino Linotype" w:eastAsia="Palatino Linotype" w:hAnsi="Palatino Linotype" w:cs="Palatino Linotype"/>
          <w:color w:val="000000"/>
        </w:rPr>
        <w:t xml:space="preserve">Carpeta con 15 registros en la que se advierte que corresponden a Actas de Cómputo Distrital para la elección de diputados locales del 2000. </w:t>
      </w:r>
    </w:p>
    <w:p w:rsidR="000622D5" w:rsidRDefault="009B50D2">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“00036_2022_Archivos_XLS.rar”: </w:t>
      </w:r>
      <w:r>
        <w:rPr>
          <w:rFonts w:ascii="Palatino Linotype" w:eastAsia="Palatino Linotype" w:hAnsi="Palatino Linotype" w:cs="Palatino Linotype"/>
        </w:rPr>
        <w:t xml:space="preserve">Carpeta con 19 registros, en los que se visualizan los resultados para diputaciones locales y municipios de 1996 a 2012.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“00036_2022_Actas Distritales PE 2000_01.rar”: </w:t>
      </w:r>
      <w:r>
        <w:rPr>
          <w:rFonts w:ascii="Palatino Linotype" w:eastAsia="Palatino Linotype" w:hAnsi="Palatino Linotype" w:cs="Palatino Linotype"/>
          <w:color w:val="000000"/>
        </w:rPr>
        <w:t>Carpeta con 15 registros en la que se advierte que corresponden a Actas de Cómputo Dist</w:t>
      </w:r>
      <w:r>
        <w:rPr>
          <w:rFonts w:ascii="Palatino Linotype" w:eastAsia="Palatino Linotype" w:hAnsi="Palatino Linotype" w:cs="Palatino Linotype"/>
          <w:color w:val="000000"/>
        </w:rPr>
        <w:t xml:space="preserve">rital para la elección de diputados locales de 2006.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“00036_2022_Actas Distritales PE 1996_01.rar”: </w:t>
      </w:r>
      <w:r>
        <w:rPr>
          <w:rFonts w:ascii="Palatino Linotype" w:eastAsia="Palatino Linotype" w:hAnsi="Palatino Linotype" w:cs="Palatino Linotype"/>
          <w:color w:val="000000"/>
        </w:rPr>
        <w:t>Carpeta con 15 registros en la que se advierte que corresponden a Actas de Cómputo Distrital para la elección de diputados locales de 1996.</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“00036_2022_Act</w:t>
      </w:r>
      <w:r>
        <w:rPr>
          <w:rFonts w:ascii="Palatino Linotype" w:eastAsia="Palatino Linotype" w:hAnsi="Palatino Linotype" w:cs="Palatino Linotype"/>
          <w:b/>
          <w:i/>
          <w:color w:val="000000"/>
          <w:sz w:val="22"/>
          <w:szCs w:val="22"/>
        </w:rPr>
        <w:t xml:space="preserve">as Distritales PE 1996_02.rar”: </w:t>
      </w:r>
      <w:r>
        <w:rPr>
          <w:rFonts w:ascii="Palatino Linotype" w:eastAsia="Palatino Linotype" w:hAnsi="Palatino Linotype" w:cs="Palatino Linotype"/>
          <w:color w:val="000000"/>
          <w:sz w:val="22"/>
          <w:szCs w:val="22"/>
        </w:rPr>
        <w:t>Carpeta con 20 registros en la que se advierte que corresponden a Actas de Cómputo Distrital para la elección de 1996.</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rPr>
        <w:t xml:space="preserve">“00036_2022_Archivos_CSV.rar”: </w:t>
      </w:r>
      <w:r>
        <w:rPr>
          <w:rFonts w:ascii="Palatino Linotype" w:eastAsia="Palatino Linotype" w:hAnsi="Palatino Linotype" w:cs="Palatino Linotype"/>
        </w:rPr>
        <w:t>Carpeta con 19 registros, en los que se visualizan los resultados para diputaciones locales de 2012.</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color w:val="000000"/>
        </w:rPr>
      </w:pPr>
      <w:r>
        <w:rPr>
          <w:rFonts w:ascii="Palatino Linotype" w:eastAsia="Palatino Linotype" w:hAnsi="Palatino Linotype" w:cs="Palatino Linotype"/>
          <w:b/>
          <w:i/>
        </w:rPr>
        <w:t xml:space="preserve">“IEEM-DO-0148-2022.pdf”: </w:t>
      </w:r>
      <w:r>
        <w:rPr>
          <w:rFonts w:ascii="Palatino Linotype" w:eastAsia="Palatino Linotype" w:hAnsi="Palatino Linotype" w:cs="Palatino Linotype"/>
        </w:rPr>
        <w:t xml:space="preserve">Oficio signado por el Director de Organización, mediante el cual otorga respuesta a la solicitud de información. </w:t>
      </w:r>
    </w:p>
    <w:p w:rsidR="000622D5" w:rsidRDefault="009B50D2">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5200650" cy="5553075"/>
            <wp:effectExtent l="0" t="0" r="0" b="0"/>
            <wp:docPr id="40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5200650" cy="5553075"/>
                    </a:xfrm>
                    <a:prstGeom prst="rect">
                      <a:avLst/>
                    </a:prstGeom>
                    <a:ln/>
                  </pic:spPr>
                </pic:pic>
              </a:graphicData>
            </a:graphic>
          </wp:inline>
        </w:drawing>
      </w:r>
    </w:p>
    <w:p w:rsidR="000622D5" w:rsidRDefault="009B50D2">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4800600" cy="5905500"/>
            <wp:effectExtent l="0" t="0" r="0" b="0"/>
            <wp:docPr id="40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a:stretch>
                      <a:fillRect/>
                    </a:stretch>
                  </pic:blipFill>
                  <pic:spPr>
                    <a:xfrm>
                      <a:off x="0" y="0"/>
                      <a:ext cx="4800600" cy="5905500"/>
                    </a:xfrm>
                    <a:prstGeom prst="rect">
                      <a:avLst/>
                    </a:prstGeom>
                    <a:ln/>
                  </pic:spPr>
                </pic:pic>
              </a:graphicData>
            </a:graphic>
          </wp:inline>
        </w:drawing>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“00036_2022_</w:t>
      </w:r>
      <w:r>
        <w:rPr>
          <w:rFonts w:ascii="Palatino Linotype" w:eastAsia="Palatino Linotype" w:hAnsi="Palatino Linotype" w:cs="Palatino Linotype"/>
          <w:b/>
          <w:i/>
        </w:rPr>
        <w:t xml:space="preserve">Actas Distritales PE 2000_02.rar”: </w:t>
      </w:r>
      <w:r>
        <w:rPr>
          <w:rFonts w:ascii="Palatino Linotype" w:eastAsia="Palatino Linotype" w:hAnsi="Palatino Linotype" w:cs="Palatino Linotype"/>
        </w:rPr>
        <w:t>Carpeta con 15 registros, en los que se visualizan las Actas de Cómputo Distrital de las elecciones del año 2000.</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“00036_2022_Actas Distritales PE 2003_02.rar”: </w:t>
      </w:r>
      <w:r>
        <w:rPr>
          <w:rFonts w:ascii="Palatino Linotype" w:eastAsia="Palatino Linotype" w:hAnsi="Palatino Linotype" w:cs="Palatino Linotype"/>
        </w:rPr>
        <w:t xml:space="preserve">Carpeta con 5 registros, en los que se visualizan las Actas </w:t>
      </w:r>
      <w:r>
        <w:rPr>
          <w:rFonts w:ascii="Palatino Linotype" w:eastAsia="Palatino Linotype" w:hAnsi="Palatino Linotype" w:cs="Palatino Linotype"/>
        </w:rPr>
        <w:t>de Cómputo Distrital de las elecciones del año 2003.</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Distritales PE 2006_02.rar”: </w:t>
      </w:r>
      <w:r>
        <w:rPr>
          <w:rFonts w:ascii="Palatino Linotype" w:eastAsia="Palatino Linotype" w:hAnsi="Palatino Linotype" w:cs="Palatino Linotype"/>
        </w:rPr>
        <w:t>Carpeta con 11 registros, en los que se visualizan las Actas de Cómputo Distrital de las elecciones del año 2006.</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“00036_2022_Actas Distritales PE 2003_01.r</w:t>
      </w:r>
      <w:r>
        <w:rPr>
          <w:rFonts w:ascii="Palatino Linotype" w:eastAsia="Palatino Linotype" w:hAnsi="Palatino Linotype" w:cs="Palatino Linotype"/>
          <w:b/>
          <w:i/>
        </w:rPr>
        <w:t xml:space="preserve">ar”: </w:t>
      </w:r>
      <w:r>
        <w:rPr>
          <w:rFonts w:ascii="Palatino Linotype" w:eastAsia="Palatino Linotype" w:hAnsi="Palatino Linotype" w:cs="Palatino Linotype"/>
        </w:rPr>
        <w:t>Carpeta con 37 registros, en los que se visualizan las Actas de Cómputo Distrital de las elecciones del año 2003.</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Distritales PE 2006_01.rar”: </w:t>
      </w:r>
      <w:r>
        <w:rPr>
          <w:rFonts w:ascii="Palatino Linotype" w:eastAsia="Palatino Linotype" w:hAnsi="Palatino Linotype" w:cs="Palatino Linotype"/>
        </w:rPr>
        <w:t>Carpeta con 29 registros, en los que se visualizan las Actas de Cómputo Distrital de las elecciones del año 2006.</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Distritales PE 2003_03.rar”: </w:t>
      </w:r>
      <w:r>
        <w:rPr>
          <w:rFonts w:ascii="Palatino Linotype" w:eastAsia="Palatino Linotype" w:hAnsi="Palatino Linotype" w:cs="Palatino Linotype"/>
        </w:rPr>
        <w:t>Carpeta con 3 registros, en los que se visualizan las Actas de Cómputo Distrital de las eleccio</w:t>
      </w:r>
      <w:r>
        <w:rPr>
          <w:rFonts w:ascii="Palatino Linotype" w:eastAsia="Palatino Linotype" w:hAnsi="Palatino Linotype" w:cs="Palatino Linotype"/>
        </w:rPr>
        <w:t>nes del año 2003.</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Distritales PE 2006_03.rar”: </w:t>
      </w:r>
      <w:r>
        <w:rPr>
          <w:rFonts w:ascii="Palatino Linotype" w:eastAsia="Palatino Linotype" w:hAnsi="Palatino Linotype" w:cs="Palatino Linotype"/>
        </w:rPr>
        <w:t>Carpeta con 5 registros, en los que se visualizan las Actas de Cómputo Distrital de las elecciones del año 2006.</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Dttales PE 2012.rar”: </w:t>
      </w:r>
      <w:r>
        <w:rPr>
          <w:rFonts w:ascii="Palatino Linotype" w:eastAsia="Palatino Linotype" w:hAnsi="Palatino Linotype" w:cs="Palatino Linotype"/>
        </w:rPr>
        <w:t>Carpeta con 45 registros, en los que s</w:t>
      </w:r>
      <w:r>
        <w:rPr>
          <w:rFonts w:ascii="Palatino Linotype" w:eastAsia="Palatino Linotype" w:hAnsi="Palatino Linotype" w:cs="Palatino Linotype"/>
        </w:rPr>
        <w:t>e visualizan las Actas de Cómputo Distrital de las elecciones del año 2012.</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Dttales PE 2009.rar”: </w:t>
      </w:r>
      <w:r>
        <w:rPr>
          <w:rFonts w:ascii="Palatino Linotype" w:eastAsia="Palatino Linotype" w:hAnsi="Palatino Linotype" w:cs="Palatino Linotype"/>
        </w:rPr>
        <w:t>Carpeta con 45 registros, en los que se visualizan las Actas de Cómputo Distrital de las elecciones del año 2009.</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“00036_2022_Actas Mpales P</w:t>
      </w:r>
      <w:r>
        <w:rPr>
          <w:rFonts w:ascii="Palatino Linotype" w:eastAsia="Palatino Linotype" w:hAnsi="Palatino Linotype" w:cs="Palatino Linotype"/>
          <w:b/>
          <w:i/>
        </w:rPr>
        <w:t xml:space="preserve">E 1996_01.rar”: </w:t>
      </w:r>
      <w:r>
        <w:rPr>
          <w:rFonts w:ascii="Palatino Linotype" w:eastAsia="Palatino Linotype" w:hAnsi="Palatino Linotype" w:cs="Palatino Linotype"/>
        </w:rPr>
        <w:t>Carpeta con 33 registros, en los que se visualizan las Actas de Cómputo Distrital de las elecciones del año 2009.</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“00036_2022_Actas Mpales PE 1996_02.rar”: </w:t>
      </w:r>
      <w:r>
        <w:rPr>
          <w:rFonts w:ascii="Palatino Linotype" w:eastAsia="Palatino Linotype" w:hAnsi="Palatino Linotype" w:cs="Palatino Linotype"/>
        </w:rPr>
        <w:t>Carpeta con 34 registros, en los que se visualizan las Actas de Cómputo Distrital de</w:t>
      </w:r>
      <w:r>
        <w:rPr>
          <w:rFonts w:ascii="Palatino Linotype" w:eastAsia="Palatino Linotype" w:hAnsi="Palatino Linotype" w:cs="Palatino Linotype"/>
        </w:rPr>
        <w:t xml:space="preserve"> las elecciones del año 1996.</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Mpales PE 1996_03.rar”: </w:t>
      </w:r>
      <w:r>
        <w:rPr>
          <w:rFonts w:ascii="Palatino Linotype" w:eastAsia="Palatino Linotype" w:hAnsi="Palatino Linotype" w:cs="Palatino Linotype"/>
        </w:rPr>
        <w:t>Carpeta con 21 registros, en los que se visualizan las Actas de Cómputo Distrital de las elecciones del año 1996.</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Municipales PE 2009_01.rar”: </w:t>
      </w:r>
      <w:r>
        <w:rPr>
          <w:rFonts w:ascii="Palatino Linotype" w:eastAsia="Palatino Linotype" w:hAnsi="Palatino Linotype" w:cs="Palatino Linotype"/>
        </w:rPr>
        <w:t>Carpeta con 44 registro</w:t>
      </w:r>
      <w:r>
        <w:rPr>
          <w:rFonts w:ascii="Palatino Linotype" w:eastAsia="Palatino Linotype" w:hAnsi="Palatino Linotype" w:cs="Palatino Linotype"/>
        </w:rPr>
        <w:t>s, en los que se visualizan las Actas de Cómputo Distrital de las elecciones del año 2009.</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Municipales PE 2000.rar”: </w:t>
      </w:r>
      <w:r>
        <w:rPr>
          <w:rFonts w:ascii="Palatino Linotype" w:eastAsia="Palatino Linotype" w:hAnsi="Palatino Linotype" w:cs="Palatino Linotype"/>
        </w:rPr>
        <w:t>Carpeta con 122 registros, en los que se visualizan las Actas de Cómputo Distrital de las elecciones del Ayuntamiento, co</w:t>
      </w:r>
      <w:r>
        <w:rPr>
          <w:rFonts w:ascii="Palatino Linotype" w:eastAsia="Palatino Linotype" w:hAnsi="Palatino Linotype" w:cs="Palatino Linotype"/>
        </w:rPr>
        <w:t>rrespondientes al año 2000.</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Municipales PE 2006.rar”: </w:t>
      </w:r>
      <w:r>
        <w:rPr>
          <w:rFonts w:ascii="Palatino Linotype" w:eastAsia="Palatino Linotype" w:hAnsi="Palatino Linotype" w:cs="Palatino Linotype"/>
        </w:rPr>
        <w:t>Carpeta con 125 registros, en los que se visualizan las Actas de Cómputo Distrital de las elecciones del correspondientes al año 2006.</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Municipales PE 2003.rar”: </w:t>
      </w:r>
      <w:r>
        <w:rPr>
          <w:rFonts w:ascii="Palatino Linotype" w:eastAsia="Palatino Linotype" w:hAnsi="Palatino Linotype" w:cs="Palatino Linotype"/>
        </w:rPr>
        <w:t>Carpeta con 125 registros, en los que se visualizan las Actas de Cómputo Distrital de las elecciones del Ayuntamiento, correspondientes al año 2003.</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Municipales PE 2009_03.rar”: </w:t>
      </w:r>
      <w:r>
        <w:rPr>
          <w:rFonts w:ascii="Palatino Linotype" w:eastAsia="Palatino Linotype" w:hAnsi="Palatino Linotype" w:cs="Palatino Linotype"/>
        </w:rPr>
        <w:t>Carpeta con 125 registros, en los que se visualizan las Acta</w:t>
      </w:r>
      <w:r>
        <w:rPr>
          <w:rFonts w:ascii="Palatino Linotype" w:eastAsia="Palatino Linotype" w:hAnsi="Palatino Linotype" w:cs="Palatino Linotype"/>
        </w:rPr>
        <w:t>s de Cómputo Distrital de las elecciones del Ayuntamiento, correspondientes al año 2009.</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“00036_2022_Actas Municipales PE 2012_01.rar”: </w:t>
      </w:r>
      <w:r>
        <w:rPr>
          <w:rFonts w:ascii="Palatino Linotype" w:eastAsia="Palatino Linotype" w:hAnsi="Palatino Linotype" w:cs="Palatino Linotype"/>
        </w:rPr>
        <w:t>Carpeta con 50 registros, en los que se visualizan las Actas de Cómputo Distrital de las elecciones del Ayuntamiento, co</w:t>
      </w:r>
      <w:r>
        <w:rPr>
          <w:rFonts w:ascii="Palatino Linotype" w:eastAsia="Palatino Linotype" w:hAnsi="Palatino Linotype" w:cs="Palatino Linotype"/>
        </w:rPr>
        <w:t>rrespondientes al año 2012.</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Municipales PE 2012_03.rar”: </w:t>
      </w:r>
      <w:r>
        <w:rPr>
          <w:rFonts w:ascii="Palatino Linotype" w:eastAsia="Palatino Linotype" w:hAnsi="Palatino Linotype" w:cs="Palatino Linotype"/>
        </w:rPr>
        <w:t>Carpeta con 29 registros, en los que se visualizan las Actas de Cómputo Distrital de las elecciones del Ayuntamiento, correspondientes al año 2012.</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Municipales PE </w:t>
      </w:r>
      <w:r>
        <w:rPr>
          <w:rFonts w:ascii="Palatino Linotype" w:eastAsia="Palatino Linotype" w:hAnsi="Palatino Linotype" w:cs="Palatino Linotype"/>
          <w:b/>
          <w:i/>
        </w:rPr>
        <w:t xml:space="preserve">2009_02.rar”: </w:t>
      </w:r>
      <w:r>
        <w:rPr>
          <w:rFonts w:ascii="Palatino Linotype" w:eastAsia="Palatino Linotype" w:hAnsi="Palatino Linotype" w:cs="Palatino Linotype"/>
        </w:rPr>
        <w:t>Carpeta con 45 registros, en los que se visualizan las Actas de Cómputo Distrital de las elecciones del Ayuntamiento, correspondientes al año 2009.</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“00036_2022_Actas Municipales PE 2012_02.rar”: </w:t>
      </w:r>
      <w:r>
        <w:rPr>
          <w:rFonts w:ascii="Palatino Linotype" w:eastAsia="Palatino Linotype" w:hAnsi="Palatino Linotype" w:cs="Palatino Linotype"/>
        </w:rPr>
        <w:t>Carpeta con 46 registros, en los que se visuali</w:t>
      </w:r>
      <w:r>
        <w:rPr>
          <w:rFonts w:ascii="Palatino Linotype" w:eastAsia="Palatino Linotype" w:hAnsi="Palatino Linotype" w:cs="Palatino Linotype"/>
        </w:rPr>
        <w:t>zan las Actas de Cómputo Distrital de las elecciones del Ayuntamiento, correspondientes al año 2012.</w:t>
      </w:r>
    </w:p>
    <w:p w:rsidR="000622D5" w:rsidRDefault="009B50D2">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“OFICIO RESPUESTA 35 Y 36-2022 UT.pdf”: </w:t>
      </w:r>
      <w:r>
        <w:rPr>
          <w:rFonts w:ascii="Palatino Linotype" w:eastAsia="Palatino Linotype" w:hAnsi="Palatino Linotype" w:cs="Palatino Linotype"/>
          <w:color w:val="000000"/>
        </w:rPr>
        <w:t>Oficio signado por la Titular de la Unidad de Transparencia, dirigido al solicitante, mediante el cual se remite la</w:t>
      </w:r>
      <w:r>
        <w:rPr>
          <w:rFonts w:ascii="Palatino Linotype" w:eastAsia="Palatino Linotype" w:hAnsi="Palatino Linotype" w:cs="Palatino Linotype"/>
          <w:color w:val="000000"/>
        </w:rPr>
        <w:t xml:space="preserve"> respuesta a sus solicitudes de información. </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 los recursos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veintitrés de marzo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de dos mil veintidós, el Recurrente, </w:t>
      </w:r>
      <w:r>
        <w:rPr>
          <w:rFonts w:ascii="Palatino Linotype" w:eastAsia="Palatino Linotype" w:hAnsi="Palatino Linotype" w:cs="Palatino Linotype"/>
        </w:rPr>
        <w:t>inconforme con las respuestas, interpuso los recursos de revisión que nos ocupan, expresando lo s</w:t>
      </w:r>
      <w:r>
        <w:rPr>
          <w:rFonts w:ascii="Palatino Linotype" w:eastAsia="Palatino Linotype" w:hAnsi="Palatino Linotype" w:cs="Palatino Linotype"/>
        </w:rPr>
        <w:t>iguiente:</w:t>
      </w:r>
    </w:p>
    <w:p w:rsidR="000622D5" w:rsidRDefault="009B50D2">
      <w:pPr>
        <w:spacing w:before="240" w:after="240" w:line="360" w:lineRule="auto"/>
        <w:ind w:right="49"/>
        <w:jc w:val="both"/>
        <w:rPr>
          <w:rFonts w:ascii="Palatino Linotype" w:eastAsia="Palatino Linotype" w:hAnsi="Palatino Linotype" w:cs="Palatino Linotype"/>
          <w:i/>
          <w:sz w:val="2"/>
          <w:szCs w:val="2"/>
        </w:rPr>
      </w:pPr>
      <w:r>
        <w:rPr>
          <w:rFonts w:ascii="Palatino Linotype" w:eastAsia="Palatino Linotype" w:hAnsi="Palatino Linotype" w:cs="Palatino Linotype"/>
          <w:b/>
          <w:sz w:val="22"/>
          <w:szCs w:val="22"/>
        </w:rPr>
        <w:t>Recurso de Revisión 04344/INFOEM/IP/RR/2022:</w:t>
      </w:r>
      <w:r>
        <w:rPr>
          <w:rFonts w:ascii="Palatino Linotype" w:eastAsia="Palatino Linotype" w:hAnsi="Palatino Linotype" w:cs="Palatino Linotype"/>
          <w:sz w:val="22"/>
          <w:szCs w:val="22"/>
        </w:rPr>
        <w:t xml:space="preserve">  </w:t>
      </w:r>
    </w:p>
    <w:p w:rsidR="000622D5" w:rsidRDefault="009B50D2">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lastRenderedPageBreak/>
        <w:t>a) Acto impugnado.</w:t>
      </w:r>
    </w:p>
    <w:p w:rsidR="000622D5" w:rsidRDefault="009B50D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“00035/IEEM/IP/2022” (Sic)</w:t>
      </w:r>
    </w:p>
    <w:p w:rsidR="000622D5" w:rsidRDefault="009B50D2">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0622D5" w:rsidRDefault="009B50D2">
      <w:pPr>
        <w:spacing w:before="240" w:after="24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w:t>
      </w:r>
      <w:r>
        <w:rPr>
          <w:rFonts w:ascii="Palatino Linotype" w:eastAsia="Palatino Linotype" w:hAnsi="Palatino Linotype" w:cs="Palatino Linotype"/>
          <w:i/>
          <w:sz w:val="22"/>
          <w:szCs w:val="22"/>
        </w:rPr>
        <w:t xml:space="preserve"> ofrecida por el IEEM </w:t>
      </w:r>
      <w:r>
        <w:rPr>
          <w:rFonts w:ascii="Palatino Linotype" w:eastAsia="Palatino Linotype" w:hAnsi="Palatino Linotype" w:cs="Palatino Linotype"/>
          <w:b/>
          <w:i/>
          <w:sz w:val="22"/>
          <w:szCs w:val="22"/>
        </w:rPr>
        <w:t>contiene severas deficiencias</w:t>
      </w:r>
      <w:r>
        <w:rPr>
          <w:rFonts w:ascii="Palatino Linotype" w:eastAsia="Palatino Linotype" w:hAnsi="Palatino Linotype" w:cs="Palatino Linotype"/>
          <w:i/>
          <w:sz w:val="22"/>
          <w:szCs w:val="22"/>
        </w:rPr>
        <w:t>.” (Sic)</w:t>
      </w:r>
    </w:p>
    <w:p w:rsidR="000622D5" w:rsidRDefault="009B50D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04345/INFOEM/IP/RR/2022: </w:t>
      </w:r>
    </w:p>
    <w:p w:rsidR="000622D5" w:rsidRDefault="009B50D2">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0622D5" w:rsidRDefault="009B50D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“00036/IEEM/IP/2022” (Sic)</w:t>
      </w:r>
    </w:p>
    <w:p w:rsidR="000622D5" w:rsidRDefault="009B50D2">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0622D5" w:rsidRDefault="009B50D2">
      <w:pPr>
        <w:spacing w:before="240" w:after="24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w:t>
      </w:r>
      <w:r>
        <w:rPr>
          <w:rFonts w:ascii="Palatino Linotype" w:eastAsia="Palatino Linotype" w:hAnsi="Palatino Linotype" w:cs="Palatino Linotype"/>
          <w:i/>
          <w:sz w:val="22"/>
          <w:szCs w:val="22"/>
        </w:rPr>
        <w:t xml:space="preserve"> ofrecida por el IEEM </w:t>
      </w:r>
      <w:r>
        <w:rPr>
          <w:rFonts w:ascii="Palatino Linotype" w:eastAsia="Palatino Linotype" w:hAnsi="Palatino Linotype" w:cs="Palatino Linotype"/>
          <w:b/>
          <w:i/>
          <w:sz w:val="22"/>
          <w:szCs w:val="22"/>
        </w:rPr>
        <w:t>contiene severas deficiencias</w:t>
      </w:r>
      <w:r>
        <w:rPr>
          <w:rFonts w:ascii="Palatino Linotype" w:eastAsia="Palatino Linotype" w:hAnsi="Palatino Linotype" w:cs="Palatino Linotype"/>
          <w:i/>
          <w:sz w:val="22"/>
          <w:szCs w:val="22"/>
        </w:rPr>
        <w:t>.” (Sic)</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De conformidad con el artículo 185 fracción I de la Ley Transparencia y Acceso a la Información</w:t>
      </w:r>
      <w:r>
        <w:rPr>
          <w:rFonts w:ascii="Palatino Linotype" w:eastAsia="Palatino Linotype" w:hAnsi="Palatino Linotype" w:cs="Palatino Linotype"/>
        </w:rPr>
        <w:t xml:space="preserve">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4"/>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0622D5">
        <w:tc>
          <w:tcPr>
            <w:tcW w:w="4460" w:type="dxa"/>
            <w:shd w:val="clear" w:color="auto" w:fill="C6F7F6"/>
          </w:tcPr>
          <w:p w:rsidR="000622D5" w:rsidRDefault="009B50D2">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461" w:type="dxa"/>
            <w:shd w:val="clear" w:color="auto" w:fill="C6F7F6"/>
          </w:tcPr>
          <w:p w:rsidR="000622D5" w:rsidRDefault="009B50D2">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Comisionada/o</w:t>
            </w:r>
          </w:p>
        </w:tc>
      </w:tr>
      <w:tr w:rsidR="000622D5">
        <w:tc>
          <w:tcPr>
            <w:tcW w:w="4460" w:type="dxa"/>
          </w:tcPr>
          <w:p w:rsidR="000622D5" w:rsidRDefault="009B50D2">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04344/INFOEM/IP/RR/2022 </w:t>
            </w:r>
          </w:p>
        </w:tc>
        <w:tc>
          <w:tcPr>
            <w:tcW w:w="4461" w:type="dxa"/>
          </w:tcPr>
          <w:p w:rsidR="000622D5" w:rsidRDefault="009B50D2">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Comisionada Guadalupe Ramírez Peña</w:t>
            </w:r>
          </w:p>
        </w:tc>
      </w:tr>
      <w:tr w:rsidR="000622D5">
        <w:tc>
          <w:tcPr>
            <w:tcW w:w="4460" w:type="dxa"/>
          </w:tcPr>
          <w:p w:rsidR="000622D5" w:rsidRDefault="009B50D2">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04345/INFOEM/IP/RR/2022</w:t>
            </w:r>
          </w:p>
        </w:tc>
        <w:tc>
          <w:tcPr>
            <w:tcW w:w="4461" w:type="dxa"/>
          </w:tcPr>
          <w:p w:rsidR="000622D5" w:rsidRDefault="009B50D2">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Comisionado Presidente José Martínez Vilchis</w:t>
            </w:r>
          </w:p>
        </w:tc>
      </w:tr>
    </w:tbl>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veintiocho de marzo de dos mil veintidós,</w:t>
      </w:r>
      <w:r>
        <w:rPr>
          <w:rFonts w:ascii="Palatino Linotype" w:eastAsia="Palatino Linotype" w:hAnsi="Palatino Linotype" w:cs="Palatino Linotype"/>
        </w:rPr>
        <w:t xml:space="preserve"> en términos de lo dispuesto en el artículo 185 fracciones I, II y IV de la Ley de Transparencia y Acceso a la Información</w:t>
      </w:r>
      <w:r>
        <w:rPr>
          <w:rFonts w:ascii="Palatino Linotype" w:eastAsia="Palatino Linotype" w:hAnsi="Palatino Linotype" w:cs="Palatino Linotype"/>
        </w:rPr>
        <w:t xml:space="preserve"> Pública del Estado de México y Municipios, se admitieron a trámite los recursos de revisión.</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Acumulación. </w:t>
      </w:r>
      <w:r>
        <w:rPr>
          <w:rFonts w:ascii="Palatino Linotype" w:eastAsia="Palatino Linotype" w:hAnsi="Palatino Linotype" w:cs="Palatino Linotype"/>
        </w:rPr>
        <w:t xml:space="preserve">En la </w:t>
      </w:r>
      <w:r>
        <w:rPr>
          <w:rFonts w:ascii="Palatino Linotype" w:eastAsia="Palatino Linotype" w:hAnsi="Palatino Linotype" w:cs="Palatino Linotype"/>
          <w:b/>
        </w:rPr>
        <w:t>Décima Tercera Sesión Ordinaria</w:t>
      </w:r>
      <w:r>
        <w:rPr>
          <w:rFonts w:ascii="Palatino Linotype" w:eastAsia="Palatino Linotype" w:hAnsi="Palatino Linotype" w:cs="Palatino Linotype"/>
        </w:rPr>
        <w:t xml:space="preserve"> celebrada el </w:t>
      </w:r>
      <w:r>
        <w:rPr>
          <w:rFonts w:ascii="Palatino Linotype" w:eastAsia="Palatino Linotype" w:hAnsi="Palatino Linotype" w:cs="Palatino Linotype"/>
          <w:b/>
        </w:rPr>
        <w:t>siete de abril de dos mil veintidós</w:t>
      </w:r>
      <w:r>
        <w:rPr>
          <w:rFonts w:ascii="Palatino Linotype" w:eastAsia="Palatino Linotype" w:hAnsi="Palatino Linotype" w:cs="Palatino Linotype"/>
        </w:rPr>
        <w:t>, al advertir la conexidad de causa y con la finalidad de evitar que se dicten resoluciones contradictorias, de conformidad con el artículo 195 de la Ley de Transparencia y Acceso a la Información Pública del Estado de México y Municipios y artículo 18 del</w:t>
      </w:r>
      <w:r>
        <w:rPr>
          <w:rFonts w:ascii="Palatino Linotype" w:eastAsia="Palatino Linotype" w:hAnsi="Palatino Linotype" w:cs="Palatino Linotype"/>
        </w:rPr>
        <w:t xml:space="preserve"> Código de Procedimientos Administrativos del Estado de México, se acordó la acumulación de los recursos antes señalados, acordando que fuera Ponente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que mediante acuerdo se notificó a las partes vía SAIMEX. </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Manif</w:t>
      </w:r>
      <w:r>
        <w:rPr>
          <w:rFonts w:ascii="Palatino Linotype" w:eastAsia="Palatino Linotype" w:hAnsi="Palatino Linotype" w:cs="Palatino Linotype"/>
          <w:b/>
        </w:rPr>
        <w:t xml:space="preserve">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sus informes justificados, en fecha </w:t>
      </w:r>
      <w:r>
        <w:rPr>
          <w:rFonts w:ascii="Palatino Linotype" w:eastAsia="Palatino Linotype" w:hAnsi="Palatino Linotype" w:cs="Palatino Linotype"/>
          <w:b/>
        </w:rPr>
        <w:t xml:space="preserve">treinta de marzo, </w:t>
      </w:r>
      <w:r>
        <w:rPr>
          <w:rFonts w:ascii="Palatino Linotype" w:eastAsia="Palatino Linotype" w:hAnsi="Palatino Linotype" w:cs="Palatino Linotype"/>
        </w:rPr>
        <w:t>posteriormente remitió alcance a los informes justificados</w:t>
      </w:r>
      <w:r>
        <w:rPr>
          <w:rFonts w:ascii="Palatino Linotype" w:eastAsia="Palatino Linotype" w:hAnsi="Palatino Linotype" w:cs="Palatino Linotype"/>
          <w:b/>
        </w:rPr>
        <w:t>, en fecha tres d</w:t>
      </w:r>
      <w:r>
        <w:rPr>
          <w:rFonts w:ascii="Palatino Linotype" w:eastAsia="Palatino Linotype" w:hAnsi="Palatino Linotype" w:cs="Palatino Linotype"/>
          <w:b/>
        </w:rPr>
        <w:t xml:space="preserve">e mayo de dos mil veintidós, </w:t>
      </w:r>
      <w:r>
        <w:rPr>
          <w:rFonts w:ascii="Palatino Linotype" w:eastAsia="Palatino Linotype" w:hAnsi="Palatino Linotype" w:cs="Palatino Linotype"/>
        </w:rPr>
        <w:t xml:space="preserve">mediante los siguientes archivos electrónicos en ambos expedientes: </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“INFORME JUSTIFICADO RR 4344 Y 04345-2022 UT.pdf”: </w:t>
      </w:r>
      <w:r>
        <w:rPr>
          <w:rFonts w:ascii="Palatino Linotype" w:eastAsia="Palatino Linotype" w:hAnsi="Palatino Linotype" w:cs="Palatino Linotype"/>
        </w:rPr>
        <w:t>Archivo de treinta y dos fojas, mediante el cual la Titular de la Unidad de Transparencia, desvirtúa las ma</w:t>
      </w:r>
      <w:r>
        <w:rPr>
          <w:rFonts w:ascii="Palatino Linotype" w:eastAsia="Palatino Linotype" w:hAnsi="Palatino Linotype" w:cs="Palatino Linotype"/>
        </w:rPr>
        <w:t xml:space="preserve">nifestaciones del Recurrente al señalar que el particular se inconforma por severas deficiencias de manera general, por lo que se consideran agravios con ambigüedad y medularmente ratifica su respuesta. </w:t>
      </w:r>
      <w:r>
        <w:rPr>
          <w:noProof/>
          <w:lang w:val="es-MX"/>
        </w:rPr>
        <w:drawing>
          <wp:anchor distT="0" distB="0" distL="114300" distR="114300" simplePos="0" relativeHeight="251658240" behindDoc="0" locked="0" layoutInCell="1" hidden="0" allowOverlap="1">
            <wp:simplePos x="0" y="0"/>
            <wp:positionH relativeFrom="column">
              <wp:posOffset>-22858</wp:posOffset>
            </wp:positionH>
            <wp:positionV relativeFrom="paragraph">
              <wp:posOffset>1643379</wp:posOffset>
            </wp:positionV>
            <wp:extent cx="5610225" cy="2914650"/>
            <wp:effectExtent l="0" t="0" r="0" b="0"/>
            <wp:wrapTopAndBottom distT="0" distB="0"/>
            <wp:docPr id="41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5610225" cy="2914650"/>
                    </a:xfrm>
                    <a:prstGeom prst="rect">
                      <a:avLst/>
                    </a:prstGeom>
                    <a:ln/>
                  </pic:spPr>
                </pic:pic>
              </a:graphicData>
            </a:graphic>
          </wp:anchor>
        </w:drawing>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6562725"/>
            <wp:effectExtent l="0" t="0" r="0" b="0"/>
            <wp:docPr id="4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5610225" cy="6562725"/>
                    </a:xfrm>
                    <a:prstGeom prst="rect">
                      <a:avLst/>
                    </a:prstGeom>
                    <a:ln/>
                  </pic:spPr>
                </pic:pic>
              </a:graphicData>
            </a:graphic>
          </wp:inline>
        </w:drawing>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5600700"/>
            <wp:effectExtent l="0" t="0" r="0" b="0"/>
            <wp:docPr id="40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5610225" cy="5600700"/>
                    </a:xfrm>
                    <a:prstGeom prst="rect">
                      <a:avLst/>
                    </a:prstGeom>
                    <a:ln/>
                  </pic:spPr>
                </pic:pic>
              </a:graphicData>
            </a:graphic>
          </wp:inline>
        </w:drawing>
      </w:r>
    </w:p>
    <w:p w:rsidR="000622D5" w:rsidRDefault="009B50D2">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“ALCANCE A INFORME JUSTIFICADO RR 04344 Y 04345-2022 UT.pdf”: </w:t>
      </w:r>
      <w:r>
        <w:rPr>
          <w:rFonts w:ascii="Palatino Linotype" w:eastAsia="Palatino Linotype" w:hAnsi="Palatino Linotype" w:cs="Palatino Linotype"/>
        </w:rPr>
        <w:t xml:space="preserve">Documento de cuatro fojas remitido en alcance al informe justificado, mediante el cual, la Titular de la Unidad de Transparencia manifiesta que al existir conexidad </w:t>
      </w:r>
      <w:r>
        <w:rPr>
          <w:rFonts w:ascii="Palatino Linotype" w:eastAsia="Palatino Linotype" w:hAnsi="Palatino Linotype" w:cs="Palatino Linotype"/>
        </w:rPr>
        <w:lastRenderedPageBreak/>
        <w:t>de los recursos de revisión c</w:t>
      </w:r>
      <w:r>
        <w:rPr>
          <w:rFonts w:ascii="Palatino Linotype" w:eastAsia="Palatino Linotype" w:hAnsi="Palatino Linotype" w:cs="Palatino Linotype"/>
        </w:rPr>
        <w:t xml:space="preserve">itados al rubro con el precedente de número 00421/INFOEM/IP/RR/2022, en el que se ordenó la entrega del Acuerdo de Inexistencia, sea tomado en cuenta para la emisión de la presente resolución. </w:t>
      </w:r>
    </w:p>
    <w:p w:rsidR="000622D5" w:rsidRDefault="009B50D2">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“Acuerdo IEEM-UT-24-2022.pdf”: </w:t>
      </w:r>
      <w:r>
        <w:rPr>
          <w:rFonts w:ascii="Palatino Linotype" w:eastAsia="Palatino Linotype" w:hAnsi="Palatino Linotype" w:cs="Palatino Linotype"/>
        </w:rPr>
        <w:t>Acuerdo del Comité de Transpare</w:t>
      </w:r>
      <w:r>
        <w:rPr>
          <w:rFonts w:ascii="Palatino Linotype" w:eastAsia="Palatino Linotype" w:hAnsi="Palatino Linotype" w:cs="Palatino Linotype"/>
        </w:rPr>
        <w:t>ncia por el que se declara la inexistencia de la información, emitido para dar cumplimiento a la resolución del Recurso de Revisión 00421/INFOEM/IP/RR/2022.</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precisar que estos archivos se pusieron a la vista del particular, mediante acuerdo emitido p</w:t>
      </w:r>
      <w:r>
        <w:rPr>
          <w:rFonts w:ascii="Palatino Linotype" w:eastAsia="Palatino Linotype" w:hAnsi="Palatino Linotype" w:cs="Palatino Linotype"/>
        </w:rPr>
        <w:t xml:space="preserve">or la Comisionada Ponente en fechas </w:t>
      </w:r>
      <w:r>
        <w:rPr>
          <w:rFonts w:ascii="Palatino Linotype" w:eastAsia="Palatino Linotype" w:hAnsi="Palatino Linotype" w:cs="Palatino Linotype"/>
          <w:b/>
        </w:rPr>
        <w:t>cinco y</w:t>
      </w:r>
      <w:r>
        <w:rPr>
          <w:rFonts w:ascii="Palatino Linotype" w:eastAsia="Palatino Linotype" w:hAnsi="Palatino Linotype" w:cs="Palatino Linotype"/>
        </w:rPr>
        <w:t xml:space="preserve"> </w:t>
      </w:r>
      <w:r>
        <w:rPr>
          <w:rFonts w:ascii="Palatino Linotype" w:eastAsia="Palatino Linotype" w:hAnsi="Palatino Linotype" w:cs="Palatino Linotype"/>
          <w:b/>
        </w:rPr>
        <w:t>seis de julio de dos mil veintidós</w:t>
      </w:r>
      <w:r>
        <w:rPr>
          <w:rFonts w:ascii="Palatino Linotype" w:eastAsia="Palatino Linotype" w:hAnsi="Palatino Linotype" w:cs="Palatino Linotype"/>
        </w:rPr>
        <w:t xml:space="preserve">. </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0225" cy="2324100"/>
            <wp:effectExtent l="0" t="0" r="0" b="0"/>
            <wp:docPr id="40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5610225" cy="2324100"/>
                    </a:xfrm>
                    <a:prstGeom prst="rect">
                      <a:avLst/>
                    </a:prstGeom>
                    <a:ln/>
                  </pic:spPr>
                </pic:pic>
              </a:graphicData>
            </a:graphic>
          </wp:inline>
        </w:drawing>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2619375"/>
            <wp:effectExtent l="0" t="0" r="0" b="0"/>
            <wp:docPr id="4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5610225" cy="2619375"/>
                    </a:xfrm>
                    <a:prstGeom prst="rect">
                      <a:avLst/>
                    </a:prstGeom>
                    <a:ln/>
                  </pic:spPr>
                </pic:pic>
              </a:graphicData>
            </a:graphic>
          </wp:inline>
        </w:drawing>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resulta pertinente apuntar que, por su parte,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realizó manifestaciones, mediante los archivos electrónicos que a continuación se describen:</w:t>
      </w:r>
    </w:p>
    <w:p w:rsidR="000622D5" w:rsidRDefault="009B50D2">
      <w:pPr>
        <w:spacing w:before="240" w:after="240" w:line="360" w:lineRule="auto"/>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 xml:space="preserve">Recurso </w:t>
      </w:r>
      <w:r>
        <w:rPr>
          <w:rFonts w:ascii="Palatino Linotype" w:eastAsia="Palatino Linotype" w:hAnsi="Palatino Linotype" w:cs="Palatino Linotype"/>
          <w:b/>
          <w:sz w:val="22"/>
          <w:szCs w:val="22"/>
        </w:rPr>
        <w:t>de Revisión 04344/INFOEM/IP/RR/2022:</w:t>
      </w:r>
    </w:p>
    <w:p w:rsidR="000622D5" w:rsidRDefault="009B50D2">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“Inconsistencias 00035 IEEM IP 2022.xlsx”: </w:t>
      </w:r>
      <w:r>
        <w:rPr>
          <w:rFonts w:ascii="Palatino Linotype" w:eastAsia="Palatino Linotype" w:hAnsi="Palatino Linotype" w:cs="Palatino Linotype"/>
        </w:rPr>
        <w:t>Consiste en una hoja de cálculo de Excel en la que se visualizan los siguientes datos, RSP, FMX, CI, VN, TOTAL, LISTA NOMINALM ACTA vs TABLA, e INCONSISTENCIAS, tal como se apr</w:t>
      </w:r>
      <w:r>
        <w:rPr>
          <w:rFonts w:ascii="Palatino Linotype" w:eastAsia="Palatino Linotype" w:hAnsi="Palatino Linotype" w:cs="Palatino Linotype"/>
        </w:rPr>
        <w:t>ecia a continuación:</w:t>
      </w:r>
      <w:r>
        <w:rPr>
          <w:rFonts w:ascii="Palatino Linotype" w:eastAsia="Palatino Linotype" w:hAnsi="Palatino Linotype" w:cs="Palatino Linotype"/>
          <w:sz w:val="22"/>
          <w:szCs w:val="22"/>
        </w:rPr>
        <w:t xml:space="preserve">  </w:t>
      </w:r>
    </w:p>
    <w:p w:rsidR="000622D5" w:rsidRDefault="009B50D2">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5610225" cy="1647825"/>
            <wp:effectExtent l="0" t="0" r="0" b="0"/>
            <wp:docPr id="4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5610225" cy="1647825"/>
                    </a:xfrm>
                    <a:prstGeom prst="rect">
                      <a:avLst/>
                    </a:prstGeom>
                    <a:ln/>
                  </pic:spPr>
                </pic:pic>
              </a:graphicData>
            </a:graphic>
          </wp:inline>
        </w:drawing>
      </w:r>
    </w:p>
    <w:p w:rsidR="000622D5" w:rsidRDefault="009B50D2">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i/>
        </w:rPr>
        <w:t xml:space="preserve">“Inconsistencias 00035 IEEM IP 2022.docx”: </w:t>
      </w:r>
      <w:r>
        <w:rPr>
          <w:rFonts w:ascii="Palatino Linotype" w:eastAsia="Palatino Linotype" w:hAnsi="Palatino Linotype" w:cs="Palatino Linotype"/>
        </w:rPr>
        <w:t>Escrito de siete fojas en el que expone sus manifestaciones, en los siguientes términos:</w:t>
      </w:r>
      <w:r>
        <w:rPr>
          <w:rFonts w:ascii="Palatino Linotype" w:eastAsia="Palatino Linotype" w:hAnsi="Palatino Linotype" w:cs="Palatino Linotype"/>
          <w:sz w:val="22"/>
          <w:szCs w:val="22"/>
        </w:rPr>
        <w:t xml:space="preserve">  </w:t>
      </w:r>
    </w:p>
    <w:p w:rsidR="000622D5" w:rsidRDefault="009B50D2">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extent cx="4614806" cy="3392548"/>
            <wp:effectExtent l="0" t="0" r="0" b="0"/>
            <wp:docPr id="4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4614806" cy="3392548"/>
                    </a:xfrm>
                    <a:prstGeom prst="rect">
                      <a:avLst/>
                    </a:prstGeom>
                    <a:ln/>
                  </pic:spPr>
                </pic:pic>
              </a:graphicData>
            </a:graphic>
          </wp:inline>
        </w:drawing>
      </w:r>
    </w:p>
    <w:p w:rsidR="000622D5" w:rsidRDefault="009B50D2">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4671898" cy="2609600"/>
            <wp:effectExtent l="0" t="0" r="0" b="0"/>
            <wp:docPr id="4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4671898" cy="2609600"/>
                    </a:xfrm>
                    <a:prstGeom prst="rect">
                      <a:avLst/>
                    </a:prstGeom>
                    <a:ln/>
                  </pic:spPr>
                </pic:pic>
              </a:graphicData>
            </a:graphic>
          </wp:inline>
        </w:drawing>
      </w:r>
    </w:p>
    <w:p w:rsidR="000622D5" w:rsidRDefault="009B50D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Recurso de Revisión 04345/INFOEM/IP/RR/2022:</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“Inconsistencias 00036 IEEM IP 2022.docx”: </w:t>
      </w:r>
      <w:r>
        <w:rPr>
          <w:rFonts w:ascii="Palatino Linotype" w:eastAsia="Palatino Linotype" w:hAnsi="Palatino Linotype" w:cs="Palatino Linotype"/>
        </w:rPr>
        <w:t xml:space="preserve">Escrito de siete fojas en el que expone sus manifestaciones: </w:t>
      </w:r>
    </w:p>
    <w:p w:rsidR="000622D5" w:rsidRDefault="009B50D2">
      <w:pPr>
        <w:spacing w:before="240" w:after="240" w:line="360"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extent cx="4603861" cy="2657577"/>
            <wp:effectExtent l="0" t="0" r="0" b="0"/>
            <wp:docPr id="41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a:stretch>
                      <a:fillRect/>
                    </a:stretch>
                  </pic:blipFill>
                  <pic:spPr>
                    <a:xfrm>
                      <a:off x="0" y="0"/>
                      <a:ext cx="4603861" cy="2657577"/>
                    </a:xfrm>
                    <a:prstGeom prst="rect">
                      <a:avLst/>
                    </a:prstGeom>
                    <a:ln/>
                  </pic:spPr>
                </pic:pic>
              </a:graphicData>
            </a:graphic>
          </wp:inline>
        </w:drawing>
      </w:r>
    </w:p>
    <w:p w:rsidR="000622D5" w:rsidRDefault="009B50D2">
      <w:pPr>
        <w:spacing w:before="240" w:after="240" w:line="360"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extent cx="5284794" cy="2153397"/>
            <wp:effectExtent l="0" t="0" r="0" b="0"/>
            <wp:docPr id="41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5"/>
                    <a:srcRect/>
                    <a:stretch>
                      <a:fillRect/>
                    </a:stretch>
                  </pic:blipFill>
                  <pic:spPr>
                    <a:xfrm>
                      <a:off x="0" y="0"/>
                      <a:ext cx="5284794" cy="2153397"/>
                    </a:xfrm>
                    <a:prstGeom prst="rect">
                      <a:avLst/>
                    </a:prstGeom>
                    <a:ln/>
                  </pic:spPr>
                </pic:pic>
              </a:graphicData>
            </a:graphic>
          </wp:inline>
        </w:drawing>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“Inconsistencias 00036 IEEM IP 2022.xlsx”: </w:t>
      </w:r>
      <w:r>
        <w:rPr>
          <w:rFonts w:ascii="Palatino Linotype" w:eastAsia="Palatino Linotype" w:hAnsi="Palatino Linotype" w:cs="Palatino Linotype"/>
        </w:rPr>
        <w:t xml:space="preserve">Consiste en una hoja de cálculo de Excel en la que se visualizan los siguientes datos:   </w:t>
      </w:r>
    </w:p>
    <w:p w:rsidR="000622D5" w:rsidRDefault="009B50D2">
      <w:pPr>
        <w:spacing w:before="240" w:after="240" w:line="360" w:lineRule="auto"/>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extent cx="5262999" cy="2210818"/>
            <wp:effectExtent l="0" t="0" r="0" b="0"/>
            <wp:docPr id="4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5262999" cy="2210818"/>
                    </a:xfrm>
                    <a:prstGeom prst="rect">
                      <a:avLst/>
                    </a:prstGeom>
                    <a:ln/>
                  </pic:spPr>
                </pic:pic>
              </a:graphicData>
            </a:graphic>
          </wp:inline>
        </w:drawing>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Ampliaciones del plazo para emitir resolución.</w:t>
      </w:r>
      <w:r>
        <w:rPr>
          <w:rFonts w:ascii="Palatino Linotype" w:eastAsia="Palatino Linotype" w:hAnsi="Palatino Linotype" w:cs="Palatino Linotype"/>
        </w:rPr>
        <w:t xml:space="preserve"> En f</w:t>
      </w:r>
      <w:r>
        <w:rPr>
          <w:rFonts w:ascii="Palatino Linotype" w:eastAsia="Palatino Linotype" w:hAnsi="Palatino Linotype" w:cs="Palatino Linotype"/>
        </w:rPr>
        <w:t xml:space="preserve">echa </w:t>
      </w:r>
      <w:r>
        <w:rPr>
          <w:rFonts w:ascii="Palatino Linotype" w:eastAsia="Palatino Linotype" w:hAnsi="Palatino Linotype" w:cs="Palatino Linotype"/>
          <w:b/>
        </w:rPr>
        <w:t>cuatro de agosto 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w:t>
      </w:r>
      <w:r>
        <w:rPr>
          <w:rFonts w:ascii="Palatino Linotype" w:eastAsia="Palatino Linotype" w:hAnsi="Palatino Linotype" w:cs="Palatino Linotype"/>
        </w:rPr>
        <w:lastRenderedPageBreak/>
        <w:t>el artículo 181, párrafo tercero de la Ley de Transparencia y Acceso</w:t>
      </w:r>
      <w:r>
        <w:rPr>
          <w:rFonts w:ascii="Palatino Linotype" w:eastAsia="Palatino Linotype" w:hAnsi="Palatino Linotype" w:cs="Palatino Linotype"/>
        </w:rPr>
        <w:t xml:space="preserve"> a la Información Pública del Estado de México y Municipios.</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w:t>
      </w:r>
      <w:r>
        <w:rPr>
          <w:rFonts w:ascii="Palatino Linotype" w:eastAsia="Palatino Linotype" w:hAnsi="Palatino Linotype" w:cs="Palatino Linotype"/>
        </w:rPr>
        <w:t xml:space="preserve"> del primer semestre del año dos mil veintidós, que, en comparación con los recibidos el año pasado dentro del mismo periodo, se ha incrementado aproximadamente un 400%, circunstancia atípica que ha rebasado las capacidades técnicas y humanas del personal </w:t>
      </w:r>
      <w:r>
        <w:rPr>
          <w:rFonts w:ascii="Palatino Linotype" w:eastAsia="Palatino Linotype" w:hAnsi="Palatino Linotype" w:cs="Palatino Linotype"/>
        </w:rPr>
        <w:t>encargado de la proyección de las resoluciones a dichos medios de impugnación.</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w:t>
      </w:r>
      <w:r>
        <w:rPr>
          <w:rFonts w:ascii="Palatino Linotype" w:eastAsia="Palatino Linotype" w:hAnsi="Palatino Linotype" w:cs="Palatino Linotype"/>
        </w:rPr>
        <w:t>lidad de asuntos conforme a los parámetros establecidos por diversos órganos jurisdiccionales federales, aplicables también en procedimientos análogos, como el que nos ocupa.</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w:t>
      </w:r>
      <w:r>
        <w:rPr>
          <w:rFonts w:ascii="Palatino Linotype" w:eastAsia="Palatino Linotype" w:hAnsi="Palatino Linotype" w:cs="Palatino Linotype"/>
        </w:rPr>
        <w:t>ricana sobre Derechos Humanos, los recursos deben ser sencillos y resolverse en el menor tiempo posible, tomando en consideración la dilación total del procedimiento; esto es, en un plazo razonable.</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sentido, el legislador fijó los términos procesale</w:t>
      </w:r>
      <w:r>
        <w:rPr>
          <w:rFonts w:ascii="Palatino Linotype" w:eastAsia="Palatino Linotype" w:hAnsi="Palatino Linotype" w:cs="Palatino Linotype"/>
        </w:rPr>
        <w:t>s en las leyes, de manera general, sin que pudiera prever la variada gama de casos que son resueltos por los órganos jurisdiccionales o cuasi jurisdiccionales, tanto por la complejidad de los hechos, como por el número de casos que conocen. </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rsidR="000622D5" w:rsidRDefault="009B50D2">
      <w:pPr>
        <w:numPr>
          <w:ilvl w:val="0"/>
          <w:numId w:val="3"/>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w:t>
      </w:r>
      <w:r>
        <w:rPr>
          <w:rFonts w:ascii="Palatino Linotype" w:eastAsia="Palatino Linotype" w:hAnsi="Palatino Linotype" w:cs="Palatino Linotype"/>
        </w:rPr>
        <w:t>de la prueba, la pluralidad de sujetos procesales, el tiempo transcurrido, las características y contexto del recurso. </w:t>
      </w:r>
    </w:p>
    <w:p w:rsidR="000622D5" w:rsidRDefault="009B50D2">
      <w:pPr>
        <w:numPr>
          <w:ilvl w:val="0"/>
          <w:numId w:val="3"/>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0622D5" w:rsidRDefault="009B50D2">
      <w:pPr>
        <w:numPr>
          <w:ilvl w:val="0"/>
          <w:numId w:val="8"/>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w:t>
      </w:r>
      <w:r>
        <w:rPr>
          <w:rFonts w:ascii="Palatino Linotype" w:eastAsia="Palatino Linotype" w:hAnsi="Palatino Linotype" w:cs="Palatino Linotype"/>
        </w:rPr>
        <w:t xml:space="preserve"> el procedimiento. Así como si la autoridad actuó con la debida diligencia.</w:t>
      </w:r>
    </w:p>
    <w:p w:rsidR="000622D5" w:rsidRDefault="009B50D2">
      <w:p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w:t>
      </w:r>
      <w:r>
        <w:rPr>
          <w:rFonts w:ascii="Palatino Linotype" w:eastAsia="Palatino Linotype" w:hAnsi="Palatino Linotype" w:cs="Palatino Linotype"/>
        </w:rPr>
        <w:t xml:space="preserve"> por alguna o todas las características mencionadas; o bien, cuando el ingreso de asuntos al órgano </w:t>
      </w:r>
      <w:r>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w:t>
      </w:r>
      <w:r>
        <w:rPr>
          <w:rFonts w:ascii="Palatino Linotype" w:eastAsia="Palatino Linotype" w:hAnsi="Palatino Linotype" w:cs="Palatino Linotype"/>
        </w:rPr>
        <w:t>idad en relación con la actuación del funcionario, como ha acontecido en el caso que nos ocupa.</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w:t>
      </w:r>
      <w:r>
        <w:rPr>
          <w:rFonts w:ascii="Palatino Linotype" w:eastAsia="Palatino Linotype" w:hAnsi="Palatino Linotype" w:cs="Palatino Linotype"/>
          <w:i/>
        </w:rPr>
        <w:t>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w:t>
      </w:r>
      <w:r>
        <w:rPr>
          <w:rFonts w:ascii="Palatino Linotype" w:eastAsia="Palatino Linotype" w:hAnsi="Palatino Linotype" w:cs="Palatino Linotype"/>
        </w:rPr>
        <w:t>l registro digital 205635.</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w:t>
      </w:r>
      <w:r>
        <w:rPr>
          <w:rFonts w:ascii="Palatino Linotype" w:eastAsia="Palatino Linotype" w:hAnsi="Palatino Linotype" w:cs="Palatino Linotype"/>
        </w:rPr>
        <w:t>on que cuenta este Instituto para atender la enorme demanda de usuarios que acuden para que se les garantice su Derecho de acceso a la información Pública y Protección de Datos Personales, aunado a la complejidad de los hechos a los que se refieren, así co</w:t>
      </w:r>
      <w:r>
        <w:rPr>
          <w:rFonts w:ascii="Palatino Linotype" w:eastAsia="Palatino Linotype" w:hAnsi="Palatino Linotype" w:cs="Palatino Linotype"/>
        </w:rPr>
        <w:t>mo al volumen del expediente, la extensión de los escritos y pruebas aportadas y desahogadas por las partes; lo que impide la tramitación de los recursos dentro de los términos legales previamente establecidos por la Ley, por tratarse de causas de fuerza m</w:t>
      </w:r>
      <w:r>
        <w:rPr>
          <w:rFonts w:ascii="Palatino Linotype" w:eastAsia="Palatino Linotype" w:hAnsi="Palatino Linotype" w:cs="Palatino Linotype"/>
        </w:rPr>
        <w:t>ayor.</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r>
        <w:rPr>
          <w:rFonts w:ascii="Palatino Linotype" w:eastAsia="Palatino Linotype" w:hAnsi="Palatino Linotype" w:cs="Palatino Linotype"/>
          <w:i/>
        </w:rPr>
        <w:t>“PLAZO RAZONABLE PARA RESOLVER. DIMENSIÓN Y EF</w:t>
      </w:r>
      <w:r>
        <w:rPr>
          <w:rFonts w:ascii="Palatino Linotype" w:eastAsia="Palatino Linotype" w:hAnsi="Palatino Linotype" w:cs="Palatino Linotype"/>
          <w:i/>
        </w:rPr>
        <w:t>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w:t>
      </w:r>
      <w:r>
        <w:rPr>
          <w:rFonts w:ascii="Palatino Linotype" w:eastAsia="Palatino Linotype" w:hAnsi="Palatino Linotype" w:cs="Palatino Linotype"/>
          <w:i/>
        </w:rPr>
        <w:t xml:space="preserve"> INTERNACIONAL DE LOS DERECHOS HUMANOS.”</w:t>
      </w:r>
      <w:r>
        <w:rPr>
          <w:rFonts w:ascii="Palatino Linotype" w:eastAsia="Palatino Linotype" w:hAnsi="Palatino Linotype" w:cs="Palatino Linotype"/>
        </w:rPr>
        <w:t>, visible en el Seminario Judicial de la Federación y su gaceta, con el registro digital 2002350.</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este organismo garante comprometido con la tutela de los derechos humanos confiados, señala que este exceso </w:t>
      </w:r>
      <w:r>
        <w:rPr>
          <w:rFonts w:ascii="Palatino Linotype" w:eastAsia="Palatino Linotype" w:hAnsi="Palatino Linotype" w:cs="Palatino Linotype"/>
        </w:rPr>
        <w:t>del plazo legal para resolver el presente asunto, resulta de carácter excepcional.</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10. Cierres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 los expedientes, </w:t>
      </w:r>
      <w:r>
        <w:rPr>
          <w:rFonts w:ascii="Palatino Linotype" w:eastAsia="Palatino Linotype" w:hAnsi="Palatino Linotype" w:cs="Palatino Linotype"/>
        </w:rPr>
        <w:t xml:space="preserve">el </w:t>
      </w:r>
      <w:r>
        <w:rPr>
          <w:rFonts w:ascii="Palatino Linotype" w:eastAsia="Palatino Linotype" w:hAnsi="Palatino Linotype" w:cs="Palatino Linotype"/>
          <w:b/>
          <w:color w:val="000000"/>
        </w:rPr>
        <w:t xml:space="preserve">ocho de agosto </w:t>
      </w:r>
      <w:r>
        <w:rPr>
          <w:rFonts w:ascii="Palatino Linotype" w:eastAsia="Palatino Linotype" w:hAnsi="Palatino Linotype" w:cs="Palatino Linotype"/>
          <w:b/>
        </w:rPr>
        <w:t>de dos mil veintidós</w:t>
      </w:r>
      <w:r>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razón de q</w:t>
      </w:r>
      <w:r>
        <w:rPr>
          <w:rFonts w:ascii="Palatino Linotype" w:eastAsia="Palatino Linotype" w:hAnsi="Palatino Linotype" w:cs="Palatino Linotype"/>
        </w:rPr>
        <w:t xml:space="preserve">ue fueron debidamente sustanciados los expedientes electrónicos y no existen diligencias pendientes de desahogo, se emite la Resolución que conforme a Derecho proceda, de acuerdo con los siguientes: </w:t>
      </w:r>
    </w:p>
    <w:p w:rsidR="000622D5" w:rsidRDefault="009B50D2">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Pr>
          <w:rFonts w:ascii="Palatino Linotype" w:eastAsia="Palatino Linotype" w:hAnsi="Palatino Linotype" w:cs="Palatino Linotype"/>
          <w:b/>
        </w:rPr>
        <w:t>el Recurrente</w:t>
      </w:r>
      <w:r>
        <w:rPr>
          <w:rFonts w:ascii="Palatino Linotype" w:eastAsia="Palatino Linotype" w:hAnsi="Palatino Linotype" w:cs="Palatino Linotype"/>
        </w:rPr>
        <w:t>, conforme a lo dispu</w:t>
      </w:r>
      <w:r>
        <w:rPr>
          <w:rFonts w:ascii="Palatino Linotype" w:eastAsia="Palatino Linotype" w:hAnsi="Palatino Linotype" w:cs="Palatino Linotype"/>
        </w:rPr>
        <w:t>esto en los artículos 6, apartado A de la Constitución Política de los Estados Unidos Mexicanos; 5 párrafos trigésimo, trigésimo primero y trigésimo segundo fracciones IV y V de la Constitución Política del Estado Libre y Soberano de México; 2, fracción II</w:t>
      </w:r>
      <w:r>
        <w:rPr>
          <w:rFonts w:ascii="Palatino Linotype" w:eastAsia="Palatino Linotype" w:hAnsi="Palatino Linotype" w:cs="Palatino Linotype"/>
        </w:rPr>
        <w:t xml:space="preserve">; 29, 36 fracciones I y II; 176, 178, 181, 185, fracción I, 186 y 188 de la Ley Transparencia y Acceso a la Información Pública del Estado de México y Municipios; 9, fracciones I y XXIV y 11 del Reglamento Interior del Instituto de Transparencia, Acceso a </w:t>
      </w:r>
      <w:r>
        <w:rPr>
          <w:rFonts w:ascii="Palatino Linotype" w:eastAsia="Palatino Linotype" w:hAnsi="Palatino Linotype" w:cs="Palatino Linotype"/>
        </w:rPr>
        <w:t>la Información Pública y Protección de Datos Personales del Estado de México y Municipios.</w:t>
      </w:r>
    </w:p>
    <w:p w:rsidR="000622D5" w:rsidRDefault="009B50D2">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Previo al estudio del fondo del asunto, se procede a analizar los requisitos de oportunidad y proc</w:t>
      </w:r>
      <w:r>
        <w:rPr>
          <w:rFonts w:ascii="Palatino Linotype" w:eastAsia="Palatino Linotype" w:hAnsi="Palatino Linotype" w:cs="Palatino Linotype"/>
        </w:rPr>
        <w:t>edibilidad que deben reunir los recursos de revisión interpuestos, previstos en los artículos 178 y 180 de la Ley de Transparencia y Acceso a la Información Pública del Estado de México y Municipios.</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Los recursos de revisión fueron interpuestos dentro del </w:t>
      </w:r>
      <w:r>
        <w:rPr>
          <w:rFonts w:ascii="Palatino Linotype" w:eastAsia="Palatino Linotype" w:hAnsi="Palatino Linotype" w:cs="Palatino Linotype"/>
        </w:rPr>
        <w:t xml:space="preserve">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las solicitudes de información el día </w:t>
      </w:r>
      <w:r>
        <w:rPr>
          <w:rFonts w:ascii="Palatino Linotype" w:eastAsia="Palatino Linotype" w:hAnsi="Palatino Linotype" w:cs="Palatino Linotype"/>
          <w:b/>
        </w:rPr>
        <w:t>nueve de marzo de do</w:t>
      </w:r>
      <w:r>
        <w:rPr>
          <w:rFonts w:ascii="Palatino Linotype" w:eastAsia="Palatino Linotype" w:hAnsi="Palatino Linotype" w:cs="Palatino Linotype"/>
          <w:b/>
        </w:rPr>
        <w:t>s mil veintidós</w:t>
      </w:r>
      <w:r>
        <w:rPr>
          <w:rFonts w:ascii="Palatino Linotype" w:eastAsia="Palatino Linotype" w:hAnsi="Palatino Linotype" w:cs="Palatino Linotype"/>
        </w:rPr>
        <w:t xml:space="preserve">, por su parte, los recursos de revisión se interpusieron el día </w:t>
      </w:r>
      <w:r>
        <w:rPr>
          <w:rFonts w:ascii="Palatino Linotype" w:eastAsia="Palatino Linotype" w:hAnsi="Palatino Linotype" w:cs="Palatino Linotype"/>
          <w:b/>
        </w:rPr>
        <w:t>veintitrés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noveno día hábil después de conocerse las respuestas</w:t>
      </w:r>
      <w:r>
        <w:rPr>
          <w:rFonts w:ascii="Palatino Linotype" w:eastAsia="Palatino Linotype" w:hAnsi="Palatino Linotype" w:cs="Palatino Linotype"/>
        </w:rPr>
        <w:t xml:space="preserve"> por lo que se encuentran dentro de los márgenes temporales establecido</w:t>
      </w:r>
      <w:r>
        <w:rPr>
          <w:rFonts w:ascii="Palatino Linotype" w:eastAsia="Palatino Linotype" w:hAnsi="Palatino Linotype" w:cs="Palatino Linotype"/>
        </w:rPr>
        <w:t>s por la Ley en la materia.</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w:t>
      </w:r>
      <w:r>
        <w:rPr>
          <w:rFonts w:ascii="Palatino Linotype" w:eastAsia="Palatino Linotype" w:hAnsi="Palatino Linotype" w:cs="Palatino Linotype"/>
        </w:rPr>
        <w:t>ulo 180 de la Ley de Transparencia y Acceso a la Información Pública del Estado de México y Municipios, en atención a que fueron presentados mediante el formato visible en el SAIMEX.</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 los re</w:t>
      </w:r>
      <w:r>
        <w:rPr>
          <w:rFonts w:ascii="Palatino Linotype" w:eastAsia="Palatino Linotype" w:hAnsi="Palatino Linotype" w:cs="Palatino Linotype"/>
        </w:rPr>
        <w:t>cursos, según lo manifestado por el recurrente en sus motivos de inconformidad, de acuerdo al artículo 179, fracción V del ordenamiento legal citado, que a la letra dice: </w:t>
      </w:r>
    </w:p>
    <w:p w:rsidR="000622D5" w:rsidRDefault="009B50D2">
      <w:pPr>
        <w:tabs>
          <w:tab w:val="left" w:pos="7088"/>
        </w:tabs>
        <w:spacing w:before="240" w:after="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0622D5" w:rsidRDefault="009B50D2">
      <w:pPr>
        <w:tabs>
          <w:tab w:val="left" w:pos="7088"/>
        </w:tabs>
        <w:spacing w:before="240" w:after="24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0622D5" w:rsidRDefault="009B50D2">
      <w:pPr>
        <w:tabs>
          <w:tab w:val="left" w:pos="7088"/>
        </w:tabs>
        <w:spacing w:before="240" w:after="24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 La entrega de información incompleta; </w:t>
      </w:r>
    </w:p>
    <w:p w:rsidR="000622D5" w:rsidRDefault="009B50D2">
      <w:pPr>
        <w:tabs>
          <w:tab w:val="left" w:pos="7088"/>
        </w:tabs>
        <w:spacing w:before="240" w:after="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(Énfasis añ</w:t>
      </w:r>
      <w:r>
        <w:rPr>
          <w:rFonts w:ascii="Palatino Linotype" w:eastAsia="Palatino Linotype" w:hAnsi="Palatino Linotype" w:cs="Palatino Linotype"/>
          <w:i/>
          <w:sz w:val="22"/>
          <w:szCs w:val="22"/>
        </w:rPr>
        <w:t>adido)</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t>ver</w:t>
      </w:r>
      <w:r>
        <w:rPr>
          <w:rFonts w:ascii="Palatino Linotype" w:eastAsia="Palatino Linotype" w:hAnsi="Palatino Linotype" w:cs="Palatino Linotype"/>
          <w:b/>
        </w:rPr>
        <w:t xml:space="preserve">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w:t>
      </w:r>
      <w:r>
        <w:rPr>
          <w:rFonts w:ascii="Palatino Linotype" w:eastAsia="Palatino Linotype" w:hAnsi="Palatino Linotype" w:cs="Palatino Linotype"/>
          <w:b/>
        </w:rPr>
        <w:t xml:space="preserve">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w:t>
      </w:r>
      <w:r>
        <w:rPr>
          <w:rFonts w:ascii="Palatino Linotype" w:eastAsia="Palatino Linotype" w:hAnsi="Palatino Linotype" w:cs="Palatino Linotype"/>
        </w:rPr>
        <w:t>nteresa, adoptando dichas disposiciones al Derecho Interno, específicamente a nivel Constitucional, tal y como lo prevén los arábigos 1 párrafos primero, segundo y tercero y 6 apartado A fracciones I, II, III, IV, V, VI y VII que a la letra señalan:</w:t>
      </w:r>
    </w:p>
    <w:p w:rsidR="000622D5" w:rsidRDefault="009B50D2">
      <w:pPr>
        <w:tabs>
          <w:tab w:val="left" w:pos="709"/>
        </w:tabs>
        <w:spacing w:before="240" w:after="240"/>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w:t>
      </w:r>
      <w:r>
        <w:rPr>
          <w:rFonts w:ascii="Palatino Linotype" w:eastAsia="Palatino Linotype" w:hAnsi="Palatino Linotype" w:cs="Palatino Linotype"/>
          <w:b/>
          <w:i/>
          <w:sz w:val="22"/>
          <w:szCs w:val="22"/>
          <w:u w:val="single"/>
        </w:rPr>
        <w:t>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w:t>
      </w:r>
      <w:r>
        <w:rPr>
          <w:rFonts w:ascii="Palatino Linotype" w:eastAsia="Palatino Linotype" w:hAnsi="Palatino Linotype" w:cs="Palatino Linotype"/>
          <w:i/>
          <w:sz w:val="22"/>
          <w:szCs w:val="22"/>
        </w:rPr>
        <w:t>io no podrá restringirse ni suspenderse, salvo en los casos y bajo las condiciones que esta Constitución establece.</w:t>
      </w:r>
    </w:p>
    <w:p w:rsidR="000622D5" w:rsidRDefault="009B50D2">
      <w:pPr>
        <w:tabs>
          <w:tab w:val="left" w:pos="709"/>
        </w:tabs>
        <w:spacing w:before="240" w:after="240"/>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Pr>
          <w:rFonts w:ascii="Palatino Linotype" w:eastAsia="Palatino Linotype" w:hAnsi="Palatino Linotype" w:cs="Palatino Linotype"/>
          <w:b/>
          <w:i/>
          <w:sz w:val="22"/>
          <w:szCs w:val="22"/>
        </w:rPr>
        <w:lastRenderedPageBreak/>
        <w:t>la m</w:t>
      </w:r>
      <w:r>
        <w:rPr>
          <w:rFonts w:ascii="Palatino Linotype" w:eastAsia="Palatino Linotype" w:hAnsi="Palatino Linotype" w:cs="Palatino Linotype"/>
          <w:b/>
          <w:i/>
          <w:sz w:val="22"/>
          <w:szCs w:val="22"/>
        </w:rPr>
        <w:t>ateria favoreciendo en todo tiempo a las personas la protección más amplia.</w:t>
      </w:r>
    </w:p>
    <w:p w:rsidR="000622D5" w:rsidRDefault="009B50D2">
      <w:pPr>
        <w:tabs>
          <w:tab w:val="left" w:pos="709"/>
        </w:tabs>
        <w:spacing w:before="240" w:after="240"/>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w:t>
      </w:r>
      <w:r>
        <w:rPr>
          <w:rFonts w:ascii="Palatino Linotype" w:eastAsia="Palatino Linotype" w:hAnsi="Palatino Linotype" w:cs="Palatino Linotype"/>
          <w:b/>
          <w:i/>
          <w:sz w:val="22"/>
          <w:szCs w:val="22"/>
          <w:u w:val="single"/>
        </w:rPr>
        <w:t xml:space="preserv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0622D5" w:rsidRDefault="009B50D2">
      <w:pPr>
        <w:tabs>
          <w:tab w:val="left" w:pos="709"/>
        </w:tabs>
        <w:spacing w:before="240" w:after="240"/>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622D5" w:rsidRDefault="009B50D2">
      <w:pPr>
        <w:spacing w:before="240" w:after="240"/>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0622D5" w:rsidRDefault="009B50D2">
      <w:pPr>
        <w:spacing w:before="240" w:after="240"/>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w:t>
      </w:r>
      <w:r>
        <w:rPr>
          <w:rFonts w:ascii="Palatino Linotype" w:eastAsia="Palatino Linotype" w:hAnsi="Palatino Linotype" w:cs="Palatino Linotype"/>
          <w:b/>
          <w:i/>
          <w:sz w:val="22"/>
          <w:szCs w:val="22"/>
          <w:u w:val="single"/>
        </w:rPr>
        <w:t>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órganos autónomos, partidos políticos, fideicomisos y fondos públicos, así como de cualquier persona física, moral o sindicato que reciba y ejerza recursos públicos o realic</w:t>
      </w:r>
      <w:r>
        <w:rPr>
          <w:rFonts w:ascii="Palatino Linotype" w:eastAsia="Palatino Linotype" w:hAnsi="Palatino Linotype" w:cs="Palatino Linotype"/>
          <w:i/>
          <w:sz w:val="22"/>
          <w:szCs w:val="22"/>
        </w:rPr>
        <w:t xml:space="preserve">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w:t>
      </w:r>
      <w:r>
        <w:rPr>
          <w:rFonts w:ascii="Palatino Linotype" w:eastAsia="Palatino Linotype" w:hAnsi="Palatino Linotype" w:cs="Palatino Linotype"/>
          <w:i/>
          <w:sz w:val="22"/>
          <w:szCs w:val="22"/>
        </w:rPr>
        <w:t>ecer el principio de máxima publicidad. Los sujetos obligados deberán documentar todo acto que derive del ejercicio de sus facultades, competencias o funciones, la ley determinará los supuestos específicos bajo los cuales procederá la declaración de inexis</w:t>
      </w:r>
      <w:r>
        <w:rPr>
          <w:rFonts w:ascii="Palatino Linotype" w:eastAsia="Palatino Linotype" w:hAnsi="Palatino Linotype" w:cs="Palatino Linotype"/>
          <w:i/>
          <w:sz w:val="22"/>
          <w:szCs w:val="22"/>
        </w:rPr>
        <w:t>tencia de la información.</w:t>
      </w:r>
    </w:p>
    <w:p w:rsidR="000622D5" w:rsidRDefault="009B50D2">
      <w:pPr>
        <w:spacing w:before="240" w:after="24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w:t>
      </w:r>
      <w:r>
        <w:rPr>
          <w:rFonts w:ascii="Palatino Linotype" w:eastAsia="Palatino Linotype" w:hAnsi="Palatino Linotype" w:cs="Palatino Linotype"/>
          <w:i/>
          <w:sz w:val="22"/>
          <w:szCs w:val="22"/>
        </w:rPr>
        <w:t>mientos de revisión expeditos que se sustanciarán ante los organismos autónomos especializados e imparciales que establece esta Constitución.</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w:t>
      </w:r>
      <w:r>
        <w:rPr>
          <w:rFonts w:ascii="Palatino Linotype" w:eastAsia="Palatino Linotype" w:hAnsi="Palatino Linotype" w:cs="Palatino Linotype"/>
          <w:i/>
          <w:sz w:val="22"/>
          <w:szCs w:val="22"/>
        </w:rPr>
        <w:t xml:space="preserve"> través de los medios electrónicos disponibles, la información completa y actualizada sobre el ejercicio de los recursos públicos y los indicadores que permitan rendir cuenta del cumplimiento de sus objetivos y de los resultados obtenidos.</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w:t>
      </w:r>
      <w:r>
        <w:rPr>
          <w:rFonts w:ascii="Palatino Linotype" w:eastAsia="Palatino Linotype" w:hAnsi="Palatino Linotype" w:cs="Palatino Linotype"/>
          <w:i/>
          <w:sz w:val="22"/>
          <w:szCs w:val="22"/>
        </w:rPr>
        <w:t>terminarán la manera en que los sujetos obligados deberán hacer pública la información relativa a los recursos públicos que entreguen a personas físicas o morales.</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w:t>
      </w:r>
      <w:r>
        <w:rPr>
          <w:rFonts w:ascii="Palatino Linotype" w:eastAsia="Palatino Linotype" w:hAnsi="Palatino Linotype" w:cs="Palatino Linotype"/>
          <w:i/>
          <w:sz w:val="22"/>
          <w:szCs w:val="22"/>
        </w:rPr>
        <w:t>á sancionada en los términos que dispongan las leyes. [...]</w:t>
      </w:r>
    </w:p>
    <w:p w:rsidR="000622D5" w:rsidRDefault="000622D5">
      <w:pPr>
        <w:spacing w:before="240" w:after="240"/>
        <w:ind w:right="851"/>
        <w:jc w:val="both"/>
        <w:rPr>
          <w:rFonts w:ascii="Palatino Linotype" w:eastAsia="Palatino Linotype" w:hAnsi="Palatino Linotype" w:cs="Palatino Linotype"/>
          <w:i/>
          <w:sz w:val="22"/>
          <w:szCs w:val="22"/>
        </w:rPr>
      </w:pPr>
    </w:p>
    <w:p w:rsidR="000622D5" w:rsidRDefault="009B50D2">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w:t>
      </w:r>
      <w:r>
        <w:rPr>
          <w:rFonts w:ascii="Palatino Linotype" w:eastAsia="Palatino Linotype" w:hAnsi="Palatino Linotype" w:cs="Palatino Linotype"/>
        </w:rPr>
        <w:t>a sin discriminación alguna, el cual se ejerce ante los Poderes del Estado, entidades, dependencias o cualquiera persona física o moral que reciba y ejerza recursos públicos, siendo pública toda la información que posean con las excepciones enmarcadas, par</w:t>
      </w:r>
      <w:r>
        <w:rPr>
          <w:rFonts w:ascii="Palatino Linotype" w:eastAsia="Palatino Linotype" w:hAnsi="Palatino Linotype" w:cs="Palatino Linotype"/>
        </w:rPr>
        <w:t xml:space="preserve">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w:t>
      </w:r>
      <w:r>
        <w:rPr>
          <w:rFonts w:ascii="Palatino Linotype" w:eastAsia="Palatino Linotype" w:hAnsi="Palatino Linotype" w:cs="Palatino Linotype"/>
        </w:rPr>
        <w:t>quirida, transformada, administrada o en posesión de los Sujetos Obligados, como así también lo señala la Ley de Transparencia y Acceso a la Información Pública del Estado de México y Municipios en su artículo 4, que toda la información generada, obtenida,</w:t>
      </w:r>
      <w:r>
        <w:rPr>
          <w:rFonts w:ascii="Palatino Linotype" w:eastAsia="Palatino Linotype" w:hAnsi="Palatino Linotype" w:cs="Palatino Linotype"/>
        </w:rPr>
        <w:t xml:space="preserve"> adquirida, transformada, administrada o en posesión de los sujetos obligados, es pública y accesible, de manera permanente a cualquier persona, privilegiando el principio de máxima publicidad, como así lo establece dicha determinación, que a continuación </w:t>
      </w:r>
      <w:r>
        <w:rPr>
          <w:rFonts w:ascii="Palatino Linotype" w:eastAsia="Palatino Linotype" w:hAnsi="Palatino Linotype" w:cs="Palatino Linotype"/>
        </w:rPr>
        <w:t>se transcribe para un mejor entendimiento:</w:t>
      </w:r>
    </w:p>
    <w:p w:rsidR="000622D5" w:rsidRDefault="009B50D2">
      <w:pPr>
        <w:spacing w:before="240" w:after="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w:t>
      </w:r>
      <w:r>
        <w:rPr>
          <w:rFonts w:ascii="Palatino Linotype" w:eastAsia="Palatino Linotype" w:hAnsi="Palatino Linotype" w:cs="Palatino Linotype"/>
          <w:i/>
          <w:sz w:val="22"/>
          <w:szCs w:val="22"/>
        </w:rPr>
        <w:t xml:space="preserve">personalidad ni interés jurídico. </w:t>
      </w:r>
    </w:p>
    <w:p w:rsidR="000622D5" w:rsidRDefault="009B50D2">
      <w:pPr>
        <w:spacing w:before="240" w:after="240"/>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w:t>
      </w:r>
      <w:r>
        <w:rPr>
          <w:rFonts w:ascii="Palatino Linotype" w:eastAsia="Palatino Linotype" w:hAnsi="Palatino Linotype" w:cs="Palatino Linotype"/>
          <w:b/>
          <w:i/>
          <w:sz w:val="22"/>
          <w:szCs w:val="22"/>
        </w:rPr>
        <w:t>tablezcan en los tratados internacionales de los que el Estado mexicano sea parte, en la Ley General, la presente Ley y demás disposiciones de la materia, privilegiando el principio de máxima publicidad de la información. Solo podrá ser clasificada excepci</w:t>
      </w:r>
      <w:r>
        <w:rPr>
          <w:rFonts w:ascii="Palatino Linotype" w:eastAsia="Palatino Linotype" w:hAnsi="Palatino Linotype" w:cs="Palatino Linotype"/>
          <w:b/>
          <w:i/>
          <w:sz w:val="22"/>
          <w:szCs w:val="22"/>
        </w:rPr>
        <w:t>onalmente Ley de Transparencia y Acceso a la Información Pública del Estado de México y Municipios 29 como reservada temporalmente por razones de interés público, en los términos de las causas legítimas y estrictamente necesarias previstas por esta Ley.</w:t>
      </w:r>
    </w:p>
    <w:p w:rsidR="000622D5" w:rsidRDefault="009B50D2">
      <w:pPr>
        <w:spacing w:before="240" w:after="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w:t>
      </w:r>
      <w:r>
        <w:rPr>
          <w:rFonts w:ascii="Palatino Linotype" w:eastAsia="Palatino Linotype" w:hAnsi="Palatino Linotype" w:cs="Palatino Linotype"/>
          <w:i/>
          <w:sz w:val="22"/>
          <w:szCs w:val="22"/>
        </w:rPr>
        <w:t>s sujetos obligados deben poner en práctica, políticas y programas de acceso a la información que se apeguen a criterios de publicidad, veracidad, oportunidad, precisión y suficiencia en beneficio de los solicitantes.”(Sic)</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precedente, se desprende q</w:t>
      </w:r>
      <w:r>
        <w:rPr>
          <w:rFonts w:ascii="Palatino Linotype" w:eastAsia="Palatino Linotype" w:hAnsi="Palatino Linotype" w:cs="Palatino Linotype"/>
        </w:rPr>
        <w:t xml:space="preserve">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w:t>
      </w:r>
      <w:r>
        <w:rPr>
          <w:rFonts w:ascii="Palatino Linotype" w:eastAsia="Palatino Linotype" w:hAnsi="Palatino Linotype" w:cs="Palatino Linotype"/>
        </w:rPr>
        <w:t>y de Transparencia y Acceso a la Información Pública del Estado de México y Municipios, el cual a la letra dice:</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Quienes generen, recopilen, administren, manejen, procesen, archiven o conserven información pública serán responsables de la mis</w:t>
      </w:r>
      <w:r>
        <w:rPr>
          <w:rFonts w:ascii="Palatino Linotype" w:eastAsia="Palatino Linotype" w:hAnsi="Palatino Linotype" w:cs="Palatino Linotype"/>
          <w:i/>
          <w:sz w:val="22"/>
          <w:szCs w:val="22"/>
        </w:rPr>
        <w:t xml:space="preserve">ma en los términos de las disposiciones jurídicas aplicables. </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w:t>
      </w:r>
      <w:r>
        <w:rPr>
          <w:rFonts w:ascii="Palatino Linotype" w:eastAsia="Palatino Linotype" w:hAnsi="Palatino Linotype" w:cs="Palatino Linotype"/>
          <w:i/>
          <w:sz w:val="22"/>
          <w:szCs w:val="22"/>
        </w:rPr>
        <w:t>n no comprende el procesamiento de la misma, ni el presentarla conforme al interés del solicitante; no estarán obligados a generarla, resumirla, efectuar cálculos o practicar investigaciones.” (Sic)</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que el derecho de acceso a la información públi</w:t>
      </w:r>
      <w:r>
        <w:rPr>
          <w:rFonts w:ascii="Palatino Linotype" w:eastAsia="Palatino Linotype" w:hAnsi="Palatino Linotype" w:cs="Palatino Linotype"/>
        </w:rPr>
        <w:t>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no tienen el deber de generar, poseer o administrar la información pública con el grado de detalle solicitado; esto e</w:t>
      </w:r>
      <w:r>
        <w:rPr>
          <w:rFonts w:ascii="Palatino Linotype" w:eastAsia="Palatino Linotype" w:hAnsi="Palatino Linotype" w:cs="Palatino Linotype"/>
        </w:rPr>
        <w:t xml:space="preserv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0622D5" w:rsidRDefault="000622D5">
      <w:pPr>
        <w:spacing w:before="240" w:after="240" w:line="360" w:lineRule="auto"/>
        <w:jc w:val="both"/>
        <w:rPr>
          <w:rFonts w:ascii="Palatino Linotype" w:eastAsia="Palatino Linotype" w:hAnsi="Palatino Linotype" w:cs="Palatino Linotype"/>
        </w:rPr>
      </w:pPr>
    </w:p>
    <w:p w:rsidR="000622D5" w:rsidRDefault="000622D5">
      <w:pPr>
        <w:spacing w:before="240" w:after="240" w:line="360" w:lineRule="auto"/>
        <w:jc w:val="both"/>
        <w:rPr>
          <w:rFonts w:ascii="Palatino Linotype" w:eastAsia="Palatino Linotype" w:hAnsi="Palatino Linotype" w:cs="Palatino Linotype"/>
        </w:rPr>
      </w:pPr>
    </w:p>
    <w:p w:rsidR="000622D5" w:rsidRDefault="009B50D2">
      <w:pPr>
        <w:spacing w:before="240" w:after="24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03/17</w:t>
      </w:r>
    </w:p>
    <w:p w:rsidR="000622D5" w:rsidRDefault="009B50D2">
      <w:pPr>
        <w:spacing w:before="240" w:after="24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w:t>
      </w:r>
      <w:r>
        <w:rPr>
          <w:rFonts w:ascii="Palatino Linotype" w:eastAsia="Palatino Linotype" w:hAnsi="Palatino Linotype" w:cs="Palatino Linotype"/>
          <w:i/>
          <w:sz w:val="22"/>
          <w:szCs w:val="22"/>
        </w:rPr>
        <w:t>e se encuentren en sus archivos o que estén obligados a documentar, de acuerdo con sus facultades, competencias o funciones, conforme a Las características físicas de la información o del lugar donde se encuentre. Por lo anterior, los sujetos obligados deb</w:t>
      </w:r>
      <w:r>
        <w:rPr>
          <w:rFonts w:ascii="Palatino Linotype" w:eastAsia="Palatino Linotype" w:hAnsi="Palatino Linotype" w:cs="Palatino Linotype"/>
          <w:i/>
          <w:sz w:val="22"/>
          <w:szCs w:val="22"/>
        </w:rPr>
        <w:t>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eastAsia="Palatino Linotype" w:hAnsi="Palatino Linotype" w:cs="Palatino Linotype"/>
          <w:i/>
          <w:sz w:val="22"/>
          <w:szCs w:val="22"/>
        </w:rPr>
        <w:t>."(Sic)</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w:t>
      </w:r>
      <w:r>
        <w:rPr>
          <w:rFonts w:ascii="Palatino Linotype" w:eastAsia="Palatino Linotype" w:hAnsi="Palatino Linotype" w:cs="Palatino Linotype"/>
          <w:b/>
          <w:i/>
          <w:sz w:val="22"/>
          <w:szCs w:val="22"/>
          <w:u w:val="single"/>
        </w:rPr>
        <w:t>do desde su origen la eventual publicidad</w:t>
      </w:r>
      <w:r>
        <w:rPr>
          <w:rFonts w:ascii="Palatino Linotype" w:eastAsia="Palatino Linotype" w:hAnsi="Palatino Linotype" w:cs="Palatino Linotype"/>
          <w:i/>
          <w:sz w:val="22"/>
          <w:szCs w:val="22"/>
        </w:rPr>
        <w:t xml:space="preserve"> y reutilización de la información que generen.</w:t>
      </w:r>
    </w:p>
    <w:p w:rsidR="000622D5" w:rsidRDefault="000622D5">
      <w:pPr>
        <w:spacing w:before="240" w:after="240"/>
        <w:ind w:left="851" w:right="851"/>
        <w:jc w:val="both"/>
        <w:rPr>
          <w:rFonts w:ascii="Palatino Linotype" w:eastAsia="Palatino Linotype" w:hAnsi="Palatino Linotype" w:cs="Palatino Linotype"/>
          <w:b/>
          <w:i/>
          <w:sz w:val="22"/>
          <w:szCs w:val="22"/>
        </w:rPr>
      </w:pP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 xml:space="preserve">Se presume que la información debe existir si se refiere a las facultades, competencias y funciones que los ordenamientos jurídicos aplicables otorgan a </w:t>
      </w:r>
      <w:r>
        <w:rPr>
          <w:rFonts w:ascii="Palatino Linotype" w:eastAsia="Palatino Linotype" w:hAnsi="Palatino Linotype" w:cs="Palatino Linotype"/>
          <w:b/>
          <w:i/>
          <w:sz w:val="22"/>
          <w:szCs w:val="22"/>
          <w:u w:val="single"/>
        </w:rPr>
        <w:t>los sujetos obligados</w:t>
      </w:r>
      <w:r>
        <w:rPr>
          <w:rFonts w:ascii="Palatino Linotype" w:eastAsia="Palatino Linotype" w:hAnsi="Palatino Linotype" w:cs="Palatino Linotype"/>
          <w:i/>
          <w:sz w:val="22"/>
          <w:szCs w:val="22"/>
        </w:rPr>
        <w:t>.</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Si el sujeto obligado, en el ejercicio de sus atribuciones, </w:t>
      </w:r>
      <w:r>
        <w:rPr>
          <w:rFonts w:ascii="Palatino Linotype" w:eastAsia="Palatino Linotype" w:hAnsi="Palatino Linotype" w:cs="Palatino Linotype"/>
          <w:i/>
          <w:sz w:val="22"/>
          <w:szCs w:val="22"/>
        </w:rPr>
        <w:t>debía generar, poseer o administrar la información, pero ésta no se encuentra, el Comité de transparencia deberá emitir un acuerdo de inexistencia, debidamente fundado y motivado, en el que detalle las razones del por qué no obra en sus archivos.</w:t>
      </w:r>
    </w:p>
    <w:p w:rsidR="000622D5" w:rsidRDefault="009B50D2">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(Énfasis </w:t>
      </w:r>
      <w:r>
        <w:rPr>
          <w:rFonts w:ascii="Palatino Linotype" w:eastAsia="Palatino Linotype" w:hAnsi="Palatino Linotype" w:cs="Palatino Linotype"/>
          <w:i/>
          <w:sz w:val="22"/>
          <w:szCs w:val="22"/>
        </w:rPr>
        <w:t>añadido)</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w:t>
      </w:r>
      <w:r>
        <w:rPr>
          <w:rFonts w:ascii="Palatino Linotype" w:eastAsia="Palatino Linotype" w:hAnsi="Palatino Linotype" w:cs="Palatino Linotype"/>
        </w:rPr>
        <w:t>oporte documental en donde conste la información requerida, debiendo contemplar que no se trate de información reservada o confidencial y cuidar dicha información a través del acuerdo clasificatorio del comité de transparencia y la versión pública que emit</w:t>
      </w:r>
      <w:r>
        <w:rPr>
          <w:rFonts w:ascii="Palatino Linotype" w:eastAsia="Palatino Linotype" w:hAnsi="Palatino Linotype" w:cs="Palatino Linotype"/>
        </w:rPr>
        <w:t>a cada Sujeto Obligado; como así se establece en la Ley de Transparencia y Acceso a la Información Pública del Estado de México y Municipios.</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w:t>
      </w:r>
      <w:r>
        <w:rPr>
          <w:rFonts w:ascii="Palatino Linotype" w:eastAsia="Palatino Linotype" w:hAnsi="Palatino Linotype" w:cs="Palatino Linotype"/>
        </w:rPr>
        <w:t xml:space="preserve">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w:t>
      </w:r>
      <w:r>
        <w:rPr>
          <w:rFonts w:ascii="Palatino Linotype" w:eastAsia="Palatino Linotype" w:hAnsi="Palatino Linotype" w:cs="Palatino Linotype"/>
          <w:b/>
        </w:rPr>
        <w:t>alquier otro registro que 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informático u holográfico, est</w:t>
      </w:r>
      <w:r>
        <w:rPr>
          <w:rFonts w:ascii="Palatino Linotype" w:eastAsia="Palatino Linotype" w:hAnsi="Palatino Linotype" w:cs="Palatino Linotype"/>
        </w:rPr>
        <w:t xml:space="preserve">o es, </w:t>
      </w:r>
      <w:r>
        <w:rPr>
          <w:rFonts w:ascii="Palatino Linotype" w:eastAsia="Palatino Linotype" w:hAnsi="Palatino Linotype" w:cs="Palatino Linotype"/>
          <w:b/>
        </w:rPr>
        <w:t xml:space="preserve">el derecho de acceso a la información pública, se define en cuanto a su alcance y resultado material, el acceso a los archivos, registros y documentos públicos, administrados, generados </w:t>
      </w:r>
      <w:r>
        <w:rPr>
          <w:rFonts w:ascii="Palatino Linotype" w:eastAsia="Palatino Linotype" w:hAnsi="Palatino Linotype" w:cs="Palatino Linotype"/>
          <w:b/>
        </w:rPr>
        <w:lastRenderedPageBreak/>
        <w:t>o en posesión de los órganos u organismos públicos, en virtud de</w:t>
      </w:r>
      <w:r>
        <w:rPr>
          <w:rFonts w:ascii="Palatino Linotype" w:eastAsia="Palatino Linotype" w:hAnsi="Palatino Linotype" w:cs="Palatino Linotype"/>
          <w:b/>
        </w:rPr>
        <w:t>l ejercicio de sus funciones de derecho público, sin importar su fuente, soporte o fecha de elaboración.</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w:t>
      </w:r>
      <w:r>
        <w:rPr>
          <w:rFonts w:ascii="Palatino Linotype" w:eastAsia="Palatino Linotype" w:hAnsi="Palatino Linotype" w:cs="Palatino Linotype"/>
        </w:rPr>
        <w:t>ción pública que obre en sus archivos pudiendo ser de manera electrónica; más aún si la misma se trata de información relativa a obligaciones de transparencia, la cual se relaciona con aquella que se genere de acuerdo con sus facultades, atribuciones y obl</w:t>
      </w:r>
      <w:r>
        <w:rPr>
          <w:rFonts w:ascii="Palatino Linotype" w:eastAsia="Palatino Linotype" w:hAnsi="Palatino Linotype" w:cs="Palatino Linotype"/>
        </w:rPr>
        <w:t>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w:t>
      </w:r>
      <w:r>
        <w:rPr>
          <w:rFonts w:ascii="Palatino Linotype" w:eastAsia="Palatino Linotype" w:hAnsi="Palatino Linotype" w:cs="Palatino Linotype"/>
        </w:rPr>
        <w: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97, fracción I de la Ley de la Materia.</w:t>
      </w:r>
    </w:p>
    <w:p w:rsidR="000622D5" w:rsidRDefault="009B50D2">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reiterar que el particular solicitó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rsidR="000622D5" w:rsidRDefault="009B50D2">
      <w:pPr>
        <w:tabs>
          <w:tab w:val="left" w:pos="709"/>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Recurso de Revisión 04344/INFOEM/IP/RR/2022:</w:t>
      </w:r>
    </w:p>
    <w:p w:rsidR="000622D5" w:rsidRDefault="009B50D2">
      <w:pPr>
        <w:numPr>
          <w:ilvl w:val="0"/>
          <w:numId w:val="1"/>
        </w:numPr>
        <w:pBdr>
          <w:top w:val="nil"/>
          <w:left w:val="nil"/>
          <w:bottom w:val="nil"/>
          <w:right w:val="nil"/>
          <w:between w:val="nil"/>
        </w:pBdr>
        <w:tabs>
          <w:tab w:val="left" w:pos="709"/>
        </w:tabs>
        <w:spacing w:before="240" w:after="240" w:line="360" w:lineRule="auto"/>
        <w:ind w:left="56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Distribución final de votos a partidos políticos y candidaturas independientes por municipio de las elecciones para: -Ayuntamientos (2015, 2018, 2021) -Diputados Locales (2015, 2018, 2021) -Gubernatura (1945, 1951, 1957, 1963, 1969, 1975, 1981, 1987, 1993,</w:t>
      </w:r>
      <w:r>
        <w:rPr>
          <w:rFonts w:ascii="Palatino Linotype" w:eastAsia="Palatino Linotype" w:hAnsi="Palatino Linotype" w:cs="Palatino Linotype"/>
          <w:color w:val="000000"/>
        </w:rPr>
        <w:t xml:space="preserve"> 1999, 2005, 2011, 2017) Adjuntar las actas que comprueben los datos, o en su defecto el medio por el cual se acrediten dichos datos.</w:t>
      </w:r>
    </w:p>
    <w:p w:rsidR="000622D5" w:rsidRDefault="009B50D2">
      <w:pPr>
        <w:tabs>
          <w:tab w:val="left" w:pos="709"/>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Recurso de Revisión 04345/INFOEM/IP/RR/2022:</w:t>
      </w:r>
    </w:p>
    <w:p w:rsidR="000622D5" w:rsidRDefault="009B50D2">
      <w:pPr>
        <w:numPr>
          <w:ilvl w:val="0"/>
          <w:numId w:val="1"/>
        </w:numPr>
        <w:pBdr>
          <w:top w:val="nil"/>
          <w:left w:val="nil"/>
          <w:bottom w:val="nil"/>
          <w:right w:val="nil"/>
          <w:between w:val="nil"/>
        </w:pBdr>
        <w:tabs>
          <w:tab w:val="left" w:pos="709"/>
        </w:tabs>
        <w:spacing w:before="240" w:after="240" w:line="360" w:lineRule="auto"/>
        <w:ind w:left="56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Distribución final de votos a partidos políticos y candidaturas independiente</w:t>
      </w:r>
      <w:r>
        <w:rPr>
          <w:rFonts w:ascii="Palatino Linotype" w:eastAsia="Palatino Linotype" w:hAnsi="Palatino Linotype" w:cs="Palatino Linotype"/>
          <w:color w:val="000000"/>
        </w:rPr>
        <w:t>s por municipio de las elecciones para diputados locales y ayuntamientos de 1946 a 2012. Adjuntar las actas que comprueben los datos, o en su defecto el medio por el cual se acrediten dichos datos.</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t xml:space="preserve"> </w:t>
      </w:r>
      <w:r>
        <w:rPr>
          <w:rFonts w:ascii="Palatino Linotype" w:eastAsia="Palatino Linotype" w:hAnsi="Palatino Linotype" w:cs="Palatino Linotype"/>
        </w:rPr>
        <w:t>entregó una gran cantidad</w:t>
      </w:r>
      <w:r>
        <w:rPr>
          <w:rFonts w:ascii="Palatino Linotype" w:eastAsia="Palatino Linotype" w:hAnsi="Palatino Linotype" w:cs="Palatino Linotype"/>
        </w:rPr>
        <w:t xml:space="preserve"> de información, a través de diversos archivos, sin embargo, una vez practicado el análisis a lo remitido, se procede a resumir el contenido de los soportes documentales de la siguiente manera: </w:t>
      </w:r>
    </w:p>
    <w:p w:rsidR="000622D5" w:rsidRDefault="009B50D2">
      <w:pPr>
        <w:spacing w:before="240" w:after="240"/>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Recurso de Revisión 04344/INFOEM/IP/RR/2022:</w:t>
      </w:r>
    </w:p>
    <w:p w:rsidR="000622D5" w:rsidRDefault="009B50D2">
      <w:pPr>
        <w:numPr>
          <w:ilvl w:val="0"/>
          <w:numId w:val="6"/>
        </w:numPr>
        <w:pBdr>
          <w:top w:val="nil"/>
          <w:left w:val="nil"/>
          <w:bottom w:val="nil"/>
          <w:right w:val="nil"/>
          <w:between w:val="nil"/>
        </w:pBdr>
        <w:spacing w:before="240" w:after="240" w:line="360" w:lineRule="auto"/>
        <w:ind w:left="567" w:right="49" w:hanging="141"/>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Director de O</w:t>
      </w:r>
      <w:r>
        <w:rPr>
          <w:rFonts w:ascii="Palatino Linotype" w:eastAsia="Palatino Linotype" w:hAnsi="Palatino Linotype" w:cs="Palatino Linotype"/>
          <w:color w:val="000000"/>
        </w:rPr>
        <w:t xml:space="preserve">rganización, refiere que </w:t>
      </w:r>
      <w:r>
        <w:rPr>
          <w:rFonts w:ascii="Palatino Linotype" w:eastAsia="Palatino Linotype" w:hAnsi="Palatino Linotype" w:cs="Palatino Linotype"/>
          <w:b/>
          <w:color w:val="000000"/>
          <w:u w:val="single"/>
        </w:rPr>
        <w:t xml:space="preserve">posee información estadística y documentación de resultados electorales a partir del año 1996 año en que fue </w:t>
      </w:r>
      <w:r>
        <w:rPr>
          <w:rFonts w:ascii="Palatino Linotype" w:eastAsia="Palatino Linotype" w:hAnsi="Palatino Linotype" w:cs="Palatino Linotype"/>
          <w:b/>
          <w:color w:val="000000"/>
          <w:u w:val="single"/>
        </w:rPr>
        <w:lastRenderedPageBreak/>
        <w:t>creado dicho Organismo Público Electoral. Por tanto, esta Dirección de Organización no cuenta en sus archivos con informac</w:t>
      </w:r>
      <w:r>
        <w:rPr>
          <w:rFonts w:ascii="Palatino Linotype" w:eastAsia="Palatino Linotype" w:hAnsi="Palatino Linotype" w:cs="Palatino Linotype"/>
          <w:b/>
          <w:color w:val="000000"/>
          <w:u w:val="single"/>
        </w:rPr>
        <w:t>ión estadística ni documental de resultados electorales de los años 1945 a 1995</w:t>
      </w:r>
      <w:r>
        <w:rPr>
          <w:rFonts w:ascii="Palatino Linotype" w:eastAsia="Palatino Linotype" w:hAnsi="Palatino Linotype" w:cs="Palatino Linotype"/>
          <w:b/>
          <w:color w:val="000000"/>
        </w:rPr>
        <w:t>, en virtud de que estos no obran en la información de la Comisión Estatal Electoral que pasó a formar parte del archivo del IEEM.</w:t>
      </w:r>
    </w:p>
    <w:p w:rsidR="000622D5" w:rsidRDefault="009B50D2">
      <w:pPr>
        <w:numPr>
          <w:ilvl w:val="0"/>
          <w:numId w:val="6"/>
        </w:numPr>
        <w:pBdr>
          <w:top w:val="nil"/>
          <w:left w:val="nil"/>
          <w:bottom w:val="nil"/>
          <w:right w:val="nil"/>
          <w:between w:val="nil"/>
        </w:pBdr>
        <w:spacing w:before="240" w:after="240" w:line="360" w:lineRule="auto"/>
        <w:ind w:left="567" w:right="49"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Respecto a las distribuciones finales de los v</w:t>
      </w:r>
      <w:r>
        <w:rPr>
          <w:rFonts w:ascii="Palatino Linotype" w:eastAsia="Palatino Linotype" w:hAnsi="Palatino Linotype" w:cs="Palatino Linotype"/>
          <w:color w:val="000000"/>
        </w:rPr>
        <w:t xml:space="preserve">otos, se advierte que envió lo siguiente: </w:t>
      </w:r>
    </w:p>
    <w:p w:rsidR="000622D5" w:rsidRDefault="009B50D2">
      <w:pPr>
        <w:numPr>
          <w:ilvl w:val="2"/>
          <w:numId w:val="3"/>
        </w:numPr>
        <w:pBdr>
          <w:top w:val="nil"/>
          <w:left w:val="nil"/>
          <w:bottom w:val="nil"/>
          <w:right w:val="nil"/>
          <w:between w:val="nil"/>
        </w:pBdr>
        <w:spacing w:before="240" w:after="240" w:line="360" w:lineRule="auto"/>
        <w:ind w:left="567" w:right="49" w:hanging="141"/>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rPr>
        <w:t xml:space="preserve">Elecciones de Ayuntamientos: </w:t>
      </w:r>
      <w:r>
        <w:rPr>
          <w:rFonts w:ascii="Palatino Linotype" w:eastAsia="Palatino Linotype" w:hAnsi="Palatino Linotype" w:cs="Palatino Linotype"/>
          <w:color w:val="000000"/>
        </w:rPr>
        <w:t xml:space="preserve">Incluye de los años </w:t>
      </w:r>
      <w:r>
        <w:rPr>
          <w:rFonts w:ascii="Palatino Linotype" w:eastAsia="Palatino Linotype" w:hAnsi="Palatino Linotype" w:cs="Palatino Linotype"/>
          <w:b/>
          <w:color w:val="000000"/>
          <w:u w:val="single"/>
        </w:rPr>
        <w:t>2015, elección extraordinaria de Chiautla de 2016, 2018 y 2021, incluyendo la elección extraordinaria de Nextlalpan.</w:t>
      </w:r>
    </w:p>
    <w:p w:rsidR="000622D5" w:rsidRDefault="009B50D2">
      <w:pPr>
        <w:numPr>
          <w:ilvl w:val="2"/>
          <w:numId w:val="3"/>
        </w:numPr>
        <w:pBdr>
          <w:top w:val="nil"/>
          <w:left w:val="nil"/>
          <w:bottom w:val="nil"/>
          <w:right w:val="nil"/>
          <w:between w:val="nil"/>
        </w:pBdr>
        <w:spacing w:before="240" w:after="240" w:line="360" w:lineRule="auto"/>
        <w:ind w:left="567" w:right="49" w:hanging="141"/>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rPr>
        <w:t>Distribución de votos por municipio de las elecciones de diputados locales y gubernaturas:</w:t>
      </w:r>
      <w:r>
        <w:rPr>
          <w:rFonts w:ascii="Palatino Linotype" w:eastAsia="Palatino Linotype" w:hAnsi="Palatino Linotype" w:cs="Palatino Linotype"/>
          <w:color w:val="000000"/>
        </w:rPr>
        <w:t xml:space="preserve"> El Director de Organización refiere que esa Dirección no genera tablas de resultados electorales de elecciones de diputados o de gubernatura, en virtud de que eso se</w:t>
      </w:r>
      <w:r>
        <w:rPr>
          <w:rFonts w:ascii="Palatino Linotype" w:eastAsia="Palatino Linotype" w:hAnsi="Palatino Linotype" w:cs="Palatino Linotype"/>
          <w:color w:val="000000"/>
        </w:rPr>
        <w:t xml:space="preserve"> realiza hasta el cómputo distrital. </w:t>
      </w:r>
      <w:r>
        <w:rPr>
          <w:rFonts w:ascii="Palatino Linotype" w:eastAsia="Palatino Linotype" w:hAnsi="Palatino Linotype" w:cs="Palatino Linotype"/>
          <w:b/>
          <w:color w:val="000000"/>
          <w:u w:val="single"/>
        </w:rPr>
        <w:t>En virtud de lo anterior, remite las tablas de resultados de los años 2015, 2018 y 2021 de elección de diputaciones locales con la distribución final de votos a partidos políticos y candidaturas independientes por distr</w:t>
      </w:r>
      <w:r>
        <w:rPr>
          <w:rFonts w:ascii="Palatino Linotype" w:eastAsia="Palatino Linotype" w:hAnsi="Palatino Linotype" w:cs="Palatino Linotype"/>
          <w:b/>
          <w:color w:val="000000"/>
          <w:u w:val="single"/>
        </w:rPr>
        <w:t xml:space="preserve">ito local, así documentos que acreditan los resultados obtenidos durante las sesiones ininterrumpidas de cómputo distrital.  </w:t>
      </w:r>
    </w:p>
    <w:p w:rsidR="000622D5" w:rsidRDefault="009B50D2">
      <w:pPr>
        <w:pBdr>
          <w:top w:val="nil"/>
          <w:left w:val="nil"/>
          <w:bottom w:val="nil"/>
          <w:right w:val="nil"/>
          <w:between w:val="nil"/>
        </w:pBdr>
        <w:spacing w:before="240" w:after="240" w:line="360" w:lineRule="auto"/>
        <w:ind w:left="567" w:right="49"/>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color w:val="000000"/>
        </w:rPr>
        <w:lastRenderedPageBreak/>
        <w:t xml:space="preserve">Finalmente, por cuanto hace a las elecciones de gubernatura, </w:t>
      </w:r>
      <w:r>
        <w:rPr>
          <w:rFonts w:ascii="Palatino Linotype" w:eastAsia="Palatino Linotype" w:hAnsi="Palatino Linotype" w:cs="Palatino Linotype"/>
          <w:b/>
          <w:color w:val="000000"/>
          <w:u w:val="single"/>
        </w:rPr>
        <w:t xml:space="preserve">remite cuatro archivos correspondientes a las elecciones de los años </w:t>
      </w:r>
      <w:r>
        <w:rPr>
          <w:rFonts w:ascii="Palatino Linotype" w:eastAsia="Palatino Linotype" w:hAnsi="Palatino Linotype" w:cs="Palatino Linotype"/>
          <w:b/>
          <w:color w:val="000000"/>
          <w:u w:val="single"/>
        </w:rPr>
        <w:t xml:space="preserve">1999, 2005, 2011 y 2017, que contienen los resultados obtenidos durante las sesiones ininterrumpidas de cómputo distrital.  </w:t>
      </w:r>
    </w:p>
    <w:p w:rsidR="000622D5" w:rsidRDefault="009B50D2">
      <w:pPr>
        <w:spacing w:before="240" w:after="240" w:line="360" w:lineRule="auto"/>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Recurso de Revisión 04345/INFOEM/IP/RR/2022:</w:t>
      </w:r>
    </w:p>
    <w:p w:rsidR="000622D5" w:rsidRDefault="009B50D2">
      <w:pPr>
        <w:spacing w:before="240" w:after="240" w:line="360" w:lineRule="auto"/>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Respecto a la distribución final de votos a partidos políticos y candidaturas independ</w:t>
      </w:r>
      <w:r>
        <w:rPr>
          <w:rFonts w:ascii="Palatino Linotype" w:eastAsia="Palatino Linotype" w:hAnsi="Palatino Linotype" w:cs="Palatino Linotype"/>
          <w:b/>
        </w:rPr>
        <w:t xml:space="preserve">ientes por municipio de las elecciones para diputados locales y ayuntamientos de 1946 a 2012: </w:t>
      </w:r>
    </w:p>
    <w:p w:rsidR="000622D5" w:rsidRDefault="009B50D2">
      <w:pPr>
        <w:numPr>
          <w:ilvl w:val="0"/>
          <w:numId w:val="6"/>
        </w:numPr>
        <w:pBdr>
          <w:top w:val="nil"/>
          <w:left w:val="nil"/>
          <w:bottom w:val="nil"/>
          <w:right w:val="nil"/>
          <w:between w:val="nil"/>
        </w:pBdr>
        <w:spacing w:before="240" w:after="240" w:line="360" w:lineRule="auto"/>
        <w:ind w:left="567" w:right="49" w:hanging="141"/>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 xml:space="preserve">Director de Organización, mediante el cual refiere que </w:t>
      </w:r>
      <w:r>
        <w:rPr>
          <w:rFonts w:ascii="Palatino Linotype" w:eastAsia="Palatino Linotype" w:hAnsi="Palatino Linotype" w:cs="Palatino Linotype"/>
          <w:b/>
          <w:color w:val="000000"/>
          <w:u w:val="single"/>
        </w:rPr>
        <w:t>posee información estadística y documentación de resultados electorales a partir del año 1996 año en que fue creado dicho Organismo Público Electoral. Por tanto, esta Dirección de Organización no cuenta en sus archivos con información estadística ni docume</w:t>
      </w:r>
      <w:r>
        <w:rPr>
          <w:rFonts w:ascii="Palatino Linotype" w:eastAsia="Palatino Linotype" w:hAnsi="Palatino Linotype" w:cs="Palatino Linotype"/>
          <w:b/>
          <w:color w:val="000000"/>
          <w:u w:val="single"/>
        </w:rPr>
        <w:t>ntal de resultados electorales de los años 1946 a 1995</w:t>
      </w:r>
      <w:r>
        <w:rPr>
          <w:rFonts w:ascii="Palatino Linotype" w:eastAsia="Palatino Linotype" w:hAnsi="Palatino Linotype" w:cs="Palatino Linotype"/>
          <w:b/>
          <w:color w:val="000000"/>
        </w:rPr>
        <w:t>, en virtud de que estos no obran en la información de la Comisión Estatal Electoral que pasó a formar parte del archivo del IEEM.</w:t>
      </w:r>
    </w:p>
    <w:p w:rsidR="000622D5" w:rsidRDefault="009B50D2">
      <w:pPr>
        <w:spacing w:before="240" w:after="240" w:line="360" w:lineRule="auto"/>
        <w:ind w:left="567" w:right="49"/>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Remitió archivos que contienen la </w:t>
      </w:r>
      <w:r>
        <w:rPr>
          <w:rFonts w:ascii="Palatino Linotype" w:eastAsia="Palatino Linotype" w:hAnsi="Palatino Linotype" w:cs="Palatino Linotype"/>
          <w:b/>
          <w:u w:val="single"/>
        </w:rPr>
        <w:t>votación a partidos políticos coalici</w:t>
      </w:r>
      <w:r>
        <w:rPr>
          <w:rFonts w:ascii="Palatino Linotype" w:eastAsia="Palatino Linotype" w:hAnsi="Palatino Linotype" w:cs="Palatino Linotype"/>
          <w:b/>
          <w:u w:val="single"/>
        </w:rPr>
        <w:t>ones o candidaturas comunes de las elecciones de integrantes de los Ayuntamientos del Estado de México de los años 1996 (incluye la elección extraordinaria de Ayapango de 1997), 2000, 2003 (incluye las elecciones extraordinarias de los Municipios de Atenco</w:t>
      </w:r>
      <w:r>
        <w:rPr>
          <w:rFonts w:ascii="Palatino Linotype" w:eastAsia="Palatino Linotype" w:hAnsi="Palatino Linotype" w:cs="Palatino Linotype"/>
          <w:b/>
          <w:u w:val="single"/>
        </w:rPr>
        <w:t xml:space="preserve">, Chalco y Tepotzotlán) 2006 </w:t>
      </w:r>
      <w:r>
        <w:rPr>
          <w:rFonts w:ascii="Palatino Linotype" w:eastAsia="Palatino Linotype" w:hAnsi="Palatino Linotype" w:cs="Palatino Linotype"/>
          <w:b/>
          <w:u w:val="single"/>
        </w:rPr>
        <w:lastRenderedPageBreak/>
        <w:t>(incluye la elección extraordinaria de Ocoyoacac) 2009 y 2012, es de precisar que en este periodo no existía la figura de candidaturas independientes y que de los años 1996 a 2012, las coaliciones participaban con un sólo emble</w:t>
      </w:r>
      <w:r>
        <w:rPr>
          <w:rFonts w:ascii="Palatino Linotype" w:eastAsia="Palatino Linotype" w:hAnsi="Palatino Linotype" w:cs="Palatino Linotype"/>
          <w:b/>
          <w:u w:val="single"/>
        </w:rPr>
        <w:t xml:space="preserve">ma en las boletas electorales, por lo que en los cómputos municipales no se realizaba una distribución a los partidos que la integraban. </w:t>
      </w:r>
    </w:p>
    <w:p w:rsidR="000622D5" w:rsidRDefault="009B50D2">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rPr>
        <w:t>En lo concerniente al Acta o el medio por el cual se acredita la información de los resultados, se remiten los documen</w:t>
      </w:r>
      <w:r>
        <w:rPr>
          <w:rFonts w:ascii="Palatino Linotype" w:eastAsia="Palatino Linotype" w:hAnsi="Palatino Linotype" w:cs="Palatino Linotype"/>
        </w:rPr>
        <w:t>tos que acreditan los resultados obtenidos durante las sesiones ininterrumpidas de cómputo municipal, o en su caso, cómputo supletorio del Consejo General, consistentes en las Actas de Cómputo Municipal levantadas por los Consejos Municipales Electorales i</w:t>
      </w:r>
      <w:r>
        <w:rPr>
          <w:rFonts w:ascii="Palatino Linotype" w:eastAsia="Palatino Linotype" w:hAnsi="Palatino Linotype" w:cs="Palatino Linotype"/>
        </w:rPr>
        <w:t xml:space="preserve">nstalados para cada uno de los procesos electorales ordinarios o de ser el caso, extraordinarios, o bien el Acuerdo del Consejo General cuando haya realizado el cómputo de manera supletoria.  </w:t>
      </w:r>
    </w:p>
    <w:p w:rsidR="000622D5" w:rsidRDefault="009B50D2">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rPr>
        <w:t>Asimismo, en lo que corresponde a los resultados de las eleccio</w:t>
      </w:r>
      <w:r>
        <w:rPr>
          <w:rFonts w:ascii="Palatino Linotype" w:eastAsia="Palatino Linotype" w:hAnsi="Palatino Linotype" w:cs="Palatino Linotype"/>
        </w:rPr>
        <w:t xml:space="preserve">nes de Ayuntamientos del año de 1996, </w:t>
      </w:r>
      <w:r>
        <w:rPr>
          <w:rFonts w:ascii="Palatino Linotype" w:eastAsia="Palatino Linotype" w:hAnsi="Palatino Linotype" w:cs="Palatino Linotype"/>
          <w:b/>
          <w:u w:val="single"/>
        </w:rPr>
        <w:t>en el archivo de 34 Consejos Municipales Electorales de ese proceso electoral no se localizó acta ni documento alguno expedido en su momento por el Consejo Municipal Electoral competente, en el que consten los datos co</w:t>
      </w:r>
      <w:r>
        <w:rPr>
          <w:rFonts w:ascii="Palatino Linotype" w:eastAsia="Palatino Linotype" w:hAnsi="Palatino Linotype" w:cs="Palatino Linotype"/>
          <w:b/>
          <w:u w:val="single"/>
        </w:rPr>
        <w:t>ntenidos en la tabla de resultados electorales de esa elección</w:t>
      </w:r>
      <w:r>
        <w:rPr>
          <w:rFonts w:ascii="Palatino Linotype" w:eastAsia="Palatino Linotype" w:hAnsi="Palatino Linotype" w:cs="Palatino Linotype"/>
          <w:b/>
        </w:rPr>
        <w:t xml:space="preserve">. </w:t>
      </w:r>
      <w:r>
        <w:rPr>
          <w:rFonts w:ascii="Palatino Linotype" w:eastAsia="Palatino Linotype" w:hAnsi="Palatino Linotype" w:cs="Palatino Linotype"/>
        </w:rPr>
        <w:t>Por otra parte,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caso de 11 Consejos Municipales Electorales del Proceso Electoral 1996 y 1 del proceso electoral 2000, si bien se localizó el </w:t>
      </w:r>
      <w:r>
        <w:rPr>
          <w:rFonts w:ascii="Palatino Linotype" w:eastAsia="Palatino Linotype" w:hAnsi="Palatino Linotype" w:cs="Palatino Linotype"/>
        </w:rPr>
        <w:lastRenderedPageBreak/>
        <w:t xml:space="preserve">acta, esta no consigna los resultados del cómputo, remitió el listado de los 46 municipios señalados. </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Una vez conocida la r</w:t>
      </w:r>
      <w:r>
        <w:rPr>
          <w:rFonts w:ascii="Palatino Linotype" w:eastAsia="Palatino Linotype" w:hAnsi="Palatino Linotype" w:cs="Palatino Linotype"/>
        </w:rPr>
        <w:t>espuesta, el particular, se inconformó por considerar que la información ofrecida por el IEEM contiene severas deficiencias.</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No obstante, hace la precisión de su inconformidad en las manifestaciones, por lo que en atención a ello es posible circunscribir s</w:t>
      </w:r>
      <w:r>
        <w:rPr>
          <w:rFonts w:ascii="Palatino Linotype" w:eastAsia="Palatino Linotype" w:hAnsi="Palatino Linotype" w:cs="Palatino Linotype"/>
        </w:rPr>
        <w:t>us puntos de inconformidad a los siguientes:</w:t>
      </w:r>
    </w:p>
    <w:p w:rsidR="000622D5" w:rsidRDefault="009B50D2">
      <w:pPr>
        <w:numPr>
          <w:ilvl w:val="3"/>
          <w:numId w:val="3"/>
        </w:numPr>
        <w:pBdr>
          <w:top w:val="nil"/>
          <w:left w:val="nil"/>
          <w:bottom w:val="nil"/>
          <w:right w:val="nil"/>
          <w:between w:val="nil"/>
        </w:pBdr>
        <w:tabs>
          <w:tab w:val="left" w:pos="1276"/>
        </w:tabs>
        <w:spacing w:before="240" w:after="240" w:line="360" w:lineRule="auto"/>
        <w:ind w:left="567" w:right="49"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existencia de irregularidades y deficiencias en los documentos entregados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al referir que existe discrepancia entre los resultados y las actas entregadas por el Instituto Electoral del </w:t>
      </w:r>
      <w:r>
        <w:rPr>
          <w:rFonts w:ascii="Palatino Linotype" w:eastAsia="Palatino Linotype" w:hAnsi="Palatino Linotype" w:cs="Palatino Linotype"/>
          <w:color w:val="000000"/>
        </w:rPr>
        <w:t>Estado de México.</w:t>
      </w:r>
    </w:p>
    <w:p w:rsidR="000622D5" w:rsidRDefault="009B50D2">
      <w:pPr>
        <w:numPr>
          <w:ilvl w:val="3"/>
          <w:numId w:val="3"/>
        </w:numPr>
        <w:pBdr>
          <w:top w:val="nil"/>
          <w:left w:val="nil"/>
          <w:bottom w:val="nil"/>
          <w:right w:val="nil"/>
          <w:between w:val="nil"/>
        </w:pBdr>
        <w:tabs>
          <w:tab w:val="left" w:pos="709"/>
        </w:tabs>
        <w:spacing w:before="240" w:after="240" w:line="360" w:lineRule="auto"/>
        <w:ind w:left="567" w:right="49"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se entregaron datos relativos a las elecciones para la gubernatura de 1945-1993.</w:t>
      </w:r>
    </w:p>
    <w:p w:rsidR="000622D5" w:rsidRDefault="009B50D2">
      <w:pPr>
        <w:numPr>
          <w:ilvl w:val="3"/>
          <w:numId w:val="3"/>
        </w:numPr>
        <w:pBdr>
          <w:top w:val="nil"/>
          <w:left w:val="nil"/>
          <w:bottom w:val="nil"/>
          <w:right w:val="nil"/>
          <w:between w:val="nil"/>
        </w:pBdr>
        <w:tabs>
          <w:tab w:val="left" w:pos="709"/>
        </w:tabs>
        <w:spacing w:before="240" w:after="240" w:line="360" w:lineRule="auto"/>
        <w:ind w:left="567" w:right="49"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se entregaron datos de la distribución final de votos a partidos políticos y candidaturas independientes por municipio de las elecciones para diputados locales y ayuntamientos 1946-1995. </w:t>
      </w:r>
    </w:p>
    <w:p w:rsidR="000622D5" w:rsidRDefault="009B50D2">
      <w:pPr>
        <w:numPr>
          <w:ilvl w:val="3"/>
          <w:numId w:val="3"/>
        </w:numPr>
        <w:pBdr>
          <w:top w:val="nil"/>
          <w:left w:val="nil"/>
          <w:bottom w:val="nil"/>
          <w:right w:val="nil"/>
          <w:between w:val="nil"/>
        </w:pBdr>
        <w:tabs>
          <w:tab w:val="left" w:pos="709"/>
        </w:tabs>
        <w:spacing w:before="240" w:after="240" w:line="360" w:lineRule="auto"/>
        <w:ind w:left="567" w:right="49"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Faltó la entrega de 34 (treinta y cuatro) actas de los Consejos </w:t>
      </w:r>
      <w:r>
        <w:rPr>
          <w:rFonts w:ascii="Palatino Linotype" w:eastAsia="Palatino Linotype" w:hAnsi="Palatino Linotype" w:cs="Palatino Linotype"/>
          <w:color w:val="000000"/>
        </w:rPr>
        <w:t xml:space="preserve">Municipales Electorales, de la elección de ayuntamientos del año de 1996. </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sus informes justificados, así mismo remitió alcance a ellos, mediante los siguientes archivos electrónicos: </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“INFORME JUSTIFICADO RR 4344 Y 04345-2022 UT.</w:t>
      </w:r>
      <w:r>
        <w:rPr>
          <w:rFonts w:ascii="Palatino Linotype" w:eastAsia="Palatino Linotype" w:hAnsi="Palatino Linotype" w:cs="Palatino Linotype"/>
          <w:b/>
          <w:i/>
        </w:rPr>
        <w:t xml:space="preserve">pdf”: </w:t>
      </w:r>
      <w:r>
        <w:rPr>
          <w:rFonts w:ascii="Palatino Linotype" w:eastAsia="Palatino Linotype" w:hAnsi="Palatino Linotype" w:cs="Palatino Linotype"/>
        </w:rPr>
        <w:t>Archivo de treinta y dos fojas, mediante el cual la Titular de la Unidad de Transparencia, desvirtúa las manifestaciones del Recurrente y ratifica su respuesta, esto es, señalando que no se advierte la afectación al derecho de acceso a la información</w:t>
      </w:r>
      <w:r>
        <w:rPr>
          <w:rFonts w:ascii="Palatino Linotype" w:eastAsia="Palatino Linotype" w:hAnsi="Palatino Linotype" w:cs="Palatino Linotype"/>
        </w:rPr>
        <w:t xml:space="preserve"> pública, pues sus motivos de inconformidad son ambiguos.</w:t>
      </w:r>
    </w:p>
    <w:p w:rsidR="000622D5" w:rsidRDefault="009B50D2">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“ALCANCE A INFORME JUSTIFICADO RR 04344 Y 04345-2022 UT.pdf”: </w:t>
      </w:r>
      <w:r>
        <w:rPr>
          <w:rFonts w:ascii="Palatino Linotype" w:eastAsia="Palatino Linotype" w:hAnsi="Palatino Linotype" w:cs="Palatino Linotype"/>
        </w:rPr>
        <w:t>Documento de cuatro fojas remitido en alcance al informe justificado, mediante el cual, la Titular de la Unidad de Transparencia manifie</w:t>
      </w:r>
      <w:r>
        <w:rPr>
          <w:rFonts w:ascii="Palatino Linotype" w:eastAsia="Palatino Linotype" w:hAnsi="Palatino Linotype" w:cs="Palatino Linotype"/>
        </w:rPr>
        <w:t xml:space="preserve">sta que al existir conexidad de los recursos de revisión citados al rubro con el precedente de número 00421/INFOEM/IP/RR/2022, en el que se ordenó la entrega del Acuerdo de Inexistencia, sea tomado en cuenta para la emisión de la presente resolución. </w:t>
      </w:r>
    </w:p>
    <w:p w:rsidR="000622D5" w:rsidRDefault="009B50D2">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i/>
        </w:rPr>
        <w:t>“Acu</w:t>
      </w:r>
      <w:r>
        <w:rPr>
          <w:rFonts w:ascii="Palatino Linotype" w:eastAsia="Palatino Linotype" w:hAnsi="Palatino Linotype" w:cs="Palatino Linotype"/>
          <w:b/>
          <w:i/>
        </w:rPr>
        <w:t xml:space="preserve">erdo IEEM-UT-24-2022.pdf”: </w:t>
      </w:r>
      <w:r>
        <w:rPr>
          <w:rFonts w:ascii="Palatino Linotype" w:eastAsia="Palatino Linotype" w:hAnsi="Palatino Linotype" w:cs="Palatino Linotype"/>
        </w:rPr>
        <w:t>Acuerdo del Comité de Transparencia por el que se declara la inexistencia de la información</w:t>
      </w:r>
      <w:r>
        <w:t xml:space="preserve"> </w:t>
      </w:r>
      <w:r>
        <w:rPr>
          <w:rFonts w:ascii="Palatino Linotype" w:eastAsia="Palatino Linotype" w:hAnsi="Palatino Linotype" w:cs="Palatino Linotype"/>
        </w:rPr>
        <w:t xml:space="preserve">de las 34 (treinta y cuatro) actas de los Consejos Municipales Electorales, de la elección de ayuntamiento del año de 1996, emitido para </w:t>
      </w:r>
      <w:r>
        <w:rPr>
          <w:rFonts w:ascii="Palatino Linotype" w:eastAsia="Palatino Linotype" w:hAnsi="Palatino Linotype" w:cs="Palatino Linotype"/>
        </w:rPr>
        <w:t>dar cumplimiento a la resolución del Recurso de Revisión 00421/INFOEM/IP/RR/2022.</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Previo a entrar al estudio de la respuesta aportada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es importante delimitar los puntos de inconformidad planteados por el Particular en la interposici</w:t>
      </w:r>
      <w:r>
        <w:rPr>
          <w:rFonts w:ascii="Palatino Linotype" w:eastAsia="Palatino Linotype" w:hAnsi="Palatino Linotype" w:cs="Palatino Linotype"/>
        </w:rPr>
        <w:t>ón de los Recursos de Revisión.</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una parte, se advierte que en su inconformidad señala que: </w:t>
      </w:r>
    </w:p>
    <w:p w:rsidR="000622D5" w:rsidRDefault="009B50D2">
      <w:pPr>
        <w:numPr>
          <w:ilvl w:val="0"/>
          <w:numId w:val="2"/>
        </w:numPr>
        <w:pBdr>
          <w:top w:val="nil"/>
          <w:left w:val="nil"/>
          <w:bottom w:val="nil"/>
          <w:right w:val="nil"/>
          <w:between w:val="nil"/>
        </w:pBdr>
        <w:tabs>
          <w:tab w:val="left" w:pos="709"/>
        </w:tabs>
        <w:spacing w:before="240" w:after="24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La existencia de irregularidades, deficiencias e inconsistencias en los documentos entregados por el Sujeto Obligado, al referir que existe discrepancia entre los resultados y las actas entregadas por el Instituto Electoral del Estado de México, que parece</w:t>
      </w:r>
      <w:r>
        <w:rPr>
          <w:rFonts w:ascii="Palatino Linotype" w:eastAsia="Palatino Linotype" w:hAnsi="Palatino Linotype" w:cs="Palatino Linotype"/>
          <w:b/>
          <w:color w:val="000000"/>
        </w:rPr>
        <w:t xml:space="preserve"> que la información no está actualizada en su totalidad, que existen dudas sobre la confiabilidad y veracidad de los datos que manejan, así como las pruebas que ofrecieron para verificarlos y que en algunos casos es inverificable. </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también </w:t>
      </w:r>
      <w:r>
        <w:rPr>
          <w:rFonts w:ascii="Palatino Linotype" w:eastAsia="Palatino Linotype" w:hAnsi="Palatino Linotype" w:cs="Palatino Linotype"/>
        </w:rPr>
        <w:t xml:space="preserve">refiere que: </w:t>
      </w:r>
    </w:p>
    <w:p w:rsidR="000622D5" w:rsidRDefault="009B50D2">
      <w:pPr>
        <w:numPr>
          <w:ilvl w:val="0"/>
          <w:numId w:val="2"/>
        </w:numPr>
        <w:pBdr>
          <w:top w:val="nil"/>
          <w:left w:val="nil"/>
          <w:bottom w:val="nil"/>
          <w:right w:val="nil"/>
          <w:between w:val="nil"/>
        </w:pBdr>
        <w:tabs>
          <w:tab w:val="left" w:pos="709"/>
        </w:tabs>
        <w:spacing w:before="240" w:after="24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La información es incompleta, que el Sujeto Obligado señala que no cuenta con datos anteriores a 1996, que los datos solicitados relativos a las elecciones para la gubernatura de 1945- 1993 no se entregaron, </w:t>
      </w:r>
      <w:r>
        <w:rPr>
          <w:rFonts w:ascii="Palatino Linotype" w:eastAsia="Palatino Linotype" w:hAnsi="Palatino Linotype" w:cs="Palatino Linotype"/>
          <w:b/>
          <w:color w:val="000000"/>
          <w:u w:val="single"/>
        </w:rPr>
        <w:t>así como la del año de 1946 a 1995</w:t>
      </w:r>
      <w:r>
        <w:rPr>
          <w:rFonts w:ascii="Palatino Linotype" w:eastAsia="Palatino Linotype" w:hAnsi="Palatino Linotype" w:cs="Palatino Linotype"/>
          <w:b/>
          <w:color w:val="000000"/>
          <w:u w:val="single"/>
        </w:rPr>
        <w:t xml:space="preserve"> </w:t>
      </w:r>
      <w:r>
        <w:rPr>
          <w:rFonts w:ascii="Palatino Linotype" w:eastAsia="Palatino Linotype" w:hAnsi="Palatino Linotype" w:cs="Palatino Linotype"/>
          <w:color w:val="000000"/>
        </w:rPr>
        <w:t xml:space="preserve">de las elecciones para diputados locales y ayuntamientos 1946-1995, </w:t>
      </w:r>
      <w:r>
        <w:rPr>
          <w:rFonts w:ascii="Palatino Linotype" w:eastAsia="Palatino Linotype" w:hAnsi="Palatino Linotype" w:cs="Palatino Linotype"/>
          <w:b/>
          <w:color w:val="000000"/>
          <w:u w:val="single"/>
        </w:rPr>
        <w:t>y a su vez faltó la entrega de 34 (treinta y cuatro) actas de los Consejos Municipales Electorales, de la elección de ayuntamientos del año de 1996.</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entonces que resulta necesario señalar que respecto a las manifestaciones o motivos de inconformidad identificados con el numeral 1) relativas a: </w:t>
      </w:r>
    </w:p>
    <w:p w:rsidR="000622D5" w:rsidRDefault="009B50D2">
      <w:pPr>
        <w:numPr>
          <w:ilvl w:val="0"/>
          <w:numId w:val="4"/>
        </w:numPr>
        <w:pBdr>
          <w:top w:val="nil"/>
          <w:left w:val="nil"/>
          <w:bottom w:val="nil"/>
          <w:right w:val="nil"/>
          <w:between w:val="nil"/>
        </w:pBdr>
        <w:tabs>
          <w:tab w:val="left" w:pos="709"/>
        </w:tabs>
        <w:spacing w:before="240" w:after="24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La existencia de irregularidades, deficiencias e inconsistencias en los documentos entregados por el Sujet</w:t>
      </w:r>
      <w:r>
        <w:rPr>
          <w:rFonts w:ascii="Palatino Linotype" w:eastAsia="Palatino Linotype" w:hAnsi="Palatino Linotype" w:cs="Palatino Linotype"/>
          <w:b/>
          <w:color w:val="000000"/>
        </w:rPr>
        <w:t xml:space="preserve">o Obligado, al referir que existe discrepancia entre los resultados y las actas entregadas por el Instituto </w:t>
      </w:r>
      <w:r>
        <w:rPr>
          <w:rFonts w:ascii="Palatino Linotype" w:eastAsia="Palatino Linotype" w:hAnsi="Palatino Linotype" w:cs="Palatino Linotype"/>
          <w:b/>
          <w:color w:val="000000"/>
        </w:rPr>
        <w:lastRenderedPageBreak/>
        <w:t>Electoral del Estado de México, que parece que la información no está actualizada en su totalidad, que existen dudas sobre la confiabilidad y veraci</w:t>
      </w:r>
      <w:r>
        <w:rPr>
          <w:rFonts w:ascii="Palatino Linotype" w:eastAsia="Palatino Linotype" w:hAnsi="Palatino Linotype" w:cs="Palatino Linotype"/>
          <w:b/>
          <w:color w:val="000000"/>
        </w:rPr>
        <w:t xml:space="preserve">dad de los datos que manejan, así como las pruebas que ofrecieron para verificarlos y que en algunos casos es inverificable. </w:t>
      </w:r>
    </w:p>
    <w:p w:rsidR="000622D5" w:rsidRDefault="009B50D2">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de señalar al particular que, al haber un pronunciamiento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específicamente del servi</w:t>
      </w:r>
      <w:r>
        <w:rPr>
          <w:rFonts w:ascii="Palatino Linotype" w:eastAsia="Palatino Linotype" w:hAnsi="Palatino Linotype" w:cs="Palatino Linotype"/>
          <w:color w:val="000000"/>
        </w:rPr>
        <w:t>dor público habilitado competente, respecto del requerimiento de información, este Organismo Garante no está facultado para manifestarse sobre la veracidad de lo proporcionado, pues no existe precepto legal alguno en la Ley de la materia que lo faculte par</w:t>
      </w:r>
      <w:r>
        <w:rPr>
          <w:rFonts w:ascii="Palatino Linotype" w:eastAsia="Palatino Linotype" w:hAnsi="Palatino Linotype" w:cs="Palatino Linotype"/>
          <w:color w:val="000000"/>
        </w:rPr>
        <w:t>a ello, por tanto, el punto en estudio, se tiene por satisfecho.</w:t>
      </w:r>
    </w:p>
    <w:p w:rsidR="000622D5" w:rsidRDefault="009B50D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Lo anterior se sustenta con lo plasmado en el criterio 31-10 emitido por el entonces Instituto Federal de Acceso a la Información y Protección de Datos (IFAI) ahora Instituto Nacional de Transparencia, Acceso a la Información, y Protección de Datos Persona</w:t>
      </w:r>
      <w:r>
        <w:rPr>
          <w:rFonts w:ascii="Palatino Linotype" w:eastAsia="Palatino Linotype" w:hAnsi="Palatino Linotype" w:cs="Palatino Linotype"/>
          <w:color w:val="000000"/>
        </w:rPr>
        <w:t>les (INAI), que lleva por rubro y texto los siguientes: </w:t>
      </w:r>
    </w:p>
    <w:p w:rsidR="000622D5" w:rsidRDefault="009B50D2">
      <w:pPr>
        <w:pBdr>
          <w:top w:val="nil"/>
          <w:left w:val="nil"/>
          <w:bottom w:val="nil"/>
          <w:right w:val="nil"/>
          <w:between w:val="nil"/>
        </w:pBdr>
        <w:spacing w:before="240" w:after="240"/>
        <w:ind w:left="993" w:right="104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w:t>
      </w:r>
      <w:r>
        <w:rPr>
          <w:rFonts w:ascii="Palatino Linotype" w:eastAsia="Palatino Linotype" w:hAnsi="Palatino Linotype" w:cs="Palatino Linotype"/>
          <w:i/>
          <w:color w:val="000000"/>
          <w:sz w:val="22"/>
          <w:szCs w:val="22"/>
        </w:rPr>
        <w:t>ión; resolver sobre la negativa de las solicitudes de acceso a la información; y proteger los datos personales en poder de las dependencias y entidades. Sin embargo, no está facultado para pronunciarse sobre la veracidad de la información proporcionada por</w:t>
      </w:r>
      <w:r>
        <w:rPr>
          <w:rFonts w:ascii="Palatino Linotype" w:eastAsia="Palatino Linotype" w:hAnsi="Palatino Linotype" w:cs="Palatino Linotype"/>
          <w:i/>
          <w:color w:val="000000"/>
          <w:sz w:val="22"/>
          <w:szCs w:val="22"/>
        </w:rPr>
        <w:t xml:space="preserve"> las autoridades en respuesta a las solicitudes de información que les presentan los particulares, </w:t>
      </w:r>
      <w:r>
        <w:rPr>
          <w:rFonts w:ascii="Palatino Linotype" w:eastAsia="Palatino Linotype" w:hAnsi="Palatino Linotype" w:cs="Palatino Linotype"/>
          <w:i/>
          <w:color w:val="000000"/>
          <w:sz w:val="22"/>
          <w:szCs w:val="22"/>
        </w:rPr>
        <w:lastRenderedPageBreak/>
        <w:t>en virtud de que en los artículos 49 y 50 de la Ley Federal de Transparencia y Acceso a la Información Pública Gubernamental no se prevé una causal que permi</w:t>
      </w:r>
      <w:r>
        <w:rPr>
          <w:rFonts w:ascii="Palatino Linotype" w:eastAsia="Palatino Linotype" w:hAnsi="Palatino Linotype" w:cs="Palatino Linotype"/>
          <w:i/>
          <w:color w:val="000000"/>
          <w:sz w:val="22"/>
          <w:szCs w:val="22"/>
        </w:rPr>
        <w:t>ta al Instituto Federal de Acceso a la Información y Protección de Datos conocer, vía recurso revisión, al respecto.”</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lo previo, es evidente que el motivo de inconformidad que se analiza, y que es materia de los presentes medios de impugnación, es imp</w:t>
      </w:r>
      <w:r>
        <w:rPr>
          <w:rFonts w:ascii="Palatino Linotype" w:eastAsia="Palatino Linotype" w:hAnsi="Palatino Linotype" w:cs="Palatino Linotype"/>
        </w:rPr>
        <w:t>rocedente, al garantizarse lo previsto en los artículos 4, 12 y 166 párrafo primero de la Ley de Transparencia en la Entidad, que son de la literalidad siguiente:</w:t>
      </w:r>
    </w:p>
    <w:p w:rsidR="000622D5" w:rsidRDefault="009B50D2">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w:t>
      </w:r>
      <w:r>
        <w:rPr>
          <w:rFonts w:ascii="Palatino Linotype" w:eastAsia="Palatino Linotype" w:hAnsi="Palatino Linotype" w:cs="Palatino Linotype"/>
          <w:i/>
          <w:sz w:val="22"/>
          <w:szCs w:val="22"/>
        </w:rPr>
        <w:t xml:space="preserve">ersonas para buscar, difundir, investigar, recabar, recibir y solicitar información pública, sin necesidad de acreditar personalidad ni interés jurídico. </w:t>
      </w:r>
    </w:p>
    <w:p w:rsidR="000622D5" w:rsidRDefault="009B50D2">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la información generada, obtenida, adquirida, transformada, administrada o en posesión de los su</w:t>
      </w:r>
      <w:r>
        <w:rPr>
          <w:rFonts w:ascii="Palatino Linotype" w:eastAsia="Palatino Linotype" w:hAnsi="Palatino Linotype" w:cs="Palatino Linotype"/>
          <w:i/>
          <w:sz w:val="22"/>
          <w:szCs w:val="22"/>
        </w:rPr>
        <w:t>jetos obligados es pública y accesible de manera permanente a cualquier persona, en los términos y condiciones que se establezcan en los tratados internacionales de los que el Estado mexicano sea parte, en la Ley General, la presente Ley y demás disposicio</w:t>
      </w:r>
      <w:r>
        <w:rPr>
          <w:rFonts w:ascii="Palatino Linotype" w:eastAsia="Palatino Linotype" w:hAnsi="Palatino Linotype" w:cs="Palatino Linotype"/>
          <w:i/>
          <w:sz w:val="22"/>
          <w:szCs w:val="22"/>
        </w:rPr>
        <w:t>nes de la materia, privilegiando el principio de máxima publicidad de la información. Solo podrá ser clasificada excepcionalmente como reservada temporalmente por razones de interés público, en los términos de las causas legítimas y estrictamente necesaria</w:t>
      </w:r>
      <w:r>
        <w:rPr>
          <w:rFonts w:ascii="Palatino Linotype" w:eastAsia="Palatino Linotype" w:hAnsi="Palatino Linotype" w:cs="Palatino Linotype"/>
          <w:i/>
          <w:sz w:val="22"/>
          <w:szCs w:val="22"/>
        </w:rPr>
        <w:t xml:space="preserve">s previstas por esta Ley. </w:t>
      </w:r>
    </w:p>
    <w:p w:rsidR="000622D5" w:rsidRDefault="009B50D2">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0622D5" w:rsidRDefault="009B50D2">
      <w:pPr>
        <w:spacing w:after="12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0622D5" w:rsidRDefault="009B50D2">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0622D5" w:rsidRDefault="009B50D2">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w:t>
      </w:r>
      <w:r>
        <w:rPr>
          <w:rFonts w:ascii="Palatino Linotype" w:eastAsia="Palatino Linotype" w:hAnsi="Palatino Linotype" w:cs="Palatino Linotype"/>
          <w:i/>
          <w:sz w:val="22"/>
          <w:szCs w:val="22"/>
        </w:rPr>
        <w:t xml:space="preserve">ación pública que se les requiera y que obre en sus archivos y en el estado en que ésta se encuentre. La </w:t>
      </w:r>
      <w:r>
        <w:rPr>
          <w:rFonts w:ascii="Palatino Linotype" w:eastAsia="Palatino Linotype" w:hAnsi="Palatino Linotype" w:cs="Palatino Linotype"/>
          <w:i/>
          <w:sz w:val="22"/>
          <w:szCs w:val="22"/>
        </w:rPr>
        <w:lastRenderedPageBreak/>
        <w:t>obligación de proporcionar información no comprende el procesamiento de la misma, ni el presentarla conforme al interés del solicitante; no estarán obl</w:t>
      </w:r>
      <w:r>
        <w:rPr>
          <w:rFonts w:ascii="Palatino Linotype" w:eastAsia="Palatino Linotype" w:hAnsi="Palatino Linotype" w:cs="Palatino Linotype"/>
          <w:i/>
          <w:sz w:val="22"/>
          <w:szCs w:val="22"/>
        </w:rPr>
        <w:t>igados a generarla, resumirla, efectuar cálculos o practicar investigaciones.”</w:t>
      </w:r>
    </w:p>
    <w:p w:rsidR="000622D5" w:rsidRDefault="009B50D2">
      <w:pPr>
        <w:spacing w:after="12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0622D5" w:rsidRDefault="009B50D2">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La obligación de acceso a la información pública </w:t>
      </w:r>
      <w:r>
        <w:rPr>
          <w:rFonts w:ascii="Palatino Linotype" w:eastAsia="Palatino Linotype" w:hAnsi="Palatino Linotype" w:cs="Palatino Linotype"/>
          <w:b/>
          <w:i/>
          <w:sz w:val="22"/>
          <w:szCs w:val="22"/>
        </w:rPr>
        <w:t>se tendrá por cumplida cuando el solicitante tenga a su disposición la información requerida</w:t>
      </w:r>
      <w:r>
        <w:rPr>
          <w:rFonts w:ascii="Palatino Linotype" w:eastAsia="Palatino Linotype" w:hAnsi="Palatino Linotype" w:cs="Palatino Linotype"/>
          <w:i/>
          <w:sz w:val="22"/>
          <w:szCs w:val="22"/>
        </w:rPr>
        <w:t>, o cuando realice</w:t>
      </w:r>
      <w:r>
        <w:rPr>
          <w:rFonts w:ascii="Palatino Linotype" w:eastAsia="Palatino Linotype" w:hAnsi="Palatino Linotype" w:cs="Palatino Linotype"/>
          <w:i/>
          <w:sz w:val="22"/>
          <w:szCs w:val="22"/>
        </w:rPr>
        <w:t xml:space="preserve"> la consulta de la misma en el lugar en el que ésta se localice.”</w:t>
      </w:r>
    </w:p>
    <w:p w:rsidR="000622D5" w:rsidRDefault="000622D5">
      <w:pPr>
        <w:spacing w:line="360" w:lineRule="auto"/>
        <w:jc w:val="both"/>
        <w:rPr>
          <w:rFonts w:ascii="Palatino Linotype" w:eastAsia="Palatino Linotype" w:hAnsi="Palatino Linotype" w:cs="Palatino Linotype"/>
          <w:sz w:val="22"/>
          <w:szCs w:val="22"/>
        </w:rPr>
      </w:pPr>
    </w:p>
    <w:p w:rsidR="000622D5" w:rsidRDefault="009B50D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mediante respuesta la información requerida por el Particular, por lo que es preciso aclarar que cuando los planteamientos que formulen los particulares se puedan colmar con la entrega de documentos que los Sujetos Obligados generen, posean </w:t>
      </w:r>
      <w:r>
        <w:rPr>
          <w:rFonts w:ascii="Palatino Linotype" w:eastAsia="Palatino Linotype" w:hAnsi="Palatino Linotype" w:cs="Palatino Linotype"/>
        </w:rPr>
        <w:t>o administren en ejercicio de sus atribuciones, se está en presencia del derecho fundamental de acceso a la información, previsto en el artículo 6, Apartado A, fracción IV, de la Constitución Política de los Estados Unidos Mexicanos, el cual deberá garanti</w:t>
      </w:r>
      <w:r>
        <w:rPr>
          <w:rFonts w:ascii="Palatino Linotype" w:eastAsia="Palatino Linotype" w:hAnsi="Palatino Linotype" w:cs="Palatino Linotype"/>
        </w:rPr>
        <w:t>zarse ordenando la entrega de tales documentales, siempre y cuando éstas sean de acceso público.</w:t>
      </w:r>
    </w:p>
    <w:p w:rsidR="000622D5" w:rsidRDefault="000622D5">
      <w:pPr>
        <w:spacing w:line="360" w:lineRule="auto"/>
        <w:jc w:val="both"/>
        <w:rPr>
          <w:rFonts w:ascii="Palatino Linotype" w:eastAsia="Palatino Linotype" w:hAnsi="Palatino Linotype" w:cs="Palatino Linotype"/>
        </w:rPr>
      </w:pPr>
    </w:p>
    <w:p w:rsidR="000622D5" w:rsidRDefault="009B50D2">
      <w:pPr>
        <w:tabs>
          <w:tab w:val="left" w:pos="4962"/>
        </w:tabs>
        <w:spacing w:line="360" w:lineRule="auto"/>
        <w:jc w:val="both"/>
        <w:rPr>
          <w:rFonts w:ascii="Palatino Linotype" w:eastAsia="Palatino Linotype" w:hAnsi="Palatino Linotype" w:cs="Palatino Linotype"/>
        </w:rPr>
      </w:pPr>
      <w:bookmarkStart w:id="3" w:name="_heading=h.2et92p0" w:colFirst="0" w:colLast="0"/>
      <w:bookmarkEnd w:id="3"/>
      <w:r>
        <w:rPr>
          <w:rFonts w:ascii="Palatino Linotype" w:eastAsia="Palatino Linotype" w:hAnsi="Palatino Linotype" w:cs="Palatino Linotype"/>
        </w:rPr>
        <w:t>De esta manera, el derecho de acceso a la información pública se satisface en aquellos casos en que se entregue el soporte documental en el que conste la info</w:t>
      </w:r>
      <w:r>
        <w:rPr>
          <w:rFonts w:ascii="Palatino Linotype" w:eastAsia="Palatino Linotype" w:hAnsi="Palatino Linotype" w:cs="Palatino Linotype"/>
        </w:rPr>
        <w:t xml:space="preserve">rmación solicitada, sin necesidad de elaborar documentos </w:t>
      </w:r>
      <w:r>
        <w:rPr>
          <w:rFonts w:ascii="Palatino Linotype" w:eastAsia="Palatino Linotype" w:hAnsi="Palatino Linotype" w:cs="Palatino Linotype"/>
          <w:i/>
        </w:rPr>
        <w:t>ad hoc</w:t>
      </w:r>
      <w:r>
        <w:rPr>
          <w:rFonts w:ascii="Palatino Linotype" w:eastAsia="Palatino Linotype" w:hAnsi="Palatino Linotype" w:cs="Palatino Linotype"/>
        </w:rPr>
        <w:t>; lo cual, toma sustento en el artículo 160 de la Ley de Transparencia y Acceso a la Información Pública del Estado de México y Municipios, mismo que refiere que los sujetos obligados deberán e</w:t>
      </w:r>
      <w:r>
        <w:rPr>
          <w:rFonts w:ascii="Palatino Linotype" w:eastAsia="Palatino Linotype" w:hAnsi="Palatino Linotype" w:cs="Palatino Linotype"/>
        </w:rPr>
        <w:t xml:space="preserve">ntregar la información que obre en sus archivos. Además, resulta aplicable el </w:t>
      </w:r>
      <w:r>
        <w:rPr>
          <w:rFonts w:ascii="Palatino Linotype" w:eastAsia="Palatino Linotype" w:hAnsi="Palatino Linotype" w:cs="Palatino Linotype"/>
        </w:rPr>
        <w:lastRenderedPageBreak/>
        <w:t>Criterio 03/17 del Instituto Nacional de Transparencia, Acceso a la Información y Protección de Datos Personales que a continuación se cita:</w:t>
      </w:r>
    </w:p>
    <w:p w:rsidR="000622D5" w:rsidRDefault="009B50D2">
      <w:pPr>
        <w:spacing w:before="73"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w:t>
      </w:r>
      <w:r>
        <w:rPr>
          <w:rFonts w:ascii="Palatino Linotype" w:eastAsia="Palatino Linotype" w:hAnsi="Palatino Linotype" w:cs="Palatino Linotype"/>
          <w:b/>
          <w:i/>
          <w:sz w:val="22"/>
          <w:szCs w:val="22"/>
        </w:rPr>
        <w:t>No existe obligación de elaborar doc</w:t>
      </w:r>
      <w:r>
        <w:rPr>
          <w:rFonts w:ascii="Palatino Linotype" w:eastAsia="Palatino Linotype" w:hAnsi="Palatino Linotype" w:cs="Palatino Linotype"/>
          <w:b/>
          <w:i/>
          <w:sz w:val="22"/>
          <w:szCs w:val="22"/>
        </w:rPr>
        <w:t xml:space="preserve">umentos ad hoc para atender las solicitudes de acceso a la información. </w:t>
      </w: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w:t>
      </w:r>
      <w:r>
        <w:rPr>
          <w:rFonts w:ascii="Palatino Linotype" w:eastAsia="Palatino Linotype" w:hAnsi="Palatino Linotype" w:cs="Palatino Linotype"/>
          <w:i/>
          <w:sz w:val="22"/>
          <w:szCs w:val="22"/>
        </w:rPr>
        <w:t xml:space="preserve">lan que los sujetos obligados deberán otorgar acceso a los documentos que se encuentren en sus archivos o que estén obligados a documentar, de acuerdo con sus facultades, competencias o funciones, conforme a las características físicas de la información o </w:t>
      </w:r>
      <w:r>
        <w:rPr>
          <w:rFonts w:ascii="Palatino Linotype" w:eastAsia="Palatino Linotype" w:hAnsi="Palatino Linotype" w:cs="Palatino Linotype"/>
          <w:i/>
          <w:sz w:val="22"/>
          <w:szCs w:val="22"/>
        </w:rPr>
        <w:t>del lugar donde se encuentre. Por lo anterior, los sujetos obligados deben garantizar el derecho de acceso a la información del particular, proporcionando la información con la que cuentan en el formato en que la misma obre en sus archivos; sin necesidad d</w:t>
      </w:r>
      <w:r>
        <w:rPr>
          <w:rFonts w:ascii="Palatino Linotype" w:eastAsia="Palatino Linotype" w:hAnsi="Palatino Linotype" w:cs="Palatino Linotype"/>
          <w:i/>
          <w:sz w:val="22"/>
          <w:szCs w:val="22"/>
        </w:rPr>
        <w:t>e elaborar documentos ad hoc para atender las solicitudes de información.”</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conviene mencionar al particular que los documentos proporcionados por el Sujeto Obligado </w:t>
      </w:r>
      <w:r>
        <w:rPr>
          <w:rFonts w:ascii="Palatino Linotype" w:eastAsia="Palatino Linotype" w:hAnsi="Palatino Linotype" w:cs="Palatino Linotype"/>
          <w:color w:val="000000"/>
        </w:rPr>
        <w:t>no pueden ser actualizados, ni sustituidos, a través del ejercicio de</w:t>
      </w:r>
      <w:r>
        <w:rPr>
          <w:rFonts w:ascii="Palatino Linotype" w:eastAsia="Palatino Linotype" w:hAnsi="Palatino Linotype" w:cs="Palatino Linotype"/>
          <w:color w:val="000000"/>
        </w:rPr>
        <w:t xml:space="preserve">l derecho de acceso a la información, puesto que son documentos públicos definitivos dentro de los cuales van inmersos actos jurídicos en ejercicio de sus funciones, por lo que, dichos motivos de inconformidad devienen infundados. </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No obstante, quedan a sa</w:t>
      </w:r>
      <w:r>
        <w:rPr>
          <w:rFonts w:ascii="Palatino Linotype" w:eastAsia="Palatino Linotype" w:hAnsi="Palatino Linotype" w:cs="Palatino Linotype"/>
        </w:rPr>
        <w:t xml:space="preserve">lvo los derechos del particular  para ejercer las acciones que considere pertinente ante la autoridad que estime pertinente, como lo podría ser la autoridad electoral. </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lo que refiere al motivo de inconformidad relativo a: </w:t>
      </w:r>
    </w:p>
    <w:p w:rsidR="000622D5" w:rsidRDefault="009B50D2">
      <w:pPr>
        <w:numPr>
          <w:ilvl w:val="0"/>
          <w:numId w:val="7"/>
        </w:numPr>
        <w:pBdr>
          <w:top w:val="nil"/>
          <w:left w:val="nil"/>
          <w:bottom w:val="nil"/>
          <w:right w:val="nil"/>
          <w:between w:val="nil"/>
        </w:pBdr>
        <w:tabs>
          <w:tab w:val="left" w:pos="709"/>
        </w:tabs>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 información incompleta, es dable fijar este motivo de inconformidad en tres sentidos:</w:t>
      </w:r>
    </w:p>
    <w:p w:rsidR="000622D5" w:rsidRDefault="009B50D2">
      <w:pPr>
        <w:tabs>
          <w:tab w:val="left" w:pos="709"/>
        </w:tabs>
        <w:spacing w:before="240" w:after="240" w:line="360" w:lineRule="auto"/>
        <w:ind w:left="360"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 04344/INFOEM/IP/RR/2022:</w:t>
      </w:r>
    </w:p>
    <w:p w:rsidR="000622D5" w:rsidRDefault="009B50D2">
      <w:pPr>
        <w:numPr>
          <w:ilvl w:val="0"/>
          <w:numId w:val="1"/>
        </w:numPr>
        <w:pBdr>
          <w:top w:val="nil"/>
          <w:left w:val="nil"/>
          <w:bottom w:val="nil"/>
          <w:right w:val="nil"/>
          <w:between w:val="nil"/>
        </w:pBdr>
        <w:tabs>
          <w:tab w:val="left" w:pos="709"/>
        </w:tabs>
        <w:spacing w:before="240" w:after="240" w:line="360" w:lineRule="auto"/>
        <w:ind w:left="567" w:right="49"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falta de entrega de información correspondiente de la distribución final de votos a partidos políticos y candidaturas independientes por municipio de las elecciones para diputados locales y ayuntamientos al periodo de 1946 a 1995.  </w:t>
      </w:r>
    </w:p>
    <w:p w:rsidR="000622D5" w:rsidRDefault="009B50D2">
      <w:pPr>
        <w:pBdr>
          <w:top w:val="nil"/>
          <w:left w:val="nil"/>
          <w:bottom w:val="nil"/>
          <w:right w:val="nil"/>
          <w:between w:val="nil"/>
        </w:pBdr>
        <w:tabs>
          <w:tab w:val="left" w:pos="709"/>
        </w:tabs>
        <w:spacing w:before="240" w:after="240" w:line="360" w:lineRule="auto"/>
        <w:ind w:left="567"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Recurso de Revisión </w:t>
      </w:r>
      <w:r>
        <w:rPr>
          <w:rFonts w:ascii="Palatino Linotype" w:eastAsia="Palatino Linotype" w:hAnsi="Palatino Linotype" w:cs="Palatino Linotype"/>
          <w:b/>
          <w:color w:val="000000"/>
        </w:rPr>
        <w:t>04345/INFOEM/IP/RR/2022:</w:t>
      </w:r>
    </w:p>
    <w:p w:rsidR="000622D5" w:rsidRDefault="009B50D2">
      <w:pPr>
        <w:numPr>
          <w:ilvl w:val="0"/>
          <w:numId w:val="1"/>
        </w:numPr>
        <w:pBdr>
          <w:top w:val="nil"/>
          <w:left w:val="nil"/>
          <w:bottom w:val="nil"/>
          <w:right w:val="nil"/>
          <w:between w:val="nil"/>
        </w:pBdr>
        <w:tabs>
          <w:tab w:val="left" w:pos="709"/>
        </w:tabs>
        <w:spacing w:before="240" w:after="240" w:line="360" w:lineRule="auto"/>
        <w:ind w:left="567" w:right="49"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falta de entrega de datos relativos a las elecciones para la gubernatura de 1945-1993. </w:t>
      </w:r>
    </w:p>
    <w:p w:rsidR="000622D5" w:rsidRDefault="009B50D2">
      <w:pPr>
        <w:numPr>
          <w:ilvl w:val="0"/>
          <w:numId w:val="1"/>
        </w:numPr>
        <w:pBdr>
          <w:top w:val="nil"/>
          <w:left w:val="nil"/>
          <w:bottom w:val="nil"/>
          <w:right w:val="nil"/>
          <w:between w:val="nil"/>
        </w:pBdr>
        <w:tabs>
          <w:tab w:val="left" w:pos="709"/>
        </w:tabs>
        <w:spacing w:before="240" w:after="240" w:line="360" w:lineRule="auto"/>
        <w:ind w:left="567" w:right="49"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falta de entrega de las 34 actas de los Consejos Municipales Electorales del año 1996. </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respecto a la inconformidad vertida e</w:t>
      </w:r>
      <w:r>
        <w:rPr>
          <w:rFonts w:ascii="Palatino Linotype" w:eastAsia="Palatino Linotype" w:hAnsi="Palatino Linotype" w:cs="Palatino Linotype"/>
        </w:rPr>
        <w:t xml:space="preserve">n el recurso de revisión </w:t>
      </w:r>
      <w:r>
        <w:rPr>
          <w:rFonts w:ascii="Palatino Linotype" w:eastAsia="Palatino Linotype" w:hAnsi="Palatino Linotype" w:cs="Palatino Linotype"/>
          <w:b/>
        </w:rPr>
        <w:t>04344/INFOEM/IP/RR/2022</w:t>
      </w:r>
      <w:r>
        <w:rPr>
          <w:rFonts w:ascii="Palatino Linotype" w:eastAsia="Palatino Linotype" w:hAnsi="Palatino Linotype" w:cs="Palatino Linotype"/>
        </w:rPr>
        <w:t>, concerniente a l</w:t>
      </w:r>
      <w:r>
        <w:rPr>
          <w:rFonts w:ascii="Palatino Linotype" w:eastAsia="Palatino Linotype" w:hAnsi="Palatino Linotype" w:cs="Palatino Linotype"/>
          <w:color w:val="000000"/>
        </w:rPr>
        <w:t xml:space="preserve">a falta de entrega de información correspondiente de la distribución final de votos a partidos políticos y candidaturas independientes por municipio de las elecciones para diputados locales </w:t>
      </w:r>
      <w:r>
        <w:rPr>
          <w:rFonts w:ascii="Palatino Linotype" w:eastAsia="Palatino Linotype" w:hAnsi="Palatino Linotype" w:cs="Palatino Linotype"/>
          <w:color w:val="000000"/>
        </w:rPr>
        <w:t>y ayuntamientos al periodo de 1946 a 1995</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w:t>
      </w:r>
      <w:r>
        <w:rPr>
          <w:rFonts w:ascii="Palatino Linotype" w:eastAsia="Palatino Linotype" w:hAnsi="Palatino Linotype" w:cs="Palatino Linotype"/>
          <w:color w:val="000000"/>
        </w:rPr>
        <w:t xml:space="preserve">con diversos archivos, mismos que ya se detallaron anteriormente, </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a través de su Dirección de Organización, la cual es competente de conocer de la información </w:t>
      </w:r>
      <w:r>
        <w:rPr>
          <w:rFonts w:ascii="Palatino Linotype" w:eastAsia="Palatino Linotype" w:hAnsi="Palatino Linotype" w:cs="Palatino Linotype"/>
        </w:rPr>
        <w:lastRenderedPageBreak/>
        <w:t>requerida, ello encuent</w:t>
      </w:r>
      <w:r>
        <w:rPr>
          <w:rFonts w:ascii="Palatino Linotype" w:eastAsia="Palatino Linotype" w:hAnsi="Palatino Linotype" w:cs="Palatino Linotype"/>
        </w:rPr>
        <w:t>ra sustento en el Manual General de Organización del Instituto Electoral del Estado de México, el cual contempla dentro de las atribuciones de la Dirección de Organización, las siguientes:</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14.- Dirección de Organización</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Objetivo:</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Planear, organizar, dirigir y coordinar las actividades inherentes a la preparación, organización y desarrollo de los procesos electorales en coordinación con el INE; aplicando los procedimientos para el diseño, impresión, producción, resguardo y distribuc</w:t>
      </w:r>
      <w:r>
        <w:rPr>
          <w:rFonts w:ascii="Palatino Linotype" w:eastAsia="Palatino Linotype" w:hAnsi="Palatino Linotype" w:cs="Palatino Linotype"/>
          <w:i/>
          <w:sz w:val="22"/>
          <w:szCs w:val="22"/>
        </w:rPr>
        <w:t xml:space="preserve">ión de la documentación y material electorales; auxiliando en la integración, instalación y funcionamiento de los órganos desconcentrados, así como en </w:t>
      </w:r>
      <w:r>
        <w:rPr>
          <w:rFonts w:ascii="Palatino Linotype" w:eastAsia="Palatino Linotype" w:hAnsi="Palatino Linotype" w:cs="Palatino Linotype"/>
          <w:b/>
          <w:i/>
          <w:sz w:val="22"/>
          <w:szCs w:val="22"/>
        </w:rPr>
        <w:t>la recopilación, sistematización, análisis y resguardo de la información y estadística electoral</w:t>
      </w:r>
      <w:r>
        <w:rPr>
          <w:rFonts w:ascii="Palatino Linotype" w:eastAsia="Palatino Linotype" w:hAnsi="Palatino Linotype" w:cs="Palatino Linotype"/>
          <w:i/>
          <w:sz w:val="22"/>
          <w:szCs w:val="22"/>
        </w:rPr>
        <w:t>, conform</w:t>
      </w:r>
      <w:r>
        <w:rPr>
          <w:rFonts w:ascii="Palatino Linotype" w:eastAsia="Palatino Linotype" w:hAnsi="Palatino Linotype" w:cs="Palatino Linotype"/>
          <w:i/>
          <w:sz w:val="22"/>
          <w:szCs w:val="22"/>
        </w:rPr>
        <w:t>e a las actividades encomendadas por el Consejo General; y atender lo relativo a la recepción y trámite de solicitudes de Observadores Electorales en los términos que determine el INE.</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Planear y dirigir la adecuada instrumentación del sistema de enlace y comunicación con los órganos desconcentrados.</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Coordinar el desarrollo del procesamiento de la información y documentación de los órganos desconcentrados durante los procesos electora</w:t>
      </w:r>
      <w:r>
        <w:rPr>
          <w:rFonts w:ascii="Palatino Linotype" w:eastAsia="Palatino Linotype" w:hAnsi="Palatino Linotype" w:cs="Palatino Linotype"/>
          <w:i/>
          <w:sz w:val="22"/>
          <w:szCs w:val="22"/>
        </w:rPr>
        <w:t>les, así como el seguimiento de los procedimientos y programas operativos en los mismos.</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Planear e instrumentar los mecanismos necesarios para recabar de los órganos desconcentrados las actas de sus sesiones y demás documentación generada durante los pro</w:t>
      </w:r>
      <w:r>
        <w:rPr>
          <w:rFonts w:ascii="Palatino Linotype" w:eastAsia="Palatino Linotype" w:hAnsi="Palatino Linotype" w:cs="Palatino Linotype"/>
          <w:i/>
          <w:sz w:val="22"/>
          <w:szCs w:val="22"/>
        </w:rPr>
        <w:t>cesos electorales.</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Supervisar la aplicación de la normatividad relacionada con la organización, integración, manejo y transferencia de la documentación de los órganos desconcentrados al Archivo General del Instituto; así como, en su caso, establecer cr</w:t>
      </w:r>
      <w:r>
        <w:rPr>
          <w:rFonts w:ascii="Palatino Linotype" w:eastAsia="Palatino Linotype" w:hAnsi="Palatino Linotype" w:cs="Palatino Linotype"/>
          <w:i/>
          <w:sz w:val="22"/>
          <w:szCs w:val="22"/>
        </w:rPr>
        <w:t>iterios o recomendaciones generales al respecto.</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Apoyar a la Secretaría Ejecutiva en la integración de los expedientes de cómputo distrital y municipal a fin de que el Consejo Electoral efectúe los cómputos que, conforme al Código Electoral del Estado </w:t>
      </w:r>
      <w:r>
        <w:rPr>
          <w:rFonts w:ascii="Palatino Linotype" w:eastAsia="Palatino Linotype" w:hAnsi="Palatino Linotype" w:cs="Palatino Linotype"/>
          <w:i/>
          <w:sz w:val="22"/>
          <w:szCs w:val="22"/>
        </w:rPr>
        <w:t>de México, debe realizar.</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Planear y coordinar los programas relativos a la recuperación de la documentación y los materiales electorales utilizados en la Jornada Electoral.</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Planear y coordinar los trabajos de elaboración de las estadísticas de las </w:t>
      </w:r>
      <w:r>
        <w:rPr>
          <w:rFonts w:ascii="Palatino Linotype" w:eastAsia="Palatino Linotype" w:hAnsi="Palatino Linotype" w:cs="Palatino Linotype"/>
          <w:i/>
          <w:sz w:val="22"/>
          <w:szCs w:val="22"/>
        </w:rPr>
        <w:t>elecciones con base en los resultados de los procesos electorales de Gobernador, Diputados y Ayuntamientos y de los mecanismos de participación ciudadana.</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Planear y dirigir la instrumentación y operación de los sistemas de informática para el manejo y ut</w:t>
      </w:r>
      <w:r>
        <w:rPr>
          <w:rFonts w:ascii="Palatino Linotype" w:eastAsia="Palatino Linotype" w:hAnsi="Palatino Linotype" w:cs="Palatino Linotype"/>
          <w:i/>
          <w:sz w:val="22"/>
          <w:szCs w:val="22"/>
        </w:rPr>
        <w:t>ilización de la estadística electoral.</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Atender los requerimientos de documentación electoral y solicitudes de información que realicen los Órganos Centrales del Instituto, Judiciales y Jurisdiccionales.</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Preparar y remitir la información y documenta</w:t>
      </w:r>
      <w:r>
        <w:rPr>
          <w:rFonts w:ascii="Palatino Linotype" w:eastAsia="Palatino Linotype" w:hAnsi="Palatino Linotype" w:cs="Palatino Linotype"/>
          <w:i/>
          <w:sz w:val="22"/>
          <w:szCs w:val="22"/>
        </w:rPr>
        <w:t>ción requeridas por la Unidad de Transparencia para dar contestación a las solicitudes en materia de acceso a la información pública, así como en materia de acceso, rectificación, cancelación y oposición de datos personales.</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Organizar y conservar la docu</w:t>
      </w:r>
      <w:r>
        <w:rPr>
          <w:rFonts w:ascii="Palatino Linotype" w:eastAsia="Palatino Linotype" w:hAnsi="Palatino Linotype" w:cs="Palatino Linotype"/>
          <w:i/>
          <w:sz w:val="22"/>
          <w:szCs w:val="22"/>
        </w:rPr>
        <w:t>mentación generada, atendiendo a la normatividad aplicable.</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 (Énfasis añadido)</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Entonces se tiene certeza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por conducto de su área competente para poseer la información, no obstante, por lo que refiere al contenido</w:t>
      </w:r>
      <w:r>
        <w:rPr>
          <w:rFonts w:ascii="Palatino Linotype" w:eastAsia="Palatino Linotype" w:hAnsi="Palatino Linotype" w:cs="Palatino Linotype"/>
        </w:rPr>
        <w:t xml:space="preserve"> del pronunciamiento, en la parte conducente a la temporalidad,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expresó que, al ser un Instituto, creado en el año 1996, se encuentra imposibilitado a entregar información previa a esa anualidad, en razón de lo siguiente:</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referencia</w:t>
      </w:r>
      <w:r>
        <w:rPr>
          <w:rFonts w:ascii="Palatino Linotype" w:eastAsia="Palatino Linotype" w:hAnsi="Palatino Linotype" w:cs="Palatino Linotype"/>
          <w:i/>
          <w:sz w:val="22"/>
          <w:szCs w:val="22"/>
        </w:rPr>
        <w:t xml:space="preserve"> al periodo de la información solicitada, hago de su conocimiento que el Instituto Electoral del Estado de México (IEEM), posee información estadística y documental de resultados electorales a partir del año 1996, año en que fue creado este Organismo Públi</w:t>
      </w:r>
      <w:r>
        <w:rPr>
          <w:rFonts w:ascii="Palatino Linotype" w:eastAsia="Palatino Linotype" w:hAnsi="Palatino Linotype" w:cs="Palatino Linotype"/>
          <w:i/>
          <w:sz w:val="22"/>
          <w:szCs w:val="22"/>
        </w:rPr>
        <w:t xml:space="preserve">co Electoral. </w:t>
      </w:r>
      <w:r>
        <w:rPr>
          <w:rFonts w:ascii="Palatino Linotype" w:eastAsia="Palatino Linotype" w:hAnsi="Palatino Linotype" w:cs="Palatino Linotype"/>
          <w:b/>
          <w:i/>
          <w:sz w:val="22"/>
          <w:szCs w:val="22"/>
        </w:rPr>
        <w:t xml:space="preserve">Por tanto, esta Dirección de Organización </w:t>
      </w:r>
      <w:r>
        <w:rPr>
          <w:rFonts w:ascii="Palatino Linotype" w:eastAsia="Palatino Linotype" w:hAnsi="Palatino Linotype" w:cs="Palatino Linotype"/>
          <w:b/>
          <w:i/>
          <w:sz w:val="22"/>
          <w:szCs w:val="22"/>
          <w:u w:val="single"/>
        </w:rPr>
        <w:t>no cuenta en sus archivos con información estadística ni documental de resultados electorales de los años 1946 a 1995</w:t>
      </w:r>
      <w:r>
        <w:rPr>
          <w:rFonts w:ascii="Palatino Linotype" w:eastAsia="Palatino Linotype" w:hAnsi="Palatino Linotype" w:cs="Palatino Linotype"/>
          <w:b/>
          <w:i/>
          <w:sz w:val="22"/>
          <w:szCs w:val="22"/>
        </w:rPr>
        <w:t>, en virtud de que éstos no obran en la información de la Comisión Estatal Electoral que pasó a formar parte del archivo del IEEM</w:t>
      </w:r>
      <w:r>
        <w:rPr>
          <w:rFonts w:ascii="Palatino Linotype" w:eastAsia="Palatino Linotype" w:hAnsi="Palatino Linotype" w:cs="Palatino Linotype"/>
          <w:i/>
          <w:sz w:val="22"/>
          <w:szCs w:val="22"/>
        </w:rPr>
        <w:t>.”</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Esta afirmación, encuentra sustento en la publicación en la “Gaceta del Gobierno” del 27 de febrero de 1995, de la reforma a</w:t>
      </w:r>
      <w:r>
        <w:rPr>
          <w:rFonts w:ascii="Palatino Linotype" w:eastAsia="Palatino Linotype" w:hAnsi="Palatino Linotype" w:cs="Palatino Linotype"/>
        </w:rPr>
        <w:t xml:space="preserve"> la Constitución Política del Estado Libre y Soberano de México, en la que destaca la modificación del artículo 11, en el cual </w:t>
      </w:r>
      <w:r>
        <w:rPr>
          <w:rFonts w:ascii="Palatino Linotype" w:eastAsia="Palatino Linotype" w:hAnsi="Palatino Linotype" w:cs="Palatino Linotype"/>
        </w:rPr>
        <w:lastRenderedPageBreak/>
        <w:t>se estableció, que los procesos electorales serían organizados por un organismo público autónomo, dotado de personalidad jurídica</w:t>
      </w:r>
      <w:r>
        <w:rPr>
          <w:rFonts w:ascii="Palatino Linotype" w:eastAsia="Palatino Linotype" w:hAnsi="Palatino Linotype" w:cs="Palatino Linotype"/>
        </w:rPr>
        <w:t xml:space="preserve"> y patrimonio propios, e integrado en la forma que expresara la ley de la materia y no fue sino hasta el 2 de marzo de 1996, que se materializó la reforma constitucional, al publicarse en la “Gaceta del Gobierno”, el Código Electoral del Estado de México.</w:t>
      </w:r>
    </w:p>
    <w:p w:rsidR="000622D5" w:rsidRDefault="009B50D2">
      <w:pPr>
        <w:tabs>
          <w:tab w:val="left" w:pos="709"/>
        </w:tabs>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Es por ello, que del análisis a lo vertido en respuesta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en congruencia con lo resuelto por el Pleno de este Instituto en el recurso de revisión 00421/INFOEM/IP/RR/2022 al existir conexidad en la temporalidad de los requerimientos d</w:t>
      </w:r>
      <w:r>
        <w:rPr>
          <w:rFonts w:ascii="Palatino Linotype" w:eastAsia="Palatino Linotype" w:hAnsi="Palatino Linotype" w:cs="Palatino Linotype"/>
        </w:rPr>
        <w:t xml:space="preserve">e información, así como en la materia, se determinó que en efecto,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imposibilitado a tener información previa a su creación, pues si bien, se identifica la existencia de una Comisión Estatal Electoral, creada a través de la L</w:t>
      </w:r>
      <w:r>
        <w:rPr>
          <w:rFonts w:ascii="Palatino Linotype" w:eastAsia="Palatino Linotype" w:hAnsi="Palatino Linotype" w:cs="Palatino Linotype"/>
        </w:rPr>
        <w:t xml:space="preserve">ey Electoral del Estado de México del 27 de agosto de 1966, esta Comisión, dependía del Poder Ejecutivo y por ende, resulta pertinente confirmar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otorgada en el recurso de revisión</w:t>
      </w:r>
      <w:r>
        <w:rPr>
          <w:rFonts w:ascii="Palatino Linotype" w:eastAsia="Palatino Linotype" w:hAnsi="Palatino Linotype" w:cs="Palatino Linotype"/>
          <w:b/>
        </w:rPr>
        <w:t xml:space="preserve"> 04344/INFOEM/IP/RR/2022 respecto a</w:t>
      </w:r>
      <w:r>
        <w:t xml:space="preserve"> </w:t>
      </w:r>
      <w:r>
        <w:rPr>
          <w:rFonts w:ascii="Palatino Linotype" w:eastAsia="Palatino Linotype" w:hAnsi="Palatino Linotype" w:cs="Palatino Linotype"/>
          <w:b/>
        </w:rPr>
        <w:t>la falta</w:t>
      </w:r>
      <w:r>
        <w:rPr>
          <w:rFonts w:ascii="Palatino Linotype" w:eastAsia="Palatino Linotype" w:hAnsi="Palatino Linotype" w:cs="Palatino Linotype"/>
          <w:b/>
        </w:rPr>
        <w:t xml:space="preserve"> de entrega de información correspondiente de la distribución final de votos a partidos políticos y candidaturas independientes por municipio de las elecciones para diputados locales y ayuntamientos al periodo de 1946 a 1995</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por cuanto hace al recurso de revisión </w:t>
      </w:r>
      <w:r>
        <w:rPr>
          <w:rFonts w:ascii="Palatino Linotype" w:eastAsia="Palatino Linotype" w:hAnsi="Palatino Linotype" w:cs="Palatino Linotype"/>
          <w:b/>
        </w:rPr>
        <w:t xml:space="preserve">04345/INFOEM/IP/RR/2022, </w:t>
      </w:r>
      <w:r>
        <w:rPr>
          <w:rFonts w:ascii="Palatino Linotype" w:eastAsia="Palatino Linotype" w:hAnsi="Palatino Linotype" w:cs="Palatino Linotype"/>
        </w:rPr>
        <w:t>debemos recordar que el particular se inconformó por dos puntos: el primero de ellos es</w:t>
      </w:r>
      <w:r>
        <w:rPr>
          <w:rFonts w:ascii="Palatino Linotype" w:eastAsia="Palatino Linotype" w:hAnsi="Palatino Linotype" w:cs="Palatino Linotype"/>
          <w:b/>
        </w:rPr>
        <w:t xml:space="preserve"> </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a </w:t>
      </w:r>
      <w:r>
        <w:rPr>
          <w:rFonts w:ascii="Palatino Linotype" w:eastAsia="Palatino Linotype" w:hAnsi="Palatino Linotype" w:cs="Palatino Linotype"/>
          <w:color w:val="000000"/>
        </w:rPr>
        <w:lastRenderedPageBreak/>
        <w:t>falta de entrega de datos relativos a las elecciones para la gubernatura de 1945-1993. Al resp</w:t>
      </w:r>
      <w:r>
        <w:rPr>
          <w:rFonts w:ascii="Palatino Linotype" w:eastAsia="Palatino Linotype" w:hAnsi="Palatino Linotype" w:cs="Palatino Linotype"/>
          <w:color w:val="000000"/>
        </w:rPr>
        <w:t xml:space="preserve">ecto,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manifestó lo siguiente sobre este punto: </w:t>
      </w:r>
    </w:p>
    <w:p w:rsidR="000622D5" w:rsidRDefault="009B50D2">
      <w:pPr>
        <w:tabs>
          <w:tab w:val="left" w:pos="709"/>
        </w:tabs>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referencia al periodo de la información solicitada, hago de su conocimiento que </w:t>
      </w:r>
      <w:r>
        <w:rPr>
          <w:rFonts w:ascii="Palatino Linotype" w:eastAsia="Palatino Linotype" w:hAnsi="Palatino Linotype" w:cs="Palatino Linotype"/>
          <w:b/>
          <w:i/>
          <w:sz w:val="22"/>
          <w:szCs w:val="22"/>
        </w:rPr>
        <w:t>el Instituto Electoral del Estado de México (IEEM), posee información estadística y documental de result</w:t>
      </w:r>
      <w:r>
        <w:rPr>
          <w:rFonts w:ascii="Palatino Linotype" w:eastAsia="Palatino Linotype" w:hAnsi="Palatino Linotype" w:cs="Palatino Linotype"/>
          <w:b/>
          <w:i/>
          <w:sz w:val="22"/>
          <w:szCs w:val="22"/>
        </w:rPr>
        <w:t xml:space="preserve">ados electorales a partir del año 1996, año en que fue creado este Organismo Público Electoral. Por tanto, esta Dirección de Organización </w:t>
      </w:r>
      <w:r>
        <w:rPr>
          <w:rFonts w:ascii="Palatino Linotype" w:eastAsia="Palatino Linotype" w:hAnsi="Palatino Linotype" w:cs="Palatino Linotype"/>
          <w:b/>
          <w:i/>
          <w:sz w:val="22"/>
          <w:szCs w:val="22"/>
          <w:u w:val="single"/>
        </w:rPr>
        <w:t>no cuenta en sus archivos con información estadística ni documental de resultados electorales de los años 1945 a 1993,</w:t>
      </w:r>
      <w:r>
        <w:rPr>
          <w:rFonts w:ascii="Palatino Linotype" w:eastAsia="Palatino Linotype" w:hAnsi="Palatino Linotype" w:cs="Palatino Linotype"/>
          <w:b/>
          <w:i/>
          <w:sz w:val="22"/>
          <w:szCs w:val="22"/>
          <w:u w:val="single"/>
        </w:rPr>
        <w:t xml:space="preserve"> en virtud de que éstos no obran en la información de la Comisión Estatal Electoral que pasó a formar parte del archivo del IEEM</w:t>
      </w:r>
      <w:r>
        <w:rPr>
          <w:rFonts w:ascii="Palatino Linotype" w:eastAsia="Palatino Linotype" w:hAnsi="Palatino Linotype" w:cs="Palatino Linotype"/>
          <w:i/>
          <w:sz w:val="22"/>
          <w:szCs w:val="22"/>
        </w:rPr>
        <w:t>.” (Sic) (Énfasis añadido)</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sentido, conviene reiterar que como se refirió en líneas anteriores, el 27 de febrero de 1995,</w:t>
      </w:r>
      <w:r>
        <w:rPr>
          <w:rFonts w:ascii="Palatino Linotype" w:eastAsia="Palatino Linotype" w:hAnsi="Palatino Linotype" w:cs="Palatino Linotype"/>
        </w:rPr>
        <w:t xml:space="preserve"> se publicó en la “Gaceta del Gobierno” la reforma a la Constitución Política del Estado Libre y Soberano de México, en la que destaca la modificación del artículo 11, en el cual se estableció, que los procesos electorales serían organizados por un organis</w:t>
      </w:r>
      <w:r>
        <w:rPr>
          <w:rFonts w:ascii="Palatino Linotype" w:eastAsia="Palatino Linotype" w:hAnsi="Palatino Linotype" w:cs="Palatino Linotype"/>
        </w:rPr>
        <w:t>mo público autónomo, dotado de personalidad jurídica y patrimonio propios, e integrado en la forma que expresara la ley de la materia y no fue sino hasta el 2 de marzo de 1996, se materializó la reforma constitucional, al publicarse en la “Gaceta del Gobie</w:t>
      </w:r>
      <w:r>
        <w:rPr>
          <w:rFonts w:ascii="Palatino Linotype" w:eastAsia="Palatino Linotype" w:hAnsi="Palatino Linotype" w:cs="Palatino Linotype"/>
        </w:rPr>
        <w:t>rno”, el Código Electoral del Estado de México.</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por ello, que del análisis a lo vertido en respuesta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en congruencia con lo resuelto por el Pleno de este Instituto en el recurso de revisión 00421/INFOEM/IP/RR/2022 al existir cone</w:t>
      </w:r>
      <w:r>
        <w:rPr>
          <w:rFonts w:ascii="Palatino Linotype" w:eastAsia="Palatino Linotype" w:hAnsi="Palatino Linotype" w:cs="Palatino Linotype"/>
        </w:rPr>
        <w:t xml:space="preserve">xidad en la temporalidad de los requerimientos de información, así como en la materia, se determinó que en efecto,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imposibilitado a tener información previa a su </w:t>
      </w:r>
      <w:r>
        <w:rPr>
          <w:rFonts w:ascii="Palatino Linotype" w:eastAsia="Palatino Linotype" w:hAnsi="Palatino Linotype" w:cs="Palatino Linotype"/>
        </w:rPr>
        <w:lastRenderedPageBreak/>
        <w:t>creación, pues si bien, se identifica la existencia de una Com</w:t>
      </w:r>
      <w:r>
        <w:rPr>
          <w:rFonts w:ascii="Palatino Linotype" w:eastAsia="Palatino Linotype" w:hAnsi="Palatino Linotype" w:cs="Palatino Linotype"/>
        </w:rPr>
        <w:t>isión Estatal Electoral, creada a través de la Ley Electoral del Estado de México del 27 de agosto de 1966, esta Comisión, dependía del Poder Ejecutivo y por ende, resulta pertinente confirmar este punto.</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respecto al segundo punto, correspondiente 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la falta de entrega de las 34 actas de los Consejos Municipales Electorales del año 1996, </w:t>
      </w:r>
      <w:r>
        <w:rPr>
          <w:rFonts w:ascii="Palatino Linotype" w:eastAsia="Palatino Linotype" w:hAnsi="Palatino Linotype" w:cs="Palatino Linotype"/>
        </w:rPr>
        <w:t xml:space="preserve">debe analizarse lo siguiente: </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lo que refiere a la entrega de la información de las 34 actas de los Consejos Municipales Electorales referidos, debemos recordar que el </w:t>
      </w:r>
      <w:r>
        <w:rPr>
          <w:rFonts w:ascii="Palatino Linotype" w:eastAsia="Palatino Linotype" w:hAnsi="Palatino Linotype" w:cs="Palatino Linotype"/>
          <w:b/>
        </w:rPr>
        <w:t>Sujeto Obligado</w:t>
      </w:r>
      <w:r>
        <w:rPr>
          <w:rFonts w:ascii="Palatino Linotype" w:eastAsia="Palatino Linotype" w:hAnsi="Palatino Linotype" w:cs="Palatino Linotype"/>
        </w:rPr>
        <w:t>, identificó la ausencia de la información, en los siguientes términos:</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“Sobre el particular es impor</w:t>
      </w:r>
      <w:r>
        <w:rPr>
          <w:rFonts w:ascii="Palatino Linotype" w:eastAsia="Palatino Linotype" w:hAnsi="Palatino Linotype" w:cs="Palatino Linotype"/>
          <w:i/>
          <w:sz w:val="22"/>
          <w:szCs w:val="22"/>
        </w:rPr>
        <w:t>tante señalar que, no obstante que anterior al 30 de abril del año 2004, fecha en que se publicó el Decreto número 46 de la LV Legislatura del Estado de México por el que se expidió la Ley de Transparencia y Acceso a la Información Pública del Estado de Mé</w:t>
      </w:r>
      <w:r>
        <w:rPr>
          <w:rFonts w:ascii="Palatino Linotype" w:eastAsia="Palatino Linotype" w:hAnsi="Palatino Linotype" w:cs="Palatino Linotype"/>
          <w:i/>
          <w:sz w:val="22"/>
          <w:szCs w:val="22"/>
        </w:rPr>
        <w:t>xico, no existía una fuente obligacional para los órganos Autónomos, de conservar la información generada, se realizó una búsqueda exhaustiva y razonable de la información existente en los archivos de esta Dirección de Organización, localizando la informac</w:t>
      </w:r>
      <w:r>
        <w:rPr>
          <w:rFonts w:ascii="Palatino Linotype" w:eastAsia="Palatino Linotype" w:hAnsi="Palatino Linotype" w:cs="Palatino Linotype"/>
          <w:i/>
          <w:sz w:val="22"/>
          <w:szCs w:val="22"/>
        </w:rPr>
        <w:t xml:space="preserve">ión descrita en el párrafo que antecede. </w:t>
      </w:r>
    </w:p>
    <w:p w:rsidR="000622D5" w:rsidRDefault="009B50D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ese sentido, </w:t>
      </w:r>
      <w:r>
        <w:rPr>
          <w:rFonts w:ascii="Palatino Linotype" w:eastAsia="Palatino Linotype" w:hAnsi="Palatino Linotype" w:cs="Palatino Linotype"/>
          <w:b/>
          <w:i/>
          <w:sz w:val="22"/>
          <w:szCs w:val="22"/>
        </w:rPr>
        <w:t xml:space="preserve">se hace de su conocimiento que </w:t>
      </w:r>
      <w:r>
        <w:rPr>
          <w:rFonts w:ascii="Palatino Linotype" w:eastAsia="Palatino Linotype" w:hAnsi="Palatino Linotype" w:cs="Palatino Linotype"/>
          <w:b/>
          <w:i/>
          <w:sz w:val="22"/>
          <w:szCs w:val="22"/>
          <w:u w:val="single"/>
        </w:rPr>
        <w:t>en lo que corresponde a los resultados de las elecciones de Ayuntamientos del año 1996, en el archivo de 34 Consejos Municipales Electorales de ese Proceso Electoral n</w:t>
      </w:r>
      <w:r>
        <w:rPr>
          <w:rFonts w:ascii="Palatino Linotype" w:eastAsia="Palatino Linotype" w:hAnsi="Palatino Linotype" w:cs="Palatino Linotype"/>
          <w:b/>
          <w:i/>
          <w:sz w:val="22"/>
          <w:szCs w:val="22"/>
          <w:u w:val="single"/>
        </w:rPr>
        <w:t>o se localizó Acta ni documento alguno expedido en su momento por el Consejo Municipal Electoral competente</w:t>
      </w:r>
      <w:r>
        <w:rPr>
          <w:rFonts w:ascii="Palatino Linotype" w:eastAsia="Palatino Linotype" w:hAnsi="Palatino Linotype" w:cs="Palatino Linotype"/>
          <w:i/>
          <w:sz w:val="22"/>
          <w:szCs w:val="22"/>
        </w:rPr>
        <w:t>, en el que consten los datos contenidos en la tabla de resultados electorales de esa elección.” (Sic) (Énfasis añadido)</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De igual manera, fue respond</w:t>
      </w:r>
      <w:r>
        <w:rPr>
          <w:rFonts w:ascii="Palatino Linotype" w:eastAsia="Palatino Linotype" w:hAnsi="Palatino Linotype" w:cs="Palatino Linotype"/>
        </w:rPr>
        <w:t>ido por el servidor público habilitado para poseer la información que es el de la Dirección de Organización, la cual es competente de conocer de la información requerida, toda vez que de conformidad con el Manual de Organización, el cual fue analizado en l</w:t>
      </w:r>
      <w:r>
        <w:rPr>
          <w:rFonts w:ascii="Palatino Linotype" w:eastAsia="Palatino Linotype" w:hAnsi="Palatino Linotype" w:cs="Palatino Linotype"/>
        </w:rPr>
        <w:t xml:space="preserve">íneas anteriores, le corresponde la integración, instalación y funcionamiento de los órganos desconcentrados, así como en la recopilación, sistematización, análisis y resguardo de la información y estadística electoral. </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Determinado lo anterior, debe menci</w:t>
      </w:r>
      <w:r>
        <w:rPr>
          <w:rFonts w:ascii="Palatino Linotype" w:eastAsia="Palatino Linotype" w:hAnsi="Palatino Linotype" w:cs="Palatino Linotype"/>
        </w:rPr>
        <w:t>onarse que el Código Electoral del Estado de México, vigente en el año 1996, regula en su título tercero, la integración de los órganos desconcentrados, de los cuales se aprecian en el capítulo segundo, los Consejos Municipales Electorales, para mayor refe</w:t>
      </w:r>
      <w:r>
        <w:rPr>
          <w:rFonts w:ascii="Palatino Linotype" w:eastAsia="Palatino Linotype" w:hAnsi="Palatino Linotype" w:cs="Palatino Linotype"/>
        </w:rPr>
        <w:t xml:space="preserve">rencia se inserta la siguiente cita: </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0225" cy="1390650"/>
            <wp:effectExtent l="0" t="0" r="0" b="0"/>
            <wp:docPr id="4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7"/>
                    <a:srcRect/>
                    <a:stretch>
                      <a:fillRect/>
                    </a:stretch>
                  </pic:blipFill>
                  <pic:spPr>
                    <a:xfrm>
                      <a:off x="0" y="0"/>
                      <a:ext cx="5610225" cy="1390650"/>
                    </a:xfrm>
                    <a:prstGeom prst="rect">
                      <a:avLst/>
                    </a:prstGeom>
                    <a:ln/>
                  </pic:spPr>
                </pic:pic>
              </a:graphicData>
            </a:graphic>
          </wp:inline>
        </w:drawing>
      </w:r>
      <w:r>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1308100</wp:posOffset>
                </wp:positionV>
                <wp:extent cx="0" cy="25400"/>
                <wp:effectExtent l="0" t="0" r="0" b="0"/>
                <wp:wrapNone/>
                <wp:docPr id="375" name="Conector recto de flecha 375"/>
                <wp:cNvGraphicFramePr/>
                <a:graphic xmlns:a="http://schemas.openxmlformats.org/drawingml/2006/main">
                  <a:graphicData uri="http://schemas.microsoft.com/office/word/2010/wordprocessingShape">
                    <wps:wsp>
                      <wps:cNvCnPr/>
                      <wps:spPr>
                        <a:xfrm>
                          <a:off x="4469700" y="3780000"/>
                          <a:ext cx="1752600" cy="0"/>
                        </a:xfrm>
                        <a:prstGeom prst="straightConnector1">
                          <a:avLst/>
                        </a:prstGeom>
                        <a:noFill/>
                        <a:ln w="25400" cap="flat" cmpd="sng">
                          <a:solidFill>
                            <a:srgbClr val="4BACC6"/>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1308100</wp:posOffset>
                </wp:positionV>
                <wp:extent cx="0" cy="25400"/>
                <wp:effectExtent b="0" l="0" r="0" t="0"/>
                <wp:wrapNone/>
                <wp:docPr id="375" name="image2.png"/>
                <a:graphic>
                  <a:graphicData uri="http://schemas.openxmlformats.org/drawingml/2006/picture">
                    <pic:pic>
                      <pic:nvPicPr>
                        <pic:cNvPr id="0" name="image2.png"/>
                        <pic:cNvPicPr preferRelativeResize="0"/>
                      </pic:nvPicPr>
                      <pic:blipFill>
                        <a:blip r:embed="rId28"/>
                        <a:srcRect/>
                        <a:stretch>
                          <a:fillRect/>
                        </a:stretch>
                      </pic:blipFill>
                      <pic:spPr>
                        <a:xfrm>
                          <a:off x="0" y="0"/>
                          <a:ext cx="0" cy="25400"/>
                        </a:xfrm>
                        <a:prstGeom prst="rect"/>
                        <a:ln/>
                      </pic:spPr>
                    </pic:pic>
                  </a:graphicData>
                </a:graphic>
              </wp:anchor>
            </w:drawing>
          </mc:Fallback>
        </mc:AlternateConten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i/>
        </w:rPr>
        <w:lastRenderedPageBreak/>
        <w:t>…</w:t>
      </w:r>
      <w:r>
        <w:rPr>
          <w:rFonts w:ascii="Palatino Linotype" w:eastAsia="Palatino Linotype" w:hAnsi="Palatino Linotype" w:cs="Palatino Linotype"/>
          <w:noProof/>
          <w:lang w:val="es-MX"/>
        </w:rPr>
        <w:drawing>
          <wp:inline distT="0" distB="0" distL="0" distR="0">
            <wp:extent cx="5613567" cy="1229457"/>
            <wp:effectExtent l="0" t="0" r="0" b="0"/>
            <wp:docPr id="39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613567" cy="1229457"/>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419100</wp:posOffset>
                </wp:positionH>
                <wp:positionV relativeFrom="paragraph">
                  <wp:posOffset>482600</wp:posOffset>
                </wp:positionV>
                <wp:extent cx="4244975" cy="121919"/>
                <wp:effectExtent l="0" t="0" r="0" b="0"/>
                <wp:wrapNone/>
                <wp:docPr id="377" name="Conector recto de flecha 377"/>
                <wp:cNvGraphicFramePr/>
                <a:graphic xmlns:a="http://schemas.openxmlformats.org/drawingml/2006/main">
                  <a:graphicData uri="http://schemas.microsoft.com/office/word/2010/wordprocessingShape">
                    <wps:wsp>
                      <wps:cNvCnPr/>
                      <wps:spPr>
                        <a:xfrm>
                          <a:off x="3248913" y="3744441"/>
                          <a:ext cx="4194175" cy="71119"/>
                        </a:xfrm>
                        <a:prstGeom prst="straightConnector1">
                          <a:avLst/>
                        </a:prstGeom>
                        <a:noFill/>
                        <a:ln w="25400" cap="flat" cmpd="sng">
                          <a:solidFill>
                            <a:srgbClr val="4BACC6"/>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482600</wp:posOffset>
                </wp:positionV>
                <wp:extent cx="4244975" cy="121919"/>
                <wp:effectExtent b="0" l="0" r="0" t="0"/>
                <wp:wrapNone/>
                <wp:docPr id="377"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4244975" cy="121919"/>
                        </a:xfrm>
                        <a:prstGeom prst="rect"/>
                        <a:ln/>
                      </pic:spPr>
                    </pic:pic>
                  </a:graphicData>
                </a:graphic>
              </wp:anchor>
            </w:drawing>
          </mc:Fallback>
        </mc:AlternateContent>
      </w:r>
      <w:r>
        <w:rPr>
          <w:noProof/>
          <w:lang w:val="es-MX"/>
        </w:rPr>
        <mc:AlternateContent>
          <mc:Choice Requires="wps">
            <w:drawing>
              <wp:anchor distT="0" distB="0" distL="114300" distR="114300" simplePos="0" relativeHeight="251661312" behindDoc="0" locked="0" layoutInCell="1" hidden="0" allowOverlap="1">
                <wp:simplePos x="0" y="0"/>
                <wp:positionH relativeFrom="column">
                  <wp:posOffset>101601</wp:posOffset>
                </wp:positionH>
                <wp:positionV relativeFrom="paragraph">
                  <wp:posOffset>342900</wp:posOffset>
                </wp:positionV>
                <wp:extent cx="9525" cy="25400"/>
                <wp:effectExtent l="0" t="0" r="0" b="0"/>
                <wp:wrapNone/>
                <wp:docPr id="379" name="Conector recto de flecha 379"/>
                <wp:cNvGraphicFramePr/>
                <a:graphic xmlns:a="http://schemas.openxmlformats.org/drawingml/2006/main">
                  <a:graphicData uri="http://schemas.microsoft.com/office/word/2010/wordprocessingShape">
                    <wps:wsp>
                      <wps:cNvCnPr/>
                      <wps:spPr>
                        <a:xfrm>
                          <a:off x="3660075" y="3775238"/>
                          <a:ext cx="3371850" cy="9525"/>
                        </a:xfrm>
                        <a:prstGeom prst="straightConnector1">
                          <a:avLst/>
                        </a:prstGeom>
                        <a:noFill/>
                        <a:ln w="25400" cap="flat" cmpd="sng">
                          <a:solidFill>
                            <a:srgbClr val="F79646"/>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342900</wp:posOffset>
                </wp:positionV>
                <wp:extent cx="9525" cy="25400"/>
                <wp:effectExtent b="0" l="0" r="0" t="0"/>
                <wp:wrapNone/>
                <wp:docPr id="379" name="image45.png"/>
                <a:graphic>
                  <a:graphicData uri="http://schemas.openxmlformats.org/drawingml/2006/picture">
                    <pic:pic>
                      <pic:nvPicPr>
                        <pic:cNvPr id="0" name="image45.png"/>
                        <pic:cNvPicPr preferRelativeResize="0"/>
                      </pic:nvPicPr>
                      <pic:blipFill>
                        <a:blip r:embed="rId31"/>
                        <a:srcRect/>
                        <a:stretch>
                          <a:fillRect/>
                        </a:stretch>
                      </pic:blipFill>
                      <pic:spPr>
                        <a:xfrm>
                          <a:off x="0" y="0"/>
                          <a:ext cx="9525" cy="25400"/>
                        </a:xfrm>
                        <a:prstGeom prst="rect"/>
                        <a:ln/>
                      </pic:spPr>
                    </pic:pic>
                  </a:graphicData>
                </a:graphic>
              </wp:anchor>
            </w:drawing>
          </mc:Fallback>
        </mc:AlternateConten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287010" cy="6682315"/>
            <wp:effectExtent l="0" t="0" r="0" b="0"/>
            <wp:docPr id="39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287010" cy="6682315"/>
                    </a:xfrm>
                    <a:prstGeom prst="rect">
                      <a:avLst/>
                    </a:prstGeom>
                    <a:ln/>
                  </pic:spPr>
                </pic:pic>
              </a:graphicData>
            </a:graphic>
          </wp:inline>
        </w:drawing>
      </w:r>
      <w:r>
        <w:rPr>
          <w:noProof/>
          <w:lang w:val="es-MX"/>
        </w:rPr>
        <mc:AlternateContent>
          <mc:Choice Requires="wpg">
            <w:drawing>
              <wp:anchor distT="0" distB="0" distL="114300" distR="114300" simplePos="0" relativeHeight="251662336" behindDoc="0" locked="0" layoutInCell="1" hidden="0" allowOverlap="1">
                <wp:simplePos x="0" y="0"/>
                <wp:positionH relativeFrom="column">
                  <wp:posOffset>-266699</wp:posOffset>
                </wp:positionH>
                <wp:positionV relativeFrom="paragraph">
                  <wp:posOffset>2400300</wp:posOffset>
                </wp:positionV>
                <wp:extent cx="5534025" cy="4152900"/>
                <wp:effectExtent l="0" t="0" r="0" b="0"/>
                <wp:wrapNone/>
                <wp:docPr id="378" name="Rectángulo 378"/>
                <wp:cNvGraphicFramePr/>
                <a:graphic xmlns:a="http://schemas.openxmlformats.org/drawingml/2006/main">
                  <a:graphicData uri="http://schemas.microsoft.com/office/word/2010/wordprocessingShape">
                    <wps:wsp>
                      <wps:cNvSpPr/>
                      <wps:spPr>
                        <a:xfrm>
                          <a:off x="2607563" y="1732125"/>
                          <a:ext cx="5476875" cy="4095750"/>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4117"/>
                            </a:srgbClr>
                          </a:outerShdw>
                        </a:effectLst>
                      </wps:spPr>
                      <wps:txbx>
                        <w:txbxContent>
                          <w:p w:rsidR="000622D5" w:rsidRDefault="000622D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-266699</wp:posOffset>
                </wp:positionH>
                <wp:positionV relativeFrom="paragraph">
                  <wp:posOffset>2400300</wp:posOffset>
                </wp:positionV>
                <wp:extent cx="5534025" cy="4152900"/>
                <wp:effectExtent b="0" l="0" r="0" t="0"/>
                <wp:wrapNone/>
                <wp:docPr id="378"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5534025" cy="4152900"/>
                        </a:xfrm>
                        <a:prstGeom prst="rect"/>
                        <a:ln/>
                      </pic:spPr>
                    </pic:pic>
                  </a:graphicData>
                </a:graphic>
              </wp:anchor>
            </w:drawing>
          </mc:Fallback>
        </mc:AlternateConten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3657600"/>
            <wp:effectExtent l="0" t="0" r="0" b="0"/>
            <wp:docPr id="3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5610225" cy="3657600"/>
                    </a:xfrm>
                    <a:prstGeom prst="rect">
                      <a:avLst/>
                    </a:prstGeom>
                    <a:ln/>
                  </pic:spPr>
                </pic:pic>
              </a:graphicData>
            </a:graphic>
          </wp:inline>
        </w:drawing>
      </w:r>
    </w:p>
    <w:p w:rsidR="000622D5" w:rsidRDefault="009B50D2">
      <w:pPr>
        <w:tabs>
          <w:tab w:val="left" w:pos="709"/>
        </w:tabs>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citado, se colige lo siguiente: </w:t>
      </w:r>
    </w:p>
    <w:p w:rsidR="000622D5" w:rsidRDefault="009B50D2">
      <w:pPr>
        <w:numPr>
          <w:ilvl w:val="0"/>
          <w:numId w:val="5"/>
        </w:numPr>
        <w:pBdr>
          <w:top w:val="nil"/>
          <w:left w:val="nil"/>
          <w:bottom w:val="nil"/>
          <w:right w:val="nil"/>
          <w:between w:val="nil"/>
        </w:pBdr>
        <w:tabs>
          <w:tab w:val="left" w:pos="709"/>
        </w:tabs>
        <w:spacing w:before="240" w:after="240" w:line="360" w:lineRule="auto"/>
        <w:ind w:right="49" w:hanging="15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Consejos Municipales Electorales se consideraban órganos desconcentrados del Instituto que debían existir en cada municipio, para que funcionaran durante el proceso de elección de diputados y ayuntamientos. </w:t>
      </w:r>
    </w:p>
    <w:p w:rsidR="000622D5" w:rsidRDefault="009B50D2">
      <w:pPr>
        <w:numPr>
          <w:ilvl w:val="0"/>
          <w:numId w:val="5"/>
        </w:numPr>
        <w:pBdr>
          <w:top w:val="nil"/>
          <w:left w:val="nil"/>
          <w:bottom w:val="nil"/>
          <w:right w:val="nil"/>
          <w:between w:val="nil"/>
        </w:pBdr>
        <w:tabs>
          <w:tab w:val="left" w:pos="709"/>
        </w:tabs>
        <w:spacing w:before="240" w:after="240" w:line="360" w:lineRule="auto"/>
        <w:ind w:right="49" w:hanging="15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Las sesiones de los Consejos Municipales Electorales iniciarán sus sesiones durante los primeros diez días del mes de marzo del año de la elección. </w:t>
      </w:r>
    </w:p>
    <w:p w:rsidR="000622D5" w:rsidRDefault="009B50D2">
      <w:pPr>
        <w:numPr>
          <w:ilvl w:val="0"/>
          <w:numId w:val="5"/>
        </w:numPr>
        <w:pBdr>
          <w:top w:val="nil"/>
          <w:left w:val="nil"/>
          <w:bottom w:val="nil"/>
          <w:right w:val="nil"/>
          <w:between w:val="nil"/>
        </w:pBdr>
        <w:tabs>
          <w:tab w:val="left" w:pos="709"/>
        </w:tabs>
        <w:spacing w:before="240" w:after="240" w:line="360" w:lineRule="auto"/>
        <w:ind w:right="49" w:hanging="15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Dentro de las formalidades, se prevé que sesionen una vez por mes y que estén presentes la mayoría de sus </w:t>
      </w:r>
      <w:r>
        <w:rPr>
          <w:rFonts w:ascii="Palatino Linotype" w:eastAsia="Palatino Linotype" w:hAnsi="Palatino Linotype" w:cs="Palatino Linotype"/>
          <w:color w:val="000000"/>
        </w:rPr>
        <w:t xml:space="preserve">miembros. </w:t>
      </w:r>
    </w:p>
    <w:p w:rsidR="000622D5" w:rsidRDefault="009B50D2">
      <w:pPr>
        <w:numPr>
          <w:ilvl w:val="0"/>
          <w:numId w:val="5"/>
        </w:numPr>
        <w:pBdr>
          <w:top w:val="nil"/>
          <w:left w:val="nil"/>
          <w:bottom w:val="nil"/>
          <w:right w:val="nil"/>
          <w:between w:val="nil"/>
        </w:pBdr>
        <w:tabs>
          <w:tab w:val="left" w:pos="709"/>
        </w:tabs>
        <w:spacing w:before="240" w:after="240" w:line="360" w:lineRule="auto"/>
        <w:ind w:right="49" w:hanging="15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cuanto hace a sus atribuciones, se advierte que sus funciones se centran en la observancia de los acuerdos emitidos por el Consejo General, las disposiciones del Código, intervenir en la organización, desarrollo y vigilancia de la elección d</w:t>
      </w:r>
      <w:r>
        <w:rPr>
          <w:rFonts w:ascii="Palatino Linotype" w:eastAsia="Palatino Linotype" w:hAnsi="Palatino Linotype" w:cs="Palatino Linotype"/>
          <w:color w:val="000000"/>
        </w:rPr>
        <w:t xml:space="preserve">e los ayuntamientos, en sus respectivos ámbitos, realizar cómputo de la elección por el principio de mayoría relativa y de representación proporcional, determinar la ubicación de las casillas, entre otros. </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Teniendo estos argumentos en cuenta, resulta impo</w:t>
      </w:r>
      <w:r>
        <w:rPr>
          <w:rFonts w:ascii="Palatino Linotype" w:eastAsia="Palatino Linotype" w:hAnsi="Palatino Linotype" w:cs="Palatino Linotype"/>
        </w:rPr>
        <w:t xml:space="preserve">rtante señalar que, de la revisión practicada a este instrumento normativo, no se advierte fuente obligacional que en el momento de la aplicación de la ley, obligara a los </w:t>
      </w:r>
      <w:r>
        <w:rPr>
          <w:rFonts w:ascii="Palatino Linotype" w:eastAsia="Palatino Linotype" w:hAnsi="Palatino Linotype" w:cs="Palatino Linotype"/>
          <w:b/>
        </w:rPr>
        <w:t>Consejos Municipales</w:t>
      </w:r>
      <w:r>
        <w:rPr>
          <w:rFonts w:ascii="Palatino Linotype" w:eastAsia="Palatino Linotype" w:hAnsi="Palatino Linotype" w:cs="Palatino Linotype"/>
        </w:rPr>
        <w:t xml:space="preserve"> Electorales a la expedición de actas. </w:t>
      </w:r>
    </w:p>
    <w:p w:rsidR="000622D5" w:rsidRDefault="009B50D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esta tesitura, por lo</w:t>
      </w:r>
      <w:r>
        <w:rPr>
          <w:rFonts w:ascii="Palatino Linotype" w:eastAsia="Palatino Linotype" w:hAnsi="Palatino Linotype" w:cs="Palatino Linotype"/>
        </w:rPr>
        <w:t xml:space="preserve"> que en el caso concreto, no se actualiza alguna de las hipótesis que determinen la declaración de inexistencia de la información, en razón de que se reitera, no existen ordenamientos que prevean su generación, sin embargo, con la finalidad de otorgar cert</w:t>
      </w:r>
      <w:r>
        <w:rPr>
          <w:rFonts w:ascii="Palatino Linotype" w:eastAsia="Palatino Linotype" w:hAnsi="Palatino Linotype" w:cs="Palatino Linotype"/>
        </w:rPr>
        <w:t xml:space="preserve">eza al particular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en alcance al informe justificado, el acuerdo mediante el cual se declara la inexistencia de la información que se analiza en este punto, consistente en las treinta y cuatro (34) actas de los Con</w:t>
      </w:r>
      <w:r>
        <w:rPr>
          <w:rFonts w:ascii="Palatino Linotype" w:eastAsia="Palatino Linotype" w:hAnsi="Palatino Linotype" w:cs="Palatino Linotype"/>
        </w:rPr>
        <w:t xml:space="preserve">sejos Municipales Electorales de la elección de ayuntamientos de 1996, mismo que fue puesto a la vista del Recurrente y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para dar cumplimiento a la resolución del recurso de revisión 00421/INFOEM/IP/RR/2022, por lo que no resu</w:t>
      </w:r>
      <w:r>
        <w:rPr>
          <w:rFonts w:ascii="Palatino Linotype" w:eastAsia="Palatino Linotype" w:hAnsi="Palatino Linotype" w:cs="Palatino Linotype"/>
        </w:rPr>
        <w:t xml:space="preserve">ltaría necesario emitir un </w:t>
      </w:r>
      <w:r>
        <w:rPr>
          <w:rFonts w:ascii="Palatino Linotype" w:eastAsia="Palatino Linotype" w:hAnsi="Palatino Linotype" w:cs="Palatino Linotype"/>
        </w:rPr>
        <w:lastRenderedPageBreak/>
        <w:t>nuevo acuerdo, ordenar una nueva búsqueda, o adoptar medidas adicionales para su localización,</w:t>
      </w:r>
      <w:r>
        <w:t xml:space="preserve"> </w:t>
      </w:r>
      <w:r>
        <w:rPr>
          <w:rFonts w:ascii="Palatino Linotype" w:eastAsia="Palatino Linotype" w:hAnsi="Palatino Linotype" w:cs="Palatino Linotype"/>
        </w:rPr>
        <w:t xml:space="preserve">toda vez que la declaratoria de inexistencia no está sujeta a una temporalidad. </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esta tesitura, para mejor proveer del presente est</w:t>
      </w:r>
      <w:r>
        <w:rPr>
          <w:rFonts w:ascii="Palatino Linotype" w:eastAsia="Palatino Linotype" w:hAnsi="Palatino Linotype" w:cs="Palatino Linotype"/>
        </w:rPr>
        <w:t xml:space="preserve">udio, resulta necesario, analizar el contenido vertido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el Acta de la Séptima Sesión Ordinaria del Comité de Transparencia, mediante el cual declara la inexistencia de la información, entregado en alcance al informe justificado, a </w:t>
      </w:r>
      <w:r>
        <w:rPr>
          <w:rFonts w:ascii="Palatino Linotype" w:eastAsia="Palatino Linotype" w:hAnsi="Palatino Linotype" w:cs="Palatino Linotype"/>
        </w:rPr>
        <w:t>fin de establecer si el Comité de Transparencia cumplió cabalmente con las formalidades exigidas por el artículo 113 de la Ley General de Transparencia y Acceso a la Información Pública, numeral trigésimo fracción I de los Lineamientos Generales en Materia</w:t>
      </w:r>
      <w:r>
        <w:rPr>
          <w:rFonts w:ascii="Palatino Linotype" w:eastAsia="Palatino Linotype" w:hAnsi="Palatino Linotype" w:cs="Palatino Linotype"/>
        </w:rPr>
        <w:t xml:space="preserve"> de Clasificación y Desclasificación de la Información así como por los criterios orientadores aprobados por el Pleno de este Instituto, que establecen el criterio de inexistencia y en qué circunstancia debe emitirse la declaratoria de la misma:</w:t>
      </w:r>
    </w:p>
    <w:p w:rsidR="000622D5" w:rsidRDefault="009B50D2">
      <w:pPr>
        <w:spacing w:before="240" w:after="240"/>
        <w:ind w:left="567"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“CRITERIO </w:t>
      </w:r>
      <w:r>
        <w:rPr>
          <w:rFonts w:ascii="Palatino Linotype" w:eastAsia="Palatino Linotype" w:hAnsi="Palatino Linotype" w:cs="Palatino Linotype"/>
          <w:b/>
          <w:i/>
          <w:color w:val="000000"/>
          <w:sz w:val="22"/>
          <w:szCs w:val="22"/>
        </w:rPr>
        <w:t>0003-11</w:t>
      </w:r>
    </w:p>
    <w:p w:rsidR="000622D5" w:rsidRDefault="009B50D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INEXISTENCIA, CONCEPTO DE, EN MATERIA DE TRANSPARENCIA</w:t>
      </w:r>
      <w:r>
        <w:rPr>
          <w:rFonts w:ascii="Palatino Linotype" w:eastAsia="Palatino Linotype" w:hAnsi="Palatino Linotype" w:cs="Palatino Linotype"/>
          <w:i/>
          <w:color w:val="000000"/>
          <w:sz w:val="22"/>
          <w:szCs w:val="22"/>
        </w:rPr>
        <w:t>. La interpretación sistemática de los artículos 29 y 30, fracción VIII, de la Ley de Transparencia y Acceso a la Información Pública del Estado de México y Municipios, permite concluir que la i</w:t>
      </w:r>
      <w:r>
        <w:rPr>
          <w:rFonts w:ascii="Palatino Linotype" w:eastAsia="Palatino Linotype" w:hAnsi="Palatino Linotype" w:cs="Palatino Linotype"/>
          <w:i/>
          <w:color w:val="000000"/>
          <w:sz w:val="22"/>
          <w:szCs w:val="22"/>
        </w:rPr>
        <w:t>nexistencia de la información en el derecho de acceso a la información pública conlleva necesariamente a los siguientes supuestos:</w:t>
      </w:r>
    </w:p>
    <w:p w:rsidR="000622D5" w:rsidRDefault="009B50D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La existencia previa de la documentación y la falta posterior de la misma en los archivos del Sujeto Obligado, esto es, la</w:t>
      </w:r>
      <w:r>
        <w:rPr>
          <w:rFonts w:ascii="Palatino Linotype" w:eastAsia="Palatino Linotype" w:hAnsi="Palatino Linotype" w:cs="Palatino Linotype"/>
          <w:i/>
          <w:color w:val="000000"/>
          <w:sz w:val="22"/>
          <w:szCs w:val="22"/>
        </w:rPr>
        <w:t xml:space="preserve"> información se generó, poseyó o administró –cuestión de hecho– en el marco de las atribuciones conferidas al Sujeto Obligado, pero no la conserva por diversas razones (destrucción física, desaparición física¸ sustracción ilícita, baja documental, etcétera</w:t>
      </w:r>
      <w:r>
        <w:rPr>
          <w:rFonts w:ascii="Palatino Linotype" w:eastAsia="Palatino Linotype" w:hAnsi="Palatino Linotype" w:cs="Palatino Linotype"/>
          <w:i/>
          <w:color w:val="000000"/>
          <w:sz w:val="22"/>
          <w:szCs w:val="22"/>
        </w:rPr>
        <w:t>).</w:t>
      </w:r>
    </w:p>
    <w:p w:rsidR="000622D5" w:rsidRDefault="009B50D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b) En los casos en que por las atribuciones conferidas al Sujeto Obligado éste debió generar, administrar o poseer la información, pero en incumplimiento a la normatividad respectiva no llevó a cabo ninguna de esas acciones.</w:t>
      </w:r>
    </w:p>
    <w:p w:rsidR="000622D5" w:rsidRDefault="009B50D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ambos casos, el Sujeto Ob</w:t>
      </w:r>
      <w:r>
        <w:rPr>
          <w:rFonts w:ascii="Palatino Linotype" w:eastAsia="Palatino Linotype" w:hAnsi="Palatino Linotype" w:cs="Palatino Linotype"/>
          <w:i/>
          <w:color w:val="000000"/>
          <w:sz w:val="22"/>
          <w:szCs w:val="22"/>
        </w:rPr>
        <w:t>ligado deberá hacer del conocimiento del solicitante las razones que explican la inexistencia, mediante el dictamen debidamente fundado y motivado emitido por el Comité de Información y con las formalidades legales exigidas por la Ley de Transparencia.</w:t>
      </w:r>
    </w:p>
    <w:p w:rsidR="000622D5" w:rsidRDefault="009B50D2">
      <w:pPr>
        <w:spacing w:before="240" w:after="240"/>
        <w:ind w:left="567"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CRI</w:t>
      </w:r>
      <w:r>
        <w:rPr>
          <w:rFonts w:ascii="Palatino Linotype" w:eastAsia="Palatino Linotype" w:hAnsi="Palatino Linotype" w:cs="Palatino Linotype"/>
          <w:b/>
          <w:i/>
          <w:color w:val="000000"/>
          <w:sz w:val="22"/>
          <w:szCs w:val="22"/>
        </w:rPr>
        <w:t>TERIO 0004-11</w:t>
      </w:r>
    </w:p>
    <w:p w:rsidR="000622D5" w:rsidRDefault="009B50D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INEXISTENCIA. DECLARATORIA DE LA. ALCANCES Y PROCEDIMIENTOS</w:t>
      </w:r>
      <w:r>
        <w:rPr>
          <w:rFonts w:ascii="Palatino Linotype" w:eastAsia="Palatino Linotype" w:hAnsi="Palatino Linotype" w:cs="Palatino Linotype"/>
          <w:i/>
          <w:color w:val="000000"/>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w:t>
      </w:r>
      <w:r>
        <w:rPr>
          <w:rFonts w:ascii="Palatino Linotype" w:eastAsia="Palatino Linotype" w:hAnsi="Palatino Linotype" w:cs="Palatino Linotype"/>
          <w:i/>
          <w:color w:val="000000"/>
          <w:sz w:val="22"/>
          <w:szCs w:val="22"/>
        </w:rPr>
        <w:t xml:space="preserve">itada, a pesar de haber sido generada, poseída o administrada por el Sujeto Obligado, turnará la solicitud al Comité de Información el cual es el único competente para conocer y deliberar mediante resolución el dictamen de declaratoria de inexistencia, la </w:t>
      </w:r>
      <w:r>
        <w:rPr>
          <w:rFonts w:ascii="Palatino Linotype" w:eastAsia="Palatino Linotype" w:hAnsi="Palatino Linotype" w:cs="Palatino Linotype"/>
          <w:i/>
          <w:color w:val="000000"/>
          <w:sz w:val="22"/>
          <w:szCs w:val="22"/>
        </w:rPr>
        <w:t>cual tiene como propósito que el particular tenga la certeza jurídica de que el Sujeto Obligado realizó una búsqueda exhaustiva y minuciosa de la información en los archivos a cargo. En consecuencia, es deber del Comité de Información instruir una búsqueda</w:t>
      </w:r>
      <w:r>
        <w:rPr>
          <w:rFonts w:ascii="Palatino Linotype" w:eastAsia="Palatino Linotype" w:hAnsi="Palatino Linotype" w:cs="Palatino Linotype"/>
          <w:i/>
          <w:color w:val="000000"/>
          <w:sz w:val="22"/>
          <w:szCs w:val="22"/>
        </w:rPr>
        <w:t xml:space="preserve"> exhaustiva a todas y cada una de las áreas que integran orgánica o funcionalmente al Sujeto Obligado, para localizar los documentos que contengan la información materia de una solicitud, así como la de supervisar que esa búsqueda se lleve a cabo en todas </w:t>
      </w:r>
      <w:r>
        <w:rPr>
          <w:rFonts w:ascii="Palatino Linotype" w:eastAsia="Palatino Linotype" w:hAnsi="Palatino Linotype" w:cs="Palatino Linotype"/>
          <w:i/>
          <w:color w:val="000000"/>
          <w:sz w:val="22"/>
          <w:szCs w:val="22"/>
        </w:rPr>
        <w:t>y cada una de las áreas mencionadas. Dicha búsqueda exhaustiva implicará que el Comité acuerde las medidas pertinentes para la debida localización de la información requerida dentro de la estructura del Sujeto Obligado y, en general, el de adoptar cualquie</w:t>
      </w:r>
      <w:r>
        <w:rPr>
          <w:rFonts w:ascii="Palatino Linotype" w:eastAsia="Palatino Linotype" w:hAnsi="Palatino Linotype" w:cs="Palatino Linotype"/>
          <w:i/>
          <w:color w:val="000000"/>
          <w:sz w:val="22"/>
          <w:szCs w:val="22"/>
        </w:rPr>
        <w:t>r otra previsión que considere conducente para tales efectos y velar por la certeza en el derecho de acceso a la información.</w:t>
      </w:r>
    </w:p>
    <w:p w:rsidR="000622D5" w:rsidRDefault="009B50D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Bajo el entendido de que dicha búsqueda exhaustiva permitirá dos determinaciones:</w:t>
      </w:r>
    </w:p>
    <w:p w:rsidR="000622D5" w:rsidRDefault="009B50D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1ª) Que se localice la documentación que contenga la información solicitada y de ser así la información pueda entregarse al solicitante en la forma en que se encuentra disponible, o</w:t>
      </w:r>
    </w:p>
    <w:p w:rsidR="000622D5" w:rsidRDefault="009B50D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2ª) Que no se haya encontrado documento alguno que contenga la información</w:t>
      </w:r>
      <w:r>
        <w:rPr>
          <w:rFonts w:ascii="Palatino Linotype" w:eastAsia="Palatino Linotype" w:hAnsi="Palatino Linotype" w:cs="Palatino Linotype"/>
          <w:i/>
          <w:color w:val="000000"/>
          <w:sz w:val="22"/>
          <w:szCs w:val="22"/>
        </w:rPr>
        <w:t xml:space="preserve"> requerida, por lo que agotadas las medidas necesarias de búsqueda de la información y de no encontrarla, el Comité de Información deba emitir el dictamen de declaratoria de inexistencia y notificarlo al interesado.</w:t>
      </w:r>
    </w:p>
    <w:p w:rsidR="000622D5" w:rsidRDefault="009B50D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Aunado a lo anterior, en el dictamen de </w:t>
      </w:r>
      <w:r>
        <w:rPr>
          <w:rFonts w:ascii="Palatino Linotype" w:eastAsia="Palatino Linotype" w:hAnsi="Palatino Linotype" w:cs="Palatino Linotype"/>
          <w:i/>
          <w:color w:val="000000"/>
          <w:sz w:val="22"/>
          <w:szCs w:val="22"/>
        </w:rPr>
        <w:t>declaratoria de inexistencia el Comité de Información deberá motivar o precisar las razones por las que se buscó la información, las áreas en las que se instruyó la búsqueda, las respuestas otorgadas por los Servidores Públicos Habilitados y en general, to</w:t>
      </w:r>
      <w:r>
        <w:rPr>
          <w:rFonts w:ascii="Palatino Linotype" w:eastAsia="Palatino Linotype" w:hAnsi="Palatino Linotype" w:cs="Palatino Linotype"/>
          <w:i/>
          <w:color w:val="000000"/>
          <w:sz w:val="22"/>
          <w:szCs w:val="22"/>
        </w:rPr>
        <w:t>das aquéllas circunstancias que se tomaron en cuenta para llegar a determinar que la información requerida no obra en los archivos a cargo.”</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el Comité de Transparencia deberá emitir el correspondiente Acuerdo de Inexistencia de la Informac</w:t>
      </w:r>
      <w:r>
        <w:rPr>
          <w:rFonts w:ascii="Palatino Linotype" w:eastAsia="Palatino Linotype" w:hAnsi="Palatino Linotype" w:cs="Palatino Linotype"/>
        </w:rPr>
        <w:t xml:space="preserve">ión y notificarlo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Dicho acuerdo deberá exponer las razones por las que se buscó la información, las áreas en las que se instruyó la búsqueda, los criterios y los métodos de búsqueda de la información utilizados, las respuestas otorgadas por </w:t>
      </w:r>
      <w:r>
        <w:rPr>
          <w:rFonts w:ascii="Palatino Linotype" w:eastAsia="Palatino Linotype" w:hAnsi="Palatino Linotype" w:cs="Palatino Linotype"/>
        </w:rPr>
        <w:t>los Servidores Públicos Habilitados y en general, todas aquéllas circunstancias de modo, tiempo y lugar que se tomaron en cuenta para llegar a determinar que no obra en sus archivos la información requerida. De este modo, el particular puede tener la certe</w:t>
      </w:r>
      <w:r>
        <w:rPr>
          <w:rFonts w:ascii="Palatino Linotype" w:eastAsia="Palatino Linotype" w:hAnsi="Palatino Linotype" w:cs="Palatino Linotype"/>
        </w:rPr>
        <w:t>za de que se hizo una búsqueda exhaustiva de la información solicitada y de que se le dio la adecuada atención a su solicitud por lo que, de manera fundada y motivada, sustente las razones por las cuales no se tiene la información para hacer entrega de ell</w:t>
      </w:r>
      <w:r>
        <w:rPr>
          <w:rFonts w:ascii="Palatino Linotype" w:eastAsia="Palatino Linotype" w:hAnsi="Palatino Linotype" w:cs="Palatino Linotype"/>
        </w:rPr>
        <w:t xml:space="preserve">a es una facultad que le corresponde al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correspondiente, de acuerdo a los artículos 19, 47 y 49, fracciones II y XIII, de la Ley en estudio:</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19. Se presume que la información debe existir si se refiere a</w:t>
      </w:r>
      <w:r>
        <w:rPr>
          <w:rFonts w:ascii="Palatino Linotype" w:eastAsia="Palatino Linotype" w:hAnsi="Palatino Linotype" w:cs="Palatino Linotype"/>
          <w:i/>
          <w:sz w:val="22"/>
          <w:szCs w:val="22"/>
        </w:rPr>
        <w:t xml:space="preserve"> las facultades, competencias y funciones que los ordenamientos jurídicos aplicables otorgan a los sujetos obligados. En los casos en que ciertas facultades, competencias o funciones no se hayan ejercido, se debe motivar la respuesta en función de las caus</w:t>
      </w:r>
      <w:r>
        <w:rPr>
          <w:rFonts w:ascii="Palatino Linotype" w:eastAsia="Palatino Linotype" w:hAnsi="Palatino Linotype" w:cs="Palatino Linotype"/>
          <w:i/>
          <w:sz w:val="22"/>
          <w:szCs w:val="22"/>
        </w:rPr>
        <w:t>as que motiven tal circunstancia.</w:t>
      </w:r>
    </w:p>
    <w:p w:rsidR="000622D5" w:rsidRDefault="009B50D2">
      <w:pPr>
        <w:spacing w:before="240" w:after="240"/>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 debidamente fu</w:t>
      </w:r>
      <w:r>
        <w:rPr>
          <w:rFonts w:ascii="Palatino Linotype" w:eastAsia="Palatino Linotype" w:hAnsi="Palatino Linotype" w:cs="Palatino Linotype"/>
          <w:b/>
          <w:i/>
          <w:sz w:val="22"/>
          <w:szCs w:val="22"/>
        </w:rPr>
        <w:t xml:space="preserve">ndado y motivado, en el que detalle las razones del por qué no obra en sus archivos” </w:t>
      </w:r>
    </w:p>
    <w:p w:rsidR="000622D5" w:rsidRDefault="009B50D2">
      <w:pPr>
        <w:spacing w:before="240" w:after="240"/>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w:t>
      </w:r>
      <w:r>
        <w:rPr>
          <w:rFonts w:ascii="Palatino Linotype" w:eastAsia="Palatino Linotype" w:hAnsi="Palatino Linotype" w:cs="Palatino Linotype"/>
          <w:i/>
          <w:sz w:val="22"/>
          <w:szCs w:val="22"/>
        </w:rPr>
        <w:t>omité de Transparencia adoptará sus resoluciones por mayoría de votos. En caso de empate, la o el Presidente tendrá voto de calidad. A sus sesiones podrán asistir como invitados aquellos que sus integrantes consideren necesarios, quienes tendrán voz pero n</w:t>
      </w:r>
      <w:r>
        <w:rPr>
          <w:rFonts w:ascii="Palatino Linotype" w:eastAsia="Palatino Linotype" w:hAnsi="Palatino Linotype" w:cs="Palatino Linotype"/>
          <w:i/>
          <w:sz w:val="22"/>
          <w:szCs w:val="22"/>
        </w:rPr>
        <w:t>o voto.</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w:t>
      </w:r>
      <w:r>
        <w:rPr>
          <w:rFonts w:ascii="Palatino Linotype" w:eastAsia="Palatino Linotype" w:hAnsi="Palatino Linotype" w:cs="Palatino Linotype"/>
          <w:i/>
          <w:sz w:val="22"/>
          <w:szCs w:val="22"/>
        </w:rPr>
        <w:t>ificación, conforme a la normatividad aplicable previamente establecida por los sujetos obligados para el resguardo o salvaguarda de la información.</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las sesiones y trabajos del Comité, podrán participar como invitados permanentes, los representantes de </w:t>
      </w:r>
      <w:r>
        <w:rPr>
          <w:rFonts w:ascii="Palatino Linotype" w:eastAsia="Palatino Linotype" w:hAnsi="Palatino Linotype" w:cs="Palatino Linotype"/>
          <w:i/>
          <w:sz w:val="22"/>
          <w:szCs w:val="22"/>
        </w:rPr>
        <w:t>las áreas que decida el Comité, y contará con derecho de voz, pero no voto.</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w:t>
      </w:r>
      <w:r>
        <w:rPr>
          <w:rFonts w:ascii="Palatino Linotype" w:eastAsia="Palatino Linotype" w:hAnsi="Palatino Linotype" w:cs="Palatino Linotype"/>
          <w:i/>
          <w:sz w:val="22"/>
          <w:szCs w:val="22"/>
        </w:rPr>
        <w:t xml:space="preserve"> discuta la propuesta correspondiente.”</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622D5" w:rsidRDefault="009B50D2">
      <w:pPr>
        <w:spacing w:before="240" w:after="240"/>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XII</w:t>
      </w:r>
      <w:r>
        <w:rPr>
          <w:rFonts w:ascii="Palatino Linotype" w:eastAsia="Palatino Linotype" w:hAnsi="Palatino Linotype" w:cs="Palatino Linotype"/>
          <w:i/>
          <w:sz w:val="22"/>
          <w:szCs w:val="22"/>
        </w:rPr>
        <w:t>I. Dictaminar las declaratorias de inexistencia de la información que les remitan las unidades administrativas y resolver en consecuencia;</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el acuerdo de inexistencia deberá apegarse a lo dispuesto por los artículos 169 y 170, de la Ley de la mate</w:t>
      </w:r>
      <w:r>
        <w:rPr>
          <w:rFonts w:ascii="Palatino Linotype" w:eastAsia="Palatino Linotype" w:hAnsi="Palatino Linotype" w:cs="Palatino Linotype"/>
        </w:rPr>
        <w:t xml:space="preserve">ria que ordenan: </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w:t>
      </w:r>
      <w:r>
        <w:rPr>
          <w:rFonts w:ascii="Palatino Linotype" w:eastAsia="Palatino Linotype" w:hAnsi="Palatino Linotype" w:cs="Palatino Linotype"/>
          <w:i/>
          <w:sz w:val="22"/>
          <w:szCs w:val="22"/>
        </w:rPr>
        <w:t>rme la inexistencia del documento;</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w:t>
      </w:r>
      <w:r>
        <w:rPr>
          <w:rFonts w:ascii="Palatino Linotype" w:eastAsia="Palatino Linotype" w:hAnsi="Palatino Linotype" w:cs="Palatino Linotype"/>
          <w:i/>
          <w:sz w:val="22"/>
          <w:szCs w:val="22"/>
        </w:rPr>
        <w:t>ibilidad de su generación, exponga de forma fundada y motivada, las razones por las cuales en el caso particular no ejerció dichas facultades, competencias o funciones, lo cual notificará al solicitante a través de la Unidad de Transparencia; y</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Notific</w:t>
      </w:r>
      <w:r>
        <w:rPr>
          <w:rFonts w:ascii="Palatino Linotype" w:eastAsia="Palatino Linotype" w:hAnsi="Palatino Linotype" w:cs="Palatino Linotype"/>
          <w:i/>
          <w:sz w:val="22"/>
          <w:szCs w:val="22"/>
        </w:rPr>
        <w:t>ará al órgano interno de control o equivalente del sujeto obligado quien, en su caso, deberá iniciar el procedimiento de responsabilidad administrativa que corresponda.</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w:t>
      </w:r>
      <w:r>
        <w:rPr>
          <w:rFonts w:ascii="Palatino Linotype" w:eastAsia="Palatino Linotype" w:hAnsi="Palatino Linotype" w:cs="Palatino Linotype"/>
          <w:i/>
          <w:sz w:val="22"/>
          <w:szCs w:val="22"/>
        </w:rPr>
        <w:t>ue no exceda de quince días hábiles contados a partir del día siguiente a la presentación de la solicitud.</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r>
        <w:rPr>
          <w:rFonts w:ascii="Palatino Linotype" w:eastAsia="Palatino Linotype" w:hAnsi="Palatino Linotype" w:cs="Palatino Linotype"/>
          <w:i/>
          <w:sz w:val="22"/>
          <w:szCs w:val="22"/>
        </w:rPr>
        <w:t>.</w:t>
      </w:r>
    </w:p>
    <w:p w:rsidR="000622D5" w:rsidRDefault="009B50D2">
      <w:pPr>
        <w:spacing w:before="240" w:after="240"/>
        <w:ind w:left="567" w:right="567"/>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lastRenderedPageBreak/>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w:t>
      </w:r>
      <w:r>
        <w:rPr>
          <w:rFonts w:ascii="Palatino Linotype" w:eastAsia="Palatino Linotype" w:hAnsi="Palatino Linotype" w:cs="Palatino Linotype"/>
          <w:i/>
          <w:sz w:val="22"/>
          <w:szCs w:val="22"/>
        </w:rPr>
        <w:t xml:space="preserve"> señalar las circunstancias de tiempo, modo y lugar que generaron la existencia en cuestión y señalará al servidor público responsable de contar con la misma.</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para poder acreditar el carácter exhaustivo de la búsqueda realizada por </w:t>
      </w:r>
      <w:r>
        <w:rPr>
          <w:rFonts w:ascii="Palatino Linotype" w:eastAsia="Palatino Linotype" w:hAnsi="Palatino Linotype" w:cs="Palatino Linotype"/>
        </w:rPr>
        <w:t xml:space="preserve">los Sujetos Obligados, se deben motivar las razones por las que se buscó la información en determinadas áreas, los criterios de búsqueda utilizados y demás circunstancias que fueron tomadas en cuenta. </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conformidad con los </w:t>
      </w:r>
      <w:r>
        <w:rPr>
          <w:rFonts w:ascii="Palatino Linotype" w:eastAsia="Palatino Linotype" w:hAnsi="Palatino Linotype" w:cs="Palatino Linotype"/>
          <w:b/>
        </w:rPr>
        <w:t>criterios 12/1</w:t>
      </w:r>
      <w:r>
        <w:rPr>
          <w:rFonts w:ascii="Palatino Linotype" w:eastAsia="Palatino Linotype" w:hAnsi="Palatino Linotype" w:cs="Palatino Linotype"/>
          <w:b/>
        </w:rPr>
        <w:t>0 y 04/19</w:t>
      </w:r>
      <w:r>
        <w:rPr>
          <w:rFonts w:ascii="Palatino Linotype" w:eastAsia="Palatino Linotype" w:hAnsi="Palatino Linotype" w:cs="Palatino Linotype"/>
        </w:rPr>
        <w:t xml:space="preserve">, emitidos por el Instituto Nacional de Transparencia, Acceso a la Información y Protección de Datos Personales, traídos por analogía, se colige que los sujetos obligados para acreditar que se realizó una búsqueda exhaustiva y razonable, deben de </w:t>
      </w:r>
      <w:r>
        <w:rPr>
          <w:rFonts w:ascii="Palatino Linotype" w:eastAsia="Palatino Linotype" w:hAnsi="Palatino Linotype" w:cs="Palatino Linotype"/>
        </w:rPr>
        <w:t>proporcionar los elementos suficientes del carácter exhaustivo de la indagación realizada, a saber, los siguientes:</w:t>
      </w:r>
    </w:p>
    <w:p w:rsidR="000622D5" w:rsidRDefault="009B50D2">
      <w:pPr>
        <w:numPr>
          <w:ilvl w:val="0"/>
          <w:numId w:val="1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rsidR="000622D5" w:rsidRDefault="009B50D2">
      <w:pPr>
        <w:numPr>
          <w:ilvl w:val="0"/>
          <w:numId w:val="1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rsidR="000622D5" w:rsidRDefault="009B50D2">
      <w:pPr>
        <w:numPr>
          <w:ilvl w:val="0"/>
          <w:numId w:val="1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w:t>
      </w:r>
      <w:r>
        <w:rPr>
          <w:rFonts w:ascii="Palatino Linotype" w:eastAsia="Palatino Linotype" w:hAnsi="Palatino Linotype" w:cs="Palatino Linotype"/>
        </w:rPr>
        <w:t>stancias que fueron tomadas en cuenta.</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tales circunstancias, se considera que para que los Sujetos Obligados justifiquen que realizaron una búsqueda exhaustiva y razonable, deben indicar de manera clara, lo siguiente:</w:t>
      </w:r>
    </w:p>
    <w:p w:rsidR="000622D5" w:rsidRDefault="009B50D2">
      <w:pPr>
        <w:numPr>
          <w:ilvl w:val="0"/>
          <w:numId w:val="10"/>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w:t>
      </w:r>
      <w:r>
        <w:rPr>
          <w:rFonts w:ascii="Palatino Linotype" w:eastAsia="Palatino Linotype" w:hAnsi="Palatino Linotype" w:cs="Palatino Linotype"/>
        </w:rPr>
        <w:t>ción;</w:t>
      </w:r>
    </w:p>
    <w:p w:rsidR="000622D5" w:rsidRDefault="009B50D2">
      <w:pPr>
        <w:numPr>
          <w:ilvl w:val="0"/>
          <w:numId w:val="10"/>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rsidR="000622D5" w:rsidRDefault="009B50D2">
      <w:pPr>
        <w:numPr>
          <w:ilvl w:val="0"/>
          <w:numId w:val="10"/>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 (formato espacio)</w:t>
      </w:r>
    </w:p>
    <w:p w:rsidR="000622D5" w:rsidRDefault="009B50D2">
      <w:pPr>
        <w:numPr>
          <w:ilvl w:val="0"/>
          <w:numId w:val="10"/>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Las circunstancias que fueron tomadas en cuenta.</w:t>
      </w:r>
      <w:r>
        <w:rPr>
          <w:noProof/>
          <w:lang w:val="es-MX"/>
        </w:rPr>
        <w:drawing>
          <wp:anchor distT="0" distB="0" distL="114300" distR="114300" simplePos="0" relativeHeight="251663360" behindDoc="0" locked="0" layoutInCell="1" hidden="0" allowOverlap="1">
            <wp:simplePos x="0" y="0"/>
            <wp:positionH relativeFrom="column">
              <wp:posOffset>720090</wp:posOffset>
            </wp:positionH>
            <wp:positionV relativeFrom="paragraph">
              <wp:posOffset>509269</wp:posOffset>
            </wp:positionV>
            <wp:extent cx="4181475" cy="5372100"/>
            <wp:effectExtent l="0" t="0" r="0" b="0"/>
            <wp:wrapTopAndBottom distT="0" distB="0"/>
            <wp:docPr id="3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4181475" cy="5372100"/>
                    </a:xfrm>
                    <a:prstGeom prst="rect">
                      <a:avLst/>
                    </a:prstGeom>
                    <a:ln/>
                  </pic:spPr>
                </pic:pic>
              </a:graphicData>
            </a:graphic>
          </wp:anchor>
        </w:drawing>
      </w:r>
    </w:p>
    <w:p w:rsidR="000622D5" w:rsidRDefault="009B50D2">
      <w:pPr>
        <w:spacing w:before="240" w:after="240" w:line="360" w:lineRule="auto"/>
        <w:ind w:right="49"/>
        <w:jc w:val="both"/>
        <w:rPr>
          <w:rFonts w:ascii="Palatino Linotype" w:eastAsia="Palatino Linotype" w:hAnsi="Palatino Linotype" w:cs="Palatino Linotype"/>
        </w:rPr>
      </w:pPr>
      <w:r>
        <w:rPr>
          <w:noProof/>
          <w:lang w:val="es-MX"/>
        </w:rPr>
        <w:lastRenderedPageBreak/>
        <mc:AlternateContent>
          <mc:Choice Requires="wpg">
            <w:drawing>
              <wp:anchor distT="0" distB="0" distL="114300" distR="114300" simplePos="0" relativeHeight="251664384" behindDoc="0" locked="0" layoutInCell="1" hidden="0" allowOverlap="1">
                <wp:simplePos x="0" y="0"/>
                <wp:positionH relativeFrom="column">
                  <wp:posOffset>330200</wp:posOffset>
                </wp:positionH>
                <wp:positionV relativeFrom="paragraph">
                  <wp:posOffset>1663700</wp:posOffset>
                </wp:positionV>
                <wp:extent cx="4724400" cy="628650"/>
                <wp:effectExtent l="0" t="0" r="0" b="0"/>
                <wp:wrapNone/>
                <wp:docPr id="376" name="Rectángulo 376"/>
                <wp:cNvGraphicFramePr/>
                <a:graphic xmlns:a="http://schemas.openxmlformats.org/drawingml/2006/main">
                  <a:graphicData uri="http://schemas.microsoft.com/office/word/2010/wordprocessingShape">
                    <wps:wsp>
                      <wps:cNvSpPr/>
                      <wps:spPr>
                        <a:xfrm>
                          <a:off x="3026663" y="3508538"/>
                          <a:ext cx="4638675" cy="542925"/>
                        </a:xfrm>
                        <a:prstGeom prst="rect">
                          <a:avLst/>
                        </a:prstGeom>
                        <a:noFill/>
                        <a:ln w="28575" cap="flat" cmpd="sng">
                          <a:solidFill>
                            <a:srgbClr val="002060"/>
                          </a:solidFill>
                          <a:prstDash val="solid"/>
                          <a:round/>
                          <a:headEnd type="none" w="sm" len="sm"/>
                          <a:tailEnd type="none" w="sm" len="sm"/>
                        </a:ln>
                      </wps:spPr>
                      <wps:txbx>
                        <w:txbxContent>
                          <w:p w:rsidR="000622D5" w:rsidRDefault="000622D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wp:posOffset>
                </wp:positionH>
                <wp:positionV relativeFrom="paragraph">
                  <wp:posOffset>1663700</wp:posOffset>
                </wp:positionV>
                <wp:extent cx="4724400" cy="628650"/>
                <wp:effectExtent b="0" l="0" r="0" t="0"/>
                <wp:wrapNone/>
                <wp:docPr id="376" name="image11.png"/>
                <a:graphic>
                  <a:graphicData uri="http://schemas.openxmlformats.org/drawingml/2006/picture">
                    <pic:pic>
                      <pic:nvPicPr>
                        <pic:cNvPr id="0" name="image11.png"/>
                        <pic:cNvPicPr preferRelativeResize="0"/>
                      </pic:nvPicPr>
                      <pic:blipFill>
                        <a:blip r:embed="rId36"/>
                        <a:srcRect/>
                        <a:stretch>
                          <a:fillRect/>
                        </a:stretch>
                      </pic:blipFill>
                      <pic:spPr>
                        <a:xfrm>
                          <a:off x="0" y="0"/>
                          <a:ext cx="4724400" cy="628650"/>
                        </a:xfrm>
                        <a:prstGeom prst="rect"/>
                        <a:ln/>
                      </pic:spPr>
                    </pic:pic>
                  </a:graphicData>
                </a:graphic>
              </wp:anchor>
            </w:drawing>
          </mc:Fallback>
        </mc:AlternateContent>
      </w:r>
      <w:r>
        <w:rPr>
          <w:noProof/>
          <w:lang w:val="es-MX"/>
        </w:rPr>
        <w:drawing>
          <wp:anchor distT="0" distB="0" distL="114300" distR="114300" simplePos="0" relativeHeight="251665408" behindDoc="0" locked="0" layoutInCell="1" hidden="0" allowOverlap="1">
            <wp:simplePos x="0" y="0"/>
            <wp:positionH relativeFrom="column">
              <wp:posOffset>100970</wp:posOffset>
            </wp:positionH>
            <wp:positionV relativeFrom="paragraph">
              <wp:posOffset>4445</wp:posOffset>
            </wp:positionV>
            <wp:extent cx="5676900" cy="6343650"/>
            <wp:effectExtent l="0" t="0" r="0" b="0"/>
            <wp:wrapTopAndBottom distT="0" distB="0"/>
            <wp:docPr id="3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676900" cy="6343650"/>
                    </a:xfrm>
                    <a:prstGeom prst="rect">
                      <a:avLst/>
                    </a:prstGeom>
                    <a:ln/>
                  </pic:spPr>
                </pic:pic>
              </a:graphicData>
            </a:graphic>
          </wp:anchor>
        </w:drawing>
      </w: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509077" cy="6715649"/>
            <wp:effectExtent l="0" t="0" r="0" b="0"/>
            <wp:docPr id="39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5509077" cy="6715649"/>
                    </a:xfrm>
                    <a:prstGeom prst="rect">
                      <a:avLst/>
                    </a:prstGeom>
                    <a:ln/>
                  </pic:spPr>
                </pic:pic>
              </a:graphicData>
            </a:graphic>
          </wp:inline>
        </w:drawing>
      </w: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2105025"/>
            <wp:effectExtent l="0" t="0" r="0" b="0"/>
            <wp:docPr id="39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a:stretch>
                      <a:fillRect/>
                    </a:stretch>
                  </pic:blipFill>
                  <pic:spPr>
                    <a:xfrm>
                      <a:off x="0" y="0"/>
                      <a:ext cx="5610225" cy="2105025"/>
                    </a:xfrm>
                    <a:prstGeom prst="rect">
                      <a:avLst/>
                    </a:prstGeom>
                    <a:ln/>
                  </pic:spPr>
                </pic:pic>
              </a:graphicData>
            </a:graphic>
          </wp:inline>
        </w:drawing>
      </w:r>
      <w:r>
        <w:rPr>
          <w:noProof/>
          <w:lang w:val="es-MX"/>
        </w:rPr>
        <w:drawing>
          <wp:anchor distT="0" distB="0" distL="114300" distR="114300" simplePos="0" relativeHeight="251666432" behindDoc="0" locked="0" layoutInCell="1" hidden="0" allowOverlap="1">
            <wp:simplePos x="0" y="0"/>
            <wp:positionH relativeFrom="column">
              <wp:posOffset>-3807</wp:posOffset>
            </wp:positionH>
            <wp:positionV relativeFrom="paragraph">
              <wp:posOffset>0</wp:posOffset>
            </wp:positionV>
            <wp:extent cx="5610225" cy="4048125"/>
            <wp:effectExtent l="0" t="0" r="0" b="0"/>
            <wp:wrapTopAndBottom distT="0" distB="0"/>
            <wp:docPr id="4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
                    <a:srcRect/>
                    <a:stretch>
                      <a:fillRect/>
                    </a:stretch>
                  </pic:blipFill>
                  <pic:spPr>
                    <a:xfrm>
                      <a:off x="0" y="0"/>
                      <a:ext cx="5610225" cy="4048125"/>
                    </a:xfrm>
                    <a:prstGeom prst="rect">
                      <a:avLst/>
                    </a:prstGeom>
                    <a:ln/>
                  </pic:spPr>
                </pic:pic>
              </a:graphicData>
            </a:graphic>
          </wp:anchor>
        </w:drawing>
      </w:r>
    </w:p>
    <w:p w:rsidR="000622D5" w:rsidRDefault="009B50D2">
      <w:pPr>
        <w:spacing w:before="240" w:after="240" w:line="360" w:lineRule="auto"/>
        <w:ind w:right="49"/>
        <w:jc w:val="center"/>
        <w:rPr>
          <w:rFonts w:ascii="Palatino Linotype" w:eastAsia="Palatino Linotype" w:hAnsi="Palatino Linotype" w:cs="Palatino Linotype"/>
        </w:rPr>
      </w:pPr>
      <w:r>
        <w:rPr>
          <w:noProof/>
          <w:lang w:val="es-MX"/>
        </w:rPr>
        <w:lastRenderedPageBreak/>
        <w:drawing>
          <wp:anchor distT="0" distB="0" distL="114300" distR="114300" simplePos="0" relativeHeight="251667456" behindDoc="0" locked="0" layoutInCell="1" hidden="0" allowOverlap="1">
            <wp:simplePos x="0" y="0"/>
            <wp:positionH relativeFrom="column">
              <wp:posOffset>186690</wp:posOffset>
            </wp:positionH>
            <wp:positionV relativeFrom="paragraph">
              <wp:posOffset>0</wp:posOffset>
            </wp:positionV>
            <wp:extent cx="4762500" cy="6629400"/>
            <wp:effectExtent l="0" t="0" r="0" b="0"/>
            <wp:wrapTopAndBottom distT="0" distB="0"/>
            <wp:docPr id="39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4762500" cy="6629400"/>
                    </a:xfrm>
                    <a:prstGeom prst="rect">
                      <a:avLst/>
                    </a:prstGeom>
                    <a:ln/>
                  </pic:spPr>
                </pic:pic>
              </a:graphicData>
            </a:graphic>
          </wp:anchor>
        </w:drawing>
      </w: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800908" cy="5924930"/>
            <wp:effectExtent l="0" t="0" r="0" b="0"/>
            <wp:docPr id="39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4800908" cy="5924930"/>
                    </a:xfrm>
                    <a:prstGeom prst="rect">
                      <a:avLst/>
                    </a:prstGeom>
                    <a:ln/>
                  </pic:spPr>
                </pic:pic>
              </a:graphicData>
            </a:graphic>
          </wp:inline>
        </w:drawing>
      </w: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819650" cy="6086475"/>
            <wp:effectExtent l="0" t="0" r="0" b="0"/>
            <wp:docPr id="3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4819650" cy="6086475"/>
                    </a:xfrm>
                    <a:prstGeom prst="rect">
                      <a:avLst/>
                    </a:prstGeom>
                    <a:ln/>
                  </pic:spPr>
                </pic:pic>
              </a:graphicData>
            </a:graphic>
          </wp:inline>
        </w:drawing>
      </w: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705629" cy="6401179"/>
            <wp:effectExtent l="0" t="0" r="0" b="0"/>
            <wp:docPr id="3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4705629" cy="6401179"/>
                    </a:xfrm>
                    <a:prstGeom prst="rect">
                      <a:avLst/>
                    </a:prstGeom>
                    <a:ln/>
                  </pic:spPr>
                </pic:pic>
              </a:graphicData>
            </a:graphic>
          </wp:inline>
        </w:drawing>
      </w: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848225" cy="6105525"/>
            <wp:effectExtent l="0" t="0" r="0" b="0"/>
            <wp:docPr id="3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4848225" cy="6105525"/>
                    </a:xfrm>
                    <a:prstGeom prst="rect">
                      <a:avLst/>
                    </a:prstGeom>
                    <a:ln/>
                  </pic:spPr>
                </pic:pic>
              </a:graphicData>
            </a:graphic>
          </wp:inline>
        </w:drawing>
      </w: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819650" cy="6238875"/>
            <wp:effectExtent l="0" t="0" r="0" b="0"/>
            <wp:docPr id="3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4819650" cy="6238875"/>
                    </a:xfrm>
                    <a:prstGeom prst="rect">
                      <a:avLst/>
                    </a:prstGeom>
                    <a:ln/>
                  </pic:spPr>
                </pic:pic>
              </a:graphicData>
            </a:graphic>
          </wp:inline>
        </w:drawing>
      </w:r>
    </w:p>
    <w:p w:rsidR="000622D5" w:rsidRDefault="000622D5">
      <w:pPr>
        <w:spacing w:before="240" w:after="240" w:line="360" w:lineRule="auto"/>
        <w:ind w:right="49"/>
        <w:jc w:val="center"/>
        <w:rPr>
          <w:rFonts w:ascii="Palatino Linotype" w:eastAsia="Palatino Linotype" w:hAnsi="Palatino Linotype" w:cs="Palatino Linotype"/>
        </w:rPr>
      </w:pP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581525" cy="6134100"/>
            <wp:effectExtent l="0" t="0" r="0" b="0"/>
            <wp:docPr id="3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4581525" cy="6134100"/>
                    </a:xfrm>
                    <a:prstGeom prst="rect">
                      <a:avLst/>
                    </a:prstGeom>
                    <a:ln/>
                  </pic:spPr>
                </pic:pic>
              </a:graphicData>
            </a:graphic>
          </wp:inline>
        </w:drawing>
      </w: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886325" cy="6210300"/>
            <wp:effectExtent l="0" t="0" r="0" b="0"/>
            <wp:docPr id="3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4886325" cy="6210300"/>
                    </a:xfrm>
                    <a:prstGeom prst="rect">
                      <a:avLst/>
                    </a:prstGeom>
                    <a:ln/>
                  </pic:spPr>
                </pic:pic>
              </a:graphicData>
            </a:graphic>
          </wp:inline>
        </w:drawing>
      </w: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012341" cy="6440218"/>
            <wp:effectExtent l="0" t="0" r="0" b="0"/>
            <wp:docPr id="3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5012341" cy="6440218"/>
                    </a:xfrm>
                    <a:prstGeom prst="rect">
                      <a:avLst/>
                    </a:prstGeom>
                    <a:ln/>
                  </pic:spPr>
                </pic:pic>
              </a:graphicData>
            </a:graphic>
          </wp:inline>
        </w:drawing>
      </w: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056352" cy="6315560"/>
            <wp:effectExtent l="0" t="0" r="0" b="0"/>
            <wp:docPr id="3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5056352" cy="6315560"/>
                    </a:xfrm>
                    <a:prstGeom prst="rect">
                      <a:avLst/>
                    </a:prstGeom>
                    <a:ln/>
                  </pic:spPr>
                </pic:pic>
              </a:graphicData>
            </a:graphic>
          </wp:inline>
        </w:drawing>
      </w:r>
    </w:p>
    <w:p w:rsidR="000622D5" w:rsidRDefault="000622D5">
      <w:pPr>
        <w:spacing w:before="240" w:after="240" w:line="360" w:lineRule="auto"/>
        <w:ind w:right="49"/>
        <w:jc w:val="center"/>
        <w:rPr>
          <w:rFonts w:ascii="Palatino Linotype" w:eastAsia="Palatino Linotype" w:hAnsi="Palatino Linotype" w:cs="Palatino Linotype"/>
        </w:rPr>
      </w:pPr>
    </w:p>
    <w:p w:rsidR="000622D5" w:rsidRDefault="009B50D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219700" cy="5638800"/>
            <wp:effectExtent l="0" t="0" r="0" b="0"/>
            <wp:docPr id="39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a:stretch>
                      <a:fillRect/>
                    </a:stretch>
                  </pic:blipFill>
                  <pic:spPr>
                    <a:xfrm>
                      <a:off x="0" y="0"/>
                      <a:ext cx="5219700" cy="5638800"/>
                    </a:xfrm>
                    <a:prstGeom prst="rect">
                      <a:avLst/>
                    </a:prstGeom>
                    <a:ln/>
                  </pic:spPr>
                </pic:pic>
              </a:graphicData>
            </a:graphic>
          </wp:inline>
        </w:drawing>
      </w:r>
    </w:p>
    <w:p w:rsidR="000622D5" w:rsidRDefault="000622D5">
      <w:pPr>
        <w:spacing w:before="240" w:after="240" w:line="360" w:lineRule="auto"/>
        <w:jc w:val="both"/>
        <w:rPr>
          <w:rFonts w:ascii="Palatino Linotype" w:eastAsia="Palatino Linotype" w:hAnsi="Palatino Linotype" w:cs="Palatino Linotype"/>
        </w:rPr>
      </w:pPr>
    </w:p>
    <w:p w:rsidR="000622D5" w:rsidRDefault="000622D5">
      <w:pPr>
        <w:spacing w:before="240" w:after="240" w:line="360" w:lineRule="auto"/>
        <w:jc w:val="both"/>
        <w:rPr>
          <w:rFonts w:ascii="Palatino Linotype" w:eastAsia="Palatino Linotype" w:hAnsi="Palatino Linotype" w:cs="Palatino Linotype"/>
        </w:rPr>
      </w:pP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sentido el acuerdo de inexistencia remitido en alcance al informe justificado, cuenta con los elementos mínimos previstos por la normatividad, toda vez que se vislumbran las áreas en las que se buscó la información, es decir, en la Dirección de Org</w:t>
      </w:r>
      <w:r>
        <w:rPr>
          <w:rFonts w:ascii="Palatino Linotype" w:eastAsia="Palatino Linotype" w:hAnsi="Palatino Linotype" w:cs="Palatino Linotype"/>
        </w:rPr>
        <w:t>anización, al ser el área competente, los criterios y los métodos de búsqueda de la información utilizados, la respuesta otorgadas por el Servidor Público Habilitado y en general, todas aquéllas circunstancias de modo, tiempo y lugar que se tomaron en cuen</w:t>
      </w:r>
      <w:r>
        <w:rPr>
          <w:rFonts w:ascii="Palatino Linotype" w:eastAsia="Palatino Linotype" w:hAnsi="Palatino Linotype" w:cs="Palatino Linotype"/>
        </w:rPr>
        <w:t xml:space="preserve">ta para llegar a determinar que no obra en sus archivos la información requerida, la notificación dirigida al órgano de control interno, aunado al hecho de que se acreditó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llevó a cabo todas las acciones posibles para procurar la rep</w:t>
      </w:r>
      <w:r>
        <w:rPr>
          <w:rFonts w:ascii="Palatino Linotype" w:eastAsia="Palatino Linotype" w:hAnsi="Palatino Linotype" w:cs="Palatino Linotype"/>
        </w:rPr>
        <w:t xml:space="preserve">osición de la misma, resultando materialmente imposible su reposición, por lo que al no formar parte del archivo de concentración, no se cuenta con dicha información, por lo que se insiste que en el presente asunto, al advertirse conexidad en la materia, </w:t>
      </w:r>
      <w:r>
        <w:rPr>
          <w:rFonts w:ascii="Palatino Linotype" w:eastAsia="Palatino Linotype" w:hAnsi="Palatino Linotype" w:cs="Palatino Linotype"/>
          <w:b/>
        </w:rPr>
        <w:t>R</w:t>
      </w:r>
      <w:r>
        <w:rPr>
          <w:rFonts w:ascii="Palatino Linotype" w:eastAsia="Palatino Linotype" w:hAnsi="Palatino Linotype" w:cs="Palatino Linotype"/>
          <w:b/>
        </w:rPr>
        <w:t>ecurrente</w:t>
      </w:r>
      <w:r>
        <w:rPr>
          <w:rFonts w:ascii="Palatino Linotype" w:eastAsia="Palatino Linotype" w:hAnsi="Palatino Linotype" w:cs="Palatino Linotype"/>
        </w:rPr>
        <w:t xml:space="preserve"> y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resultaría ocioso ordenar un nuevo acuerdo, pues ya se acreditó la búsqueda exhaustiva de la información solicitada y respecto a ello ya se ha declarado la inexistencia de la información. </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respecto del recurso </w:t>
      </w:r>
      <w:r>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4345/INFOEM/IP/RR/2022</w:t>
      </w:r>
      <w:r>
        <w:rPr>
          <w:rFonts w:ascii="Palatino Linotype" w:eastAsia="Palatino Linotype" w:hAnsi="Palatino Linotype" w:cs="Palatino Linotype"/>
        </w:rPr>
        <w:t>, se actualiza la causal de sobreseimiento prevista en la fracción III del artículo 192 de la Ley de Transparencia y Acceso a la Información Pública del Estado de México y Municipios, que dispone lo siguiente:</w:t>
      </w:r>
    </w:p>
    <w:p w:rsidR="000622D5" w:rsidRDefault="000622D5">
      <w:pPr>
        <w:spacing w:before="240" w:after="240" w:line="360" w:lineRule="auto"/>
        <w:jc w:val="both"/>
        <w:rPr>
          <w:rFonts w:ascii="Palatino Linotype" w:eastAsia="Palatino Linotype" w:hAnsi="Palatino Linotype" w:cs="Palatino Linotype"/>
          <w:color w:val="FF0000"/>
        </w:rPr>
      </w:pPr>
    </w:p>
    <w:p w:rsidR="000622D5" w:rsidRDefault="009B50D2">
      <w:pPr>
        <w:spacing w:before="240" w:after="240"/>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0622D5" w:rsidRDefault="009B50D2">
      <w:pPr>
        <w:spacing w:before="240" w:after="240"/>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0622D5" w:rsidRDefault="009B50D2">
      <w:pPr>
        <w:spacing w:before="240" w:after="240"/>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w:t>
      </w:r>
      <w:r>
        <w:rPr>
          <w:rFonts w:ascii="Palatino Linotype" w:eastAsia="Palatino Linotype" w:hAnsi="Palatino Linotype" w:cs="Palatino Linotype"/>
          <w:b/>
          <w:i/>
          <w:sz w:val="22"/>
          <w:szCs w:val="22"/>
        </w:rPr>
        <w:t>c)</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w:t>
      </w:r>
      <w:r>
        <w:rPr>
          <w:rFonts w:ascii="Palatino Linotype" w:eastAsia="Palatino Linotype" w:hAnsi="Palatino Linotype" w:cs="Palatino Linotype"/>
        </w:rPr>
        <w:t xml:space="preserve">ior y en esta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w:t>
      </w:r>
      <w:r>
        <w:rPr>
          <w:rFonts w:ascii="Palatino Linotype" w:eastAsia="Palatino Linotype" w:hAnsi="Palatino Linotype" w:cs="Palatino Linotype"/>
        </w:rPr>
        <w:t>u lugar emite otra con las características y cualidades suficientes para dejar satisfecho el ejercicio del derecho al acceso a la información pública.</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tenor, un acto impugnado queda sin efectos, cuando aun existiendo jurídicamente (esto es, que no s</w:t>
      </w:r>
      <w:r>
        <w:rPr>
          <w:rFonts w:ascii="Palatino Linotype" w:eastAsia="Palatino Linotype" w:hAnsi="Palatino Linotype" w:cs="Palatino Linotype"/>
        </w:rPr>
        <w:t>e ha modificado, ni revocado) ya no genera ninguna consecuencia legal.</w:t>
      </w:r>
    </w:p>
    <w:p w:rsidR="000622D5" w:rsidRDefault="009B50D2">
      <w:pPr>
        <w:spacing w:before="240" w:after="240" w:line="360" w:lineRule="auto"/>
        <w:jc w:val="both"/>
        <w:rPr>
          <w:rFonts w:ascii="Palatino Linotype" w:eastAsia="Palatino Linotype" w:hAnsi="Palatino Linotype" w:cs="Palatino Linotype"/>
          <w:color w:val="000000"/>
        </w:rPr>
      </w:pPr>
      <w:bookmarkStart w:id="4" w:name="_heading=h.3znysh7" w:colFirst="0" w:colLast="0"/>
      <w:bookmarkEnd w:id="4"/>
      <w:r>
        <w:rPr>
          <w:rFonts w:ascii="Palatino Linotype" w:eastAsia="Palatino Linotype" w:hAnsi="Palatino Linotype" w:cs="Palatino Linotype"/>
        </w:rPr>
        <w:t xml:space="preserve">En tanto, en el presente caso queda sin materia, toda vez que con el alcance al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modificó la respuesta </w:t>
      </w:r>
      <w:r>
        <w:rPr>
          <w:rFonts w:ascii="Palatino Linotype" w:eastAsia="Palatino Linotype" w:hAnsi="Palatino Linotype" w:cs="Palatino Linotype"/>
          <w:color w:val="000000"/>
        </w:rPr>
        <w:t>al remitir  en alcance el acuerdo de inexis</w:t>
      </w:r>
      <w:r>
        <w:rPr>
          <w:rFonts w:ascii="Palatino Linotype" w:eastAsia="Palatino Linotype" w:hAnsi="Palatino Linotype" w:cs="Palatino Linotype"/>
          <w:color w:val="000000"/>
        </w:rPr>
        <w:t>tencia de las 34 actas de consejos municipales electorales, por lo que t</w:t>
      </w:r>
      <w:r>
        <w:rPr>
          <w:rFonts w:ascii="Palatino Linotype" w:eastAsia="Palatino Linotype" w:hAnsi="Palatino Linotype" w:cs="Palatino Linotype"/>
        </w:rPr>
        <w:t xml:space="preserve">omando en consideración dicha circunstancia, así como el hecho de que la </w:t>
      </w:r>
      <w:r>
        <w:rPr>
          <w:rFonts w:ascii="Palatino Linotype" w:eastAsia="Palatino Linotype" w:hAnsi="Palatino Linotype" w:cs="Palatino Linotype"/>
          <w:color w:val="000000"/>
        </w:rPr>
        <w:t xml:space="preserve">información proporcionada </w:t>
      </w:r>
      <w:r>
        <w:rPr>
          <w:rFonts w:ascii="Palatino Linotype" w:eastAsia="Palatino Linotype" w:hAnsi="Palatino Linotype" w:cs="Palatino Linotype"/>
        </w:rPr>
        <w:t xml:space="preserve">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puesta a la vista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con la finalidad </w:t>
      </w:r>
      <w:r>
        <w:rPr>
          <w:rFonts w:ascii="Palatino Linotype" w:eastAsia="Palatino Linotype" w:hAnsi="Palatino Linotype" w:cs="Palatino Linotype"/>
        </w:rPr>
        <w:t>de que manifestara lo que a su derecho conviniera, sin que obre constancia en el expediente electrónico de que dicho derecho se hiciera valer, debe entenderse que ha quedado satisfecha la solicitud planteada, quedando sin materia el presente recurso de rev</w:t>
      </w:r>
      <w:r>
        <w:rPr>
          <w:rFonts w:ascii="Palatino Linotype" w:eastAsia="Palatino Linotype" w:hAnsi="Palatino Linotype" w:cs="Palatino Linotype"/>
        </w:rPr>
        <w:t>isión, consecuentemente se actualiza la causal prevista en la fracción III del artículo 192 de la Ley de la Materia vigente en la Entidad, antes transcrita.</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completa a la solicitud de acceso a la información púb</w:t>
      </w:r>
      <w:r>
        <w:rPr>
          <w:rFonts w:ascii="Palatino Linotype" w:eastAsia="Palatino Linotype" w:hAnsi="Palatino Linotype" w:cs="Palatino Linotype"/>
        </w:rPr>
        <w:t xml:space="preserve">lica del ahora </w:t>
      </w:r>
      <w:r>
        <w:rPr>
          <w:rFonts w:ascii="Palatino Linotype" w:eastAsia="Palatino Linotype" w:hAnsi="Palatino Linotype" w:cs="Palatino Linotype"/>
          <w:b/>
        </w:rPr>
        <w:t>Recurrente</w:t>
      </w:r>
      <w:r>
        <w:rPr>
          <w:rFonts w:ascii="Palatino Linotype" w:eastAsia="Palatino Linotype" w:hAnsi="Palatino Linotype" w:cs="Palatino Linotype"/>
        </w:rPr>
        <w:t>; aunque ello haya sido de manera posterior a su respuesta inicial; dejando con ello sin materia el presente recurso de revisión, actualizándose entonces la causal prevista en la fracción III del artículo 192 de la Ley de la Materi</w:t>
      </w:r>
      <w:r>
        <w:rPr>
          <w:rFonts w:ascii="Palatino Linotype" w:eastAsia="Palatino Linotype" w:hAnsi="Palatino Linotype" w:cs="Palatino Linotype"/>
        </w:rPr>
        <w:t xml:space="preserve">a vigente en la Entidad, antes transcrita. </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w:t>
      </w:r>
      <w:r>
        <w:rPr>
          <w:rFonts w:ascii="Palatino Linotype" w:eastAsia="Palatino Linotype" w:hAnsi="Palatino Linotype" w:cs="Palatino Linotype"/>
        </w:rPr>
        <w:lastRenderedPageBreak/>
        <w:t xml:space="preserve">presentarse causas que impiden a la autoridad referirse a lo sustancial de lo planteado por el </w:t>
      </w:r>
      <w:r>
        <w:rPr>
          <w:rFonts w:ascii="Palatino Linotype" w:eastAsia="Palatino Linotype" w:hAnsi="Palatino Linotype" w:cs="Palatino Linotype"/>
          <w:b/>
        </w:rPr>
        <w:t>Recurrente</w:t>
      </w:r>
      <w:r>
        <w:rPr>
          <w:rFonts w:ascii="Palatino Linotype" w:eastAsia="Palatino Linotype" w:hAnsi="Palatino Linotype" w:cs="Palatino Linotype"/>
        </w:rPr>
        <w:t>, los efectos del sobr</w:t>
      </w:r>
      <w:r>
        <w:rPr>
          <w:rFonts w:ascii="Palatino Linotype" w:eastAsia="Palatino Linotype" w:hAnsi="Palatino Linotype" w:cs="Palatino Linotype"/>
        </w:rPr>
        <w:t>eseimiento son los dar por concluido el recurso administrativo sin entrar al estudio de fondo del asunto de que se trate; lo anterior con apoyo en el criterio del Poder Judicial de la Federación con rubro:</w:t>
      </w:r>
    </w:p>
    <w:p w:rsidR="000622D5" w:rsidRDefault="009B50D2">
      <w:pPr>
        <w:spacing w:before="240" w:after="240"/>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w:t>
      </w:r>
      <w:r>
        <w:rPr>
          <w:rFonts w:ascii="Palatino Linotype" w:eastAsia="Palatino Linotype" w:hAnsi="Palatino Linotype" w:cs="Palatino Linotype"/>
          <w:b/>
          <w:i/>
          <w:sz w:val="22"/>
          <w:szCs w:val="22"/>
        </w:rPr>
        <w:t>AS CUESTIONES DE FONDO</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w:t>
      </w:r>
      <w:r>
        <w:rPr>
          <w:rFonts w:ascii="Palatino Linotype" w:eastAsia="Palatino Linotype" w:hAnsi="Palatino Linotype" w:cs="Palatino Linotype"/>
          <w:i/>
          <w:sz w:val="22"/>
          <w:szCs w:val="22"/>
        </w:rPr>
        <w:t>amientos tendientes a demostrar la inconstitucionalidad de los actos reclamados de las autoridades responsables, que constituyen el problema de fondo, si se decreta el sobreseimiento del juicio.” (Sic)</w:t>
      </w:r>
    </w:p>
    <w:p w:rsidR="000622D5" w:rsidRDefault="000622D5">
      <w:pPr>
        <w:spacing w:before="240" w:after="240"/>
        <w:ind w:left="567" w:right="567"/>
        <w:jc w:val="both"/>
        <w:rPr>
          <w:rFonts w:ascii="Palatino Linotype" w:eastAsia="Palatino Linotype" w:hAnsi="Palatino Linotype" w:cs="Palatino Linotype"/>
          <w:i/>
          <w:sz w:val="22"/>
          <w:szCs w:val="22"/>
        </w:rPr>
      </w:pP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w:t>
      </w:r>
      <w:r>
        <w:rPr>
          <w:rFonts w:ascii="Palatino Linotype" w:eastAsia="Palatino Linotype" w:hAnsi="Palatino Linotype" w:cs="Palatino Linotype"/>
        </w:rPr>
        <w:t>o de sobreseer el recurso de revisión no implica una limitación o negación a la justicia, según lo ha establecido el Poder Judicial Federal, en el criterio que es aplicable por analogía, con rubro:</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w:t>
      </w:r>
      <w:r>
        <w:rPr>
          <w:rFonts w:ascii="Palatino Linotype" w:eastAsia="Palatino Linotype" w:hAnsi="Palatino Linotype" w:cs="Palatino Linotype"/>
          <w:i/>
          <w:sz w:val="22"/>
          <w:szCs w:val="22"/>
        </w:rPr>
        <w:t>O IMPLICA DENEGACIÓN DE JUSTICIA NI GENERA INSEGURIDAD JURÍDICA”</w:t>
      </w:r>
    </w:p>
    <w:p w:rsidR="000622D5" w:rsidRDefault="009B50D2">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w:t>
      </w:r>
      <w:r>
        <w:rPr>
          <w:rFonts w:ascii="Palatino Linotype" w:eastAsia="Palatino Linotype" w:hAnsi="Palatino Linotype" w:cs="Palatino Linotype"/>
          <w:i/>
          <w:sz w:val="22"/>
          <w:szCs w:val="22"/>
        </w:rPr>
        <w:t xml:space="preserve"> no es tramitar y resolver en el fondo todos los asuntos sometidos a su consideración en forma favorable a los intereses del solicitante, sino que se circunscribe a la posibilidad que tiene cualquier individuo de acudir ante los órganos jurisdiccionales, </w:t>
      </w:r>
      <w:r>
        <w:rPr>
          <w:rFonts w:ascii="Palatino Linotype" w:eastAsia="Palatino Linotype" w:hAnsi="Palatino Linotype" w:cs="Palatino Linotype"/>
          <w:i/>
          <w:sz w:val="22"/>
          <w:szCs w:val="22"/>
        </w:rPr>
        <w:lastRenderedPageBreak/>
        <w:t>c</w:t>
      </w:r>
      <w:r>
        <w:rPr>
          <w:rFonts w:ascii="Palatino Linotype" w:eastAsia="Palatino Linotype" w:hAnsi="Palatino Linotype" w:cs="Palatino Linotype"/>
          <w:i/>
          <w:sz w:val="22"/>
          <w:szCs w:val="22"/>
        </w:rPr>
        <w:t>on su promoción (demanda), a la cual debe darse el trámite acorde a las formalidades rectoras del procedimiento respectivo, dentro de las cuales el legislador previó las causales de improcedencia y sobreseimiento. Así, cuando el juzgador o tribunal de ampa</w:t>
      </w:r>
      <w:r>
        <w:rPr>
          <w:rFonts w:ascii="Palatino Linotype" w:eastAsia="Palatino Linotype" w:hAnsi="Palatino Linotype" w:cs="Palatino Linotype"/>
          <w:i/>
          <w:sz w:val="22"/>
          <w:szCs w:val="22"/>
        </w:rPr>
        <w:t>ro se funda en una de ellas para desechar o sobreseer en un juicio, imparte justicia, puesto que el acceso a ella no se ve menoscabado, sino que es efectivo, ni se deja en estado de indefensión al promovente, no obstante sea desfavorable, al no poder negar</w:t>
      </w:r>
      <w:r>
        <w:rPr>
          <w:rFonts w:ascii="Palatino Linotype" w:eastAsia="Palatino Linotype" w:hAnsi="Palatino Linotype" w:cs="Palatino Linotype"/>
          <w:i/>
          <w:sz w:val="22"/>
          <w:szCs w:val="22"/>
        </w:rPr>
        <w:t xml:space="preserve"> que se da respuesta a la petición de amparo, con independencia de que no comparta el sentido de la resolución, dado que de esa forma quien imparte justicia se pronuncia sobre la acción, diciendo así el derecho y permitiendo que impere el orden jurídico.” </w:t>
      </w:r>
      <w:r>
        <w:rPr>
          <w:rFonts w:ascii="Palatino Linotype" w:eastAsia="Palatino Linotype" w:hAnsi="Palatino Linotype" w:cs="Palatino Linotype"/>
          <w:i/>
          <w:sz w:val="22"/>
          <w:szCs w:val="22"/>
        </w:rPr>
        <w:t>(Sic)</w:t>
      </w:r>
    </w:p>
    <w:p w:rsidR="000622D5" w:rsidRDefault="009B50D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181, 185 de la Ley</w:t>
      </w:r>
      <w:r>
        <w:rPr>
          <w:rFonts w:ascii="Palatino Linotype" w:eastAsia="Palatino Linotype" w:hAnsi="Palatino Linotype" w:cs="Palatino Linotype"/>
        </w:rPr>
        <w:t xml:space="preserve"> de Transparencia y Acceso a la Información Pública del Estado de México y Municipios, este Pleno:</w:t>
      </w:r>
    </w:p>
    <w:p w:rsidR="000622D5" w:rsidRDefault="009B50D2">
      <w:pPr>
        <w:numPr>
          <w:ilvl w:val="0"/>
          <w:numId w:val="9"/>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0622D5" w:rsidRDefault="009B50D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 xml:space="preserve">infundados </w:t>
      </w:r>
      <w:r>
        <w:rPr>
          <w:rFonts w:ascii="Palatino Linotype" w:eastAsia="Palatino Linotype" w:hAnsi="Palatino Linotype" w:cs="Palatino Linotype"/>
        </w:rPr>
        <w:t>los motivos de inconformidad aducidos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en el Recurso de Revisión</w:t>
      </w:r>
      <w:r>
        <w:rPr>
          <w:rFonts w:ascii="Palatino Linotype" w:eastAsia="Palatino Linotype" w:hAnsi="Palatino Linotype" w:cs="Palatino Linotype"/>
          <w:b/>
        </w:rPr>
        <w:t xml:space="preserve"> 04344/INFOEM/IP/RR/2022, </w:t>
      </w:r>
      <w:r>
        <w:rPr>
          <w:rFonts w:ascii="Palatino Linotype" w:eastAsia="Palatino Linotype" w:hAnsi="Palatino Linotype" w:cs="Palatino Linotype"/>
        </w:rPr>
        <w:t>por lo que, en términos de los argumentos señalados en el</w:t>
      </w:r>
      <w:r>
        <w:rPr>
          <w:rFonts w:ascii="Palatino Linotype" w:eastAsia="Palatino Linotype" w:hAnsi="Palatino Linotype" w:cs="Palatino Linotype"/>
          <w:b/>
        </w:rPr>
        <w:t xml:space="preserve"> Considerando Cuarto se CONFIRMA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0622D5" w:rsidRDefault="009B50D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el recurso de revisión </w:t>
      </w:r>
      <w:r>
        <w:rPr>
          <w:rFonts w:ascii="Palatino Linotype" w:eastAsia="Palatino Linotype" w:hAnsi="Palatino Linotype" w:cs="Palatino Linotype"/>
          <w:b/>
        </w:rPr>
        <w:t xml:space="preserve">04345/INFOEM/IP/RR/2022, </w:t>
      </w:r>
      <w:r>
        <w:rPr>
          <w:rFonts w:ascii="Palatino Linotype" w:eastAsia="Palatino Linotype" w:hAnsi="Palatino Linotype" w:cs="Palatino Linotype"/>
          <w:color w:val="000000"/>
        </w:rPr>
        <w:t xml:space="preserve">porque al </w:t>
      </w:r>
      <w:r>
        <w:rPr>
          <w:rFonts w:ascii="Palatino Linotype" w:eastAsia="Palatino Linotype" w:hAnsi="Palatino Linotype" w:cs="Palatino Linotype"/>
          <w:b/>
          <w:color w:val="000000"/>
        </w:rPr>
        <w:t>modificar la respuesta</w:t>
      </w:r>
      <w:r>
        <w:rPr>
          <w:rFonts w:ascii="Palatino Linotype" w:eastAsia="Palatino Linotype" w:hAnsi="Palatino Linotype" w:cs="Palatino Linotype"/>
          <w:color w:val="000000"/>
        </w:rPr>
        <w:t xml:space="preserve"> se actualizó la causal prevista en el artículo 192, fracción III, de la Ley de Transparencia y Acceso a la Información Pública del Estado de México y Municipios, quedando sin materia en términos del </w:t>
      </w:r>
      <w:r>
        <w:rPr>
          <w:rFonts w:ascii="Palatino Linotype" w:eastAsia="Palatino Linotype" w:hAnsi="Palatino Linotype" w:cs="Palatino Linotype"/>
          <w:b/>
          <w:color w:val="000000"/>
        </w:rPr>
        <w:t xml:space="preserve">Considerando Cuarto </w:t>
      </w:r>
      <w:r>
        <w:rPr>
          <w:rFonts w:ascii="Palatino Linotype" w:eastAsia="Palatino Linotype" w:hAnsi="Palatino Linotype" w:cs="Palatino Linotype"/>
          <w:color w:val="000000"/>
        </w:rPr>
        <w:t>de la presente Resolución.</w:t>
      </w:r>
    </w:p>
    <w:p w:rsidR="000622D5" w:rsidRDefault="009B50D2">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rPr>
        <w:lastRenderedPageBreak/>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color w:val="000000"/>
          <w:highlight w:val="white"/>
        </w:rPr>
        <w:t xml:space="preserve">Notifíquese vía </w:t>
      </w:r>
      <w:r>
        <w:rPr>
          <w:rFonts w:ascii="Palatino Linotype" w:eastAsia="Palatino Linotype" w:hAnsi="Palatino Linotype" w:cs="Palatino Linotype"/>
          <w:b/>
          <w:color w:val="000000"/>
        </w:rPr>
        <w:t>Sistema de Acceso a la Información Mexiquense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highlight w:val="white"/>
        </w:rPr>
        <w:t>SAIMEX)</w:t>
      </w:r>
      <w:r>
        <w:rPr>
          <w:rFonts w:ascii="Palatino Linotype" w:eastAsia="Palatino Linotype" w:hAnsi="Palatino Linotype" w:cs="Palatino Linotype"/>
          <w:b/>
          <w:i/>
          <w:color w:val="000000"/>
          <w:highlight w:val="white"/>
        </w:rPr>
        <w:t xml:space="preserve">, </w:t>
      </w:r>
      <w:r>
        <w:rPr>
          <w:rFonts w:ascii="Palatino Linotype" w:eastAsia="Palatino Linotype" w:hAnsi="Palatino Linotype" w:cs="Palatino Linotype"/>
          <w:color w:val="000000"/>
          <w:highlight w:val="white"/>
        </w:rPr>
        <w:t xml:space="preserve">al Titular de la Unidad de Transparencia del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la presente resolución, para su conocimiento.</w:t>
      </w:r>
    </w:p>
    <w:p w:rsidR="000622D5" w:rsidRDefault="009B50D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al recurrente vía Sistema de Acceso a la Información Me</w:t>
      </w:r>
      <w:r>
        <w:rPr>
          <w:rFonts w:ascii="Palatino Linotype" w:eastAsia="Palatino Linotype" w:hAnsi="Palatino Linotype" w:cs="Palatino Linotype"/>
          <w:b/>
        </w:rPr>
        <w:t>xiquense (SAIMEX)</w:t>
      </w:r>
      <w:r>
        <w:t xml:space="preserve"> </w:t>
      </w:r>
      <w:r>
        <w:rPr>
          <w:rFonts w:ascii="Palatino Linotype" w:eastAsia="Palatino Linotype" w:hAnsi="Palatino Linotype" w:cs="Palatino Linotype"/>
          <w:b/>
        </w:rPr>
        <w:t xml:space="preserve">así como a través de correo electrónico,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w:t>
      </w:r>
      <w:r>
        <w:rPr>
          <w:rFonts w:ascii="Palatino Linotype" w:eastAsia="Palatino Linotype" w:hAnsi="Palatino Linotype" w:cs="Palatino Linotype"/>
        </w:rPr>
        <w:t xml:space="preserve"> que considere que le causa algún perjuicio podrá impugnarla vía Juicio de Amparo en los términos de las leyes aplicables</w:t>
      </w:r>
      <w:r>
        <w:rPr>
          <w:rFonts w:ascii="Palatino Linotype" w:eastAsia="Palatino Linotype" w:hAnsi="Palatino Linotype" w:cs="Palatino Linotype"/>
          <w:b/>
        </w:rPr>
        <w:t>.</w:t>
      </w:r>
    </w:p>
    <w:p w:rsidR="000622D5" w:rsidRDefault="009B50D2">
      <w:pPr>
        <w:spacing w:before="240" w:after="240" w:line="360" w:lineRule="auto"/>
        <w:ind w:right="49"/>
        <w:jc w:val="both"/>
        <w:rPr>
          <w:rFonts w:ascii="Palatino Linotype" w:eastAsia="Palatino Linotype" w:hAnsi="Palatino Linotype" w:cs="Palatino Linotype"/>
        </w:rPr>
        <w:sectPr w:rsidR="000622D5">
          <w:headerReference w:type="even" r:id="rId52"/>
          <w:headerReference w:type="default" r:id="rId53"/>
          <w:footerReference w:type="even" r:id="rId54"/>
          <w:footerReference w:type="default" r:id="rId55"/>
          <w:headerReference w:type="first" r:id="rId56"/>
          <w:footerReference w:type="first" r:id="rId57"/>
          <w:pgSz w:w="12240" w:h="15840"/>
          <w:pgMar w:top="621" w:right="1701" w:bottom="1701" w:left="1701" w:header="618" w:footer="709"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Pr>
          <w:rFonts w:ascii="Palatino Linotype" w:eastAsia="Palatino Linotype" w:hAnsi="Palatino Linotype" w:cs="Palatino Linotype"/>
        </w:rPr>
        <w:t>MEJÍA AYALA, SHARON CRISTINA MORALES MARTÍNEZ; LUIS GUSTAVO PARRA NORIEGA Y GUADALUPE RAMÍREZ PEÑA; EN LA TRIGÉSIMA PRIMERA SESIÓN ORDINARIA CELEBRADA EL TREINTA Y UNO DE AGOSTO DE DOS MIL VEINTIDÓS, ANTE EL SECRETARIO TÉCNICO DEL PLENO, ALEXIS TAPIA RAMÍR</w:t>
      </w:r>
      <w:r>
        <w:rPr>
          <w:rFonts w:ascii="Palatino Linotype" w:eastAsia="Palatino Linotype" w:hAnsi="Palatino Linotype" w:cs="Palatino Linotype"/>
        </w:rPr>
        <w:t>EZ.</w:t>
      </w:r>
    </w:p>
    <w:p w:rsidR="000622D5" w:rsidRDefault="000622D5">
      <w:pPr>
        <w:spacing w:before="240" w:after="240"/>
        <w:jc w:val="both"/>
        <w:rPr>
          <w:rFonts w:ascii="Palatino Linotype" w:eastAsia="Palatino Linotype" w:hAnsi="Palatino Linotype" w:cs="Palatino Linotype"/>
          <w:sz w:val="20"/>
          <w:szCs w:val="20"/>
        </w:rPr>
      </w:pPr>
    </w:p>
    <w:p w:rsidR="000622D5" w:rsidRDefault="000622D5">
      <w:pPr>
        <w:spacing w:before="240" w:after="240"/>
        <w:jc w:val="both"/>
        <w:rPr>
          <w:rFonts w:ascii="Palatino Linotype" w:eastAsia="Palatino Linotype" w:hAnsi="Palatino Linotype" w:cs="Palatino Linotype"/>
          <w:sz w:val="20"/>
          <w:szCs w:val="20"/>
        </w:rPr>
      </w:pPr>
      <w:bookmarkStart w:id="5" w:name="_heading=h.1fob9te" w:colFirst="0" w:colLast="0"/>
      <w:bookmarkEnd w:id="5"/>
    </w:p>
    <w:sectPr w:rsidR="000622D5">
      <w:headerReference w:type="first" r:id="rId5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0D2" w:rsidRDefault="009B50D2">
      <w:r>
        <w:separator/>
      </w:r>
    </w:p>
  </w:endnote>
  <w:endnote w:type="continuationSeparator" w:id="0">
    <w:p w:rsidR="009B50D2" w:rsidRDefault="009B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2D5" w:rsidRDefault="000622D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2D5" w:rsidRDefault="009B50D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3454B0">
      <w:rPr>
        <w:rFonts w:ascii="Palatino Linotype" w:eastAsia="Palatino Linotype" w:hAnsi="Palatino Linotype" w:cs="Palatino Linotype"/>
        <w:b/>
        <w:color w:val="000000"/>
        <w:sz w:val="20"/>
        <w:szCs w:val="20"/>
      </w:rPr>
      <w:fldChar w:fldCharType="separate"/>
    </w:r>
    <w:r w:rsidR="003454B0">
      <w:rPr>
        <w:rFonts w:ascii="Palatino Linotype" w:eastAsia="Palatino Linotype" w:hAnsi="Palatino Linotype" w:cs="Palatino Linotype"/>
        <w:b/>
        <w:noProof/>
        <w:color w:val="000000"/>
        <w:sz w:val="20"/>
        <w:szCs w:val="20"/>
      </w:rPr>
      <w:t>91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3454B0">
      <w:rPr>
        <w:rFonts w:ascii="Palatino Linotype" w:eastAsia="Palatino Linotype" w:hAnsi="Palatino Linotype" w:cs="Palatino Linotype"/>
        <w:b/>
        <w:color w:val="000000"/>
        <w:sz w:val="20"/>
        <w:szCs w:val="20"/>
      </w:rPr>
      <w:fldChar w:fldCharType="separate"/>
    </w:r>
    <w:r w:rsidR="003454B0">
      <w:rPr>
        <w:rFonts w:ascii="Palatino Linotype" w:eastAsia="Palatino Linotype" w:hAnsi="Palatino Linotype" w:cs="Palatino Linotype"/>
        <w:b/>
        <w:noProof/>
        <w:color w:val="000000"/>
        <w:sz w:val="20"/>
        <w:szCs w:val="20"/>
      </w:rPr>
      <w:t>93</w:t>
    </w:r>
    <w:r>
      <w:rPr>
        <w:rFonts w:ascii="Palatino Linotype" w:eastAsia="Palatino Linotype" w:hAnsi="Palatino Linotype" w:cs="Palatino Linotype"/>
        <w:b/>
        <w:color w:val="000000"/>
        <w:sz w:val="20"/>
        <w:szCs w:val="20"/>
      </w:rPr>
      <w:fldChar w:fldCharType="end"/>
    </w:r>
  </w:p>
  <w:p w:rsidR="000622D5" w:rsidRDefault="000622D5">
    <w:pPr>
      <w:pBdr>
        <w:top w:val="nil"/>
        <w:left w:val="nil"/>
        <w:bottom w:val="nil"/>
        <w:right w:val="nil"/>
        <w:between w:val="nil"/>
      </w:pBdr>
      <w:tabs>
        <w:tab w:val="center" w:pos="4252"/>
        <w:tab w:val="right" w:pos="8504"/>
      </w:tabs>
      <w:ind w:firstLine="708"/>
      <w:rPr>
        <w:rFonts w:ascii="Cambria" w:eastAsia="Cambria" w:hAnsi="Cambria" w:cs="Cambria"/>
        <w:color w:val="000000"/>
      </w:rPr>
    </w:pPr>
  </w:p>
  <w:p w:rsidR="000622D5" w:rsidRDefault="000622D5"/>
  <w:p w:rsidR="000622D5" w:rsidRDefault="000622D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2D5" w:rsidRDefault="009B50D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3454B0">
      <w:rPr>
        <w:rFonts w:ascii="Palatino Linotype" w:eastAsia="Palatino Linotype" w:hAnsi="Palatino Linotype" w:cs="Palatino Linotype"/>
        <w:b/>
        <w:color w:val="000000"/>
        <w:sz w:val="20"/>
        <w:szCs w:val="20"/>
      </w:rPr>
      <w:fldChar w:fldCharType="separate"/>
    </w:r>
    <w:r w:rsidR="003454B0">
      <w:rPr>
        <w:rFonts w:ascii="Palatino Linotype" w:eastAsia="Palatino Linotype" w:hAnsi="Palatino Linotype" w:cs="Palatino Linotype"/>
        <w:b/>
        <w:noProof/>
        <w:color w:val="000000"/>
        <w:sz w:val="20"/>
        <w:szCs w:val="20"/>
      </w:rPr>
      <w:t>93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3454B0">
      <w:rPr>
        <w:rFonts w:ascii="Palatino Linotype" w:eastAsia="Palatino Linotype" w:hAnsi="Palatino Linotype" w:cs="Palatino Linotype"/>
        <w:b/>
        <w:color w:val="000000"/>
        <w:sz w:val="20"/>
        <w:szCs w:val="20"/>
      </w:rPr>
      <w:fldChar w:fldCharType="separate"/>
    </w:r>
    <w:r w:rsidR="003454B0">
      <w:rPr>
        <w:rFonts w:ascii="Palatino Linotype" w:eastAsia="Palatino Linotype" w:hAnsi="Palatino Linotype" w:cs="Palatino Linotype"/>
        <w:b/>
        <w:noProof/>
        <w:color w:val="000000"/>
        <w:sz w:val="20"/>
        <w:szCs w:val="20"/>
      </w:rPr>
      <w:t>93</w:t>
    </w:r>
    <w:r>
      <w:rPr>
        <w:rFonts w:ascii="Palatino Linotype" w:eastAsia="Palatino Linotype" w:hAnsi="Palatino Linotype" w:cs="Palatino Linotype"/>
        <w:b/>
        <w:color w:val="000000"/>
        <w:sz w:val="20"/>
        <w:szCs w:val="20"/>
      </w:rPr>
      <w:fldChar w:fldCharType="end"/>
    </w:r>
  </w:p>
  <w:p w:rsidR="000622D5" w:rsidRDefault="000622D5">
    <w:pPr>
      <w:pBdr>
        <w:top w:val="nil"/>
        <w:left w:val="nil"/>
        <w:bottom w:val="nil"/>
        <w:right w:val="nil"/>
        <w:between w:val="nil"/>
      </w:pBdr>
      <w:tabs>
        <w:tab w:val="center" w:pos="4252"/>
        <w:tab w:val="right" w:pos="8504"/>
      </w:tabs>
      <w:rPr>
        <w:rFonts w:ascii="Cambria" w:eastAsia="Cambria" w:hAnsi="Cambria" w:cs="Cambria"/>
        <w:color w:val="000000"/>
      </w:rPr>
    </w:pPr>
  </w:p>
  <w:p w:rsidR="000622D5" w:rsidRDefault="000622D5"/>
  <w:p w:rsidR="000622D5" w:rsidRDefault="000622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0D2" w:rsidRDefault="009B50D2">
      <w:r>
        <w:separator/>
      </w:r>
    </w:p>
  </w:footnote>
  <w:footnote w:type="continuationSeparator" w:id="0">
    <w:p w:rsidR="009B50D2" w:rsidRDefault="009B50D2">
      <w:r>
        <w:continuationSeparator/>
      </w:r>
    </w:p>
  </w:footnote>
  <w:footnote w:id="1">
    <w:p w:rsidR="000622D5" w:rsidRDefault="009B50D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0622D5" w:rsidRDefault="009B50D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w:t>
      </w:r>
      <w:r>
        <w:rPr>
          <w:rFonts w:ascii="Palatino Linotype" w:eastAsia="Palatino Linotype" w:hAnsi="Palatino Linotype" w:cs="Palatino Linotype"/>
          <w:color w:val="000000"/>
          <w:sz w:val="16"/>
          <w:szCs w:val="16"/>
        </w:rPr>
        <w:t>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2D5" w:rsidRDefault="000622D5">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2D5" w:rsidRDefault="009B50D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-1080128</wp:posOffset>
          </wp:positionH>
          <wp:positionV relativeFrom="paragraph">
            <wp:posOffset>-396395</wp:posOffset>
          </wp:positionV>
          <wp:extent cx="7809865" cy="10165715"/>
          <wp:effectExtent l="0" t="0" r="0" b="0"/>
          <wp:wrapNone/>
          <wp:docPr id="3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5"/>
      <w:tblW w:w="5827" w:type="dxa"/>
      <w:tblInd w:w="3261" w:type="dxa"/>
      <w:tblLayout w:type="fixed"/>
      <w:tblLook w:val="0400" w:firstRow="0" w:lastRow="0" w:firstColumn="0" w:lastColumn="0" w:noHBand="0" w:noVBand="1"/>
    </w:tblPr>
    <w:tblGrid>
      <w:gridCol w:w="2390"/>
      <w:gridCol w:w="3437"/>
    </w:tblGrid>
    <w:tr w:rsidR="000622D5">
      <w:trPr>
        <w:trHeight w:val="502"/>
      </w:trPr>
      <w:tc>
        <w:tcPr>
          <w:tcW w:w="2390" w:type="dxa"/>
          <w:shd w:val="clear" w:color="auto" w:fill="auto"/>
        </w:tcPr>
        <w:p w:rsidR="000622D5" w:rsidRDefault="009B50D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rsidR="000622D5" w:rsidRDefault="009B50D2">
          <w:pPr>
            <w:ind w:right="175"/>
            <w:jc w:val="both"/>
            <w:rPr>
              <w:rFonts w:ascii="Palatino Linotype" w:eastAsia="Palatino Linotype" w:hAnsi="Palatino Linotype" w:cs="Palatino Linotype"/>
              <w:b/>
            </w:rPr>
          </w:pPr>
          <w:r>
            <w:rPr>
              <w:rFonts w:ascii="Palatino Linotype" w:eastAsia="Palatino Linotype" w:hAnsi="Palatino Linotype" w:cs="Palatino Linotype"/>
              <w:b/>
            </w:rPr>
            <w:t>04344/INFOEM/IP/RR/2022 y acumulado</w:t>
          </w:r>
        </w:p>
      </w:tc>
    </w:tr>
    <w:tr w:rsidR="000622D5">
      <w:trPr>
        <w:trHeight w:val="190"/>
      </w:trPr>
      <w:tc>
        <w:tcPr>
          <w:tcW w:w="2390" w:type="dxa"/>
          <w:shd w:val="clear" w:color="auto" w:fill="auto"/>
          <w:vAlign w:val="center"/>
        </w:tcPr>
        <w:p w:rsidR="000622D5" w:rsidRDefault="009B50D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rsidR="000622D5" w:rsidRDefault="009B50D2">
          <w:pPr>
            <w:ind w:left="27" w:right="-53"/>
            <w:jc w:val="both"/>
            <w:rPr>
              <w:rFonts w:ascii="Palatino Linotype" w:eastAsia="Palatino Linotype" w:hAnsi="Palatino Linotype" w:cs="Palatino Linotype"/>
              <w:b/>
            </w:rPr>
          </w:pPr>
          <w:r>
            <w:rPr>
              <w:rFonts w:ascii="Palatino Linotype" w:eastAsia="Palatino Linotype" w:hAnsi="Palatino Linotype" w:cs="Palatino Linotype"/>
              <w:b/>
            </w:rPr>
            <w:t>Instituto Electoral del Estado de México</w:t>
          </w:r>
        </w:p>
      </w:tc>
    </w:tr>
    <w:tr w:rsidR="000622D5">
      <w:trPr>
        <w:trHeight w:val="251"/>
      </w:trPr>
      <w:tc>
        <w:tcPr>
          <w:tcW w:w="2390" w:type="dxa"/>
          <w:shd w:val="clear" w:color="auto" w:fill="auto"/>
          <w:vAlign w:val="center"/>
        </w:tcPr>
        <w:p w:rsidR="000622D5" w:rsidRDefault="009B50D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rsidR="000622D5" w:rsidRDefault="009B50D2">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0622D5" w:rsidRDefault="009B50D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0622D5" w:rsidRDefault="009B50D2">
    <w:pPr>
      <w:tabs>
        <w:tab w:val="left" w:pos="7140"/>
      </w:tabs>
    </w:pPr>
    <w:r>
      <w:tab/>
    </w:r>
  </w:p>
  <w:p w:rsidR="000622D5" w:rsidRDefault="009B50D2">
    <w:pPr>
      <w:tabs>
        <w:tab w:val="left" w:pos="7560"/>
        <w:tab w:val="right" w:pos="8838"/>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2D5" w:rsidRDefault="000622D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f6"/>
      <w:tblW w:w="5862" w:type="dxa"/>
      <w:tblInd w:w="3261" w:type="dxa"/>
      <w:tblLayout w:type="fixed"/>
      <w:tblLook w:val="0400" w:firstRow="0" w:lastRow="0" w:firstColumn="0" w:lastColumn="0" w:noHBand="0" w:noVBand="1"/>
    </w:tblPr>
    <w:tblGrid>
      <w:gridCol w:w="2512"/>
      <w:gridCol w:w="3350"/>
    </w:tblGrid>
    <w:tr w:rsidR="000622D5">
      <w:trPr>
        <w:trHeight w:val="442"/>
      </w:trPr>
      <w:tc>
        <w:tcPr>
          <w:tcW w:w="2512" w:type="dxa"/>
          <w:shd w:val="clear" w:color="auto" w:fill="auto"/>
          <w:vAlign w:val="center"/>
        </w:tcPr>
        <w:p w:rsidR="000622D5" w:rsidRDefault="009B50D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50" w:type="dxa"/>
          <w:shd w:val="clear" w:color="auto" w:fill="auto"/>
          <w:vAlign w:val="center"/>
        </w:tcPr>
        <w:p w:rsidR="000622D5" w:rsidRDefault="009B50D2">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04344/INFOEM/IP/RR/2022 y acumulado</w:t>
          </w:r>
        </w:p>
      </w:tc>
    </w:tr>
    <w:tr w:rsidR="000622D5">
      <w:trPr>
        <w:trHeight w:val="250"/>
      </w:trPr>
      <w:tc>
        <w:tcPr>
          <w:tcW w:w="2512" w:type="dxa"/>
          <w:shd w:val="clear" w:color="auto" w:fill="auto"/>
          <w:vAlign w:val="center"/>
        </w:tcPr>
        <w:p w:rsidR="000622D5" w:rsidRDefault="009B50D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350" w:type="dxa"/>
          <w:shd w:val="clear" w:color="auto" w:fill="auto"/>
          <w:vAlign w:val="center"/>
        </w:tcPr>
        <w:p w:rsidR="000622D5" w:rsidRDefault="003454B0">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XXXXXXXX XXXXXXXX XXXXXX</w:t>
          </w:r>
        </w:p>
      </w:tc>
    </w:tr>
    <w:tr w:rsidR="000622D5">
      <w:trPr>
        <w:trHeight w:val="168"/>
      </w:trPr>
      <w:tc>
        <w:tcPr>
          <w:tcW w:w="2512" w:type="dxa"/>
          <w:shd w:val="clear" w:color="auto" w:fill="auto"/>
          <w:vAlign w:val="center"/>
        </w:tcPr>
        <w:p w:rsidR="000622D5" w:rsidRDefault="009B50D2">
          <w:pPr>
            <w:rPr>
              <w:rFonts w:ascii="Palatino Linotype" w:eastAsia="Palatino Linotype" w:hAnsi="Palatino Linotype" w:cs="Palatino Linotype"/>
              <w:b/>
            </w:rPr>
          </w:pPr>
          <w:r>
            <w:rPr>
              <w:rFonts w:ascii="Palatino Linotype" w:eastAsia="Palatino Linotype" w:hAnsi="Palatino Linotype" w:cs="Palatino Linotype"/>
              <w:b/>
            </w:rPr>
            <w:t>Sujeto Obligado:</w:t>
          </w:r>
          <w:r>
            <w:rPr>
              <w:noProof/>
              <w:lang w:val="es-MX"/>
            </w:rPr>
            <w:drawing>
              <wp:anchor distT="0" distB="0" distL="0" distR="0" simplePos="0" relativeHeight="251659264" behindDoc="1" locked="0" layoutInCell="1" hidden="0" allowOverlap="1">
                <wp:simplePos x="0" y="0"/>
                <wp:positionH relativeFrom="column">
                  <wp:posOffset>-3428361</wp:posOffset>
                </wp:positionH>
                <wp:positionV relativeFrom="paragraph">
                  <wp:posOffset>-1170937</wp:posOffset>
                </wp:positionV>
                <wp:extent cx="7809865" cy="10165715"/>
                <wp:effectExtent l="0" t="0" r="0" b="0"/>
                <wp:wrapNone/>
                <wp:docPr id="3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c>
        <w:tcPr>
          <w:tcW w:w="3350" w:type="dxa"/>
          <w:shd w:val="clear" w:color="auto" w:fill="auto"/>
          <w:vAlign w:val="center"/>
        </w:tcPr>
        <w:p w:rsidR="000622D5" w:rsidRDefault="009B50D2">
          <w:pPr>
            <w:ind w:left="-45" w:right="452"/>
            <w:jc w:val="both"/>
            <w:rPr>
              <w:rFonts w:ascii="Palatino Linotype" w:eastAsia="Palatino Linotype" w:hAnsi="Palatino Linotype" w:cs="Palatino Linotype"/>
              <w:b/>
            </w:rPr>
          </w:pPr>
          <w:r>
            <w:rPr>
              <w:rFonts w:ascii="Palatino Linotype" w:eastAsia="Palatino Linotype" w:hAnsi="Palatino Linotype" w:cs="Palatino Linotype"/>
              <w:b/>
            </w:rPr>
            <w:t>Instituto Electoral del Estado de México</w:t>
          </w:r>
        </w:p>
      </w:tc>
    </w:tr>
    <w:tr w:rsidR="000622D5">
      <w:trPr>
        <w:trHeight w:val="221"/>
      </w:trPr>
      <w:tc>
        <w:tcPr>
          <w:tcW w:w="2512" w:type="dxa"/>
          <w:shd w:val="clear" w:color="auto" w:fill="auto"/>
          <w:vAlign w:val="center"/>
        </w:tcPr>
        <w:p w:rsidR="000622D5" w:rsidRDefault="009B50D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50" w:type="dxa"/>
          <w:shd w:val="clear" w:color="auto" w:fill="auto"/>
          <w:vAlign w:val="center"/>
        </w:tcPr>
        <w:p w:rsidR="000622D5" w:rsidRDefault="009B50D2">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0622D5" w:rsidRDefault="000622D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2D5" w:rsidRDefault="000622D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B535B"/>
    <w:multiLevelType w:val="multilevel"/>
    <w:tmpl w:val="07D851C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nsid w:val="21C11F9C"/>
    <w:multiLevelType w:val="multilevel"/>
    <w:tmpl w:val="DCF06F54"/>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34B124B3"/>
    <w:multiLevelType w:val="multilevel"/>
    <w:tmpl w:val="58E6EF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6E2412F"/>
    <w:multiLevelType w:val="multilevel"/>
    <w:tmpl w:val="DFFA109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8E24E92"/>
    <w:multiLevelType w:val="multilevel"/>
    <w:tmpl w:val="02B05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16D6B48"/>
    <w:multiLevelType w:val="multilevel"/>
    <w:tmpl w:val="CC2E7B9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631019EF"/>
    <w:multiLevelType w:val="multilevel"/>
    <w:tmpl w:val="3A76105C"/>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69011CE7"/>
    <w:multiLevelType w:val="multilevel"/>
    <w:tmpl w:val="EE5CF2EE"/>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F0F6CEA"/>
    <w:multiLevelType w:val="multilevel"/>
    <w:tmpl w:val="32A65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2F2027F"/>
    <w:multiLevelType w:val="multilevel"/>
    <w:tmpl w:val="E0B86F4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59D5408"/>
    <w:multiLevelType w:val="multilevel"/>
    <w:tmpl w:val="0FD83E56"/>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7"/>
  </w:num>
  <w:num w:numId="3">
    <w:abstractNumId w:val="1"/>
  </w:num>
  <w:num w:numId="4">
    <w:abstractNumId w:val="2"/>
  </w:num>
  <w:num w:numId="5">
    <w:abstractNumId w:val="4"/>
  </w:num>
  <w:num w:numId="6">
    <w:abstractNumId w:val="5"/>
  </w:num>
  <w:num w:numId="7">
    <w:abstractNumId w:val="10"/>
  </w:num>
  <w:num w:numId="8">
    <w:abstractNumId w:val="6"/>
  </w:num>
  <w:num w:numId="9">
    <w:abstractNumId w:val="9"/>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2D5"/>
    <w:rsid w:val="000622D5"/>
    <w:rsid w:val="003454B0"/>
    <w:rsid w:val="009B5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D42309-80A4-4605-9FC5-6B9B66E8D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5"/>
    <w:tblPr>
      <w:tblStyleRowBandSize w:val="1"/>
      <w:tblStyleColBandSize w:val="1"/>
      <w:tblCellMar>
        <w:top w:w="0" w:type="dxa"/>
        <w:left w:w="115" w:type="dxa"/>
        <w:bottom w:w="0" w:type="dxa"/>
        <w:right w:w="115"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2">
    <w:basedOn w:val="TableNormal5"/>
    <w:tblPr>
      <w:tblStyleRowBandSize w:val="1"/>
      <w:tblStyleColBandSize w:val="1"/>
      <w:tblCellMar>
        <w:top w:w="0" w:type="dxa"/>
        <w:left w:w="115" w:type="dxa"/>
        <w:bottom w:w="0" w:type="dxa"/>
        <w:right w:w="115" w:type="dxa"/>
      </w:tblCellMar>
    </w:tblPr>
  </w:style>
  <w:style w:type="table" w:customStyle="1" w:styleId="a3">
    <w:basedOn w:val="TableNormal5"/>
    <w:tblPr>
      <w:tblStyleRowBandSize w:val="1"/>
      <w:tblStyleColBandSize w:val="1"/>
      <w:tblCellMar>
        <w:top w:w="0" w:type="dxa"/>
        <w:left w:w="115" w:type="dxa"/>
        <w:bottom w:w="0" w:type="dxa"/>
        <w:right w:w="115" w:type="dxa"/>
      </w:tblCellMar>
    </w:tblPr>
  </w:style>
  <w:style w:type="table" w:customStyle="1" w:styleId="a4">
    <w:basedOn w:val="TableNormal5"/>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5"/>
    <w:tblPr>
      <w:tblStyleRowBandSize w:val="1"/>
      <w:tblStyleColBandSize w:val="1"/>
      <w:tblCellMar>
        <w:top w:w="0" w:type="dxa"/>
        <w:left w:w="115" w:type="dxa"/>
        <w:bottom w:w="0" w:type="dxa"/>
        <w:right w:w="115" w:type="dxa"/>
      </w:tblCellMar>
    </w:tblPr>
  </w:style>
  <w:style w:type="table" w:customStyle="1" w:styleId="a6">
    <w:basedOn w:val="TableNormal5"/>
    <w:tblPr>
      <w:tblStyleRowBandSize w:val="1"/>
      <w:tblStyleColBandSize w:val="1"/>
      <w:tblCellMar>
        <w:top w:w="0" w:type="dxa"/>
        <w:left w:w="115" w:type="dxa"/>
        <w:bottom w:w="0" w:type="dxa"/>
        <w:right w:w="115" w:type="dxa"/>
      </w:tblCellMar>
    </w:tblPr>
  </w:style>
  <w:style w:type="table" w:customStyle="1" w:styleId="a7">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5"/>
    <w:tblPr>
      <w:tblStyleRowBandSize w:val="1"/>
      <w:tblStyleColBandSize w:val="1"/>
      <w:tblCellMar>
        <w:top w:w="0" w:type="dxa"/>
        <w:left w:w="115" w:type="dxa"/>
        <w:bottom w:w="0" w:type="dxa"/>
        <w:right w:w="115" w:type="dxa"/>
      </w:tblCellMar>
    </w:tblPr>
  </w:style>
  <w:style w:type="table" w:customStyle="1" w:styleId="ab">
    <w:basedOn w:val="TableNormal5"/>
    <w:tblPr>
      <w:tblStyleRowBandSize w:val="1"/>
      <w:tblStyleColBandSize w:val="1"/>
      <w:tblCellMar>
        <w:top w:w="0" w:type="dxa"/>
        <w:left w:w="115" w:type="dxa"/>
        <w:bottom w:w="0" w:type="dxa"/>
        <w:right w:w="115" w:type="dxa"/>
      </w:tblCellMar>
    </w:tblPr>
  </w:style>
  <w:style w:type="table" w:customStyle="1" w:styleId="ac">
    <w:basedOn w:val="TableNormal5"/>
    <w:tblPr>
      <w:tblStyleRowBandSize w:val="1"/>
      <w:tblStyleColBandSize w:val="1"/>
      <w:tblCellMar>
        <w:top w:w="0" w:type="dxa"/>
        <w:left w:w="115" w:type="dxa"/>
        <w:bottom w:w="0" w:type="dxa"/>
        <w:right w:w="115" w:type="dxa"/>
      </w:tblCellMar>
    </w:tblPr>
  </w:style>
  <w:style w:type="table" w:customStyle="1" w:styleId="ad">
    <w:basedOn w:val="TableNormal5"/>
    <w:tblPr>
      <w:tblStyleRowBandSize w:val="1"/>
      <w:tblStyleColBandSize w:val="1"/>
      <w:tblCellMar>
        <w:top w:w="0" w:type="dxa"/>
        <w:left w:w="115" w:type="dxa"/>
        <w:bottom w:w="0" w:type="dxa"/>
        <w:right w:w="115" w:type="dxa"/>
      </w:tblCellMar>
    </w:tblPr>
  </w:style>
  <w:style w:type="table" w:customStyle="1" w:styleId="ae">
    <w:basedOn w:val="TableNormal5"/>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9">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a">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2"/>
    <w:tblPr>
      <w:tblStyleRowBandSize w:val="1"/>
      <w:tblStyleColBandSize w:val="1"/>
      <w:tblCellMar>
        <w:top w:w="0" w:type="dxa"/>
        <w:left w:w="115" w:type="dxa"/>
        <w:bottom w:w="0" w:type="dxa"/>
        <w:right w:w="115" w:type="dxa"/>
      </w:tblCellMar>
    </w:tblPr>
  </w:style>
  <w:style w:type="table" w:customStyle="1" w:styleId="afc">
    <w:basedOn w:val="TableNormal2"/>
    <w:tblPr>
      <w:tblStyleRowBandSize w:val="1"/>
      <w:tblStyleColBandSize w:val="1"/>
      <w:tblCellMar>
        <w:top w:w="0" w:type="dxa"/>
        <w:left w:w="115" w:type="dxa"/>
        <w:bottom w:w="0" w:type="dxa"/>
        <w:right w:w="115" w:type="dxa"/>
      </w:tblCellMar>
    </w:tblPr>
  </w:style>
  <w:style w:type="table" w:customStyle="1" w:styleId="afd">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e">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f">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1">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3">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4">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5">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6">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80.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2.xm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0.png"/><Relationship Id="rId36" Type="http://schemas.openxmlformats.org/officeDocument/2006/relationships/image" Target="media/image110.png"/><Relationship Id="rId49" Type="http://schemas.openxmlformats.org/officeDocument/2006/relationships/image" Target="media/image37.png"/><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45.png"/><Relationship Id="rId44" Type="http://schemas.openxmlformats.org/officeDocument/2006/relationships/image" Target="media/image32.png"/><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6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giQFSIMRDZwh4BgmdDCkcyY86g==">AMUW2mWjXeExtv4n12wffyvGNKfZrqLcNbUM3y/Gnu0HC3U4F+9NWGhJPbf3Kup+tmaQ/qBzIRK0R8ZdWsOdTZsjCyGF1A1ayBicc1aniB1YYC52B0L2QbEF1GfB65TAt0yQBSGJmNpLFsGOW8iserSdnkpkOW5LWDUBfnBPuWV7n07kgzjd339+UgZPWKsBg6LiOC9lofO2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13769</Words>
  <Characters>75734</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2</cp:revision>
  <dcterms:created xsi:type="dcterms:W3CDTF">2022-09-01T16:11:00Z</dcterms:created>
  <dcterms:modified xsi:type="dcterms:W3CDTF">2022-09-06T17:46:00Z</dcterms:modified>
</cp:coreProperties>
</file>