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25E" w:rsidRDefault="001B2FF6">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rPr>
        <w:t>cuatro de mayo del dos mil veintidós</w:t>
      </w:r>
      <w:r>
        <w:rPr>
          <w:rFonts w:ascii="Palatino Linotype" w:eastAsia="Palatino Linotype" w:hAnsi="Palatino Linotype" w:cs="Palatino Linotype"/>
        </w:rPr>
        <w:t>.</w:t>
      </w:r>
    </w:p>
    <w:p w:rsidR="00A2625E" w:rsidRDefault="001B2FF6">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el expediente relativo al recurso de revisión </w:t>
      </w:r>
      <w:r>
        <w:rPr>
          <w:rFonts w:ascii="Palatino Linotype" w:eastAsia="Palatino Linotype" w:hAnsi="Palatino Linotype" w:cs="Palatino Linotype"/>
          <w:b/>
        </w:rPr>
        <w:t>03609/INFOEM/IP/RR/2022</w:t>
      </w:r>
      <w:r>
        <w:rPr>
          <w:rFonts w:ascii="Palatino Linotype" w:eastAsia="Palatino Linotype" w:hAnsi="Palatino Linotype" w:cs="Palatino Linotype"/>
        </w:rPr>
        <w:t xml:space="preserve">, interpuesto por </w:t>
      </w:r>
      <w:r w:rsidR="00FD4508" w:rsidRPr="00FD4508">
        <w:rPr>
          <w:rFonts w:ascii="Palatino Linotype" w:eastAsia="Palatino Linotype" w:hAnsi="Palatino Linotype" w:cs="Palatino Linotype"/>
          <w:b/>
        </w:rPr>
        <w:t>XXXXXX XXXX XXXXXXX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falta de respuesta a la solicitud de información con número de folio </w:t>
      </w:r>
      <w:r>
        <w:rPr>
          <w:rFonts w:ascii="Palatino Linotype" w:eastAsia="Palatino Linotype" w:hAnsi="Palatino Linotype" w:cs="Palatino Linotype"/>
          <w:b/>
        </w:rPr>
        <w:t>00111/CHIAUTLA/IP/2022,</w:t>
      </w:r>
      <w:r>
        <w:rPr>
          <w:rFonts w:ascii="Palatino Linotype" w:eastAsia="Palatino Linotype" w:hAnsi="Palatino Linotype" w:cs="Palatino Linotype"/>
        </w:rPr>
        <w:t xml:space="preserve"> por parte de </w:t>
      </w:r>
      <w:r>
        <w:rPr>
          <w:rFonts w:ascii="Palatino Linotype" w:eastAsia="Palatino Linotype" w:hAnsi="Palatino Linotype" w:cs="Palatino Linotype"/>
          <w:b/>
        </w:rPr>
        <w:t>Ayuntamiento de Chiautla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 siguiente. </w:t>
      </w:r>
    </w:p>
    <w:p w:rsidR="00A2625E" w:rsidRDefault="001B2FF6">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ocho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A2625E" w:rsidRDefault="001B2FF6">
      <w:pPr>
        <w:pBdr>
          <w:top w:val="nil"/>
          <w:left w:val="nil"/>
          <w:bottom w:val="nil"/>
          <w:right w:val="nil"/>
          <w:between w:val="nil"/>
        </w:pBd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INFORMACIÓN ARCHIVISTICA MUNICIPAL, MISMA QUE SE DETALLA EN EL ARCHIVO ADJUNTO, CON RESPUESTA EN MI CORREO ELECTRÓNICO EN COPIAS SIMPLES.” (Sic)</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 y correo electrónico.</w:t>
      </w:r>
    </w:p>
    <w:p w:rsidR="00A2625E" w:rsidRDefault="001B2FF6">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La solicitante adjuntó el documento electrónico denominado </w:t>
      </w:r>
      <w:r>
        <w:rPr>
          <w:rFonts w:ascii="Palatino Linotype" w:eastAsia="Palatino Linotype" w:hAnsi="Palatino Linotype" w:cs="Palatino Linotype"/>
          <w:b/>
          <w:i/>
        </w:rPr>
        <w:t xml:space="preserve">“SOL.INF.ARCH..pdf”, </w:t>
      </w:r>
      <w:r>
        <w:rPr>
          <w:rFonts w:ascii="Palatino Linotype" w:eastAsia="Palatino Linotype" w:hAnsi="Palatino Linotype" w:cs="Palatino Linotype"/>
        </w:rPr>
        <w:t xml:space="preserve">el cual consta en un cuestionario de diecisiete fojas, se inserta la primera foja de manera ilustrativa: </w:t>
      </w:r>
    </w:p>
    <w:p w:rsidR="00A2625E" w:rsidRDefault="001B2FF6" w:rsidP="001B2FF6">
      <w:pPr>
        <w:spacing w:before="240" w:after="240" w:line="360"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533900" cy="6181725"/>
            <wp:effectExtent l="0" t="0" r="0" b="9525"/>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533900" cy="6181725"/>
                    </a:xfrm>
                    <a:prstGeom prst="rect">
                      <a:avLst/>
                    </a:prstGeom>
                    <a:ln/>
                  </pic:spPr>
                </pic:pic>
              </a:graphicData>
            </a:graphic>
          </wp:inline>
        </w:drawing>
      </w:r>
    </w:p>
    <w:p w:rsidR="00A2625E" w:rsidRDefault="001B2FF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De las constancias que obran en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de información formulada por la parte </w:t>
      </w:r>
      <w:r>
        <w:rPr>
          <w:rFonts w:ascii="Palatino Linotype" w:eastAsia="Palatino Linotype" w:hAnsi="Palatino Linotype" w:cs="Palatino Linotype"/>
          <w:b/>
        </w:rPr>
        <w:t>Recurrente.</w:t>
      </w:r>
    </w:p>
    <w:p w:rsidR="00A2625E" w:rsidRDefault="00FD4508">
      <w:pPr>
        <w:spacing w:before="240" w:after="240" w:line="360" w:lineRule="auto"/>
        <w:jc w:val="both"/>
        <w:rPr>
          <w:rFonts w:ascii="Palatino Linotype" w:eastAsia="Palatino Linotype" w:hAnsi="Palatino Linotype" w:cs="Palatino Linotype"/>
          <w:b/>
        </w:rPr>
      </w:pPr>
      <w:r>
        <w:object w:dxaOrig="1135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75pt;height:48.75pt" o:ole="">
            <v:imagedata r:id="rId9" o:title=""/>
          </v:shape>
          <o:OLEObject Type="Embed" ProgID="Paint.Picture.1" ShapeID="_x0000_i1026" DrawAspect="Content" ObjectID="_1716106113" r:id="rId10"/>
        </w:objec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la parte solicitante con la falta de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 SAIMEX en fecha </w:t>
      </w:r>
      <w:r>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expresando lo siguiente:</w:t>
      </w:r>
    </w:p>
    <w:p w:rsidR="00A2625E" w:rsidRDefault="001B2FF6">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A2625E" w:rsidRDefault="001B2FF6">
      <w:pPr>
        <w:pBdr>
          <w:top w:val="nil"/>
          <w:left w:val="nil"/>
          <w:bottom w:val="nil"/>
          <w:right w:val="nil"/>
          <w:between w:val="nil"/>
        </w:pBd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 FUNDAMENTO EN LOS ARTÍCULOS 142 Y 143 FRACCIÓN VI DE LA LEY GENERAL DE TRANSPARENCIA Y ACCESO A LA INFORMACIÓN PÚBLICA; ARTÍCULOS 178 Y 179 FRACCIONES VII DE LA LEY DE TRANSPARENCIA Y ACCESO A LA INFORMACIÓN PÚBLICA DEL ESTADO DE MÉXICO Y MUNICIPIOS ASÍ COMO EL ARTÍCULO 121 FRACCIÓN I DE LA LEY GENERAL DE ARCHIVOS, ME PERMITO INTERPONER RECURSO DE REVISIÓN POR LA FALTA DE RESPUESTA A UNA SOLICITUD DE ACCESO A LA INFORMACIÓN, POR PARTE DEL AYUNTAMIENTO DE CHIAUTLA.” (Sic)</w:t>
      </w:r>
    </w:p>
    <w:p w:rsidR="00A2625E" w:rsidRDefault="001B2FF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A2625E" w:rsidRDefault="001B2FF6">
      <w:pPr>
        <w:pBdr>
          <w:top w:val="nil"/>
          <w:left w:val="nil"/>
          <w:bottom w:val="nil"/>
          <w:right w:val="nil"/>
          <w:between w:val="nil"/>
        </w:pBd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“POR LA FALTA DE RESPUESTA A UNA SOLICITUD DE ACCESO A LA INFORMACIÓN, POR PARTE DEL AYUNTAMIENTO DE CHIAUTLA. (SE AGREGAN DOS ARCHIVOS)” (Sic)</w:t>
      </w:r>
    </w:p>
    <w:p w:rsidR="00A2625E" w:rsidRDefault="001B2FF6">
      <w:pPr>
        <w:pBdr>
          <w:top w:val="nil"/>
          <w:left w:val="nil"/>
          <w:bottom w:val="nil"/>
          <w:right w:val="nil"/>
          <w:between w:val="nil"/>
        </w:pBdr>
        <w:spacing w:before="240" w:after="240"/>
        <w:ind w:left="567"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Archivos adjuntos: </w:t>
      </w:r>
    </w:p>
    <w:p w:rsidR="00A2625E" w:rsidRDefault="001B2FF6">
      <w:pPr>
        <w:numPr>
          <w:ilvl w:val="0"/>
          <w:numId w:val="2"/>
        </w:numPr>
        <w:pBdr>
          <w:top w:val="nil"/>
          <w:left w:val="nil"/>
          <w:bottom w:val="nil"/>
          <w:right w:val="nil"/>
          <w:between w:val="nil"/>
        </w:pBdr>
        <w:spacing w:before="240" w:after="240" w:line="360" w:lineRule="auto"/>
        <w:ind w:left="1281" w:right="902" w:hanging="35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“SOL.INF.ARCH..pdf”: </w:t>
      </w:r>
      <w:r>
        <w:rPr>
          <w:rFonts w:ascii="Palatino Linotype" w:eastAsia="Palatino Linotype" w:hAnsi="Palatino Linotype" w:cs="Palatino Linotype"/>
          <w:color w:val="000000"/>
        </w:rPr>
        <w:t>Consiste en el cuestionario de diecisiete fojas, remitido en la presentación de la solicitud inicial, se inserta la primera foja de manera ilustrativa:</w:t>
      </w:r>
      <w:r>
        <w:rPr>
          <w:rFonts w:ascii="Palatino Linotype" w:eastAsia="Palatino Linotype" w:hAnsi="Palatino Linotype" w:cs="Palatino Linotype"/>
          <w:b/>
          <w:i/>
          <w:color w:val="000000"/>
        </w:rPr>
        <w:t xml:space="preserve"> </w:t>
      </w:r>
    </w:p>
    <w:p w:rsidR="00A2625E" w:rsidRDefault="001B2FF6">
      <w:pPr>
        <w:pBdr>
          <w:top w:val="nil"/>
          <w:left w:val="nil"/>
          <w:bottom w:val="nil"/>
          <w:right w:val="nil"/>
          <w:between w:val="nil"/>
        </w:pBdr>
        <w:spacing w:before="240" w:after="240" w:line="360" w:lineRule="auto"/>
        <w:ind w:left="1281"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eastAsia="es-MX"/>
        </w:rPr>
        <w:lastRenderedPageBreak/>
        <w:drawing>
          <wp:inline distT="0" distB="0" distL="0" distR="0">
            <wp:extent cx="4674553" cy="6051762"/>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674553" cy="6051762"/>
                    </a:xfrm>
                    <a:prstGeom prst="rect">
                      <a:avLst/>
                    </a:prstGeom>
                    <a:ln/>
                  </pic:spPr>
                </pic:pic>
              </a:graphicData>
            </a:graphic>
          </wp:inline>
        </w:drawing>
      </w:r>
    </w:p>
    <w:p w:rsidR="00A2625E" w:rsidRDefault="001B2FF6">
      <w:pPr>
        <w:pBdr>
          <w:top w:val="nil"/>
          <w:left w:val="nil"/>
          <w:bottom w:val="nil"/>
          <w:right w:val="nil"/>
          <w:between w:val="nil"/>
        </w:pBdr>
        <w:spacing w:before="240" w:after="240" w:line="360" w:lineRule="auto"/>
        <w:ind w:left="567"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“CHIAUTLA_RR_00111-CHIAUTLA-IP-2022.pdf”: </w:t>
      </w:r>
      <w:r>
        <w:rPr>
          <w:rFonts w:ascii="Palatino Linotype" w:eastAsia="Palatino Linotype" w:hAnsi="Palatino Linotype" w:cs="Palatino Linotype"/>
          <w:color w:val="000000"/>
        </w:rPr>
        <w:t xml:space="preserve">Documento electrónico de dos fojas en el que se advierten manifestaciones de </w:t>
      </w:r>
      <w:r>
        <w:rPr>
          <w:rFonts w:ascii="Palatino Linotype" w:eastAsia="Palatino Linotype" w:hAnsi="Palatino Linotype" w:cs="Palatino Linotype"/>
          <w:b/>
          <w:color w:val="000000"/>
        </w:rPr>
        <w:t xml:space="preserve">la Recurrente. </w:t>
      </w:r>
    </w:p>
    <w:p w:rsidR="00A2625E" w:rsidRDefault="00FD4508">
      <w:pPr>
        <w:pBdr>
          <w:top w:val="nil"/>
          <w:left w:val="nil"/>
          <w:bottom w:val="nil"/>
          <w:right w:val="nil"/>
          <w:between w:val="nil"/>
        </w:pBdr>
        <w:spacing w:before="240" w:after="240" w:line="360" w:lineRule="auto"/>
        <w:ind w:left="567" w:right="902"/>
        <w:jc w:val="center"/>
        <w:rPr>
          <w:rFonts w:ascii="Palatino Linotype" w:eastAsia="Palatino Linotype" w:hAnsi="Palatino Linotype" w:cs="Palatino Linotype"/>
          <w:b/>
          <w:i/>
          <w:color w:val="000000"/>
          <w:sz w:val="22"/>
          <w:szCs w:val="22"/>
        </w:rPr>
      </w:pPr>
      <w:r>
        <w:object w:dxaOrig="10845" w:dyaOrig="11565">
          <v:shape id="_x0000_i1027" type="#_x0000_t75" style="width:441.75pt;height:471pt" o:ole="">
            <v:imagedata r:id="rId12" o:title=""/>
          </v:shape>
          <o:OLEObject Type="Embed" ProgID="Paint.Picture.1" ShapeID="_x0000_i1027" DrawAspect="Content" ObjectID="_1716106114" r:id="rId13"/>
        </w:object>
      </w:r>
    </w:p>
    <w:p w:rsidR="00A2625E" w:rsidRDefault="001B2FF6">
      <w:pPr>
        <w:spacing w:before="240" w:after="240" w:line="360" w:lineRule="auto"/>
        <w:jc w:val="both"/>
        <w:rPr>
          <w:rFonts w:ascii="Palatino Linotype" w:eastAsia="Palatino Linotype" w:hAnsi="Palatino Linotype" w:cs="Palatino Linotype"/>
          <w:b/>
        </w:rPr>
      </w:pPr>
      <w:bookmarkStart w:id="2" w:name="_GoBack"/>
      <w:bookmarkEnd w:id="2"/>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rPr>
        <w:t>03609/INFOEM/IP/RR/2022</w:t>
      </w:r>
      <w:r>
        <w:rPr>
          <w:rFonts w:ascii="Palatino Linotype" w:eastAsia="Palatino Linotype" w:hAnsi="Palatino Linotype" w:cs="Palatino Linotype"/>
        </w:rPr>
        <w:t xml:space="preserve"> fue turnado a la </w:t>
      </w:r>
      <w:r>
        <w:rPr>
          <w:rFonts w:ascii="Palatino Linotype" w:eastAsia="Palatino Linotype" w:hAnsi="Palatino Linotype" w:cs="Palatino Linotype"/>
          <w:b/>
        </w:rPr>
        <w:t>Comisionada Ponente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w:t>
      </w:r>
      <w:r>
        <w:rPr>
          <w:rFonts w:ascii="Palatino Linotype" w:eastAsia="Palatino Linotype" w:hAnsi="Palatino Linotype" w:cs="Palatino Linotype"/>
          <w:b/>
        </w:rPr>
        <w:lastRenderedPageBreak/>
        <w:t>Ramírez Peña</w:t>
      </w:r>
      <w:r>
        <w:rPr>
          <w:rFonts w:ascii="Palatino Linotype" w:eastAsia="Palatino Linotype" w:hAnsi="Palatino Linotype" w:cs="Palatino Linotype"/>
        </w:rPr>
        <w:t>; a efecto de presentar al Pleno el proyecto de resolución correspondiente.</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catorce de marzo de dos mil veintidós</w:t>
      </w:r>
      <w:r>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admitió a trámite el recurso de revisión al rubro indicado.</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Manifestaciones. </w:t>
      </w:r>
      <w:r>
        <w:rPr>
          <w:rFonts w:ascii="Palatino Linotype" w:eastAsia="Palatino Linotype" w:hAnsi="Palatino Linotype" w:cs="Palatino Linotype"/>
        </w:rPr>
        <w:t xml:space="preserve">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como se observa a continuación:</w:t>
      </w:r>
    </w:p>
    <w:p w:rsidR="00A2625E" w:rsidRDefault="001B2FF6">
      <w:pPr>
        <w:spacing w:before="240" w:after="240" w:line="360" w:lineRule="auto"/>
        <w:jc w:val="both"/>
        <w:rPr>
          <w:rFonts w:ascii="Palatino Linotype" w:eastAsia="Palatino Linotype" w:hAnsi="Palatino Linotype" w:cs="Palatino Linotype"/>
        </w:rPr>
      </w:pPr>
      <w:r>
        <w:object w:dxaOrig="8835" w:dyaOrig="2295">
          <v:shape id="_x0000_i1025" type="#_x0000_t75" style="width:442.5pt;height:114.75pt" o:ole="">
            <v:imagedata r:id="rId14" o:title=""/>
          </v:shape>
          <o:OLEObject Type="Embed" ProgID="Paint.Picture.1" ShapeID="_x0000_i1025" DrawAspect="Content" ObjectID="_1716106115" r:id="rId15"/>
        </w:objec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veintinueve de abril de dos mil veintidós</w:t>
      </w:r>
      <w:r>
        <w:rPr>
          <w:rFonts w:ascii="Palatino Linotype" w:eastAsia="Palatino Linotype" w:hAnsi="Palatino Linotype" w:cs="Palatino Linotype"/>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w:t>
      </w:r>
      <w:r>
        <w:rPr>
          <w:rFonts w:ascii="Palatino Linotype" w:eastAsia="Palatino Linotype" w:hAnsi="Palatino Linotype" w:cs="Palatino Linotype"/>
        </w:rPr>
        <w:lastRenderedPageBreak/>
        <w:t>medio de impugnación se acordó el cierre de instrucción y se procede a formular la resolución que en derecho corresponda.</w:t>
      </w:r>
    </w:p>
    <w:p w:rsidR="00A2625E" w:rsidRDefault="001B2FF6">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bookmarkStart w:id="3" w:name="_heading=h.tyjcwt" w:colFirst="0" w:colLast="0"/>
      <w:bookmarkEnd w:id="3"/>
      <w:r>
        <w:rPr>
          <w:rFonts w:ascii="Palatino Linotype" w:eastAsia="Palatino Linotype" w:hAnsi="Palatino Linotype" w:cs="Palatino Linotype"/>
          <w:b/>
          <w:color w:val="000000"/>
        </w:rPr>
        <w:t>C O N S I D E R A N D O S:</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Es de precisar que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rsidR="00A2625E" w:rsidRDefault="001B2FF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163. </w:t>
      </w:r>
      <w:r>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A2625E" w:rsidRDefault="001B2FF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p>
    <w:p w:rsidR="00A2625E" w:rsidRDefault="001B2FF6">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p>
    <w:p w:rsidR="00A2625E" w:rsidRDefault="001B2FF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lastRenderedPageBreak/>
        <w:t xml:space="preserve">Cuando el sujeto obligado no entregue la respuesta a la solicitud dentro del plazo previsto en la Ley, la solicitud se entenderá negada y el solicitante podrá interponer el recurso de revisión previsto en este ordenamiento.” </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A2625E" w:rsidRDefault="001B2FF6">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Por su parte, el artículo 178 del citado ordenamiento, establece:</w:t>
      </w:r>
    </w:p>
    <w:p w:rsidR="00A2625E" w:rsidRDefault="001B2FF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sz w:val="22"/>
          <w:szCs w:val="22"/>
        </w:rPr>
        <w:t>.”</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da respuesta a la solicitud de información; sin embargo, tratándose de negativa ficta no existe resolución que se haga del conocimiento del particular a partir de la cual </w:t>
      </w:r>
      <w:r>
        <w:rPr>
          <w:rFonts w:ascii="Palatino Linotype" w:eastAsia="Palatino Linotype" w:hAnsi="Palatino Linotype" w:cs="Palatino Linotype"/>
        </w:rPr>
        <w:lastRenderedPageBreak/>
        <w:t>pueda computarse dicho plazo, por lo que se concluye que la interposición del recurso de revisión puede ser en cualquier momento.</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negativa ficta constituye una presunción legal, en el entendido de que donde no hubo respuesta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A2625E" w:rsidRDefault="001B2FF6">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éste tiene la posibilidad de impugnar dicha omisión </w:t>
      </w:r>
      <w:r>
        <w:rPr>
          <w:rFonts w:ascii="Palatino Linotype" w:eastAsia="Palatino Linotype" w:hAnsi="Palatino Linotype" w:cs="Palatino Linotype"/>
        </w:rPr>
        <w:lastRenderedPageBreak/>
        <w:t>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A2625E" w:rsidRDefault="001B2FF6">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rPr>
        <w:t xml:space="preserve"> </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rsidR="00A2625E" w:rsidRDefault="001B2FF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A2625E" w:rsidRDefault="001B2FF6">
      <w:pPr>
        <w:ind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A2625E" w:rsidRDefault="001B2FF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falta de respuesta a una solicitud de acceso a la información;</w:t>
      </w:r>
    </w:p>
    <w:p w:rsidR="00A2625E" w:rsidRDefault="001B2FF6">
      <w:pPr>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citado, establece como supuesto de procedencia del recurso de revisión, en aquellos casos en que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estime negado el acceso a la información por la falta de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este asunto se actualiza la hipótesis jurídica citada, en atención 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combate falta de trámite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expresa motivos de inconformidad en contra de dicha circunstancia.</w:t>
      </w:r>
    </w:p>
    <w:p w:rsidR="00A2625E" w:rsidRDefault="001B2FF6">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verificar si son procedentes los agravios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a fin de determinar si se violenta en perjuicio de éste, el derecho de acceso a la información previsto en la Constitución Política de los Estados Unidos Mexicanos y en la Constitución Política del Estado Libre y Soberano de México.</w:t>
      </w:r>
    </w:p>
    <w:p w:rsidR="00A2625E" w:rsidRDefault="001B2FF6">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Una vez determinada la vía sobre la que versará el presente recurso, y previa revisión del expediente del recurso de revisión materia de </w:t>
      </w:r>
      <w:r>
        <w:rPr>
          <w:rFonts w:ascii="Palatino Linotype" w:eastAsia="Palatino Linotype" w:hAnsi="Palatino Linotype" w:cs="Palatino Linotype"/>
        </w:rPr>
        <w:lastRenderedPageBreak/>
        <w:t xml:space="preserve">la presente resolución,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dio respuesta a la solicitud de información planteada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lo que se traduce como la configuración de la </w:t>
      </w:r>
      <w:r>
        <w:rPr>
          <w:rFonts w:ascii="Palatino Linotype" w:eastAsia="Palatino Linotype" w:hAnsi="Palatino Linotype" w:cs="Palatino Linotype"/>
          <w:b/>
        </w:rPr>
        <w:t>Negativa Ficta</w:t>
      </w:r>
      <w:r>
        <w:rPr>
          <w:rFonts w:ascii="Palatino Linotype" w:eastAsia="Palatino Linotype" w:hAnsi="Palatino Linotype" w:cs="Palatino Linotype"/>
        </w:rPr>
        <w:t xml:space="preserve">, situación que demuestra la existencia del acto impugnado y procedencia del motivo de inconformidad, que en términos generales consistente en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w:t>
      </w:r>
      <w:r>
        <w:rPr>
          <w:rFonts w:ascii="Palatino Linotype" w:eastAsia="Palatino Linotype" w:hAnsi="Palatino Linotype" w:cs="Palatino Linotype"/>
          <w:b/>
        </w:rPr>
        <w:t> 00111/CHIAUTLA/IP/2022,</w:t>
      </w:r>
      <w:r>
        <w:rPr>
          <w:rFonts w:ascii="Palatino Linotype" w:eastAsia="Palatino Linotype" w:hAnsi="Palatino Linotype" w:cs="Palatino Linotype"/>
        </w:rPr>
        <w:t xml:space="preserve"> dentro del plazo legal previsto para ello.</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Previo a exponer los argumentos que justifiquen la afirmación que antecede, es necesario precisar que, del análisis realizado a la solicitud formulada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advierte que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proporcionara, lo siguiente:</w:t>
      </w:r>
    </w:p>
    <w:p w:rsidR="00A2625E" w:rsidRDefault="001B2FF6">
      <w:pPr>
        <w:spacing w:before="240" w:after="240" w:line="360"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INFORMACIÓN ARCHIVISTICA MUNICIPAL, MISMA QUE SE DETALLA EN EL ARCHIVO ADJUNTO, CON RESPUESTA EN MI CORREO ELECTRÓNICO EN COPIAS SIMPLES.” (Sic)</w:t>
      </w:r>
    </w:p>
    <w:p w:rsidR="00A2625E" w:rsidRDefault="001B2FF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P</w:t>
      </w:r>
      <w:r>
        <w:rPr>
          <w:rFonts w:ascii="Palatino Linotype" w:eastAsia="Palatino Linotype" w:hAnsi="Palatino Linotype" w:cs="Palatino Linotype"/>
          <w:color w:val="000000"/>
        </w:rPr>
        <w:t>ara tal efecto la particular adjunt</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el documento electrónico denominado </w:t>
      </w:r>
      <w:r>
        <w:rPr>
          <w:rFonts w:ascii="Palatino Linotype" w:eastAsia="Palatino Linotype" w:hAnsi="Palatino Linotype" w:cs="Palatino Linotype"/>
          <w:b/>
          <w:i/>
          <w:color w:val="000000"/>
        </w:rPr>
        <w:t>“SOL.INF.ARCH..pdf”.</w:t>
      </w:r>
      <w:r>
        <w:rPr>
          <w:rFonts w:ascii="Palatino Linotype" w:eastAsia="Palatino Linotype" w:hAnsi="Palatino Linotype" w:cs="Palatino Linotype"/>
          <w:color w:val="000000"/>
        </w:rPr>
        <w:t xml:space="preserve"> </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w:t>
      </w:r>
      <w:r>
        <w:rPr>
          <w:rFonts w:ascii="Palatino Linotype" w:eastAsia="Palatino Linotype" w:hAnsi="Palatino Linotype" w:cs="Palatino Linotype"/>
        </w:rPr>
        <w:lastRenderedPageBreak/>
        <w:t>materia, así como en los tratados internacionales en los que el Estado Mexicano sea parte, en concordancia con el artículo 8 de la Ley de Transparencia local.</w:t>
      </w:r>
    </w:p>
    <w:p w:rsidR="00A2625E" w:rsidRDefault="001B2FF6">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2625E" w:rsidRDefault="00A2625E">
      <w:pPr>
        <w:tabs>
          <w:tab w:val="left" w:pos="709"/>
        </w:tabs>
        <w:ind w:left="851" w:right="850"/>
        <w:jc w:val="both"/>
        <w:rPr>
          <w:rFonts w:ascii="Palatino Linotype" w:eastAsia="Palatino Linotype" w:hAnsi="Palatino Linotype" w:cs="Palatino Linotype"/>
        </w:rPr>
      </w:pPr>
    </w:p>
    <w:p w:rsidR="00A2625E" w:rsidRDefault="001B2FF6">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A2625E" w:rsidRDefault="001B2FF6">
      <w:pPr>
        <w:tabs>
          <w:tab w:val="left" w:pos="709"/>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A2625E" w:rsidRDefault="001B2FF6">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A2625E" w:rsidRDefault="001B2FF6">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2625E" w:rsidRDefault="001B2FF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A2625E" w:rsidRDefault="001B2FF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2625E" w:rsidRDefault="001B2FF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A2625E" w:rsidRDefault="001B2FF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A2625E" w:rsidRDefault="001B2FF6">
      <w:pPr>
        <w:ind w:left="1134"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A2625E" w:rsidRDefault="00A2625E">
      <w:pPr>
        <w:ind w:left="1134" w:right="851"/>
        <w:jc w:val="both"/>
        <w:rPr>
          <w:rFonts w:ascii="Palatino Linotype" w:eastAsia="Palatino Linotype" w:hAnsi="Palatino Linotype" w:cs="Palatino Linotype"/>
          <w:i/>
          <w:sz w:val="22"/>
          <w:szCs w:val="22"/>
        </w:rPr>
      </w:pP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A2625E" w:rsidRDefault="001B2FF6">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w:t>
      </w:r>
    </w:p>
    <w:p w:rsidR="00A2625E" w:rsidRDefault="001B2FF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A2625E" w:rsidRDefault="001B2FF6">
      <w:pPr>
        <w:spacing w:before="280" w:after="28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rPr>
        <w:t>En ese orden de ideas, la Ley de Transparencia y Acceso a la Información Pública del Estado de México y Municipios, prevé en su artículo 23, lo siguiente:</w:t>
      </w:r>
    </w:p>
    <w:p w:rsidR="00A2625E" w:rsidRDefault="001B2FF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23.</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Son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sujetos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obligados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transparentar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permitir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acceso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proteger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datos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personales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obren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poder</w:t>
      </w:r>
      <w:r>
        <w:rPr>
          <w:rFonts w:ascii="Palatino Linotype" w:eastAsia="Palatino Linotype" w:hAnsi="Palatino Linotype" w:cs="Palatino Linotype"/>
          <w:i/>
          <w:sz w:val="22"/>
          <w:szCs w:val="22"/>
        </w:rPr>
        <w:t>:</w:t>
      </w:r>
    </w:p>
    <w:p w:rsidR="00A2625E" w:rsidRDefault="001B2FF6">
      <w:pPr>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Ejecutivo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México,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dependencias,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auxiliares,</w:t>
      </w:r>
      <w:r>
        <w:rPr>
          <w:rFonts w:ascii="Palatino Linotype" w:eastAsia="Palatino Linotype" w:hAnsi="Palatino Linotype" w:cs="Palatino Linotype"/>
          <w:b/>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fideicomisos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fondos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Procuraduría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General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Justicia;</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Legislativo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Legislatura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dependencias;</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Judicial,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Consejo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Judicatura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p>
    <w:p w:rsidR="00A2625E" w:rsidRDefault="001B2FF6">
      <w:pPr>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ayuntamientos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dependencias,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organismos,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órganos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entidades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administración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municipal;</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autónomos;</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tribunales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administrativos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autoridades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jurisdiccionales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materia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laboral;</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partidos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políticos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agrupaciones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políticas,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términos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disposiciones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aplicables;</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fideicomisos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fondos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cuenten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financiamiento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parcial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total,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participación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gobierno;</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sindicatos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ejerzan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ámbito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física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jurídico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colectiva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ejerza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ámbito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otra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autoridad,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sujetos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obligados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deberán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hacer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toda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aquella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relativa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montos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quienes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entreguen,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entreguen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sobre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uso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destino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p>
    <w:p w:rsidR="00A2625E" w:rsidRDefault="001B2FF6">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servidores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públicos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deberán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transparentar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acciones,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así</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como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garantizar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respetar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derecho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acceso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pública</w:t>
      </w:r>
      <w:r>
        <w:rPr>
          <w:rFonts w:ascii="Palatino Linotype" w:eastAsia="Palatino Linotype" w:hAnsi="Palatino Linotype" w:cs="Palatino Linotype"/>
          <w:i/>
          <w:sz w:val="22"/>
          <w:szCs w:val="22"/>
        </w:rPr>
        <w:t>.”</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A2625E" w:rsidRDefault="001B2FF6">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A2625E" w:rsidRDefault="001B2FF6">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artículo 53, fracciones II, IV y V de la Ley antes citada establece que las Unidades de Transparencia tienen, entre otras, las funciones de recibir, tramitar </w:t>
      </w:r>
      <w:r>
        <w:rPr>
          <w:rFonts w:ascii="Palatino Linotype" w:eastAsia="Palatino Linotype" w:hAnsi="Palatino Linotype" w:cs="Palatino Linotype"/>
        </w:rPr>
        <w:lastRenderedPageBreak/>
        <w:t>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A2625E" w:rsidRDefault="001B2FF6">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w:t>
      </w:r>
      <w:r>
        <w:rPr>
          <w:rFonts w:ascii="Palatino Linotype" w:eastAsia="Palatino Linotype" w:hAnsi="Palatino Linotype" w:cs="Palatino Linotype"/>
        </w:rPr>
        <w:lastRenderedPageBreak/>
        <w:t>Transparencia. Situación que en la especie no aconteció. Sirve de sustento a lo anterior, el precepto legal en cita:</w:t>
      </w:r>
    </w:p>
    <w:p w:rsidR="00A2625E" w:rsidRDefault="001B2FF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Pr>
          <w:rFonts w:ascii="Palatino Linotype" w:eastAsia="Palatino Linotype" w:hAnsi="Palatino Linotype" w:cs="Palatino Linotype"/>
          <w:i/>
          <w:sz w:val="22"/>
          <w:szCs w:val="22"/>
        </w:rPr>
        <w:t xml:space="preserve">, contados a partir del día siguiente a la presentación de aquélla. </w:t>
      </w:r>
    </w:p>
    <w:p w:rsidR="00A2625E" w:rsidRDefault="001B2FF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es claro que en este caso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la normativa en la materia, puesto que no dio trámite ni respuesta a la solicitud de acceso a la información, limitando el derecho de acceso a la información, accionado por el particular.</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w:t>
      </w:r>
      <w:r>
        <w:rPr>
          <w:rFonts w:ascii="Palatino Linotype" w:eastAsia="Palatino Linotype" w:hAnsi="Palatino Linotype" w:cs="Palatino Linotype"/>
        </w:rPr>
        <w:lastRenderedPageBreak/>
        <w:t xml:space="preserve">información estima que lo procedente es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dé trámite y respuesta a la solicitud del particular.</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Pr>
          <w:rFonts w:ascii="Palatino Linotype" w:eastAsia="Palatino Linotype" w:hAnsi="Palatino Linotype" w:cs="Palatino Linotype"/>
          <w:b/>
        </w:rPr>
        <w:t>el Sujeto Obligado</w:t>
      </w:r>
      <w:r>
        <w:rPr>
          <w:rFonts w:ascii="Palatino Linotype" w:eastAsia="Palatino Linotype" w:hAnsi="Palatino Linotype" w:cs="Palatino Linotype"/>
        </w:rPr>
        <w:t>; por lo que, en caso de no atender de manera positiva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el requerimiento de información deberá manifestarse al respecto.</w:t>
      </w:r>
    </w:p>
    <w:p w:rsidR="00A2625E" w:rsidRDefault="001B2FF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A2625E" w:rsidRDefault="001B2FF6">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w:t>
      </w:r>
      <w:r>
        <w:rPr>
          <w:rFonts w:ascii="Palatino Linotype" w:eastAsia="Palatino Linotype" w:hAnsi="Palatino Linotype" w:cs="Palatino Linotype"/>
        </w:rPr>
        <w:lastRenderedPageBreak/>
        <w:t>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Pr>
          <w:rFonts w:ascii="Palatino Linotype" w:eastAsia="Palatino Linotype" w:hAnsi="Palatino Linotype" w:cs="Palatino Linotype"/>
          <w:sz w:val="18"/>
          <w:szCs w:val="18"/>
        </w:rPr>
        <w:t xml:space="preserve">. </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manera que, la Ley de Transparencia y Acceso a la Información Pública del Estado de México y Municipios, en sus artículos 140 y 143 prevé los siguientes supuestos para clasificar la información como reservada o confidencial:</w:t>
      </w:r>
    </w:p>
    <w:p w:rsidR="00A2625E" w:rsidRDefault="001B2FF6">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140. </w:t>
      </w:r>
      <w:r>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Comprometa la seguridad pública y cuente con un propósito genuino y un efecto demostrable;</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Pueda menoscabar la conducción de las negociaciones y relaciones internacionales;</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Ponga en riesgo la vida, la seguridad o la salud de una persona física;</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Aquella cuya divulgación obstruya o pueda causar un serio perjuicio a:</w:t>
      </w:r>
    </w:p>
    <w:p w:rsidR="00A2625E" w:rsidRDefault="001B2FF6">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1. </w:t>
      </w:r>
      <w:r>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rsidR="00A2625E" w:rsidRDefault="001B2FF6">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w:t>
      </w:r>
      <w:r>
        <w:rPr>
          <w:rFonts w:ascii="Palatino Linotype" w:eastAsia="Palatino Linotype" w:hAnsi="Palatino Linotype" w:cs="Palatino Linotype"/>
          <w:i/>
          <w:sz w:val="22"/>
          <w:szCs w:val="22"/>
        </w:rPr>
        <w:t>La recaudación de las contribuciones.</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w:t>
      </w:r>
      <w:r>
        <w:rPr>
          <w:rFonts w:ascii="Palatino Linotype" w:eastAsia="Palatino Linotype" w:hAnsi="Palatino Linotype" w:cs="Palatino Linotype"/>
          <w:i/>
          <w:sz w:val="22"/>
          <w:szCs w:val="22"/>
        </w:rPr>
        <w:lastRenderedPageBreak/>
        <w:t>de un denunciante, querellante o testigo, así como sus familias, en los términos de las disposiciones jurídicas aplicables;</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Pr>
          <w:rFonts w:ascii="Palatino Linotype" w:eastAsia="Palatino Linotype" w:hAnsi="Palatino Linotype" w:cs="Palatino Linotype"/>
          <w:b/>
          <w:i/>
          <w:sz w:val="22"/>
          <w:szCs w:val="22"/>
        </w:rPr>
        <w:t>;</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IX. </w:t>
      </w:r>
      <w:r>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 </w:t>
      </w:r>
      <w:r>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A2625E" w:rsidRDefault="001B2FF6">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w:t>
      </w:r>
      <w:r>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A2625E" w:rsidRDefault="001B2FF6">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2625E" w:rsidRDefault="001B2FF6">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rsidR="00A2625E" w:rsidRDefault="001B2FF6">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rsidR="00A2625E" w:rsidRDefault="001B2FF6">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rsidR="00A2625E" w:rsidRDefault="001B2FF6">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rsidR="00A2625E" w:rsidRDefault="001B2FF6">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A2625E" w:rsidRDefault="001B2FF6">
      <w:pPr>
        <w:spacing w:before="120" w:after="120"/>
        <w:ind w:left="567"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A2625E" w:rsidRDefault="001B2FF6">
      <w:pPr>
        <w:numPr>
          <w:ilvl w:val="0"/>
          <w:numId w:val="1"/>
        </w:numPr>
        <w:tabs>
          <w:tab w:val="left" w:pos="851"/>
        </w:tabs>
        <w:spacing w:before="28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reciba una solicitud de acceso a la información;</w:t>
      </w:r>
    </w:p>
    <w:p w:rsidR="00A2625E" w:rsidRDefault="001B2FF6">
      <w:pPr>
        <w:numPr>
          <w:ilvl w:val="0"/>
          <w:numId w:val="1"/>
        </w:numPr>
        <w:tabs>
          <w:tab w:val="left" w:pos="851"/>
        </w:tabs>
        <w:spacing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determine mediante resolución de autoridad competente; y/o</w:t>
      </w:r>
    </w:p>
    <w:p w:rsidR="00A2625E" w:rsidRDefault="001B2FF6">
      <w:pPr>
        <w:numPr>
          <w:ilvl w:val="0"/>
          <w:numId w:val="1"/>
        </w:numPr>
        <w:tabs>
          <w:tab w:val="left" w:pos="851"/>
        </w:tabs>
        <w:spacing w:after="28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generen versiones públicas para dar cumplimiento a las obligaciones de transparencia previstas en la Ley.</w:t>
      </w:r>
    </w:p>
    <w:p w:rsidR="00A2625E" w:rsidRDefault="001B2FF6">
      <w:pPr>
        <w:spacing w:before="280" w:after="28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de precisar que la clasificación de la información no se da por el simple mandato de la Ley, sino que es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w:t>
      </w:r>
      <w:r>
        <w:rPr>
          <w:rFonts w:ascii="Palatino Linotype" w:eastAsia="Palatino Linotype" w:hAnsi="Palatino Linotype" w:cs="Palatino Linotype"/>
        </w:rPr>
        <w:lastRenderedPageBreak/>
        <w:t>revoque la misma, como se desprende de los artículos 59 fracción V</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53 fracción X</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y 49 fracciones II y VIII</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de la Ley de Transparencia y Acceso a la Información Pública del Estado de México y Municipios.</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tales consideraciones, este Órgano Garante no omite señalar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advierte que la información solicitada contienen </w:t>
      </w:r>
      <w:r>
        <w:rPr>
          <w:rFonts w:ascii="Palatino Linotype" w:eastAsia="Palatino Linotype" w:hAnsi="Palatino Linotype" w:cs="Palatino Linotype"/>
          <w:b/>
        </w:rPr>
        <w:t>datos personales</w:t>
      </w:r>
      <w:r>
        <w:rPr>
          <w:rFonts w:ascii="Palatino Linotype" w:eastAsia="Palatino Linotype" w:hAnsi="Palatino Linotype" w:cs="Palatino Linotype"/>
        </w:rPr>
        <w:t xml:space="preserve"> que sean susceptibles de ser </w:t>
      </w:r>
      <w:r>
        <w:rPr>
          <w:rFonts w:ascii="Palatino Linotype" w:eastAsia="Palatino Linotype" w:hAnsi="Palatino Linotype" w:cs="Palatino Linotype"/>
          <w:b/>
        </w:rPr>
        <w:t xml:space="preserve">clasificados como confidenciales, </w:t>
      </w:r>
      <w:r>
        <w:rPr>
          <w:rFonts w:ascii="Palatino Linotype" w:eastAsia="Palatino Linotype" w:hAnsi="Palatino Linotype" w:cs="Palatino Linotype"/>
        </w:rPr>
        <w:t>o, si por otro lado</w:t>
      </w:r>
      <w:r>
        <w:rPr>
          <w:rFonts w:ascii="Palatino Linotype" w:eastAsia="Palatino Linotype" w:hAnsi="Palatino Linotype" w:cs="Palatino Linotype"/>
          <w:b/>
        </w:rPr>
        <w:t>, por su propia y especial naturaleza,</w:t>
      </w:r>
      <w:r>
        <w:rPr>
          <w:rFonts w:ascii="Palatino Linotype" w:eastAsia="Palatino Linotype" w:hAnsi="Palatino Linotype" w:cs="Palatino Linotype"/>
        </w:rPr>
        <w:t xml:space="preserve"> encuadra en alguno de los </w:t>
      </w:r>
      <w:r>
        <w:rPr>
          <w:rFonts w:ascii="Palatino Linotype" w:eastAsia="Palatino Linotype" w:hAnsi="Palatino Linotype" w:cs="Palatino Linotype"/>
          <w:b/>
        </w:rPr>
        <w:t>supuestos de reserva o de confidencialidad en su totalidad</w:t>
      </w:r>
      <w:r>
        <w:rPr>
          <w:rFonts w:ascii="Palatino Linotype" w:eastAsia="Palatino Linotype" w:hAnsi="Palatino Linotype" w:cs="Palatino Linotype"/>
        </w:rPr>
        <w:t>, deberá emitir, un</w:t>
      </w:r>
      <w:r>
        <w:rPr>
          <w:rFonts w:ascii="Palatino Linotype" w:eastAsia="Palatino Linotype" w:hAnsi="Palatino Linotype" w:cs="Palatino Linotype"/>
          <w:b/>
        </w:rPr>
        <w:t xml:space="preserve"> Acuerdo de Clasificación </w:t>
      </w:r>
      <w:r>
        <w:rPr>
          <w:rFonts w:ascii="Palatino Linotype" w:eastAsia="Palatino Linotype" w:hAnsi="Palatino Linotype" w:cs="Palatino Linotype"/>
        </w:rPr>
        <w:t>debidamente fundado y motivado que</w:t>
      </w:r>
      <w:r>
        <w:rPr>
          <w:rFonts w:ascii="Palatino Linotype" w:eastAsia="Palatino Linotype" w:hAnsi="Palatino Linotype" w:cs="Palatino Linotype"/>
          <w:b/>
        </w:rPr>
        <w:t xml:space="preserve"> sustente la clasificación parcial, a través de la versión pública que emita,</w:t>
      </w:r>
      <w:r>
        <w:rPr>
          <w:rFonts w:ascii="Palatino Linotype" w:eastAsia="Palatino Linotype" w:hAnsi="Palatino Linotype" w:cs="Palatino Linotype"/>
        </w:rPr>
        <w:t xml:space="preserve"> o bien, la restricción total del derecho de acceso a la información.  </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w:t>
      </w:r>
      <w:r>
        <w:rPr>
          <w:rFonts w:ascii="Palatino Linotype" w:eastAsia="Palatino Linotype" w:hAnsi="Palatino Linotype" w:cs="Palatino Linotype"/>
        </w:rPr>
        <w:lastRenderedPageBreak/>
        <w:t>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A2625E" w:rsidRDefault="001B2FF6">
      <w:pPr>
        <w:spacing w:before="280" w:after="28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reserva y ampliación del plazo de reserva de la información, para motivar la clasificación se deberán de señalar las razones, motivos o circunstancias especiales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concluir que, el caso particular se ajusta al supuesto previsto por la norma legal invocada como fundamento; siendo que, además, en todo momento, se debe aplicar una prueba de daño, entendida ésta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A2625E" w:rsidRDefault="001B2FF6">
      <w:pPr>
        <w:numPr>
          <w:ilvl w:val="0"/>
          <w:numId w:val="3"/>
        </w:numPr>
        <w:tabs>
          <w:tab w:val="left" w:pos="851"/>
        </w:tabs>
        <w:spacing w:before="280" w:line="360" w:lineRule="auto"/>
        <w:ind w:left="567" w:right="900" w:firstLine="1"/>
        <w:jc w:val="both"/>
        <w:rPr>
          <w:rFonts w:ascii="Palatino Linotype" w:eastAsia="Palatino Linotype" w:hAnsi="Palatino Linotype" w:cs="Palatino Linotype"/>
        </w:rPr>
      </w:pPr>
      <w:r>
        <w:rPr>
          <w:rFonts w:ascii="Palatino Linotype" w:eastAsia="Palatino Linotype" w:hAnsi="Palatino Linotype" w:cs="Palatino Linotype"/>
        </w:rPr>
        <w:t xml:space="preserve">La divulgación de la información representa un </w:t>
      </w:r>
      <w:r>
        <w:rPr>
          <w:rFonts w:ascii="Palatino Linotype" w:eastAsia="Palatino Linotype" w:hAnsi="Palatino Linotype" w:cs="Palatino Linotype"/>
          <w:b/>
        </w:rPr>
        <w:t>riesgo real, demostrable e identificable del perjuicio significativo al interés público o a la seguridad pública</w:t>
      </w:r>
      <w:r>
        <w:rPr>
          <w:rFonts w:ascii="Palatino Linotype" w:eastAsia="Palatino Linotype" w:hAnsi="Palatino Linotype" w:cs="Palatino Linotype"/>
        </w:rPr>
        <w:t>;</w:t>
      </w:r>
    </w:p>
    <w:p w:rsidR="00A2625E" w:rsidRDefault="001B2FF6">
      <w:pPr>
        <w:numPr>
          <w:ilvl w:val="0"/>
          <w:numId w:val="3"/>
        </w:numPr>
        <w:tabs>
          <w:tab w:val="left" w:pos="851"/>
        </w:tabs>
        <w:spacing w:line="360" w:lineRule="auto"/>
        <w:ind w:left="567" w:right="900" w:firstLine="1"/>
        <w:jc w:val="both"/>
        <w:rPr>
          <w:rFonts w:ascii="Palatino Linotype" w:eastAsia="Palatino Linotype" w:hAnsi="Palatino Linotype" w:cs="Palatino Linotype"/>
        </w:rPr>
      </w:pPr>
      <w:r>
        <w:rPr>
          <w:rFonts w:ascii="Palatino Linotype" w:eastAsia="Palatino Linotype" w:hAnsi="Palatino Linotype" w:cs="Palatino Linotype"/>
        </w:rPr>
        <w:lastRenderedPageBreak/>
        <w:t>El riesgo de perjuicio que supondría la divulgación supera el interés público general de que se difunda; y,</w:t>
      </w:r>
    </w:p>
    <w:p w:rsidR="00A2625E" w:rsidRDefault="001B2FF6">
      <w:pPr>
        <w:numPr>
          <w:ilvl w:val="0"/>
          <w:numId w:val="3"/>
        </w:numPr>
        <w:tabs>
          <w:tab w:val="left" w:pos="851"/>
        </w:tabs>
        <w:spacing w:after="280" w:line="360" w:lineRule="auto"/>
        <w:ind w:left="567" w:right="900" w:firstLine="1"/>
        <w:jc w:val="both"/>
        <w:rPr>
          <w:rFonts w:ascii="Palatino Linotype" w:eastAsia="Palatino Linotype" w:hAnsi="Palatino Linotype" w:cs="Palatino Linotype"/>
        </w:rPr>
      </w:pPr>
      <w:r>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rsidR="00A2625E" w:rsidRDefault="001B2FF6">
      <w:pPr>
        <w:widowControl w:val="0"/>
        <w:pBdr>
          <w:top w:val="nil"/>
          <w:left w:val="nil"/>
          <w:bottom w:val="nil"/>
          <w:right w:val="nil"/>
          <w:between w:val="nil"/>
        </w:pBdr>
        <w:tabs>
          <w:tab w:val="left" w:pos="1276"/>
          <w:tab w:val="left" w:pos="1701"/>
          <w:tab w:val="left" w:pos="1843"/>
        </w:tabs>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pertinente aclarar que, la información que se clasifica bajo la premisa de reservada, </w:t>
      </w:r>
      <w:r>
        <w:rPr>
          <w:rFonts w:ascii="Palatino Linotype" w:eastAsia="Palatino Linotype" w:hAnsi="Palatino Linotype" w:cs="Palatino Linotype"/>
          <w:b/>
        </w:rPr>
        <w:t>no pierde el carácter de pública</w:t>
      </w:r>
      <w:r>
        <w:rPr>
          <w:rFonts w:ascii="Palatino Linotype" w:eastAsia="Palatino Linotype" w:hAnsi="Palatino Linotype" w:cs="Palatino Linotype"/>
        </w:rPr>
        <w:t xml:space="preserve">, sino que </w:t>
      </w:r>
      <w:r>
        <w:rPr>
          <w:rFonts w:ascii="Palatino Linotype" w:eastAsia="Palatino Linotype" w:hAnsi="Palatino Linotype" w:cs="Palatino Linotype"/>
          <w:b/>
        </w:rPr>
        <w:t>se reserva temporalmente</w:t>
      </w:r>
      <w:r>
        <w:rPr>
          <w:rFonts w:ascii="Palatino Linotype" w:eastAsia="Palatino Linotype" w:hAnsi="Palatino Linotype" w:cs="Palatino Linotype"/>
        </w:rPr>
        <w:t xml:space="preserve"> </w:t>
      </w:r>
      <w:r>
        <w:rPr>
          <w:rFonts w:ascii="Palatino Linotype" w:eastAsia="Palatino Linotype" w:hAnsi="Palatino Linotype" w:cs="Palatino Linotype"/>
          <w:b/>
        </w:rPr>
        <w:t>del conocimiento público</w:t>
      </w:r>
      <w:r>
        <w:rPr>
          <w:rFonts w:ascii="Palatino Linotype" w:eastAsia="Palatino Linotype" w:hAnsi="Palatino Linotype" w:cs="Palatino Linotype"/>
        </w:rPr>
        <w:t xml:space="preserve">, es decir, que, </w:t>
      </w:r>
      <w:r>
        <w:rPr>
          <w:rFonts w:ascii="Palatino Linotype" w:eastAsia="Palatino Linotype" w:hAnsi="Palatino Linotype" w:cs="Palatino Linotype"/>
          <w:b/>
        </w:rPr>
        <w:t>por un tiempo determinado</w:t>
      </w:r>
      <w:r>
        <w:rPr>
          <w:rFonts w:ascii="Palatino Linotype" w:eastAsia="Palatino Linotype" w:hAnsi="Palatino Linotype" w:cs="Palatino Linotype"/>
        </w:rPr>
        <w:t>, se conservará y custodiará la información de manera especial, y una vez transcurrido el plazo de reserva, el documento podrá divulgarse.</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A2625E" w:rsidRDefault="001B2FF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w:t>
      </w:r>
    </w:p>
    <w:p w:rsidR="00A2625E" w:rsidRDefault="001B2FF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w:t>
      </w:r>
      <w:r>
        <w:rPr>
          <w:rFonts w:ascii="Palatino Linotype" w:eastAsia="Palatino Linotype" w:hAnsi="Palatino Linotype" w:cs="Palatino Linotype"/>
        </w:rPr>
        <w:lastRenderedPageBreak/>
        <w:t>Datos Personales en Posesión de los sujetos Obligados del Estado de México y Municipios.</w:t>
      </w:r>
    </w:p>
    <w:p w:rsidR="00A2625E" w:rsidRDefault="001B2FF6">
      <w:pPr>
        <w:spacing w:before="280" w:after="28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estima prudente señalar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caso de que la información solicitada, debiera obrar en sus archivos y no cuente con ella, deberá entregar el Acuerdo del Comité de Transparencia, en donde conste la declaratoria de inexistencia de la misma.</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importante resaltar que los artículos 18 y 19 de la Ley de Transparencia y Acceso a la Información Pública del Estado de México y Municipios establecen que </w:t>
      </w:r>
      <w:r>
        <w:rPr>
          <w:rFonts w:ascii="Palatino Linotype" w:eastAsia="Palatino Linotype" w:hAnsi="Palatino Linotype" w:cs="Palatino Linotype"/>
        </w:rPr>
        <w:lastRenderedPageBreak/>
        <w:t>los sujetos obligados deben documentar todo acto que derive del ejercicio de sus facultades, competencias o funciones y que se presume que la información debe existir si se refiere a dichas facultades, competencias y/o funciones.</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aplicable el criterio de interpretación en el orden administrativo número 0008-19 emitido por Acuerdo del Pleno del Instituto de Transparencia y Acceso a la Información Pública del Estado de México y Municipios, que a la letra dice:</w:t>
      </w:r>
    </w:p>
    <w:p w:rsidR="00A2625E" w:rsidRDefault="001B2FF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“INEXISTENCIA DE LA INFORMACIÓN. SUPUESTOS PARA EMITIR LA RESOLUCIÓN DE LA. </w:t>
      </w:r>
      <w:r>
        <w:rPr>
          <w:rFonts w:ascii="Palatino Linotype" w:eastAsia="Palatino Linotype" w:hAnsi="Palatino Linotype" w:cs="Palatino Linotype"/>
          <w:i/>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w:t>
      </w:r>
      <w:r>
        <w:rPr>
          <w:rFonts w:ascii="Palatino Linotype" w:eastAsia="Palatino Linotype" w:hAnsi="Palatino Linotype" w:cs="Palatino Linotype"/>
          <w:i/>
          <w:sz w:val="22"/>
          <w:szCs w:val="22"/>
        </w:rPr>
        <w:lastRenderedPageBreak/>
        <w:t>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A2625E" w:rsidRDefault="001B2FF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todo lo expuesto, ante lo </w:t>
      </w:r>
      <w:r>
        <w:rPr>
          <w:rFonts w:ascii="Palatino Linotype" w:eastAsia="Palatino Linotype" w:hAnsi="Palatino Linotype" w:cs="Palatino Linotype"/>
          <w:b/>
        </w:rPr>
        <w:t>fundado</w:t>
      </w:r>
      <w:r>
        <w:rPr>
          <w:rFonts w:ascii="Palatino Linotype" w:eastAsia="Palatino Linotype" w:hAnsi="Palatino Linotype" w:cs="Palatino Linotype"/>
        </w:rPr>
        <w:t xml:space="preserve"> de las razones o motivos de inconformidad hechos valer por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este Instituto estima que lo dable es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dé respuesta a la solicitud de acceso a la información, atendiendo lo señalado en el presente Considerando.</w:t>
      </w:r>
    </w:p>
    <w:p w:rsidR="00A2625E" w:rsidRDefault="001B2FF6">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 de señalar que, como ya se mencionó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Pr>
          <w:rFonts w:ascii="Palatino Linotype" w:eastAsia="Palatino Linotype" w:hAnsi="Palatino Linotype" w:cs="Palatino Linotype"/>
          <w:b/>
        </w:rPr>
        <w:t>se ordena dar vista al Titular de la Contraloría Interna y Órgano de Control y Vigilancia de este Instituto</w:t>
      </w:r>
      <w:r>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A2625E" w:rsidRDefault="001B2FF6">
      <w:pPr>
        <w:spacing w:before="240" w:after="24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A2625E" w:rsidRDefault="001B2FF6">
      <w:pPr>
        <w:numPr>
          <w:ilvl w:val="0"/>
          <w:numId w:val="4"/>
        </w:numPr>
        <w:pBdr>
          <w:top w:val="nil"/>
          <w:left w:val="nil"/>
          <w:bottom w:val="nil"/>
          <w:right w:val="nil"/>
          <w:between w:val="nil"/>
        </w:pBdr>
        <w:spacing w:before="280" w:after="28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A2625E" w:rsidRDefault="001B2FF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de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dé trámite a la solicitud de acceso a la información pública </w:t>
      </w:r>
      <w:r>
        <w:rPr>
          <w:rFonts w:ascii="Palatino Linotype" w:eastAsia="Palatino Linotype" w:hAnsi="Palatino Linotype" w:cs="Palatino Linotype"/>
          <w:b/>
        </w:rPr>
        <w:t xml:space="preserve"> 00111/CHIAUTLA/IP/2022, </w:t>
      </w:r>
      <w:r>
        <w:rPr>
          <w:rFonts w:ascii="Palatino Linotype" w:eastAsia="Palatino Linotype" w:hAnsi="Palatino Linotype" w:cs="Palatino Linotype"/>
        </w:rPr>
        <w:t>que dio origen al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vía </w:t>
      </w:r>
      <w:r>
        <w:rPr>
          <w:rFonts w:ascii="Palatino Linotype" w:eastAsia="Palatino Linotype" w:hAnsi="Palatino Linotype" w:cs="Palatino Linotype"/>
          <w:b/>
        </w:rPr>
        <w:t xml:space="preserve">Sistema de Acceso a la Información Mexiquense, SAIMEX y correo electrónico, </w:t>
      </w:r>
      <w:r>
        <w:rPr>
          <w:rFonts w:ascii="Palatino Linotype" w:eastAsia="Palatino Linotype" w:hAnsi="Palatino Linotype" w:cs="Palatino Linotype"/>
        </w:rPr>
        <w:t>en términos del Considerando</w:t>
      </w:r>
      <w:r>
        <w:rPr>
          <w:rFonts w:ascii="Palatino Linotype" w:eastAsia="Palatino Linotype" w:hAnsi="Palatino Linotype" w:cs="Palatino Linotype"/>
          <w:b/>
        </w:rPr>
        <w:t xml:space="preserve"> Cuarto</w:t>
      </w:r>
      <w:r>
        <w:rPr>
          <w:rFonts w:ascii="Palatino Linotype" w:eastAsia="Palatino Linotype" w:hAnsi="Palatino Linotype" w:cs="Palatino Linotype"/>
        </w:rPr>
        <w:t xml:space="preserve"> de esta resolución y emita respuesta, debiendo observar las excepciones contenidas en la Ley de Transparencia y Acceso a la Información Pública del Estado de México y Municipios.</w:t>
      </w:r>
    </w:p>
    <w:p w:rsidR="00A2625E" w:rsidRDefault="001B2FF6">
      <w:pPr>
        <w:spacing w:before="240" w:after="240" w:line="360" w:lineRule="auto"/>
        <w:jc w:val="both"/>
        <w:rPr>
          <w:rFonts w:ascii="Palatino Linotype" w:eastAsia="Palatino Linotype" w:hAnsi="Palatino Linotype" w:cs="Palatino Linotype"/>
        </w:rPr>
      </w:pPr>
      <w:bookmarkStart w:id="5" w:name="_heading=h.3znysh7" w:colFirst="0" w:colLast="0"/>
      <w:bookmarkEnd w:id="5"/>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2625E" w:rsidRDefault="001B2F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 y correo electrónic,</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A2625E" w:rsidRDefault="001B2FF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w:t>
      </w:r>
      <w:r>
        <w:rPr>
          <w:rFonts w:ascii="Palatino Linotype" w:eastAsia="Palatino Linotype" w:hAnsi="Palatino Linotype" w:cs="Palatino Linotype"/>
        </w:rPr>
        <w:lastRenderedPageBreak/>
        <w:t>179, último párrafo de la Ley de Transparencia y Acceso a la Información Pública del Estado de México y Municipios.</w:t>
      </w:r>
    </w:p>
    <w:p w:rsidR="00A2625E" w:rsidRDefault="001B2FF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Sexto. Gírese </w:t>
      </w:r>
      <w:r>
        <w:rPr>
          <w:rFonts w:ascii="Palatino Linotype" w:eastAsia="Palatino Linotype" w:hAnsi="Palatino Linotype" w:cs="Palatino Linotype"/>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w:t>
      </w:r>
    </w:p>
    <w:p w:rsidR="00A2625E" w:rsidRDefault="001B2FF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Séptimo. </w:t>
      </w:r>
      <w:r>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Pr>
          <w:rFonts w:ascii="Palatino Linotype" w:eastAsia="Palatino Linotype" w:hAnsi="Palatino Linotype" w:cs="Palatino Linotype"/>
          <w:b/>
        </w:rPr>
        <w:t xml:space="preserve">  </w:t>
      </w:r>
    </w:p>
    <w:p w:rsidR="00A2625E" w:rsidRDefault="001B2FF6">
      <w:pPr>
        <w:spacing w:line="360" w:lineRule="auto"/>
        <w:ind w:right="49"/>
        <w:jc w:val="both"/>
        <w:rPr>
          <w:rFonts w:ascii="Palatino Linotype" w:eastAsia="Palatino Linotype" w:hAnsi="Palatino Linotype" w:cs="Palatino Linotype"/>
        </w:rPr>
        <w:sectPr w:rsidR="00A2625E">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pPr>
      <w:bookmarkStart w:id="6" w:name="_heading=h.2et92p0" w:colFirst="0" w:colLast="0"/>
      <w:bookmarkEnd w:id="6"/>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SEXTA  SESIÓN ORDINARIA CELEBRADA EL CUATRO DE MAYO DE DOS MIL VEINTIDÓS, ANTE EL SECRETARIO TÉCNICO DEL PLENO ALEXIS TAPIA RAMÍREZ.</w:t>
      </w:r>
    </w:p>
    <w:p w:rsidR="00A2625E" w:rsidRDefault="00A2625E">
      <w:pPr>
        <w:tabs>
          <w:tab w:val="left" w:pos="709"/>
        </w:tabs>
        <w:spacing w:before="240" w:after="240" w:line="360" w:lineRule="auto"/>
        <w:jc w:val="both"/>
        <w:rPr>
          <w:rFonts w:ascii="Palatino Linotype" w:eastAsia="Palatino Linotype" w:hAnsi="Palatino Linotype" w:cs="Palatino Linotype"/>
        </w:rPr>
      </w:pPr>
    </w:p>
    <w:p w:rsidR="00A2625E" w:rsidRDefault="00A2625E"/>
    <w:p w:rsidR="00A2625E" w:rsidRDefault="00A2625E"/>
    <w:sectPr w:rsidR="00A2625E">
      <w:headerReference w:type="first" r:id="rId20"/>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B24" w:rsidRDefault="00B20B24">
      <w:r>
        <w:separator/>
      </w:r>
    </w:p>
  </w:endnote>
  <w:endnote w:type="continuationSeparator" w:id="0">
    <w:p w:rsidR="00B20B24" w:rsidRDefault="00B20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5E" w:rsidRDefault="001B2FF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D4508">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D4508">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A2625E" w:rsidRDefault="00A2625E">
    <w:pPr>
      <w:pBdr>
        <w:top w:val="nil"/>
        <w:left w:val="nil"/>
        <w:bottom w:val="nil"/>
        <w:right w:val="nil"/>
        <w:between w:val="nil"/>
      </w:pBdr>
      <w:tabs>
        <w:tab w:val="center" w:pos="4252"/>
        <w:tab w:val="right" w:pos="8504"/>
      </w:tabs>
      <w:rPr>
        <w:color w:val="000000"/>
      </w:rPr>
    </w:pPr>
  </w:p>
  <w:p w:rsidR="00A2625E" w:rsidRDefault="00A2625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5E" w:rsidRDefault="001B2FF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D4508">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D4508">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A2625E" w:rsidRDefault="00A2625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B24" w:rsidRDefault="00B20B24">
      <w:r>
        <w:separator/>
      </w:r>
    </w:p>
  </w:footnote>
  <w:footnote w:type="continuationSeparator" w:id="0">
    <w:p w:rsidR="00B20B24" w:rsidRDefault="00B20B24">
      <w:r>
        <w:continuationSeparator/>
      </w:r>
    </w:p>
  </w:footnote>
  <w:footnote w:id="1">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2">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3">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4">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5">
    <w:p w:rsidR="00A2625E" w:rsidRDefault="001B2FF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5E" w:rsidRDefault="001B2FF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-450846</wp:posOffset>
          </wp:positionV>
          <wp:extent cx="7635163" cy="9944100"/>
          <wp:effectExtent l="0" t="0" r="0" b="0"/>
          <wp:wrapNone/>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6"/>
      <w:tblW w:w="5528" w:type="dxa"/>
      <w:tblInd w:w="3261" w:type="dxa"/>
      <w:tblLayout w:type="fixed"/>
      <w:tblLook w:val="0400" w:firstRow="0" w:lastRow="0" w:firstColumn="0" w:lastColumn="0" w:noHBand="0" w:noVBand="1"/>
    </w:tblPr>
    <w:tblGrid>
      <w:gridCol w:w="2552"/>
      <w:gridCol w:w="2976"/>
    </w:tblGrid>
    <w:tr w:rsidR="00A2625E">
      <w:tc>
        <w:tcPr>
          <w:tcW w:w="2552" w:type="dxa"/>
          <w:vAlign w:val="center"/>
        </w:tcPr>
        <w:p w:rsidR="00A2625E" w:rsidRDefault="001B2F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6" w:type="dxa"/>
          <w:vAlign w:val="center"/>
        </w:tcPr>
        <w:p w:rsidR="00A2625E" w:rsidRDefault="001B2FF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03609/INFOEM/IP/RR/2022 </w:t>
          </w:r>
        </w:p>
      </w:tc>
    </w:tr>
    <w:tr w:rsidR="00A2625E">
      <w:trPr>
        <w:trHeight w:val="228"/>
      </w:trPr>
      <w:tc>
        <w:tcPr>
          <w:tcW w:w="2552" w:type="dxa"/>
          <w:vAlign w:val="center"/>
        </w:tcPr>
        <w:p w:rsidR="00A2625E" w:rsidRDefault="001B2F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6" w:type="dxa"/>
          <w:vAlign w:val="center"/>
        </w:tcPr>
        <w:p w:rsidR="00A2625E" w:rsidRDefault="001B2FF6">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Chiautla</w:t>
          </w:r>
        </w:p>
      </w:tc>
    </w:tr>
    <w:tr w:rsidR="00A2625E">
      <w:tc>
        <w:tcPr>
          <w:tcW w:w="2552" w:type="dxa"/>
          <w:vAlign w:val="center"/>
        </w:tcPr>
        <w:p w:rsidR="00A2625E" w:rsidRDefault="001B2F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6" w:type="dxa"/>
          <w:vAlign w:val="center"/>
        </w:tcPr>
        <w:p w:rsidR="00A2625E" w:rsidRDefault="001B2FF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2625E" w:rsidRDefault="001B2FF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5E" w:rsidRDefault="001B2FF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simplePos x="0" y="0"/>
          <wp:positionH relativeFrom="column">
            <wp:posOffset>-1013456</wp:posOffset>
          </wp:positionH>
          <wp:positionV relativeFrom="paragraph">
            <wp:posOffset>-372106</wp:posOffset>
          </wp:positionV>
          <wp:extent cx="7635600" cy="9943200"/>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38" w:type="dxa"/>
      <w:tblInd w:w="3119" w:type="dxa"/>
      <w:tblLayout w:type="fixed"/>
      <w:tblLook w:val="0400" w:firstRow="0" w:lastRow="0" w:firstColumn="0" w:lastColumn="0" w:noHBand="0" w:noVBand="1"/>
    </w:tblPr>
    <w:tblGrid>
      <w:gridCol w:w="2551"/>
      <w:gridCol w:w="3687"/>
    </w:tblGrid>
    <w:tr w:rsidR="00A2625E">
      <w:tc>
        <w:tcPr>
          <w:tcW w:w="2551" w:type="dxa"/>
          <w:vAlign w:val="center"/>
        </w:tcPr>
        <w:p w:rsidR="00A2625E" w:rsidRDefault="001B2F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A2625E" w:rsidRDefault="001B2FF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03609/INFOEM/IP/RR/2022</w:t>
          </w:r>
        </w:p>
      </w:tc>
    </w:tr>
    <w:tr w:rsidR="00A2625E">
      <w:tc>
        <w:tcPr>
          <w:tcW w:w="2551" w:type="dxa"/>
          <w:vAlign w:val="center"/>
        </w:tcPr>
        <w:p w:rsidR="00A2625E" w:rsidRDefault="001B2FF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A2625E" w:rsidRDefault="00FD450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 XXXXXXX</w:t>
          </w:r>
        </w:p>
      </w:tc>
    </w:tr>
    <w:tr w:rsidR="00A2625E">
      <w:trPr>
        <w:trHeight w:val="228"/>
      </w:trPr>
      <w:tc>
        <w:tcPr>
          <w:tcW w:w="2551" w:type="dxa"/>
          <w:vAlign w:val="center"/>
        </w:tcPr>
        <w:p w:rsidR="00A2625E" w:rsidRDefault="001B2F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A2625E" w:rsidRDefault="001B2FF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Chiautla</w:t>
          </w:r>
        </w:p>
      </w:tc>
    </w:tr>
    <w:tr w:rsidR="00A2625E">
      <w:tc>
        <w:tcPr>
          <w:tcW w:w="2551" w:type="dxa"/>
          <w:vAlign w:val="center"/>
        </w:tcPr>
        <w:p w:rsidR="00A2625E" w:rsidRDefault="001B2FF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A2625E" w:rsidRDefault="001B2FF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2625E" w:rsidRDefault="00A2625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5E" w:rsidRDefault="001B2FF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A2625E" w:rsidRDefault="00A2625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0691E"/>
    <w:multiLevelType w:val="multilevel"/>
    <w:tmpl w:val="C144D67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nsid w:val="0CD5725D"/>
    <w:multiLevelType w:val="multilevel"/>
    <w:tmpl w:val="41A6F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691873"/>
    <w:multiLevelType w:val="multilevel"/>
    <w:tmpl w:val="51FA5F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94B40DA"/>
    <w:multiLevelType w:val="multilevel"/>
    <w:tmpl w:val="3364D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25E"/>
    <w:rsid w:val="001B2FF6"/>
    <w:rsid w:val="00315173"/>
    <w:rsid w:val="008078FA"/>
    <w:rsid w:val="00A2625E"/>
    <w:rsid w:val="00B20B24"/>
    <w:rsid w:val="00DA630B"/>
    <w:rsid w:val="00FD45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62614-547A-4E41-A2C8-A85B0A656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hXld2Pb3IrYKXAMmARw5x3jlNw==">AMUW2mWUAgjb6g77uWh/jNRiShRny7BGrL6u/EscUVd3BTHaido3JHTckryvJ7b/F3OOugXBRL76rLYoh98uP5D5uvPMHnaSodhgT3ptTIDh2PNL91nZ2Flj8wHF/lJxO94VMr5BioR+CPHW2UaPctra+2gRe7eVcbjf9ZggYOTbd4mso4ijNDaqvAJSv5+QFa7NetZuABc+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7391</Words>
  <Characters>40655</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2022-05-09T15:44:00Z</cp:lastPrinted>
  <dcterms:created xsi:type="dcterms:W3CDTF">2022-06-07T16:22:00Z</dcterms:created>
  <dcterms:modified xsi:type="dcterms:W3CDTF">2022-06-07T16:22:00Z</dcterms:modified>
</cp:coreProperties>
</file>