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029D8E19" w:rsidR="00091682" w:rsidRDefault="00091682" w:rsidP="00091682">
      <w:pPr>
        <w:spacing w:before="240" w:after="240" w:line="360" w:lineRule="auto"/>
        <w:jc w:val="both"/>
        <w:rPr>
          <w:rFonts w:ascii="Palatino Linotype" w:hAnsi="Palatino Linotype"/>
        </w:rPr>
      </w:pPr>
      <w:r w:rsidRPr="00A4521A">
        <w:rPr>
          <w:rFonts w:ascii="Palatino Linotype" w:hAnsi="Palatino Linotype"/>
        </w:rPr>
        <w:t xml:space="preserve">Resolución del Pleno del Instituto de Transparencia, Acceso a la Información Pública y Protección de Datos Personales del Estado de México y Municipios, con domicilio en </w:t>
      </w:r>
      <w:r w:rsidR="00BA1316">
        <w:rPr>
          <w:rFonts w:ascii="Palatino Linotype" w:hAnsi="Palatino Linotype"/>
        </w:rPr>
        <w:t>Mete</w:t>
      </w:r>
      <w:r w:rsidR="00B74A98">
        <w:rPr>
          <w:rFonts w:ascii="Palatino Linotype" w:hAnsi="Palatino Linotype"/>
        </w:rPr>
        <w:t xml:space="preserve">pec, Estado de México, de fecha </w:t>
      </w:r>
      <w:r w:rsidR="004C6D7D">
        <w:rPr>
          <w:rFonts w:ascii="Palatino Linotype" w:hAnsi="Palatino Linotype"/>
          <w:b/>
        </w:rPr>
        <w:t>cuatro de may</w:t>
      </w:r>
      <w:r w:rsidR="00B74A98">
        <w:rPr>
          <w:rFonts w:ascii="Palatino Linotype" w:hAnsi="Palatino Linotype"/>
          <w:b/>
        </w:rPr>
        <w:t>o</w:t>
      </w:r>
      <w:r w:rsidR="00092DFC" w:rsidRPr="00BA1316">
        <w:rPr>
          <w:rFonts w:ascii="Palatino Linotype" w:hAnsi="Palatino Linotype"/>
          <w:b/>
        </w:rPr>
        <w:t xml:space="preserve"> </w:t>
      </w:r>
      <w:r w:rsidRPr="00BA1316">
        <w:rPr>
          <w:rFonts w:ascii="Palatino Linotype" w:hAnsi="Palatino Linotype"/>
          <w:b/>
        </w:rPr>
        <w:t>de</w:t>
      </w:r>
      <w:r w:rsidR="00686279" w:rsidRPr="00BA1316">
        <w:rPr>
          <w:rFonts w:ascii="Palatino Linotype" w:hAnsi="Palatino Linotype"/>
          <w:b/>
        </w:rPr>
        <w:t>l</w:t>
      </w:r>
      <w:r w:rsidR="003C388A" w:rsidRPr="00BA1316">
        <w:rPr>
          <w:rFonts w:ascii="Palatino Linotype" w:hAnsi="Palatino Linotype"/>
          <w:b/>
        </w:rPr>
        <w:t xml:space="preserve"> dos mil </w:t>
      </w:r>
      <w:r w:rsidR="00306C3C" w:rsidRPr="00BA1316">
        <w:rPr>
          <w:rFonts w:ascii="Palatino Linotype" w:hAnsi="Palatino Linotype"/>
          <w:b/>
        </w:rPr>
        <w:t>ve</w:t>
      </w:r>
      <w:r w:rsidR="003C388A" w:rsidRPr="00BA1316">
        <w:rPr>
          <w:rFonts w:ascii="Palatino Linotype" w:hAnsi="Palatino Linotype"/>
          <w:b/>
        </w:rPr>
        <w:t>int</w:t>
      </w:r>
      <w:r w:rsidR="00B74A98">
        <w:rPr>
          <w:rFonts w:ascii="Palatino Linotype" w:hAnsi="Palatino Linotype"/>
          <w:b/>
        </w:rPr>
        <w:t>idós</w:t>
      </w:r>
      <w:r w:rsidR="00883AE3">
        <w:rPr>
          <w:rFonts w:ascii="Palatino Linotype" w:hAnsi="Palatino Linotype"/>
        </w:rPr>
        <w:t>.</w:t>
      </w:r>
    </w:p>
    <w:p w14:paraId="7414D51E" w14:textId="1DAD11ED" w:rsidR="00B03355" w:rsidRPr="00B21F18" w:rsidRDefault="00B03355" w:rsidP="00B03355">
      <w:pPr>
        <w:spacing w:before="240" w:after="240" w:line="360" w:lineRule="auto"/>
        <w:ind w:right="49"/>
        <w:jc w:val="both"/>
        <w:rPr>
          <w:rFonts w:ascii="Palatino Linotype" w:hAnsi="Palatino Linotype" w:cs="Arial"/>
        </w:rPr>
      </w:pPr>
      <w:r>
        <w:rPr>
          <w:rFonts w:ascii="Palatino Linotype" w:hAnsi="Palatino Linotype" w:cs="Arial"/>
          <w:b/>
        </w:rPr>
        <w:t>Visto</w:t>
      </w:r>
      <w:r w:rsidRPr="00B21F18">
        <w:rPr>
          <w:rFonts w:ascii="Palatino Linotype" w:hAnsi="Palatino Linotype" w:cs="Arial"/>
        </w:rPr>
        <w:t xml:space="preserve"> el expediente formado con motivo del recurso de revisión </w:t>
      </w:r>
      <w:r w:rsidRPr="00B21F18">
        <w:rPr>
          <w:rFonts w:ascii="Palatino Linotype" w:hAnsi="Palatino Linotype" w:cs="Arial"/>
          <w:b/>
        </w:rPr>
        <w:t>0</w:t>
      </w:r>
      <w:r w:rsidR="004C6D7D">
        <w:rPr>
          <w:rFonts w:ascii="Palatino Linotype" w:hAnsi="Palatino Linotype" w:cs="Arial"/>
          <w:b/>
        </w:rPr>
        <w:t>1954/INFOEM/IP/RR/2022</w:t>
      </w:r>
      <w:r w:rsidRPr="00B21F18">
        <w:rPr>
          <w:rFonts w:ascii="Palatino Linotype" w:hAnsi="Palatino Linotype" w:cs="Arial"/>
        </w:rPr>
        <w:t>, interpuesto por</w:t>
      </w:r>
      <w:r w:rsidR="004C6D7D">
        <w:rPr>
          <w:rFonts w:ascii="Palatino Linotype" w:hAnsi="Palatino Linotype" w:cs="Arial"/>
        </w:rPr>
        <w:t xml:space="preserve"> </w:t>
      </w:r>
      <w:r w:rsidR="004F1AE0" w:rsidRPr="004F1AE0">
        <w:rPr>
          <w:rFonts w:ascii="Palatino Linotype" w:hAnsi="Palatino Linotype" w:cs="Arial"/>
          <w:b/>
        </w:rPr>
        <w:t>XXXXXX XXXXXX XXXXX</w:t>
      </w:r>
      <w:bookmarkStart w:id="0" w:name="_GoBack"/>
      <w:bookmarkEnd w:id="0"/>
      <w:r>
        <w:rPr>
          <w:rFonts w:ascii="Palatino Linotype" w:hAnsi="Palatino Linotype" w:cs="Arial"/>
        </w:rPr>
        <w:t>,</w:t>
      </w:r>
      <w:r w:rsidRPr="00B21F18">
        <w:rPr>
          <w:rFonts w:ascii="Palatino Linotype" w:hAnsi="Palatino Linotype" w:cs="Arial"/>
          <w:b/>
          <w:szCs w:val="22"/>
        </w:rPr>
        <w:t xml:space="preserve"> </w:t>
      </w:r>
      <w:r w:rsidRPr="00B21F18">
        <w:rPr>
          <w:rFonts w:ascii="Palatino Linotype" w:hAnsi="Palatino Linotype" w:cs="Arial"/>
        </w:rPr>
        <w:t>en lo sucesivo</w:t>
      </w:r>
      <w:r w:rsidRPr="00B21F18">
        <w:rPr>
          <w:rFonts w:ascii="Palatino Linotype" w:hAnsi="Palatino Linotype" w:cs="Arial"/>
          <w:b/>
        </w:rPr>
        <w:t xml:space="preserve"> </w:t>
      </w:r>
      <w:r w:rsidR="004C6D7D" w:rsidRPr="004C6D7D">
        <w:rPr>
          <w:rFonts w:ascii="Palatino Linotype" w:hAnsi="Palatino Linotype" w:cs="Arial"/>
          <w:b/>
        </w:rPr>
        <w:t>la</w:t>
      </w:r>
      <w:r w:rsidR="00071380">
        <w:rPr>
          <w:rFonts w:ascii="Palatino Linotype" w:hAnsi="Palatino Linotype" w:cs="Arial"/>
        </w:rPr>
        <w:t xml:space="preserve"> </w:t>
      </w:r>
      <w:r w:rsidR="00071380">
        <w:rPr>
          <w:rFonts w:ascii="Palatino Linotype" w:hAnsi="Palatino Linotype" w:cs="Arial"/>
          <w:b/>
          <w:bCs/>
        </w:rPr>
        <w:t>Recurrente</w:t>
      </w:r>
      <w:r w:rsidRPr="00B4549B">
        <w:rPr>
          <w:rFonts w:ascii="Palatino Linotype" w:hAnsi="Palatino Linotype" w:cs="Arial"/>
          <w:b/>
          <w:bCs/>
        </w:rPr>
        <w:t>,</w:t>
      </w:r>
      <w:r w:rsidRPr="00B21F18">
        <w:rPr>
          <w:rFonts w:ascii="Palatino Linotype" w:hAnsi="Palatino Linotype" w:cs="Arial"/>
        </w:rPr>
        <w:t xml:space="preserve"> en contra de la </w:t>
      </w:r>
      <w:r>
        <w:rPr>
          <w:rFonts w:ascii="Palatino Linotype" w:hAnsi="Palatino Linotype" w:cs="Arial"/>
        </w:rPr>
        <w:t>r</w:t>
      </w:r>
      <w:r w:rsidR="004C6D7D">
        <w:rPr>
          <w:rFonts w:ascii="Palatino Linotype" w:hAnsi="Palatino Linotype" w:cs="Arial"/>
        </w:rPr>
        <w:t>espuesta de la</w:t>
      </w:r>
      <w:r w:rsidRPr="00B21F18">
        <w:rPr>
          <w:rFonts w:ascii="Palatino Linotype" w:hAnsi="Palatino Linotype" w:cs="Arial"/>
        </w:rPr>
        <w:t xml:space="preserve"> </w:t>
      </w:r>
      <w:r w:rsidR="004C6D7D" w:rsidRPr="004C6D7D">
        <w:rPr>
          <w:rFonts w:ascii="Palatino Linotype" w:eastAsiaTheme="minorEastAsia" w:hAnsi="Palatino Linotype" w:cs="Arial"/>
          <w:b/>
          <w:bCs/>
          <w:szCs w:val="22"/>
        </w:rPr>
        <w:t>Secretaría de Justicia y Derechos Humanos</w:t>
      </w:r>
      <w:r>
        <w:rPr>
          <w:rFonts w:ascii="Palatino Linotype" w:hAnsi="Palatino Linotype" w:cs="Arial"/>
          <w:b/>
          <w:bCs/>
        </w:rPr>
        <w:t>,</w:t>
      </w:r>
      <w:r w:rsidRPr="00B21F18">
        <w:rPr>
          <w:rFonts w:ascii="Palatino Linotype" w:hAnsi="Palatino Linotype" w:cs="Arial"/>
          <w:b/>
          <w:bCs/>
        </w:rPr>
        <w:t xml:space="preserve"> </w:t>
      </w:r>
      <w:r w:rsidRPr="00B21F18">
        <w:rPr>
          <w:rFonts w:ascii="Palatino Linotype" w:hAnsi="Palatino Linotype" w:cs="Arial"/>
        </w:rPr>
        <w:t xml:space="preserve">en lo sucesivo el </w:t>
      </w:r>
      <w:r w:rsidR="00071380">
        <w:rPr>
          <w:rFonts w:ascii="Palatino Linotype" w:hAnsi="Palatino Linotype" w:cs="Arial"/>
          <w:b/>
        </w:rPr>
        <w:t>Sujeto Obligado</w:t>
      </w:r>
      <w:r w:rsidRPr="00B21F18">
        <w:rPr>
          <w:rFonts w:ascii="Palatino Linotype" w:hAnsi="Palatino Linotype" w:cs="Arial"/>
          <w:b/>
        </w:rPr>
        <w:t xml:space="preserve">, </w:t>
      </w:r>
      <w:r w:rsidRPr="00B21F18">
        <w:rPr>
          <w:rFonts w:ascii="Palatino Linotype" w:hAnsi="Palatino Linotype" w:cs="Arial"/>
        </w:rPr>
        <w:t xml:space="preserve">se procede a dictar la presente resolución con base en los siguientes: </w:t>
      </w:r>
    </w:p>
    <w:p w14:paraId="5E40C846" w14:textId="77777777" w:rsidR="00B03355" w:rsidRPr="00B21F18" w:rsidRDefault="00B03355" w:rsidP="00B03355">
      <w:pPr>
        <w:spacing w:before="240" w:after="240" w:line="360" w:lineRule="auto"/>
        <w:ind w:right="49"/>
        <w:jc w:val="center"/>
        <w:rPr>
          <w:rFonts w:ascii="Palatino Linotype" w:hAnsi="Palatino Linotype" w:cs="Arial"/>
          <w:b/>
          <w:sz w:val="28"/>
          <w:szCs w:val="28"/>
        </w:rPr>
      </w:pPr>
      <w:r w:rsidRPr="00B21F18">
        <w:rPr>
          <w:rFonts w:ascii="Palatino Linotype" w:hAnsi="Palatino Linotype"/>
          <w:b/>
        </w:rPr>
        <w:t>A N T E C E D E N T E S</w:t>
      </w:r>
    </w:p>
    <w:p w14:paraId="76500051" w14:textId="6C244A6E" w:rsidR="00B03355" w:rsidRPr="00B21F18" w:rsidRDefault="00B03355" w:rsidP="00B03355">
      <w:pPr>
        <w:spacing w:before="240" w:after="240" w:line="360" w:lineRule="auto"/>
        <w:ind w:right="49"/>
        <w:jc w:val="both"/>
        <w:rPr>
          <w:rFonts w:ascii="Palatino Linotype" w:hAnsi="Palatino Linotype" w:cs="Arial"/>
        </w:rPr>
      </w:pPr>
      <w:r w:rsidRPr="00071380">
        <w:rPr>
          <w:rFonts w:ascii="Palatino Linotype" w:hAnsi="Palatino Linotype" w:cs="Arial"/>
          <w:b/>
        </w:rPr>
        <w:t>1. Solicitud de acceso a la información.</w:t>
      </w:r>
      <w:r w:rsidRPr="00071380">
        <w:rPr>
          <w:rFonts w:ascii="Palatino Linotype" w:hAnsi="Palatino Linotype" w:cs="Arial"/>
        </w:rPr>
        <w:t xml:space="preserve"> </w:t>
      </w:r>
      <w:r w:rsidR="00B74A98">
        <w:rPr>
          <w:rFonts w:ascii="Palatino Linotype" w:hAnsi="Palatino Linotype" w:cs="Arial"/>
        </w:rPr>
        <w:t xml:space="preserve">En fecha </w:t>
      </w:r>
      <w:r w:rsidR="004C6D7D">
        <w:rPr>
          <w:rFonts w:ascii="Palatino Linotype" w:hAnsi="Palatino Linotype" w:cs="Arial"/>
          <w:b/>
        </w:rPr>
        <w:t>treinta y uno de enero</w:t>
      </w:r>
      <w:r>
        <w:rPr>
          <w:rFonts w:ascii="Palatino Linotype" w:hAnsi="Palatino Linotype" w:cs="Arial"/>
          <w:b/>
        </w:rPr>
        <w:t xml:space="preserve"> </w:t>
      </w:r>
      <w:r w:rsidR="00071380">
        <w:rPr>
          <w:rFonts w:ascii="Palatino Linotype" w:hAnsi="Palatino Linotype" w:cs="Arial"/>
          <w:b/>
        </w:rPr>
        <w:t xml:space="preserve">de dos mil </w:t>
      </w:r>
      <w:r w:rsidRPr="00B21F18">
        <w:rPr>
          <w:rFonts w:ascii="Palatino Linotype" w:hAnsi="Palatino Linotype" w:cs="Arial"/>
          <w:b/>
        </w:rPr>
        <w:t>ve</w:t>
      </w:r>
      <w:r w:rsidR="004C6D7D">
        <w:rPr>
          <w:rFonts w:ascii="Palatino Linotype" w:hAnsi="Palatino Linotype" w:cs="Arial"/>
          <w:b/>
        </w:rPr>
        <w:t>intidós</w:t>
      </w:r>
      <w:r w:rsidRPr="00B21F18">
        <w:rPr>
          <w:rFonts w:ascii="Palatino Linotype" w:hAnsi="Palatino Linotype" w:cs="Arial"/>
          <w:b/>
        </w:rPr>
        <w:t xml:space="preserve">, </w:t>
      </w:r>
      <w:r w:rsidR="004C6D7D">
        <w:rPr>
          <w:rFonts w:ascii="Palatino Linotype" w:hAnsi="Palatino Linotype" w:cs="Arial"/>
        </w:rPr>
        <w:t>la</w:t>
      </w:r>
      <w:r w:rsidRPr="00B21F18">
        <w:rPr>
          <w:rFonts w:ascii="Palatino Linotype" w:hAnsi="Palatino Linotype" w:cs="Arial"/>
        </w:rPr>
        <w:t xml:space="preserve"> </w:t>
      </w:r>
      <w:r w:rsidR="00071380">
        <w:rPr>
          <w:rFonts w:ascii="Palatino Linotype" w:hAnsi="Palatino Linotype" w:cs="Arial"/>
          <w:b/>
        </w:rPr>
        <w:t>Recurrente</w:t>
      </w:r>
      <w:r w:rsidR="00C9614B">
        <w:rPr>
          <w:rFonts w:ascii="Palatino Linotype" w:hAnsi="Palatino Linotype" w:cs="Arial"/>
        </w:rPr>
        <w:t xml:space="preserve"> presentó a través de </w:t>
      </w:r>
      <w:r w:rsidRPr="00B21F18">
        <w:rPr>
          <w:rFonts w:ascii="Palatino Linotype" w:hAnsi="Palatino Linotype" w:cs="Arial"/>
        </w:rPr>
        <w:t xml:space="preserve">Sistema de Acceso a la Información Mexiquense, en lo subsecuente el </w:t>
      </w:r>
      <w:r w:rsidRPr="00B21F18">
        <w:rPr>
          <w:rFonts w:ascii="Palatino Linotype" w:hAnsi="Palatino Linotype" w:cs="Arial"/>
          <w:b/>
        </w:rPr>
        <w:t>SAIMEX</w:t>
      </w:r>
      <w:r w:rsidRPr="00B21F18">
        <w:rPr>
          <w:rFonts w:ascii="Palatino Linotype" w:hAnsi="Palatino Linotype" w:cs="Arial"/>
        </w:rPr>
        <w:t xml:space="preserve"> ante el </w:t>
      </w:r>
      <w:r w:rsidR="00071380">
        <w:rPr>
          <w:rFonts w:ascii="Palatino Linotype" w:hAnsi="Palatino Linotype" w:cs="Arial"/>
          <w:b/>
        </w:rPr>
        <w:t>Sujeto Obligado</w:t>
      </w:r>
      <w:r w:rsidRPr="00B21F18">
        <w:rPr>
          <w:rFonts w:ascii="Palatino Linotype" w:hAnsi="Palatino Linotype" w:cs="Arial"/>
        </w:rPr>
        <w:t xml:space="preserve">, la solicitud de acceso a la información pública, a la que se le asignó el </w:t>
      </w:r>
      <w:r w:rsidR="008102CB" w:rsidRPr="00B21F18">
        <w:rPr>
          <w:rFonts w:ascii="Palatino Linotype" w:hAnsi="Palatino Linotype" w:cs="Arial"/>
        </w:rPr>
        <w:t>número</w:t>
      </w:r>
      <w:r w:rsidR="008102CB" w:rsidRPr="00B21F18">
        <w:rPr>
          <w:rFonts w:ascii="Palatino Linotype" w:hAnsi="Palatino Linotype" w:cs="Arial"/>
          <w:b/>
          <w:bCs/>
        </w:rPr>
        <w:t xml:space="preserve"> </w:t>
      </w:r>
      <w:r w:rsidR="004C6D7D" w:rsidRPr="004C6D7D">
        <w:rPr>
          <w:rFonts w:ascii="Palatino Linotype" w:hAnsi="Palatino Linotype" w:cs="Arial"/>
          <w:b/>
          <w:bCs/>
        </w:rPr>
        <w:t>00017/SJDH/IP/2022</w:t>
      </w:r>
      <w:r w:rsidRPr="00B21F18">
        <w:rPr>
          <w:rFonts w:ascii="Palatino Linotype" w:hAnsi="Palatino Linotype" w:cs="Arial"/>
          <w:b/>
        </w:rPr>
        <w:t xml:space="preserve">, </w:t>
      </w:r>
      <w:r w:rsidRPr="00B21F18">
        <w:rPr>
          <w:rFonts w:ascii="Palatino Linotype" w:hAnsi="Palatino Linotype" w:cs="Arial"/>
        </w:rPr>
        <w:t xml:space="preserve">mediante la cual requirió la información siguiente: </w:t>
      </w:r>
    </w:p>
    <w:p w14:paraId="762909ED" w14:textId="13E6AC58" w:rsidR="00B03355" w:rsidRPr="00B21F18" w:rsidRDefault="00B03355" w:rsidP="00071380">
      <w:pPr>
        <w:spacing w:before="240" w:after="240" w:line="276" w:lineRule="auto"/>
        <w:ind w:left="426" w:right="900"/>
        <w:jc w:val="both"/>
        <w:rPr>
          <w:rFonts w:ascii="Palatino Linotype" w:hAnsi="Palatino Linotype" w:cs="Arial"/>
          <w:b/>
          <w:i/>
          <w:sz w:val="22"/>
          <w:szCs w:val="22"/>
        </w:rPr>
      </w:pPr>
      <w:r w:rsidRPr="00B21F18">
        <w:rPr>
          <w:rFonts w:ascii="Palatino Linotype" w:hAnsi="Palatino Linotype" w:cs="Arial"/>
          <w:i/>
          <w:sz w:val="22"/>
          <w:szCs w:val="22"/>
          <w:lang w:eastAsia="es-MX"/>
        </w:rPr>
        <w:t xml:space="preserve"> “</w:t>
      </w:r>
      <w:r w:rsidR="004C6D7D" w:rsidRPr="004C6D7D">
        <w:rPr>
          <w:rFonts w:ascii="Palatino Linotype" w:hAnsi="Palatino Linotype"/>
          <w:i/>
          <w:sz w:val="22"/>
          <w:szCs w:val="22"/>
        </w:rPr>
        <w:t xml:space="preserve">quisiera conocer el </w:t>
      </w:r>
      <w:r w:rsidR="004C6D7D" w:rsidRPr="004C6D7D">
        <w:rPr>
          <w:rFonts w:ascii="Palatino Linotype" w:hAnsi="Palatino Linotype"/>
          <w:b/>
          <w:i/>
          <w:sz w:val="22"/>
          <w:szCs w:val="22"/>
        </w:rPr>
        <w:t>estatus de los convenios firmados con los distintos municipios por parte de la Procuraduria del Colono, ¿los actualizaran, firmaran nuevos convenios o definitivamente ya no reconocen estos convenios</w:t>
      </w:r>
      <w:r w:rsidR="004C6D7D" w:rsidRPr="004C6D7D">
        <w:rPr>
          <w:rFonts w:ascii="Palatino Linotype" w:hAnsi="Palatino Linotype"/>
          <w:i/>
          <w:sz w:val="22"/>
          <w:szCs w:val="22"/>
        </w:rPr>
        <w:t>?</w:t>
      </w:r>
      <w:r w:rsidR="004C6D7D">
        <w:rPr>
          <w:rFonts w:ascii="Palatino Linotype" w:hAnsi="Palatino Linotype" w:cs="Arial"/>
          <w:i/>
          <w:sz w:val="22"/>
          <w:szCs w:val="22"/>
          <w:lang w:eastAsia="es-MX"/>
        </w:rPr>
        <w:t>” (Sic) (Énfasis añadido)</w:t>
      </w:r>
    </w:p>
    <w:p w14:paraId="47472011" w14:textId="7D23C2DA" w:rsidR="00B03355" w:rsidRDefault="00B03355" w:rsidP="00B03355">
      <w:pPr>
        <w:spacing w:before="240" w:after="240" w:line="360" w:lineRule="auto"/>
        <w:ind w:right="49"/>
        <w:jc w:val="both"/>
        <w:rPr>
          <w:rFonts w:ascii="Palatino Linotype" w:hAnsi="Palatino Linotype" w:cs="Arial"/>
          <w:b/>
        </w:rPr>
      </w:pPr>
      <w:r w:rsidRPr="00B21F18">
        <w:rPr>
          <w:rFonts w:ascii="Palatino Linotype" w:hAnsi="Palatino Linotype" w:cs="Arial"/>
          <w:b/>
        </w:rPr>
        <w:t>Modalidad de Entrega</w:t>
      </w:r>
      <w:r w:rsidR="004C6D7D" w:rsidRPr="00B21F18">
        <w:rPr>
          <w:rFonts w:ascii="Palatino Linotype" w:hAnsi="Palatino Linotype" w:cs="Arial"/>
          <w:b/>
        </w:rPr>
        <w:t>:</w:t>
      </w:r>
      <w:r w:rsidR="004C6D7D" w:rsidRPr="00B21F18">
        <w:rPr>
          <w:rFonts w:ascii="Palatino Linotype" w:hAnsi="Palatino Linotype" w:cs="Arial"/>
        </w:rPr>
        <w:t xml:space="preserve"> </w:t>
      </w:r>
      <w:r w:rsidR="004C6D7D">
        <w:rPr>
          <w:rFonts w:ascii="Palatino Linotype" w:hAnsi="Palatino Linotype" w:cs="Arial"/>
        </w:rPr>
        <w:t xml:space="preserve">A través del </w:t>
      </w:r>
      <w:r w:rsidR="00C9614B" w:rsidRPr="004C6D7D">
        <w:rPr>
          <w:rFonts w:ascii="Palatino Linotype" w:hAnsi="Palatino Linotype" w:cs="Arial"/>
          <w:b/>
        </w:rPr>
        <w:t xml:space="preserve">SAIMEX </w:t>
      </w:r>
    </w:p>
    <w:p w14:paraId="3B6AF1CB" w14:textId="32026E17" w:rsidR="004C6D7D" w:rsidRDefault="004C6D7D" w:rsidP="00B03355">
      <w:pPr>
        <w:spacing w:before="240" w:after="240" w:line="360" w:lineRule="auto"/>
        <w:ind w:right="49"/>
        <w:jc w:val="both"/>
        <w:rPr>
          <w:rFonts w:ascii="Palatino Linotype" w:hAnsi="Palatino Linotype" w:cs="Arial"/>
        </w:rPr>
      </w:pPr>
      <w:r>
        <w:rPr>
          <w:rFonts w:ascii="Palatino Linotype" w:hAnsi="Palatino Linotype" w:cs="Arial"/>
          <w:b/>
        </w:rPr>
        <w:t xml:space="preserve">Archivos adjuntos: </w:t>
      </w:r>
      <w:r>
        <w:rPr>
          <w:rFonts w:ascii="Palatino Linotype" w:hAnsi="Palatino Linotype" w:cs="Arial"/>
        </w:rPr>
        <w:t>La solicitante adjuntó el archivo electrónico denominado “</w:t>
      </w:r>
      <w:r w:rsidRPr="004C6D7D">
        <w:rPr>
          <w:rFonts w:ascii="Palatino Linotype" w:hAnsi="Palatino Linotype" w:cs="Arial"/>
          <w:b/>
          <w:i/>
        </w:rPr>
        <w:t>Convenios de Coordinacion PROCOEM Ayuntamientos.pdf</w:t>
      </w:r>
      <w:r>
        <w:rPr>
          <w:rFonts w:ascii="Palatino Linotype" w:hAnsi="Palatino Linotype" w:cs="Arial"/>
          <w:b/>
          <w:i/>
        </w:rPr>
        <w:t xml:space="preserve">”, </w:t>
      </w:r>
      <w:r>
        <w:rPr>
          <w:rFonts w:ascii="Palatino Linotype" w:hAnsi="Palatino Linotype" w:cs="Arial"/>
        </w:rPr>
        <w:t xml:space="preserve">el cual consta de </w:t>
      </w:r>
      <w:r>
        <w:rPr>
          <w:rFonts w:ascii="Palatino Linotype" w:hAnsi="Palatino Linotype" w:cs="Arial"/>
        </w:rPr>
        <w:lastRenderedPageBreak/>
        <w:t xml:space="preserve">ochenta y dos fojas, en él se aprecian diversos convenios suscritos por la Procuraduría del Colono y algunos municipios, se inserta la primera foja de manera ilustrativa: </w:t>
      </w:r>
    </w:p>
    <w:p w14:paraId="716104CF" w14:textId="28FB9421" w:rsidR="004C6D7D" w:rsidRPr="004C6D7D" w:rsidRDefault="004C6D7D" w:rsidP="004C6D7D">
      <w:pPr>
        <w:spacing w:before="240" w:after="240" w:line="360" w:lineRule="auto"/>
        <w:ind w:right="49"/>
        <w:jc w:val="center"/>
        <w:rPr>
          <w:rFonts w:ascii="Palatino Linotype" w:hAnsi="Palatino Linotype" w:cs="Arial"/>
        </w:rPr>
      </w:pPr>
      <w:r>
        <w:rPr>
          <w:rFonts w:ascii="Palatino Linotype" w:hAnsi="Palatino Linotype" w:cs="Arial"/>
          <w:noProof/>
          <w:lang w:val="es-MX" w:eastAsia="es-MX"/>
        </w:rPr>
        <w:drawing>
          <wp:inline distT="0" distB="0" distL="0" distR="0" wp14:anchorId="24E14EB6" wp14:editId="54EF496F">
            <wp:extent cx="4282251" cy="55626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9690" cy="5572263"/>
                    </a:xfrm>
                    <a:prstGeom prst="rect">
                      <a:avLst/>
                    </a:prstGeom>
                    <a:noFill/>
                    <a:ln>
                      <a:noFill/>
                    </a:ln>
                  </pic:spPr>
                </pic:pic>
              </a:graphicData>
            </a:graphic>
          </wp:inline>
        </w:drawing>
      </w:r>
    </w:p>
    <w:p w14:paraId="13CCFB4E" w14:textId="050833C3" w:rsidR="00B03355" w:rsidRPr="00B21F18" w:rsidRDefault="00071380" w:rsidP="00B03355">
      <w:pPr>
        <w:spacing w:before="240" w:after="240" w:line="360" w:lineRule="auto"/>
        <w:ind w:right="49"/>
        <w:jc w:val="both"/>
        <w:rPr>
          <w:rFonts w:ascii="Palatino Linotype" w:hAnsi="Palatino Linotype" w:cs="Arial"/>
        </w:rPr>
      </w:pPr>
      <w:r w:rsidRPr="00071380">
        <w:rPr>
          <w:rFonts w:ascii="Palatino Linotype" w:hAnsi="Palatino Linotype" w:cs="Arial"/>
          <w:b/>
          <w:szCs w:val="28"/>
        </w:rPr>
        <w:t>2</w:t>
      </w:r>
      <w:r w:rsidR="00B03355" w:rsidRPr="00071380">
        <w:rPr>
          <w:rFonts w:ascii="Palatino Linotype" w:hAnsi="Palatino Linotype" w:cs="Arial"/>
          <w:b/>
          <w:szCs w:val="28"/>
        </w:rPr>
        <w:t xml:space="preserve">. Respuesta. </w:t>
      </w:r>
      <w:r w:rsidR="00B03355" w:rsidRPr="00B21F18">
        <w:rPr>
          <w:rFonts w:ascii="Palatino Linotype" w:hAnsi="Palatino Linotype" w:cs="Arial"/>
        </w:rPr>
        <w:t>En fecha</w:t>
      </w:r>
      <w:r w:rsidR="00B03355" w:rsidRPr="00B21F18">
        <w:rPr>
          <w:rFonts w:ascii="Palatino Linotype" w:hAnsi="Palatino Linotype" w:cs="Arial"/>
          <w:b/>
        </w:rPr>
        <w:t xml:space="preserve"> </w:t>
      </w:r>
      <w:r w:rsidR="004C6D7D">
        <w:rPr>
          <w:rFonts w:ascii="Palatino Linotype" w:hAnsi="Palatino Linotype" w:cs="Arial"/>
          <w:b/>
        </w:rPr>
        <w:t>dieciséis de febrero</w:t>
      </w:r>
      <w:r w:rsidR="00B03355">
        <w:rPr>
          <w:rFonts w:ascii="Palatino Linotype" w:hAnsi="Palatino Linotype" w:cs="Arial"/>
          <w:b/>
        </w:rPr>
        <w:t xml:space="preserve"> </w:t>
      </w:r>
      <w:r w:rsidR="00B03355" w:rsidRPr="00B21F18">
        <w:rPr>
          <w:rFonts w:ascii="Palatino Linotype" w:hAnsi="Palatino Linotype" w:cs="Arial"/>
          <w:b/>
        </w:rPr>
        <w:t>de</w:t>
      </w:r>
      <w:r>
        <w:rPr>
          <w:rFonts w:ascii="Palatino Linotype" w:hAnsi="Palatino Linotype" w:cs="Arial"/>
          <w:b/>
        </w:rPr>
        <w:t xml:space="preserve"> dos mil </w:t>
      </w:r>
      <w:r w:rsidR="00B03355" w:rsidRPr="00B21F18">
        <w:rPr>
          <w:rFonts w:ascii="Palatino Linotype" w:hAnsi="Palatino Linotype" w:cs="Arial"/>
          <w:b/>
        </w:rPr>
        <w:t>ve</w:t>
      </w:r>
      <w:r w:rsidR="004C6D7D">
        <w:rPr>
          <w:rFonts w:ascii="Palatino Linotype" w:hAnsi="Palatino Linotype" w:cs="Arial"/>
          <w:b/>
        </w:rPr>
        <w:t>intidós</w:t>
      </w:r>
      <w:r w:rsidR="00B03355" w:rsidRPr="00B21F18">
        <w:rPr>
          <w:rFonts w:ascii="Palatino Linotype" w:hAnsi="Palatino Linotype" w:cs="Arial"/>
        </w:rPr>
        <w:t xml:space="preserve">, el </w:t>
      </w:r>
      <w:r w:rsidRPr="00B21F18">
        <w:rPr>
          <w:rFonts w:ascii="Palatino Linotype" w:hAnsi="Palatino Linotype" w:cs="Arial"/>
          <w:b/>
        </w:rPr>
        <w:t xml:space="preserve">Sujeto Obligado </w:t>
      </w:r>
      <w:r>
        <w:rPr>
          <w:rFonts w:ascii="Palatino Linotype" w:hAnsi="Palatino Linotype" w:cs="Arial"/>
        </w:rPr>
        <w:t>a través de</w:t>
      </w:r>
      <w:r w:rsidR="00B03355" w:rsidRPr="00B21F18">
        <w:rPr>
          <w:rFonts w:ascii="Palatino Linotype" w:hAnsi="Palatino Linotype" w:cs="Arial"/>
        </w:rPr>
        <w:t xml:space="preserve">l SAIMEX respondió sustancialmente lo siguiente: </w:t>
      </w:r>
    </w:p>
    <w:p w14:paraId="6D83DC73" w14:textId="77777777" w:rsidR="004C6D7D" w:rsidRPr="004C6D7D" w:rsidRDefault="00B03355" w:rsidP="004C6D7D">
      <w:pPr>
        <w:spacing w:before="240" w:after="240"/>
        <w:ind w:left="567" w:right="900"/>
        <w:jc w:val="both"/>
        <w:rPr>
          <w:rFonts w:ascii="Palatino Linotype" w:hAnsi="Palatino Linotype"/>
          <w:i/>
          <w:sz w:val="22"/>
          <w:szCs w:val="22"/>
        </w:rPr>
      </w:pPr>
      <w:r w:rsidRPr="00B21F18">
        <w:rPr>
          <w:rFonts w:ascii="Palatino Linotype" w:hAnsi="Palatino Linotype"/>
          <w:i/>
          <w:sz w:val="22"/>
          <w:szCs w:val="22"/>
        </w:rPr>
        <w:lastRenderedPageBreak/>
        <w:t>“</w:t>
      </w:r>
      <w:r w:rsidR="004C6D7D" w:rsidRPr="004C6D7D">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AD0A61" w14:textId="77777777" w:rsidR="004C6D7D" w:rsidRPr="004C6D7D" w:rsidRDefault="004C6D7D" w:rsidP="004C6D7D">
      <w:pPr>
        <w:spacing w:before="240" w:after="240"/>
        <w:ind w:left="567" w:right="900"/>
        <w:jc w:val="both"/>
        <w:rPr>
          <w:rFonts w:ascii="Palatino Linotype" w:hAnsi="Palatino Linotype"/>
          <w:i/>
          <w:sz w:val="22"/>
          <w:szCs w:val="22"/>
        </w:rPr>
      </w:pPr>
      <w:r w:rsidRPr="004C6D7D">
        <w:rPr>
          <w:rFonts w:ascii="Palatino Linotype" w:hAnsi="Palatino Linotype"/>
          <w:i/>
          <w:sz w:val="22"/>
          <w:szCs w:val="22"/>
        </w:rPr>
        <w:t>Si la respuesta no es legible, favor de comunicarse al teléfono (722) 238.36.93, ext. 106</w:t>
      </w:r>
    </w:p>
    <w:p w14:paraId="67742CF0" w14:textId="77777777" w:rsidR="004C6D7D" w:rsidRPr="004C6D7D" w:rsidRDefault="004C6D7D" w:rsidP="004C6D7D">
      <w:pPr>
        <w:spacing w:before="240" w:after="240"/>
        <w:ind w:left="567" w:right="900"/>
        <w:jc w:val="both"/>
        <w:rPr>
          <w:rFonts w:ascii="Palatino Linotype" w:hAnsi="Palatino Linotype"/>
          <w:i/>
          <w:sz w:val="22"/>
          <w:szCs w:val="22"/>
        </w:rPr>
      </w:pPr>
      <w:r w:rsidRPr="004C6D7D">
        <w:rPr>
          <w:rFonts w:ascii="Palatino Linotype" w:hAnsi="Palatino Linotype"/>
          <w:i/>
          <w:sz w:val="22"/>
          <w:szCs w:val="22"/>
        </w:rPr>
        <w:t>ATENTAMENTE</w:t>
      </w:r>
    </w:p>
    <w:p w14:paraId="39D18EEB" w14:textId="6EECDD35" w:rsidR="00B03355" w:rsidRPr="00B21F18" w:rsidRDefault="004C6D7D" w:rsidP="004C6D7D">
      <w:pPr>
        <w:spacing w:before="240" w:after="240"/>
        <w:ind w:left="567" w:right="900"/>
        <w:jc w:val="both"/>
        <w:rPr>
          <w:rFonts w:ascii="Palatino Linotype" w:hAnsi="Palatino Linotype" w:cs="Arial"/>
          <w:i/>
          <w:sz w:val="22"/>
          <w:szCs w:val="22"/>
        </w:rPr>
      </w:pPr>
      <w:r w:rsidRPr="004C6D7D">
        <w:rPr>
          <w:rFonts w:ascii="Palatino Linotype" w:hAnsi="Palatino Linotype"/>
          <w:i/>
          <w:sz w:val="22"/>
          <w:szCs w:val="22"/>
        </w:rPr>
        <w:t>DRA. PATRICIA BENITEZ CARDOSO</w:t>
      </w:r>
      <w:r w:rsidR="00B03355" w:rsidRPr="00B21F18">
        <w:rPr>
          <w:rFonts w:ascii="Palatino Linotype" w:hAnsi="Palatino Linotype"/>
          <w:i/>
          <w:sz w:val="22"/>
          <w:szCs w:val="22"/>
        </w:rPr>
        <w:t>”</w:t>
      </w:r>
    </w:p>
    <w:p w14:paraId="4B8E8F5A" w14:textId="77777777" w:rsidR="00257C4F" w:rsidRDefault="00B03355" w:rsidP="004C6D7D">
      <w:pPr>
        <w:spacing w:before="240" w:after="240" w:line="360" w:lineRule="auto"/>
        <w:ind w:left="567" w:right="900"/>
        <w:jc w:val="both"/>
        <w:rPr>
          <w:rFonts w:ascii="Palatino Linotype" w:hAnsi="Palatino Linotype" w:cs="Arial"/>
        </w:rPr>
      </w:pPr>
      <w:r>
        <w:rPr>
          <w:rFonts w:ascii="Palatino Linotype" w:hAnsi="Palatino Linotype" w:cs="Arial"/>
          <w:b/>
        </w:rPr>
        <w:t xml:space="preserve">Archivo adjunto: </w:t>
      </w:r>
      <w:r w:rsidR="00071380" w:rsidRPr="00071380">
        <w:rPr>
          <w:rFonts w:ascii="Palatino Linotype" w:hAnsi="Palatino Linotype" w:cs="Arial"/>
        </w:rPr>
        <w:t xml:space="preserve">El </w:t>
      </w:r>
      <w:r w:rsidR="00DF2348" w:rsidRPr="004C6D7D">
        <w:rPr>
          <w:rFonts w:ascii="Palatino Linotype" w:hAnsi="Palatino Linotype" w:cs="Arial"/>
          <w:b/>
        </w:rPr>
        <w:t>Sujeto Obligado</w:t>
      </w:r>
      <w:r w:rsidR="00DF2348">
        <w:rPr>
          <w:rFonts w:ascii="Palatino Linotype" w:hAnsi="Palatino Linotype" w:cs="Arial"/>
        </w:rPr>
        <w:t xml:space="preserve"> remitió </w:t>
      </w:r>
      <w:r w:rsidR="004C6D7D">
        <w:rPr>
          <w:rFonts w:ascii="Palatino Linotype" w:hAnsi="Palatino Linotype" w:cs="Arial"/>
        </w:rPr>
        <w:t>el archivo electrónico denominado “</w:t>
      </w:r>
      <w:r w:rsidR="004C6D7D" w:rsidRPr="004C6D7D">
        <w:rPr>
          <w:rFonts w:ascii="Palatino Linotype" w:hAnsi="Palatino Linotype" w:cs="Arial"/>
          <w:b/>
          <w:i/>
        </w:rPr>
        <w:t>Respuesta 00017.pdf</w:t>
      </w:r>
      <w:r w:rsidR="004C6D7D">
        <w:rPr>
          <w:rFonts w:ascii="Palatino Linotype" w:hAnsi="Palatino Linotype" w:cs="Arial"/>
          <w:b/>
          <w:i/>
        </w:rPr>
        <w:t xml:space="preserve">”, </w:t>
      </w:r>
      <w:r w:rsidR="004C6D7D">
        <w:rPr>
          <w:rFonts w:ascii="Palatino Linotype" w:hAnsi="Palatino Linotype" w:cs="Arial"/>
        </w:rPr>
        <w:t xml:space="preserve">el cual consta de tres fojas y en él se aprecia el pronunciamiento del Director General de Protección al Colono sobre </w:t>
      </w:r>
      <w:r w:rsidR="00257C4F">
        <w:rPr>
          <w:rFonts w:ascii="Palatino Linotype" w:hAnsi="Palatino Linotype" w:cs="Arial"/>
        </w:rPr>
        <w:t xml:space="preserve">la vigencia de </w:t>
      </w:r>
      <w:r w:rsidR="004C6D7D">
        <w:rPr>
          <w:rFonts w:ascii="Palatino Linotype" w:hAnsi="Palatino Linotype" w:cs="Arial"/>
        </w:rPr>
        <w:t>los convenios</w:t>
      </w:r>
      <w:r w:rsidR="00257C4F">
        <w:rPr>
          <w:rFonts w:ascii="Palatino Linotype" w:hAnsi="Palatino Linotype" w:cs="Arial"/>
        </w:rPr>
        <w:t>, la cual data al 31 de diciembre de 2021</w:t>
      </w:r>
      <w:r w:rsidR="004C6D7D">
        <w:rPr>
          <w:rFonts w:ascii="Palatino Linotype" w:hAnsi="Palatino Linotype" w:cs="Arial"/>
        </w:rPr>
        <w:t>.</w:t>
      </w:r>
    </w:p>
    <w:p w14:paraId="34055350" w14:textId="302E423D" w:rsidR="00DF2348" w:rsidRDefault="004C6D7D" w:rsidP="004C6D7D">
      <w:pPr>
        <w:spacing w:before="240" w:after="240" w:line="360" w:lineRule="auto"/>
        <w:ind w:left="567" w:right="900"/>
        <w:jc w:val="both"/>
        <w:rPr>
          <w:rFonts w:ascii="Palatino Linotype" w:hAnsi="Palatino Linotype" w:cs="Arial"/>
        </w:rPr>
      </w:pPr>
      <w:r>
        <w:rPr>
          <w:rFonts w:ascii="Palatino Linotype" w:hAnsi="Palatino Linotype" w:cs="Arial"/>
        </w:rPr>
        <w:lastRenderedPageBreak/>
        <w:t xml:space="preserve"> </w:t>
      </w:r>
      <w:r w:rsidR="00257C4F">
        <w:rPr>
          <w:rFonts w:ascii="Palatino Linotype" w:hAnsi="Palatino Linotype" w:cs="Arial"/>
          <w:noProof/>
          <w:lang w:val="es-MX" w:eastAsia="es-MX"/>
        </w:rPr>
        <w:drawing>
          <wp:inline distT="0" distB="0" distL="0" distR="0" wp14:anchorId="28B1719D" wp14:editId="1A6F0562">
            <wp:extent cx="4648200" cy="5372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5372100"/>
                    </a:xfrm>
                    <a:prstGeom prst="rect">
                      <a:avLst/>
                    </a:prstGeom>
                    <a:noFill/>
                    <a:ln>
                      <a:noFill/>
                    </a:ln>
                  </pic:spPr>
                </pic:pic>
              </a:graphicData>
            </a:graphic>
          </wp:inline>
        </w:drawing>
      </w:r>
    </w:p>
    <w:p w14:paraId="79AFFC7E" w14:textId="274DDFD9" w:rsidR="00257C4F" w:rsidRPr="004C6D7D" w:rsidRDefault="00257C4F" w:rsidP="004C6D7D">
      <w:pPr>
        <w:spacing w:before="240" w:after="240" w:line="360" w:lineRule="auto"/>
        <w:ind w:left="567" w:right="900"/>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w:drawing>
          <wp:inline distT="0" distB="0" distL="0" distR="0" wp14:anchorId="35027334" wp14:editId="3B14C81D">
            <wp:extent cx="4286250" cy="3924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3924300"/>
                    </a:xfrm>
                    <a:prstGeom prst="rect">
                      <a:avLst/>
                    </a:prstGeom>
                    <a:noFill/>
                    <a:ln>
                      <a:noFill/>
                    </a:ln>
                  </pic:spPr>
                </pic:pic>
              </a:graphicData>
            </a:graphic>
          </wp:inline>
        </w:drawing>
      </w:r>
    </w:p>
    <w:p w14:paraId="27A6DFE0" w14:textId="7BC7E465" w:rsidR="00B03355" w:rsidRPr="00B21F18" w:rsidRDefault="008146FB" w:rsidP="00B03355">
      <w:pPr>
        <w:spacing w:before="240" w:after="240" w:line="360" w:lineRule="auto"/>
        <w:ind w:right="49"/>
        <w:jc w:val="both"/>
        <w:rPr>
          <w:rFonts w:ascii="Palatino Linotype" w:hAnsi="Palatino Linotype" w:cs="Arial"/>
        </w:rPr>
      </w:pPr>
      <w:r>
        <w:rPr>
          <w:rFonts w:ascii="Palatino Linotype" w:hAnsi="Palatino Linotype" w:cs="Arial"/>
          <w:b/>
          <w:szCs w:val="28"/>
        </w:rPr>
        <w:t>3. Interposición</w:t>
      </w:r>
      <w:r w:rsidR="00B03355" w:rsidRPr="00071380">
        <w:rPr>
          <w:rFonts w:ascii="Palatino Linotype" w:hAnsi="Palatino Linotype" w:cs="Arial"/>
          <w:b/>
          <w:szCs w:val="28"/>
        </w:rPr>
        <w:t xml:space="preserve"> del recurso de revisión. </w:t>
      </w:r>
      <w:r w:rsidR="00257C4F">
        <w:rPr>
          <w:rFonts w:ascii="Palatino Linotype" w:hAnsi="Palatino Linotype" w:cs="Arial"/>
        </w:rPr>
        <w:t xml:space="preserve">Inconforme con la respuesta, </w:t>
      </w:r>
      <w:r w:rsidR="00257C4F" w:rsidRPr="00257C4F">
        <w:rPr>
          <w:rFonts w:ascii="Palatino Linotype" w:hAnsi="Palatino Linotype" w:cs="Arial"/>
          <w:b/>
        </w:rPr>
        <w:t>la</w:t>
      </w:r>
      <w:r w:rsidR="00B03355" w:rsidRPr="00257C4F">
        <w:rPr>
          <w:rFonts w:ascii="Palatino Linotype" w:hAnsi="Palatino Linotype" w:cs="Arial"/>
          <w:b/>
        </w:rPr>
        <w:t xml:space="preserve"> </w:t>
      </w:r>
      <w:r w:rsidR="00B03355" w:rsidRPr="00B21F18">
        <w:rPr>
          <w:rFonts w:ascii="Palatino Linotype" w:hAnsi="Palatino Linotype" w:cs="Arial"/>
          <w:b/>
        </w:rPr>
        <w:t>Recurrente</w:t>
      </w:r>
      <w:r w:rsidR="00B03355" w:rsidRPr="00B21F18">
        <w:rPr>
          <w:rFonts w:ascii="Palatino Linotype" w:hAnsi="Palatino Linotype" w:cs="Arial"/>
        </w:rPr>
        <w:t xml:space="preserve"> interpuso el recurso de revisión mater</w:t>
      </w:r>
      <w:r w:rsidR="00361FF7">
        <w:rPr>
          <w:rFonts w:ascii="Palatino Linotype" w:hAnsi="Palatino Linotype" w:cs="Arial"/>
        </w:rPr>
        <w:t xml:space="preserve">ia del presente estudio el día </w:t>
      </w:r>
      <w:r w:rsidR="00257C4F">
        <w:rPr>
          <w:rFonts w:ascii="Palatino Linotype" w:hAnsi="Palatino Linotype" w:cs="Arial"/>
          <w:b/>
        </w:rPr>
        <w:t>veinticinco</w:t>
      </w:r>
      <w:r w:rsidR="00B03355" w:rsidRPr="00B21F18">
        <w:rPr>
          <w:rFonts w:ascii="Palatino Linotype" w:hAnsi="Palatino Linotype" w:cs="Arial"/>
          <w:b/>
        </w:rPr>
        <w:t xml:space="preserve"> </w:t>
      </w:r>
      <w:r w:rsidR="00257C4F">
        <w:rPr>
          <w:rFonts w:ascii="Palatino Linotype" w:hAnsi="Palatino Linotype" w:cs="Arial"/>
          <w:b/>
        </w:rPr>
        <w:t>de febrero</w:t>
      </w:r>
      <w:r w:rsidR="00B03355" w:rsidRPr="00B21F18">
        <w:rPr>
          <w:rFonts w:ascii="Palatino Linotype" w:hAnsi="Palatino Linotype" w:cs="Arial"/>
          <w:b/>
        </w:rPr>
        <w:t xml:space="preserve"> de </w:t>
      </w:r>
      <w:r w:rsidR="00071380">
        <w:rPr>
          <w:rFonts w:ascii="Palatino Linotype" w:hAnsi="Palatino Linotype" w:cs="Arial"/>
          <w:b/>
        </w:rPr>
        <w:t xml:space="preserve">dos mil </w:t>
      </w:r>
      <w:r w:rsidR="00B03355" w:rsidRPr="00B21F18">
        <w:rPr>
          <w:rFonts w:ascii="Palatino Linotype" w:hAnsi="Palatino Linotype" w:cs="Arial"/>
          <w:b/>
        </w:rPr>
        <w:t>ve</w:t>
      </w:r>
      <w:r w:rsidR="00257C4F">
        <w:rPr>
          <w:rFonts w:ascii="Palatino Linotype" w:hAnsi="Palatino Linotype" w:cs="Arial"/>
          <w:b/>
        </w:rPr>
        <w:t>intidós</w:t>
      </w:r>
      <w:r w:rsidR="00B03355" w:rsidRPr="00B21F18">
        <w:rPr>
          <w:rFonts w:ascii="Palatino Linotype" w:hAnsi="Palatino Linotype" w:cs="Arial"/>
        </w:rPr>
        <w:t>,</w:t>
      </w:r>
      <w:r w:rsidR="00B03355" w:rsidRPr="00B21F18">
        <w:rPr>
          <w:rFonts w:ascii="Palatino Linotype" w:hAnsi="Palatino Linotype" w:cs="Arial"/>
          <w:b/>
        </w:rPr>
        <w:t xml:space="preserve"> </w:t>
      </w:r>
      <w:r w:rsidR="00B03355" w:rsidRPr="00B21F18">
        <w:rPr>
          <w:rFonts w:ascii="Palatino Linotype" w:hAnsi="Palatino Linotype" w:cs="Arial"/>
        </w:rPr>
        <w:t xml:space="preserve">en el que </w:t>
      </w:r>
      <w:r w:rsidR="00071380">
        <w:rPr>
          <w:rFonts w:ascii="Palatino Linotype" w:hAnsi="Palatino Linotype" w:cs="Arial"/>
        </w:rPr>
        <w:t>expresó lo siguiente:</w:t>
      </w:r>
      <w:r w:rsidR="00B03355" w:rsidRPr="00B21F18">
        <w:rPr>
          <w:rFonts w:ascii="Palatino Linotype" w:hAnsi="Palatino Linotype" w:cs="Arial"/>
        </w:rPr>
        <w:t xml:space="preserve"> </w:t>
      </w:r>
    </w:p>
    <w:p w14:paraId="47E74F1E" w14:textId="71358812" w:rsidR="00B03355" w:rsidRPr="00B21F18" w:rsidRDefault="00071380" w:rsidP="00071380">
      <w:pPr>
        <w:ind w:left="567" w:right="49"/>
        <w:jc w:val="both"/>
        <w:rPr>
          <w:rFonts w:ascii="Palatino Linotype" w:hAnsi="Palatino Linotype" w:cs="Arial"/>
        </w:rPr>
      </w:pPr>
      <w:r>
        <w:rPr>
          <w:rFonts w:ascii="Palatino Linotype" w:hAnsi="Palatino Linotype" w:cs="Arial"/>
          <w:b/>
        </w:rPr>
        <w:t xml:space="preserve">a) </w:t>
      </w:r>
      <w:r w:rsidR="00B03355" w:rsidRPr="00B21F18">
        <w:rPr>
          <w:rFonts w:ascii="Palatino Linotype" w:hAnsi="Palatino Linotype" w:cs="Arial"/>
          <w:b/>
        </w:rPr>
        <w:t xml:space="preserve">Acto impugnado: </w:t>
      </w:r>
    </w:p>
    <w:p w14:paraId="0FD31B53" w14:textId="77777777" w:rsidR="00B03355" w:rsidRPr="00B21F18" w:rsidRDefault="00B03355" w:rsidP="00B03355">
      <w:pPr>
        <w:ind w:right="49"/>
        <w:jc w:val="both"/>
        <w:rPr>
          <w:rFonts w:ascii="Palatino Linotype" w:hAnsi="Palatino Linotype" w:cs="Arial"/>
          <w:i/>
          <w:sz w:val="22"/>
          <w:szCs w:val="22"/>
          <w:lang w:eastAsia="es-MX"/>
        </w:rPr>
      </w:pPr>
    </w:p>
    <w:p w14:paraId="7359C698" w14:textId="50FBF884" w:rsidR="00C9614B" w:rsidRPr="00B21F18" w:rsidRDefault="00B03355" w:rsidP="00361FF7">
      <w:pPr>
        <w:ind w:left="567" w:right="49"/>
        <w:jc w:val="both"/>
        <w:rPr>
          <w:rFonts w:ascii="Palatino Linotype" w:hAnsi="Palatino Linotype" w:cs="Arial"/>
          <w:i/>
          <w:sz w:val="22"/>
          <w:szCs w:val="22"/>
          <w:lang w:eastAsia="es-MX"/>
        </w:rPr>
      </w:pPr>
      <w:r w:rsidRPr="00B21F18">
        <w:rPr>
          <w:rFonts w:ascii="Palatino Linotype" w:hAnsi="Palatino Linotype" w:cs="Arial"/>
          <w:i/>
          <w:sz w:val="22"/>
          <w:szCs w:val="22"/>
          <w:lang w:eastAsia="es-MX"/>
        </w:rPr>
        <w:t>“</w:t>
      </w:r>
      <w:r w:rsidR="00257C4F" w:rsidRPr="00257C4F">
        <w:rPr>
          <w:rFonts w:ascii="Palatino Linotype" w:hAnsi="Palatino Linotype" w:cs="Arial"/>
          <w:i/>
          <w:sz w:val="22"/>
          <w:szCs w:val="22"/>
          <w:lang w:eastAsia="es-MX"/>
        </w:rPr>
        <w:t>se entregó incompleta la respuesta</w:t>
      </w:r>
      <w:r w:rsidRPr="00B21F18">
        <w:rPr>
          <w:rFonts w:ascii="Palatino Linotype" w:hAnsi="Palatino Linotype" w:cs="Arial"/>
          <w:i/>
          <w:sz w:val="22"/>
          <w:szCs w:val="22"/>
          <w:lang w:eastAsia="es-MX"/>
        </w:rPr>
        <w:t>” (Sic).</w:t>
      </w:r>
    </w:p>
    <w:p w14:paraId="1E6C5687" w14:textId="3E80556F" w:rsidR="00B03355" w:rsidRDefault="00071380" w:rsidP="00071380">
      <w:pPr>
        <w:spacing w:before="240" w:after="240" w:line="360" w:lineRule="auto"/>
        <w:ind w:left="567" w:right="49"/>
        <w:jc w:val="both"/>
        <w:rPr>
          <w:rFonts w:ascii="Palatino Linotype" w:hAnsi="Palatino Linotype" w:cs="Arial"/>
        </w:rPr>
      </w:pPr>
      <w:r>
        <w:rPr>
          <w:rFonts w:ascii="Palatino Linotype" w:hAnsi="Palatino Linotype" w:cs="Arial"/>
          <w:b/>
        </w:rPr>
        <w:t xml:space="preserve">b) </w:t>
      </w:r>
      <w:r w:rsidR="00B03355" w:rsidRPr="00B21F18">
        <w:rPr>
          <w:rFonts w:ascii="Palatino Linotype" w:hAnsi="Palatino Linotype" w:cs="Arial"/>
          <w:b/>
        </w:rPr>
        <w:t>Razones o motivos de inconformidad</w:t>
      </w:r>
      <w:r w:rsidR="00B03355" w:rsidRPr="00B21F18">
        <w:rPr>
          <w:rFonts w:ascii="Palatino Linotype" w:hAnsi="Palatino Linotype" w:cs="Arial"/>
        </w:rPr>
        <w:t>:</w:t>
      </w:r>
    </w:p>
    <w:p w14:paraId="6628EBBF" w14:textId="6688BA5C" w:rsidR="00B03355" w:rsidRDefault="00257C4F" w:rsidP="00257C4F">
      <w:pPr>
        <w:ind w:left="567" w:right="49"/>
        <w:jc w:val="both"/>
        <w:rPr>
          <w:rFonts w:ascii="Palatino Linotype" w:hAnsi="Palatino Linotype" w:cs="Arial"/>
          <w:i/>
          <w:sz w:val="22"/>
        </w:rPr>
      </w:pPr>
      <w:r>
        <w:rPr>
          <w:rFonts w:ascii="Palatino Linotype" w:hAnsi="Palatino Linotype" w:cs="Arial"/>
          <w:i/>
          <w:sz w:val="22"/>
        </w:rPr>
        <w:t>“</w:t>
      </w:r>
      <w:r w:rsidRPr="00257C4F">
        <w:rPr>
          <w:rFonts w:ascii="Palatino Linotype" w:hAnsi="Palatino Linotype" w:cs="Arial"/>
          <w:i/>
          <w:sz w:val="22"/>
        </w:rPr>
        <w:t>se entregó incompleta la respuesta por parte del sujeto obligado</w:t>
      </w:r>
      <w:r>
        <w:rPr>
          <w:rFonts w:ascii="Palatino Linotype" w:hAnsi="Palatino Linotype" w:cs="Arial"/>
          <w:i/>
          <w:sz w:val="22"/>
        </w:rPr>
        <w:t>” (Sic)</w:t>
      </w:r>
    </w:p>
    <w:p w14:paraId="2662466C" w14:textId="77777777" w:rsidR="00257C4F" w:rsidRDefault="00257C4F" w:rsidP="00257C4F">
      <w:pPr>
        <w:ind w:left="567" w:right="49"/>
        <w:jc w:val="both"/>
        <w:rPr>
          <w:rFonts w:ascii="Palatino Linotype" w:hAnsi="Palatino Linotype" w:cs="Arial"/>
          <w:i/>
          <w:sz w:val="22"/>
        </w:rPr>
      </w:pPr>
    </w:p>
    <w:p w14:paraId="23345F66" w14:textId="10CA4112" w:rsidR="00257C4F" w:rsidRPr="004E2941" w:rsidRDefault="00257C4F" w:rsidP="00257C4F">
      <w:pPr>
        <w:spacing w:line="360" w:lineRule="auto"/>
        <w:ind w:left="567" w:right="851"/>
        <w:jc w:val="both"/>
        <w:rPr>
          <w:rFonts w:ascii="Palatino Linotype" w:hAnsi="Palatino Linotype" w:cs="Arial"/>
          <w:sz w:val="22"/>
        </w:rPr>
      </w:pPr>
      <w:r>
        <w:rPr>
          <w:rFonts w:ascii="Palatino Linotype" w:hAnsi="Palatino Linotype" w:cs="Arial"/>
          <w:b/>
        </w:rPr>
        <w:t xml:space="preserve">Archivos adjuntos: </w:t>
      </w:r>
      <w:r w:rsidRPr="00257C4F">
        <w:rPr>
          <w:rFonts w:ascii="Palatino Linotype" w:hAnsi="Palatino Linotype" w:cs="Arial"/>
          <w:b/>
        </w:rPr>
        <w:t>“</w:t>
      </w:r>
      <w:r w:rsidRPr="00257C4F">
        <w:rPr>
          <w:rFonts w:ascii="Palatino Linotype" w:hAnsi="Palatino Linotype" w:cs="Arial"/>
          <w:b/>
          <w:i/>
          <w:sz w:val="22"/>
        </w:rPr>
        <w:t>RESPUESTA SOLICITUD 00055 SINDICATURA.pdf”</w:t>
      </w:r>
      <w:r>
        <w:rPr>
          <w:rFonts w:ascii="Palatino Linotype" w:hAnsi="Palatino Linotype" w:cs="Arial"/>
          <w:i/>
          <w:sz w:val="22"/>
        </w:rPr>
        <w:t xml:space="preserve">: </w:t>
      </w:r>
      <w:r w:rsidRPr="004E2941">
        <w:rPr>
          <w:rFonts w:ascii="Palatino Linotype" w:hAnsi="Palatino Linotype" w:cs="Arial"/>
          <w:sz w:val="22"/>
        </w:rPr>
        <w:t xml:space="preserve">Consistente en un soporte documental de dos fojas en </w:t>
      </w:r>
      <w:r w:rsidRPr="004E2941">
        <w:rPr>
          <w:rFonts w:ascii="Palatino Linotype" w:hAnsi="Palatino Linotype" w:cs="Arial"/>
          <w:sz w:val="22"/>
        </w:rPr>
        <w:lastRenderedPageBreak/>
        <w:t xml:space="preserve">el que medularmente se aprecia un oficio signado por la Síndico Municipal del Ayuntamiento de Cuautitlán en el que refiere que con el fin de promover la sana convivencia en las distintas comunidades dentro del municipio, la Sindicatura se encontraba elaborando un calendario para llevar a cabo pláticas y talleres en materia condominal. </w:t>
      </w:r>
    </w:p>
    <w:p w14:paraId="517BADE0" w14:textId="2C1F8612" w:rsidR="00257C4F" w:rsidRPr="00257C4F" w:rsidRDefault="009B2AE7" w:rsidP="009B2AE7">
      <w:pPr>
        <w:spacing w:line="360" w:lineRule="auto"/>
        <w:ind w:left="567" w:right="851"/>
        <w:jc w:val="center"/>
        <w:rPr>
          <w:rFonts w:ascii="Palatino Linotype" w:hAnsi="Palatino Linotype" w:cs="Arial"/>
          <w:sz w:val="22"/>
        </w:rPr>
      </w:pPr>
      <w:r>
        <w:rPr>
          <w:rFonts w:ascii="Palatino Linotype" w:hAnsi="Palatino Linotype" w:cs="Arial"/>
          <w:noProof/>
          <w:sz w:val="22"/>
          <w:lang w:val="es-MX" w:eastAsia="es-MX"/>
        </w:rPr>
        <w:drawing>
          <wp:inline distT="0" distB="0" distL="0" distR="0" wp14:anchorId="648DEECD" wp14:editId="33CD6568">
            <wp:extent cx="4257864" cy="58769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5456" cy="5887404"/>
                    </a:xfrm>
                    <a:prstGeom prst="rect">
                      <a:avLst/>
                    </a:prstGeom>
                    <a:noFill/>
                    <a:ln>
                      <a:noFill/>
                    </a:ln>
                  </pic:spPr>
                </pic:pic>
              </a:graphicData>
            </a:graphic>
          </wp:inline>
        </w:drawing>
      </w:r>
    </w:p>
    <w:p w14:paraId="671BF6EA" w14:textId="001833A3" w:rsidR="00B03355" w:rsidRDefault="00B03355" w:rsidP="00B03355">
      <w:pPr>
        <w:widowControl w:val="0"/>
        <w:autoSpaceDE w:val="0"/>
        <w:autoSpaceDN w:val="0"/>
        <w:adjustRightInd w:val="0"/>
        <w:spacing w:line="360" w:lineRule="auto"/>
        <w:ind w:right="49"/>
        <w:jc w:val="both"/>
        <w:rPr>
          <w:rFonts w:ascii="Palatino Linotype" w:eastAsia="Calibri" w:hAnsi="Palatino Linotype" w:cs="Arial"/>
        </w:rPr>
      </w:pPr>
      <w:r w:rsidRPr="002B4161">
        <w:rPr>
          <w:rFonts w:ascii="Palatino Linotype" w:hAnsi="Palatino Linotype" w:cs="Arial"/>
          <w:b/>
          <w:szCs w:val="32"/>
        </w:rPr>
        <w:lastRenderedPageBreak/>
        <w:t xml:space="preserve">4. </w:t>
      </w:r>
      <w:r w:rsidRPr="002B4161">
        <w:rPr>
          <w:rFonts w:ascii="Palatino Linotype" w:eastAsia="Calibri" w:hAnsi="Palatino Linotype" w:cs="Arial"/>
          <w:b/>
          <w:szCs w:val="32"/>
        </w:rPr>
        <w:t>Turno</w:t>
      </w:r>
      <w:r w:rsidRPr="00B3428A">
        <w:rPr>
          <w:rFonts w:ascii="Palatino Linotype" w:eastAsia="Calibri" w:hAnsi="Palatino Linotype" w:cs="Arial"/>
          <w:b/>
          <w:sz w:val="28"/>
          <w:szCs w:val="32"/>
        </w:rPr>
        <w:t xml:space="preserve">. </w:t>
      </w:r>
      <w:r w:rsidRPr="00B21F18">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8102CB">
        <w:rPr>
          <w:rFonts w:ascii="Palatino Linotype" w:hAnsi="Palatino Linotype" w:cs="Arial"/>
        </w:rPr>
        <w:t>a la</w:t>
      </w:r>
      <w:r w:rsidRPr="00B21F18">
        <w:rPr>
          <w:rFonts w:ascii="Palatino Linotype" w:eastAsia="Calibri" w:hAnsi="Palatino Linotype" w:cs="Arial"/>
        </w:rPr>
        <w:t xml:space="preserve"> </w:t>
      </w:r>
      <w:r w:rsidR="008102CB">
        <w:rPr>
          <w:rFonts w:ascii="Palatino Linotype" w:eastAsia="Calibri" w:hAnsi="Palatino Linotype" w:cs="Arial"/>
          <w:b/>
        </w:rPr>
        <w:t>Comisionada</w:t>
      </w:r>
      <w:r w:rsidRPr="00B21F18">
        <w:rPr>
          <w:rFonts w:ascii="Palatino Linotype" w:eastAsia="Calibri" w:hAnsi="Palatino Linotype" w:cs="Arial"/>
        </w:rPr>
        <w:t xml:space="preserve"> </w:t>
      </w:r>
      <w:r w:rsidR="008102CB">
        <w:rPr>
          <w:rFonts w:ascii="Palatino Linotype" w:eastAsia="Calibri" w:hAnsi="Palatino Linotype" w:cs="Arial"/>
          <w:b/>
          <w:bCs/>
        </w:rPr>
        <w:t>Guadalupe Ramírez Peña</w:t>
      </w:r>
      <w:r w:rsidRPr="00B21F18">
        <w:rPr>
          <w:rFonts w:ascii="Palatino Linotype" w:hAnsi="Palatino Linotype" w:cs="Arial"/>
        </w:rPr>
        <w:t xml:space="preserve"> para su análisis, estudio, elaboración del proyecto y </w:t>
      </w:r>
      <w:r w:rsidRPr="00B21F18">
        <w:rPr>
          <w:rFonts w:ascii="Palatino Linotype" w:eastAsia="Calibri" w:hAnsi="Palatino Linotype" w:cs="Arial"/>
        </w:rPr>
        <w:t>presentación ante el Pleno de este Instituto.</w:t>
      </w:r>
    </w:p>
    <w:p w14:paraId="69B807AB" w14:textId="77777777" w:rsidR="009B2AE7" w:rsidRDefault="009B2AE7" w:rsidP="00B03355">
      <w:pPr>
        <w:widowControl w:val="0"/>
        <w:autoSpaceDE w:val="0"/>
        <w:autoSpaceDN w:val="0"/>
        <w:adjustRightInd w:val="0"/>
        <w:spacing w:line="360" w:lineRule="auto"/>
        <w:ind w:right="49"/>
        <w:jc w:val="both"/>
        <w:rPr>
          <w:rFonts w:ascii="Palatino Linotype" w:eastAsia="Calibri" w:hAnsi="Palatino Linotype" w:cs="Arial"/>
        </w:rPr>
      </w:pPr>
    </w:p>
    <w:p w14:paraId="63E57E82" w14:textId="7B37FC0D" w:rsidR="008102CB" w:rsidRDefault="00B03355" w:rsidP="00B03355">
      <w:pPr>
        <w:widowControl w:val="0"/>
        <w:autoSpaceDE w:val="0"/>
        <w:autoSpaceDN w:val="0"/>
        <w:adjustRightInd w:val="0"/>
        <w:spacing w:line="360" w:lineRule="auto"/>
        <w:ind w:right="49"/>
        <w:jc w:val="both"/>
        <w:rPr>
          <w:rFonts w:ascii="Palatino Linotype" w:hAnsi="Palatino Linotype" w:cs="Arial"/>
        </w:rPr>
      </w:pPr>
      <w:r w:rsidRPr="00B21F18">
        <w:rPr>
          <w:rFonts w:ascii="Palatino Linotype" w:hAnsi="Palatino Linotype" w:cs="Arial"/>
          <w:b/>
          <w:szCs w:val="28"/>
        </w:rPr>
        <w:t>5.</w:t>
      </w:r>
      <w:r w:rsidRPr="00B21F18">
        <w:rPr>
          <w:rFonts w:ascii="Palatino Linotype" w:hAnsi="Palatino Linotype" w:cs="Arial"/>
          <w:b/>
          <w:i/>
          <w:szCs w:val="28"/>
        </w:rPr>
        <w:t xml:space="preserve"> </w:t>
      </w:r>
      <w:r w:rsidRPr="00B21F18">
        <w:rPr>
          <w:rFonts w:ascii="Palatino Linotype" w:hAnsi="Palatino Linotype" w:cs="Arial"/>
          <w:b/>
          <w:szCs w:val="28"/>
        </w:rPr>
        <w:t>Admisión del Recurso.</w:t>
      </w:r>
      <w:r w:rsidRPr="00B21F18">
        <w:rPr>
          <w:rFonts w:ascii="Palatino Linotype" w:hAnsi="Palatino Linotype" w:cs="Arial"/>
          <w:szCs w:val="28"/>
        </w:rPr>
        <w:t xml:space="preserve"> </w:t>
      </w:r>
      <w:r w:rsidRPr="00B21F18">
        <w:rPr>
          <w:rFonts w:ascii="Palatino Linotype" w:hAnsi="Palatino Linotype" w:cs="Arial"/>
        </w:rPr>
        <w:t>El día</w:t>
      </w:r>
      <w:r w:rsidRPr="00B21F18">
        <w:rPr>
          <w:rFonts w:ascii="Palatino Linotype" w:hAnsi="Palatino Linotype" w:cs="Arial"/>
          <w:b/>
        </w:rPr>
        <w:t xml:space="preserve"> </w:t>
      </w:r>
      <w:r w:rsidR="009B2AE7">
        <w:rPr>
          <w:rFonts w:ascii="Palatino Linotype" w:hAnsi="Palatino Linotype" w:cs="Arial"/>
          <w:b/>
        </w:rPr>
        <w:t>tres de marzo</w:t>
      </w:r>
      <w:r w:rsidRPr="00B21F18">
        <w:rPr>
          <w:rFonts w:ascii="Palatino Linotype" w:hAnsi="Palatino Linotype" w:cs="Arial"/>
          <w:b/>
        </w:rPr>
        <w:t xml:space="preserve"> de dos mil </w:t>
      </w:r>
      <w:r w:rsidR="009B2AE7">
        <w:rPr>
          <w:rFonts w:ascii="Palatino Linotype" w:hAnsi="Palatino Linotype" w:cs="Arial"/>
          <w:b/>
        </w:rPr>
        <w:t>veintidós</w:t>
      </w:r>
      <w:r w:rsidRPr="00B21F18">
        <w:rPr>
          <w:rFonts w:ascii="Palatino Linotype" w:hAnsi="Palatino Linotype" w:cs="Arial"/>
          <w:b/>
        </w:rPr>
        <w:t xml:space="preserve"> </w:t>
      </w:r>
      <w:r w:rsidRPr="00B21F18">
        <w:rPr>
          <w:rFonts w:ascii="Palatino Linotype" w:hAnsi="Palatino Linotype" w:cs="Arial"/>
        </w:rPr>
        <w:t xml:space="preserve">se admitió a trámite el presente recurso de revisión a efecto de integrar el expediente respectivo; fue puesto a disposición de las partes por siete días hábiles para que ofrecieran pruebas </w:t>
      </w:r>
      <w:r w:rsidR="002B4161" w:rsidRPr="00B21F18">
        <w:rPr>
          <w:rFonts w:ascii="Palatino Linotype" w:hAnsi="Palatino Linotype" w:cs="Arial"/>
        </w:rPr>
        <w:t>y manifestaran</w:t>
      </w:r>
      <w:r w:rsidRPr="00B21F18">
        <w:rPr>
          <w:rFonts w:ascii="Palatino Linotype" w:hAnsi="Palatino Linotype" w:cs="Arial"/>
        </w:rPr>
        <w:t xml:space="preserve"> lo que a su derecho convenga.</w:t>
      </w:r>
    </w:p>
    <w:p w14:paraId="582B5D9F" w14:textId="77777777" w:rsidR="00E65C14" w:rsidRDefault="00E65C14" w:rsidP="00B03355">
      <w:pPr>
        <w:widowControl w:val="0"/>
        <w:autoSpaceDE w:val="0"/>
        <w:autoSpaceDN w:val="0"/>
        <w:adjustRightInd w:val="0"/>
        <w:spacing w:line="360" w:lineRule="auto"/>
        <w:ind w:right="49"/>
        <w:jc w:val="both"/>
        <w:rPr>
          <w:rFonts w:ascii="Palatino Linotype" w:hAnsi="Palatino Linotype" w:cs="Arial"/>
        </w:rPr>
      </w:pPr>
    </w:p>
    <w:p w14:paraId="3E79B482" w14:textId="50F0184B" w:rsidR="004E2941" w:rsidRDefault="00E65C14" w:rsidP="004E2941">
      <w:pPr>
        <w:widowControl w:val="0"/>
        <w:autoSpaceDE w:val="0"/>
        <w:autoSpaceDN w:val="0"/>
        <w:adjustRightInd w:val="0"/>
        <w:spacing w:line="360" w:lineRule="auto"/>
        <w:ind w:right="49"/>
        <w:jc w:val="both"/>
        <w:rPr>
          <w:rFonts w:ascii="Palatino Linotype" w:eastAsia="Calibri" w:hAnsi="Palatino Linotype" w:cs="Arial"/>
          <w:lang w:val="es-MX" w:eastAsia="en-US"/>
        </w:rPr>
      </w:pPr>
      <w:r w:rsidRPr="00E65C14">
        <w:rPr>
          <w:rFonts w:ascii="Palatino Linotype" w:hAnsi="Palatino Linotype" w:cs="Arial"/>
          <w:b/>
          <w:szCs w:val="28"/>
        </w:rPr>
        <w:t>6. Manifestaciones</w:t>
      </w:r>
      <w:r w:rsidRPr="00E65C14">
        <w:rPr>
          <w:rFonts w:ascii="Palatino Linotype" w:hAnsi="Palatino Linotype" w:cs="Arial"/>
          <w:szCs w:val="28"/>
        </w:rPr>
        <w:t xml:space="preserve">. </w:t>
      </w:r>
      <w:r w:rsidRPr="00E65C14">
        <w:rPr>
          <w:rFonts w:ascii="Palatino Linotype" w:eastAsia="Calibri" w:hAnsi="Palatino Linotype" w:cs="Arial"/>
          <w:lang w:val="es-MX" w:eastAsia="en-US"/>
        </w:rPr>
        <w:t xml:space="preserve">De </w:t>
      </w:r>
      <w:r w:rsidR="004E2941">
        <w:rPr>
          <w:rFonts w:ascii="Palatino Linotype" w:eastAsia="Calibri" w:hAnsi="Palatino Linotype" w:cs="Arial"/>
          <w:lang w:val="es-MX" w:eastAsia="en-US"/>
        </w:rPr>
        <w:t xml:space="preserve">las </w:t>
      </w:r>
      <w:r w:rsidRPr="00E65C14">
        <w:rPr>
          <w:rFonts w:ascii="Palatino Linotype" w:eastAsia="Calibri" w:hAnsi="Palatino Linotype" w:cs="Arial"/>
          <w:lang w:val="es-MX" w:eastAsia="en-US"/>
        </w:rPr>
        <w:t xml:space="preserve">constancias del expediente electrónico del SAIMEX, se observa que el </w:t>
      </w:r>
      <w:r w:rsidRPr="00E65C14">
        <w:rPr>
          <w:rFonts w:ascii="Palatino Linotype" w:eastAsia="Calibri" w:hAnsi="Palatino Linotype" w:cs="Arial"/>
          <w:b/>
          <w:lang w:val="es-MX" w:eastAsia="en-US"/>
        </w:rPr>
        <w:t>Sujeto Obligado</w:t>
      </w:r>
      <w:r w:rsidRPr="00E65C14">
        <w:rPr>
          <w:rFonts w:ascii="Palatino Linotype" w:eastAsia="Calibri" w:hAnsi="Palatino Linotype" w:cs="Arial"/>
          <w:lang w:val="es-MX" w:eastAsia="en-US"/>
        </w:rPr>
        <w:t xml:space="preserve"> rindió su informe justificado el </w:t>
      </w:r>
      <w:r w:rsidR="004E2941">
        <w:rPr>
          <w:rFonts w:ascii="Palatino Linotype" w:eastAsia="Calibri" w:hAnsi="Palatino Linotype" w:cs="Arial"/>
          <w:b/>
          <w:lang w:val="es-MX" w:eastAsia="en-US"/>
        </w:rPr>
        <w:t>nueve de marzo del dos mil veintidós</w:t>
      </w:r>
      <w:r w:rsidR="004E2941">
        <w:rPr>
          <w:rFonts w:ascii="Palatino Linotype" w:eastAsia="Calibri" w:hAnsi="Palatino Linotype" w:cs="Arial"/>
          <w:lang w:val="es-MX" w:eastAsia="en-US"/>
        </w:rPr>
        <w:t>, mediante el archivo electrónico</w:t>
      </w:r>
      <w:r w:rsidRPr="00E65C14">
        <w:rPr>
          <w:rFonts w:ascii="Palatino Linotype" w:eastAsia="Calibri" w:hAnsi="Palatino Linotype" w:cs="Arial"/>
          <w:lang w:val="es-MX" w:eastAsia="en-US"/>
        </w:rPr>
        <w:t xml:space="preserve">: </w:t>
      </w:r>
      <w:r w:rsidR="004E2941">
        <w:rPr>
          <w:rFonts w:ascii="Palatino Linotype" w:eastAsia="Calibri" w:hAnsi="Palatino Linotype" w:cs="Arial"/>
          <w:b/>
          <w:i/>
          <w:lang w:val="es-MX" w:eastAsia="en-US"/>
        </w:rPr>
        <w:t>“Informe justificado 01954.pdf</w:t>
      </w:r>
      <w:r w:rsidRPr="00E65C14">
        <w:rPr>
          <w:rFonts w:ascii="Palatino Linotype" w:eastAsia="Calibri" w:hAnsi="Palatino Linotype" w:cs="Arial"/>
          <w:b/>
          <w:i/>
          <w:lang w:val="es-MX" w:eastAsia="en-US"/>
        </w:rPr>
        <w:t>”</w:t>
      </w:r>
      <w:r w:rsidRPr="00E65C14">
        <w:rPr>
          <w:rFonts w:ascii="Palatino Linotype" w:eastAsia="Calibri" w:hAnsi="Palatino Linotype" w:cs="Arial"/>
          <w:lang w:val="es-MX" w:eastAsia="en-US"/>
        </w:rPr>
        <w:t xml:space="preserve">, </w:t>
      </w:r>
      <w:r w:rsidR="004E2941">
        <w:rPr>
          <w:rFonts w:ascii="Palatino Linotype" w:eastAsia="Calibri" w:hAnsi="Palatino Linotype" w:cs="Arial"/>
          <w:lang w:val="es-MX" w:eastAsia="en-US"/>
        </w:rPr>
        <w:t xml:space="preserve">el cual se compone de tres fojas y en él se vislumbra que el Sujeto Obligado ratifica su pronunciamiento respecto de la vigencia de los convenios, sin embargo, amplia la respuesta vertida inicialmente y manifiesta que se están realizando acciones para la firma de convenios de coordinación con las autoridades de distintos municipios, teniendo en cuenta que los convenios serán suscritos cuando exista voluntad de las partes. </w:t>
      </w:r>
    </w:p>
    <w:p w14:paraId="4821390E" w14:textId="1B95F3C3" w:rsidR="00D64AD5" w:rsidRDefault="00D64AD5" w:rsidP="004E2941">
      <w:pPr>
        <w:widowControl w:val="0"/>
        <w:autoSpaceDE w:val="0"/>
        <w:autoSpaceDN w:val="0"/>
        <w:adjustRightInd w:val="0"/>
        <w:spacing w:line="360" w:lineRule="auto"/>
        <w:ind w:right="49"/>
        <w:jc w:val="both"/>
        <w:rPr>
          <w:rFonts w:ascii="Palatino Linotype" w:eastAsia="Calibri" w:hAnsi="Palatino Linotype" w:cs="Arial"/>
          <w:lang w:val="es-MX" w:eastAsia="en-US"/>
        </w:rPr>
      </w:pPr>
      <w:r>
        <w:rPr>
          <w:rFonts w:ascii="Palatino Linotype" w:eastAsia="Calibri" w:hAnsi="Palatino Linotype" w:cs="Arial"/>
          <w:noProof/>
          <w:lang w:val="es-MX" w:eastAsia="es-MX"/>
        </w:rPr>
        <w:lastRenderedPageBreak/>
        <w:drawing>
          <wp:inline distT="0" distB="0" distL="0" distR="0" wp14:anchorId="596D18F9" wp14:editId="473F22DE">
            <wp:extent cx="5379846" cy="6457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3119" cy="6461879"/>
                    </a:xfrm>
                    <a:prstGeom prst="rect">
                      <a:avLst/>
                    </a:prstGeom>
                    <a:noFill/>
                    <a:ln>
                      <a:noFill/>
                    </a:ln>
                  </pic:spPr>
                </pic:pic>
              </a:graphicData>
            </a:graphic>
          </wp:inline>
        </w:drawing>
      </w:r>
    </w:p>
    <w:p w14:paraId="62B54872" w14:textId="77777777" w:rsidR="00D64AD5" w:rsidRDefault="00D64AD5" w:rsidP="004E2941">
      <w:pPr>
        <w:widowControl w:val="0"/>
        <w:autoSpaceDE w:val="0"/>
        <w:autoSpaceDN w:val="0"/>
        <w:adjustRightInd w:val="0"/>
        <w:spacing w:line="360" w:lineRule="auto"/>
        <w:ind w:right="49"/>
        <w:jc w:val="both"/>
        <w:rPr>
          <w:rFonts w:ascii="Palatino Linotype" w:eastAsia="Calibri" w:hAnsi="Palatino Linotype" w:cs="Arial"/>
          <w:lang w:val="es-MX" w:eastAsia="en-US"/>
        </w:rPr>
      </w:pPr>
    </w:p>
    <w:p w14:paraId="74969C1E" w14:textId="056EE4B4" w:rsidR="004E2941" w:rsidRDefault="00654872" w:rsidP="00D64AD5">
      <w:pPr>
        <w:widowControl w:val="0"/>
        <w:autoSpaceDE w:val="0"/>
        <w:autoSpaceDN w:val="0"/>
        <w:adjustRightInd w:val="0"/>
        <w:spacing w:line="360" w:lineRule="auto"/>
        <w:ind w:right="49"/>
        <w:jc w:val="center"/>
        <w:rPr>
          <w:rFonts w:ascii="Palatino Linotype" w:eastAsia="Calibri" w:hAnsi="Palatino Linotype" w:cs="Arial"/>
          <w:lang w:val="es-MX" w:eastAsia="en-US"/>
        </w:rPr>
      </w:pPr>
      <w:r>
        <w:rPr>
          <w:rFonts w:ascii="Palatino Linotype" w:eastAsia="Calibri"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14:anchorId="0A4890D4" wp14:editId="1A51F3B1">
                <wp:simplePos x="0" y="0"/>
                <wp:positionH relativeFrom="column">
                  <wp:posOffset>472440</wp:posOffset>
                </wp:positionH>
                <wp:positionV relativeFrom="paragraph">
                  <wp:posOffset>3973195</wp:posOffset>
                </wp:positionV>
                <wp:extent cx="4438650" cy="1562100"/>
                <wp:effectExtent l="57150" t="38100" r="76200" b="95250"/>
                <wp:wrapNone/>
                <wp:docPr id="9" name="Rectángulo 9"/>
                <wp:cNvGraphicFramePr/>
                <a:graphic xmlns:a="http://schemas.openxmlformats.org/drawingml/2006/main">
                  <a:graphicData uri="http://schemas.microsoft.com/office/word/2010/wordprocessingShape">
                    <wps:wsp>
                      <wps:cNvSpPr/>
                      <wps:spPr>
                        <a:xfrm>
                          <a:off x="0" y="0"/>
                          <a:ext cx="4438650" cy="15621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961C5" id="Rectángulo 9" o:spid="_x0000_s1026" style="position:absolute;margin-left:37.2pt;margin-top:312.85pt;width:349.5pt;height:1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" filled="f" strokecolor="#002060" strokeweight="2.25pt">
                <v:shadow on="t" color="black" opacity="22937f" origin=",.5" offset="0,.63889mm"/>
              </v:rect>
            </w:pict>
          </mc:Fallback>
        </mc:AlternateContent>
      </w:r>
      <w:r w:rsidR="00D64AD5">
        <w:rPr>
          <w:rFonts w:ascii="Palatino Linotype" w:eastAsia="Calibri" w:hAnsi="Palatino Linotype" w:cs="Arial"/>
          <w:noProof/>
          <w:lang w:val="es-MX" w:eastAsia="es-MX"/>
        </w:rPr>
        <w:drawing>
          <wp:inline distT="0" distB="0" distL="0" distR="0" wp14:anchorId="3CFD68B6" wp14:editId="3AAF7BAA">
            <wp:extent cx="4600575" cy="5638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5638800"/>
                    </a:xfrm>
                    <a:prstGeom prst="rect">
                      <a:avLst/>
                    </a:prstGeom>
                    <a:noFill/>
                    <a:ln>
                      <a:noFill/>
                    </a:ln>
                  </pic:spPr>
                </pic:pic>
              </a:graphicData>
            </a:graphic>
          </wp:inline>
        </w:drawing>
      </w:r>
    </w:p>
    <w:p w14:paraId="25E0D694" w14:textId="2756FA8C" w:rsidR="004E2941" w:rsidRPr="004E2941" w:rsidRDefault="004E2941" w:rsidP="004E2941">
      <w:pPr>
        <w:widowControl w:val="0"/>
        <w:autoSpaceDE w:val="0"/>
        <w:autoSpaceDN w:val="0"/>
        <w:adjustRightInd w:val="0"/>
        <w:spacing w:line="360" w:lineRule="auto"/>
        <w:ind w:right="49"/>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Por su parte, la Recurrente manifestó que </w:t>
      </w:r>
      <w:r w:rsidRPr="004E2941">
        <w:rPr>
          <w:rFonts w:ascii="Palatino Linotype" w:eastAsia="Calibri" w:hAnsi="Palatino Linotype" w:cs="Arial"/>
          <w:i/>
          <w:lang w:val="es-MX" w:eastAsia="en-US"/>
        </w:rPr>
        <w:t>“la respuesta del sujeto obligado, claramente se opone a lo indicado en el articulo 173 de la Ley de Transparencia y Acceso a la Información Pública del Estado de México y Municipios</w:t>
      </w:r>
      <w:r>
        <w:rPr>
          <w:rFonts w:ascii="Palatino Linotype" w:eastAsia="Calibri" w:hAnsi="Palatino Linotype" w:cs="Arial"/>
          <w:i/>
          <w:lang w:val="es-MX" w:eastAsia="en-US"/>
        </w:rPr>
        <w:t xml:space="preserve">” (Sic) </w:t>
      </w:r>
      <w:r>
        <w:rPr>
          <w:rFonts w:ascii="Palatino Linotype" w:eastAsia="Calibri" w:hAnsi="Palatino Linotype" w:cs="Arial"/>
          <w:lang w:val="es-MX" w:eastAsia="en-US"/>
        </w:rPr>
        <w:t xml:space="preserve">adjuntando adicionalmente, la Ley de Transparencia y Acceso a la Información Pública del Estado de México y Municipios. </w:t>
      </w:r>
    </w:p>
    <w:p w14:paraId="72D395E4" w14:textId="77777777" w:rsidR="004E2941" w:rsidRDefault="004E2941" w:rsidP="004E2941">
      <w:pPr>
        <w:widowControl w:val="0"/>
        <w:autoSpaceDE w:val="0"/>
        <w:autoSpaceDN w:val="0"/>
        <w:adjustRightInd w:val="0"/>
        <w:spacing w:line="360" w:lineRule="auto"/>
        <w:ind w:right="49"/>
        <w:jc w:val="both"/>
        <w:rPr>
          <w:rFonts w:ascii="Palatino Linotype" w:eastAsia="Calibri" w:hAnsi="Palatino Linotype" w:cs="Arial"/>
          <w:lang w:val="es-MX" w:eastAsia="en-US"/>
        </w:rPr>
      </w:pPr>
    </w:p>
    <w:p w14:paraId="47BC15D7" w14:textId="5700FAC3" w:rsidR="0066433C" w:rsidRPr="008C6437" w:rsidRDefault="004E2941" w:rsidP="00B03355">
      <w:pPr>
        <w:widowControl w:val="0"/>
        <w:autoSpaceDE w:val="0"/>
        <w:autoSpaceDN w:val="0"/>
        <w:adjustRightInd w:val="0"/>
        <w:spacing w:line="360" w:lineRule="auto"/>
        <w:ind w:right="49"/>
        <w:jc w:val="both"/>
        <w:rPr>
          <w:rFonts w:ascii="Palatino Linotype" w:eastAsia="Calibri" w:hAnsi="Palatino Linotype" w:cs="Arial"/>
          <w:b/>
          <w:i/>
          <w:lang w:val="es-MX" w:eastAsia="en-US"/>
        </w:rPr>
      </w:pPr>
      <w:r>
        <w:rPr>
          <w:rFonts w:ascii="Palatino Linotype" w:eastAsia="Calibri" w:hAnsi="Palatino Linotype" w:cs="Arial"/>
          <w:lang w:val="es-MX" w:eastAsia="en-US"/>
        </w:rPr>
        <w:lastRenderedPageBreak/>
        <w:t xml:space="preserve">Es de precisar que una vez que se analizó el contenido de los </w:t>
      </w:r>
      <w:r w:rsidR="00AB08B8">
        <w:rPr>
          <w:rFonts w:ascii="Palatino Linotype" w:eastAsia="Calibri" w:hAnsi="Palatino Linotype" w:cs="Arial"/>
          <w:lang w:val="es-MX" w:eastAsia="en-US"/>
        </w:rPr>
        <w:t xml:space="preserve">archivos electrónicos, estos </w:t>
      </w:r>
      <w:r w:rsidR="00E65C14" w:rsidRPr="00E65C14">
        <w:rPr>
          <w:rFonts w:ascii="Palatino Linotype" w:eastAsia="Calibri" w:hAnsi="Palatino Linotype" w:cs="Arial"/>
          <w:lang w:val="es-MX" w:eastAsia="en-US"/>
        </w:rPr>
        <w:t xml:space="preserve">se pusieron a la vista del particular en fecha </w:t>
      </w:r>
      <w:r w:rsidR="00AB08B8">
        <w:rPr>
          <w:rFonts w:ascii="Palatino Linotype" w:eastAsia="Calibri" w:hAnsi="Palatino Linotype" w:cs="Arial"/>
          <w:b/>
          <w:lang w:val="es-MX" w:eastAsia="en-US"/>
        </w:rPr>
        <w:t>veintiocho de marzo de dos mil veintidós</w:t>
      </w:r>
      <w:r w:rsidR="00AB08B8">
        <w:rPr>
          <w:rFonts w:ascii="Palatino Linotype" w:eastAsia="Calibri" w:hAnsi="Palatino Linotype" w:cs="Arial"/>
          <w:lang w:val="es-MX" w:eastAsia="en-US"/>
        </w:rPr>
        <w:t>, mediante acuerdo emitido por la Comisionada Ponente</w:t>
      </w:r>
      <w:r w:rsidR="00E65C14">
        <w:rPr>
          <w:rFonts w:ascii="Palatino Linotype" w:eastAsia="Calibri" w:hAnsi="Palatino Linotype" w:cs="Arial"/>
          <w:lang w:val="es-MX" w:eastAsia="en-US"/>
        </w:rPr>
        <w:t>.</w:t>
      </w:r>
    </w:p>
    <w:p w14:paraId="429C2DF0" w14:textId="10D023BA" w:rsidR="00B03355" w:rsidRDefault="008C6437" w:rsidP="002B4161">
      <w:pPr>
        <w:spacing w:before="240" w:after="240" w:line="360" w:lineRule="auto"/>
        <w:jc w:val="both"/>
        <w:rPr>
          <w:rFonts w:ascii="Palatino Linotype" w:eastAsia="Calibri" w:hAnsi="Palatino Linotype" w:cs="Arial"/>
          <w:szCs w:val="28"/>
        </w:rPr>
      </w:pPr>
      <w:r>
        <w:rPr>
          <w:rFonts w:ascii="Palatino Linotype" w:eastAsia="Calibri" w:hAnsi="Palatino Linotype" w:cs="Arial"/>
          <w:b/>
          <w:szCs w:val="28"/>
        </w:rPr>
        <w:t>7</w:t>
      </w:r>
      <w:r w:rsidR="002B4161" w:rsidRPr="002B4161">
        <w:rPr>
          <w:rFonts w:ascii="Palatino Linotype" w:eastAsia="Calibri" w:hAnsi="Palatino Linotype" w:cs="Arial"/>
          <w:b/>
          <w:szCs w:val="28"/>
        </w:rPr>
        <w:t xml:space="preserve">. Cierre de Instrucción. </w:t>
      </w:r>
      <w:r w:rsidR="002B4161" w:rsidRPr="002B4161">
        <w:rPr>
          <w:rFonts w:ascii="Palatino Linotype" w:eastAsia="Calibri" w:hAnsi="Palatino Linotype" w:cs="Arial"/>
        </w:rPr>
        <w:t xml:space="preserve">Una vez transcurrido el plazo otorgado para que las partes manifestaran lo que a su derecho conviniera, y siguiendo </w:t>
      </w:r>
      <w:r w:rsidR="002B4161" w:rsidRPr="002B4161">
        <w:rPr>
          <w:rFonts w:ascii="Palatino Linotype" w:hAnsi="Palatino Linotype"/>
        </w:rPr>
        <w:t xml:space="preserve">los trámites correspondientes con fundamento en el artículo 185 fracción VI de la Ley de Transparencia y Acceso a la Información Pública del Estado de México y Municipios, el día </w:t>
      </w:r>
      <w:r w:rsidR="00AB08B8">
        <w:rPr>
          <w:rFonts w:ascii="Palatino Linotype" w:hAnsi="Palatino Linotype"/>
          <w:b/>
          <w:bCs/>
        </w:rPr>
        <w:t>tres</w:t>
      </w:r>
      <w:r w:rsidR="00AB08B8">
        <w:rPr>
          <w:rFonts w:ascii="Palatino Linotype" w:hAnsi="Palatino Linotype"/>
          <w:b/>
          <w:bCs/>
          <w:color w:val="000000"/>
        </w:rPr>
        <w:t xml:space="preserve"> de may</w:t>
      </w:r>
      <w:r w:rsidR="008102CB">
        <w:rPr>
          <w:rFonts w:ascii="Palatino Linotype" w:hAnsi="Palatino Linotype"/>
          <w:b/>
          <w:bCs/>
          <w:color w:val="000000"/>
        </w:rPr>
        <w:t>o</w:t>
      </w:r>
      <w:r w:rsidR="002B4161" w:rsidRPr="002B4161">
        <w:rPr>
          <w:rFonts w:ascii="Palatino Linotype" w:hAnsi="Palatino Linotype"/>
          <w:b/>
          <w:bCs/>
          <w:color w:val="000000"/>
        </w:rPr>
        <w:t xml:space="preserve"> </w:t>
      </w:r>
      <w:r w:rsidR="008102CB">
        <w:rPr>
          <w:rFonts w:ascii="Palatino Linotype" w:hAnsi="Palatino Linotype"/>
          <w:b/>
          <w:bCs/>
        </w:rPr>
        <w:t>de dos mil veintidós</w:t>
      </w:r>
      <w:r w:rsidR="002B4161" w:rsidRPr="002B4161">
        <w:rPr>
          <w:rFonts w:ascii="Palatino Linotype" w:hAnsi="Palatino Linotype"/>
        </w:rPr>
        <w:t>, se procedió a decretar el cierre de instrucción respectivo y</w:t>
      </w:r>
      <w:r w:rsidR="002B4161" w:rsidRPr="002B4161">
        <w:rPr>
          <w:rFonts w:ascii="Palatino Linotype" w:eastAsia="Calibri" w:hAnsi="Palatino Linotype" w:cs="Arial"/>
          <w:szCs w:val="28"/>
        </w:rPr>
        <w:t xml:space="preserve"> no existiendo diligencia pendiente de desahogo, se ordenó emitir la resolución que conforme a derecho proceda.</w:t>
      </w:r>
    </w:p>
    <w:p w14:paraId="1BF76266" w14:textId="5BA0DFE2" w:rsidR="008C6437" w:rsidRPr="008C6437" w:rsidRDefault="008C6437" w:rsidP="008C6437">
      <w:pPr>
        <w:widowControl w:val="0"/>
        <w:autoSpaceDE w:val="0"/>
        <w:autoSpaceDN w:val="0"/>
        <w:adjustRightInd w:val="0"/>
        <w:spacing w:line="360" w:lineRule="auto"/>
        <w:ind w:right="49"/>
        <w:jc w:val="both"/>
        <w:rPr>
          <w:rFonts w:ascii="Palatino Linotype" w:hAnsi="Palatino Linotype" w:cs="Arial"/>
          <w:lang w:val="es-MX"/>
        </w:rPr>
      </w:pPr>
      <w:r w:rsidRPr="00E65C14">
        <w:rPr>
          <w:rFonts w:ascii="Palatino Linotype" w:eastAsia="Calibri" w:hAnsi="Palatino Linotype" w:cs="Arial"/>
          <w:b/>
          <w:lang w:val="es-MX" w:eastAsia="en-US"/>
        </w:rPr>
        <w:t>7</w:t>
      </w:r>
      <w:r w:rsidRPr="00E65C14">
        <w:rPr>
          <w:rFonts w:ascii="Palatino Linotype" w:hAnsi="Palatino Linotype" w:cs="Arial"/>
          <w:b/>
          <w:szCs w:val="32"/>
        </w:rPr>
        <w:t xml:space="preserve">. Ampliación del plazo. </w:t>
      </w:r>
      <w:r w:rsidRPr="00E65C14">
        <w:rPr>
          <w:rFonts w:ascii="Palatino Linotype" w:hAnsi="Palatino Linotype" w:cs="Arial"/>
        </w:rPr>
        <w:t xml:space="preserve">En fecha </w:t>
      </w:r>
      <w:r>
        <w:rPr>
          <w:rFonts w:ascii="Palatino Linotype" w:hAnsi="Palatino Linotype" w:cs="Arial"/>
          <w:b/>
        </w:rPr>
        <w:t>tres</w:t>
      </w:r>
      <w:r w:rsidRPr="00E65C14">
        <w:rPr>
          <w:rFonts w:ascii="Palatino Linotype" w:hAnsi="Palatino Linotype" w:cs="Arial"/>
          <w:b/>
        </w:rPr>
        <w:t xml:space="preserve"> de </w:t>
      </w:r>
      <w:r>
        <w:rPr>
          <w:rFonts w:ascii="Palatino Linotype" w:hAnsi="Palatino Linotype" w:cs="Arial"/>
          <w:b/>
        </w:rPr>
        <w:t>mayo de dos mil veintidós</w:t>
      </w:r>
      <w:r w:rsidRPr="00E65C14">
        <w:rPr>
          <w:rFonts w:ascii="Palatino Linotype" w:hAnsi="Palatino Linotype" w:cs="Arial"/>
        </w:rPr>
        <w:t xml:space="preserve">, </w:t>
      </w:r>
      <w:r w:rsidRPr="00E65C14">
        <w:rPr>
          <w:rFonts w:ascii="Palatino Linotype" w:eastAsia="Calibri" w:hAnsi="Palatino Linotype"/>
          <w:szCs w:val="22"/>
        </w:rPr>
        <w:t xml:space="preserve">este Instituto </w:t>
      </w:r>
      <w:r w:rsidRPr="00E65C14">
        <w:rPr>
          <w:rFonts w:ascii="Palatino Linotype" w:hAnsi="Palatino Linotype" w:cs="Arial"/>
          <w:lang w:val="es-MX"/>
        </w:rPr>
        <w:t xml:space="preserve">notificó a las partes el Acuerdo de Ampliación de Plazo para resolver el medio de impugnación que nos ocupa, en términos de lo dispuesto por el artículo 181, párrafo tercero de la Ley de Transparencia y Acceso a la Información Pública del Estado de México </w:t>
      </w:r>
      <w:r>
        <w:rPr>
          <w:rFonts w:ascii="Palatino Linotype" w:hAnsi="Palatino Linotype" w:cs="Arial"/>
          <w:lang w:val="es-MX"/>
        </w:rPr>
        <w:t xml:space="preserve">y Municipios; lo anterior </w:t>
      </w:r>
      <w:r w:rsidRPr="00E65C14">
        <w:rPr>
          <w:rFonts w:ascii="Palatino Linotype" w:hAnsi="Palatino Linotype" w:cs="Arial"/>
          <w:lang w:val="es-MX"/>
        </w:rPr>
        <w:t>con la finalidad de realizar un análisis exhaustivo de las constancias que obran en el expediente electrónico, adoptando las medidas pertinentes, a fin de aminorar los efectos que conlleva.</w:t>
      </w:r>
    </w:p>
    <w:p w14:paraId="5D048D96" w14:textId="77777777" w:rsidR="00B03355" w:rsidRPr="00B21F18" w:rsidRDefault="00B03355" w:rsidP="002B4161">
      <w:pPr>
        <w:spacing w:before="240" w:after="240" w:line="360" w:lineRule="auto"/>
        <w:ind w:right="49"/>
        <w:jc w:val="center"/>
        <w:rPr>
          <w:rFonts w:ascii="Palatino Linotype" w:hAnsi="Palatino Linotype" w:cs="Arial"/>
          <w:b/>
          <w:bCs/>
          <w:spacing w:val="60"/>
          <w:lang w:val="es-ES_tradnl"/>
        </w:rPr>
      </w:pPr>
      <w:r w:rsidRPr="00B21F18">
        <w:rPr>
          <w:rFonts w:ascii="Palatino Linotype" w:hAnsi="Palatino Linotype" w:cs="Arial"/>
          <w:b/>
          <w:bCs/>
          <w:spacing w:val="60"/>
          <w:lang w:val="es-ES_tradnl"/>
        </w:rPr>
        <w:t>CONSIDERANDO</w:t>
      </w:r>
    </w:p>
    <w:p w14:paraId="27ACFEBE" w14:textId="77777777" w:rsidR="0066433C" w:rsidRDefault="00B03355" w:rsidP="008102CB">
      <w:pPr>
        <w:spacing w:before="240" w:after="240" w:line="360" w:lineRule="auto"/>
        <w:ind w:right="49"/>
        <w:jc w:val="both"/>
        <w:rPr>
          <w:rFonts w:ascii="Palatino Linotype" w:hAnsi="Palatino Linotype"/>
          <w:shd w:val="clear" w:color="auto" w:fill="FFFFFF"/>
        </w:rPr>
      </w:pPr>
      <w:r w:rsidRPr="002B4161">
        <w:rPr>
          <w:rFonts w:ascii="Palatino Linotype" w:hAnsi="Palatino Linotype" w:cs="Arial"/>
          <w:b/>
          <w:szCs w:val="32"/>
        </w:rPr>
        <w:t>Primero.</w:t>
      </w:r>
      <w:r w:rsidRPr="002B4161">
        <w:rPr>
          <w:rFonts w:ascii="Palatino Linotype" w:hAnsi="Palatino Linotype" w:cs="Arial"/>
          <w:szCs w:val="32"/>
        </w:rPr>
        <w:t xml:space="preserve"> </w:t>
      </w:r>
      <w:r w:rsidRPr="002B4161">
        <w:rPr>
          <w:rFonts w:ascii="Palatino Linotype" w:hAnsi="Palatino Linotype" w:cs="Arial"/>
          <w:b/>
          <w:szCs w:val="32"/>
        </w:rPr>
        <w:t>Competencia.</w:t>
      </w:r>
      <w:r w:rsidRPr="002B4161">
        <w:rPr>
          <w:rFonts w:ascii="Palatino Linotype" w:hAnsi="Palatino Linotype" w:cs="Arial"/>
          <w:b/>
          <w:sz w:val="22"/>
          <w:szCs w:val="28"/>
        </w:rPr>
        <w:t xml:space="preserve"> </w:t>
      </w:r>
      <w:r w:rsidRPr="00B21F1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B21F18">
        <w:rPr>
          <w:rFonts w:ascii="Palatino Linotype" w:hAnsi="Palatino Linotype"/>
          <w:shd w:val="clear" w:color="auto" w:fill="FFFFFF"/>
        </w:rPr>
        <w:lastRenderedPageBreak/>
        <w:t>Constitución Política de los Estados Unidos Mexicanos; 5, párrafos</w:t>
      </w:r>
      <w:r w:rsidR="006E70DC">
        <w:rPr>
          <w:rFonts w:ascii="Palatino Linotype" w:hAnsi="Palatino Linotype"/>
          <w:shd w:val="clear" w:color="auto" w:fill="FFFFFF"/>
        </w:rPr>
        <w:t xml:space="preserve"> tr</w:t>
      </w:r>
      <w:r w:rsidRPr="00B21F18">
        <w:rPr>
          <w:rFonts w:ascii="Palatino Linotype" w:hAnsi="Palatino Linotype"/>
          <w:shd w:val="clear" w:color="auto" w:fill="FFFFFF"/>
        </w:rPr>
        <w:t>igésimo</w:t>
      </w:r>
      <w:r w:rsidR="006E70DC">
        <w:rPr>
          <w:rFonts w:ascii="Palatino Linotype" w:hAnsi="Palatino Linotype"/>
          <w:shd w:val="clear" w:color="auto" w:fill="FFFFFF"/>
        </w:rPr>
        <w:t>, trigésimo primero y trigésimo segundo</w:t>
      </w:r>
      <w:r w:rsidRPr="00B21F18">
        <w:rPr>
          <w:rFonts w:ascii="Palatino Linotype" w:hAnsi="Palatino Linotype"/>
          <w:shd w:val="clear" w:color="auto" w:fill="FFFFFF"/>
        </w:rPr>
        <w:t>;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0E13BB5" w14:textId="0E60D3AE" w:rsidR="00B03355" w:rsidRPr="0066433C" w:rsidRDefault="00B03355" w:rsidP="008102CB">
      <w:pPr>
        <w:spacing w:before="240" w:after="240" w:line="360" w:lineRule="auto"/>
        <w:ind w:right="49"/>
        <w:jc w:val="both"/>
        <w:rPr>
          <w:rFonts w:ascii="Palatino Linotype" w:hAnsi="Palatino Linotype"/>
          <w:shd w:val="clear" w:color="auto" w:fill="FFFFFF"/>
        </w:rPr>
      </w:pPr>
      <w:r w:rsidRPr="005B23CF">
        <w:rPr>
          <w:rFonts w:ascii="Palatino Linotype" w:hAnsi="Palatino Linotype" w:cs="Arial"/>
          <w:b/>
          <w:szCs w:val="32"/>
        </w:rPr>
        <w:t>Segundo</w:t>
      </w:r>
      <w:r w:rsidRPr="005B23CF">
        <w:rPr>
          <w:rFonts w:ascii="Palatino Linotype" w:hAnsi="Palatino Linotype" w:cs="Arial"/>
          <w:b/>
          <w:szCs w:val="32"/>
          <w:lang w:val="es-MX"/>
        </w:rPr>
        <w:t xml:space="preserve">. Oportunidad y Procedibilidad. </w:t>
      </w:r>
      <w:r w:rsidRPr="00B21F18">
        <w:rPr>
          <w:rFonts w:ascii="Palatino Linotype" w:hAnsi="Palatino Linotype" w:cs="Arial"/>
        </w:rPr>
        <w:t xml:space="preserve">De conformidad con los requisitos de oportunidad que debe reunir el recurso de revisión interpuesto, previsto en el artículo 178, párrafo primero de la </w:t>
      </w:r>
      <w:r w:rsidRPr="00B21F18">
        <w:rPr>
          <w:rFonts w:ascii="Palatino Linotype" w:hAnsi="Palatino Linotype" w:cs="Arial"/>
          <w:lang w:eastAsia="es-MX"/>
        </w:rPr>
        <w:t xml:space="preserve">Ley de Transparencia y Acceso a la Información Pública del Estado de México y Municipios vigente, en la especie se advierte que el presente medio de impugnación fue interpuesto dentro del plazo de quince días previsto en el dispositivo referido, toda vez que el </w:t>
      </w:r>
      <w:r w:rsidRPr="00B21F18">
        <w:rPr>
          <w:rFonts w:ascii="Palatino Linotype" w:hAnsi="Palatino Linotype" w:cs="Arial"/>
          <w:b/>
          <w:lang w:eastAsia="es-MX"/>
        </w:rPr>
        <w:t>Sujeto Obligado</w:t>
      </w:r>
      <w:r w:rsidRPr="00B21F18">
        <w:rPr>
          <w:rFonts w:ascii="Palatino Linotype" w:hAnsi="Palatino Linotype" w:cs="Arial"/>
          <w:lang w:eastAsia="es-MX"/>
        </w:rPr>
        <w:t xml:space="preserve"> emitió su respuesta el día </w:t>
      </w:r>
      <w:r w:rsidR="001F75F1">
        <w:rPr>
          <w:rFonts w:ascii="Palatino Linotype" w:hAnsi="Palatino Linotype" w:cs="Arial"/>
          <w:b/>
          <w:lang w:eastAsia="es-MX"/>
        </w:rPr>
        <w:t>dieciséis</w:t>
      </w:r>
      <w:r w:rsidRPr="00B21F18">
        <w:rPr>
          <w:rFonts w:ascii="Palatino Linotype" w:hAnsi="Palatino Linotype" w:cs="Arial"/>
          <w:b/>
          <w:lang w:eastAsia="es-MX"/>
        </w:rPr>
        <w:t xml:space="preserve"> de </w:t>
      </w:r>
      <w:r w:rsidR="001F75F1">
        <w:rPr>
          <w:rFonts w:ascii="Palatino Linotype" w:hAnsi="Palatino Linotype" w:cs="Arial"/>
          <w:b/>
          <w:lang w:eastAsia="es-MX"/>
        </w:rPr>
        <w:t>febrero</w:t>
      </w:r>
      <w:r w:rsidRPr="00B21F18">
        <w:rPr>
          <w:rFonts w:ascii="Palatino Linotype" w:hAnsi="Palatino Linotype" w:cs="Arial"/>
          <w:b/>
          <w:lang w:eastAsia="es-MX"/>
        </w:rPr>
        <w:t xml:space="preserve"> </w:t>
      </w:r>
      <w:r w:rsidR="005B23CF">
        <w:rPr>
          <w:rFonts w:ascii="Palatino Linotype" w:hAnsi="Palatino Linotype" w:cs="Arial"/>
          <w:b/>
          <w:lang w:eastAsia="es-MX"/>
        </w:rPr>
        <w:t xml:space="preserve">de dos mil </w:t>
      </w:r>
      <w:r w:rsidRPr="00B21F18">
        <w:rPr>
          <w:rFonts w:ascii="Palatino Linotype" w:hAnsi="Palatino Linotype" w:cs="Arial"/>
          <w:b/>
          <w:lang w:eastAsia="es-MX"/>
        </w:rPr>
        <w:t>ve</w:t>
      </w:r>
      <w:r w:rsidR="001F75F1">
        <w:rPr>
          <w:rFonts w:ascii="Palatino Linotype" w:hAnsi="Palatino Linotype" w:cs="Arial"/>
          <w:b/>
          <w:lang w:eastAsia="es-MX"/>
        </w:rPr>
        <w:t>intidós</w:t>
      </w:r>
      <w:r w:rsidRPr="00B21F18">
        <w:rPr>
          <w:rFonts w:ascii="Palatino Linotype" w:hAnsi="Palatino Linotype" w:cs="Arial"/>
          <w:lang w:eastAsia="es-MX"/>
        </w:rPr>
        <w:t xml:space="preserve">, mientras que el solicitante presentó su recurso de revisión el día </w:t>
      </w:r>
      <w:r w:rsidR="001F75F1">
        <w:rPr>
          <w:rFonts w:ascii="Palatino Linotype" w:hAnsi="Palatino Linotype" w:cs="Arial"/>
          <w:b/>
          <w:lang w:eastAsia="es-MX"/>
        </w:rPr>
        <w:t>veinticinco</w:t>
      </w:r>
      <w:r w:rsidRPr="00B21F18">
        <w:rPr>
          <w:rFonts w:ascii="Palatino Linotype" w:hAnsi="Palatino Linotype" w:cs="Arial"/>
          <w:b/>
          <w:lang w:eastAsia="es-MX"/>
        </w:rPr>
        <w:t xml:space="preserve"> de </w:t>
      </w:r>
      <w:r w:rsidR="001F75F1">
        <w:rPr>
          <w:rFonts w:ascii="Palatino Linotype" w:hAnsi="Palatino Linotype" w:cs="Arial"/>
          <w:b/>
          <w:lang w:eastAsia="es-MX"/>
        </w:rPr>
        <w:t>febrero de dos mil veintidós</w:t>
      </w:r>
      <w:r w:rsidRPr="00B21F18">
        <w:rPr>
          <w:rFonts w:ascii="Palatino Linotype" w:hAnsi="Palatino Linotype" w:cs="Arial"/>
          <w:lang w:eastAsia="es-MX"/>
        </w:rPr>
        <w:t xml:space="preserve">, esto es, al </w:t>
      </w:r>
      <w:r w:rsidR="001F75F1">
        <w:rPr>
          <w:rFonts w:ascii="Palatino Linotype" w:hAnsi="Palatino Linotype" w:cs="Arial"/>
          <w:b/>
          <w:lang w:eastAsia="es-MX"/>
        </w:rPr>
        <w:t>séptim</w:t>
      </w:r>
      <w:r w:rsidR="00D20796">
        <w:rPr>
          <w:rFonts w:ascii="Palatino Linotype" w:hAnsi="Palatino Linotype" w:cs="Arial"/>
          <w:b/>
          <w:lang w:eastAsia="es-MX"/>
        </w:rPr>
        <w:t>o</w:t>
      </w:r>
      <w:r w:rsidR="00285E96">
        <w:rPr>
          <w:rFonts w:ascii="Palatino Linotype" w:hAnsi="Palatino Linotype" w:cs="Arial"/>
          <w:b/>
          <w:lang w:eastAsia="es-MX"/>
        </w:rPr>
        <w:t xml:space="preserve"> </w:t>
      </w:r>
      <w:r w:rsidRPr="005B23CF">
        <w:rPr>
          <w:rFonts w:ascii="Palatino Linotype" w:hAnsi="Palatino Linotype" w:cs="Arial"/>
          <w:b/>
          <w:lang w:eastAsia="es-MX"/>
        </w:rPr>
        <w:t>día hábil</w:t>
      </w:r>
      <w:r w:rsidRPr="00B21F18">
        <w:rPr>
          <w:rFonts w:ascii="Palatino Linotype" w:hAnsi="Palatino Linotype" w:cs="Arial"/>
          <w:lang w:eastAsia="es-MX"/>
        </w:rPr>
        <w:t xml:space="preserve"> siguiente en que tuvo conocimiento de la respuesta impugnada, de tal forma, se considera que la interposición del presente medio de impugnación se</w:t>
      </w:r>
      <w:r w:rsidRPr="00B21F18">
        <w:rPr>
          <w:rFonts w:ascii="Palatino Linotype" w:hAnsi="Palatino Linotype" w:cs="Arial"/>
        </w:rPr>
        <w:t xml:space="preserve"> encuentra dentro de los márgenes temporales previstos en el citado precepto legal.</w:t>
      </w:r>
    </w:p>
    <w:p w14:paraId="77C2E795" w14:textId="02355F90" w:rsidR="00B03355" w:rsidRPr="003D2EAC" w:rsidRDefault="005B23CF" w:rsidP="008102CB">
      <w:pPr>
        <w:spacing w:before="240" w:after="240" w:line="360" w:lineRule="auto"/>
        <w:ind w:right="49"/>
        <w:jc w:val="both"/>
        <w:rPr>
          <w:rFonts w:ascii="Segoe UI" w:hAnsi="Segoe UI" w:cs="Segoe UI"/>
        </w:rPr>
      </w:pPr>
      <w:r w:rsidRPr="005B23CF">
        <w:rPr>
          <w:rFonts w:ascii="Palatino Linotype" w:hAnsi="Palatino Linotype" w:cs="Arial"/>
        </w:rPr>
        <w:t xml:space="preserve">Así las cosas, se concluye la acreditación plena de todos y cada uno de los elementos formales exigidos por el artículo 180 de la </w:t>
      </w:r>
      <w:r w:rsidRPr="005B23CF">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w:t>
      </w:r>
      <w:r w:rsidRPr="005B23CF">
        <w:rPr>
          <w:rFonts w:ascii="Palatino Linotype" w:hAnsi="Palatino Linotype" w:cs="Arial"/>
          <w:lang w:val="es-MX"/>
        </w:rPr>
        <w:lastRenderedPageBreak/>
        <w:t xml:space="preserve">impugnación, al actualizarse lo dispuesto en los </w:t>
      </w:r>
      <w:r w:rsidRPr="005B23CF">
        <w:rPr>
          <w:rFonts w:ascii="Palatino Linotype" w:hAnsi="Palatino Linotype" w:cs="Segoe UI"/>
        </w:rPr>
        <w:t xml:space="preserve">artículos </w:t>
      </w:r>
      <w:r w:rsidRPr="003D2EAC">
        <w:rPr>
          <w:rFonts w:ascii="Palatino Linotype" w:hAnsi="Palatino Linotype" w:cs="Segoe UI"/>
        </w:rPr>
        <w:t>176 y</w:t>
      </w:r>
      <w:r w:rsidRPr="003D2EAC">
        <w:rPr>
          <w:rFonts w:ascii="Palatino Linotype" w:eastAsia="Cambria" w:hAnsi="Palatino Linotype" w:cs="Segoe UI"/>
        </w:rPr>
        <w:t> 179</w:t>
      </w:r>
      <w:r w:rsidR="003D2EAC" w:rsidRPr="003D2EAC">
        <w:rPr>
          <w:rFonts w:ascii="Palatino Linotype" w:eastAsia="Cambria" w:hAnsi="Palatino Linotype" w:cs="Segoe UI"/>
        </w:rPr>
        <w:t xml:space="preserve"> fracción</w:t>
      </w:r>
      <w:r w:rsidR="00D20796" w:rsidRPr="003D2EAC">
        <w:rPr>
          <w:rFonts w:ascii="Palatino Linotype" w:eastAsia="Cambria" w:hAnsi="Palatino Linotype" w:cs="Segoe UI"/>
          <w:b/>
        </w:rPr>
        <w:t xml:space="preserve"> </w:t>
      </w:r>
      <w:r w:rsidR="001F75F1">
        <w:rPr>
          <w:rFonts w:ascii="Palatino Linotype" w:eastAsia="Cambria" w:hAnsi="Palatino Linotype" w:cs="Segoe UI"/>
          <w:b/>
        </w:rPr>
        <w:t>V</w:t>
      </w:r>
      <w:r w:rsidR="00D20796" w:rsidRPr="003D2EAC">
        <w:rPr>
          <w:rFonts w:ascii="Palatino Linotype" w:eastAsia="Cambria" w:hAnsi="Palatino Linotype" w:cs="Segoe UI"/>
          <w:b/>
        </w:rPr>
        <w:t xml:space="preserve"> </w:t>
      </w:r>
      <w:r w:rsidRPr="003D2EAC">
        <w:rPr>
          <w:rFonts w:ascii="Palatino Linotype" w:hAnsi="Palatino Linotype" w:cs="Segoe UI"/>
        </w:rPr>
        <w:t>del ordenamiento legal citado, que establecen los supuestos en que puede interponerse el recurso de revisión:</w:t>
      </w:r>
    </w:p>
    <w:p w14:paraId="4ACBBB50" w14:textId="445FEF62" w:rsidR="00D20796" w:rsidRPr="003D2EAC" w:rsidRDefault="00B03355" w:rsidP="005B23CF">
      <w:pPr>
        <w:ind w:left="567" w:right="900"/>
        <w:jc w:val="both"/>
        <w:textAlignment w:val="baseline"/>
        <w:rPr>
          <w:rFonts w:ascii="Palatino Linotype" w:hAnsi="Palatino Linotype" w:cs="Segoe UI"/>
          <w:bCs/>
          <w:i/>
          <w:iCs/>
          <w:sz w:val="22"/>
          <w:szCs w:val="22"/>
          <w:lang w:val="es-MX" w:eastAsia="es-MX"/>
        </w:rPr>
      </w:pPr>
      <w:r w:rsidRPr="003D2EAC">
        <w:rPr>
          <w:rFonts w:ascii="Palatino Linotype" w:hAnsi="Palatino Linotype" w:cs="Segoe UI"/>
          <w:bCs/>
          <w:i/>
          <w:iCs/>
          <w:sz w:val="22"/>
          <w:szCs w:val="22"/>
          <w:lang w:val="es-MX" w:eastAsia="es-MX"/>
        </w:rPr>
        <w:t>“</w:t>
      </w:r>
      <w:r w:rsidR="00D20796" w:rsidRPr="003D2EAC">
        <w:rPr>
          <w:rFonts w:ascii="Palatino Linotype" w:hAnsi="Palatino Linotype" w:cs="Segoe UI"/>
          <w:b/>
          <w:bCs/>
          <w:i/>
          <w:iCs/>
          <w:sz w:val="22"/>
          <w:szCs w:val="22"/>
          <w:lang w:eastAsia="es-MX"/>
        </w:rPr>
        <w:t>Artículo 176.</w:t>
      </w:r>
      <w:r w:rsidR="00D20796" w:rsidRPr="003D2EAC">
        <w:rPr>
          <w:rFonts w:ascii="Palatino Linotype" w:hAnsi="Palatino Linotype" w:cs="Segoe UI"/>
          <w:bCs/>
          <w:i/>
          <w:iCs/>
          <w:sz w:val="22"/>
          <w:szCs w:val="22"/>
          <w:lang w:eastAsia="es-MX"/>
        </w:rPr>
        <w:t xml:space="preserve"> El recurso de revisión es la garantía secundaria mediante la cual se pretende reparar cualquier posible afectación al derecho de acceso a la información pública en términos del presente y del siguiente Capítulo.</w:t>
      </w:r>
    </w:p>
    <w:p w14:paraId="0B3B42DB" w14:textId="04DDB81E" w:rsidR="00B03355" w:rsidRPr="003D2EAC" w:rsidRDefault="00B03355" w:rsidP="005B23CF">
      <w:pPr>
        <w:ind w:left="567" w:right="900"/>
        <w:jc w:val="both"/>
        <w:textAlignment w:val="baseline"/>
        <w:rPr>
          <w:rFonts w:ascii="Palatino Linotype" w:eastAsia="Cambria" w:hAnsi="Palatino Linotype" w:cs="Segoe UI"/>
          <w:i/>
          <w:iCs/>
          <w:sz w:val="22"/>
          <w:szCs w:val="22"/>
          <w:lang w:val="es-MX" w:eastAsia="es-MX"/>
        </w:rPr>
      </w:pPr>
      <w:r w:rsidRPr="003D2EAC">
        <w:rPr>
          <w:rFonts w:ascii="Palatino Linotype" w:hAnsi="Palatino Linotype" w:cs="Segoe UI"/>
          <w:b/>
          <w:bCs/>
          <w:i/>
          <w:sz w:val="22"/>
          <w:szCs w:val="22"/>
          <w:lang w:val="es-MX" w:eastAsia="es-MX"/>
        </w:rPr>
        <w:t>Artículo 179.</w:t>
      </w:r>
      <w:r w:rsidRPr="003D2EAC">
        <w:rPr>
          <w:rFonts w:ascii="Palatino Linotype" w:eastAsia="Cambria" w:hAnsi="Palatino Linotype" w:cs="Segoe UI"/>
          <w:i/>
          <w:iCs/>
          <w:sz w:val="22"/>
          <w:szCs w:val="22"/>
          <w:lang w:val="es-MX" w:eastAsia="es-MX"/>
        </w:rPr>
        <w:t xml:space="preserve"> El recurso de revisión es un medio de protección que la Ley otorga a los particulares, para hacer valer su derecho de acceso a la información pública, y procederá en contra de las siguientes causas: </w:t>
      </w:r>
    </w:p>
    <w:p w14:paraId="53B3C274" w14:textId="4390B826" w:rsidR="00D20796" w:rsidRPr="008146FB" w:rsidRDefault="00D20796" w:rsidP="005B23CF">
      <w:pPr>
        <w:ind w:left="567" w:right="900"/>
        <w:jc w:val="both"/>
        <w:textAlignment w:val="baseline"/>
        <w:rPr>
          <w:rFonts w:ascii="Palatino Linotype" w:eastAsia="Cambria" w:hAnsi="Palatino Linotype" w:cs="Segoe UI"/>
          <w:i/>
          <w:iCs/>
          <w:sz w:val="22"/>
          <w:szCs w:val="22"/>
          <w:lang w:eastAsia="es-MX"/>
        </w:rPr>
      </w:pPr>
      <w:r w:rsidRPr="008146FB">
        <w:rPr>
          <w:rFonts w:ascii="Palatino Linotype" w:eastAsia="Cambria" w:hAnsi="Palatino Linotype" w:cs="Segoe UI"/>
          <w:i/>
          <w:iCs/>
          <w:sz w:val="22"/>
          <w:szCs w:val="22"/>
          <w:lang w:eastAsia="es-MX"/>
        </w:rPr>
        <w:t>…</w:t>
      </w:r>
    </w:p>
    <w:p w14:paraId="54A30D2C" w14:textId="77777777" w:rsidR="001F75F1" w:rsidRDefault="001F75F1" w:rsidP="001F75F1">
      <w:pPr>
        <w:ind w:left="567" w:right="615"/>
        <w:contextualSpacing/>
        <w:jc w:val="both"/>
        <w:textAlignment w:val="baseline"/>
        <w:rPr>
          <w:rFonts w:ascii="Palatino Linotype" w:hAnsi="Palatino Linotype" w:cs="Segoe UI"/>
          <w:i/>
          <w:sz w:val="22"/>
          <w:szCs w:val="22"/>
          <w:lang w:val="es-MX" w:eastAsia="es-MX"/>
        </w:rPr>
      </w:pPr>
      <w:r w:rsidRPr="001F75F1">
        <w:rPr>
          <w:rFonts w:ascii="Palatino Linotype" w:eastAsia="Cambria" w:hAnsi="Palatino Linotype" w:cs="Segoe UI"/>
          <w:b/>
          <w:i/>
          <w:iCs/>
          <w:sz w:val="22"/>
          <w:szCs w:val="22"/>
          <w:lang w:eastAsia="es-MX"/>
        </w:rPr>
        <w:t>V. La entrega de información incompleta;</w:t>
      </w:r>
      <w:r w:rsidR="005B23CF">
        <w:rPr>
          <w:rFonts w:ascii="Palatino Linotype" w:hAnsi="Palatino Linotype" w:cs="Segoe UI"/>
          <w:i/>
          <w:sz w:val="22"/>
          <w:szCs w:val="22"/>
          <w:lang w:val="es-MX" w:eastAsia="es-MX"/>
        </w:rPr>
        <w:t xml:space="preserve">                 </w:t>
      </w:r>
    </w:p>
    <w:p w14:paraId="5B41D697" w14:textId="77777777" w:rsidR="001F75F1" w:rsidRDefault="00B03355" w:rsidP="001F75F1">
      <w:pPr>
        <w:ind w:left="567" w:right="615"/>
        <w:contextualSpacing/>
        <w:jc w:val="both"/>
        <w:textAlignment w:val="baseline"/>
        <w:rPr>
          <w:rFonts w:ascii="Palatino Linotype" w:hAnsi="Palatino Linotype" w:cs="Segoe UI"/>
          <w:bCs/>
          <w:i/>
          <w:iCs/>
          <w:sz w:val="22"/>
          <w:szCs w:val="22"/>
          <w:lang w:val="es-MX" w:eastAsia="es-MX"/>
        </w:rPr>
      </w:pPr>
      <w:r w:rsidRPr="00B21F18">
        <w:rPr>
          <w:rFonts w:ascii="Palatino Linotype" w:hAnsi="Palatino Linotype" w:cs="Segoe UI"/>
          <w:i/>
          <w:sz w:val="22"/>
          <w:szCs w:val="22"/>
          <w:lang w:val="es-MX" w:eastAsia="es-MX"/>
        </w:rPr>
        <w:t xml:space="preserve">… </w:t>
      </w:r>
      <w:r w:rsidRPr="00B21F18">
        <w:rPr>
          <w:rFonts w:ascii="Palatino Linotype" w:hAnsi="Palatino Linotype" w:cs="Segoe UI"/>
          <w:bCs/>
          <w:i/>
          <w:iCs/>
          <w:sz w:val="22"/>
          <w:szCs w:val="22"/>
          <w:lang w:val="es-MX" w:eastAsia="es-MX"/>
        </w:rPr>
        <w:t>”</w:t>
      </w:r>
    </w:p>
    <w:p w14:paraId="6D742094" w14:textId="0DA366C9" w:rsidR="00B03355" w:rsidRPr="00B21F18" w:rsidRDefault="001F75F1" w:rsidP="001F75F1">
      <w:pPr>
        <w:ind w:left="567" w:right="615"/>
        <w:contextualSpacing/>
        <w:jc w:val="both"/>
        <w:textAlignment w:val="baseline"/>
        <w:rPr>
          <w:rFonts w:ascii="Palatino Linotype" w:eastAsia="MS Gothic" w:hAnsi="Palatino Linotype" w:cs="Segoe UI"/>
          <w:i/>
          <w:sz w:val="22"/>
          <w:szCs w:val="22"/>
          <w:lang w:val="es-MX" w:eastAsia="es-MX"/>
        </w:rPr>
      </w:pPr>
      <w:r>
        <w:rPr>
          <w:rFonts w:ascii="Palatino Linotype" w:hAnsi="Palatino Linotype" w:cs="Segoe UI"/>
          <w:bCs/>
          <w:i/>
          <w:iCs/>
          <w:sz w:val="22"/>
          <w:szCs w:val="22"/>
          <w:lang w:val="es-MX" w:eastAsia="es-MX"/>
        </w:rPr>
        <w:t>(Énfasis añadido)</w:t>
      </w:r>
      <w:r w:rsidR="00B03355" w:rsidRPr="00B21F18">
        <w:rPr>
          <w:rFonts w:ascii="Palatino Linotype" w:eastAsia="MS Gothic" w:hAnsi="Palatino Linotype" w:cs="Segoe UI"/>
          <w:i/>
          <w:sz w:val="22"/>
          <w:szCs w:val="22"/>
          <w:lang w:val="es-MX" w:eastAsia="es-MX"/>
        </w:rPr>
        <w:t> </w:t>
      </w:r>
    </w:p>
    <w:p w14:paraId="50AAEE6E" w14:textId="54FE84F9" w:rsidR="001F75F1" w:rsidRPr="00654872" w:rsidRDefault="001F75F1" w:rsidP="00D20796">
      <w:pPr>
        <w:spacing w:before="240" w:after="240" w:line="360" w:lineRule="auto"/>
        <w:jc w:val="both"/>
        <w:rPr>
          <w:rFonts w:ascii="Palatino Linotype" w:hAnsi="Palatino Linotype" w:cs="Arial"/>
          <w:lang w:val="es-MX"/>
        </w:rPr>
      </w:pPr>
      <w:r w:rsidRPr="001F75F1">
        <w:rPr>
          <w:rFonts w:ascii="Palatino Linotype" w:hAnsi="Palatino Linotype" w:cs="Arial"/>
          <w:lang w:val="es-MX"/>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1ED9EEF" w14:textId="77777777" w:rsidR="00142847" w:rsidRPr="00142847" w:rsidRDefault="00142847" w:rsidP="00142847">
      <w:pPr>
        <w:spacing w:after="240" w:line="360" w:lineRule="auto"/>
        <w:ind w:right="-150"/>
        <w:jc w:val="both"/>
        <w:rPr>
          <w:lang w:val="es-MX" w:eastAsia="es-MX"/>
        </w:rPr>
      </w:pPr>
      <w:r w:rsidRPr="00142847">
        <w:rPr>
          <w:rFonts w:ascii="Palatino Linotype" w:hAnsi="Palatino Linotype"/>
          <w:b/>
          <w:bCs/>
          <w:color w:val="000000"/>
          <w:lang w:val="es-MX" w:eastAsia="es-MX"/>
        </w:rPr>
        <w:t xml:space="preserve">Tercero. Análisis de las causales de sobreseimiento. </w:t>
      </w:r>
      <w:r w:rsidRPr="00142847">
        <w:rPr>
          <w:rFonts w:ascii="Palatino Linotype" w:hAnsi="Palatino Linotype"/>
          <w:color w:val="000000"/>
          <w:lang w:val="es-MX" w:eastAsia="es-MX"/>
        </w:rPr>
        <w:t xml:space="preserve">Derivado de los documentos enviados por el </w:t>
      </w:r>
      <w:r w:rsidRPr="00142847">
        <w:rPr>
          <w:rFonts w:ascii="Palatino Linotype" w:hAnsi="Palatino Linotype"/>
          <w:b/>
          <w:bCs/>
          <w:color w:val="000000"/>
          <w:lang w:val="es-MX" w:eastAsia="es-MX"/>
        </w:rPr>
        <w:t>Sujeto Obligado</w:t>
      </w:r>
      <w:r w:rsidRPr="00142847">
        <w:rPr>
          <w:rFonts w:ascii="Palatino Linotype" w:hAnsi="Palatino Linotype"/>
          <w:color w:val="000000"/>
          <w:lang w:val="es-MX" w:eastAsia="es-MX"/>
        </w:rPr>
        <w:t xml:space="preserve"> en la etapa correspondiente a las manifestaciones, conviene analizar las causas de sobreseimiento que establece la Ley de Transparencia y Acceso a la Información Pública del Estado de México y Municipios bajo los argumentos siguientes:</w:t>
      </w:r>
    </w:p>
    <w:p w14:paraId="73F70F50" w14:textId="1B1E3C75" w:rsidR="00142847" w:rsidRPr="00142847" w:rsidRDefault="00142847" w:rsidP="00142847">
      <w:pPr>
        <w:spacing w:line="360" w:lineRule="auto"/>
        <w:ind w:right="49"/>
        <w:jc w:val="both"/>
        <w:rPr>
          <w:lang w:val="es-MX" w:eastAsia="es-MX"/>
        </w:rPr>
      </w:pPr>
      <w:r w:rsidRPr="00142847">
        <w:rPr>
          <w:rFonts w:ascii="Palatino Linotype" w:hAnsi="Palatino Linotype"/>
          <w:color w:val="000000"/>
          <w:lang w:val="es-MX" w:eastAsia="es-MX"/>
        </w:rPr>
        <w:t xml:space="preserve">Es importante precisar que, en el asunto que se resuelve, </w:t>
      </w:r>
      <w:r>
        <w:rPr>
          <w:rFonts w:ascii="Palatino Linotype" w:hAnsi="Palatino Linotype"/>
          <w:b/>
          <w:bCs/>
          <w:color w:val="000000"/>
          <w:lang w:val="es-MX" w:eastAsia="es-MX"/>
        </w:rPr>
        <w:t>la</w:t>
      </w:r>
      <w:r w:rsidRPr="00142847">
        <w:rPr>
          <w:rFonts w:ascii="Palatino Linotype" w:hAnsi="Palatino Linotype"/>
          <w:b/>
          <w:bCs/>
          <w:color w:val="000000"/>
          <w:lang w:val="es-MX" w:eastAsia="es-MX"/>
        </w:rPr>
        <w:t xml:space="preserve"> Recurrente </w:t>
      </w:r>
      <w:r w:rsidRPr="00142847">
        <w:rPr>
          <w:rFonts w:ascii="Palatino Linotype" w:hAnsi="Palatino Linotype"/>
          <w:color w:val="000000"/>
          <w:lang w:val="es-MX" w:eastAsia="es-MX"/>
        </w:rPr>
        <w:t xml:space="preserve">solicitó al </w:t>
      </w:r>
      <w:r w:rsidRPr="00142847">
        <w:rPr>
          <w:rFonts w:ascii="Palatino Linotype" w:hAnsi="Palatino Linotype"/>
          <w:b/>
          <w:bCs/>
          <w:color w:val="000000"/>
          <w:lang w:val="es-MX" w:eastAsia="es-MX"/>
        </w:rPr>
        <w:t xml:space="preserve">Sujeto Obligado </w:t>
      </w:r>
      <w:r w:rsidRPr="00142847">
        <w:rPr>
          <w:rFonts w:ascii="Palatino Linotype" w:hAnsi="Palatino Linotype"/>
          <w:color w:val="000000"/>
          <w:lang w:val="es-MX" w:eastAsia="es-MX"/>
        </w:rPr>
        <w:t>la siguiente información: </w:t>
      </w:r>
    </w:p>
    <w:p w14:paraId="49EEFB06" w14:textId="43401CB9" w:rsidR="00142847" w:rsidRPr="00142847" w:rsidRDefault="00142847" w:rsidP="00654872">
      <w:pPr>
        <w:spacing w:before="240" w:after="240" w:line="276" w:lineRule="auto"/>
        <w:ind w:left="426" w:right="900"/>
        <w:jc w:val="both"/>
        <w:rPr>
          <w:rFonts w:ascii="Palatino Linotype" w:hAnsi="Palatino Linotype" w:cs="Arial"/>
          <w:b/>
          <w:i/>
          <w:sz w:val="22"/>
          <w:szCs w:val="22"/>
        </w:rPr>
      </w:pPr>
      <w:r w:rsidRPr="00B21F18">
        <w:rPr>
          <w:rFonts w:ascii="Palatino Linotype" w:hAnsi="Palatino Linotype" w:cs="Arial"/>
          <w:i/>
          <w:sz w:val="22"/>
          <w:szCs w:val="22"/>
          <w:lang w:eastAsia="es-MX"/>
        </w:rPr>
        <w:lastRenderedPageBreak/>
        <w:t>“</w:t>
      </w:r>
      <w:r w:rsidRPr="004C6D7D">
        <w:rPr>
          <w:rFonts w:ascii="Palatino Linotype" w:hAnsi="Palatino Linotype"/>
          <w:i/>
          <w:sz w:val="22"/>
          <w:szCs w:val="22"/>
        </w:rPr>
        <w:t xml:space="preserve">quisiera conocer el </w:t>
      </w:r>
      <w:r w:rsidRPr="004C6D7D">
        <w:rPr>
          <w:rFonts w:ascii="Palatino Linotype" w:hAnsi="Palatino Linotype"/>
          <w:b/>
          <w:i/>
          <w:sz w:val="22"/>
          <w:szCs w:val="22"/>
        </w:rPr>
        <w:t>estatus de los convenios firmados con los distintos municipios por parte de la Procuraduria del Colono, ¿los actualizaran, firmaran nuevos convenios o definitivamente ya no reconocen estos convenios</w:t>
      </w:r>
      <w:r w:rsidRPr="004C6D7D">
        <w:rPr>
          <w:rFonts w:ascii="Palatino Linotype" w:hAnsi="Palatino Linotype"/>
          <w:i/>
          <w:sz w:val="22"/>
          <w:szCs w:val="22"/>
        </w:rPr>
        <w:t>?</w:t>
      </w:r>
      <w:r>
        <w:rPr>
          <w:rFonts w:ascii="Palatino Linotype" w:hAnsi="Palatino Linotype" w:cs="Arial"/>
          <w:i/>
          <w:sz w:val="22"/>
          <w:szCs w:val="22"/>
          <w:lang w:eastAsia="es-MX"/>
        </w:rPr>
        <w:t>” (Sic) (Énfasis añadido)</w:t>
      </w:r>
    </w:p>
    <w:p w14:paraId="54228F4A" w14:textId="0858D4C7" w:rsidR="00806658" w:rsidRPr="00806658" w:rsidRDefault="00D20796" w:rsidP="00D20796">
      <w:pPr>
        <w:tabs>
          <w:tab w:val="left" w:pos="7513"/>
        </w:tabs>
        <w:adjustRightInd w:val="0"/>
        <w:spacing w:after="240" w:line="360" w:lineRule="auto"/>
        <w:ind w:right="49"/>
        <w:contextualSpacing/>
        <w:jc w:val="both"/>
        <w:rPr>
          <w:rFonts w:ascii="Palatino Linotype" w:hAnsi="Palatino Linotype" w:cs="Arial"/>
          <w:b/>
          <w:lang w:val="es-MX"/>
        </w:rPr>
      </w:pPr>
      <w:r w:rsidRPr="003D2EAC">
        <w:rPr>
          <w:rFonts w:ascii="Palatino Linotype" w:hAnsi="Palatino Linotype" w:cs="Arial"/>
          <w:lang w:val="es-MX"/>
        </w:rPr>
        <w:t xml:space="preserve">El </w:t>
      </w:r>
      <w:r w:rsidRPr="003D2EAC">
        <w:rPr>
          <w:rFonts w:ascii="Palatino Linotype" w:hAnsi="Palatino Linotype" w:cs="Arial"/>
          <w:b/>
          <w:lang w:val="es-MX"/>
        </w:rPr>
        <w:t>Sujeto Obligado</w:t>
      </w:r>
      <w:r w:rsidRPr="003D2EAC">
        <w:rPr>
          <w:rFonts w:ascii="Palatino Linotype" w:hAnsi="Palatino Linotype" w:cs="Arial"/>
          <w:lang w:val="es-MX"/>
        </w:rPr>
        <w:t xml:space="preserve"> en respuesta </w:t>
      </w:r>
      <w:r w:rsidR="00806658" w:rsidRPr="00806658">
        <w:rPr>
          <w:rFonts w:ascii="Palatino Linotype" w:hAnsi="Palatino Linotype" w:cs="Arial"/>
          <w:lang w:val="es-MX"/>
        </w:rPr>
        <w:t xml:space="preserve">remitió el archivo electrónico denominado </w:t>
      </w:r>
      <w:r w:rsidR="00806658" w:rsidRPr="00806658">
        <w:rPr>
          <w:rFonts w:ascii="Palatino Linotype" w:hAnsi="Palatino Linotype" w:cs="Arial"/>
          <w:b/>
          <w:i/>
          <w:lang w:val="es-MX"/>
        </w:rPr>
        <w:t>“Respuesta 00017.pdf”</w:t>
      </w:r>
      <w:r w:rsidR="00806658" w:rsidRPr="00806658">
        <w:rPr>
          <w:rFonts w:ascii="Palatino Linotype" w:hAnsi="Palatino Linotype" w:cs="Arial"/>
          <w:lang w:val="es-MX"/>
        </w:rPr>
        <w:t xml:space="preserve">, el cual se aprecia el pronunciamiento del Director General de Protección al Colono sobre la vigencia de los convenios, </w:t>
      </w:r>
      <w:r w:rsidR="00806658" w:rsidRPr="00806658">
        <w:rPr>
          <w:rFonts w:ascii="Palatino Linotype" w:hAnsi="Palatino Linotype" w:cs="Arial"/>
          <w:b/>
          <w:lang w:val="es-MX"/>
        </w:rPr>
        <w:t xml:space="preserve">la cual data al 31 de diciembre de 2021, así como que la Dirección General de Protección al Colono se encuentra realizando diversas gestiones </w:t>
      </w:r>
      <w:r w:rsidR="00806658">
        <w:rPr>
          <w:rFonts w:ascii="Palatino Linotype" w:hAnsi="Palatino Linotype" w:cs="Arial"/>
          <w:b/>
          <w:lang w:val="es-MX"/>
        </w:rPr>
        <w:t xml:space="preserve">a fin de dar cumplimiento a lo previsto por el artículo 13 Bis, fracciones VIII y XIII del Reglamento Interior de la Secretaría de Justicia y Derechos Humanos. </w:t>
      </w:r>
    </w:p>
    <w:p w14:paraId="3271E98A" w14:textId="77777777" w:rsidR="00806658" w:rsidRDefault="00806658" w:rsidP="00B531D4">
      <w:pPr>
        <w:spacing w:line="360" w:lineRule="auto"/>
        <w:ind w:right="49"/>
        <w:contextualSpacing/>
        <w:jc w:val="both"/>
        <w:rPr>
          <w:rFonts w:ascii="Palatino Linotype" w:hAnsi="Palatino Linotype" w:cs="Arial"/>
          <w:szCs w:val="22"/>
          <w:lang w:val="es-MX" w:eastAsia="en-US"/>
        </w:rPr>
      </w:pPr>
    </w:p>
    <w:p w14:paraId="709ED8C0" w14:textId="6134E45F" w:rsidR="00B531D4" w:rsidRPr="00B531D4" w:rsidRDefault="00D20796" w:rsidP="00B531D4">
      <w:pPr>
        <w:spacing w:line="360" w:lineRule="auto"/>
        <w:ind w:right="49"/>
        <w:contextualSpacing/>
        <w:jc w:val="both"/>
        <w:rPr>
          <w:rFonts w:ascii="Palatino Linotype" w:hAnsi="Palatino Linotype" w:cs="Arial"/>
          <w:i/>
          <w:szCs w:val="22"/>
          <w:lang w:eastAsia="en-US"/>
        </w:rPr>
      </w:pPr>
      <w:r w:rsidRPr="00D20796">
        <w:rPr>
          <w:rFonts w:ascii="Palatino Linotype" w:hAnsi="Palatino Linotype" w:cs="Arial"/>
          <w:szCs w:val="22"/>
          <w:lang w:val="es-MX" w:eastAsia="en-US"/>
        </w:rPr>
        <w:t>U</w:t>
      </w:r>
      <w:r w:rsidR="00806658">
        <w:rPr>
          <w:rFonts w:ascii="Palatino Linotype" w:hAnsi="Palatino Linotype" w:cs="Arial"/>
          <w:szCs w:val="22"/>
          <w:lang w:val="es-MX" w:eastAsia="en-US"/>
        </w:rPr>
        <w:t xml:space="preserve">na vez conocida la respuesta, </w:t>
      </w:r>
      <w:r w:rsidR="00806658" w:rsidRPr="00806658">
        <w:rPr>
          <w:rFonts w:ascii="Palatino Linotype" w:hAnsi="Palatino Linotype" w:cs="Arial"/>
          <w:b/>
          <w:szCs w:val="22"/>
          <w:lang w:val="es-MX" w:eastAsia="en-US"/>
        </w:rPr>
        <w:t>la R</w:t>
      </w:r>
      <w:r w:rsidRPr="00806658">
        <w:rPr>
          <w:rFonts w:ascii="Palatino Linotype" w:hAnsi="Palatino Linotype" w:cs="Arial"/>
          <w:b/>
          <w:szCs w:val="22"/>
          <w:lang w:val="es-MX" w:eastAsia="en-US"/>
        </w:rPr>
        <w:t>ecurrente</w:t>
      </w:r>
      <w:r w:rsidRPr="00D20796">
        <w:rPr>
          <w:rFonts w:ascii="Palatino Linotype" w:hAnsi="Palatino Linotype" w:cs="Arial"/>
          <w:szCs w:val="22"/>
          <w:lang w:val="es-MX" w:eastAsia="en-US"/>
        </w:rPr>
        <w:t xml:space="preserve"> interpuso el medio de impugnación que nos ocupa, </w:t>
      </w:r>
      <w:r w:rsidR="00806658">
        <w:rPr>
          <w:rFonts w:ascii="Palatino Linotype" w:hAnsi="Palatino Linotype" w:cs="Arial"/>
          <w:szCs w:val="22"/>
          <w:lang w:val="es-MX" w:eastAsia="en-US"/>
        </w:rPr>
        <w:t xml:space="preserve">inconformándose medularmente por la entrega de información incompleta. </w:t>
      </w:r>
    </w:p>
    <w:p w14:paraId="03EE8C4B" w14:textId="2A532DA9" w:rsidR="00B531D4" w:rsidRDefault="00B531D4" w:rsidP="00D20796">
      <w:pPr>
        <w:spacing w:line="360" w:lineRule="auto"/>
        <w:ind w:right="49"/>
        <w:contextualSpacing/>
        <w:jc w:val="both"/>
        <w:rPr>
          <w:rFonts w:ascii="Palatino Linotype" w:hAnsi="Palatino Linotype" w:cs="Arial"/>
          <w:szCs w:val="22"/>
          <w:lang w:val="es-MX" w:eastAsia="en-US"/>
        </w:rPr>
      </w:pPr>
    </w:p>
    <w:p w14:paraId="34EB6C9A" w14:textId="599BC6A9" w:rsidR="0083558A" w:rsidRDefault="00D64AD5" w:rsidP="00D64AD5">
      <w:pPr>
        <w:spacing w:line="360" w:lineRule="auto"/>
        <w:ind w:right="49"/>
        <w:contextualSpacing/>
        <w:jc w:val="both"/>
        <w:rPr>
          <w:rFonts w:ascii="Palatino Linotype" w:eastAsia="Calibri" w:hAnsi="Palatino Linotype" w:cs="Arial"/>
          <w:b/>
          <w:lang w:val="es-MX" w:eastAsia="en-US"/>
        </w:rPr>
      </w:pPr>
      <w:r>
        <w:rPr>
          <w:rFonts w:ascii="Palatino Linotype" w:hAnsi="Palatino Linotype" w:cs="Arial"/>
          <w:szCs w:val="22"/>
          <w:lang w:val="es-MX" w:eastAsia="en-US"/>
        </w:rPr>
        <w:t>En este orden de ideas</w:t>
      </w:r>
      <w:r w:rsidR="00B531D4">
        <w:rPr>
          <w:rFonts w:ascii="Palatino Linotype" w:hAnsi="Palatino Linotype" w:cs="Arial"/>
          <w:szCs w:val="22"/>
          <w:lang w:val="es-MX" w:eastAsia="en-US"/>
        </w:rPr>
        <w:t xml:space="preserve">, </w:t>
      </w:r>
      <w:r>
        <w:rPr>
          <w:rFonts w:ascii="Palatino Linotype" w:hAnsi="Palatino Linotype" w:cs="Arial"/>
          <w:szCs w:val="22"/>
          <w:lang w:val="es-MX" w:eastAsia="en-US"/>
        </w:rPr>
        <w:t xml:space="preserve">se tiene que derivado de la interposición del recurso de revisión, el </w:t>
      </w:r>
      <w:r w:rsidRPr="00D64AD5">
        <w:rPr>
          <w:rFonts w:ascii="Palatino Linotype" w:hAnsi="Palatino Linotype" w:cs="Arial"/>
          <w:b/>
          <w:szCs w:val="22"/>
          <w:lang w:val="es-MX" w:eastAsia="en-US"/>
        </w:rPr>
        <w:t>Sujeto Obligado</w:t>
      </w:r>
      <w:r w:rsidR="00B531D4">
        <w:rPr>
          <w:rFonts w:ascii="Palatino Linotype" w:hAnsi="Palatino Linotype" w:cs="Arial"/>
          <w:szCs w:val="22"/>
          <w:lang w:val="es-MX" w:eastAsia="en-US"/>
        </w:rPr>
        <w:t xml:space="preserve"> </w:t>
      </w:r>
      <w:r>
        <w:rPr>
          <w:rFonts w:ascii="Palatino Linotype" w:hAnsi="Palatino Linotype" w:cs="Arial"/>
          <w:szCs w:val="22"/>
          <w:lang w:val="es-MX" w:eastAsia="en-US"/>
        </w:rPr>
        <w:t>remitió mediante informe justificado el</w:t>
      </w:r>
      <w:r w:rsidR="00D20796" w:rsidRPr="00D20796">
        <w:rPr>
          <w:rFonts w:ascii="Palatino Linotype" w:hAnsi="Palatino Linotype" w:cs="Arial"/>
          <w:szCs w:val="22"/>
          <w:lang w:val="es-MX" w:eastAsia="en-US"/>
        </w:rPr>
        <w:t xml:space="preserve"> </w:t>
      </w:r>
      <w:r>
        <w:rPr>
          <w:rFonts w:ascii="Palatino Linotype" w:eastAsia="Calibri" w:hAnsi="Palatino Linotype" w:cs="Arial"/>
          <w:lang w:val="es-MX" w:eastAsia="en-US"/>
        </w:rPr>
        <w:t>archivo electrónico</w:t>
      </w:r>
      <w:r w:rsidRPr="00D64AD5">
        <w:rPr>
          <w:rFonts w:ascii="Palatino Linotype" w:eastAsia="Calibri" w:hAnsi="Palatino Linotype" w:cs="Arial"/>
          <w:lang w:val="es-MX" w:eastAsia="en-US"/>
        </w:rPr>
        <w:t xml:space="preserve"> </w:t>
      </w:r>
      <w:r w:rsidRPr="00D64AD5">
        <w:rPr>
          <w:rFonts w:ascii="Palatino Linotype" w:eastAsia="Calibri" w:hAnsi="Palatino Linotype" w:cs="Arial"/>
          <w:b/>
          <w:i/>
          <w:lang w:val="es-MX" w:eastAsia="en-US"/>
        </w:rPr>
        <w:t>“Informe justificado 01954.pdf”</w:t>
      </w:r>
      <w:r w:rsidRPr="00D64AD5">
        <w:rPr>
          <w:rFonts w:ascii="Palatino Linotype" w:eastAsia="Calibri" w:hAnsi="Palatino Linotype" w:cs="Arial"/>
          <w:lang w:val="es-MX" w:eastAsia="en-US"/>
        </w:rPr>
        <w:t xml:space="preserve">, el cual se compone de tres fojas y en él se vislumbra que </w:t>
      </w:r>
      <w:r w:rsidRPr="00D64AD5">
        <w:rPr>
          <w:rFonts w:ascii="Palatino Linotype" w:eastAsia="Calibri" w:hAnsi="Palatino Linotype" w:cs="Arial"/>
          <w:b/>
          <w:lang w:val="es-MX" w:eastAsia="en-US"/>
        </w:rPr>
        <w:t>ratifica su pronunciamiento respecto de la vigencia de los convenios</w:t>
      </w:r>
      <w:r w:rsidRPr="00D64AD5">
        <w:rPr>
          <w:rFonts w:ascii="Palatino Linotype" w:eastAsia="Calibri" w:hAnsi="Palatino Linotype" w:cs="Arial"/>
          <w:lang w:val="es-MX" w:eastAsia="en-US"/>
        </w:rPr>
        <w:t xml:space="preserve">, sin embargo, </w:t>
      </w:r>
      <w:r w:rsidRPr="00D64AD5">
        <w:rPr>
          <w:rFonts w:ascii="Palatino Linotype" w:eastAsia="Calibri" w:hAnsi="Palatino Linotype" w:cs="Arial"/>
          <w:b/>
          <w:lang w:val="es-MX" w:eastAsia="en-US"/>
        </w:rPr>
        <w:t>amplia la respuesta vertida inicialmente y manifiesta que se están realizando acciones para la firma de convenios de coordinación con las autoridades de distintos municipios, teniendo en cuenta que los convenios serán suscritos cuando exista voluntad de las partes.</w:t>
      </w:r>
    </w:p>
    <w:p w14:paraId="4AF59918" w14:textId="77777777" w:rsidR="00D64AD5" w:rsidRDefault="00D64AD5" w:rsidP="00D64AD5">
      <w:pPr>
        <w:spacing w:line="360" w:lineRule="auto"/>
        <w:ind w:right="49"/>
        <w:contextualSpacing/>
        <w:jc w:val="both"/>
        <w:rPr>
          <w:rFonts w:ascii="Palatino Linotype" w:eastAsia="Calibri" w:hAnsi="Palatino Linotype" w:cs="Arial"/>
          <w:b/>
          <w:lang w:val="es-MX" w:eastAsia="en-US"/>
        </w:rPr>
      </w:pPr>
    </w:p>
    <w:p w14:paraId="7170C082" w14:textId="4AE39068" w:rsidR="00806658" w:rsidRPr="006B6C5C" w:rsidRDefault="00654872" w:rsidP="006B6C5C">
      <w:pPr>
        <w:spacing w:line="360" w:lineRule="auto"/>
        <w:ind w:right="49"/>
        <w:contextualSpacing/>
        <w:jc w:val="center"/>
        <w:rPr>
          <w:rFonts w:ascii="Palatino Linotype" w:eastAsia="Calibri" w:hAnsi="Palatino Linotype" w:cs="Arial"/>
          <w:b/>
          <w:lang w:val="es-MX" w:eastAsia="en-US"/>
        </w:rPr>
      </w:pPr>
      <w:r>
        <w:rPr>
          <w:rFonts w:ascii="Palatino Linotype" w:eastAsia="Calibri" w:hAnsi="Palatino Linotype" w:cs="Arial"/>
          <w:b/>
          <w:noProof/>
          <w:lang w:val="es-MX" w:eastAsia="es-MX"/>
        </w:rPr>
        <w:lastRenderedPageBreak/>
        <w:drawing>
          <wp:inline distT="0" distB="0" distL="0" distR="0" wp14:anchorId="0A7C05E4" wp14:editId="349CD512">
            <wp:extent cx="4552950" cy="166751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70431" r="1090"/>
                    <a:stretch/>
                  </pic:blipFill>
                  <pic:spPr bwMode="auto">
                    <a:xfrm>
                      <a:off x="0" y="0"/>
                      <a:ext cx="4552950" cy="1667510"/>
                    </a:xfrm>
                    <a:prstGeom prst="rect">
                      <a:avLst/>
                    </a:prstGeom>
                    <a:noFill/>
                    <a:ln>
                      <a:noFill/>
                    </a:ln>
                    <a:extLst>
                      <a:ext uri="{53640926-AAD7-44D8-BBD7-CCE9431645EC}">
                        <a14:shadowObscured xmlns:a14="http://schemas.microsoft.com/office/drawing/2010/main"/>
                      </a:ext>
                    </a:extLst>
                  </pic:spPr>
                </pic:pic>
              </a:graphicData>
            </a:graphic>
          </wp:inline>
        </w:drawing>
      </w:r>
    </w:p>
    <w:p w14:paraId="3C5586B7" w14:textId="3227CF07" w:rsidR="001777F9" w:rsidRDefault="00654872" w:rsidP="00654872">
      <w:pPr>
        <w:spacing w:line="360" w:lineRule="auto"/>
        <w:jc w:val="both"/>
        <w:rPr>
          <w:rFonts w:ascii="Palatino Linotype" w:hAnsi="Palatino Linotype"/>
          <w:color w:val="222222"/>
          <w:lang w:eastAsia="es-MX"/>
        </w:rPr>
      </w:pPr>
      <w:r>
        <w:rPr>
          <w:rFonts w:ascii="Palatino Linotype" w:hAnsi="Palatino Linotype"/>
          <w:color w:val="222222"/>
          <w:lang w:eastAsia="es-MX"/>
        </w:rPr>
        <w:t xml:space="preserve">Expuesto lo anterior, resulta pertinente iniciar mencionando que si bien es cierto, </w:t>
      </w:r>
      <w:r w:rsidRPr="00654872">
        <w:rPr>
          <w:rFonts w:ascii="Palatino Linotype" w:hAnsi="Palatino Linotype"/>
          <w:b/>
          <w:color w:val="222222"/>
          <w:lang w:eastAsia="es-MX"/>
        </w:rPr>
        <w:t>la Recurrente</w:t>
      </w:r>
      <w:r w:rsidRPr="00654872">
        <w:rPr>
          <w:rFonts w:ascii="Palatino Linotype" w:hAnsi="Palatino Linotype"/>
          <w:color w:val="222222"/>
          <w:lang w:eastAsia="es-MX"/>
        </w:rPr>
        <w:t xml:space="preserve"> solicitó</w:t>
      </w:r>
      <w:r>
        <w:rPr>
          <w:rFonts w:ascii="Palatino Linotype" w:hAnsi="Palatino Linotype"/>
          <w:b/>
          <w:color w:val="222222"/>
          <w:lang w:eastAsia="es-MX"/>
        </w:rPr>
        <w:t xml:space="preserve"> </w:t>
      </w:r>
      <w:r w:rsidRPr="00654872">
        <w:rPr>
          <w:rFonts w:ascii="Palatino Linotype" w:hAnsi="Palatino Linotype"/>
          <w:color w:val="222222"/>
          <w:lang w:eastAsia="es-MX"/>
        </w:rPr>
        <w:t xml:space="preserve">información </w:t>
      </w:r>
      <w:r>
        <w:rPr>
          <w:rFonts w:ascii="Palatino Linotype" w:hAnsi="Palatino Linotype"/>
          <w:color w:val="222222"/>
          <w:lang w:eastAsia="es-MX"/>
        </w:rPr>
        <w:t xml:space="preserve">de la Procuraduría del Colono, no menos cierto es que </w:t>
      </w:r>
      <w:r w:rsidR="00243426">
        <w:rPr>
          <w:rFonts w:ascii="Palatino Linotype" w:hAnsi="Palatino Linotype"/>
          <w:color w:val="222222"/>
          <w:lang w:eastAsia="es-MX"/>
        </w:rPr>
        <w:t xml:space="preserve">a la fecha de la solicitud, </w:t>
      </w:r>
      <w:r>
        <w:rPr>
          <w:rFonts w:ascii="Palatino Linotype" w:hAnsi="Palatino Linotype"/>
          <w:color w:val="222222"/>
          <w:lang w:eastAsia="es-MX"/>
        </w:rPr>
        <w:t xml:space="preserve">estas atribuciones las ejerce la Secretaría de Justicia y Derechos Humanos, </w:t>
      </w:r>
      <w:r w:rsidR="00243426">
        <w:rPr>
          <w:rFonts w:ascii="Palatino Linotype" w:hAnsi="Palatino Linotype"/>
          <w:color w:val="222222"/>
          <w:lang w:eastAsia="es-MX"/>
        </w:rPr>
        <w:t xml:space="preserve">lo anterior encuentra sustento en </w:t>
      </w:r>
      <w:r>
        <w:rPr>
          <w:rFonts w:ascii="Palatino Linotype" w:hAnsi="Palatino Linotype"/>
          <w:color w:val="222222"/>
          <w:lang w:eastAsia="es-MX"/>
        </w:rPr>
        <w:t xml:space="preserve">el </w:t>
      </w:r>
      <w:r w:rsidR="00243426">
        <w:rPr>
          <w:rFonts w:ascii="Palatino Linotype" w:hAnsi="Palatino Linotype"/>
          <w:b/>
          <w:color w:val="222222"/>
          <w:lang w:eastAsia="es-MX"/>
        </w:rPr>
        <w:t>Decreto d</w:t>
      </w:r>
      <w:r w:rsidR="00243426" w:rsidRPr="00243426">
        <w:rPr>
          <w:rFonts w:ascii="Palatino Linotype" w:hAnsi="Palatino Linotype"/>
          <w:b/>
          <w:color w:val="222222"/>
          <w:lang w:eastAsia="es-MX"/>
        </w:rPr>
        <w:t>el Ej</w:t>
      </w:r>
      <w:r w:rsidR="00243426">
        <w:rPr>
          <w:rFonts w:ascii="Palatino Linotype" w:hAnsi="Palatino Linotype"/>
          <w:b/>
          <w:color w:val="222222"/>
          <w:lang w:eastAsia="es-MX"/>
        </w:rPr>
        <w:t>ecutivo del Estado que abroga el Diverso por el que se crea l</w:t>
      </w:r>
      <w:r w:rsidR="00243426" w:rsidRPr="00243426">
        <w:rPr>
          <w:rFonts w:ascii="Palatino Linotype" w:hAnsi="Palatino Linotype"/>
          <w:b/>
          <w:color w:val="222222"/>
          <w:lang w:eastAsia="es-MX"/>
        </w:rPr>
        <w:t>a Proc</w:t>
      </w:r>
      <w:r w:rsidR="00243426">
        <w:rPr>
          <w:rFonts w:ascii="Palatino Linotype" w:hAnsi="Palatino Linotype"/>
          <w:b/>
          <w:color w:val="222222"/>
          <w:lang w:eastAsia="es-MX"/>
        </w:rPr>
        <w:t>uraduría del Colono del Estado de México, publicado en e</w:t>
      </w:r>
      <w:r w:rsidR="00243426" w:rsidRPr="00243426">
        <w:rPr>
          <w:rFonts w:ascii="Palatino Linotype" w:hAnsi="Palatino Linotype"/>
          <w:b/>
          <w:color w:val="222222"/>
          <w:lang w:eastAsia="es-MX"/>
        </w:rPr>
        <w:t>l Periódico Ofici</w:t>
      </w:r>
      <w:r w:rsidR="00243426">
        <w:rPr>
          <w:rFonts w:ascii="Palatino Linotype" w:hAnsi="Palatino Linotype"/>
          <w:b/>
          <w:color w:val="222222"/>
          <w:lang w:eastAsia="es-MX"/>
        </w:rPr>
        <w:t>al “Gaceta del Gobierno” el 21 de Agosto d</w:t>
      </w:r>
      <w:r w:rsidR="00243426" w:rsidRPr="00243426">
        <w:rPr>
          <w:rFonts w:ascii="Palatino Linotype" w:hAnsi="Palatino Linotype"/>
          <w:b/>
          <w:color w:val="222222"/>
          <w:lang w:eastAsia="es-MX"/>
        </w:rPr>
        <w:t>e 2020</w:t>
      </w:r>
      <w:r w:rsidR="00243426">
        <w:rPr>
          <w:rStyle w:val="Refdenotaalpie"/>
          <w:rFonts w:ascii="Palatino Linotype" w:hAnsi="Palatino Linotype"/>
          <w:b/>
          <w:color w:val="222222"/>
          <w:lang w:eastAsia="es-MX"/>
        </w:rPr>
        <w:footnoteReference w:id="1"/>
      </w:r>
      <w:r w:rsidR="00243426">
        <w:rPr>
          <w:rFonts w:ascii="Palatino Linotype" w:hAnsi="Palatino Linotype"/>
          <w:color w:val="222222"/>
          <w:lang w:eastAsia="es-MX"/>
        </w:rPr>
        <w:t xml:space="preserve">, publicado en el Periódico Oficial “Gaceta de Gobierno”, </w:t>
      </w:r>
      <w:r w:rsidR="00243426" w:rsidRPr="00243426">
        <w:rPr>
          <w:rFonts w:ascii="Palatino Linotype" w:hAnsi="Palatino Linotype"/>
          <w:color w:val="222222"/>
          <w:lang w:eastAsia="es-MX"/>
        </w:rPr>
        <w:t>el 4 de febrero de 2021</w:t>
      </w:r>
      <w:r w:rsidR="00243426">
        <w:rPr>
          <w:rFonts w:ascii="Palatino Linotype" w:hAnsi="Palatino Linotype"/>
          <w:color w:val="222222"/>
          <w:lang w:eastAsia="es-MX"/>
        </w:rPr>
        <w:t xml:space="preserve">, del cual se advierte lo siguiente: </w:t>
      </w:r>
    </w:p>
    <w:p w14:paraId="28D972DC" w14:textId="77777777" w:rsidR="00243426" w:rsidRDefault="00243426" w:rsidP="00654872">
      <w:pPr>
        <w:spacing w:line="360" w:lineRule="auto"/>
        <w:jc w:val="both"/>
        <w:rPr>
          <w:rFonts w:ascii="Palatino Linotype" w:hAnsi="Palatino Linotype"/>
          <w:color w:val="222222"/>
          <w:lang w:eastAsia="es-MX"/>
        </w:rPr>
      </w:pPr>
    </w:p>
    <w:p w14:paraId="51572802" w14:textId="2710C814" w:rsidR="00243426" w:rsidRPr="00243426" w:rsidRDefault="00243426" w:rsidP="00243426">
      <w:pPr>
        <w:spacing w:line="276" w:lineRule="auto"/>
        <w:ind w:left="567" w:right="851"/>
        <w:jc w:val="both"/>
        <w:rPr>
          <w:rFonts w:ascii="Palatino Linotype" w:hAnsi="Palatino Linotype"/>
          <w:i/>
          <w:color w:val="222222"/>
          <w:sz w:val="22"/>
          <w:lang w:eastAsia="es-MX"/>
        </w:rPr>
      </w:pPr>
      <w:r w:rsidRPr="00243426">
        <w:rPr>
          <w:rFonts w:ascii="Palatino Linotype" w:hAnsi="Palatino Linotype"/>
          <w:i/>
          <w:color w:val="222222"/>
          <w:sz w:val="22"/>
          <w:lang w:eastAsia="es-MX"/>
        </w:rPr>
        <w:t>“</w:t>
      </w:r>
      <w:r w:rsidRPr="00243426">
        <w:rPr>
          <w:rFonts w:ascii="Palatino Linotype" w:hAnsi="Palatino Linotype"/>
          <w:b/>
          <w:i/>
          <w:color w:val="222222"/>
          <w:sz w:val="22"/>
          <w:lang w:eastAsia="es-MX"/>
        </w:rPr>
        <w:t>ARTÍCULO ÚNICO.</w:t>
      </w:r>
      <w:r w:rsidRPr="00243426">
        <w:rPr>
          <w:rFonts w:ascii="Palatino Linotype" w:hAnsi="Palatino Linotype"/>
          <w:i/>
          <w:color w:val="222222"/>
          <w:sz w:val="22"/>
          <w:lang w:eastAsia="es-MX"/>
        </w:rPr>
        <w:t xml:space="preserve"> </w:t>
      </w:r>
      <w:r w:rsidRPr="00243426">
        <w:rPr>
          <w:rFonts w:ascii="Palatino Linotype" w:hAnsi="Palatino Linotype"/>
          <w:b/>
          <w:i/>
          <w:color w:val="222222"/>
          <w:sz w:val="22"/>
          <w:u w:val="single"/>
          <w:lang w:eastAsia="es-MX"/>
        </w:rPr>
        <w:t>Se abroga el Decreto del Ejecutivo del Estado por el que se crea la Procuraduría del Colono del Estado de México, publicado en el Periódico Oficial “Gaceta del Gobierno” el 21 agosto de 2020</w:t>
      </w:r>
      <w:r w:rsidRPr="00243426">
        <w:rPr>
          <w:rFonts w:ascii="Palatino Linotype" w:hAnsi="Palatino Linotype"/>
          <w:i/>
          <w:color w:val="222222"/>
          <w:sz w:val="22"/>
          <w:lang w:eastAsia="es-MX"/>
        </w:rPr>
        <w:t>.</w:t>
      </w:r>
    </w:p>
    <w:p w14:paraId="17A6A594" w14:textId="77777777" w:rsidR="00243426" w:rsidRPr="00243426" w:rsidRDefault="00243426" w:rsidP="00243426">
      <w:pPr>
        <w:spacing w:line="276" w:lineRule="auto"/>
        <w:ind w:left="567" w:right="851"/>
        <w:jc w:val="center"/>
        <w:rPr>
          <w:rFonts w:ascii="Palatino Linotype" w:hAnsi="Palatino Linotype"/>
          <w:i/>
          <w:color w:val="222222"/>
          <w:sz w:val="22"/>
          <w:lang w:eastAsia="es-MX"/>
        </w:rPr>
      </w:pPr>
      <w:r w:rsidRPr="00243426">
        <w:rPr>
          <w:rFonts w:ascii="Palatino Linotype" w:hAnsi="Palatino Linotype"/>
          <w:i/>
          <w:color w:val="222222"/>
          <w:sz w:val="22"/>
          <w:lang w:eastAsia="es-MX"/>
        </w:rPr>
        <w:t>TRANSITORIOS</w:t>
      </w:r>
    </w:p>
    <w:p w14:paraId="6F2AD1DD" w14:textId="77777777" w:rsidR="00243426" w:rsidRPr="00243426" w:rsidRDefault="00243426" w:rsidP="00243426">
      <w:pPr>
        <w:spacing w:line="276" w:lineRule="auto"/>
        <w:ind w:left="567" w:right="851"/>
        <w:jc w:val="both"/>
        <w:rPr>
          <w:rFonts w:ascii="Palatino Linotype" w:hAnsi="Palatino Linotype"/>
          <w:i/>
          <w:color w:val="222222"/>
          <w:sz w:val="22"/>
          <w:lang w:eastAsia="es-MX"/>
        </w:rPr>
      </w:pPr>
      <w:r w:rsidRPr="00243426">
        <w:rPr>
          <w:rFonts w:ascii="Palatino Linotype" w:hAnsi="Palatino Linotype"/>
          <w:i/>
          <w:color w:val="222222"/>
          <w:sz w:val="22"/>
          <w:lang w:eastAsia="es-MX"/>
        </w:rPr>
        <w:t>PRIMERO. Publíquese el presente Decreto en el Periódico Oficial “Gaceta del Gobierno”.</w:t>
      </w:r>
    </w:p>
    <w:p w14:paraId="268D542D" w14:textId="3F876109" w:rsidR="00243426" w:rsidRPr="00243426" w:rsidRDefault="00243426" w:rsidP="00243426">
      <w:pPr>
        <w:spacing w:line="276" w:lineRule="auto"/>
        <w:ind w:left="567" w:right="851"/>
        <w:jc w:val="both"/>
        <w:rPr>
          <w:rFonts w:ascii="Palatino Linotype" w:hAnsi="Palatino Linotype"/>
          <w:i/>
          <w:color w:val="222222"/>
          <w:sz w:val="22"/>
          <w:lang w:eastAsia="es-MX"/>
        </w:rPr>
      </w:pPr>
      <w:r w:rsidRPr="00243426">
        <w:rPr>
          <w:rFonts w:ascii="Palatino Linotype" w:hAnsi="Palatino Linotype"/>
          <w:i/>
          <w:color w:val="222222"/>
          <w:sz w:val="22"/>
          <w:lang w:eastAsia="es-MX"/>
        </w:rPr>
        <w:t>SEGUNDO. El presente Decreto entrará en vigor el día de su publicación en el Periódico Oficial “Gaceta del Gobierno”.</w:t>
      </w:r>
    </w:p>
    <w:p w14:paraId="20C31A5D" w14:textId="2A0E5749" w:rsidR="00243426" w:rsidRPr="00243426" w:rsidRDefault="00243426" w:rsidP="00243426">
      <w:pPr>
        <w:spacing w:line="276" w:lineRule="auto"/>
        <w:ind w:left="567" w:right="851"/>
        <w:jc w:val="both"/>
        <w:rPr>
          <w:rFonts w:ascii="Palatino Linotype" w:hAnsi="Palatino Linotype"/>
          <w:b/>
          <w:i/>
          <w:color w:val="222222"/>
          <w:sz w:val="22"/>
          <w:lang w:eastAsia="es-MX"/>
        </w:rPr>
      </w:pPr>
      <w:r w:rsidRPr="00243426">
        <w:rPr>
          <w:rFonts w:ascii="Palatino Linotype" w:hAnsi="Palatino Linotype"/>
          <w:b/>
          <w:i/>
          <w:color w:val="222222"/>
          <w:sz w:val="22"/>
          <w:lang w:eastAsia="es-MX"/>
        </w:rPr>
        <w:t>TERCERO. Los recursos materiales, financieros y humanos de la Procuraduría del Colono del Estado de México se transferirán a la Secretaría de Justicia y Derechos Humanos a la entrada en vigor de este Decreto.</w:t>
      </w:r>
    </w:p>
    <w:p w14:paraId="134306E6" w14:textId="3479A329" w:rsidR="00243426" w:rsidRPr="00243426" w:rsidRDefault="00243426" w:rsidP="00243426">
      <w:pPr>
        <w:spacing w:line="276" w:lineRule="auto"/>
        <w:ind w:left="567" w:right="851"/>
        <w:jc w:val="both"/>
        <w:rPr>
          <w:rFonts w:ascii="Palatino Linotype" w:hAnsi="Palatino Linotype"/>
          <w:i/>
          <w:color w:val="222222"/>
          <w:sz w:val="22"/>
          <w:lang w:eastAsia="es-MX"/>
        </w:rPr>
      </w:pPr>
      <w:r w:rsidRPr="00243426">
        <w:rPr>
          <w:rFonts w:ascii="Palatino Linotype" w:hAnsi="Palatino Linotype"/>
          <w:i/>
          <w:color w:val="222222"/>
          <w:sz w:val="22"/>
          <w:lang w:eastAsia="es-MX"/>
        </w:rPr>
        <w:lastRenderedPageBreak/>
        <w:t>Se respetarán los derechos laborales de las personas servidoras públicas adscritas a la Procuraduría del Colono del Estado de México de conformidad con las disposiciones jurídicas aplicables.</w:t>
      </w:r>
    </w:p>
    <w:p w14:paraId="14327075" w14:textId="0079AA29" w:rsidR="00243426" w:rsidRPr="00243426" w:rsidRDefault="00243426" w:rsidP="00243426">
      <w:pPr>
        <w:spacing w:line="276" w:lineRule="auto"/>
        <w:ind w:left="567" w:right="851"/>
        <w:jc w:val="both"/>
        <w:rPr>
          <w:rFonts w:ascii="Palatino Linotype" w:hAnsi="Palatino Linotype"/>
          <w:b/>
          <w:i/>
          <w:color w:val="222222"/>
          <w:sz w:val="22"/>
          <w:lang w:eastAsia="es-MX"/>
        </w:rPr>
      </w:pPr>
      <w:r w:rsidRPr="00243426">
        <w:rPr>
          <w:rFonts w:ascii="Palatino Linotype" w:hAnsi="Palatino Linotype"/>
          <w:b/>
          <w:i/>
          <w:color w:val="222222"/>
          <w:sz w:val="22"/>
          <w:lang w:eastAsia="es-MX"/>
        </w:rPr>
        <w:t>CUARTO. Los asuntos, actos, procedimientos, programas o proyectos que se encuentren en trámite o curso serán atendidos por la Secretaría de Justicia y Derechos Humanos, a través de la unidad administrativa que determine su</w:t>
      </w:r>
    </w:p>
    <w:p w14:paraId="6DC5A708" w14:textId="662A9A5C" w:rsidR="00243426" w:rsidRPr="00243426" w:rsidRDefault="00243426" w:rsidP="00243426">
      <w:pPr>
        <w:spacing w:line="276" w:lineRule="auto"/>
        <w:ind w:left="567" w:right="851"/>
        <w:jc w:val="both"/>
        <w:rPr>
          <w:rFonts w:ascii="Palatino Linotype" w:hAnsi="Palatino Linotype"/>
          <w:b/>
          <w:i/>
          <w:color w:val="222222"/>
          <w:sz w:val="22"/>
          <w:lang w:eastAsia="es-MX"/>
        </w:rPr>
      </w:pPr>
      <w:r w:rsidRPr="00243426">
        <w:rPr>
          <w:rFonts w:ascii="Palatino Linotype" w:hAnsi="Palatino Linotype"/>
          <w:b/>
          <w:i/>
          <w:color w:val="222222"/>
          <w:sz w:val="22"/>
          <w:lang w:eastAsia="es-MX"/>
        </w:rPr>
        <w:t xml:space="preserve">Titular. </w:t>
      </w:r>
    </w:p>
    <w:p w14:paraId="2F4F96AF" w14:textId="77777777" w:rsidR="00243426" w:rsidRDefault="00243426" w:rsidP="00243426">
      <w:pPr>
        <w:spacing w:line="276" w:lineRule="auto"/>
        <w:ind w:left="567" w:right="851"/>
        <w:jc w:val="both"/>
        <w:rPr>
          <w:rFonts w:ascii="Palatino Linotype" w:hAnsi="Palatino Linotype"/>
          <w:i/>
          <w:color w:val="222222"/>
          <w:sz w:val="22"/>
          <w:lang w:eastAsia="es-MX"/>
        </w:rPr>
      </w:pPr>
      <w:r w:rsidRPr="00243426">
        <w:rPr>
          <w:rFonts w:ascii="Palatino Linotype" w:hAnsi="Palatino Linotype"/>
          <w:i/>
          <w:color w:val="222222"/>
          <w:sz w:val="22"/>
          <w:lang w:eastAsia="es-MX"/>
        </w:rPr>
        <w:t xml:space="preserve">Las atribuciones en materia de asistencia, asesoría y solución pacífica de conflictos en materia condominal del Gobierno del Estado, en tanto se realizan las modificaciones reglamentarias y administrativas correspondientes, serán atendidas por la Secretaría de Justicia y Derechos Humanos, a través de la unidad administrativa que determine su titular. </w:t>
      </w:r>
    </w:p>
    <w:p w14:paraId="50C6FD77" w14:textId="1B548F05" w:rsidR="00243426" w:rsidRPr="00243426" w:rsidRDefault="00243426" w:rsidP="00243426">
      <w:pPr>
        <w:spacing w:line="276" w:lineRule="auto"/>
        <w:ind w:left="567" w:right="851"/>
        <w:jc w:val="both"/>
        <w:rPr>
          <w:rFonts w:ascii="Palatino Linotype" w:hAnsi="Palatino Linotype"/>
          <w:b/>
          <w:i/>
          <w:color w:val="222222"/>
          <w:sz w:val="22"/>
          <w:lang w:eastAsia="es-MX"/>
        </w:rPr>
      </w:pPr>
      <w:r w:rsidRPr="00243426">
        <w:rPr>
          <w:rFonts w:ascii="Palatino Linotype" w:hAnsi="Palatino Linotype"/>
          <w:b/>
          <w:i/>
          <w:color w:val="222222"/>
          <w:sz w:val="22"/>
          <w:lang w:eastAsia="es-MX"/>
        </w:rPr>
        <w:t xml:space="preserve">QUINTO. </w:t>
      </w:r>
      <w:r w:rsidRPr="00243426">
        <w:rPr>
          <w:rFonts w:ascii="Palatino Linotype" w:hAnsi="Palatino Linotype"/>
          <w:b/>
          <w:i/>
          <w:color w:val="222222"/>
          <w:sz w:val="22"/>
          <w:u w:val="single"/>
          <w:lang w:eastAsia="es-MX"/>
        </w:rPr>
        <w:t>Los convenios, contratos y acuerdos suscritos con antelación a la entrada en vigor del presente Decreto por la Procuraduría del Colono del Estado de México, seguirán teniendo vigencia en los términos acordados y en lo sucesivo, constituirán parte de los derechos y obligaciones de la Secretaría de Justicia y Derechos Humanos</w:t>
      </w:r>
      <w:r w:rsidRPr="00243426">
        <w:rPr>
          <w:rFonts w:ascii="Palatino Linotype" w:hAnsi="Palatino Linotype"/>
          <w:b/>
          <w:i/>
          <w:color w:val="222222"/>
          <w:sz w:val="22"/>
          <w:lang w:eastAsia="es-MX"/>
        </w:rPr>
        <w:t xml:space="preserve">. </w:t>
      </w:r>
    </w:p>
    <w:p w14:paraId="49D86F6C" w14:textId="56F13C9C" w:rsidR="00243426" w:rsidRDefault="00243426" w:rsidP="00243426">
      <w:pPr>
        <w:spacing w:line="276" w:lineRule="auto"/>
        <w:ind w:left="567" w:right="851"/>
        <w:jc w:val="both"/>
        <w:rPr>
          <w:rFonts w:ascii="Palatino Linotype" w:hAnsi="Palatino Linotype"/>
          <w:i/>
          <w:color w:val="222222"/>
          <w:sz w:val="22"/>
          <w:lang w:eastAsia="es-MX"/>
        </w:rPr>
      </w:pPr>
      <w:r w:rsidRPr="00243426">
        <w:rPr>
          <w:rFonts w:ascii="Palatino Linotype" w:hAnsi="Palatino Linotype"/>
          <w:b/>
          <w:i/>
          <w:color w:val="222222"/>
          <w:sz w:val="22"/>
          <w:lang w:eastAsia="es-MX"/>
        </w:rPr>
        <w:t xml:space="preserve">SEXTO. </w:t>
      </w:r>
      <w:r w:rsidRPr="00243426">
        <w:rPr>
          <w:rFonts w:ascii="Palatino Linotype" w:hAnsi="Palatino Linotype"/>
          <w:b/>
          <w:i/>
          <w:color w:val="222222"/>
          <w:sz w:val="22"/>
          <w:u w:val="single"/>
          <w:lang w:eastAsia="es-MX"/>
        </w:rPr>
        <w:t>Las referencias realizadas en disposiciones jurídicas, legales, reglamentarias y administrativas a la Procuraduría del Colono del Estado de México se entenderán hechas a la Secretaría de Justicia y Derechos Humanos.</w:t>
      </w:r>
      <w:r>
        <w:rPr>
          <w:rFonts w:ascii="Palatino Linotype" w:hAnsi="Palatino Linotype"/>
          <w:i/>
          <w:color w:val="222222"/>
          <w:sz w:val="22"/>
          <w:lang w:eastAsia="es-MX"/>
        </w:rPr>
        <w:t>”(Sic) (Énfasis añadido)</w:t>
      </w:r>
    </w:p>
    <w:p w14:paraId="7FAF0682" w14:textId="77777777" w:rsidR="00243426" w:rsidRDefault="00243426" w:rsidP="00243426">
      <w:pPr>
        <w:spacing w:line="276" w:lineRule="auto"/>
        <w:ind w:right="851"/>
        <w:jc w:val="both"/>
        <w:rPr>
          <w:rFonts w:ascii="Palatino Linotype" w:hAnsi="Palatino Linotype"/>
          <w:i/>
          <w:color w:val="222222"/>
          <w:sz w:val="22"/>
          <w:lang w:eastAsia="es-MX"/>
        </w:rPr>
      </w:pPr>
    </w:p>
    <w:p w14:paraId="3C122155" w14:textId="76BD7121" w:rsidR="006B6C5C" w:rsidRDefault="00243426" w:rsidP="006B6C5C">
      <w:pPr>
        <w:spacing w:line="360" w:lineRule="auto"/>
        <w:jc w:val="both"/>
        <w:rPr>
          <w:rFonts w:ascii="Palatino Linotype" w:hAnsi="Palatino Linotype"/>
          <w:color w:val="222222"/>
          <w:lang w:eastAsia="es-MX"/>
        </w:rPr>
      </w:pPr>
      <w:r>
        <w:rPr>
          <w:rFonts w:ascii="Palatino Linotype" w:hAnsi="Palatino Linotype"/>
          <w:color w:val="222222"/>
          <w:lang w:eastAsia="es-MX"/>
        </w:rPr>
        <w:t xml:space="preserve">En un acto posterior, el 18 de agosto de 2021 mediante el </w:t>
      </w:r>
      <w:r>
        <w:rPr>
          <w:rFonts w:ascii="Palatino Linotype" w:hAnsi="Palatino Linotype"/>
          <w:b/>
          <w:color w:val="222222"/>
          <w:lang w:eastAsia="es-MX"/>
        </w:rPr>
        <w:t>Acuerdo del Ejecutivo del Estado por el que se adicionan diversas disposiciones a</w:t>
      </w:r>
      <w:r w:rsidRPr="00243426">
        <w:rPr>
          <w:rFonts w:ascii="Palatino Linotype" w:hAnsi="Palatino Linotype"/>
          <w:b/>
          <w:color w:val="222222"/>
          <w:lang w:eastAsia="es-MX"/>
        </w:rPr>
        <w:t>l Reglame</w:t>
      </w:r>
      <w:r>
        <w:rPr>
          <w:rFonts w:ascii="Palatino Linotype" w:hAnsi="Palatino Linotype"/>
          <w:b/>
          <w:color w:val="222222"/>
          <w:lang w:eastAsia="es-MX"/>
        </w:rPr>
        <w:t>nto Interior de la Secretaría de Justicia y</w:t>
      </w:r>
      <w:r w:rsidRPr="00243426">
        <w:rPr>
          <w:rFonts w:ascii="Palatino Linotype" w:hAnsi="Palatino Linotype"/>
          <w:b/>
          <w:color w:val="222222"/>
          <w:lang w:eastAsia="es-MX"/>
        </w:rPr>
        <w:t xml:space="preserve"> Derechos Humanos</w:t>
      </w:r>
      <w:r>
        <w:rPr>
          <w:rFonts w:ascii="Palatino Linotype" w:hAnsi="Palatino Linotype"/>
          <w:b/>
          <w:color w:val="222222"/>
          <w:lang w:eastAsia="es-MX"/>
        </w:rPr>
        <w:t xml:space="preserve">, </w:t>
      </w:r>
      <w:r w:rsidR="006B6C5C">
        <w:rPr>
          <w:rFonts w:ascii="Palatino Linotype" w:hAnsi="Palatino Linotype"/>
          <w:color w:val="222222"/>
          <w:lang w:eastAsia="es-MX"/>
        </w:rPr>
        <w:t xml:space="preserve">se señala que </w:t>
      </w:r>
      <w:r w:rsidR="006B6C5C" w:rsidRPr="006B6C5C">
        <w:rPr>
          <w:rFonts w:ascii="Palatino Linotype" w:hAnsi="Palatino Linotype"/>
          <w:i/>
          <w:color w:val="222222"/>
          <w:lang w:eastAsia="es-MX"/>
        </w:rPr>
        <w:t>“</w:t>
      </w:r>
      <w:r w:rsidR="006B6C5C" w:rsidRPr="006B6C5C">
        <w:rPr>
          <w:rFonts w:ascii="Palatino Linotype" w:hAnsi="Palatino Linotype"/>
          <w:b/>
          <w:i/>
          <w:color w:val="222222"/>
          <w:lang w:eastAsia="es-MX"/>
        </w:rPr>
        <w:t>es necesario establecer la unidad administrativa competente de la Secretaría de Justicia y Derechos Humanos, encargada atender y proteger a los colonos</w:t>
      </w:r>
      <w:r w:rsidR="006B6C5C" w:rsidRPr="006B6C5C">
        <w:rPr>
          <w:rFonts w:ascii="Palatino Linotype" w:hAnsi="Palatino Linotype"/>
          <w:i/>
          <w:color w:val="222222"/>
          <w:lang w:eastAsia="es-MX"/>
        </w:rPr>
        <w:t>, así como de promover, desarrollar e implementar mecanismos alternativos de solución de conflictos como la mediación, conciliación y justicia restaurativa entre los particulares o las diversas organizaciones, agrupaciones y asociaciones de colonos, promoviendo la cultura de paz, justicia y legalidad, en términos de las disposiciones jurídicas aplicables.</w:t>
      </w:r>
      <w:r w:rsidR="006B6C5C">
        <w:rPr>
          <w:rFonts w:ascii="Palatino Linotype" w:hAnsi="Palatino Linotype"/>
          <w:i/>
          <w:color w:val="222222"/>
          <w:lang w:eastAsia="es-MX"/>
        </w:rPr>
        <w:t xml:space="preserve">” (Sic) </w:t>
      </w:r>
      <w:r w:rsidR="006B6C5C">
        <w:rPr>
          <w:rFonts w:ascii="Palatino Linotype" w:hAnsi="Palatino Linotype"/>
          <w:color w:val="222222"/>
          <w:lang w:eastAsia="es-MX"/>
        </w:rPr>
        <w:lastRenderedPageBreak/>
        <w:t xml:space="preserve">estableciendo para tal fin a la </w:t>
      </w:r>
      <w:r w:rsidR="006B6C5C" w:rsidRPr="006B6C5C">
        <w:rPr>
          <w:rFonts w:ascii="Palatino Linotype" w:hAnsi="Palatino Linotype"/>
          <w:b/>
          <w:color w:val="222222"/>
          <w:lang w:eastAsia="es-MX"/>
        </w:rPr>
        <w:t>Dirección General de Protección al Colono</w:t>
      </w:r>
      <w:r w:rsidR="006B6C5C">
        <w:rPr>
          <w:rFonts w:ascii="Palatino Linotype" w:hAnsi="Palatino Linotype"/>
          <w:b/>
          <w:color w:val="222222"/>
          <w:lang w:eastAsia="es-MX"/>
        </w:rPr>
        <w:t xml:space="preserve">, </w:t>
      </w:r>
      <w:r w:rsidR="006B6C5C" w:rsidRPr="006B6C5C">
        <w:rPr>
          <w:rFonts w:ascii="Palatino Linotype" w:hAnsi="Palatino Linotype"/>
          <w:color w:val="222222"/>
          <w:lang w:eastAsia="es-MX"/>
        </w:rPr>
        <w:t>quien cuenta con las siguientes atribuciones,</w:t>
      </w:r>
      <w:r w:rsidR="006B6C5C">
        <w:rPr>
          <w:rFonts w:ascii="Palatino Linotype" w:hAnsi="Palatino Linotype"/>
          <w:b/>
          <w:color w:val="222222"/>
          <w:lang w:eastAsia="es-MX"/>
        </w:rPr>
        <w:t xml:space="preserve"> </w:t>
      </w:r>
      <w:r w:rsidR="006B6C5C">
        <w:rPr>
          <w:rFonts w:ascii="Palatino Linotype" w:hAnsi="Palatino Linotype"/>
          <w:color w:val="222222"/>
          <w:lang w:eastAsia="es-MX"/>
        </w:rPr>
        <w:t xml:space="preserve">sirve de sustento la siguiente cita: </w:t>
      </w:r>
    </w:p>
    <w:p w14:paraId="4FC607D3" w14:textId="3C90A826" w:rsidR="006B6C5C" w:rsidRPr="006B6C5C" w:rsidRDefault="006B6C5C" w:rsidP="006B6C5C">
      <w:pPr>
        <w:spacing w:line="276" w:lineRule="auto"/>
        <w:ind w:left="567" w:right="851"/>
        <w:jc w:val="both"/>
        <w:rPr>
          <w:rFonts w:ascii="Palatino Linotype" w:hAnsi="Palatino Linotype"/>
          <w:i/>
          <w:color w:val="222222"/>
          <w:sz w:val="22"/>
          <w:lang w:eastAsia="es-MX"/>
        </w:rPr>
      </w:pPr>
      <w:r>
        <w:rPr>
          <w:rFonts w:ascii="Palatino Linotype" w:hAnsi="Palatino Linotype"/>
          <w:i/>
          <w:color w:val="222222"/>
          <w:sz w:val="22"/>
          <w:lang w:eastAsia="es-MX"/>
        </w:rPr>
        <w:t>“</w:t>
      </w:r>
      <w:r w:rsidRPr="006B6C5C">
        <w:rPr>
          <w:rFonts w:ascii="Palatino Linotype" w:hAnsi="Palatino Linotype"/>
          <w:i/>
          <w:color w:val="222222"/>
          <w:sz w:val="22"/>
          <w:lang w:eastAsia="es-MX"/>
        </w:rPr>
        <w:t>ARTÍCULO ÚNICO. S</w:t>
      </w:r>
      <w:r w:rsidRPr="0026609E">
        <w:rPr>
          <w:rFonts w:ascii="Palatino Linotype" w:hAnsi="Palatino Linotype"/>
          <w:b/>
          <w:i/>
          <w:color w:val="222222"/>
          <w:sz w:val="22"/>
          <w:lang w:eastAsia="es-MX"/>
        </w:rPr>
        <w:t>e adiciona el inciso c) a la fracción I del apartado A del artículo 4 y el artículo 13 Bis al Reglamento Interior de la Secretaría de Justicia y Derechos Humanos</w:t>
      </w:r>
      <w:r w:rsidRPr="006B6C5C">
        <w:rPr>
          <w:rFonts w:ascii="Palatino Linotype" w:hAnsi="Palatino Linotype"/>
          <w:i/>
          <w:color w:val="222222"/>
          <w:sz w:val="22"/>
          <w:lang w:eastAsia="es-MX"/>
        </w:rPr>
        <w:t xml:space="preserve">, para quedar como sigue: </w:t>
      </w:r>
    </w:p>
    <w:p w14:paraId="217BD8EF" w14:textId="77777777" w:rsidR="006B6C5C" w:rsidRPr="006B6C5C" w:rsidRDefault="006B6C5C" w:rsidP="006B6C5C">
      <w:pPr>
        <w:spacing w:line="276" w:lineRule="auto"/>
        <w:ind w:left="567" w:right="851"/>
        <w:jc w:val="both"/>
        <w:rPr>
          <w:rFonts w:ascii="Palatino Linotype" w:hAnsi="Palatino Linotype"/>
          <w:i/>
          <w:color w:val="222222"/>
          <w:sz w:val="22"/>
          <w:lang w:eastAsia="es-MX"/>
        </w:rPr>
      </w:pPr>
    </w:p>
    <w:p w14:paraId="5F7C9C83" w14:textId="77777777" w:rsidR="006B6C5C" w:rsidRDefault="006B6C5C" w:rsidP="006B6C5C">
      <w:pPr>
        <w:spacing w:line="276" w:lineRule="auto"/>
        <w:ind w:left="567" w:right="851"/>
        <w:jc w:val="both"/>
        <w:rPr>
          <w:rFonts w:ascii="Palatino Linotype" w:hAnsi="Palatino Linotype"/>
          <w:i/>
          <w:color w:val="222222"/>
          <w:sz w:val="22"/>
          <w:lang w:eastAsia="es-MX"/>
        </w:rPr>
      </w:pPr>
      <w:r w:rsidRPr="006B6C5C">
        <w:rPr>
          <w:rFonts w:ascii="Palatino Linotype" w:hAnsi="Palatino Linotype"/>
          <w:b/>
          <w:i/>
          <w:color w:val="222222"/>
          <w:sz w:val="22"/>
          <w:lang w:eastAsia="es-MX"/>
        </w:rPr>
        <w:t xml:space="preserve">Artículo 4. </w:t>
      </w:r>
      <w:r w:rsidRPr="006B6C5C">
        <w:rPr>
          <w:rFonts w:ascii="Palatino Linotype" w:hAnsi="Palatino Linotype"/>
          <w:i/>
          <w:color w:val="222222"/>
          <w:sz w:val="22"/>
          <w:lang w:eastAsia="es-MX"/>
        </w:rPr>
        <w:t xml:space="preserve">… </w:t>
      </w:r>
    </w:p>
    <w:p w14:paraId="521C5CFD" w14:textId="28BD8421" w:rsidR="006B6C5C" w:rsidRPr="006B6C5C" w:rsidRDefault="006B6C5C" w:rsidP="006B6C5C">
      <w:pPr>
        <w:spacing w:line="276" w:lineRule="auto"/>
        <w:ind w:left="567" w:right="851"/>
        <w:jc w:val="both"/>
        <w:rPr>
          <w:rFonts w:ascii="Palatino Linotype" w:hAnsi="Palatino Linotype"/>
          <w:b/>
          <w:i/>
          <w:color w:val="222222"/>
          <w:sz w:val="22"/>
          <w:lang w:eastAsia="es-MX"/>
        </w:rPr>
      </w:pPr>
      <w:r w:rsidRPr="006B6C5C">
        <w:rPr>
          <w:rFonts w:ascii="Palatino Linotype" w:hAnsi="Palatino Linotype"/>
          <w:i/>
          <w:color w:val="222222"/>
          <w:sz w:val="22"/>
          <w:lang w:eastAsia="es-MX"/>
        </w:rPr>
        <w:t xml:space="preserve">A. … </w:t>
      </w:r>
    </w:p>
    <w:p w14:paraId="12D93D9F" w14:textId="77777777" w:rsidR="006B6C5C" w:rsidRPr="006B6C5C" w:rsidRDefault="006B6C5C" w:rsidP="006B6C5C">
      <w:pPr>
        <w:spacing w:line="276" w:lineRule="auto"/>
        <w:ind w:left="567" w:right="851"/>
        <w:jc w:val="both"/>
        <w:rPr>
          <w:rFonts w:ascii="Palatino Linotype" w:hAnsi="Palatino Linotype"/>
          <w:i/>
          <w:color w:val="222222"/>
          <w:sz w:val="22"/>
          <w:lang w:eastAsia="es-MX"/>
        </w:rPr>
      </w:pPr>
      <w:r w:rsidRPr="006B6C5C">
        <w:rPr>
          <w:rFonts w:ascii="Palatino Linotype" w:hAnsi="Palatino Linotype"/>
          <w:i/>
          <w:color w:val="222222"/>
          <w:sz w:val="22"/>
          <w:lang w:eastAsia="es-MX"/>
        </w:rPr>
        <w:t xml:space="preserve">I. … </w:t>
      </w:r>
    </w:p>
    <w:p w14:paraId="17072E6D" w14:textId="77777777" w:rsidR="006B6C5C" w:rsidRPr="006B6C5C" w:rsidRDefault="006B6C5C" w:rsidP="006B6C5C">
      <w:pPr>
        <w:spacing w:line="276" w:lineRule="auto"/>
        <w:ind w:left="567" w:right="851"/>
        <w:jc w:val="both"/>
        <w:rPr>
          <w:rFonts w:ascii="Palatino Linotype" w:hAnsi="Palatino Linotype"/>
          <w:i/>
          <w:color w:val="222222"/>
          <w:sz w:val="22"/>
          <w:lang w:eastAsia="es-MX"/>
        </w:rPr>
      </w:pPr>
      <w:r w:rsidRPr="006B6C5C">
        <w:rPr>
          <w:rFonts w:ascii="Palatino Linotype" w:hAnsi="Palatino Linotype"/>
          <w:i/>
          <w:color w:val="222222"/>
          <w:sz w:val="22"/>
          <w:lang w:eastAsia="es-MX"/>
        </w:rPr>
        <w:t xml:space="preserve">a) y b) … </w:t>
      </w:r>
    </w:p>
    <w:p w14:paraId="6A8D544F" w14:textId="098CD3FB" w:rsidR="006B6C5C" w:rsidRDefault="006B6C5C" w:rsidP="006B6C5C">
      <w:pPr>
        <w:spacing w:line="276" w:lineRule="auto"/>
        <w:ind w:left="567" w:right="851"/>
        <w:jc w:val="both"/>
        <w:rPr>
          <w:rFonts w:ascii="Palatino Linotype" w:hAnsi="Palatino Linotype"/>
          <w:b/>
          <w:i/>
          <w:color w:val="222222"/>
          <w:sz w:val="22"/>
          <w:lang w:eastAsia="es-MX"/>
        </w:rPr>
      </w:pPr>
      <w:r w:rsidRPr="006B6C5C">
        <w:rPr>
          <w:rFonts w:ascii="Palatino Linotype" w:hAnsi="Palatino Linotype"/>
          <w:b/>
          <w:i/>
          <w:color w:val="222222"/>
          <w:sz w:val="22"/>
          <w:lang w:eastAsia="es-MX"/>
        </w:rPr>
        <w:t>c) Dirección General de Protección al Colono;</w:t>
      </w:r>
    </w:p>
    <w:p w14:paraId="0982A7DB" w14:textId="77777777" w:rsidR="006B6C5C" w:rsidRDefault="006B6C5C" w:rsidP="006B6C5C">
      <w:pPr>
        <w:spacing w:line="276" w:lineRule="auto"/>
        <w:ind w:left="567" w:right="851"/>
        <w:jc w:val="both"/>
        <w:rPr>
          <w:rFonts w:ascii="Palatino Linotype" w:hAnsi="Palatino Linotype"/>
          <w:b/>
          <w:i/>
          <w:color w:val="222222"/>
          <w:sz w:val="22"/>
          <w:lang w:eastAsia="es-MX"/>
        </w:rPr>
      </w:pPr>
    </w:p>
    <w:p w14:paraId="5F0909E8" w14:textId="77777777" w:rsidR="006B6C5C" w:rsidRDefault="006B6C5C" w:rsidP="006B6C5C">
      <w:pPr>
        <w:spacing w:line="276" w:lineRule="auto"/>
        <w:ind w:left="567" w:right="851"/>
        <w:jc w:val="both"/>
        <w:rPr>
          <w:rFonts w:ascii="Palatino Linotype" w:hAnsi="Palatino Linotype"/>
          <w:b/>
          <w:i/>
          <w:color w:val="222222"/>
          <w:sz w:val="22"/>
          <w:lang w:eastAsia="es-MX"/>
        </w:rPr>
      </w:pPr>
      <w:r w:rsidRPr="006B6C5C">
        <w:rPr>
          <w:rFonts w:ascii="Palatino Linotype" w:hAnsi="Palatino Linotype"/>
          <w:b/>
          <w:i/>
          <w:color w:val="222222"/>
          <w:sz w:val="22"/>
          <w:lang w:eastAsia="es-MX"/>
        </w:rPr>
        <w:t xml:space="preserve">Artículo 13 Bis. Corresponden a la Dirección General de Protección al Colono, las atribuciones siguientes: </w:t>
      </w:r>
    </w:p>
    <w:p w14:paraId="0E1EA778" w14:textId="77777777" w:rsidR="006B6C5C" w:rsidRPr="006B6C5C" w:rsidRDefault="006B6C5C" w:rsidP="006B6C5C">
      <w:pPr>
        <w:spacing w:line="276" w:lineRule="auto"/>
        <w:ind w:left="567" w:right="851"/>
        <w:jc w:val="both"/>
        <w:rPr>
          <w:rFonts w:ascii="Palatino Linotype" w:hAnsi="Palatino Linotype"/>
          <w:b/>
          <w:i/>
          <w:color w:val="222222"/>
          <w:sz w:val="22"/>
          <w:lang w:eastAsia="es-MX"/>
        </w:rPr>
      </w:pPr>
      <w:r w:rsidRPr="006B6C5C">
        <w:rPr>
          <w:rFonts w:ascii="Palatino Linotype" w:hAnsi="Palatino Linotype"/>
          <w:b/>
          <w:i/>
          <w:color w:val="222222"/>
          <w:sz w:val="22"/>
          <w:lang w:eastAsia="es-MX"/>
        </w:rPr>
        <w:t xml:space="preserve">I. Brindar, de forma gratuita, orientación, información, asistencia y asesoría a los particulares y las agrupaciones, asociaciones u organizaciones de colonos en materia del régimen de propiedad en condominio, gestión social, y lo relacionado en materia administrativa y de asentamientos humanos; </w:t>
      </w:r>
    </w:p>
    <w:p w14:paraId="574BB1F8" w14:textId="77777777" w:rsidR="006B6C5C" w:rsidRPr="006B6C5C" w:rsidRDefault="006B6C5C" w:rsidP="006B6C5C">
      <w:pPr>
        <w:spacing w:line="276" w:lineRule="auto"/>
        <w:ind w:left="567" w:right="851"/>
        <w:jc w:val="both"/>
        <w:rPr>
          <w:rFonts w:ascii="Palatino Linotype" w:hAnsi="Palatino Linotype"/>
          <w:i/>
          <w:color w:val="222222"/>
          <w:sz w:val="22"/>
          <w:lang w:eastAsia="es-MX"/>
        </w:rPr>
      </w:pPr>
      <w:r w:rsidRPr="006B6C5C">
        <w:rPr>
          <w:rFonts w:ascii="Palatino Linotype" w:hAnsi="Palatino Linotype"/>
          <w:i/>
          <w:color w:val="222222"/>
          <w:sz w:val="22"/>
          <w:lang w:eastAsia="es-MX"/>
        </w:rPr>
        <w:t xml:space="preserve">II. Promover, desarrollar e implementar mecanismos alternativos de solución de conflictos como la mediación y la conciliación entre los particulares o las diversas organizaciones, agrupaciones y asociaciones de colonos, promoviendo la cultura de paz, justicia y legalidad, en términos de las disposiciones jurídicas aplicables; </w:t>
      </w:r>
    </w:p>
    <w:p w14:paraId="647E2BC5" w14:textId="77777777" w:rsidR="006B6C5C" w:rsidRPr="006B6C5C" w:rsidRDefault="006B6C5C" w:rsidP="006B6C5C">
      <w:pPr>
        <w:spacing w:line="276" w:lineRule="auto"/>
        <w:ind w:left="567" w:right="851"/>
        <w:jc w:val="both"/>
        <w:rPr>
          <w:rFonts w:ascii="Palatino Linotype" w:hAnsi="Palatino Linotype"/>
          <w:i/>
          <w:color w:val="222222"/>
          <w:sz w:val="22"/>
          <w:lang w:eastAsia="es-MX"/>
        </w:rPr>
      </w:pPr>
      <w:r w:rsidRPr="006B6C5C">
        <w:rPr>
          <w:rFonts w:ascii="Palatino Linotype" w:hAnsi="Palatino Linotype"/>
          <w:i/>
          <w:color w:val="222222"/>
          <w:sz w:val="22"/>
          <w:lang w:eastAsia="es-MX"/>
        </w:rPr>
        <w:t xml:space="preserve">III. Llevar el registro de las agrupaciones, asociaciones u organizaciones de colonos del Estado de México, observando la debida integración de sus mesas directivas y representantes, conforme a las disposiciones jurídicas aplicables; </w:t>
      </w:r>
    </w:p>
    <w:p w14:paraId="67B9D2CF" w14:textId="77777777" w:rsidR="006B6C5C" w:rsidRDefault="006B6C5C" w:rsidP="006B6C5C">
      <w:pPr>
        <w:spacing w:line="276" w:lineRule="auto"/>
        <w:ind w:left="567" w:right="851"/>
        <w:jc w:val="both"/>
        <w:rPr>
          <w:rFonts w:ascii="Palatino Linotype" w:hAnsi="Palatino Linotype"/>
          <w:i/>
          <w:color w:val="222222"/>
          <w:sz w:val="22"/>
          <w:lang w:eastAsia="es-MX"/>
        </w:rPr>
      </w:pPr>
      <w:r w:rsidRPr="006B6C5C">
        <w:rPr>
          <w:rFonts w:ascii="Palatino Linotype" w:hAnsi="Palatino Linotype"/>
          <w:i/>
          <w:color w:val="222222"/>
          <w:sz w:val="22"/>
          <w:lang w:eastAsia="es-MX"/>
        </w:rPr>
        <w:t xml:space="preserve">IV. Realizar estudios, consultas, foros o encuentros ciudadanos, sobre los problemas y consecuencias del servicio público y programas otorgados por la Administración Pública, concesionarios y permisionarios de los mismos; </w:t>
      </w:r>
    </w:p>
    <w:p w14:paraId="746E2312" w14:textId="5ED94A01" w:rsidR="006B6C5C" w:rsidRDefault="006B6C5C" w:rsidP="006B6C5C">
      <w:pPr>
        <w:spacing w:line="276" w:lineRule="auto"/>
        <w:ind w:left="567" w:right="851"/>
        <w:jc w:val="both"/>
        <w:rPr>
          <w:rFonts w:ascii="Palatino Linotype" w:hAnsi="Palatino Linotype"/>
          <w:i/>
          <w:color w:val="222222"/>
          <w:sz w:val="22"/>
          <w:lang w:eastAsia="es-MX"/>
        </w:rPr>
      </w:pPr>
      <w:r w:rsidRPr="006B6C5C">
        <w:rPr>
          <w:rFonts w:ascii="Palatino Linotype" w:hAnsi="Palatino Linotype"/>
          <w:i/>
          <w:color w:val="222222"/>
          <w:sz w:val="22"/>
          <w:lang w:eastAsia="es-MX"/>
        </w:rPr>
        <w:t>V. Difundir y promover la cultura condominal, de paz, de legalidad de justicia cotidiana, cívica e itinerante entre las agrupaciones, asociaciones u organizaciones de colonos y, en general, a los habitantes del Estado de México;</w:t>
      </w:r>
    </w:p>
    <w:p w14:paraId="74BBF23B" w14:textId="77777777" w:rsidR="0026609E" w:rsidRDefault="0026609E" w:rsidP="006B6C5C">
      <w:pPr>
        <w:spacing w:line="276" w:lineRule="auto"/>
        <w:ind w:left="567" w:right="851"/>
        <w:jc w:val="both"/>
        <w:rPr>
          <w:rFonts w:ascii="Palatino Linotype" w:hAnsi="Palatino Linotype"/>
          <w:i/>
          <w:color w:val="222222"/>
          <w:sz w:val="22"/>
          <w:lang w:eastAsia="es-MX"/>
        </w:rPr>
      </w:pPr>
      <w:r w:rsidRPr="0026609E">
        <w:rPr>
          <w:rFonts w:ascii="Palatino Linotype" w:hAnsi="Palatino Linotype"/>
          <w:i/>
          <w:color w:val="222222"/>
          <w:sz w:val="22"/>
          <w:lang w:eastAsia="es-MX"/>
        </w:rPr>
        <w:t xml:space="preserve">VI. Proponer a la persona titular de la Subsecretaría de Justicia, políticas públicas y estrategias que promuevan la participación de particulares y agrupaciones, asociaciones u organizaciones de colonos; </w:t>
      </w:r>
    </w:p>
    <w:p w14:paraId="25DAABBE" w14:textId="77777777" w:rsidR="0026609E" w:rsidRDefault="0026609E" w:rsidP="006B6C5C">
      <w:pPr>
        <w:spacing w:line="276" w:lineRule="auto"/>
        <w:ind w:left="567" w:right="851"/>
        <w:jc w:val="both"/>
        <w:rPr>
          <w:rFonts w:ascii="Palatino Linotype" w:hAnsi="Palatino Linotype"/>
          <w:i/>
          <w:color w:val="222222"/>
          <w:sz w:val="22"/>
          <w:lang w:eastAsia="es-MX"/>
        </w:rPr>
      </w:pPr>
      <w:r w:rsidRPr="0026609E">
        <w:rPr>
          <w:rFonts w:ascii="Palatino Linotype" w:hAnsi="Palatino Linotype"/>
          <w:i/>
          <w:color w:val="222222"/>
          <w:sz w:val="22"/>
          <w:lang w:eastAsia="es-MX"/>
        </w:rPr>
        <w:lastRenderedPageBreak/>
        <w:t xml:space="preserve">VII. Requerir la información necesaria a las dependencias de la administración pública estatal y municipal, o concesionarias o permisionarias de servicios públicos, para otorgar la asesoría correspondiente a quien lo solicite; </w:t>
      </w:r>
    </w:p>
    <w:p w14:paraId="55218CF0" w14:textId="77777777" w:rsidR="0026609E" w:rsidRPr="0026609E" w:rsidRDefault="0026609E" w:rsidP="006B6C5C">
      <w:pPr>
        <w:spacing w:line="276" w:lineRule="auto"/>
        <w:ind w:left="567" w:right="851"/>
        <w:jc w:val="both"/>
        <w:rPr>
          <w:rFonts w:ascii="Palatino Linotype" w:hAnsi="Palatino Linotype"/>
          <w:b/>
          <w:i/>
          <w:color w:val="222222"/>
          <w:sz w:val="22"/>
          <w:lang w:eastAsia="es-MX"/>
        </w:rPr>
      </w:pPr>
      <w:r w:rsidRPr="0026609E">
        <w:rPr>
          <w:rFonts w:ascii="Palatino Linotype" w:hAnsi="Palatino Linotype"/>
          <w:b/>
          <w:i/>
          <w:color w:val="222222"/>
          <w:sz w:val="22"/>
          <w:lang w:eastAsia="es-MX"/>
        </w:rPr>
        <w:t xml:space="preserve">VIII. Coadyuvar con la autoridad estatal y municipal al cumplimiento de la Ley que Regula el Régimen de Propiedad en Condominio en el Estado de México, proporcionando asesoría jurídica y canalizando a los particulares, las agrupaciones, asociaciones u organizaciones de colonos a las instancias correspondientes; </w:t>
      </w:r>
    </w:p>
    <w:p w14:paraId="4999E1B1" w14:textId="77777777" w:rsidR="0026609E" w:rsidRDefault="0026609E" w:rsidP="006B6C5C">
      <w:pPr>
        <w:spacing w:line="276" w:lineRule="auto"/>
        <w:ind w:left="567" w:right="851"/>
        <w:jc w:val="both"/>
        <w:rPr>
          <w:rFonts w:ascii="Palatino Linotype" w:hAnsi="Palatino Linotype"/>
          <w:i/>
          <w:color w:val="222222"/>
          <w:sz w:val="22"/>
          <w:lang w:eastAsia="es-MX"/>
        </w:rPr>
      </w:pPr>
      <w:r w:rsidRPr="0026609E">
        <w:rPr>
          <w:rFonts w:ascii="Palatino Linotype" w:hAnsi="Palatino Linotype"/>
          <w:i/>
          <w:color w:val="222222"/>
          <w:sz w:val="22"/>
          <w:lang w:eastAsia="es-MX"/>
        </w:rPr>
        <w:t xml:space="preserve">IX. Comunicar a las autoridades competentes las posibles irregularidades que se relacionen con el régimen de propiedad en condominio, los asentamientos humanos y cambios de uso de suelo de las cuales tenga conocimiento; </w:t>
      </w:r>
    </w:p>
    <w:p w14:paraId="12C5CB52" w14:textId="77777777" w:rsidR="0026609E" w:rsidRDefault="0026609E" w:rsidP="006B6C5C">
      <w:pPr>
        <w:spacing w:line="276" w:lineRule="auto"/>
        <w:ind w:left="567" w:right="851"/>
        <w:jc w:val="both"/>
        <w:rPr>
          <w:rFonts w:ascii="Palatino Linotype" w:hAnsi="Palatino Linotype"/>
          <w:i/>
          <w:color w:val="222222"/>
          <w:sz w:val="22"/>
          <w:lang w:eastAsia="es-MX"/>
        </w:rPr>
      </w:pPr>
      <w:r w:rsidRPr="0026609E">
        <w:rPr>
          <w:rFonts w:ascii="Palatino Linotype" w:hAnsi="Palatino Linotype"/>
          <w:i/>
          <w:color w:val="222222"/>
          <w:sz w:val="22"/>
          <w:lang w:eastAsia="es-MX"/>
        </w:rPr>
        <w:t xml:space="preserve">X. Formular peticiones, sugerencias o recomendaciones a las autoridades administrativas competentes en materia de asentamientos humanos y conjuntos habitacionales; </w:t>
      </w:r>
    </w:p>
    <w:p w14:paraId="60ED197F" w14:textId="77777777" w:rsidR="0026609E" w:rsidRDefault="0026609E" w:rsidP="006B6C5C">
      <w:pPr>
        <w:spacing w:line="276" w:lineRule="auto"/>
        <w:ind w:left="567" w:right="851"/>
        <w:jc w:val="both"/>
        <w:rPr>
          <w:rFonts w:ascii="Palatino Linotype" w:hAnsi="Palatino Linotype"/>
          <w:i/>
          <w:color w:val="222222"/>
          <w:sz w:val="22"/>
          <w:lang w:eastAsia="es-MX"/>
        </w:rPr>
      </w:pPr>
      <w:r w:rsidRPr="0026609E">
        <w:rPr>
          <w:rFonts w:ascii="Palatino Linotype" w:hAnsi="Palatino Linotype"/>
          <w:i/>
          <w:color w:val="222222"/>
          <w:sz w:val="22"/>
          <w:lang w:eastAsia="es-MX"/>
        </w:rPr>
        <w:t xml:space="preserve">XI. Los procedimientos de mediación y conciliación desarrollados por la Dirección, se regularán conforme a lo establecido por la Ley de Mediación, Conciliación y Promoción de la Paz Social para el Estado de México y su Reglamento; </w:t>
      </w:r>
    </w:p>
    <w:p w14:paraId="49588742" w14:textId="02F7FFAC" w:rsidR="0026609E" w:rsidRDefault="0026609E" w:rsidP="006B6C5C">
      <w:pPr>
        <w:spacing w:line="276" w:lineRule="auto"/>
        <w:ind w:left="567" w:right="851"/>
        <w:jc w:val="both"/>
        <w:rPr>
          <w:rFonts w:ascii="Palatino Linotype" w:hAnsi="Palatino Linotype"/>
          <w:i/>
          <w:color w:val="222222"/>
          <w:sz w:val="22"/>
          <w:lang w:eastAsia="es-MX"/>
        </w:rPr>
      </w:pPr>
      <w:r w:rsidRPr="0026609E">
        <w:rPr>
          <w:rFonts w:ascii="Palatino Linotype" w:hAnsi="Palatino Linotype"/>
          <w:i/>
          <w:color w:val="222222"/>
          <w:sz w:val="22"/>
          <w:lang w:eastAsia="es-MX"/>
        </w:rPr>
        <w:t>XII. Los convenios suscritos en vía de mediación o conciliación, gozarán de las obligaciones y efectos previstos en la Ley de Mediación, Conciliación y Promoción de la Paz Social para el Estado de México, y</w:t>
      </w:r>
    </w:p>
    <w:p w14:paraId="7F18177D" w14:textId="76527217" w:rsidR="0026609E" w:rsidRDefault="0026609E" w:rsidP="006B6C5C">
      <w:pPr>
        <w:spacing w:line="276" w:lineRule="auto"/>
        <w:ind w:left="567" w:right="851"/>
        <w:jc w:val="both"/>
        <w:rPr>
          <w:rFonts w:ascii="Palatino Linotype" w:hAnsi="Palatino Linotype"/>
          <w:i/>
          <w:color w:val="222222"/>
          <w:sz w:val="22"/>
          <w:lang w:eastAsia="es-MX"/>
        </w:rPr>
      </w:pPr>
      <w:r w:rsidRPr="0026609E">
        <w:rPr>
          <w:rFonts w:ascii="Palatino Linotype" w:hAnsi="Palatino Linotype"/>
          <w:i/>
          <w:color w:val="222222"/>
          <w:sz w:val="22"/>
          <w:lang w:eastAsia="es-MX"/>
        </w:rPr>
        <w:t>XIII. Las demás que señalen las disposiciones jurídicas aplicables y las que le encomiende la persona titular de la Secretaría o de la Subsecretaría de Justicia</w:t>
      </w:r>
      <w:r>
        <w:rPr>
          <w:rFonts w:ascii="Palatino Linotype" w:hAnsi="Palatino Linotype"/>
          <w:i/>
          <w:color w:val="222222"/>
          <w:sz w:val="22"/>
          <w:lang w:eastAsia="es-MX"/>
        </w:rPr>
        <w:t>” (Sic) (Énfasis añadido)</w:t>
      </w:r>
    </w:p>
    <w:p w14:paraId="07F5A89E" w14:textId="77777777" w:rsidR="0026609E" w:rsidRDefault="0026609E" w:rsidP="0026609E">
      <w:pPr>
        <w:spacing w:line="276" w:lineRule="auto"/>
        <w:ind w:right="851"/>
        <w:jc w:val="both"/>
        <w:rPr>
          <w:rFonts w:ascii="Palatino Linotype" w:hAnsi="Palatino Linotype"/>
          <w:i/>
          <w:color w:val="222222"/>
          <w:sz w:val="22"/>
          <w:lang w:eastAsia="es-MX"/>
        </w:rPr>
      </w:pPr>
    </w:p>
    <w:p w14:paraId="4FBA0111" w14:textId="68C7F681" w:rsidR="005D6251" w:rsidRDefault="0026609E" w:rsidP="0026609E">
      <w:pPr>
        <w:spacing w:line="360" w:lineRule="auto"/>
        <w:ind w:right="49"/>
        <w:jc w:val="both"/>
        <w:rPr>
          <w:rFonts w:ascii="Palatino Linotype" w:hAnsi="Palatino Linotype" w:cs="Arial"/>
          <w:bCs/>
          <w:szCs w:val="22"/>
          <w:lang w:val="es-MX"/>
        </w:rPr>
      </w:pPr>
      <w:r>
        <w:rPr>
          <w:rFonts w:ascii="Palatino Linotype" w:hAnsi="Palatino Linotype" w:cs="Arial"/>
          <w:bCs/>
          <w:szCs w:val="22"/>
          <w:lang w:val="es-MX"/>
        </w:rPr>
        <w:t xml:space="preserve">Es por lo anteriormente citado que se concluye que en el presente asunto, el servidor público habilitado competente otorgó respuesta a la solicitud de información que aperturó </w:t>
      </w:r>
      <w:r w:rsidR="00B5484B">
        <w:rPr>
          <w:rFonts w:ascii="Palatino Linotype" w:hAnsi="Palatino Linotype" w:cs="Arial"/>
          <w:bCs/>
          <w:szCs w:val="22"/>
          <w:lang w:val="es-MX"/>
        </w:rPr>
        <w:t>el expediente del medio de impugnaci</w:t>
      </w:r>
      <w:r w:rsidR="005D6251">
        <w:rPr>
          <w:rFonts w:ascii="Palatino Linotype" w:hAnsi="Palatino Linotype" w:cs="Arial"/>
          <w:bCs/>
          <w:szCs w:val="22"/>
          <w:lang w:val="es-MX"/>
        </w:rPr>
        <w:t xml:space="preserve">ón que nos ocupa, aunado a esto, conviene reiterar que los pronunciamientos vertidos por el </w:t>
      </w:r>
      <w:r w:rsidR="005D6251" w:rsidRPr="005D6251">
        <w:rPr>
          <w:rFonts w:ascii="Palatino Linotype" w:hAnsi="Palatino Linotype" w:cs="Arial"/>
          <w:b/>
          <w:bCs/>
          <w:szCs w:val="22"/>
          <w:lang w:val="es-MX"/>
        </w:rPr>
        <w:t>Sujeto Obligado</w:t>
      </w:r>
      <w:r w:rsidR="005D6251">
        <w:rPr>
          <w:rFonts w:ascii="Palatino Linotype" w:hAnsi="Palatino Linotype" w:cs="Arial"/>
          <w:bCs/>
          <w:szCs w:val="22"/>
          <w:lang w:val="es-MX"/>
        </w:rPr>
        <w:t xml:space="preserve"> en las constancias que conforman el expediente electrónico, son suficientes para satisfacer la solicitud de información, ello en razón de que se requirió </w:t>
      </w:r>
      <w:r w:rsidR="005D6251" w:rsidRPr="005D6251">
        <w:rPr>
          <w:rFonts w:ascii="Palatino Linotype" w:hAnsi="Palatino Linotype" w:cs="Arial"/>
          <w:bCs/>
          <w:szCs w:val="22"/>
          <w:lang w:val="es-MX"/>
        </w:rPr>
        <w:t xml:space="preserve">el estatus de los convenios firmados con los distintos municipios por parte </w:t>
      </w:r>
      <w:r w:rsidR="005D6251" w:rsidRPr="005D6251">
        <w:rPr>
          <w:rFonts w:ascii="Palatino Linotype" w:hAnsi="Palatino Linotype" w:cs="Arial"/>
          <w:bCs/>
          <w:szCs w:val="22"/>
          <w:lang w:val="es-MX"/>
        </w:rPr>
        <w:lastRenderedPageBreak/>
        <w:t xml:space="preserve">de la </w:t>
      </w:r>
      <w:r w:rsidR="005D6251">
        <w:rPr>
          <w:rFonts w:ascii="Palatino Linotype" w:hAnsi="Palatino Linotype" w:cs="Arial"/>
          <w:bCs/>
          <w:szCs w:val="22"/>
          <w:lang w:val="es-MX"/>
        </w:rPr>
        <w:t>entonces Procuraduría</w:t>
      </w:r>
      <w:r w:rsidR="005D6251" w:rsidRPr="005D6251">
        <w:rPr>
          <w:rFonts w:ascii="Palatino Linotype" w:hAnsi="Palatino Linotype" w:cs="Arial"/>
          <w:bCs/>
          <w:szCs w:val="22"/>
          <w:lang w:val="es-MX"/>
        </w:rPr>
        <w:t xml:space="preserve"> del Colono, </w:t>
      </w:r>
      <w:r w:rsidR="005D6251">
        <w:rPr>
          <w:rFonts w:ascii="Palatino Linotype" w:hAnsi="Palatino Linotype" w:cs="Arial"/>
          <w:bCs/>
          <w:szCs w:val="22"/>
          <w:lang w:val="es-MX"/>
        </w:rPr>
        <w:t xml:space="preserve">a lo que el </w:t>
      </w:r>
      <w:r w:rsidR="005D6251" w:rsidRPr="005D6251">
        <w:rPr>
          <w:rFonts w:ascii="Palatino Linotype" w:hAnsi="Palatino Linotype" w:cs="Arial"/>
          <w:b/>
          <w:bCs/>
          <w:szCs w:val="22"/>
          <w:lang w:val="es-MX"/>
        </w:rPr>
        <w:t>Sujeto Obligado</w:t>
      </w:r>
      <w:r w:rsidR="005D6251">
        <w:rPr>
          <w:rFonts w:ascii="Palatino Linotype" w:hAnsi="Palatino Linotype" w:cs="Arial"/>
          <w:bCs/>
          <w:szCs w:val="22"/>
          <w:lang w:val="es-MX"/>
        </w:rPr>
        <w:t xml:space="preserve"> manifestó que su vigencia constaba hasta el 31 de diciembre de 2021 y respecto de la actualizaci</w:t>
      </w:r>
      <w:r w:rsidR="009B34B5">
        <w:rPr>
          <w:rFonts w:ascii="Palatino Linotype" w:hAnsi="Palatino Linotype" w:cs="Arial"/>
          <w:bCs/>
          <w:szCs w:val="22"/>
          <w:lang w:val="es-MX"/>
        </w:rPr>
        <w:t>ón, firma de un nuevo instrumento jurídico</w:t>
      </w:r>
      <w:r w:rsidR="005D6251">
        <w:rPr>
          <w:rFonts w:ascii="Palatino Linotype" w:hAnsi="Palatino Linotype" w:cs="Arial"/>
          <w:bCs/>
          <w:szCs w:val="22"/>
          <w:lang w:val="es-MX"/>
        </w:rPr>
        <w:t xml:space="preserve"> o si ya no se reconocerán estos convenios, agregó en informe justificado que a la fecha se encuentran realizando diversos trabajos para la firma de convenios de coordinación con las autoridades de distintos municipios, debiendo tener en claro que los convenios serán suscritos siempre y cuando exista voluntad de las partes para suscribirlos, por lo tanto, se entiende que</w:t>
      </w:r>
      <w:r w:rsidR="009B34B5">
        <w:rPr>
          <w:rFonts w:ascii="Palatino Linotype" w:hAnsi="Palatino Linotype" w:cs="Arial"/>
          <w:bCs/>
          <w:szCs w:val="22"/>
          <w:lang w:val="es-MX"/>
        </w:rPr>
        <w:t xml:space="preserve"> con este pronunciamiento aún no se cuenta con los instrumentos signados pero actualmente se encuentran en trabajos para concretar la firma de los mismos, para lo cual se requiere la voluntad de ambas partes y, en consecuencia, se tienen por atendidos los requerimientos de información. </w:t>
      </w:r>
    </w:p>
    <w:p w14:paraId="43503D82" w14:textId="77777777" w:rsidR="006513F9" w:rsidRDefault="006513F9" w:rsidP="006513F9">
      <w:pPr>
        <w:pStyle w:val="NormalWeb"/>
        <w:spacing w:before="0" w:beforeAutospacing="0" w:after="160" w:afterAutospacing="0" w:line="360" w:lineRule="auto"/>
        <w:jc w:val="both"/>
        <w:rPr>
          <w:rFonts w:ascii="Palatino Linotype" w:hAnsi="Palatino Linotype"/>
          <w:color w:val="000000"/>
        </w:rPr>
      </w:pPr>
    </w:p>
    <w:p w14:paraId="5E8F878E" w14:textId="77777777" w:rsidR="006513F9" w:rsidRDefault="006513F9" w:rsidP="006513F9">
      <w:pPr>
        <w:pStyle w:val="NormalWeb"/>
        <w:spacing w:before="0" w:beforeAutospacing="0" w:after="160" w:afterAutospacing="0" w:line="360" w:lineRule="auto"/>
        <w:jc w:val="both"/>
      </w:pPr>
      <w:r>
        <w:rPr>
          <w:rFonts w:ascii="Palatino Linotype" w:hAnsi="Palatino Linotype"/>
          <w:color w:val="000000"/>
        </w:rPr>
        <w:t xml:space="preserve">No escapa de la óptica de este organismo garante que la particular pretendía tener acceso a </w:t>
      </w:r>
      <w:r>
        <w:rPr>
          <w:rFonts w:ascii="Palatino Linotype" w:hAnsi="Palatino Linotype"/>
          <w:i/>
          <w:iCs/>
          <w:color w:val="000000"/>
        </w:rPr>
        <w:t>“</w:t>
      </w:r>
      <w:r>
        <w:rPr>
          <w:rFonts w:ascii="Palatino Linotype" w:hAnsi="Palatino Linotype"/>
          <w:b/>
          <w:bCs/>
          <w:i/>
          <w:iCs/>
          <w:color w:val="000000"/>
        </w:rPr>
        <w:t>¿los actualizaran, firmaran nuevos convenios o definitivamente ya no reconocen estos convenios</w:t>
      </w:r>
      <w:r>
        <w:rPr>
          <w:rFonts w:ascii="Palatino Linotype" w:hAnsi="Palatino Linotype"/>
          <w:i/>
          <w:iCs/>
          <w:color w:val="000000"/>
        </w:rPr>
        <w:t xml:space="preserve">?”, </w:t>
      </w:r>
      <w:r>
        <w:rPr>
          <w:rFonts w:ascii="Palatino Linotype" w:hAnsi="Palatino Linotype"/>
          <w:color w:val="000000"/>
        </w:rPr>
        <w:t>debe precisarse que</w:t>
      </w:r>
      <w:r>
        <w:rPr>
          <w:rFonts w:ascii="Palatino Linotype" w:hAnsi="Palatino Linotype"/>
          <w:i/>
          <w:iCs/>
          <w:color w:val="000000"/>
        </w:rPr>
        <w:t xml:space="preserve"> </w:t>
      </w:r>
      <w:r>
        <w:rPr>
          <w:rFonts w:ascii="Palatino Linotype" w:hAnsi="Palatino Linotype"/>
          <w:color w:val="000000"/>
        </w:rPr>
        <w:t xml:space="preserve">en esta circunstancia nos encontramos en el ejercicio del derecho de petición consagrado en el numeral 8 de nuestra Carta Magna y no de acceso a la información pública, toda vez que el Recurrente emitió un pronunciamiento que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 no obstante el </w:t>
      </w:r>
      <w:r>
        <w:rPr>
          <w:rFonts w:ascii="Palatino Linotype" w:hAnsi="Palatino Linotype"/>
          <w:b/>
          <w:bCs/>
          <w:color w:val="000000"/>
        </w:rPr>
        <w:t xml:space="preserve">Sujeto Obligado </w:t>
      </w:r>
      <w:r>
        <w:rPr>
          <w:rFonts w:ascii="Palatino Linotype" w:hAnsi="Palatino Linotype"/>
          <w:color w:val="000000"/>
        </w:rPr>
        <w:t>mediante informe justificado atendió la solicitud formulada. </w:t>
      </w:r>
    </w:p>
    <w:p w14:paraId="41644136" w14:textId="77777777" w:rsidR="0026609E" w:rsidRPr="007740A2" w:rsidRDefault="0026609E" w:rsidP="0026609E">
      <w:pPr>
        <w:spacing w:line="360" w:lineRule="auto"/>
        <w:ind w:right="49"/>
        <w:jc w:val="both"/>
        <w:rPr>
          <w:rFonts w:ascii="Palatino Linotype" w:hAnsi="Palatino Linotype" w:cs="Arial"/>
          <w:lang w:val="es-MX"/>
        </w:rPr>
      </w:pPr>
      <w:r w:rsidRPr="007740A2">
        <w:rPr>
          <w:rFonts w:ascii="Palatino Linotype" w:hAnsi="Palatino Linotype" w:cs="Arial"/>
          <w:bCs/>
          <w:szCs w:val="22"/>
          <w:lang w:val="es-MX"/>
        </w:rPr>
        <w:lastRenderedPageBreak/>
        <w:t>En este orden de ideas, es dable sostener que al haber existido un pronunciamiento por parte de los Servidores Públicos competentes al interior del Sujeto Obligado, es decir, los titulares de las unidades administrativas que componen la administración pública municipal,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3E268EFB" w14:textId="77777777" w:rsidR="0026609E" w:rsidRPr="007740A2" w:rsidRDefault="0026609E" w:rsidP="0026609E">
      <w:pPr>
        <w:tabs>
          <w:tab w:val="left" w:pos="709"/>
        </w:tabs>
        <w:ind w:left="567" w:right="1324"/>
        <w:jc w:val="both"/>
        <w:rPr>
          <w:rFonts w:ascii="Palatino Linotype" w:hAnsi="Palatino Linotype" w:cs="Arial"/>
          <w:b/>
          <w:bCs/>
          <w:i/>
          <w:sz w:val="22"/>
          <w:szCs w:val="22"/>
          <w:lang w:val="es-MX"/>
        </w:rPr>
      </w:pPr>
    </w:p>
    <w:p w14:paraId="68480F45" w14:textId="77777777" w:rsidR="0026609E" w:rsidRPr="007740A2" w:rsidRDefault="0026609E" w:rsidP="0026609E">
      <w:pPr>
        <w:tabs>
          <w:tab w:val="left" w:pos="709"/>
        </w:tabs>
        <w:ind w:left="567" w:right="1324"/>
        <w:jc w:val="both"/>
        <w:rPr>
          <w:rFonts w:ascii="Palatino Linotype" w:hAnsi="Palatino Linotype" w:cs="Arial"/>
          <w:bCs/>
          <w:i/>
          <w:sz w:val="22"/>
          <w:szCs w:val="22"/>
          <w:lang w:val="es-MX"/>
        </w:rPr>
      </w:pPr>
      <w:r w:rsidRPr="007740A2">
        <w:rPr>
          <w:rFonts w:ascii="Palatino Linotype" w:hAnsi="Palatino Linotype" w:cs="Arial"/>
          <w:b/>
          <w:bCs/>
          <w:i/>
          <w:sz w:val="22"/>
          <w:szCs w:val="22"/>
          <w:lang w:val="es-MX"/>
        </w:rPr>
        <w:t>“El Instituto Federal de Acceso a la Información y Protección de Datos no cuenta con facultades para pronunciarse respecto de la veracidad de los documentos proporcionados por los sujetos obligados</w:t>
      </w:r>
      <w:r w:rsidRPr="007740A2">
        <w:rPr>
          <w:rFonts w:ascii="Palatino Linotype" w:hAnsi="Palatino Linotype" w:cs="Arial"/>
          <w:bCs/>
          <w:i/>
          <w:sz w:val="22"/>
          <w:szCs w:val="22"/>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p>
    <w:p w14:paraId="2F7EACF9" w14:textId="77777777" w:rsidR="0026609E" w:rsidRPr="007740A2" w:rsidRDefault="0026609E" w:rsidP="0026609E">
      <w:pPr>
        <w:tabs>
          <w:tab w:val="left" w:pos="709"/>
        </w:tabs>
        <w:ind w:left="567" w:right="1324"/>
        <w:jc w:val="both"/>
        <w:rPr>
          <w:rFonts w:ascii="Palatino Linotype" w:hAnsi="Palatino Linotype" w:cs="Arial"/>
          <w:b/>
          <w:bCs/>
          <w:i/>
          <w:sz w:val="22"/>
          <w:szCs w:val="22"/>
          <w:lang w:val="es-MX"/>
        </w:rPr>
      </w:pPr>
      <w:r w:rsidRPr="007740A2">
        <w:rPr>
          <w:rFonts w:ascii="Palatino Linotype" w:hAnsi="Palatino Linotype" w:cs="Arial"/>
          <w:bCs/>
          <w:i/>
          <w:sz w:val="22"/>
          <w:szCs w:val="22"/>
          <w:lang w:val="es-MX"/>
        </w:rPr>
        <w:t>recurso revisión, al respecto.</w:t>
      </w:r>
      <w:r w:rsidRPr="007740A2">
        <w:rPr>
          <w:rFonts w:ascii="Palatino Linotype" w:hAnsi="Palatino Linotype" w:cs="Arial"/>
          <w:b/>
          <w:bCs/>
          <w:i/>
          <w:sz w:val="22"/>
          <w:szCs w:val="22"/>
          <w:lang w:val="es-MX"/>
        </w:rPr>
        <w:t>”</w:t>
      </w:r>
    </w:p>
    <w:p w14:paraId="29BE9D4E" w14:textId="77777777" w:rsidR="0026609E" w:rsidRPr="007740A2" w:rsidRDefault="0026609E" w:rsidP="0026609E">
      <w:pPr>
        <w:spacing w:line="360" w:lineRule="auto"/>
        <w:contextualSpacing/>
        <w:jc w:val="both"/>
        <w:rPr>
          <w:rFonts w:ascii="Palatino Linotype" w:eastAsia="Calibri" w:hAnsi="Palatino Linotype"/>
        </w:rPr>
      </w:pPr>
    </w:p>
    <w:p w14:paraId="10A592CE" w14:textId="77777777" w:rsidR="0026609E" w:rsidRPr="007740A2" w:rsidRDefault="0026609E" w:rsidP="0026609E">
      <w:pPr>
        <w:spacing w:line="360" w:lineRule="auto"/>
        <w:contextualSpacing/>
        <w:jc w:val="both"/>
        <w:rPr>
          <w:rFonts w:ascii="Palatino Linotype" w:eastAsia="Calibri" w:hAnsi="Palatino Linotype"/>
        </w:rPr>
      </w:pPr>
      <w:r w:rsidRPr="007740A2">
        <w:rPr>
          <w:rFonts w:ascii="Palatino Linotype" w:eastAsia="Calibri" w:hAnsi="Palatino Linotype"/>
        </w:rPr>
        <w:t xml:space="preserve">Así mismo el artículo 4 de la </w:t>
      </w:r>
      <w:r w:rsidRPr="007740A2">
        <w:rPr>
          <w:rFonts w:ascii="Palatino Linotype" w:eastAsia="Calibri" w:hAnsi="Palatino Linotype"/>
          <w:b/>
        </w:rPr>
        <w:t>Ley de Transparencia y Acceso a la Información Pública del Estado de México y Municipios</w:t>
      </w:r>
      <w:r w:rsidRPr="007740A2">
        <w:rPr>
          <w:rFonts w:ascii="Palatino Linotype" w:eastAsia="Calibri" w:hAnsi="Palatino Linotype"/>
        </w:rPr>
        <w:t xml:space="preserve"> establece que la información pública generada, administrada o en posesión de los Sujetos Obligados en ejercicio de sus atribuciones, será accesible de manera permanente a cualquier persona, </w:t>
      </w:r>
      <w:r w:rsidRPr="007740A2">
        <w:rPr>
          <w:rFonts w:ascii="Palatino Linotype" w:eastAsia="Calibri" w:hAnsi="Palatino Linotype"/>
        </w:rPr>
        <w:lastRenderedPageBreak/>
        <w:t>privilegiando el principio de máxima publicidad de la información, por lo que deberán apegarse en todo momento a los criterios de publicidad, veracidad, oportunidad entre otros, dispositivo legal en comento que a la letra señala:</w:t>
      </w:r>
    </w:p>
    <w:p w14:paraId="3AFD97AB" w14:textId="77777777" w:rsidR="0026609E" w:rsidRPr="007740A2" w:rsidRDefault="0026609E" w:rsidP="0026609E">
      <w:pPr>
        <w:spacing w:line="360" w:lineRule="auto"/>
        <w:ind w:left="426"/>
        <w:contextualSpacing/>
        <w:jc w:val="both"/>
        <w:rPr>
          <w:rFonts w:ascii="Palatino Linotype" w:eastAsia="Calibri" w:hAnsi="Palatino Linotype"/>
        </w:rPr>
      </w:pPr>
    </w:p>
    <w:p w14:paraId="2DB042C1" w14:textId="77777777" w:rsidR="0026609E" w:rsidRPr="007740A2" w:rsidRDefault="0026609E" w:rsidP="0026609E">
      <w:pPr>
        <w:ind w:left="851" w:right="851"/>
        <w:contextualSpacing/>
        <w:jc w:val="both"/>
        <w:rPr>
          <w:rFonts w:ascii="Palatino Linotype" w:eastAsia="Calibri" w:hAnsi="Palatino Linotype"/>
          <w:sz w:val="22"/>
        </w:rPr>
      </w:pPr>
      <w:r w:rsidRPr="007740A2">
        <w:rPr>
          <w:rFonts w:ascii="Palatino Linotype" w:eastAsia="Calibri" w:hAnsi="Palatino Linotype"/>
          <w:b/>
          <w:i/>
          <w:sz w:val="22"/>
        </w:rPr>
        <w:t>Artículo 4.</w:t>
      </w:r>
      <w:r w:rsidRPr="007740A2">
        <w:rPr>
          <w:rFonts w:ascii="Palatino Linotype" w:eastAsia="Calibri"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50F8FD67" w14:textId="77777777" w:rsidR="006B6C5C" w:rsidRPr="006B6C5C" w:rsidRDefault="006B6C5C" w:rsidP="005D6251">
      <w:pPr>
        <w:spacing w:line="276" w:lineRule="auto"/>
        <w:ind w:right="851"/>
        <w:jc w:val="both"/>
        <w:rPr>
          <w:rFonts w:ascii="Palatino Linotype" w:hAnsi="Palatino Linotype"/>
          <w:i/>
          <w:color w:val="222222"/>
          <w:sz w:val="22"/>
          <w:lang w:eastAsia="es-MX"/>
        </w:rPr>
      </w:pPr>
    </w:p>
    <w:p w14:paraId="5D635241" w14:textId="77777777" w:rsidR="004B2BD8" w:rsidRPr="00243426" w:rsidRDefault="004B2BD8" w:rsidP="00243426">
      <w:pPr>
        <w:spacing w:line="276" w:lineRule="auto"/>
        <w:ind w:left="567" w:right="851"/>
        <w:contextualSpacing/>
        <w:jc w:val="both"/>
        <w:rPr>
          <w:rFonts w:ascii="Palatino Linotype" w:eastAsia="Calibri" w:hAnsi="Palatino Linotype"/>
          <w:sz w:val="22"/>
          <w:lang w:val="es-MX"/>
        </w:rPr>
      </w:pPr>
    </w:p>
    <w:p w14:paraId="7054A134" w14:textId="6A70AD80" w:rsidR="00D20796" w:rsidRPr="00D20796" w:rsidRDefault="00D20796" w:rsidP="00D20796">
      <w:pPr>
        <w:spacing w:line="360" w:lineRule="auto"/>
        <w:contextualSpacing/>
        <w:jc w:val="both"/>
        <w:rPr>
          <w:rFonts w:ascii="Palatino Linotype" w:eastAsia="Calibri" w:hAnsi="Palatino Linotype"/>
        </w:rPr>
      </w:pPr>
      <w:r w:rsidRPr="00D20796">
        <w:rPr>
          <w:rFonts w:ascii="Palatino Linotype" w:eastAsia="Calibri" w:hAnsi="Palatino Linotype"/>
          <w:lang w:val="es-MX"/>
        </w:rPr>
        <w:t xml:space="preserve">Precisado lo anterior, </w:t>
      </w:r>
      <w:r w:rsidRPr="00D20796">
        <w:rPr>
          <w:rFonts w:ascii="Palatino Linotype" w:eastAsia="Calibri" w:hAnsi="Palatino Linotype"/>
        </w:rPr>
        <w:t xml:space="preserve">por lo que hace a las causas de sobreseimiento contenidas en la fracción III del artículo 192 de la </w:t>
      </w:r>
      <w:r w:rsidRPr="00D20796">
        <w:rPr>
          <w:rFonts w:ascii="Palatino Linotype" w:eastAsia="Calibri" w:hAnsi="Palatino Linotype"/>
          <w:b/>
        </w:rPr>
        <w:t>Ley de Transparencia y Acceso a la Información Pública del Estado de México y Municipios</w:t>
      </w:r>
      <w:r w:rsidRPr="00D20796">
        <w:rPr>
          <w:rFonts w:ascii="Palatino Linotype" w:eastAsia="Calibri" w:hAnsi="Palatino Linotype"/>
        </w:rPr>
        <w:t xml:space="preserve">, es oportuno señalar que estos requisitos privilegian la existencia de elementos de fondo, tales como el desistimiento o fallecimiento del </w:t>
      </w:r>
      <w:r w:rsidR="006F7DE7" w:rsidRPr="00D20796">
        <w:rPr>
          <w:rFonts w:ascii="Palatino Linotype" w:eastAsia="Calibri" w:hAnsi="Palatino Linotype"/>
          <w:b/>
        </w:rPr>
        <w:t>Recurrente</w:t>
      </w:r>
      <w:r w:rsidRPr="00D20796">
        <w:rPr>
          <w:rFonts w:ascii="Palatino Linotype" w:eastAsia="Calibri" w:hAnsi="Palatino Linotype"/>
        </w:rPr>
        <w:t xml:space="preserve"> o que el </w:t>
      </w:r>
      <w:r w:rsidR="006F7DE7" w:rsidRPr="00D20796">
        <w:rPr>
          <w:rFonts w:ascii="Palatino Linotype" w:eastAsia="Calibri" w:hAnsi="Palatino Linotype"/>
          <w:b/>
        </w:rPr>
        <w:t>Sujeto Obligado</w:t>
      </w:r>
      <w:r w:rsidR="006F7DE7" w:rsidRPr="00D20796">
        <w:rPr>
          <w:rFonts w:ascii="Palatino Linotype" w:eastAsia="Calibri" w:hAnsi="Palatino Linotype"/>
        </w:rPr>
        <w:t xml:space="preserve"> </w:t>
      </w:r>
      <w:r w:rsidRPr="00D20796">
        <w:rPr>
          <w:rFonts w:ascii="Palatino Linotype" w:eastAsia="Calibri" w:hAnsi="Palatino Linotype"/>
          <w:b/>
          <w:u w:val="single"/>
        </w:rPr>
        <w:t>modifique o revoque el acto</w:t>
      </w:r>
      <w:r w:rsidRPr="00D20796">
        <w:rPr>
          <w:rFonts w:ascii="Palatino Linotype" w:eastAsia="Calibri" w:hAnsi="Palatino Linotype"/>
        </w:rPr>
        <w:t>; de ahí que la actualización de alguno de éstos trae como consecuencia que el medio de impugnación se concluya sin que se analice el objeto de estudio planteado, es decir se sobresea.</w:t>
      </w:r>
    </w:p>
    <w:p w14:paraId="51CB0384" w14:textId="107BC5F9" w:rsidR="00D20796" w:rsidRDefault="00D20796" w:rsidP="00D20796">
      <w:pPr>
        <w:spacing w:line="360" w:lineRule="auto"/>
        <w:contextualSpacing/>
        <w:jc w:val="both"/>
        <w:rPr>
          <w:rFonts w:ascii="Palatino Linotype" w:eastAsia="Calibri" w:hAnsi="Palatino Linotype"/>
        </w:rPr>
      </w:pPr>
      <w:r w:rsidRPr="00D20796">
        <w:rPr>
          <w:rFonts w:ascii="Palatino Linotype" w:eastAsia="Calibri" w:hAnsi="Palatino Linotype"/>
        </w:rPr>
        <w:lastRenderedPageBreak/>
        <w:t xml:space="preserve">Para los efectos de esta resolución, es oportuno precisar los alcances jurídicos de la fracción III de la disposición legal transcrita. Así, procede el sobreseimiento del recurso de revisión cuando el </w:t>
      </w:r>
      <w:r w:rsidR="006F7DE7" w:rsidRPr="00D20796">
        <w:rPr>
          <w:rFonts w:ascii="Palatino Linotype" w:eastAsia="Calibri" w:hAnsi="Palatino Linotype"/>
          <w:b/>
        </w:rPr>
        <w:t>Sujeto Obligado</w:t>
      </w:r>
      <w:r w:rsidRPr="00D20796">
        <w:rPr>
          <w:rFonts w:ascii="Palatino Linotype" w:eastAsia="Calibri" w:hAnsi="Palatino Linotype"/>
        </w:rPr>
        <w:t>:</w:t>
      </w:r>
    </w:p>
    <w:p w14:paraId="5A4896F7" w14:textId="77777777" w:rsidR="009B34B5" w:rsidRPr="00D20796" w:rsidRDefault="009B34B5" w:rsidP="00D20796">
      <w:pPr>
        <w:spacing w:line="360" w:lineRule="auto"/>
        <w:contextualSpacing/>
        <w:jc w:val="both"/>
        <w:rPr>
          <w:rFonts w:ascii="Palatino Linotype" w:eastAsia="Calibri" w:hAnsi="Palatino Linotype"/>
        </w:rPr>
      </w:pPr>
    </w:p>
    <w:p w14:paraId="7452CA2C" w14:textId="1B8C311A" w:rsidR="00D20796" w:rsidRPr="00D20796" w:rsidRDefault="00D20796" w:rsidP="00D20796">
      <w:pPr>
        <w:numPr>
          <w:ilvl w:val="0"/>
          <w:numId w:val="11"/>
        </w:numPr>
        <w:spacing w:line="360" w:lineRule="auto"/>
        <w:ind w:right="616"/>
        <w:contextualSpacing/>
        <w:jc w:val="both"/>
        <w:rPr>
          <w:rFonts w:ascii="Palatino Linotype" w:hAnsi="Palatino Linotype" w:cs="Arial"/>
          <w:szCs w:val="22"/>
          <w:lang w:val="es-MX" w:eastAsia="en-US"/>
        </w:rPr>
      </w:pPr>
      <w:r w:rsidRPr="00D20796">
        <w:rPr>
          <w:rFonts w:ascii="Palatino Linotype" w:hAnsi="Palatino Linotype" w:cs="Arial"/>
          <w:b/>
          <w:szCs w:val="22"/>
          <w:lang w:val="es-MX" w:eastAsia="en-US"/>
        </w:rPr>
        <w:t>Modifique el acto impugnado:</w:t>
      </w:r>
      <w:r w:rsidRPr="00D20796">
        <w:rPr>
          <w:rFonts w:ascii="Palatino Linotype" w:hAnsi="Palatino Linotype" w:cs="Arial"/>
          <w:szCs w:val="22"/>
          <w:lang w:val="es-MX" w:eastAsia="en-US"/>
        </w:rPr>
        <w:t xml:space="preserve"> Se actualiza cuando el </w:t>
      </w:r>
      <w:r w:rsidR="006F7DE7" w:rsidRPr="006F7DE7">
        <w:rPr>
          <w:rFonts w:ascii="Palatino Linotype" w:hAnsi="Palatino Linotype" w:cs="Arial"/>
          <w:b/>
          <w:szCs w:val="22"/>
          <w:lang w:val="es-MX" w:eastAsia="en-US"/>
        </w:rPr>
        <w:t>Sujeto Obligado</w:t>
      </w:r>
      <w:r w:rsidR="006F7DE7" w:rsidRPr="006F7DE7">
        <w:rPr>
          <w:rFonts w:ascii="Palatino Linotype" w:hAnsi="Palatino Linotype" w:cs="Arial"/>
          <w:szCs w:val="22"/>
          <w:lang w:val="es-MX" w:eastAsia="en-US"/>
        </w:rPr>
        <w:t xml:space="preserve"> </w:t>
      </w:r>
      <w:r w:rsidRPr="00D20796">
        <w:rPr>
          <w:rFonts w:ascii="Palatino Linotype" w:hAnsi="Palatino Linotype" w:cs="Arial"/>
          <w:szCs w:val="22"/>
          <w:lang w:val="es-MX" w:eastAsia="en-US"/>
        </w:rPr>
        <w:t>después de haber otorgado una respuesta y hasta antes de dictada la resolución del recurso de revisión, emite una diversa en la que subsane las deficiencias que hubiera tenido.</w:t>
      </w:r>
    </w:p>
    <w:p w14:paraId="2722F76B" w14:textId="1AFAEBD4" w:rsidR="00D20796" w:rsidRPr="00D20796" w:rsidRDefault="00D20796" w:rsidP="00D20796">
      <w:pPr>
        <w:numPr>
          <w:ilvl w:val="0"/>
          <w:numId w:val="11"/>
        </w:numPr>
        <w:spacing w:line="360" w:lineRule="auto"/>
        <w:ind w:right="616"/>
        <w:contextualSpacing/>
        <w:jc w:val="both"/>
        <w:rPr>
          <w:rFonts w:ascii="Palatino Linotype" w:hAnsi="Palatino Linotype" w:cs="Arial"/>
          <w:szCs w:val="22"/>
          <w:lang w:val="es-MX" w:eastAsia="en-US"/>
        </w:rPr>
      </w:pPr>
      <w:r w:rsidRPr="00D20796">
        <w:rPr>
          <w:rFonts w:ascii="Palatino Linotype" w:hAnsi="Palatino Linotype" w:cs="Arial"/>
          <w:b/>
          <w:szCs w:val="22"/>
          <w:lang w:val="es-MX" w:eastAsia="en-US"/>
        </w:rPr>
        <w:t>Revoque el acto impugnado:</w:t>
      </w:r>
      <w:r w:rsidRPr="00D20796">
        <w:rPr>
          <w:rFonts w:ascii="Palatino Linotype" w:hAnsi="Palatino Linotype" w:cs="Arial"/>
          <w:szCs w:val="22"/>
          <w:lang w:val="es-MX" w:eastAsia="en-US"/>
        </w:rPr>
        <w:t xml:space="preserve"> En este supuesto, el </w:t>
      </w:r>
      <w:r w:rsidR="006F7DE7" w:rsidRPr="006F7DE7">
        <w:rPr>
          <w:rFonts w:ascii="Palatino Linotype" w:hAnsi="Palatino Linotype" w:cs="Arial"/>
          <w:b/>
          <w:szCs w:val="22"/>
          <w:lang w:val="es-MX" w:eastAsia="en-US"/>
        </w:rPr>
        <w:t>Sujeto Obligado</w:t>
      </w:r>
      <w:r w:rsidR="006F7DE7" w:rsidRPr="006F7DE7">
        <w:rPr>
          <w:rFonts w:ascii="Palatino Linotype" w:hAnsi="Palatino Linotype" w:cs="Arial"/>
          <w:szCs w:val="22"/>
          <w:lang w:val="es-MX" w:eastAsia="en-US"/>
        </w:rPr>
        <w:t xml:space="preserve"> </w:t>
      </w:r>
      <w:r w:rsidRPr="00D20796">
        <w:rPr>
          <w:rFonts w:ascii="Palatino Linotype" w:hAnsi="Palatino Linotype" w:cs="Arial"/>
          <w:szCs w:val="22"/>
          <w:lang w:val="es-MX" w:eastAsia="en-US"/>
        </w:rPr>
        <w:t>deja sin efectos la primera respuesta y en su lugar emite otra que satisfaga lo solicitado por el particular en un primer momento.</w:t>
      </w:r>
    </w:p>
    <w:p w14:paraId="037A7A0C" w14:textId="77777777" w:rsidR="00D20796" w:rsidRPr="00D20796" w:rsidRDefault="00D20796" w:rsidP="00D20796">
      <w:pPr>
        <w:spacing w:line="360" w:lineRule="auto"/>
        <w:ind w:right="616"/>
        <w:contextualSpacing/>
        <w:jc w:val="both"/>
        <w:rPr>
          <w:rFonts w:ascii="Palatino Linotype" w:hAnsi="Palatino Linotype" w:cs="Arial"/>
        </w:rPr>
      </w:pPr>
    </w:p>
    <w:p w14:paraId="0CA8DE5A"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4566DAD1" w14:textId="3EF5C8D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En el presente asunto, se advierte que el </w:t>
      </w:r>
      <w:r w:rsidR="006F7DE7" w:rsidRPr="00D20796">
        <w:rPr>
          <w:rFonts w:ascii="Palatino Linotype" w:eastAsia="Calibri" w:hAnsi="Palatino Linotype"/>
          <w:b/>
        </w:rPr>
        <w:t>Sujeto Obligado</w:t>
      </w:r>
      <w:r w:rsidR="006F7DE7" w:rsidRPr="00D20796">
        <w:rPr>
          <w:rFonts w:ascii="Palatino Linotype" w:eastAsia="Calibri" w:hAnsi="Palatino Linotype"/>
        </w:rPr>
        <w:t xml:space="preserve"> </w:t>
      </w:r>
      <w:r w:rsidRPr="00D20796">
        <w:rPr>
          <w:rFonts w:ascii="Palatino Linotype" w:eastAsia="Calibri" w:hAnsi="Palatino Linotype"/>
        </w:rPr>
        <w:t xml:space="preserve">con la información enviada a través del informe justificado, </w:t>
      </w:r>
      <w:r w:rsidRPr="00D20796">
        <w:rPr>
          <w:rFonts w:ascii="Palatino Linotype" w:eastAsia="Calibri" w:hAnsi="Palatino Linotype"/>
          <w:b/>
        </w:rPr>
        <w:t>modifica</w:t>
      </w:r>
      <w:r w:rsidRPr="00D20796">
        <w:rPr>
          <w:rFonts w:ascii="Palatino Linotype" w:eastAsia="Calibri" w:hAnsi="Palatino Linotype"/>
        </w:rPr>
        <w:t xml:space="preserve"> el acto que le dio origen al recurso de revisión, lo que trae como consecuencia que el mismo quede sin materia, actualizándose de este modo, la hipótesis jurídica contenida en la fracción III del citado artículo; esto es así pues la información remitida por este proporciona la información que le fue solicitada.</w:t>
      </w:r>
    </w:p>
    <w:p w14:paraId="15E55FA4" w14:textId="1014343F"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lastRenderedPageBreak/>
        <w:t xml:space="preserve">En el particular, el Sujeto Obligado al momento de rendir su </w:t>
      </w:r>
      <w:r w:rsidR="00C75446">
        <w:rPr>
          <w:rFonts w:ascii="Palatino Linotype" w:eastAsia="Calibri" w:hAnsi="Palatino Linotype"/>
        </w:rPr>
        <w:t>informe justificado, proporcionó</w:t>
      </w:r>
      <w:r w:rsidRPr="00D20796">
        <w:rPr>
          <w:rFonts w:ascii="Palatino Linotype" w:eastAsia="Calibri" w:hAnsi="Palatino Linotype"/>
        </w:rPr>
        <w:t xml:space="preserve"> información novedosa, misma que contiene argumentos por más idóneos, pertinentes y suficientes para tener por atendido el derecho de acceso a la información ejercido por el particular.</w:t>
      </w:r>
    </w:p>
    <w:p w14:paraId="1B92D6A5" w14:textId="24680627" w:rsidR="00D20796" w:rsidRPr="00D20796" w:rsidRDefault="00C75446" w:rsidP="00D20796">
      <w:pPr>
        <w:spacing w:before="240" w:after="240" w:line="360" w:lineRule="auto"/>
        <w:contextualSpacing/>
        <w:jc w:val="both"/>
        <w:rPr>
          <w:rFonts w:ascii="Palatino Linotype" w:eastAsia="Calibri" w:hAnsi="Palatino Linotype"/>
        </w:rPr>
      </w:pPr>
      <w:r>
        <w:rPr>
          <w:rFonts w:ascii="Palatino Linotype" w:eastAsia="Calibri" w:hAnsi="Palatino Linotype"/>
        </w:rPr>
        <w:t xml:space="preserve">Ante el acto impugnado </w:t>
      </w:r>
      <w:r w:rsidR="00D20796" w:rsidRPr="00D20796">
        <w:rPr>
          <w:rFonts w:ascii="Palatino Linotype" w:eastAsia="Calibri" w:hAnsi="Palatino Linotype"/>
        </w:rPr>
        <w:t xml:space="preserve">configuró al momento de interponer la garantía secundaria, la parte recurrente, refirió en sus motivos de inconformidad que el </w:t>
      </w:r>
      <w:r w:rsidR="00D20796" w:rsidRPr="00D20796">
        <w:rPr>
          <w:rFonts w:ascii="Palatino Linotype" w:eastAsia="Calibri" w:hAnsi="Palatino Linotype"/>
          <w:b/>
        </w:rPr>
        <w:t>Sujeto Obligado</w:t>
      </w:r>
      <w:r w:rsidR="00D20796" w:rsidRPr="00D20796">
        <w:rPr>
          <w:rFonts w:ascii="Palatino Linotype" w:eastAsia="Calibri" w:hAnsi="Palatino Linotype"/>
        </w:rPr>
        <w:t xml:space="preserve"> había sido omiso en otorgar respuesta a su requerimiento en el tiempo que la legislación prevé para ello.</w:t>
      </w:r>
    </w:p>
    <w:p w14:paraId="6B413707" w14:textId="77777777" w:rsidR="00D20796" w:rsidRPr="00D20796" w:rsidRDefault="00D20796" w:rsidP="00D20796">
      <w:pPr>
        <w:spacing w:before="240" w:after="240" w:line="360" w:lineRule="auto"/>
        <w:contextualSpacing/>
        <w:jc w:val="both"/>
        <w:rPr>
          <w:rFonts w:ascii="Palatino Linotype" w:eastAsia="Calibri" w:hAnsi="Palatino Linotype"/>
        </w:rPr>
      </w:pPr>
    </w:p>
    <w:p w14:paraId="3FE9057F" w14:textId="77777777" w:rsid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No obstante, lo anterior, el </w:t>
      </w:r>
      <w:r w:rsidRPr="00D20796">
        <w:rPr>
          <w:rFonts w:ascii="Palatino Linotype" w:eastAsia="Calibri" w:hAnsi="Palatino Linotype"/>
          <w:b/>
        </w:rPr>
        <w:t>Sujeto Obligado</w:t>
      </w:r>
      <w:r w:rsidRPr="00D20796">
        <w:rPr>
          <w:rFonts w:ascii="Palatino Linotype" w:eastAsia="Calibri" w:hAnsi="Palatino Linotype"/>
        </w:rPr>
        <w:t xml:space="preserve"> al momento de rendir su informe justificado, amplió los argumentos de su respuesta inicial, consecuentemente se actualiza la causa de sobreseimiento establecida en el artículo 192 fracción III.</w:t>
      </w:r>
    </w:p>
    <w:p w14:paraId="2DD47559" w14:textId="77777777" w:rsidR="009B34B5" w:rsidRPr="00D20796" w:rsidRDefault="009B34B5" w:rsidP="00D20796">
      <w:pPr>
        <w:spacing w:before="240" w:after="240" w:line="360" w:lineRule="auto"/>
        <w:contextualSpacing/>
        <w:jc w:val="both"/>
        <w:rPr>
          <w:rFonts w:ascii="Palatino Linotype" w:eastAsia="Calibri" w:hAnsi="Palatino Linotype"/>
        </w:rPr>
      </w:pPr>
    </w:p>
    <w:p w14:paraId="6984C003" w14:textId="50361D7E" w:rsidR="00D20796" w:rsidRDefault="00D20796" w:rsidP="00D20796">
      <w:pPr>
        <w:spacing w:before="240" w:after="240" w:line="360" w:lineRule="auto"/>
        <w:contextualSpacing/>
        <w:jc w:val="both"/>
        <w:rPr>
          <w:rFonts w:ascii="Palatino Linotype" w:hAnsi="Palatino Linotype"/>
        </w:rPr>
      </w:pPr>
      <w:r w:rsidRPr="00D20796">
        <w:rPr>
          <w:rFonts w:ascii="Palatino Linotype" w:eastAsia="MS Mincho" w:hAnsi="Palatino Linotype"/>
        </w:rPr>
        <w:t xml:space="preserve">Por </w:t>
      </w:r>
      <w:r w:rsidRPr="00D20796">
        <w:rPr>
          <w:rFonts w:ascii="Palatino Linotype" w:hAnsi="Palatino Linotype"/>
        </w:rPr>
        <w:t>consiguiente</w:t>
      </w:r>
      <w:r w:rsidRPr="00D20796">
        <w:rPr>
          <w:rFonts w:ascii="Palatino Linotype" w:eastAsia="MS Mincho" w:hAnsi="Palatino Linotype"/>
        </w:rPr>
        <w:t xml:space="preserve">, con lo remitido por el </w:t>
      </w:r>
      <w:r w:rsidR="006F7DE7" w:rsidRPr="00D20796">
        <w:rPr>
          <w:rFonts w:ascii="Palatino Linotype" w:eastAsia="MS Mincho" w:hAnsi="Palatino Linotype"/>
          <w:b/>
        </w:rPr>
        <w:t xml:space="preserve">Sujeto Obligado </w:t>
      </w:r>
      <w:r w:rsidRPr="00D20796">
        <w:rPr>
          <w:rFonts w:ascii="Palatino Linotype" w:eastAsia="MS Mincho" w:hAnsi="Palatino Linotype"/>
        </w:rPr>
        <w:t xml:space="preserve">se tiene por colmado el presente recurso de </w:t>
      </w:r>
      <w:r w:rsidRPr="00D20796">
        <w:rPr>
          <w:rFonts w:ascii="Palatino Linotype" w:hAnsi="Palatino Linotype" w:cs="Arial"/>
          <w:lang w:eastAsia="es-MX"/>
        </w:rPr>
        <w:t>revisión</w:t>
      </w:r>
      <w:r w:rsidRPr="00D20796">
        <w:rPr>
          <w:rFonts w:ascii="Palatino Linotype" w:eastAsia="MS Mincho" w:hAnsi="Palatino Linotype"/>
        </w:rPr>
        <w:t>, al atender lo requerido a</w:t>
      </w:r>
      <w:r w:rsidRPr="00D20796">
        <w:rPr>
          <w:rFonts w:ascii="Palatino Linotype" w:hAnsi="Palatino Linotype"/>
        </w:rPr>
        <w:t xml:space="preserve">tento a lo anterior, se tiene que, al haber existido un </w:t>
      </w:r>
      <w:r w:rsidRPr="00D20796">
        <w:rPr>
          <w:rFonts w:ascii="Palatino Linotype" w:hAnsi="Palatino Linotype" w:cs="Arial"/>
        </w:rPr>
        <w:t>pronunciamiento</w:t>
      </w:r>
      <w:r w:rsidRPr="00D20796">
        <w:rPr>
          <w:rFonts w:ascii="Palatino Linotype" w:hAnsi="Palatino Linotype"/>
        </w:rPr>
        <w:t xml:space="preserve"> por parte del </w:t>
      </w:r>
      <w:r w:rsidR="006F7DE7" w:rsidRPr="00D20796">
        <w:rPr>
          <w:rFonts w:ascii="Palatino Linotype" w:eastAsia="MS Mincho" w:hAnsi="Palatino Linotype"/>
          <w:b/>
        </w:rPr>
        <w:t>Sujeto Obligado</w:t>
      </w:r>
      <w:r w:rsidR="006F7DE7" w:rsidRPr="00D20796">
        <w:rPr>
          <w:rFonts w:ascii="Palatino Linotype" w:hAnsi="Palatino Linotype"/>
          <w:b/>
        </w:rPr>
        <w:t xml:space="preserve"> </w:t>
      </w:r>
      <w:r w:rsidRPr="00D20796">
        <w:rPr>
          <w:rFonts w:ascii="Palatino Linotype" w:hAnsi="Palatino Linotype"/>
        </w:rPr>
        <w:t>para dar respuesta a la solicitud de información, este Instituto concluye que se atiende la solicitud de información del Recurrente</w:t>
      </w:r>
    </w:p>
    <w:p w14:paraId="3B0AB86D" w14:textId="77777777" w:rsidR="002E2F78" w:rsidRPr="00D20796" w:rsidRDefault="002E2F78" w:rsidP="00D20796">
      <w:pPr>
        <w:spacing w:before="240" w:after="240" w:line="360" w:lineRule="auto"/>
        <w:contextualSpacing/>
        <w:jc w:val="both"/>
        <w:rPr>
          <w:rFonts w:ascii="Palatino Linotype" w:eastAsia="Calibri" w:hAnsi="Palatino Linotype"/>
        </w:rPr>
      </w:pPr>
    </w:p>
    <w:p w14:paraId="24C71BFE" w14:textId="4BE9053B"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w:t>
      </w:r>
      <w:r w:rsidRPr="00D20796">
        <w:rPr>
          <w:rFonts w:ascii="Palatino Linotype" w:eastAsia="Calibri" w:hAnsi="Palatino Linotype"/>
        </w:rPr>
        <w:lastRenderedPageBreak/>
        <w:t xml:space="preserve">los </w:t>
      </w:r>
      <w:r w:rsidR="002E2F78" w:rsidRPr="00D20796">
        <w:rPr>
          <w:rFonts w:ascii="Palatino Linotype" w:eastAsia="Calibri" w:hAnsi="Palatino Linotype"/>
          <w:b/>
        </w:rPr>
        <w:t>Sujetos Obligados</w:t>
      </w:r>
      <w:r w:rsidR="002E2F78" w:rsidRPr="00D20796">
        <w:rPr>
          <w:rFonts w:ascii="Palatino Linotype" w:eastAsia="Calibri" w:hAnsi="Palatino Linotype"/>
        </w:rPr>
        <w:t xml:space="preserve"> </w:t>
      </w:r>
      <w:r w:rsidRPr="00D20796">
        <w:rPr>
          <w:rFonts w:ascii="Palatino Linotype" w:eastAsia="Calibri" w:hAnsi="Palatino Linotype"/>
        </w:rPr>
        <w:t>o la negativa de entrega de la misma, derivada de la solicitud de información pública.</w:t>
      </w:r>
    </w:p>
    <w:p w14:paraId="05899E24" w14:textId="7901A1CF"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De este modo, cuando el </w:t>
      </w:r>
      <w:r w:rsidR="002E2F78" w:rsidRPr="00D20796">
        <w:rPr>
          <w:rFonts w:ascii="Palatino Linotype" w:eastAsia="Calibri" w:hAnsi="Palatino Linotype"/>
          <w:b/>
        </w:rPr>
        <w:t>Sujeto Obligado</w:t>
      </w:r>
      <w:r w:rsidRPr="00D20796">
        <w:rPr>
          <w:rFonts w:ascii="Palatino Linotype" w:eastAsia="Calibri" w:hAnsi="Palatino Linotype"/>
          <w:b/>
        </w:rPr>
        <w:t xml:space="preserve">, </w:t>
      </w:r>
      <w:r w:rsidRPr="00D20796">
        <w:rPr>
          <w:rFonts w:ascii="Palatino Linotype" w:eastAsia="Calibri" w:hAnsi="Palatino Linotype"/>
        </w:rPr>
        <w:t xml:space="preserve">antes de que se dicte resolución definitiva, entrega la información solicitada o completa la información </w:t>
      </w:r>
      <w:r w:rsidRPr="00C1778D">
        <w:rPr>
          <w:rFonts w:ascii="Palatino Linotype" w:eastAsia="Calibri" w:hAnsi="Palatino Linotype"/>
        </w:rPr>
        <w:t xml:space="preserve">que </w:t>
      </w:r>
      <w:r w:rsidR="00C75446" w:rsidRPr="00C1778D">
        <w:rPr>
          <w:rFonts w:ascii="Palatino Linotype" w:eastAsia="Calibri" w:hAnsi="Palatino Linotype"/>
        </w:rPr>
        <w:t xml:space="preserve">no colmó </w:t>
      </w:r>
      <w:r w:rsidRPr="00C1778D">
        <w:rPr>
          <w:rFonts w:ascii="Palatino Linotype" w:eastAsia="Calibri" w:hAnsi="Palatino Linotype"/>
        </w:rPr>
        <w:t>en un primer momento;</w:t>
      </w:r>
      <w:r w:rsidRPr="00D20796">
        <w:rPr>
          <w:rFonts w:ascii="Palatino Linotype" w:eastAsia="Calibri" w:hAnsi="Palatino Linotype"/>
        </w:rPr>
        <w:t xml:space="preserve"> el recurso de revisión que al efecto se haya interpuesto queda sin materia lo que imposibilita el estudio de fondo de la </w:t>
      </w:r>
      <w:r w:rsidRPr="00D20796">
        <w:rPr>
          <w:rFonts w:ascii="Palatino Linotype" w:eastAsia="Calibri" w:hAnsi="Palatino Linotype"/>
          <w:i/>
        </w:rPr>
        <w:t>litis</w:t>
      </w:r>
      <w:r w:rsidRPr="00D20796">
        <w:rPr>
          <w:rFonts w:ascii="Palatino Linotype" w:eastAsia="Calibri" w:hAnsi="Palatino Linotype"/>
        </w:rPr>
        <w:t xml:space="preserve"> planteada, debido a que la afectación en su esfera de derechos fue restituida por la propia autoridad que emitió el acto motivo de impugnación.</w:t>
      </w:r>
    </w:p>
    <w:p w14:paraId="0B848DC5"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Sirve de sustento a lo anterior la siguiente jurisprudencia por contradicción, cuyo rubro, texto y datos de identificación son los siguientes:</w:t>
      </w:r>
    </w:p>
    <w:p w14:paraId="773F6500" w14:textId="77777777" w:rsidR="00D20796" w:rsidRPr="00D20796" w:rsidRDefault="00D20796" w:rsidP="00D20796">
      <w:pPr>
        <w:ind w:left="851" w:right="851"/>
        <w:contextualSpacing/>
        <w:jc w:val="both"/>
        <w:rPr>
          <w:rFonts w:ascii="Palatino Linotype" w:eastAsia="Calibri" w:hAnsi="Palatino Linotype"/>
        </w:rPr>
      </w:pPr>
    </w:p>
    <w:p w14:paraId="5612B82B" w14:textId="77777777" w:rsidR="00D20796" w:rsidRPr="00D20796" w:rsidRDefault="00D20796" w:rsidP="00D20796">
      <w:pPr>
        <w:ind w:left="851" w:right="851"/>
        <w:contextualSpacing/>
        <w:jc w:val="both"/>
        <w:rPr>
          <w:rFonts w:ascii="Palatino Linotype" w:eastAsia="Calibri" w:hAnsi="Palatino Linotype"/>
          <w:i/>
          <w:sz w:val="22"/>
        </w:rPr>
      </w:pPr>
      <w:r w:rsidRPr="00D20796">
        <w:rPr>
          <w:rFonts w:ascii="Palatino Linotype" w:eastAsia="Calibri" w:hAnsi="Palatino Linotype"/>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D20796">
        <w:rPr>
          <w:rFonts w:ascii="Palatino Linotype" w:eastAsia="Calibri" w:hAnsi="Palatino Linotype"/>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w:t>
      </w:r>
      <w:r w:rsidRPr="00D20796">
        <w:rPr>
          <w:rFonts w:ascii="Palatino Linotype" w:eastAsia="Calibri" w:hAnsi="Palatino Linotype"/>
          <w:i/>
          <w:sz w:val="22"/>
        </w:rPr>
        <w:lastRenderedPageBreak/>
        <w:t>de amparo o el medio ordinario de defensa que proceda, toda vez que se trata de un nuevo acto.”</w:t>
      </w:r>
    </w:p>
    <w:p w14:paraId="27303D89" w14:textId="77777777" w:rsidR="00D20796" w:rsidRPr="00D20796" w:rsidRDefault="00D20796" w:rsidP="00D20796">
      <w:pPr>
        <w:spacing w:line="360" w:lineRule="auto"/>
        <w:ind w:left="708"/>
        <w:contextualSpacing/>
        <w:jc w:val="both"/>
        <w:rPr>
          <w:rFonts w:ascii="Palatino Linotype" w:eastAsia="Calibri" w:hAnsi="Palatino Linotype"/>
          <w:i/>
        </w:rPr>
      </w:pPr>
    </w:p>
    <w:p w14:paraId="00B58A8A" w14:textId="77777777" w:rsidR="00D20796" w:rsidRPr="00D20796" w:rsidRDefault="00D20796" w:rsidP="00D20796">
      <w:pPr>
        <w:spacing w:line="360" w:lineRule="auto"/>
        <w:contextualSpacing/>
        <w:jc w:val="both"/>
        <w:rPr>
          <w:rFonts w:ascii="Palatino Linotype" w:eastAsia="Calibri" w:hAnsi="Palatino Linotype"/>
        </w:rPr>
      </w:pPr>
      <w:r w:rsidRPr="00D20796">
        <w:rPr>
          <w:rFonts w:ascii="Palatino Linotype" w:eastAsia="Calibri" w:hAnsi="Palatino Linotype"/>
        </w:rPr>
        <w:t>La anterior jurisprudencia resulta aplicable al presente asunto, en dos aspectos:</w:t>
      </w:r>
    </w:p>
    <w:p w14:paraId="4F907479" w14:textId="77777777" w:rsidR="00D20796" w:rsidRPr="00D20796" w:rsidRDefault="00D20796" w:rsidP="00D20796">
      <w:pPr>
        <w:spacing w:line="360" w:lineRule="auto"/>
        <w:ind w:left="426"/>
        <w:contextualSpacing/>
        <w:jc w:val="both"/>
        <w:rPr>
          <w:rFonts w:ascii="Palatino Linotype" w:eastAsia="Calibri" w:hAnsi="Palatino Linotype"/>
          <w:sz w:val="28"/>
        </w:rPr>
      </w:pPr>
    </w:p>
    <w:p w14:paraId="73D12377" w14:textId="4EEC35D4" w:rsidR="00D20796" w:rsidRPr="00D20796" w:rsidRDefault="00D20796" w:rsidP="00D20796">
      <w:pPr>
        <w:numPr>
          <w:ilvl w:val="0"/>
          <w:numId w:val="12"/>
        </w:numPr>
        <w:spacing w:line="360" w:lineRule="auto"/>
        <w:ind w:left="567" w:right="900" w:hanging="141"/>
        <w:contextualSpacing/>
        <w:jc w:val="both"/>
        <w:rPr>
          <w:rFonts w:ascii="Palatino Linotype" w:eastAsia="Calibri" w:hAnsi="Palatino Linotype"/>
          <w:sz w:val="22"/>
          <w:szCs w:val="22"/>
          <w:lang w:val="es-MX" w:eastAsia="en-US"/>
        </w:rPr>
      </w:pPr>
      <w:r w:rsidRPr="00D20796">
        <w:rPr>
          <w:rFonts w:ascii="Palatino Linotype" w:eastAsia="Calibri" w:hAnsi="Palatino Linotype"/>
          <w:b/>
          <w:sz w:val="22"/>
          <w:szCs w:val="22"/>
          <w:lang w:val="es-MX" w:eastAsia="en-US"/>
        </w:rPr>
        <w:t>La cesación de los efectos perniciosos del acto de autoridad:</w:t>
      </w:r>
      <w:r w:rsidRPr="00D20796">
        <w:rPr>
          <w:rFonts w:ascii="Palatino Linotype" w:eastAsia="Calibri" w:hAnsi="Palatino Linotype"/>
          <w:sz w:val="22"/>
          <w:szCs w:val="22"/>
          <w:lang w:val="es-MX" w:eastAsia="en-US"/>
        </w:rPr>
        <w:t xml:space="preserve"> Al respecto, la Ley de Transparencia contempla la figura jurídica del sobreseimiento cuando el </w:t>
      </w:r>
      <w:r w:rsidR="009B34B5" w:rsidRPr="00D20796">
        <w:rPr>
          <w:rFonts w:ascii="Palatino Linotype" w:eastAsia="Calibri" w:hAnsi="Palatino Linotype"/>
          <w:b/>
          <w:sz w:val="22"/>
          <w:szCs w:val="22"/>
          <w:lang w:val="es-MX" w:eastAsia="en-US"/>
        </w:rPr>
        <w:t>Sujeto Obligado</w:t>
      </w:r>
      <w:r w:rsidR="009B34B5" w:rsidRPr="00D20796">
        <w:rPr>
          <w:rFonts w:ascii="Palatino Linotype" w:eastAsia="Calibri" w:hAnsi="Palatino Linotype"/>
          <w:sz w:val="22"/>
          <w:szCs w:val="22"/>
          <w:lang w:val="es-MX" w:eastAsia="en-US"/>
        </w:rPr>
        <w:t xml:space="preserve"> </w:t>
      </w:r>
      <w:r w:rsidRPr="00D20796">
        <w:rPr>
          <w:rFonts w:ascii="Palatino Linotype" w:eastAsia="Calibri" w:hAnsi="Palatino Linotype"/>
          <w:sz w:val="22"/>
          <w:szCs w:val="22"/>
          <w:lang w:val="es-MX" w:eastAsia="en-US"/>
        </w:rPr>
        <w:t xml:space="preserve">de </w:t>
      </w:r>
      <w:r w:rsidRPr="00D20796">
        <w:rPr>
          <w:rFonts w:ascii="Palatino Linotype" w:eastAsia="Calibri" w:hAnsi="Palatino Linotype"/>
          <w:i/>
          <w:sz w:val="22"/>
          <w:szCs w:val="22"/>
          <w:lang w:val="es-MX" w:eastAsia="en-US"/>
        </w:rPr>
        <w:t>motu proprio</w:t>
      </w:r>
      <w:r w:rsidRPr="00D20796">
        <w:rPr>
          <w:rFonts w:ascii="Palatino Linotype" w:eastAsia="Calibri" w:hAnsi="Palatino Linotype"/>
          <w:sz w:val="22"/>
          <w:szCs w:val="22"/>
          <w:lang w:val="es-MX" w:eastAsia="en-US"/>
        </w:rPr>
        <w:t xml:space="preserve"> modifica o revoca de tal manera el acto motivo de la impugnación que lo deja sin materia; es decir, cesan los efectos de éste y el derecho de acceso a la información pública se encuentra satisfecho.</w:t>
      </w:r>
    </w:p>
    <w:p w14:paraId="394A8BE9" w14:textId="77777777" w:rsidR="00D20796" w:rsidRPr="00D20796" w:rsidRDefault="00D20796" w:rsidP="00D20796">
      <w:pPr>
        <w:spacing w:line="360" w:lineRule="auto"/>
        <w:ind w:left="567" w:right="900" w:hanging="141"/>
        <w:jc w:val="both"/>
        <w:rPr>
          <w:rFonts w:ascii="Palatino Linotype" w:eastAsia="Calibri" w:hAnsi="Palatino Linotype"/>
          <w:sz w:val="22"/>
          <w:szCs w:val="22"/>
          <w:lang w:val="es-MX" w:eastAsia="en-US"/>
        </w:rPr>
      </w:pPr>
    </w:p>
    <w:p w14:paraId="7BE630E6" w14:textId="7EB2CEA2" w:rsidR="00D20796" w:rsidRPr="00D20796" w:rsidRDefault="00D20796" w:rsidP="00D20796">
      <w:pPr>
        <w:numPr>
          <w:ilvl w:val="0"/>
          <w:numId w:val="12"/>
        </w:numPr>
        <w:spacing w:line="360" w:lineRule="auto"/>
        <w:ind w:left="567" w:right="900" w:hanging="141"/>
        <w:contextualSpacing/>
        <w:jc w:val="both"/>
        <w:rPr>
          <w:rFonts w:ascii="Palatino Linotype" w:eastAsia="Calibri" w:hAnsi="Palatino Linotype"/>
          <w:sz w:val="22"/>
          <w:szCs w:val="22"/>
          <w:lang w:val="es-MX" w:eastAsia="en-US"/>
        </w:rPr>
      </w:pPr>
      <w:r w:rsidRPr="00D20796">
        <w:rPr>
          <w:rFonts w:ascii="Palatino Linotype" w:eastAsia="Calibri" w:hAnsi="Palatino Linotype"/>
          <w:b/>
          <w:sz w:val="22"/>
          <w:szCs w:val="22"/>
          <w:lang w:val="es-MX" w:eastAsia="en-US"/>
        </w:rPr>
        <w:t>El momento procesal para modificar el acto impugnado:</w:t>
      </w:r>
      <w:r w:rsidRPr="00D20796">
        <w:rPr>
          <w:rFonts w:ascii="Palatino Linotype" w:eastAsia="Calibri" w:hAnsi="Palatino Linotype"/>
          <w:sz w:val="22"/>
          <w:szCs w:val="22"/>
          <w:lang w:val="es-MX" w:eastAsia="en-US"/>
        </w:rPr>
        <w:t xml:space="preserve"> Para que se actualice el sobreseimiento de un recurso de revisión, el </w:t>
      </w:r>
      <w:r w:rsidR="009B34B5" w:rsidRPr="00D20796">
        <w:rPr>
          <w:rFonts w:ascii="Palatino Linotype" w:eastAsia="Calibri" w:hAnsi="Palatino Linotype"/>
          <w:b/>
          <w:sz w:val="22"/>
          <w:szCs w:val="22"/>
          <w:lang w:val="es-MX" w:eastAsia="en-US"/>
        </w:rPr>
        <w:t>Sujeto Obligado</w:t>
      </w:r>
      <w:r w:rsidRPr="00D20796">
        <w:rPr>
          <w:rFonts w:ascii="Palatino Linotype" w:eastAsia="Calibri" w:hAnsi="Palatino Linotype"/>
          <w:sz w:val="22"/>
          <w:szCs w:val="22"/>
          <w:lang w:val="es-MX" w:eastAsia="en-US"/>
        </w:rPr>
        <w:t xml:space="preserve"> puede entregar o completar la información al momento de rendir su informe justificado o </w:t>
      </w:r>
      <w:r w:rsidRPr="00D20796">
        <w:rPr>
          <w:rFonts w:ascii="Palatino Linotype" w:eastAsia="Calibri" w:hAnsi="Palatino Linotype"/>
          <w:b/>
          <w:sz w:val="22"/>
          <w:szCs w:val="22"/>
          <w:u w:val="single"/>
          <w:lang w:val="es-MX" w:eastAsia="en-US"/>
        </w:rPr>
        <w:t>posteriormente</w:t>
      </w:r>
      <w:r w:rsidRPr="00D20796">
        <w:rPr>
          <w:rFonts w:ascii="Palatino Linotype" w:eastAsia="Calibri" w:hAnsi="Palatino Linotype"/>
          <w:sz w:val="22"/>
          <w:szCs w:val="22"/>
          <w:lang w:val="es-MX" w:eastAsia="en-US"/>
        </w:rPr>
        <w:t xml:space="preserve"> a éste, siempre y cuando el Pleno del Instituto no haya dictado resolución definitiva.</w:t>
      </w:r>
    </w:p>
    <w:p w14:paraId="45B9C129" w14:textId="77777777" w:rsidR="008C6437" w:rsidRDefault="008C6437" w:rsidP="00D20796">
      <w:pPr>
        <w:spacing w:before="240" w:after="240" w:line="360" w:lineRule="auto"/>
        <w:contextualSpacing/>
        <w:jc w:val="both"/>
        <w:rPr>
          <w:rFonts w:ascii="Palatino Linotype" w:eastAsia="Calibri" w:hAnsi="Palatino Linotype"/>
        </w:rPr>
      </w:pPr>
    </w:p>
    <w:p w14:paraId="0EBF8080"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Además, de acuerdo con el procesalista Niceto Alcalá-Zamora y Castillo en su obra </w:t>
      </w:r>
      <w:r w:rsidRPr="00D20796">
        <w:rPr>
          <w:rFonts w:ascii="Palatino Linotype" w:eastAsia="Calibri" w:hAnsi="Palatino Linotype"/>
          <w:i/>
        </w:rPr>
        <w:t>“Cuestiones de Terminología Procesal”</w:t>
      </w:r>
      <w:r w:rsidRPr="00D20796">
        <w:rPr>
          <w:rFonts w:ascii="Palatino Linotype" w:eastAsia="Calibri" w:hAnsi="Palatino Linotype"/>
        </w:rPr>
        <w:t xml:space="preserve">, el sobreseimiento es </w:t>
      </w:r>
      <w:r w:rsidRPr="00D20796">
        <w:rPr>
          <w:rFonts w:ascii="Palatino Linotype" w:eastAsia="Calibri" w:hAnsi="Palatino Linotype"/>
          <w:i/>
        </w:rPr>
        <w:t>“... una resolución en forma de auto, que produce la suspensión indefinida del procedimiento penal, o que pone fin al proceso, impidiendo en ambos casos, mientras subsista, la apertura del plenario o que en él se pronuncie sentencia...”.</w:t>
      </w:r>
    </w:p>
    <w:p w14:paraId="63B17A7A"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Eduardo Pallares, en su artículo </w:t>
      </w:r>
      <w:r w:rsidRPr="00D20796">
        <w:rPr>
          <w:rFonts w:ascii="Palatino Linotype" w:eastAsia="Calibri" w:hAnsi="Palatino Linotype"/>
          <w:i/>
        </w:rPr>
        <w:t>“La caducidad y el sobreseimiento en el amparo”</w:t>
      </w:r>
      <w:r w:rsidRPr="00D20796">
        <w:rPr>
          <w:rFonts w:ascii="Palatino Linotype" w:eastAsia="Calibri" w:hAnsi="Palatino Linotype"/>
        </w:rPr>
        <w:t xml:space="preserve">, cita la definición de Aguilera Paz, aduciendo que se </w:t>
      </w:r>
      <w:r w:rsidRPr="00D20796">
        <w:rPr>
          <w:rFonts w:ascii="Palatino Linotype" w:eastAsia="Calibri" w:hAnsi="Palatino Linotype"/>
          <w:i/>
        </w:rPr>
        <w:t xml:space="preserve">“...entiende por sobreseimiento en el tecnicismo forense, el hecho de cesar en el procedimiento o curso de la causa, por no existir </w:t>
      </w:r>
      <w:r w:rsidRPr="00D20796">
        <w:rPr>
          <w:rFonts w:ascii="Palatino Linotype" w:eastAsia="Calibri" w:hAnsi="Palatino Linotype"/>
          <w:i/>
        </w:rPr>
        <w:lastRenderedPageBreak/>
        <w:t>méritos bastantes para entrar en un juicio o para entablar la contienda judicial que debe ser objeto del mismo...”</w:t>
      </w:r>
      <w:r w:rsidRPr="00D20796">
        <w:rPr>
          <w:rFonts w:ascii="Palatino Linotype" w:eastAsia="Calibri" w:hAnsi="Palatino Linotype"/>
        </w:rPr>
        <w:t xml:space="preserve">. </w:t>
      </w:r>
    </w:p>
    <w:p w14:paraId="2AB47B34" w14:textId="77777777" w:rsidR="00D20796" w:rsidRP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Asimismo señala que existe el sobreseimiento provisional y el definitivo</w:t>
      </w:r>
      <w:r w:rsidRPr="00D20796">
        <w:rPr>
          <w:rFonts w:ascii="Palatino Linotype" w:eastAsia="Calibri" w:hAnsi="Palatino Linotype"/>
          <w:i/>
        </w:rPr>
        <w:t>: “...el definitivo es una verdadera sentencia que pone fin al juicio, y que una vez dictada, produce cosa juzgada, mientras que el provisorio tiene por efectos suspender la prosecución de la causa...”</w:t>
      </w:r>
    </w:p>
    <w:p w14:paraId="68E74E68" w14:textId="77777777" w:rsidR="00D20796" w:rsidRDefault="00D20796" w:rsidP="00D20796">
      <w:pPr>
        <w:spacing w:before="240" w:after="240" w:line="360" w:lineRule="auto"/>
        <w:contextualSpacing/>
        <w:jc w:val="both"/>
        <w:rPr>
          <w:rFonts w:ascii="Palatino Linotype" w:eastAsia="Calibri" w:hAnsi="Palatino Linotype"/>
          <w:b/>
          <w:u w:val="single"/>
        </w:rPr>
      </w:pPr>
      <w:r w:rsidRPr="00D20796">
        <w:rPr>
          <w:rFonts w:ascii="Palatino Linotype" w:eastAsia="Calibri" w:hAnsi="Palatino Linotype"/>
        </w:rPr>
        <w:t xml:space="preserve">Así, para la doctrina el sobreseimiento provoca que un procedimiento se suspenda o se resuelva en definitiva </w:t>
      </w:r>
      <w:r w:rsidRPr="00D20796">
        <w:rPr>
          <w:rFonts w:ascii="Palatino Linotype" w:eastAsia="Calibri" w:hAnsi="Palatino Linotype"/>
          <w:b/>
          <w:u w:val="single"/>
        </w:rPr>
        <w:t>sin que se entre al estudio de los agravios o motivos de inconformidad.</w:t>
      </w:r>
    </w:p>
    <w:p w14:paraId="2E7255B3" w14:textId="77777777" w:rsidR="009B34B5" w:rsidRPr="00D20796" w:rsidRDefault="009B34B5" w:rsidP="00D20796">
      <w:pPr>
        <w:spacing w:before="240" w:after="240" w:line="360" w:lineRule="auto"/>
        <w:contextualSpacing/>
        <w:jc w:val="both"/>
        <w:rPr>
          <w:rFonts w:ascii="Palatino Linotype" w:eastAsia="Calibri" w:hAnsi="Palatino Linotype"/>
          <w:b/>
          <w:u w:val="single"/>
        </w:rPr>
      </w:pPr>
    </w:p>
    <w:p w14:paraId="0CB7E7CB" w14:textId="77777777" w:rsidR="00D20796" w:rsidRPr="00D20796" w:rsidRDefault="00D20796" w:rsidP="00D20796">
      <w:pPr>
        <w:spacing w:before="240" w:after="240" w:line="360" w:lineRule="auto"/>
        <w:contextualSpacing/>
        <w:jc w:val="both"/>
        <w:rPr>
          <w:rFonts w:ascii="Palatino Linotype" w:eastAsia="Calibri" w:hAnsi="Palatino Linotype"/>
          <w:b/>
          <w:u w:val="single"/>
        </w:rPr>
      </w:pPr>
      <w:r w:rsidRPr="00D20796">
        <w:rPr>
          <w:rFonts w:ascii="Palatino Linotype" w:hAnsi="Palatino Linotype"/>
          <w:szCs w:val="27"/>
        </w:rPr>
        <w:t xml:space="preserve">Las manifestaciones precedentes cobran aplicación en la jurisprudencia VI. 1o. J/23, publicada en la página 252 del Semanario Judicial de la Federación, Tomo 22-24, octubre-diciembre de 1989, Materia Común, Octava Época, emitida por el Primer Tribunal Colegiado del Sexto Circuito, del registro 213609, que establece: </w:t>
      </w:r>
    </w:p>
    <w:p w14:paraId="2CAE1BEE" w14:textId="77777777" w:rsidR="009B34B5" w:rsidRDefault="009B34B5" w:rsidP="00D20796">
      <w:pPr>
        <w:ind w:left="851" w:right="851"/>
        <w:jc w:val="both"/>
        <w:rPr>
          <w:rFonts w:ascii="Palatino Linotype" w:hAnsi="Palatino Linotype" w:cs="Verdana"/>
          <w:b/>
          <w:i/>
          <w:sz w:val="22"/>
          <w:szCs w:val="22"/>
          <w:lang w:val="es-MX" w:eastAsia="en-US"/>
        </w:rPr>
      </w:pPr>
    </w:p>
    <w:p w14:paraId="0643FB77" w14:textId="77777777" w:rsidR="00D20796" w:rsidRPr="00D20796" w:rsidRDefault="00D20796" w:rsidP="00D20796">
      <w:pPr>
        <w:ind w:left="851" w:right="851"/>
        <w:jc w:val="both"/>
        <w:rPr>
          <w:rFonts w:ascii="Palatino Linotype" w:hAnsi="Palatino Linotype" w:cs="Verdana"/>
          <w:i/>
          <w:sz w:val="22"/>
          <w:szCs w:val="22"/>
          <w:lang w:val="es-MX" w:eastAsia="en-US"/>
        </w:rPr>
      </w:pPr>
      <w:r w:rsidRPr="00D20796">
        <w:rPr>
          <w:rFonts w:ascii="Palatino Linotype" w:hAnsi="Palatino Linotype" w:cs="Verdana"/>
          <w:b/>
          <w:i/>
          <w:sz w:val="22"/>
          <w:szCs w:val="22"/>
          <w:lang w:val="es-MX" w:eastAsia="en-US"/>
        </w:rPr>
        <w:t xml:space="preserve">“SOBRESEIMIENTO. NO PERMITE ENTRAR AL ESTUDIO DE LAS </w:t>
      </w:r>
      <w:r w:rsidRPr="00D20796">
        <w:rPr>
          <w:rFonts w:ascii="Palatino Linotype" w:hAnsi="Palatino Linotype" w:cs="Verdana"/>
          <w:b/>
          <w:bCs/>
          <w:i/>
          <w:sz w:val="22"/>
          <w:szCs w:val="22"/>
          <w:lang w:val="es-MX" w:eastAsia="en-US"/>
        </w:rPr>
        <w:t xml:space="preserve">CUESTIONES DE FONDO. </w:t>
      </w:r>
      <w:r w:rsidRPr="00D20796">
        <w:rPr>
          <w:rFonts w:ascii="Palatino Linotype" w:hAnsi="Palatino Linotype" w:cs="Verdana"/>
          <w:i/>
          <w:sz w:val="22"/>
          <w:szCs w:val="22"/>
          <w:lang w:val="es-MX" w:eastAsia="en-US"/>
        </w:rPr>
        <w:t>No causa agravio la sentencia que omite ocuparse de los razonamiento tendientes a demostrar la violación de garantías individuales por los actos reclamados de las autoridades responsables que constituyen el problema de fondo, si se decreta el sobreseimiento del juicio.</w:t>
      </w:r>
      <w:r w:rsidRPr="00D20796">
        <w:rPr>
          <w:rFonts w:ascii="Palatino Linotype" w:hAnsi="Palatino Linotype" w:cs="Verdana"/>
          <w:b/>
          <w:i/>
          <w:sz w:val="22"/>
          <w:szCs w:val="22"/>
          <w:lang w:val="es-MX" w:eastAsia="en-US"/>
        </w:rPr>
        <w:t>”</w:t>
      </w:r>
    </w:p>
    <w:p w14:paraId="7912B7DA" w14:textId="77777777" w:rsidR="00D20796" w:rsidRPr="00D20796" w:rsidRDefault="00D20796" w:rsidP="00D20796">
      <w:pPr>
        <w:spacing w:line="360" w:lineRule="auto"/>
        <w:ind w:left="426"/>
        <w:contextualSpacing/>
        <w:jc w:val="both"/>
        <w:rPr>
          <w:rFonts w:ascii="Palatino Linotype" w:eastAsia="Calibri" w:hAnsi="Palatino Linotype"/>
          <w:i/>
          <w:lang w:val="es-AR"/>
        </w:rPr>
      </w:pPr>
    </w:p>
    <w:p w14:paraId="500497BA" w14:textId="61DBA1B8" w:rsidR="00D20796" w:rsidRDefault="00D20796" w:rsidP="00D20796">
      <w:pPr>
        <w:spacing w:before="240" w:after="240" w:line="360" w:lineRule="auto"/>
        <w:contextualSpacing/>
        <w:jc w:val="both"/>
        <w:rPr>
          <w:rFonts w:ascii="Palatino Linotype" w:eastAsia="Calibri" w:hAnsi="Palatino Linotype"/>
        </w:rPr>
      </w:pPr>
      <w:r w:rsidRPr="00D20796">
        <w:rPr>
          <w:rFonts w:ascii="Palatino Linotype" w:eastAsia="Calibri" w:hAnsi="Palatino Linotype"/>
        </w:rPr>
        <w:t xml:space="preserve">Por lo que para que se actualice el sobreseimiento de un recurso de revisión, el </w:t>
      </w:r>
      <w:r w:rsidR="002E2F78" w:rsidRPr="00D20796">
        <w:rPr>
          <w:rFonts w:ascii="Palatino Linotype" w:eastAsia="Calibri" w:hAnsi="Palatino Linotype"/>
          <w:b/>
        </w:rPr>
        <w:t>Sujeto Obligado</w:t>
      </w:r>
      <w:r w:rsidR="002E2F78" w:rsidRPr="00D20796">
        <w:rPr>
          <w:rFonts w:ascii="Palatino Linotype" w:eastAsia="Calibri" w:hAnsi="Palatino Linotype"/>
        </w:rPr>
        <w:t xml:space="preserve"> </w:t>
      </w:r>
      <w:r w:rsidRPr="00D20796">
        <w:rPr>
          <w:rFonts w:ascii="Palatino Linotype" w:eastAsia="Calibri" w:hAnsi="Palatino Linotype"/>
        </w:rPr>
        <w:t>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276C173E" w14:textId="77777777" w:rsidR="009B34B5" w:rsidRPr="00D20796" w:rsidRDefault="009B34B5" w:rsidP="00D20796">
      <w:pPr>
        <w:spacing w:before="240" w:after="240" w:line="360" w:lineRule="auto"/>
        <w:contextualSpacing/>
        <w:jc w:val="both"/>
        <w:rPr>
          <w:rFonts w:ascii="Palatino Linotype" w:eastAsia="Calibri" w:hAnsi="Palatino Linotype"/>
        </w:rPr>
      </w:pPr>
    </w:p>
    <w:p w14:paraId="5B3D87F8" w14:textId="77777777" w:rsidR="00D20796" w:rsidRDefault="00D20796" w:rsidP="00D20796">
      <w:pPr>
        <w:spacing w:before="240" w:after="240" w:line="360" w:lineRule="auto"/>
        <w:contextualSpacing/>
        <w:jc w:val="both"/>
        <w:rPr>
          <w:rFonts w:ascii="Palatino Linotype" w:eastAsia="Calibri" w:hAnsi="Palatino Linotype"/>
          <w:lang w:val="es-CO"/>
        </w:rPr>
      </w:pPr>
      <w:r w:rsidRPr="00D20796">
        <w:rPr>
          <w:rFonts w:ascii="Palatino Linotype" w:eastAsia="Calibri" w:hAnsi="Palatino Linotype"/>
          <w:lang w:val="es-CO"/>
        </w:rPr>
        <w:lastRenderedPageBreak/>
        <w:t xml:space="preserve">Bajo ese tenor y en términos de los artículos 186 fracción I, y 192, fracción III este Pleno determina el </w:t>
      </w:r>
      <w:r w:rsidRPr="00D20796">
        <w:rPr>
          <w:rFonts w:ascii="Palatino Linotype" w:eastAsia="Calibri" w:hAnsi="Palatino Linotype"/>
          <w:b/>
          <w:lang w:val="es-CO"/>
        </w:rPr>
        <w:t xml:space="preserve">SOBRESEIMIENTO </w:t>
      </w:r>
      <w:r w:rsidRPr="00D20796">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14:paraId="21565DD3" w14:textId="77777777" w:rsidR="005451C4" w:rsidRPr="00D20796" w:rsidRDefault="005451C4" w:rsidP="00D20796">
      <w:pPr>
        <w:spacing w:before="240" w:after="240" w:line="360" w:lineRule="auto"/>
        <w:contextualSpacing/>
        <w:jc w:val="both"/>
        <w:rPr>
          <w:rFonts w:ascii="Palatino Linotype" w:eastAsia="Calibri" w:hAnsi="Palatino Linotype"/>
          <w:lang w:val="es-CO"/>
        </w:rPr>
      </w:pPr>
    </w:p>
    <w:p w14:paraId="347176DE" w14:textId="4EA97F67" w:rsidR="00C75446" w:rsidRPr="00D20796" w:rsidRDefault="00D20796" w:rsidP="00D20796">
      <w:pPr>
        <w:spacing w:before="240" w:after="240" w:line="360" w:lineRule="auto"/>
        <w:jc w:val="both"/>
        <w:rPr>
          <w:rFonts w:ascii="Palatino Linotype" w:hAnsi="Palatino Linotype" w:cs="Arial"/>
          <w:lang w:val="es-MX"/>
        </w:rPr>
      </w:pPr>
      <w:r w:rsidRPr="00D20796">
        <w:rPr>
          <w:rFonts w:ascii="Palatino Linotype" w:hAnsi="Palatino Linotype" w:cs="Arial"/>
          <w:lang w:val="es-MX"/>
        </w:rPr>
        <w:t xml:space="preserve">Así, con fundamento en lo prescrito en los artículos 5 </w:t>
      </w:r>
      <w:r w:rsidRPr="00D20796">
        <w:rPr>
          <w:rFonts w:ascii="Palatino Linotype" w:hAnsi="Palatino Linotype"/>
          <w:shd w:val="clear" w:color="auto" w:fill="FFFFFF"/>
          <w:lang w:val="es-MX"/>
        </w:rPr>
        <w:t>párrafos</w:t>
      </w:r>
      <w:r w:rsidR="00C50A9E">
        <w:rPr>
          <w:rFonts w:ascii="Palatino Linotype" w:hAnsi="Palatino Linotype"/>
          <w:shd w:val="clear" w:color="auto" w:fill="FFFFFF"/>
        </w:rPr>
        <w:t xml:space="preserve"> trigésimo</w:t>
      </w:r>
      <w:r w:rsidRPr="00D20796">
        <w:rPr>
          <w:rFonts w:ascii="Palatino Linotype" w:hAnsi="Palatino Linotype"/>
          <w:shd w:val="clear" w:color="auto" w:fill="FFFFFF"/>
        </w:rPr>
        <w:t>, trigésimo</w:t>
      </w:r>
      <w:r w:rsidR="00C50A9E">
        <w:rPr>
          <w:rFonts w:ascii="Palatino Linotype" w:hAnsi="Palatino Linotype"/>
          <w:shd w:val="clear" w:color="auto" w:fill="FFFFFF"/>
        </w:rPr>
        <w:t xml:space="preserve"> primero y trigésimo segund</w:t>
      </w:r>
      <w:r w:rsidRPr="00D20796">
        <w:rPr>
          <w:rFonts w:ascii="Palatino Linotype" w:hAnsi="Palatino Linotype"/>
          <w:shd w:val="clear" w:color="auto" w:fill="FFFFFF"/>
        </w:rPr>
        <w:t xml:space="preserve">o, fracciones IV y V </w:t>
      </w:r>
      <w:r w:rsidRPr="00D20796">
        <w:rPr>
          <w:rFonts w:ascii="Palatino Linotype" w:hAnsi="Palatino Linotype" w:cs="Arial"/>
          <w:lang w:val="es-MX"/>
        </w:rPr>
        <w:t>de la Constitución Política del Estado Libre y Soberano de México; 2, fracción II; 29, 36 fracciones I y II; 176, 178, 181, 185 de la Ley de Transparencia y Acceso a la Información Pública del Estado de México y Municipios, este Pleno:</w:t>
      </w:r>
    </w:p>
    <w:p w14:paraId="356DEE77" w14:textId="77777777" w:rsidR="00D20796" w:rsidRPr="00D20796" w:rsidRDefault="00D20796" w:rsidP="00D20796">
      <w:pPr>
        <w:numPr>
          <w:ilvl w:val="0"/>
          <w:numId w:val="10"/>
        </w:numPr>
        <w:spacing w:before="100" w:beforeAutospacing="1" w:after="100" w:afterAutospacing="1" w:line="360" w:lineRule="auto"/>
        <w:ind w:left="284" w:hanging="426"/>
        <w:jc w:val="center"/>
        <w:rPr>
          <w:rFonts w:ascii="Palatino Linotype" w:hAnsi="Palatino Linotype" w:cs="Arial"/>
          <w:b/>
          <w:lang w:val="es-MX" w:eastAsia="es-MX"/>
        </w:rPr>
      </w:pPr>
      <w:r w:rsidRPr="00D20796">
        <w:rPr>
          <w:rFonts w:ascii="Palatino Linotype" w:hAnsi="Palatino Linotype" w:cs="Arial"/>
          <w:b/>
          <w:lang w:val="es-MX" w:eastAsia="es-MX"/>
        </w:rPr>
        <w:t>R E S U E L V E:</w:t>
      </w:r>
    </w:p>
    <w:p w14:paraId="556227FE" w14:textId="6D695DB7" w:rsidR="00D20796" w:rsidRDefault="00D20796" w:rsidP="00D20796">
      <w:pPr>
        <w:spacing w:before="240" w:after="240" w:line="360" w:lineRule="auto"/>
        <w:ind w:right="49"/>
        <w:jc w:val="both"/>
        <w:rPr>
          <w:rFonts w:ascii="Palatino Linotype" w:hAnsi="Palatino Linotype" w:cs="Arial"/>
        </w:rPr>
      </w:pPr>
      <w:r w:rsidRPr="00D20796">
        <w:rPr>
          <w:rFonts w:ascii="Palatino Linotype" w:hAnsi="Palatino Linotype" w:cs="Arial"/>
          <w:b/>
        </w:rPr>
        <w:t>Primero.</w:t>
      </w:r>
      <w:r w:rsidRPr="00D20796">
        <w:rPr>
          <w:rFonts w:ascii="Palatino Linotype" w:eastAsia="Calibri" w:hAnsi="Palatino Linotype"/>
        </w:rPr>
        <w:t xml:space="preserve"> </w:t>
      </w:r>
      <w:r w:rsidRPr="00D20796">
        <w:rPr>
          <w:rFonts w:ascii="Palatino Linotype" w:hAnsi="Palatino Linotype" w:cs="Arial"/>
        </w:rPr>
        <w:t xml:space="preserve">Se </w:t>
      </w:r>
      <w:r w:rsidRPr="00D20796">
        <w:rPr>
          <w:rFonts w:ascii="Palatino Linotype" w:hAnsi="Palatino Linotype" w:cs="Arial"/>
          <w:b/>
        </w:rPr>
        <w:t>SOBRESEE</w:t>
      </w:r>
      <w:r w:rsidRPr="00D20796">
        <w:rPr>
          <w:rFonts w:ascii="Palatino Linotype" w:hAnsi="Palatino Linotype" w:cs="Arial"/>
        </w:rPr>
        <w:t xml:space="preserve"> el recurso de revisión </w:t>
      </w:r>
      <w:r w:rsidR="009B34B5">
        <w:rPr>
          <w:rFonts w:ascii="Palatino Linotype" w:hAnsi="Palatino Linotype" w:cs="Arial"/>
          <w:b/>
        </w:rPr>
        <w:t>01954/INFOEM/IP/RR/2022</w:t>
      </w:r>
      <w:r w:rsidRPr="00D20796">
        <w:rPr>
          <w:rFonts w:ascii="Palatino Linotype" w:hAnsi="Palatino Linotype" w:cs="Arial"/>
          <w:b/>
        </w:rPr>
        <w:t xml:space="preserve">, </w:t>
      </w:r>
      <w:r w:rsidRPr="00D20796">
        <w:rPr>
          <w:rFonts w:ascii="Palatino Linotype" w:hAnsi="Palatino Linotype" w:cs="Arial"/>
        </w:rPr>
        <w:t xml:space="preserve">porque al modificar la respuesta </w:t>
      </w:r>
      <w:r w:rsidR="009B34B5" w:rsidRPr="009B34B5">
        <w:rPr>
          <w:rFonts w:ascii="Palatino Linotype" w:hAnsi="Palatino Linotype" w:cs="Arial"/>
        </w:rPr>
        <w:t xml:space="preserve">a la solicitud de acceso a la información </w:t>
      </w:r>
      <w:r w:rsidR="009B34B5" w:rsidRPr="004C6D7D">
        <w:rPr>
          <w:rFonts w:ascii="Palatino Linotype" w:hAnsi="Palatino Linotype" w:cs="Arial"/>
          <w:b/>
          <w:bCs/>
        </w:rPr>
        <w:t>00017/SJDH/IP/2022</w:t>
      </w:r>
      <w:r w:rsidR="009B34B5">
        <w:rPr>
          <w:rFonts w:ascii="Palatino Linotype" w:hAnsi="Palatino Linotype" w:cs="Arial"/>
          <w:b/>
          <w:bCs/>
        </w:rPr>
        <w:t>,</w:t>
      </w:r>
      <w:r w:rsidR="009B34B5">
        <w:rPr>
          <w:rFonts w:ascii="Palatino Linotype" w:hAnsi="Palatino Linotype" w:cs="Arial"/>
        </w:rPr>
        <w:t xml:space="preserve"> </w:t>
      </w:r>
      <w:r w:rsidRPr="00D20796">
        <w:rPr>
          <w:rFonts w:ascii="Palatino Linotype" w:hAnsi="Palatino Linotype" w:cs="Arial"/>
        </w:rPr>
        <w:t xml:space="preserve">el recurso de revisión quedó sin materia en términos </w:t>
      </w:r>
      <w:r w:rsidR="002E2F78" w:rsidRPr="00D20796">
        <w:rPr>
          <w:rFonts w:ascii="Palatino Linotype" w:hAnsi="Palatino Linotype" w:cs="Arial"/>
        </w:rPr>
        <w:t xml:space="preserve">del </w:t>
      </w:r>
      <w:r w:rsidR="002E2F78" w:rsidRPr="002E2F78">
        <w:rPr>
          <w:rFonts w:ascii="Palatino Linotype" w:hAnsi="Palatino Linotype" w:cs="Arial"/>
          <w:b/>
        </w:rPr>
        <w:t>Considerando</w:t>
      </w:r>
      <w:r w:rsidRPr="00D20796">
        <w:rPr>
          <w:rFonts w:ascii="Palatino Linotype" w:hAnsi="Palatino Linotype" w:cs="Arial"/>
          <w:b/>
        </w:rPr>
        <w:t xml:space="preserve"> Tercero </w:t>
      </w:r>
      <w:r w:rsidRPr="00D20796">
        <w:rPr>
          <w:rFonts w:ascii="Palatino Linotype" w:hAnsi="Palatino Linotype" w:cs="Arial"/>
        </w:rPr>
        <w:t>de la presente resolución.</w:t>
      </w:r>
    </w:p>
    <w:p w14:paraId="20337482" w14:textId="77777777" w:rsidR="002E2F78" w:rsidRPr="002E2F78" w:rsidRDefault="002E2F78" w:rsidP="002E2F78">
      <w:pPr>
        <w:spacing w:before="240" w:after="240" w:line="360" w:lineRule="auto"/>
        <w:jc w:val="both"/>
        <w:rPr>
          <w:rFonts w:ascii="Palatino Linotype" w:hAnsi="Palatino Linotype" w:cs="Arial"/>
          <w:lang w:val="es-MX"/>
        </w:rPr>
      </w:pPr>
      <w:r w:rsidRPr="002E2F78">
        <w:rPr>
          <w:rFonts w:ascii="Palatino Linotype" w:hAnsi="Palatino Linotype" w:cs="Arial"/>
          <w:b/>
          <w:bCs/>
          <w:szCs w:val="28"/>
          <w:shd w:val="clear" w:color="auto" w:fill="FFFFFF"/>
        </w:rPr>
        <w:t>Segundo</w:t>
      </w:r>
      <w:r w:rsidRPr="002E2F78">
        <w:rPr>
          <w:rFonts w:ascii="Palatino Linotype" w:hAnsi="Palatino Linotype" w:cs="Arial"/>
          <w:b/>
          <w:bCs/>
          <w:sz w:val="28"/>
          <w:szCs w:val="28"/>
          <w:shd w:val="clear" w:color="auto" w:fill="FFFFFF"/>
        </w:rPr>
        <w:t>.</w:t>
      </w:r>
      <w:r w:rsidRPr="002E2F78">
        <w:rPr>
          <w:rFonts w:ascii="Palatino Linotype" w:hAnsi="Palatino Linotype" w:cs="Arial"/>
          <w:b/>
          <w:bCs/>
          <w:sz w:val="19"/>
          <w:szCs w:val="19"/>
          <w:shd w:val="clear" w:color="auto" w:fill="FFFFFF"/>
        </w:rPr>
        <w:t xml:space="preserve"> </w:t>
      </w:r>
      <w:r w:rsidRPr="002E2F78">
        <w:rPr>
          <w:rFonts w:ascii="Palatino Linotype" w:hAnsi="Palatino Linotype" w:cs="Arial"/>
          <w:b/>
          <w:lang w:val="es-MX" w:eastAsia="es-MX"/>
        </w:rPr>
        <w:t>Notifíquese al Titular de la Unidad de Transparencia, vía Sistema de Acceso a la Información Mexiquense (SAIMEX),</w:t>
      </w:r>
      <w:r w:rsidRPr="002E2F78">
        <w:rPr>
          <w:rFonts w:ascii="Palatino Linotype" w:hAnsi="Palatino Linotype" w:cs="Arial"/>
          <w:lang w:val="es-MX"/>
        </w:rPr>
        <w:t xml:space="preserve"> para su conocimiento.</w:t>
      </w:r>
    </w:p>
    <w:p w14:paraId="71095D90" w14:textId="36619360" w:rsidR="002E2F78" w:rsidRPr="002E2F78" w:rsidRDefault="002E2F78" w:rsidP="002E2F78">
      <w:pPr>
        <w:spacing w:before="240" w:after="240" w:line="360" w:lineRule="auto"/>
        <w:jc w:val="both"/>
        <w:rPr>
          <w:rFonts w:ascii="Palatino Linotype" w:hAnsi="Palatino Linotype" w:cs="Arial"/>
        </w:rPr>
      </w:pPr>
      <w:r w:rsidRPr="002E2F78">
        <w:rPr>
          <w:rFonts w:ascii="Palatino Linotype" w:hAnsi="Palatino Linotype" w:cs="Arial"/>
          <w:b/>
          <w:bCs/>
          <w:szCs w:val="28"/>
          <w:shd w:val="clear" w:color="auto" w:fill="FFFFFF"/>
        </w:rPr>
        <w:t>Tercero.</w:t>
      </w:r>
      <w:r w:rsidRPr="002E2F78">
        <w:rPr>
          <w:rFonts w:ascii="Palatino Linotype" w:hAnsi="Palatino Linotype" w:cs="Arial"/>
          <w:b/>
          <w:bCs/>
          <w:sz w:val="28"/>
          <w:szCs w:val="28"/>
          <w:shd w:val="clear" w:color="auto" w:fill="FFFFFF"/>
        </w:rPr>
        <w:t xml:space="preserve"> </w:t>
      </w:r>
      <w:r w:rsidRPr="002E2F78">
        <w:rPr>
          <w:rFonts w:ascii="Palatino Linotype" w:hAnsi="Palatino Linotype" w:cs="Arial"/>
          <w:b/>
          <w:lang w:val="es-MX" w:eastAsia="es-MX"/>
        </w:rPr>
        <w:t xml:space="preserve">Notifíquese vía Sistema de Acceso a la Información Mexiquense (SAIMEX), </w:t>
      </w:r>
      <w:r w:rsidRPr="002E2F78">
        <w:rPr>
          <w:rFonts w:ascii="Palatino Linotype" w:hAnsi="Palatino Linotype" w:cs="Arial"/>
          <w:lang w:val="es-MX" w:eastAsia="es-MX"/>
        </w:rPr>
        <w:t>la presente resolución a la parte recurrente</w:t>
      </w:r>
      <w:r w:rsidRPr="002E2F78">
        <w:rPr>
          <w:rFonts w:ascii="Palatino Linotype" w:hAnsi="Palatino Linotype" w:cs="Arial"/>
        </w:rPr>
        <w:t xml:space="preserve">, así como, que de conformidad con lo establecido en el artículo 196 de la Ley de Transparencia y Acceso a la Información Pública del Estado de México y Municipios, podrá impugnarla vía </w:t>
      </w:r>
      <w:r w:rsidRPr="00C1778D">
        <w:rPr>
          <w:rFonts w:ascii="Palatino Linotype" w:hAnsi="Palatino Linotype" w:cs="Arial"/>
          <w:b/>
        </w:rPr>
        <w:t>Juicio de Amparo</w:t>
      </w:r>
      <w:r w:rsidRPr="002E2F78">
        <w:rPr>
          <w:rFonts w:ascii="Palatino Linotype" w:hAnsi="Palatino Linotype" w:cs="Arial"/>
        </w:rPr>
        <w:t xml:space="preserve"> en los términos de las leyes aplicables.</w:t>
      </w:r>
    </w:p>
    <w:p w14:paraId="44D20317" w14:textId="4206B4FD" w:rsidR="00C04B32" w:rsidRPr="00C04B32" w:rsidRDefault="008C6437" w:rsidP="00C04B32">
      <w:pPr>
        <w:autoSpaceDE w:val="0"/>
        <w:autoSpaceDN w:val="0"/>
        <w:adjustRightInd w:val="0"/>
        <w:spacing w:before="240" w:after="240" w:line="360" w:lineRule="auto"/>
        <w:jc w:val="both"/>
        <w:rPr>
          <w:rFonts w:ascii="Palatino Linotype" w:eastAsia="Arial Unicode MS"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60288" behindDoc="0" locked="0" layoutInCell="1" allowOverlap="1" wp14:anchorId="3F3B2B24" wp14:editId="59CE3C16">
                <wp:simplePos x="0" y="0"/>
                <wp:positionH relativeFrom="column">
                  <wp:posOffset>43814</wp:posOffset>
                </wp:positionH>
                <wp:positionV relativeFrom="paragraph">
                  <wp:posOffset>2715894</wp:posOffset>
                </wp:positionV>
                <wp:extent cx="5191125" cy="477202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5191125" cy="477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73BC43"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5pt,213.85pt" to="412.2pt,5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" strokecolor="black [3040]"/>
            </w:pict>
          </mc:Fallback>
        </mc:AlternateContent>
      </w:r>
      <w:r w:rsidR="00C04B32" w:rsidRPr="00C04B32">
        <w:rPr>
          <w:rFonts w:ascii="Palatino Linotype" w:hAnsi="Palatino Linotype" w:cs="Arial"/>
        </w:rPr>
        <w:t>ASÍ LO RESUELVE, POR UNANIMIDAD DE VOTOS EL PLENO DEL</w:t>
      </w:r>
      <w:r w:rsidR="00C04B32" w:rsidRPr="00C04B32">
        <w:rPr>
          <w:rFonts w:ascii="Palatino Linotype" w:eastAsia="Arial Unicode MS" w:hAnsi="Palatino Linotype" w:cs="Arial"/>
        </w:rPr>
        <w:t xml:space="preserve"> INSTITUTO DE TRANSPARENCIA, ACCESO A LA INFORMACIÓN PÚBLICA Y PROTECCIÓN DE DATOS PERSONALES DEL ESTADO DE MÉXICO Y MUNICIPIOS</w:t>
      </w:r>
      <w:r w:rsidR="00C04B32" w:rsidRPr="00C04B32">
        <w:rPr>
          <w:rFonts w:ascii="Palatino Linotype" w:hAnsi="Palatino Linotype" w:cs="Arial"/>
        </w:rPr>
        <w:t xml:space="preserve">, CONFORMADO POR LOS COMISIONADOS </w:t>
      </w:r>
      <w:r w:rsidR="00E43B10">
        <w:rPr>
          <w:rFonts w:ascii="Palatino Linotype" w:hAnsi="Palatino Linotype" w:cs="Arial"/>
        </w:rPr>
        <w:t>JOSÉ MARTÍNEZ VILCHIS;</w:t>
      </w:r>
      <w:r w:rsidR="00C04B32" w:rsidRPr="00C04B32">
        <w:rPr>
          <w:rFonts w:ascii="Palatino Linotype" w:hAnsi="Palatino Linotype" w:cs="Arial"/>
        </w:rPr>
        <w:t xml:space="preserve"> </w:t>
      </w:r>
      <w:r w:rsidR="00E43B10">
        <w:rPr>
          <w:rFonts w:ascii="Palatino Linotype" w:hAnsi="Palatino Linotype" w:cs="Arial"/>
        </w:rPr>
        <w:t xml:space="preserve">MARÍA DEL ROSARIO MEJÍA AYALA; </w:t>
      </w:r>
      <w:r w:rsidR="00B10210">
        <w:rPr>
          <w:rFonts w:ascii="Palatino Linotype" w:hAnsi="Palatino Linotype" w:cs="Arial"/>
        </w:rPr>
        <w:t>SHARON CRISTINA MORALES MARTÍNEZ;</w:t>
      </w:r>
      <w:r w:rsidR="00C04B32" w:rsidRPr="00C04B32">
        <w:rPr>
          <w:rFonts w:ascii="Palatino Linotype" w:hAnsi="Palatino Linotype" w:cs="Arial"/>
        </w:rPr>
        <w:t xml:space="preserve"> LUIS GUSTAVO PARRA</w:t>
      </w:r>
      <w:r w:rsidR="009B34B5">
        <w:rPr>
          <w:rFonts w:ascii="Palatino Linotype" w:hAnsi="Palatino Linotype" w:cs="Arial"/>
        </w:rPr>
        <w:t xml:space="preserve"> NORIEGA;</w:t>
      </w:r>
      <w:r w:rsidR="00B10210">
        <w:rPr>
          <w:rFonts w:ascii="Palatino Linotype" w:hAnsi="Palatino Linotype" w:cs="Arial"/>
        </w:rPr>
        <w:t xml:space="preserve"> Y GUADALUPE RAMÍREZ PEÑA </w:t>
      </w:r>
      <w:r w:rsidR="009B34B5">
        <w:rPr>
          <w:rFonts w:ascii="Palatino Linotype" w:hAnsi="Palatino Linotype" w:cs="Arial"/>
        </w:rPr>
        <w:t>EN LA DÉCIMO SEXT</w:t>
      </w:r>
      <w:r w:rsidR="002E2F78">
        <w:rPr>
          <w:rFonts w:ascii="Palatino Linotype" w:hAnsi="Palatino Linotype" w:cs="Arial"/>
        </w:rPr>
        <w:t>A</w:t>
      </w:r>
      <w:r w:rsidR="006C3F21">
        <w:rPr>
          <w:rFonts w:ascii="Palatino Linotype" w:hAnsi="Palatino Linotype" w:cs="Arial"/>
        </w:rPr>
        <w:t xml:space="preserve"> </w:t>
      </w:r>
      <w:r w:rsidR="00C04B32" w:rsidRPr="00C04B32">
        <w:rPr>
          <w:rFonts w:ascii="Palatino Linotype" w:hAnsi="Palatino Linotype" w:cs="Arial"/>
        </w:rPr>
        <w:t>SE</w:t>
      </w:r>
      <w:r w:rsidR="006C3F21">
        <w:rPr>
          <w:rFonts w:ascii="Palatino Linotype" w:hAnsi="Palatino Linotype" w:cs="Arial"/>
        </w:rPr>
        <w:t>SI</w:t>
      </w:r>
      <w:r w:rsidR="002E2F78">
        <w:rPr>
          <w:rFonts w:ascii="Palatino Linotype" w:hAnsi="Palatino Linotype" w:cs="Arial"/>
        </w:rPr>
        <w:t>ÓN O</w:t>
      </w:r>
      <w:r w:rsidR="009B34B5">
        <w:rPr>
          <w:rFonts w:ascii="Palatino Linotype" w:hAnsi="Palatino Linotype" w:cs="Arial"/>
        </w:rPr>
        <w:t>RDINARIA CELEBRADA EL CUATRO DE MAY</w:t>
      </w:r>
      <w:r w:rsidR="002E2F78">
        <w:rPr>
          <w:rFonts w:ascii="Palatino Linotype" w:hAnsi="Palatino Linotype" w:cs="Arial"/>
        </w:rPr>
        <w:t>O DEL DOS MIL VEINTIDÓS</w:t>
      </w:r>
      <w:r w:rsidR="00C04B32" w:rsidRPr="00C04B32">
        <w:rPr>
          <w:rFonts w:ascii="Palatino Linotype" w:hAnsi="Palatino Linotype" w:cs="Arial"/>
        </w:rPr>
        <w:t>, ANTE EL SECRETARIO TÉCNICO DEL PLENO, ALEXIS TAPIA RAMÍREZ.</w:t>
      </w:r>
    </w:p>
    <w:p w14:paraId="70571816" w14:textId="77777777" w:rsidR="00BC13D8" w:rsidRDefault="00BC13D8" w:rsidP="006F54A9">
      <w:pPr>
        <w:pStyle w:val="Sinespaciado"/>
        <w:spacing w:before="240" w:after="240" w:line="360" w:lineRule="auto"/>
        <w:jc w:val="both"/>
        <w:rPr>
          <w:rFonts w:ascii="Palatino Linotype" w:hAnsi="Palatino Linotype" w:cs="Arial"/>
        </w:rPr>
        <w:sectPr w:rsidR="00BC13D8" w:rsidSect="004B2BD8">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pPr>
    </w:p>
    <w:p w14:paraId="22F6FCF8" w14:textId="4360B6F1" w:rsidR="005F731E" w:rsidRDefault="005F731E" w:rsidP="006F54A9">
      <w:pPr>
        <w:pStyle w:val="Sinespaciado"/>
        <w:spacing w:before="240" w:after="240" w:line="360" w:lineRule="auto"/>
        <w:jc w:val="both"/>
        <w:rPr>
          <w:rFonts w:ascii="Palatino Linotype" w:hAnsi="Palatino Linotype" w:cs="Arial"/>
        </w:rPr>
      </w:pPr>
    </w:p>
    <w:p w14:paraId="4E69EF6A" w14:textId="453C9900" w:rsidR="005F731E" w:rsidRDefault="005F731E" w:rsidP="006F54A9">
      <w:pPr>
        <w:pStyle w:val="Sinespaciado"/>
        <w:spacing w:before="240" w:after="240" w:line="360" w:lineRule="auto"/>
        <w:jc w:val="both"/>
        <w:rPr>
          <w:rFonts w:ascii="Palatino Linotype" w:hAnsi="Palatino Linotype" w:cs="Arial"/>
        </w:rPr>
      </w:pPr>
    </w:p>
    <w:p w14:paraId="73B315D5" w14:textId="77777777" w:rsidR="005F731E" w:rsidRPr="00A4521A" w:rsidRDefault="005F731E" w:rsidP="006F54A9">
      <w:pPr>
        <w:pStyle w:val="Sinespaciado"/>
        <w:spacing w:before="240" w:after="240" w:line="360" w:lineRule="auto"/>
        <w:jc w:val="both"/>
        <w:rPr>
          <w:rFonts w:ascii="Palatino Linotype" w:hAnsi="Palatino Linotype" w:cs="Arial"/>
        </w:rPr>
      </w:pPr>
    </w:p>
    <w:sectPr w:rsidR="005F731E" w:rsidRPr="00A4521A" w:rsidSect="002B62AF">
      <w:head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FD79D" w14:textId="77777777" w:rsidR="006C137D" w:rsidRDefault="006C137D" w:rsidP="00C80F8C">
      <w:r>
        <w:separator/>
      </w:r>
    </w:p>
  </w:endnote>
  <w:endnote w:type="continuationSeparator" w:id="0">
    <w:p w14:paraId="1C9BA216" w14:textId="77777777" w:rsidR="006C137D" w:rsidRDefault="006C137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A68B520" w:rsidR="0066433C" w:rsidRDefault="0066433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F1AE0">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F1AE0">
      <w:rPr>
        <w:rFonts w:ascii="Arial" w:hAnsi="Arial" w:cs="Arial"/>
        <w:b/>
        <w:bCs/>
        <w:noProof/>
        <w:sz w:val="20"/>
        <w:szCs w:val="20"/>
      </w:rPr>
      <w:t>28</w:t>
    </w:r>
    <w:r>
      <w:rPr>
        <w:rFonts w:ascii="Arial" w:hAnsi="Arial" w:cs="Arial"/>
        <w:b/>
        <w:bCs/>
        <w:sz w:val="20"/>
        <w:szCs w:val="20"/>
      </w:rPr>
      <w:fldChar w:fldCharType="end"/>
    </w:r>
  </w:p>
  <w:p w14:paraId="1192A578" w14:textId="77777777" w:rsidR="0066433C" w:rsidRDefault="0066433C" w:rsidP="00935A0D">
    <w:pPr>
      <w:pStyle w:val="Piedepgina"/>
      <w:rPr>
        <w:rFonts w:ascii="Times New Roman" w:hAnsi="Times New Roman" w:cs="Times New Roman"/>
      </w:rPr>
    </w:pPr>
  </w:p>
  <w:p w14:paraId="14A770F8" w14:textId="77777777" w:rsidR="0066433C" w:rsidRDefault="0066433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E94B4FF" w:rsidR="0066433C" w:rsidRDefault="0066433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4F1AE0">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4F1AE0">
      <w:rPr>
        <w:rFonts w:ascii="Arial" w:hAnsi="Arial" w:cs="Arial"/>
        <w:b/>
        <w:bCs/>
        <w:noProof/>
        <w:sz w:val="20"/>
        <w:szCs w:val="20"/>
      </w:rPr>
      <w:t>28</w:t>
    </w:r>
    <w:r>
      <w:rPr>
        <w:rFonts w:ascii="Arial" w:hAnsi="Arial" w:cs="Arial"/>
        <w:b/>
        <w:bCs/>
        <w:sz w:val="20"/>
        <w:szCs w:val="20"/>
      </w:rPr>
      <w:fldChar w:fldCharType="end"/>
    </w:r>
  </w:p>
  <w:p w14:paraId="5D98ABD5" w14:textId="5688D88C" w:rsidR="0066433C" w:rsidRDefault="006643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423F6" w14:textId="77777777" w:rsidR="006C137D" w:rsidRDefault="006C137D" w:rsidP="00C80F8C">
      <w:r>
        <w:separator/>
      </w:r>
    </w:p>
  </w:footnote>
  <w:footnote w:type="continuationSeparator" w:id="0">
    <w:p w14:paraId="175CB0A7" w14:textId="77777777" w:rsidR="006C137D" w:rsidRDefault="006C137D" w:rsidP="00C80F8C">
      <w:r>
        <w:continuationSeparator/>
      </w:r>
    </w:p>
  </w:footnote>
  <w:footnote w:id="1">
    <w:p w14:paraId="3C3E0FF1" w14:textId="5E83DEF3" w:rsidR="00243426" w:rsidRDefault="00243426">
      <w:pPr>
        <w:pStyle w:val="Textonotapie"/>
      </w:pPr>
      <w:r>
        <w:rPr>
          <w:rStyle w:val="Refdenotaalpie"/>
        </w:rPr>
        <w:footnoteRef/>
      </w:r>
      <w:r>
        <w:t xml:space="preserve"> </w:t>
      </w:r>
      <w:r w:rsidRPr="00243426">
        <w:rPr>
          <w:rFonts w:ascii="Palatino Linotype" w:hAnsi="Palatino Linotype"/>
          <w:sz w:val="18"/>
        </w:rPr>
        <w:t xml:space="preserve">Consultable en: </w:t>
      </w:r>
      <w:hyperlink r:id="rId1" w:history="1">
        <w:r w:rsidRPr="00243426">
          <w:rPr>
            <w:rStyle w:val="Hipervnculo"/>
            <w:rFonts w:ascii="Palatino Linotype" w:hAnsi="Palatino Linotype"/>
            <w:sz w:val="18"/>
          </w:rPr>
          <w:t>https://legislacion.edomex.gob.mx/sites/legislacion.edomex.gob.mx/files/files/pdf/gct/2021/feb041.pdf</w:t>
        </w:r>
      </w:hyperlink>
      <w:r w:rsidRPr="00243426">
        <w:rPr>
          <w:sz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66433C" w14:paraId="6B4E3B81" w14:textId="77777777" w:rsidTr="009D4854">
      <w:tc>
        <w:tcPr>
          <w:tcW w:w="2553" w:type="dxa"/>
          <w:vAlign w:val="center"/>
          <w:hideMark/>
        </w:tcPr>
        <w:p w14:paraId="0ABBC6C0" w14:textId="77777777" w:rsidR="0066433C" w:rsidRDefault="0066433C"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53135A11" w:rsidR="0066433C" w:rsidRDefault="004C6D7D" w:rsidP="00B36178">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01954/INFOEM/IP/RR/2022</w:t>
          </w:r>
        </w:p>
      </w:tc>
    </w:tr>
    <w:tr w:rsidR="0066433C" w14:paraId="31CB780F" w14:textId="77777777" w:rsidTr="009D4854">
      <w:trPr>
        <w:trHeight w:val="228"/>
      </w:trPr>
      <w:tc>
        <w:tcPr>
          <w:tcW w:w="2553" w:type="dxa"/>
          <w:vAlign w:val="center"/>
          <w:hideMark/>
        </w:tcPr>
        <w:p w14:paraId="4F49CB4A" w14:textId="6966D32E" w:rsidR="0066433C" w:rsidRDefault="0066433C"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2C41BF99" w:rsidR="0066433C" w:rsidRDefault="004C6D7D" w:rsidP="00C9614B">
          <w:pPr>
            <w:ind w:right="664"/>
            <w:jc w:val="both"/>
            <w:rPr>
              <w:rFonts w:ascii="Palatino Linotype" w:hAnsi="Palatino Linotype"/>
              <w:b/>
              <w:sz w:val="22"/>
              <w:szCs w:val="22"/>
              <w:lang w:val="es-ES_tradnl"/>
            </w:rPr>
          </w:pPr>
          <w:r>
            <w:rPr>
              <w:rFonts w:ascii="Palatino Linotype" w:eastAsiaTheme="minorEastAsia" w:hAnsi="Palatino Linotype" w:cs="Arial"/>
              <w:b/>
              <w:bCs/>
              <w:sz w:val="22"/>
              <w:szCs w:val="22"/>
            </w:rPr>
            <w:t>Secretaría de Justicia y Derechos Humanos</w:t>
          </w:r>
        </w:p>
      </w:tc>
    </w:tr>
    <w:tr w:rsidR="0066433C" w14:paraId="69050F56" w14:textId="77777777" w:rsidTr="009D4854">
      <w:tc>
        <w:tcPr>
          <w:tcW w:w="2553" w:type="dxa"/>
          <w:vAlign w:val="center"/>
          <w:hideMark/>
        </w:tcPr>
        <w:p w14:paraId="65C9B735" w14:textId="417D6599" w:rsidR="0066433C" w:rsidRDefault="00AB08B8" w:rsidP="009D4854">
          <w:pPr>
            <w:rPr>
              <w:rFonts w:ascii="Palatino Linotype" w:hAnsi="Palatino Linotype"/>
              <w:b/>
              <w:sz w:val="22"/>
              <w:szCs w:val="22"/>
              <w:lang w:val="es-ES_tradnl"/>
            </w:rPr>
          </w:pPr>
          <w:r>
            <w:rPr>
              <w:rFonts w:ascii="Palatino Linotype" w:hAnsi="Palatino Linotype"/>
              <w:b/>
              <w:sz w:val="22"/>
              <w:szCs w:val="22"/>
              <w:lang w:val="es-ES_tradnl"/>
            </w:rPr>
            <w:t>Comisionada P</w:t>
          </w:r>
          <w:r w:rsidR="0066433C">
            <w:rPr>
              <w:rFonts w:ascii="Palatino Linotype" w:hAnsi="Palatino Linotype"/>
              <w:b/>
              <w:sz w:val="22"/>
              <w:szCs w:val="22"/>
              <w:lang w:val="es-ES_tradnl"/>
            </w:rPr>
            <w:t>onente:</w:t>
          </w:r>
        </w:p>
      </w:tc>
      <w:tc>
        <w:tcPr>
          <w:tcW w:w="3687" w:type="dxa"/>
          <w:vAlign w:val="center"/>
          <w:hideMark/>
        </w:tcPr>
        <w:p w14:paraId="06864B57" w14:textId="520828FB" w:rsidR="0066433C" w:rsidRDefault="0066433C"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201069CD" w:rsidR="0066433C" w:rsidRDefault="0066433C"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3775891" wp14:editId="7746F75F">
          <wp:simplePos x="0" y="0"/>
          <wp:positionH relativeFrom="margin">
            <wp:align>center</wp:align>
          </wp:positionH>
          <wp:positionV relativeFrom="paragraph">
            <wp:posOffset>-1250315</wp:posOffset>
          </wp:positionV>
          <wp:extent cx="7635600" cy="9943200"/>
          <wp:effectExtent l="0" t="0" r="3810" b="127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26F50012" w:rsidR="0066433C" w:rsidRDefault="0066433C"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03AAC3" w:rsidR="0066433C" w:rsidRDefault="0066433C" w:rsidP="00C47D1B">
    <w:pPr>
      <w:pStyle w:val="Encabezado"/>
      <w:jc w:val="both"/>
    </w:pPr>
    <w:r>
      <w:rPr>
        <w:noProof/>
        <w:lang w:val="es-MX" w:eastAsia="es-MX"/>
      </w:rPr>
      <w:drawing>
        <wp:anchor distT="0" distB="0" distL="114300" distR="114300" simplePos="0" relativeHeight="251659264" behindDoc="1" locked="0" layoutInCell="1" allowOverlap="1" wp14:anchorId="1BBABE47" wp14:editId="51D3C150">
          <wp:simplePos x="0" y="0"/>
          <wp:positionH relativeFrom="page">
            <wp:align>left</wp:align>
          </wp:positionH>
          <wp:positionV relativeFrom="paragraph">
            <wp:posOffset>-343535</wp:posOffset>
          </wp:positionV>
          <wp:extent cx="7635600" cy="9943200"/>
          <wp:effectExtent l="0" t="0" r="3810" b="127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66433C" w14:paraId="477E149B" w14:textId="77777777" w:rsidTr="00C47D1B">
      <w:tc>
        <w:tcPr>
          <w:tcW w:w="2553" w:type="dxa"/>
          <w:vAlign w:val="center"/>
          <w:hideMark/>
        </w:tcPr>
        <w:p w14:paraId="5C0586E4" w14:textId="77777777" w:rsidR="0066433C" w:rsidRDefault="0066433C"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7C2B0311" w:rsidR="0066433C" w:rsidRPr="004440AC" w:rsidRDefault="004C6D7D" w:rsidP="00BD14B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01954/INFOEM/IP/RR/2022</w:t>
          </w:r>
        </w:p>
      </w:tc>
    </w:tr>
    <w:tr w:rsidR="0066433C" w14:paraId="5B5BE21C" w14:textId="77777777" w:rsidTr="003C388A">
      <w:tc>
        <w:tcPr>
          <w:tcW w:w="2553" w:type="dxa"/>
          <w:vAlign w:val="center"/>
          <w:hideMark/>
        </w:tcPr>
        <w:p w14:paraId="4AE96902" w14:textId="4E063913" w:rsidR="0066433C" w:rsidRDefault="0066433C"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tcPr>
        <w:p w14:paraId="776E3E60" w14:textId="0A8F8D91" w:rsidR="0066433C" w:rsidRPr="004440AC" w:rsidRDefault="004F1AE0" w:rsidP="00155789">
          <w:pPr>
            <w:rPr>
              <w:rFonts w:ascii="Palatino Linotype" w:hAnsi="Palatino Linotype"/>
              <w:b/>
              <w:sz w:val="22"/>
              <w:szCs w:val="22"/>
              <w:lang w:val="es-ES_tradnl"/>
            </w:rPr>
          </w:pPr>
          <w:r>
            <w:rPr>
              <w:rFonts w:ascii="Palatino Linotype" w:hAnsi="Palatino Linotype"/>
              <w:b/>
              <w:sz w:val="22"/>
              <w:szCs w:val="22"/>
              <w:lang w:val="es-ES_tradnl"/>
            </w:rPr>
            <w:t>XXXXXX XXXXXX XXXXX</w:t>
          </w:r>
        </w:p>
      </w:tc>
    </w:tr>
    <w:tr w:rsidR="0066433C" w14:paraId="22601A11" w14:textId="77777777" w:rsidTr="00C47D1B">
      <w:trPr>
        <w:trHeight w:val="228"/>
      </w:trPr>
      <w:tc>
        <w:tcPr>
          <w:tcW w:w="2553" w:type="dxa"/>
          <w:vAlign w:val="center"/>
          <w:hideMark/>
        </w:tcPr>
        <w:p w14:paraId="6EFE221D" w14:textId="49C5F800" w:rsidR="0066433C" w:rsidRDefault="0066433C"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47F09EFE" w:rsidR="0066433C" w:rsidRPr="004440AC" w:rsidRDefault="004C6D7D" w:rsidP="00C9614B">
          <w:pPr>
            <w:ind w:right="745"/>
            <w:jc w:val="both"/>
            <w:rPr>
              <w:rFonts w:ascii="Palatino Linotype" w:hAnsi="Palatino Linotype"/>
              <w:b/>
              <w:sz w:val="22"/>
              <w:szCs w:val="22"/>
              <w:lang w:val="es-ES_tradnl"/>
            </w:rPr>
          </w:pPr>
          <w:r>
            <w:rPr>
              <w:rFonts w:ascii="Palatino Linotype" w:eastAsiaTheme="minorEastAsia" w:hAnsi="Palatino Linotype" w:cs="Arial"/>
              <w:b/>
              <w:bCs/>
              <w:sz w:val="22"/>
              <w:szCs w:val="22"/>
            </w:rPr>
            <w:t>Secretaría de Justicia y Derechos Humanos</w:t>
          </w:r>
        </w:p>
      </w:tc>
    </w:tr>
    <w:tr w:rsidR="0066433C" w14:paraId="2D6C630E" w14:textId="77777777" w:rsidTr="00C47D1B">
      <w:tc>
        <w:tcPr>
          <w:tcW w:w="2553" w:type="dxa"/>
          <w:vAlign w:val="center"/>
          <w:hideMark/>
        </w:tcPr>
        <w:p w14:paraId="5BD4C6DB" w14:textId="2BEF086E" w:rsidR="0066433C" w:rsidRDefault="0066433C"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33AA34C2" w:rsidR="0066433C" w:rsidRPr="004440AC" w:rsidRDefault="0066433C"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66433C" w:rsidRDefault="0066433C" w:rsidP="00C47D1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46903" w14:textId="1DBEEFAF" w:rsidR="0066433C" w:rsidRDefault="0066433C" w:rsidP="00C47D1B">
    <w:pPr>
      <w:pStyle w:val="Encabezado"/>
      <w:jc w:val="both"/>
    </w:pPr>
    <w:r>
      <w:t xml:space="preserve">                                  </w:t>
    </w:r>
  </w:p>
  <w:p w14:paraId="2BD1D79E" w14:textId="77777777" w:rsidR="0066433C" w:rsidRDefault="0066433C"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C581D"/>
    <w:multiLevelType w:val="hybridMultilevel"/>
    <w:tmpl w:val="A134C7AE"/>
    <w:lvl w:ilvl="0" w:tplc="C16E47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2351100"/>
    <w:multiLevelType w:val="hybridMultilevel"/>
    <w:tmpl w:val="3A7047B2"/>
    <w:lvl w:ilvl="0" w:tplc="FFF61678">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2AA77D95"/>
    <w:multiLevelType w:val="hybridMultilevel"/>
    <w:tmpl w:val="2AEABAE8"/>
    <w:lvl w:ilvl="0" w:tplc="269A5026">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34FB2EF3"/>
    <w:multiLevelType w:val="hybridMultilevel"/>
    <w:tmpl w:val="E9D8ADE2"/>
    <w:lvl w:ilvl="0" w:tplc="33F6B636">
      <w:start w:val="1"/>
      <w:numFmt w:val="upperRoman"/>
      <w:lvlText w:val="%1."/>
      <w:lvlJc w:val="left"/>
      <w:pPr>
        <w:ind w:left="112" w:hanging="157"/>
      </w:pPr>
      <w:rPr>
        <w:rFonts w:ascii="Bookman Old Style" w:hAnsi="Bookman Old Style" w:cs="Arial" w:hint="default"/>
        <w:b/>
        <w:bCs/>
        <w:spacing w:val="0"/>
        <w:w w:val="100"/>
        <w:position w:val="0"/>
        <w:sz w:val="20"/>
        <w:szCs w:val="20"/>
      </w:rPr>
    </w:lvl>
    <w:lvl w:ilvl="1" w:tplc="60C86DDE">
      <w:numFmt w:val="bullet"/>
      <w:lvlText w:val="•"/>
      <w:lvlJc w:val="left"/>
      <w:pPr>
        <w:ind w:left="1128" w:hanging="157"/>
      </w:pPr>
      <w:rPr>
        <w:rFonts w:hint="default"/>
      </w:rPr>
    </w:lvl>
    <w:lvl w:ilvl="2" w:tplc="72B2700E">
      <w:numFmt w:val="bullet"/>
      <w:lvlText w:val="•"/>
      <w:lvlJc w:val="left"/>
      <w:pPr>
        <w:ind w:left="2136" w:hanging="157"/>
      </w:pPr>
      <w:rPr>
        <w:rFonts w:hint="default"/>
      </w:rPr>
    </w:lvl>
    <w:lvl w:ilvl="3" w:tplc="32CE95B0">
      <w:numFmt w:val="bullet"/>
      <w:lvlText w:val="•"/>
      <w:lvlJc w:val="left"/>
      <w:pPr>
        <w:ind w:left="3144" w:hanging="157"/>
      </w:pPr>
      <w:rPr>
        <w:rFonts w:hint="default"/>
      </w:rPr>
    </w:lvl>
    <w:lvl w:ilvl="4" w:tplc="E7C40B84">
      <w:numFmt w:val="bullet"/>
      <w:lvlText w:val="•"/>
      <w:lvlJc w:val="left"/>
      <w:pPr>
        <w:ind w:left="4152" w:hanging="157"/>
      </w:pPr>
      <w:rPr>
        <w:rFonts w:hint="default"/>
      </w:rPr>
    </w:lvl>
    <w:lvl w:ilvl="5" w:tplc="3C38C118">
      <w:numFmt w:val="bullet"/>
      <w:lvlText w:val="•"/>
      <w:lvlJc w:val="left"/>
      <w:pPr>
        <w:ind w:left="5161" w:hanging="157"/>
      </w:pPr>
      <w:rPr>
        <w:rFonts w:hint="default"/>
      </w:rPr>
    </w:lvl>
    <w:lvl w:ilvl="6" w:tplc="30FA6672">
      <w:numFmt w:val="bullet"/>
      <w:lvlText w:val="•"/>
      <w:lvlJc w:val="left"/>
      <w:pPr>
        <w:ind w:left="6169" w:hanging="157"/>
      </w:pPr>
      <w:rPr>
        <w:rFonts w:hint="default"/>
      </w:rPr>
    </w:lvl>
    <w:lvl w:ilvl="7" w:tplc="B57038DA">
      <w:numFmt w:val="bullet"/>
      <w:lvlText w:val="•"/>
      <w:lvlJc w:val="left"/>
      <w:pPr>
        <w:ind w:left="7177" w:hanging="157"/>
      </w:pPr>
      <w:rPr>
        <w:rFonts w:hint="default"/>
      </w:rPr>
    </w:lvl>
    <w:lvl w:ilvl="8" w:tplc="528086A0">
      <w:numFmt w:val="bullet"/>
      <w:lvlText w:val="•"/>
      <w:lvlJc w:val="left"/>
      <w:pPr>
        <w:ind w:left="8185" w:hanging="157"/>
      </w:pPr>
      <w:rPr>
        <w:rFonts w:hint="default"/>
      </w:rPr>
    </w:lvl>
  </w:abstractNum>
  <w:abstractNum w:abstractNumId="5">
    <w:nsid w:val="35A257D7"/>
    <w:multiLevelType w:val="hybridMultilevel"/>
    <w:tmpl w:val="22DA4884"/>
    <w:lvl w:ilvl="0" w:tplc="724A14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195381"/>
    <w:multiLevelType w:val="hybridMultilevel"/>
    <w:tmpl w:val="D424EA5C"/>
    <w:lvl w:ilvl="0" w:tplc="5F8E4CFC">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2284670"/>
    <w:multiLevelType w:val="hybridMultilevel"/>
    <w:tmpl w:val="02200162"/>
    <w:lvl w:ilvl="0" w:tplc="A6C693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45FC267B"/>
    <w:multiLevelType w:val="hybridMultilevel"/>
    <w:tmpl w:val="74322900"/>
    <w:lvl w:ilvl="0" w:tplc="3F2040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C8D156E"/>
    <w:multiLevelType w:val="hybridMultilevel"/>
    <w:tmpl w:val="E9D8ADE2"/>
    <w:lvl w:ilvl="0" w:tplc="33F6B636">
      <w:start w:val="1"/>
      <w:numFmt w:val="upperRoman"/>
      <w:lvlText w:val="%1."/>
      <w:lvlJc w:val="left"/>
      <w:pPr>
        <w:ind w:left="112" w:hanging="157"/>
      </w:pPr>
      <w:rPr>
        <w:rFonts w:ascii="Bookman Old Style" w:hAnsi="Bookman Old Style" w:cs="Arial" w:hint="default"/>
        <w:b/>
        <w:bCs/>
        <w:spacing w:val="0"/>
        <w:w w:val="100"/>
        <w:position w:val="0"/>
        <w:sz w:val="20"/>
        <w:szCs w:val="20"/>
      </w:rPr>
    </w:lvl>
    <w:lvl w:ilvl="1" w:tplc="60C86DDE">
      <w:numFmt w:val="bullet"/>
      <w:lvlText w:val="•"/>
      <w:lvlJc w:val="left"/>
      <w:pPr>
        <w:ind w:left="1128" w:hanging="157"/>
      </w:pPr>
      <w:rPr>
        <w:rFonts w:hint="default"/>
      </w:rPr>
    </w:lvl>
    <w:lvl w:ilvl="2" w:tplc="72B2700E">
      <w:numFmt w:val="bullet"/>
      <w:lvlText w:val="•"/>
      <w:lvlJc w:val="left"/>
      <w:pPr>
        <w:ind w:left="2136" w:hanging="157"/>
      </w:pPr>
      <w:rPr>
        <w:rFonts w:hint="default"/>
      </w:rPr>
    </w:lvl>
    <w:lvl w:ilvl="3" w:tplc="32CE95B0">
      <w:numFmt w:val="bullet"/>
      <w:lvlText w:val="•"/>
      <w:lvlJc w:val="left"/>
      <w:pPr>
        <w:ind w:left="3144" w:hanging="157"/>
      </w:pPr>
      <w:rPr>
        <w:rFonts w:hint="default"/>
      </w:rPr>
    </w:lvl>
    <w:lvl w:ilvl="4" w:tplc="E7C40B84">
      <w:numFmt w:val="bullet"/>
      <w:lvlText w:val="•"/>
      <w:lvlJc w:val="left"/>
      <w:pPr>
        <w:ind w:left="4152" w:hanging="157"/>
      </w:pPr>
      <w:rPr>
        <w:rFonts w:hint="default"/>
      </w:rPr>
    </w:lvl>
    <w:lvl w:ilvl="5" w:tplc="3C38C118">
      <w:numFmt w:val="bullet"/>
      <w:lvlText w:val="•"/>
      <w:lvlJc w:val="left"/>
      <w:pPr>
        <w:ind w:left="5161" w:hanging="157"/>
      </w:pPr>
      <w:rPr>
        <w:rFonts w:hint="default"/>
      </w:rPr>
    </w:lvl>
    <w:lvl w:ilvl="6" w:tplc="30FA6672">
      <w:numFmt w:val="bullet"/>
      <w:lvlText w:val="•"/>
      <w:lvlJc w:val="left"/>
      <w:pPr>
        <w:ind w:left="6169" w:hanging="157"/>
      </w:pPr>
      <w:rPr>
        <w:rFonts w:hint="default"/>
      </w:rPr>
    </w:lvl>
    <w:lvl w:ilvl="7" w:tplc="B57038DA">
      <w:numFmt w:val="bullet"/>
      <w:lvlText w:val="•"/>
      <w:lvlJc w:val="left"/>
      <w:pPr>
        <w:ind w:left="7177" w:hanging="157"/>
      </w:pPr>
      <w:rPr>
        <w:rFonts w:hint="default"/>
      </w:rPr>
    </w:lvl>
    <w:lvl w:ilvl="8" w:tplc="528086A0">
      <w:numFmt w:val="bullet"/>
      <w:lvlText w:val="•"/>
      <w:lvlJc w:val="left"/>
      <w:pPr>
        <w:ind w:left="8185" w:hanging="157"/>
      </w:pPr>
      <w:rPr>
        <w:rFonts w:hint="default"/>
      </w:rPr>
    </w:lvl>
  </w:abstractNum>
  <w:abstractNum w:abstractNumId="11">
    <w:nsid w:val="607A6BCA"/>
    <w:multiLevelType w:val="hybridMultilevel"/>
    <w:tmpl w:val="DD242C12"/>
    <w:lvl w:ilvl="0" w:tplc="7A56A204">
      <w:start w:val="1"/>
      <w:numFmt w:val="upperRoman"/>
      <w:lvlText w:val="%1."/>
      <w:lvlJc w:val="left"/>
      <w:pPr>
        <w:ind w:left="264" w:hanging="152"/>
      </w:pPr>
      <w:rPr>
        <w:rFonts w:ascii="Bookman Old Style" w:hAnsi="Bookman Old Style" w:cs="Arial" w:hint="default"/>
        <w:b/>
        <w:bCs/>
        <w:spacing w:val="0"/>
        <w:w w:val="100"/>
        <w:position w:val="0"/>
        <w:sz w:val="20"/>
        <w:szCs w:val="20"/>
      </w:rPr>
    </w:lvl>
    <w:lvl w:ilvl="1" w:tplc="4502DEC4">
      <w:numFmt w:val="bullet"/>
      <w:lvlText w:val="•"/>
      <w:lvlJc w:val="left"/>
      <w:pPr>
        <w:ind w:left="1254" w:hanging="152"/>
      </w:pPr>
      <w:rPr>
        <w:rFonts w:hint="default"/>
      </w:rPr>
    </w:lvl>
    <w:lvl w:ilvl="2" w:tplc="8FFC3FF2">
      <w:numFmt w:val="bullet"/>
      <w:lvlText w:val="•"/>
      <w:lvlJc w:val="left"/>
      <w:pPr>
        <w:ind w:left="2248" w:hanging="152"/>
      </w:pPr>
      <w:rPr>
        <w:rFonts w:hint="default"/>
      </w:rPr>
    </w:lvl>
    <w:lvl w:ilvl="3" w:tplc="A40E3F74">
      <w:numFmt w:val="bullet"/>
      <w:lvlText w:val="•"/>
      <w:lvlJc w:val="left"/>
      <w:pPr>
        <w:ind w:left="3242" w:hanging="152"/>
      </w:pPr>
      <w:rPr>
        <w:rFonts w:hint="default"/>
      </w:rPr>
    </w:lvl>
    <w:lvl w:ilvl="4" w:tplc="9CC00FC0">
      <w:numFmt w:val="bullet"/>
      <w:lvlText w:val="•"/>
      <w:lvlJc w:val="left"/>
      <w:pPr>
        <w:ind w:left="4236" w:hanging="152"/>
      </w:pPr>
      <w:rPr>
        <w:rFonts w:hint="default"/>
      </w:rPr>
    </w:lvl>
    <w:lvl w:ilvl="5" w:tplc="9D64791E">
      <w:numFmt w:val="bullet"/>
      <w:lvlText w:val="•"/>
      <w:lvlJc w:val="left"/>
      <w:pPr>
        <w:ind w:left="5231" w:hanging="152"/>
      </w:pPr>
      <w:rPr>
        <w:rFonts w:hint="default"/>
      </w:rPr>
    </w:lvl>
    <w:lvl w:ilvl="6" w:tplc="114286D2">
      <w:numFmt w:val="bullet"/>
      <w:lvlText w:val="•"/>
      <w:lvlJc w:val="left"/>
      <w:pPr>
        <w:ind w:left="6225" w:hanging="152"/>
      </w:pPr>
      <w:rPr>
        <w:rFonts w:hint="default"/>
      </w:rPr>
    </w:lvl>
    <w:lvl w:ilvl="7" w:tplc="C1F0CB5E">
      <w:numFmt w:val="bullet"/>
      <w:lvlText w:val="•"/>
      <w:lvlJc w:val="left"/>
      <w:pPr>
        <w:ind w:left="7219" w:hanging="152"/>
      </w:pPr>
      <w:rPr>
        <w:rFonts w:hint="default"/>
      </w:rPr>
    </w:lvl>
    <w:lvl w:ilvl="8" w:tplc="85C209C2">
      <w:numFmt w:val="bullet"/>
      <w:lvlText w:val="•"/>
      <w:lvlJc w:val="left"/>
      <w:pPr>
        <w:ind w:left="8213" w:hanging="152"/>
      </w:pPr>
      <w:rPr>
        <w:rFonts w:hint="default"/>
      </w:rPr>
    </w:lvl>
  </w:abstractNum>
  <w:abstractNum w:abstractNumId="12">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89B616D"/>
    <w:multiLevelType w:val="hybridMultilevel"/>
    <w:tmpl w:val="E9D8ADE2"/>
    <w:lvl w:ilvl="0" w:tplc="33F6B636">
      <w:start w:val="1"/>
      <w:numFmt w:val="upperRoman"/>
      <w:lvlText w:val="%1."/>
      <w:lvlJc w:val="left"/>
      <w:pPr>
        <w:ind w:left="112" w:hanging="157"/>
      </w:pPr>
      <w:rPr>
        <w:rFonts w:ascii="Bookman Old Style" w:hAnsi="Bookman Old Style" w:cs="Arial" w:hint="default"/>
        <w:b/>
        <w:bCs/>
        <w:spacing w:val="0"/>
        <w:w w:val="100"/>
        <w:position w:val="0"/>
        <w:sz w:val="20"/>
        <w:szCs w:val="20"/>
      </w:rPr>
    </w:lvl>
    <w:lvl w:ilvl="1" w:tplc="60C86DDE">
      <w:numFmt w:val="bullet"/>
      <w:lvlText w:val="•"/>
      <w:lvlJc w:val="left"/>
      <w:pPr>
        <w:ind w:left="1128" w:hanging="157"/>
      </w:pPr>
      <w:rPr>
        <w:rFonts w:hint="default"/>
      </w:rPr>
    </w:lvl>
    <w:lvl w:ilvl="2" w:tplc="72B2700E">
      <w:numFmt w:val="bullet"/>
      <w:lvlText w:val="•"/>
      <w:lvlJc w:val="left"/>
      <w:pPr>
        <w:ind w:left="2136" w:hanging="157"/>
      </w:pPr>
      <w:rPr>
        <w:rFonts w:hint="default"/>
      </w:rPr>
    </w:lvl>
    <w:lvl w:ilvl="3" w:tplc="32CE95B0">
      <w:numFmt w:val="bullet"/>
      <w:lvlText w:val="•"/>
      <w:lvlJc w:val="left"/>
      <w:pPr>
        <w:ind w:left="3144" w:hanging="157"/>
      </w:pPr>
      <w:rPr>
        <w:rFonts w:hint="default"/>
      </w:rPr>
    </w:lvl>
    <w:lvl w:ilvl="4" w:tplc="E7C40B84">
      <w:numFmt w:val="bullet"/>
      <w:lvlText w:val="•"/>
      <w:lvlJc w:val="left"/>
      <w:pPr>
        <w:ind w:left="4152" w:hanging="157"/>
      </w:pPr>
      <w:rPr>
        <w:rFonts w:hint="default"/>
      </w:rPr>
    </w:lvl>
    <w:lvl w:ilvl="5" w:tplc="3C38C118">
      <w:numFmt w:val="bullet"/>
      <w:lvlText w:val="•"/>
      <w:lvlJc w:val="left"/>
      <w:pPr>
        <w:ind w:left="5161" w:hanging="157"/>
      </w:pPr>
      <w:rPr>
        <w:rFonts w:hint="default"/>
      </w:rPr>
    </w:lvl>
    <w:lvl w:ilvl="6" w:tplc="30FA6672">
      <w:numFmt w:val="bullet"/>
      <w:lvlText w:val="•"/>
      <w:lvlJc w:val="left"/>
      <w:pPr>
        <w:ind w:left="6169" w:hanging="157"/>
      </w:pPr>
      <w:rPr>
        <w:rFonts w:hint="default"/>
      </w:rPr>
    </w:lvl>
    <w:lvl w:ilvl="7" w:tplc="B57038DA">
      <w:numFmt w:val="bullet"/>
      <w:lvlText w:val="•"/>
      <w:lvlJc w:val="left"/>
      <w:pPr>
        <w:ind w:left="7177" w:hanging="157"/>
      </w:pPr>
      <w:rPr>
        <w:rFonts w:hint="default"/>
      </w:rPr>
    </w:lvl>
    <w:lvl w:ilvl="8" w:tplc="528086A0">
      <w:numFmt w:val="bullet"/>
      <w:lvlText w:val="•"/>
      <w:lvlJc w:val="left"/>
      <w:pPr>
        <w:ind w:left="8185" w:hanging="157"/>
      </w:pPr>
      <w:rPr>
        <w:rFonts w:hint="default"/>
      </w:rPr>
    </w:lvl>
  </w:abstractNum>
  <w:abstractNum w:abstractNumId="14">
    <w:nsid w:val="79656FA3"/>
    <w:multiLevelType w:val="hybridMultilevel"/>
    <w:tmpl w:val="95D8FBC6"/>
    <w:lvl w:ilvl="0" w:tplc="2B68BD74">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7CEA7168"/>
    <w:multiLevelType w:val="hybridMultilevel"/>
    <w:tmpl w:val="E0500C74"/>
    <w:lvl w:ilvl="0" w:tplc="5EC2C6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9"/>
  </w:num>
  <w:num w:numId="4">
    <w:abstractNumId w:val="1"/>
  </w:num>
  <w:num w:numId="5">
    <w:abstractNumId w:val="3"/>
  </w:num>
  <w:num w:numId="6">
    <w:abstractNumId w:val="14"/>
  </w:num>
  <w:num w:numId="7">
    <w:abstractNumId w:val="0"/>
  </w:num>
  <w:num w:numId="8">
    <w:abstractNumId w:val="7"/>
  </w:num>
  <w:num w:numId="9">
    <w:abstractNumId w:val="6"/>
  </w:num>
  <w:num w:numId="10">
    <w:abstractNumId w:val="12"/>
  </w:num>
  <w:num w:numId="11">
    <w:abstractNumId w:val="8"/>
  </w:num>
  <w:num w:numId="12">
    <w:abstractNumId w:val="2"/>
  </w:num>
  <w:num w:numId="13">
    <w:abstractNumId w:val="13"/>
  </w:num>
  <w:num w:numId="14">
    <w:abstractNumId w:val="11"/>
  </w:num>
  <w:num w:numId="15">
    <w:abstractNumId w:val="4"/>
  </w:num>
  <w:num w:numId="16">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AC7"/>
    <w:rsid w:val="000011B5"/>
    <w:rsid w:val="00003255"/>
    <w:rsid w:val="000035AE"/>
    <w:rsid w:val="0000625E"/>
    <w:rsid w:val="000064FC"/>
    <w:rsid w:val="00007CF3"/>
    <w:rsid w:val="00007D6B"/>
    <w:rsid w:val="00011FE4"/>
    <w:rsid w:val="00012A5F"/>
    <w:rsid w:val="000155F8"/>
    <w:rsid w:val="000163E2"/>
    <w:rsid w:val="00017394"/>
    <w:rsid w:val="00017BE1"/>
    <w:rsid w:val="00020A18"/>
    <w:rsid w:val="00020FBB"/>
    <w:rsid w:val="00021E8D"/>
    <w:rsid w:val="0002371F"/>
    <w:rsid w:val="000239D7"/>
    <w:rsid w:val="00023C79"/>
    <w:rsid w:val="000252E9"/>
    <w:rsid w:val="00025693"/>
    <w:rsid w:val="00026705"/>
    <w:rsid w:val="00026D94"/>
    <w:rsid w:val="00031826"/>
    <w:rsid w:val="0003385D"/>
    <w:rsid w:val="00034241"/>
    <w:rsid w:val="00035413"/>
    <w:rsid w:val="000354B7"/>
    <w:rsid w:val="000359D8"/>
    <w:rsid w:val="00035B1B"/>
    <w:rsid w:val="00035F2E"/>
    <w:rsid w:val="000360A7"/>
    <w:rsid w:val="00036575"/>
    <w:rsid w:val="00036B8A"/>
    <w:rsid w:val="00041D3E"/>
    <w:rsid w:val="00042350"/>
    <w:rsid w:val="000423C7"/>
    <w:rsid w:val="00042431"/>
    <w:rsid w:val="00043AE9"/>
    <w:rsid w:val="0004471E"/>
    <w:rsid w:val="00045FD8"/>
    <w:rsid w:val="00046DFC"/>
    <w:rsid w:val="0004750C"/>
    <w:rsid w:val="00047F41"/>
    <w:rsid w:val="00050B6B"/>
    <w:rsid w:val="000510A0"/>
    <w:rsid w:val="000531EF"/>
    <w:rsid w:val="00056A11"/>
    <w:rsid w:val="00057073"/>
    <w:rsid w:val="00060CD1"/>
    <w:rsid w:val="00061B28"/>
    <w:rsid w:val="00062B1E"/>
    <w:rsid w:val="00062CC1"/>
    <w:rsid w:val="000636EA"/>
    <w:rsid w:val="000646E3"/>
    <w:rsid w:val="000652AD"/>
    <w:rsid w:val="000667E0"/>
    <w:rsid w:val="00066867"/>
    <w:rsid w:val="00066D7D"/>
    <w:rsid w:val="0006730A"/>
    <w:rsid w:val="00071380"/>
    <w:rsid w:val="00071462"/>
    <w:rsid w:val="00071A99"/>
    <w:rsid w:val="00072735"/>
    <w:rsid w:val="000752EF"/>
    <w:rsid w:val="00075D7A"/>
    <w:rsid w:val="00077347"/>
    <w:rsid w:val="00077788"/>
    <w:rsid w:val="00082571"/>
    <w:rsid w:val="0008304C"/>
    <w:rsid w:val="00083058"/>
    <w:rsid w:val="00083113"/>
    <w:rsid w:val="000831C8"/>
    <w:rsid w:val="0008387F"/>
    <w:rsid w:val="0008542A"/>
    <w:rsid w:val="00086447"/>
    <w:rsid w:val="00087498"/>
    <w:rsid w:val="00087514"/>
    <w:rsid w:val="000879EF"/>
    <w:rsid w:val="00090EBA"/>
    <w:rsid w:val="00091097"/>
    <w:rsid w:val="00091682"/>
    <w:rsid w:val="000922D4"/>
    <w:rsid w:val="00092DFC"/>
    <w:rsid w:val="0009444C"/>
    <w:rsid w:val="00094E67"/>
    <w:rsid w:val="00095E37"/>
    <w:rsid w:val="00097EF0"/>
    <w:rsid w:val="000A0BA3"/>
    <w:rsid w:val="000A0D0B"/>
    <w:rsid w:val="000A1403"/>
    <w:rsid w:val="000A16A2"/>
    <w:rsid w:val="000A1C9A"/>
    <w:rsid w:val="000A1E1F"/>
    <w:rsid w:val="000A351A"/>
    <w:rsid w:val="000A4EC4"/>
    <w:rsid w:val="000A515A"/>
    <w:rsid w:val="000A577A"/>
    <w:rsid w:val="000A6651"/>
    <w:rsid w:val="000A7C0E"/>
    <w:rsid w:val="000B0C40"/>
    <w:rsid w:val="000B0C87"/>
    <w:rsid w:val="000B2B61"/>
    <w:rsid w:val="000B2CE3"/>
    <w:rsid w:val="000B2D3D"/>
    <w:rsid w:val="000B2FE2"/>
    <w:rsid w:val="000B3A0B"/>
    <w:rsid w:val="000B3FFD"/>
    <w:rsid w:val="000B4126"/>
    <w:rsid w:val="000B4DA5"/>
    <w:rsid w:val="000B5351"/>
    <w:rsid w:val="000B74BA"/>
    <w:rsid w:val="000B7B5A"/>
    <w:rsid w:val="000B7FC4"/>
    <w:rsid w:val="000B7FF0"/>
    <w:rsid w:val="000C057C"/>
    <w:rsid w:val="000C4453"/>
    <w:rsid w:val="000C54A3"/>
    <w:rsid w:val="000C7714"/>
    <w:rsid w:val="000C77C6"/>
    <w:rsid w:val="000C7C04"/>
    <w:rsid w:val="000D03C2"/>
    <w:rsid w:val="000D0980"/>
    <w:rsid w:val="000D2FB4"/>
    <w:rsid w:val="000D5029"/>
    <w:rsid w:val="000D69AA"/>
    <w:rsid w:val="000D7676"/>
    <w:rsid w:val="000E059C"/>
    <w:rsid w:val="000E08B8"/>
    <w:rsid w:val="000E0E8E"/>
    <w:rsid w:val="000F20B4"/>
    <w:rsid w:val="000F36AE"/>
    <w:rsid w:val="000F42DB"/>
    <w:rsid w:val="000F6886"/>
    <w:rsid w:val="000F7078"/>
    <w:rsid w:val="000F71B5"/>
    <w:rsid w:val="000F7FE2"/>
    <w:rsid w:val="0010152C"/>
    <w:rsid w:val="00103334"/>
    <w:rsid w:val="00104E08"/>
    <w:rsid w:val="00107249"/>
    <w:rsid w:val="001073CC"/>
    <w:rsid w:val="00107A49"/>
    <w:rsid w:val="001110FC"/>
    <w:rsid w:val="00111416"/>
    <w:rsid w:val="00112067"/>
    <w:rsid w:val="00112892"/>
    <w:rsid w:val="00113998"/>
    <w:rsid w:val="00114D4B"/>
    <w:rsid w:val="00114DDF"/>
    <w:rsid w:val="001150FF"/>
    <w:rsid w:val="00115594"/>
    <w:rsid w:val="00115AAD"/>
    <w:rsid w:val="001165E8"/>
    <w:rsid w:val="001168F3"/>
    <w:rsid w:val="001228F2"/>
    <w:rsid w:val="00124762"/>
    <w:rsid w:val="00125637"/>
    <w:rsid w:val="00127CA9"/>
    <w:rsid w:val="00130642"/>
    <w:rsid w:val="001306E4"/>
    <w:rsid w:val="00132AAA"/>
    <w:rsid w:val="00136083"/>
    <w:rsid w:val="001407EE"/>
    <w:rsid w:val="00141F78"/>
    <w:rsid w:val="00142847"/>
    <w:rsid w:val="00142A63"/>
    <w:rsid w:val="00143967"/>
    <w:rsid w:val="00145D65"/>
    <w:rsid w:val="00147E1D"/>
    <w:rsid w:val="00151D19"/>
    <w:rsid w:val="00152866"/>
    <w:rsid w:val="00154F9F"/>
    <w:rsid w:val="0015575F"/>
    <w:rsid w:val="00155789"/>
    <w:rsid w:val="00155C46"/>
    <w:rsid w:val="00161A72"/>
    <w:rsid w:val="00161FC4"/>
    <w:rsid w:val="00163B98"/>
    <w:rsid w:val="00166139"/>
    <w:rsid w:val="001667F0"/>
    <w:rsid w:val="00166CA0"/>
    <w:rsid w:val="00167F89"/>
    <w:rsid w:val="001701C4"/>
    <w:rsid w:val="00170E0A"/>
    <w:rsid w:val="00170FC7"/>
    <w:rsid w:val="00172089"/>
    <w:rsid w:val="001723BF"/>
    <w:rsid w:val="00174C5D"/>
    <w:rsid w:val="0017530C"/>
    <w:rsid w:val="0017555E"/>
    <w:rsid w:val="00175974"/>
    <w:rsid w:val="00175CD2"/>
    <w:rsid w:val="001777F9"/>
    <w:rsid w:val="00177A27"/>
    <w:rsid w:val="00181791"/>
    <w:rsid w:val="00183275"/>
    <w:rsid w:val="00184474"/>
    <w:rsid w:val="00184FBA"/>
    <w:rsid w:val="00186B63"/>
    <w:rsid w:val="001875B7"/>
    <w:rsid w:val="001905F4"/>
    <w:rsid w:val="001911CC"/>
    <w:rsid w:val="00191232"/>
    <w:rsid w:val="00191780"/>
    <w:rsid w:val="00191792"/>
    <w:rsid w:val="001943B1"/>
    <w:rsid w:val="00196DC5"/>
    <w:rsid w:val="00197AAA"/>
    <w:rsid w:val="00197DA4"/>
    <w:rsid w:val="001A0461"/>
    <w:rsid w:val="001A0542"/>
    <w:rsid w:val="001A1810"/>
    <w:rsid w:val="001A2131"/>
    <w:rsid w:val="001A21A6"/>
    <w:rsid w:val="001A2A37"/>
    <w:rsid w:val="001A2ACE"/>
    <w:rsid w:val="001A2FF3"/>
    <w:rsid w:val="001A373A"/>
    <w:rsid w:val="001A4183"/>
    <w:rsid w:val="001A49B5"/>
    <w:rsid w:val="001A4C5F"/>
    <w:rsid w:val="001A65A2"/>
    <w:rsid w:val="001A7372"/>
    <w:rsid w:val="001A7913"/>
    <w:rsid w:val="001B3256"/>
    <w:rsid w:val="001B3A7E"/>
    <w:rsid w:val="001B5099"/>
    <w:rsid w:val="001B6BDC"/>
    <w:rsid w:val="001C0C3F"/>
    <w:rsid w:val="001C1B80"/>
    <w:rsid w:val="001C304B"/>
    <w:rsid w:val="001C4584"/>
    <w:rsid w:val="001C5205"/>
    <w:rsid w:val="001C5E2E"/>
    <w:rsid w:val="001C6065"/>
    <w:rsid w:val="001C775A"/>
    <w:rsid w:val="001D064E"/>
    <w:rsid w:val="001D36C6"/>
    <w:rsid w:val="001D43BD"/>
    <w:rsid w:val="001D54C7"/>
    <w:rsid w:val="001D63C6"/>
    <w:rsid w:val="001D78E5"/>
    <w:rsid w:val="001D7A7E"/>
    <w:rsid w:val="001E1C02"/>
    <w:rsid w:val="001E39C4"/>
    <w:rsid w:val="001E3B66"/>
    <w:rsid w:val="001E5075"/>
    <w:rsid w:val="001E50ED"/>
    <w:rsid w:val="001E5309"/>
    <w:rsid w:val="001E5E95"/>
    <w:rsid w:val="001E64BE"/>
    <w:rsid w:val="001E66EB"/>
    <w:rsid w:val="001E709B"/>
    <w:rsid w:val="001F1B46"/>
    <w:rsid w:val="001F1F7D"/>
    <w:rsid w:val="001F2CA8"/>
    <w:rsid w:val="001F501F"/>
    <w:rsid w:val="001F5E9E"/>
    <w:rsid w:val="001F6787"/>
    <w:rsid w:val="001F6EBE"/>
    <w:rsid w:val="001F75F1"/>
    <w:rsid w:val="001F79BC"/>
    <w:rsid w:val="00200119"/>
    <w:rsid w:val="0020054B"/>
    <w:rsid w:val="00200852"/>
    <w:rsid w:val="00201E21"/>
    <w:rsid w:val="00203421"/>
    <w:rsid w:val="002048C6"/>
    <w:rsid w:val="00204C2A"/>
    <w:rsid w:val="00205361"/>
    <w:rsid w:val="002071BB"/>
    <w:rsid w:val="002073F1"/>
    <w:rsid w:val="00211018"/>
    <w:rsid w:val="00211484"/>
    <w:rsid w:val="00212FE4"/>
    <w:rsid w:val="002153F3"/>
    <w:rsid w:val="002155B0"/>
    <w:rsid w:val="00215922"/>
    <w:rsid w:val="00215DD9"/>
    <w:rsid w:val="00216CA9"/>
    <w:rsid w:val="00220958"/>
    <w:rsid w:val="00221545"/>
    <w:rsid w:val="00221D2C"/>
    <w:rsid w:val="00222F65"/>
    <w:rsid w:val="00223136"/>
    <w:rsid w:val="00223D0B"/>
    <w:rsid w:val="00225818"/>
    <w:rsid w:val="00226723"/>
    <w:rsid w:val="00226949"/>
    <w:rsid w:val="00230CC7"/>
    <w:rsid w:val="002310DA"/>
    <w:rsid w:val="00232249"/>
    <w:rsid w:val="0023264F"/>
    <w:rsid w:val="0023380E"/>
    <w:rsid w:val="002339A2"/>
    <w:rsid w:val="00233F88"/>
    <w:rsid w:val="00235FB4"/>
    <w:rsid w:val="0023617B"/>
    <w:rsid w:val="00241648"/>
    <w:rsid w:val="00243426"/>
    <w:rsid w:val="002440EB"/>
    <w:rsid w:val="00244397"/>
    <w:rsid w:val="00244EEF"/>
    <w:rsid w:val="00245CDE"/>
    <w:rsid w:val="002464BA"/>
    <w:rsid w:val="00247177"/>
    <w:rsid w:val="002473A9"/>
    <w:rsid w:val="0025024A"/>
    <w:rsid w:val="00251066"/>
    <w:rsid w:val="00251C63"/>
    <w:rsid w:val="00253E81"/>
    <w:rsid w:val="002556CA"/>
    <w:rsid w:val="00256193"/>
    <w:rsid w:val="00256AF3"/>
    <w:rsid w:val="00257C4F"/>
    <w:rsid w:val="00260148"/>
    <w:rsid w:val="002608CE"/>
    <w:rsid w:val="00260E6B"/>
    <w:rsid w:val="0026164E"/>
    <w:rsid w:val="00261C72"/>
    <w:rsid w:val="0026271B"/>
    <w:rsid w:val="002629E7"/>
    <w:rsid w:val="002630EE"/>
    <w:rsid w:val="00263972"/>
    <w:rsid w:val="002657BB"/>
    <w:rsid w:val="0026609E"/>
    <w:rsid w:val="0026683E"/>
    <w:rsid w:val="00273D22"/>
    <w:rsid w:val="0027438C"/>
    <w:rsid w:val="00276F2E"/>
    <w:rsid w:val="002804D9"/>
    <w:rsid w:val="00281EF2"/>
    <w:rsid w:val="00283308"/>
    <w:rsid w:val="00285031"/>
    <w:rsid w:val="00285E96"/>
    <w:rsid w:val="0028781E"/>
    <w:rsid w:val="002905B2"/>
    <w:rsid w:val="00290A2D"/>
    <w:rsid w:val="00290C42"/>
    <w:rsid w:val="002937C6"/>
    <w:rsid w:val="00293DE5"/>
    <w:rsid w:val="002948A1"/>
    <w:rsid w:val="00294E82"/>
    <w:rsid w:val="00295078"/>
    <w:rsid w:val="00295C72"/>
    <w:rsid w:val="00295DE7"/>
    <w:rsid w:val="00296BC8"/>
    <w:rsid w:val="00297AB0"/>
    <w:rsid w:val="00297C68"/>
    <w:rsid w:val="00297FDC"/>
    <w:rsid w:val="002A08C2"/>
    <w:rsid w:val="002A1583"/>
    <w:rsid w:val="002A3DD5"/>
    <w:rsid w:val="002A4074"/>
    <w:rsid w:val="002A6CC7"/>
    <w:rsid w:val="002A7759"/>
    <w:rsid w:val="002A7AC7"/>
    <w:rsid w:val="002B04B3"/>
    <w:rsid w:val="002B0A1D"/>
    <w:rsid w:val="002B0ABE"/>
    <w:rsid w:val="002B0EF8"/>
    <w:rsid w:val="002B1362"/>
    <w:rsid w:val="002B1708"/>
    <w:rsid w:val="002B393B"/>
    <w:rsid w:val="002B4161"/>
    <w:rsid w:val="002B4950"/>
    <w:rsid w:val="002B5C57"/>
    <w:rsid w:val="002B62AF"/>
    <w:rsid w:val="002B6B36"/>
    <w:rsid w:val="002B7622"/>
    <w:rsid w:val="002C0C5C"/>
    <w:rsid w:val="002C0C63"/>
    <w:rsid w:val="002C0F5C"/>
    <w:rsid w:val="002C16E8"/>
    <w:rsid w:val="002C1E7D"/>
    <w:rsid w:val="002C4011"/>
    <w:rsid w:val="002C49B0"/>
    <w:rsid w:val="002C4BC2"/>
    <w:rsid w:val="002C4EBB"/>
    <w:rsid w:val="002C4F45"/>
    <w:rsid w:val="002C6154"/>
    <w:rsid w:val="002C67BF"/>
    <w:rsid w:val="002C6C4B"/>
    <w:rsid w:val="002D07B6"/>
    <w:rsid w:val="002D23B6"/>
    <w:rsid w:val="002D381A"/>
    <w:rsid w:val="002D46BF"/>
    <w:rsid w:val="002D508B"/>
    <w:rsid w:val="002D5FAE"/>
    <w:rsid w:val="002D7FA3"/>
    <w:rsid w:val="002E0EA2"/>
    <w:rsid w:val="002E155E"/>
    <w:rsid w:val="002E2283"/>
    <w:rsid w:val="002E298F"/>
    <w:rsid w:val="002E2F78"/>
    <w:rsid w:val="002E374C"/>
    <w:rsid w:val="002E5744"/>
    <w:rsid w:val="002E6172"/>
    <w:rsid w:val="002E6B74"/>
    <w:rsid w:val="002E74F5"/>
    <w:rsid w:val="002F1C4D"/>
    <w:rsid w:val="002F21D9"/>
    <w:rsid w:val="002F2315"/>
    <w:rsid w:val="002F2653"/>
    <w:rsid w:val="002F3A84"/>
    <w:rsid w:val="002F3DED"/>
    <w:rsid w:val="002F411A"/>
    <w:rsid w:val="002F4B70"/>
    <w:rsid w:val="002F5A90"/>
    <w:rsid w:val="002F6F61"/>
    <w:rsid w:val="002F700E"/>
    <w:rsid w:val="00302787"/>
    <w:rsid w:val="00302FBC"/>
    <w:rsid w:val="00306430"/>
    <w:rsid w:val="00306B09"/>
    <w:rsid w:val="00306C3C"/>
    <w:rsid w:val="0030711C"/>
    <w:rsid w:val="00307205"/>
    <w:rsid w:val="0031046F"/>
    <w:rsid w:val="0031189B"/>
    <w:rsid w:val="00312073"/>
    <w:rsid w:val="00312EFF"/>
    <w:rsid w:val="0031351C"/>
    <w:rsid w:val="00313AFB"/>
    <w:rsid w:val="00313FA6"/>
    <w:rsid w:val="00314023"/>
    <w:rsid w:val="00314587"/>
    <w:rsid w:val="00314DEC"/>
    <w:rsid w:val="003156AE"/>
    <w:rsid w:val="00315795"/>
    <w:rsid w:val="00316354"/>
    <w:rsid w:val="003179EC"/>
    <w:rsid w:val="00321D72"/>
    <w:rsid w:val="00322AE2"/>
    <w:rsid w:val="00323623"/>
    <w:rsid w:val="003248F4"/>
    <w:rsid w:val="00324C10"/>
    <w:rsid w:val="0032631D"/>
    <w:rsid w:val="00326D18"/>
    <w:rsid w:val="0033030C"/>
    <w:rsid w:val="0033396B"/>
    <w:rsid w:val="00333C7C"/>
    <w:rsid w:val="003349F4"/>
    <w:rsid w:val="00335047"/>
    <w:rsid w:val="003357AB"/>
    <w:rsid w:val="003358DC"/>
    <w:rsid w:val="00337792"/>
    <w:rsid w:val="003404F0"/>
    <w:rsid w:val="00340B86"/>
    <w:rsid w:val="0034164E"/>
    <w:rsid w:val="003438B7"/>
    <w:rsid w:val="00343B40"/>
    <w:rsid w:val="00343CBA"/>
    <w:rsid w:val="00344708"/>
    <w:rsid w:val="00344A4C"/>
    <w:rsid w:val="00346C1D"/>
    <w:rsid w:val="00346CBE"/>
    <w:rsid w:val="00347274"/>
    <w:rsid w:val="00347D87"/>
    <w:rsid w:val="003519B1"/>
    <w:rsid w:val="00351CB7"/>
    <w:rsid w:val="003522A4"/>
    <w:rsid w:val="00352E50"/>
    <w:rsid w:val="003537DE"/>
    <w:rsid w:val="00354A9E"/>
    <w:rsid w:val="00355706"/>
    <w:rsid w:val="003557C1"/>
    <w:rsid w:val="003557DA"/>
    <w:rsid w:val="00355B75"/>
    <w:rsid w:val="00355F41"/>
    <w:rsid w:val="0035716F"/>
    <w:rsid w:val="00357BB6"/>
    <w:rsid w:val="0036086E"/>
    <w:rsid w:val="00361FF7"/>
    <w:rsid w:val="00362689"/>
    <w:rsid w:val="003633DD"/>
    <w:rsid w:val="003633FB"/>
    <w:rsid w:val="00363A24"/>
    <w:rsid w:val="0036555F"/>
    <w:rsid w:val="003668F1"/>
    <w:rsid w:val="00366C6B"/>
    <w:rsid w:val="00367CE5"/>
    <w:rsid w:val="003710D0"/>
    <w:rsid w:val="003718B9"/>
    <w:rsid w:val="0037225D"/>
    <w:rsid w:val="003729E8"/>
    <w:rsid w:val="00372CBB"/>
    <w:rsid w:val="00373B44"/>
    <w:rsid w:val="00373EDE"/>
    <w:rsid w:val="003804BC"/>
    <w:rsid w:val="00380791"/>
    <w:rsid w:val="00381E05"/>
    <w:rsid w:val="00382014"/>
    <w:rsid w:val="0038230C"/>
    <w:rsid w:val="00383C34"/>
    <w:rsid w:val="00386E7A"/>
    <w:rsid w:val="0038721C"/>
    <w:rsid w:val="00390804"/>
    <w:rsid w:val="00391F37"/>
    <w:rsid w:val="00392EE5"/>
    <w:rsid w:val="00393317"/>
    <w:rsid w:val="003972ED"/>
    <w:rsid w:val="003A0CB7"/>
    <w:rsid w:val="003A11DD"/>
    <w:rsid w:val="003A1AF1"/>
    <w:rsid w:val="003A2B96"/>
    <w:rsid w:val="003A4399"/>
    <w:rsid w:val="003A5A6E"/>
    <w:rsid w:val="003A6186"/>
    <w:rsid w:val="003A640F"/>
    <w:rsid w:val="003A7A6D"/>
    <w:rsid w:val="003A7FA3"/>
    <w:rsid w:val="003B0688"/>
    <w:rsid w:val="003B2480"/>
    <w:rsid w:val="003B31F9"/>
    <w:rsid w:val="003B3431"/>
    <w:rsid w:val="003B3B0F"/>
    <w:rsid w:val="003B4245"/>
    <w:rsid w:val="003B63EB"/>
    <w:rsid w:val="003B72E9"/>
    <w:rsid w:val="003B7EC1"/>
    <w:rsid w:val="003C388A"/>
    <w:rsid w:val="003C4A79"/>
    <w:rsid w:val="003C55F5"/>
    <w:rsid w:val="003C5621"/>
    <w:rsid w:val="003C5A54"/>
    <w:rsid w:val="003C739F"/>
    <w:rsid w:val="003D1561"/>
    <w:rsid w:val="003D1883"/>
    <w:rsid w:val="003D18A4"/>
    <w:rsid w:val="003D202C"/>
    <w:rsid w:val="003D2EAC"/>
    <w:rsid w:val="003D48A3"/>
    <w:rsid w:val="003D4D18"/>
    <w:rsid w:val="003D5B72"/>
    <w:rsid w:val="003D5D47"/>
    <w:rsid w:val="003D5EEB"/>
    <w:rsid w:val="003D61B0"/>
    <w:rsid w:val="003E0A67"/>
    <w:rsid w:val="003E1018"/>
    <w:rsid w:val="003E5A0A"/>
    <w:rsid w:val="003E5D23"/>
    <w:rsid w:val="003E5DB7"/>
    <w:rsid w:val="003E6D0E"/>
    <w:rsid w:val="003E71D8"/>
    <w:rsid w:val="003E750D"/>
    <w:rsid w:val="003F04BE"/>
    <w:rsid w:val="003F09F0"/>
    <w:rsid w:val="003F2039"/>
    <w:rsid w:val="003F2BA9"/>
    <w:rsid w:val="003F34E9"/>
    <w:rsid w:val="003F52C2"/>
    <w:rsid w:val="003F58C3"/>
    <w:rsid w:val="003F5CBA"/>
    <w:rsid w:val="0040233B"/>
    <w:rsid w:val="004053FB"/>
    <w:rsid w:val="00410650"/>
    <w:rsid w:val="004106C1"/>
    <w:rsid w:val="004123F3"/>
    <w:rsid w:val="004126F7"/>
    <w:rsid w:val="00414AE6"/>
    <w:rsid w:val="00414EE8"/>
    <w:rsid w:val="00416BBD"/>
    <w:rsid w:val="0042006D"/>
    <w:rsid w:val="00422852"/>
    <w:rsid w:val="0042327C"/>
    <w:rsid w:val="00423786"/>
    <w:rsid w:val="00424241"/>
    <w:rsid w:val="00425752"/>
    <w:rsid w:val="00431170"/>
    <w:rsid w:val="0043317E"/>
    <w:rsid w:val="00433345"/>
    <w:rsid w:val="00433BD1"/>
    <w:rsid w:val="00434264"/>
    <w:rsid w:val="004350B4"/>
    <w:rsid w:val="00436503"/>
    <w:rsid w:val="00441BF3"/>
    <w:rsid w:val="00441C6D"/>
    <w:rsid w:val="004436ED"/>
    <w:rsid w:val="0044374E"/>
    <w:rsid w:val="00443F1A"/>
    <w:rsid w:val="004440AC"/>
    <w:rsid w:val="004443A2"/>
    <w:rsid w:val="00444919"/>
    <w:rsid w:val="0044547C"/>
    <w:rsid w:val="0044590C"/>
    <w:rsid w:val="0044591B"/>
    <w:rsid w:val="00446BB3"/>
    <w:rsid w:val="004505C5"/>
    <w:rsid w:val="00450869"/>
    <w:rsid w:val="00450BC3"/>
    <w:rsid w:val="0045197D"/>
    <w:rsid w:val="00451F5B"/>
    <w:rsid w:val="00453028"/>
    <w:rsid w:val="00453918"/>
    <w:rsid w:val="00454D4F"/>
    <w:rsid w:val="00455768"/>
    <w:rsid w:val="00456E2C"/>
    <w:rsid w:val="00457077"/>
    <w:rsid w:val="00457FC7"/>
    <w:rsid w:val="00462417"/>
    <w:rsid w:val="00462643"/>
    <w:rsid w:val="004642EF"/>
    <w:rsid w:val="00464322"/>
    <w:rsid w:val="00464624"/>
    <w:rsid w:val="00465E62"/>
    <w:rsid w:val="0046659B"/>
    <w:rsid w:val="004677F9"/>
    <w:rsid w:val="004715D7"/>
    <w:rsid w:val="00471EC2"/>
    <w:rsid w:val="0047312F"/>
    <w:rsid w:val="00473B43"/>
    <w:rsid w:val="00476BA5"/>
    <w:rsid w:val="00476CF8"/>
    <w:rsid w:val="0047775E"/>
    <w:rsid w:val="0047777D"/>
    <w:rsid w:val="00482324"/>
    <w:rsid w:val="00482731"/>
    <w:rsid w:val="0048286C"/>
    <w:rsid w:val="00483A0F"/>
    <w:rsid w:val="00484625"/>
    <w:rsid w:val="0048589D"/>
    <w:rsid w:val="00487282"/>
    <w:rsid w:val="004874F8"/>
    <w:rsid w:val="004879E2"/>
    <w:rsid w:val="00487F15"/>
    <w:rsid w:val="004912A0"/>
    <w:rsid w:val="00491B92"/>
    <w:rsid w:val="00491ECE"/>
    <w:rsid w:val="004928DE"/>
    <w:rsid w:val="00493E2F"/>
    <w:rsid w:val="0049576C"/>
    <w:rsid w:val="004A0E5A"/>
    <w:rsid w:val="004A0EA8"/>
    <w:rsid w:val="004A14D9"/>
    <w:rsid w:val="004A1F37"/>
    <w:rsid w:val="004A21F6"/>
    <w:rsid w:val="004A3B39"/>
    <w:rsid w:val="004A43C8"/>
    <w:rsid w:val="004A4B61"/>
    <w:rsid w:val="004A6EFE"/>
    <w:rsid w:val="004A7086"/>
    <w:rsid w:val="004B067A"/>
    <w:rsid w:val="004B1858"/>
    <w:rsid w:val="004B2540"/>
    <w:rsid w:val="004B2BD8"/>
    <w:rsid w:val="004B3E17"/>
    <w:rsid w:val="004B58C3"/>
    <w:rsid w:val="004B675F"/>
    <w:rsid w:val="004B72C5"/>
    <w:rsid w:val="004B7A1B"/>
    <w:rsid w:val="004C054C"/>
    <w:rsid w:val="004C08BF"/>
    <w:rsid w:val="004C3804"/>
    <w:rsid w:val="004C45A2"/>
    <w:rsid w:val="004C51D7"/>
    <w:rsid w:val="004C56DE"/>
    <w:rsid w:val="004C6D7D"/>
    <w:rsid w:val="004C7629"/>
    <w:rsid w:val="004C7701"/>
    <w:rsid w:val="004D0A26"/>
    <w:rsid w:val="004D0EE4"/>
    <w:rsid w:val="004D1E91"/>
    <w:rsid w:val="004D25E0"/>
    <w:rsid w:val="004D4688"/>
    <w:rsid w:val="004D482C"/>
    <w:rsid w:val="004D5AC0"/>
    <w:rsid w:val="004D5FEF"/>
    <w:rsid w:val="004D764F"/>
    <w:rsid w:val="004D7C73"/>
    <w:rsid w:val="004E1EBF"/>
    <w:rsid w:val="004E1EC7"/>
    <w:rsid w:val="004E27AD"/>
    <w:rsid w:val="004E2941"/>
    <w:rsid w:val="004E45B8"/>
    <w:rsid w:val="004E4987"/>
    <w:rsid w:val="004E585B"/>
    <w:rsid w:val="004E65C6"/>
    <w:rsid w:val="004F1AE0"/>
    <w:rsid w:val="004F227C"/>
    <w:rsid w:val="004F2325"/>
    <w:rsid w:val="004F3B64"/>
    <w:rsid w:val="004F5243"/>
    <w:rsid w:val="00501044"/>
    <w:rsid w:val="00505B26"/>
    <w:rsid w:val="005068DC"/>
    <w:rsid w:val="00507449"/>
    <w:rsid w:val="00511092"/>
    <w:rsid w:val="00511602"/>
    <w:rsid w:val="0051367E"/>
    <w:rsid w:val="0051411C"/>
    <w:rsid w:val="005155A4"/>
    <w:rsid w:val="005164B6"/>
    <w:rsid w:val="00516E6A"/>
    <w:rsid w:val="00517437"/>
    <w:rsid w:val="005206C8"/>
    <w:rsid w:val="005218EA"/>
    <w:rsid w:val="00521EE1"/>
    <w:rsid w:val="0052414D"/>
    <w:rsid w:val="0052498A"/>
    <w:rsid w:val="00531ABD"/>
    <w:rsid w:val="00532033"/>
    <w:rsid w:val="00535560"/>
    <w:rsid w:val="005368E5"/>
    <w:rsid w:val="0053695E"/>
    <w:rsid w:val="005379EC"/>
    <w:rsid w:val="005408FA"/>
    <w:rsid w:val="005413A9"/>
    <w:rsid w:val="00542D8A"/>
    <w:rsid w:val="00544117"/>
    <w:rsid w:val="00544E0A"/>
    <w:rsid w:val="005451C4"/>
    <w:rsid w:val="00545734"/>
    <w:rsid w:val="00551BA4"/>
    <w:rsid w:val="00552D59"/>
    <w:rsid w:val="0055319C"/>
    <w:rsid w:val="0055320F"/>
    <w:rsid w:val="00553604"/>
    <w:rsid w:val="00553D6D"/>
    <w:rsid w:val="00556636"/>
    <w:rsid w:val="00556686"/>
    <w:rsid w:val="00557D61"/>
    <w:rsid w:val="005608B3"/>
    <w:rsid w:val="005609B4"/>
    <w:rsid w:val="005639F9"/>
    <w:rsid w:val="00563C65"/>
    <w:rsid w:val="0056588E"/>
    <w:rsid w:val="005671CD"/>
    <w:rsid w:val="00570CBE"/>
    <w:rsid w:val="00571391"/>
    <w:rsid w:val="005719CA"/>
    <w:rsid w:val="00573949"/>
    <w:rsid w:val="00573ECF"/>
    <w:rsid w:val="005745EE"/>
    <w:rsid w:val="00575B5A"/>
    <w:rsid w:val="00575B60"/>
    <w:rsid w:val="00577287"/>
    <w:rsid w:val="00580998"/>
    <w:rsid w:val="0058269D"/>
    <w:rsid w:val="0058423C"/>
    <w:rsid w:val="0058439D"/>
    <w:rsid w:val="005845F7"/>
    <w:rsid w:val="00585149"/>
    <w:rsid w:val="0058544C"/>
    <w:rsid w:val="00585C24"/>
    <w:rsid w:val="00585C6E"/>
    <w:rsid w:val="00585E27"/>
    <w:rsid w:val="0058743A"/>
    <w:rsid w:val="005875A9"/>
    <w:rsid w:val="00587E97"/>
    <w:rsid w:val="0059012B"/>
    <w:rsid w:val="0059026C"/>
    <w:rsid w:val="0059069B"/>
    <w:rsid w:val="00591AF3"/>
    <w:rsid w:val="005921E5"/>
    <w:rsid w:val="00592755"/>
    <w:rsid w:val="00592E86"/>
    <w:rsid w:val="00592E91"/>
    <w:rsid w:val="00593DB7"/>
    <w:rsid w:val="00594366"/>
    <w:rsid w:val="00594BC5"/>
    <w:rsid w:val="005954E9"/>
    <w:rsid w:val="00595F52"/>
    <w:rsid w:val="00596F65"/>
    <w:rsid w:val="00597AB5"/>
    <w:rsid w:val="005A0F47"/>
    <w:rsid w:val="005A232E"/>
    <w:rsid w:val="005A3E06"/>
    <w:rsid w:val="005A668C"/>
    <w:rsid w:val="005A682E"/>
    <w:rsid w:val="005A6845"/>
    <w:rsid w:val="005A7C3F"/>
    <w:rsid w:val="005B1BBE"/>
    <w:rsid w:val="005B23CF"/>
    <w:rsid w:val="005B4020"/>
    <w:rsid w:val="005B4623"/>
    <w:rsid w:val="005B6938"/>
    <w:rsid w:val="005B7350"/>
    <w:rsid w:val="005C2E72"/>
    <w:rsid w:val="005C5799"/>
    <w:rsid w:val="005C617E"/>
    <w:rsid w:val="005D06A3"/>
    <w:rsid w:val="005D18B1"/>
    <w:rsid w:val="005D1DF5"/>
    <w:rsid w:val="005D4472"/>
    <w:rsid w:val="005D45A0"/>
    <w:rsid w:val="005D52E6"/>
    <w:rsid w:val="005D6251"/>
    <w:rsid w:val="005D6415"/>
    <w:rsid w:val="005D67C8"/>
    <w:rsid w:val="005D6E4F"/>
    <w:rsid w:val="005D7248"/>
    <w:rsid w:val="005D7A74"/>
    <w:rsid w:val="005E0300"/>
    <w:rsid w:val="005E15A3"/>
    <w:rsid w:val="005E187B"/>
    <w:rsid w:val="005E298D"/>
    <w:rsid w:val="005E2AF1"/>
    <w:rsid w:val="005E35A0"/>
    <w:rsid w:val="005E4A3D"/>
    <w:rsid w:val="005E4F05"/>
    <w:rsid w:val="005E5859"/>
    <w:rsid w:val="005E5DC1"/>
    <w:rsid w:val="005E67EC"/>
    <w:rsid w:val="005E71EE"/>
    <w:rsid w:val="005E76FC"/>
    <w:rsid w:val="005F11CD"/>
    <w:rsid w:val="005F178D"/>
    <w:rsid w:val="005F3863"/>
    <w:rsid w:val="005F391F"/>
    <w:rsid w:val="005F4DCE"/>
    <w:rsid w:val="005F5725"/>
    <w:rsid w:val="005F5ED5"/>
    <w:rsid w:val="005F62B5"/>
    <w:rsid w:val="005F731E"/>
    <w:rsid w:val="005F7934"/>
    <w:rsid w:val="00600037"/>
    <w:rsid w:val="00600733"/>
    <w:rsid w:val="006010BF"/>
    <w:rsid w:val="00601296"/>
    <w:rsid w:val="0060293B"/>
    <w:rsid w:val="00602ED8"/>
    <w:rsid w:val="006031FE"/>
    <w:rsid w:val="006047FC"/>
    <w:rsid w:val="006048D2"/>
    <w:rsid w:val="006077EB"/>
    <w:rsid w:val="006079C9"/>
    <w:rsid w:val="00607FEA"/>
    <w:rsid w:val="006100A1"/>
    <w:rsid w:val="00611F9E"/>
    <w:rsid w:val="006164C3"/>
    <w:rsid w:val="0061663A"/>
    <w:rsid w:val="00616F4A"/>
    <w:rsid w:val="00621CA8"/>
    <w:rsid w:val="006222EA"/>
    <w:rsid w:val="00622A41"/>
    <w:rsid w:val="00623EA3"/>
    <w:rsid w:val="00624BDB"/>
    <w:rsid w:val="0062541D"/>
    <w:rsid w:val="00625AFD"/>
    <w:rsid w:val="00625E1B"/>
    <w:rsid w:val="006270B1"/>
    <w:rsid w:val="00627B5D"/>
    <w:rsid w:val="0063130F"/>
    <w:rsid w:val="00633AB7"/>
    <w:rsid w:val="00634485"/>
    <w:rsid w:val="006345A0"/>
    <w:rsid w:val="00634692"/>
    <w:rsid w:val="00634F6F"/>
    <w:rsid w:val="006354DC"/>
    <w:rsid w:val="00637551"/>
    <w:rsid w:val="00637C16"/>
    <w:rsid w:val="006426A4"/>
    <w:rsid w:val="00642757"/>
    <w:rsid w:val="006434CE"/>
    <w:rsid w:val="006445D2"/>
    <w:rsid w:val="00647094"/>
    <w:rsid w:val="006473CC"/>
    <w:rsid w:val="006513F9"/>
    <w:rsid w:val="00654872"/>
    <w:rsid w:val="0065487B"/>
    <w:rsid w:val="006551DE"/>
    <w:rsid w:val="00655B83"/>
    <w:rsid w:val="00655F33"/>
    <w:rsid w:val="0065640B"/>
    <w:rsid w:val="00656C59"/>
    <w:rsid w:val="00657D7A"/>
    <w:rsid w:val="00660395"/>
    <w:rsid w:val="006606B2"/>
    <w:rsid w:val="00660D07"/>
    <w:rsid w:val="00661869"/>
    <w:rsid w:val="006628C0"/>
    <w:rsid w:val="00662993"/>
    <w:rsid w:val="0066433C"/>
    <w:rsid w:val="00665F04"/>
    <w:rsid w:val="00666655"/>
    <w:rsid w:val="00666755"/>
    <w:rsid w:val="006703E1"/>
    <w:rsid w:val="0067092E"/>
    <w:rsid w:val="00670BF0"/>
    <w:rsid w:val="006747B5"/>
    <w:rsid w:val="00675974"/>
    <w:rsid w:val="006803E8"/>
    <w:rsid w:val="00682656"/>
    <w:rsid w:val="00683EAC"/>
    <w:rsid w:val="00684EF6"/>
    <w:rsid w:val="00686279"/>
    <w:rsid w:val="00686A8A"/>
    <w:rsid w:val="006878A4"/>
    <w:rsid w:val="00690686"/>
    <w:rsid w:val="00690B63"/>
    <w:rsid w:val="00694FF2"/>
    <w:rsid w:val="006954F2"/>
    <w:rsid w:val="00695554"/>
    <w:rsid w:val="006957B8"/>
    <w:rsid w:val="006971F7"/>
    <w:rsid w:val="006A03CD"/>
    <w:rsid w:val="006A06FE"/>
    <w:rsid w:val="006A21FE"/>
    <w:rsid w:val="006A3FF3"/>
    <w:rsid w:val="006A4007"/>
    <w:rsid w:val="006A42D4"/>
    <w:rsid w:val="006A4E98"/>
    <w:rsid w:val="006A6AAB"/>
    <w:rsid w:val="006A77F3"/>
    <w:rsid w:val="006A7829"/>
    <w:rsid w:val="006B095F"/>
    <w:rsid w:val="006B25BF"/>
    <w:rsid w:val="006B2A9B"/>
    <w:rsid w:val="006B2BA6"/>
    <w:rsid w:val="006B4A50"/>
    <w:rsid w:val="006B4B65"/>
    <w:rsid w:val="006B537E"/>
    <w:rsid w:val="006B5F48"/>
    <w:rsid w:val="006B6C5C"/>
    <w:rsid w:val="006B794C"/>
    <w:rsid w:val="006C11D4"/>
    <w:rsid w:val="006C137D"/>
    <w:rsid w:val="006C24A5"/>
    <w:rsid w:val="006C24CD"/>
    <w:rsid w:val="006C3F21"/>
    <w:rsid w:val="006C60B5"/>
    <w:rsid w:val="006C7D68"/>
    <w:rsid w:val="006D0BF8"/>
    <w:rsid w:val="006D0E54"/>
    <w:rsid w:val="006D1A5E"/>
    <w:rsid w:val="006D2C17"/>
    <w:rsid w:val="006D3F2C"/>
    <w:rsid w:val="006D526B"/>
    <w:rsid w:val="006D564D"/>
    <w:rsid w:val="006D64F9"/>
    <w:rsid w:val="006D66AF"/>
    <w:rsid w:val="006D71CA"/>
    <w:rsid w:val="006E1147"/>
    <w:rsid w:val="006E13E8"/>
    <w:rsid w:val="006E2065"/>
    <w:rsid w:val="006E34B6"/>
    <w:rsid w:val="006E5832"/>
    <w:rsid w:val="006E5D60"/>
    <w:rsid w:val="006E6278"/>
    <w:rsid w:val="006E6389"/>
    <w:rsid w:val="006E662E"/>
    <w:rsid w:val="006E665B"/>
    <w:rsid w:val="006E689A"/>
    <w:rsid w:val="006E69AA"/>
    <w:rsid w:val="006E70DC"/>
    <w:rsid w:val="006E7444"/>
    <w:rsid w:val="006E7462"/>
    <w:rsid w:val="006E7C8D"/>
    <w:rsid w:val="006F0D84"/>
    <w:rsid w:val="006F15BD"/>
    <w:rsid w:val="006F1A78"/>
    <w:rsid w:val="006F1B5C"/>
    <w:rsid w:val="006F2E77"/>
    <w:rsid w:val="006F30F8"/>
    <w:rsid w:val="006F3144"/>
    <w:rsid w:val="006F3CA9"/>
    <w:rsid w:val="006F54A9"/>
    <w:rsid w:val="006F5B9E"/>
    <w:rsid w:val="006F6E1B"/>
    <w:rsid w:val="006F7DE7"/>
    <w:rsid w:val="00700AB7"/>
    <w:rsid w:val="00700C41"/>
    <w:rsid w:val="007016E0"/>
    <w:rsid w:val="00702323"/>
    <w:rsid w:val="007027EB"/>
    <w:rsid w:val="00702CB3"/>
    <w:rsid w:val="00703E92"/>
    <w:rsid w:val="0070479C"/>
    <w:rsid w:val="007061DF"/>
    <w:rsid w:val="00710259"/>
    <w:rsid w:val="007112A9"/>
    <w:rsid w:val="00711B09"/>
    <w:rsid w:val="00712094"/>
    <w:rsid w:val="007121C5"/>
    <w:rsid w:val="00716040"/>
    <w:rsid w:val="0071646D"/>
    <w:rsid w:val="00716CE1"/>
    <w:rsid w:val="00716D25"/>
    <w:rsid w:val="00717D14"/>
    <w:rsid w:val="00717FAF"/>
    <w:rsid w:val="00726FA5"/>
    <w:rsid w:val="00727E61"/>
    <w:rsid w:val="00730313"/>
    <w:rsid w:val="00730BC4"/>
    <w:rsid w:val="007317F8"/>
    <w:rsid w:val="00731D9B"/>
    <w:rsid w:val="0073327E"/>
    <w:rsid w:val="00733CB7"/>
    <w:rsid w:val="00734A8B"/>
    <w:rsid w:val="00735210"/>
    <w:rsid w:val="00735B0D"/>
    <w:rsid w:val="00735D72"/>
    <w:rsid w:val="00736C06"/>
    <w:rsid w:val="00740197"/>
    <w:rsid w:val="007401BB"/>
    <w:rsid w:val="00740E5C"/>
    <w:rsid w:val="00741FEA"/>
    <w:rsid w:val="00742873"/>
    <w:rsid w:val="007446D8"/>
    <w:rsid w:val="00744736"/>
    <w:rsid w:val="00745497"/>
    <w:rsid w:val="00745906"/>
    <w:rsid w:val="007463C9"/>
    <w:rsid w:val="00747664"/>
    <w:rsid w:val="007479CA"/>
    <w:rsid w:val="00750F05"/>
    <w:rsid w:val="00751311"/>
    <w:rsid w:val="0075239A"/>
    <w:rsid w:val="00754EC5"/>
    <w:rsid w:val="0075580F"/>
    <w:rsid w:val="00756C34"/>
    <w:rsid w:val="00757203"/>
    <w:rsid w:val="00757444"/>
    <w:rsid w:val="00757C27"/>
    <w:rsid w:val="00757F23"/>
    <w:rsid w:val="007622E4"/>
    <w:rsid w:val="007645A1"/>
    <w:rsid w:val="00764B6A"/>
    <w:rsid w:val="00765B85"/>
    <w:rsid w:val="007668D6"/>
    <w:rsid w:val="00766A1E"/>
    <w:rsid w:val="007670AA"/>
    <w:rsid w:val="00767196"/>
    <w:rsid w:val="00767912"/>
    <w:rsid w:val="00770E29"/>
    <w:rsid w:val="0077203A"/>
    <w:rsid w:val="0077266E"/>
    <w:rsid w:val="007729C2"/>
    <w:rsid w:val="00773601"/>
    <w:rsid w:val="007753ED"/>
    <w:rsid w:val="00775CB2"/>
    <w:rsid w:val="0077689F"/>
    <w:rsid w:val="00777545"/>
    <w:rsid w:val="00777BBD"/>
    <w:rsid w:val="007819D6"/>
    <w:rsid w:val="00782DD9"/>
    <w:rsid w:val="007830E3"/>
    <w:rsid w:val="00783DAE"/>
    <w:rsid w:val="00784C44"/>
    <w:rsid w:val="00787DB5"/>
    <w:rsid w:val="00791EF6"/>
    <w:rsid w:val="00792EAE"/>
    <w:rsid w:val="00794305"/>
    <w:rsid w:val="0079518F"/>
    <w:rsid w:val="00795AEC"/>
    <w:rsid w:val="007A02EB"/>
    <w:rsid w:val="007A04D9"/>
    <w:rsid w:val="007A11F1"/>
    <w:rsid w:val="007A30F8"/>
    <w:rsid w:val="007A3458"/>
    <w:rsid w:val="007A35F6"/>
    <w:rsid w:val="007A4155"/>
    <w:rsid w:val="007A4219"/>
    <w:rsid w:val="007A4E83"/>
    <w:rsid w:val="007A5F1A"/>
    <w:rsid w:val="007A7693"/>
    <w:rsid w:val="007A7F2B"/>
    <w:rsid w:val="007B0905"/>
    <w:rsid w:val="007B5B76"/>
    <w:rsid w:val="007B755C"/>
    <w:rsid w:val="007C025F"/>
    <w:rsid w:val="007C071A"/>
    <w:rsid w:val="007C09AA"/>
    <w:rsid w:val="007C0A83"/>
    <w:rsid w:val="007C0AFD"/>
    <w:rsid w:val="007C20AF"/>
    <w:rsid w:val="007C2D96"/>
    <w:rsid w:val="007C3D29"/>
    <w:rsid w:val="007C3E67"/>
    <w:rsid w:val="007C56CC"/>
    <w:rsid w:val="007C5DCE"/>
    <w:rsid w:val="007C6783"/>
    <w:rsid w:val="007C7E5A"/>
    <w:rsid w:val="007D0C6E"/>
    <w:rsid w:val="007D112D"/>
    <w:rsid w:val="007D1598"/>
    <w:rsid w:val="007D5B23"/>
    <w:rsid w:val="007D7334"/>
    <w:rsid w:val="007D773C"/>
    <w:rsid w:val="007E07A7"/>
    <w:rsid w:val="007E0CCF"/>
    <w:rsid w:val="007E3963"/>
    <w:rsid w:val="007E724E"/>
    <w:rsid w:val="007F18A3"/>
    <w:rsid w:val="007F270E"/>
    <w:rsid w:val="007F36DE"/>
    <w:rsid w:val="007F37C5"/>
    <w:rsid w:val="007F444F"/>
    <w:rsid w:val="007F528B"/>
    <w:rsid w:val="007F61DA"/>
    <w:rsid w:val="007F685F"/>
    <w:rsid w:val="007F6AA9"/>
    <w:rsid w:val="00800475"/>
    <w:rsid w:val="00800DDC"/>
    <w:rsid w:val="00801303"/>
    <w:rsid w:val="00801648"/>
    <w:rsid w:val="00801D34"/>
    <w:rsid w:val="0080219E"/>
    <w:rsid w:val="008021EE"/>
    <w:rsid w:val="00805A48"/>
    <w:rsid w:val="00805B87"/>
    <w:rsid w:val="00805F55"/>
    <w:rsid w:val="008063E2"/>
    <w:rsid w:val="00806658"/>
    <w:rsid w:val="00806807"/>
    <w:rsid w:val="00807739"/>
    <w:rsid w:val="008100C2"/>
    <w:rsid w:val="008102CB"/>
    <w:rsid w:val="00810ACD"/>
    <w:rsid w:val="0081115F"/>
    <w:rsid w:val="00811637"/>
    <w:rsid w:val="008146FB"/>
    <w:rsid w:val="00814930"/>
    <w:rsid w:val="00815086"/>
    <w:rsid w:val="00815F29"/>
    <w:rsid w:val="008177D0"/>
    <w:rsid w:val="008207CA"/>
    <w:rsid w:val="00820DEA"/>
    <w:rsid w:val="008222B2"/>
    <w:rsid w:val="008223A5"/>
    <w:rsid w:val="008235DE"/>
    <w:rsid w:val="008254D3"/>
    <w:rsid w:val="00825915"/>
    <w:rsid w:val="00825CA4"/>
    <w:rsid w:val="008331EF"/>
    <w:rsid w:val="00833271"/>
    <w:rsid w:val="0083402A"/>
    <w:rsid w:val="00835546"/>
    <w:rsid w:val="0083558A"/>
    <w:rsid w:val="00835741"/>
    <w:rsid w:val="00836465"/>
    <w:rsid w:val="008367D9"/>
    <w:rsid w:val="00837520"/>
    <w:rsid w:val="00837B23"/>
    <w:rsid w:val="00837CBA"/>
    <w:rsid w:val="00840B0C"/>
    <w:rsid w:val="008422A0"/>
    <w:rsid w:val="008425AB"/>
    <w:rsid w:val="0084270E"/>
    <w:rsid w:val="00842C37"/>
    <w:rsid w:val="008442E6"/>
    <w:rsid w:val="00845EEF"/>
    <w:rsid w:val="00851A59"/>
    <w:rsid w:val="00851F8C"/>
    <w:rsid w:val="00853736"/>
    <w:rsid w:val="00854691"/>
    <w:rsid w:val="00855B03"/>
    <w:rsid w:val="00856585"/>
    <w:rsid w:val="00856F7A"/>
    <w:rsid w:val="00857279"/>
    <w:rsid w:val="0085736B"/>
    <w:rsid w:val="00857B52"/>
    <w:rsid w:val="00861950"/>
    <w:rsid w:val="00861B32"/>
    <w:rsid w:val="008627B4"/>
    <w:rsid w:val="00863F8C"/>
    <w:rsid w:val="0086472B"/>
    <w:rsid w:val="00867C9A"/>
    <w:rsid w:val="008701A1"/>
    <w:rsid w:val="008718F3"/>
    <w:rsid w:val="00871B33"/>
    <w:rsid w:val="008725A0"/>
    <w:rsid w:val="00873262"/>
    <w:rsid w:val="008734E5"/>
    <w:rsid w:val="00874685"/>
    <w:rsid w:val="00874DC9"/>
    <w:rsid w:val="0087561C"/>
    <w:rsid w:val="008761FE"/>
    <w:rsid w:val="00876615"/>
    <w:rsid w:val="00877E3C"/>
    <w:rsid w:val="00880490"/>
    <w:rsid w:val="0088137B"/>
    <w:rsid w:val="00882131"/>
    <w:rsid w:val="0088270B"/>
    <w:rsid w:val="00883AE3"/>
    <w:rsid w:val="0088473B"/>
    <w:rsid w:val="0088510A"/>
    <w:rsid w:val="00885CB3"/>
    <w:rsid w:val="008860BB"/>
    <w:rsid w:val="00886BFC"/>
    <w:rsid w:val="00887493"/>
    <w:rsid w:val="008900BC"/>
    <w:rsid w:val="00892674"/>
    <w:rsid w:val="00892AFC"/>
    <w:rsid w:val="008936C7"/>
    <w:rsid w:val="0089436A"/>
    <w:rsid w:val="00895C62"/>
    <w:rsid w:val="008963A8"/>
    <w:rsid w:val="008A0C05"/>
    <w:rsid w:val="008A1764"/>
    <w:rsid w:val="008A42A4"/>
    <w:rsid w:val="008A42B0"/>
    <w:rsid w:val="008A4982"/>
    <w:rsid w:val="008A6085"/>
    <w:rsid w:val="008A663F"/>
    <w:rsid w:val="008B0803"/>
    <w:rsid w:val="008B1273"/>
    <w:rsid w:val="008B2EEE"/>
    <w:rsid w:val="008B3151"/>
    <w:rsid w:val="008B36C5"/>
    <w:rsid w:val="008B3A27"/>
    <w:rsid w:val="008B542E"/>
    <w:rsid w:val="008B590E"/>
    <w:rsid w:val="008B5BE2"/>
    <w:rsid w:val="008B74A0"/>
    <w:rsid w:val="008C04B3"/>
    <w:rsid w:val="008C0694"/>
    <w:rsid w:val="008C06D5"/>
    <w:rsid w:val="008C16E9"/>
    <w:rsid w:val="008C2635"/>
    <w:rsid w:val="008C36E1"/>
    <w:rsid w:val="008C3963"/>
    <w:rsid w:val="008C596D"/>
    <w:rsid w:val="008C5E3A"/>
    <w:rsid w:val="008C6437"/>
    <w:rsid w:val="008C686F"/>
    <w:rsid w:val="008C7431"/>
    <w:rsid w:val="008D0B33"/>
    <w:rsid w:val="008D0D25"/>
    <w:rsid w:val="008D0FBC"/>
    <w:rsid w:val="008D1526"/>
    <w:rsid w:val="008D2273"/>
    <w:rsid w:val="008D3137"/>
    <w:rsid w:val="008D4869"/>
    <w:rsid w:val="008D4B2A"/>
    <w:rsid w:val="008D75E7"/>
    <w:rsid w:val="008D7E18"/>
    <w:rsid w:val="008E094D"/>
    <w:rsid w:val="008E176A"/>
    <w:rsid w:val="008E2822"/>
    <w:rsid w:val="008E2982"/>
    <w:rsid w:val="008E3418"/>
    <w:rsid w:val="008E4713"/>
    <w:rsid w:val="008E5043"/>
    <w:rsid w:val="008E5BC1"/>
    <w:rsid w:val="008E6246"/>
    <w:rsid w:val="008E7250"/>
    <w:rsid w:val="008E7698"/>
    <w:rsid w:val="008F0A3E"/>
    <w:rsid w:val="008F0F17"/>
    <w:rsid w:val="008F4434"/>
    <w:rsid w:val="008F47CD"/>
    <w:rsid w:val="008F494D"/>
    <w:rsid w:val="008F4C62"/>
    <w:rsid w:val="008F4FB9"/>
    <w:rsid w:val="008F5E3B"/>
    <w:rsid w:val="008F6086"/>
    <w:rsid w:val="008F7D25"/>
    <w:rsid w:val="00900C8D"/>
    <w:rsid w:val="00901088"/>
    <w:rsid w:val="009021D3"/>
    <w:rsid w:val="00902202"/>
    <w:rsid w:val="00905A0D"/>
    <w:rsid w:val="0090613B"/>
    <w:rsid w:val="00911559"/>
    <w:rsid w:val="00911889"/>
    <w:rsid w:val="00911CD5"/>
    <w:rsid w:val="00914FDF"/>
    <w:rsid w:val="0091599A"/>
    <w:rsid w:val="00916BDE"/>
    <w:rsid w:val="00917EB1"/>
    <w:rsid w:val="00917F48"/>
    <w:rsid w:val="00921436"/>
    <w:rsid w:val="009224C9"/>
    <w:rsid w:val="009239BB"/>
    <w:rsid w:val="0092433B"/>
    <w:rsid w:val="00926B57"/>
    <w:rsid w:val="00930F79"/>
    <w:rsid w:val="00931E8E"/>
    <w:rsid w:val="00931EF0"/>
    <w:rsid w:val="00932CFF"/>
    <w:rsid w:val="00932F08"/>
    <w:rsid w:val="00934D2C"/>
    <w:rsid w:val="00935A0D"/>
    <w:rsid w:val="00936419"/>
    <w:rsid w:val="00937B0E"/>
    <w:rsid w:val="00940FFE"/>
    <w:rsid w:val="009411A0"/>
    <w:rsid w:val="00943629"/>
    <w:rsid w:val="00943B74"/>
    <w:rsid w:val="0094486F"/>
    <w:rsid w:val="00944CA2"/>
    <w:rsid w:val="00945C24"/>
    <w:rsid w:val="00945D23"/>
    <w:rsid w:val="009469E9"/>
    <w:rsid w:val="0094714C"/>
    <w:rsid w:val="009472B3"/>
    <w:rsid w:val="00947905"/>
    <w:rsid w:val="009500DD"/>
    <w:rsid w:val="00950AF2"/>
    <w:rsid w:val="009524CC"/>
    <w:rsid w:val="009545BD"/>
    <w:rsid w:val="00955DC1"/>
    <w:rsid w:val="009573BD"/>
    <w:rsid w:val="0096089C"/>
    <w:rsid w:val="009614D7"/>
    <w:rsid w:val="00962E4E"/>
    <w:rsid w:val="00963379"/>
    <w:rsid w:val="00963F03"/>
    <w:rsid w:val="00964E79"/>
    <w:rsid w:val="00964F37"/>
    <w:rsid w:val="00967C2E"/>
    <w:rsid w:val="00971EA5"/>
    <w:rsid w:val="00972515"/>
    <w:rsid w:val="00974437"/>
    <w:rsid w:val="00974B27"/>
    <w:rsid w:val="00974CC8"/>
    <w:rsid w:val="00975A2A"/>
    <w:rsid w:val="00975EB9"/>
    <w:rsid w:val="009763B8"/>
    <w:rsid w:val="0097711A"/>
    <w:rsid w:val="0098153D"/>
    <w:rsid w:val="00981F51"/>
    <w:rsid w:val="009837CB"/>
    <w:rsid w:val="00983C9A"/>
    <w:rsid w:val="009856A7"/>
    <w:rsid w:val="009858EF"/>
    <w:rsid w:val="00990393"/>
    <w:rsid w:val="0099075B"/>
    <w:rsid w:val="009909ED"/>
    <w:rsid w:val="00990E7A"/>
    <w:rsid w:val="0099120B"/>
    <w:rsid w:val="00991FA7"/>
    <w:rsid w:val="00992009"/>
    <w:rsid w:val="009925EC"/>
    <w:rsid w:val="009960D6"/>
    <w:rsid w:val="00996390"/>
    <w:rsid w:val="009969DF"/>
    <w:rsid w:val="009976D9"/>
    <w:rsid w:val="009A00BC"/>
    <w:rsid w:val="009A0F6D"/>
    <w:rsid w:val="009A20C1"/>
    <w:rsid w:val="009A34EE"/>
    <w:rsid w:val="009A3ADA"/>
    <w:rsid w:val="009A423F"/>
    <w:rsid w:val="009A4EC8"/>
    <w:rsid w:val="009A5195"/>
    <w:rsid w:val="009A5793"/>
    <w:rsid w:val="009A78A9"/>
    <w:rsid w:val="009A7A5C"/>
    <w:rsid w:val="009B0013"/>
    <w:rsid w:val="009B1511"/>
    <w:rsid w:val="009B299F"/>
    <w:rsid w:val="009B29BB"/>
    <w:rsid w:val="009B2A68"/>
    <w:rsid w:val="009B2AE7"/>
    <w:rsid w:val="009B348C"/>
    <w:rsid w:val="009B34B5"/>
    <w:rsid w:val="009B4308"/>
    <w:rsid w:val="009B4B7E"/>
    <w:rsid w:val="009B55C4"/>
    <w:rsid w:val="009B6640"/>
    <w:rsid w:val="009B6C33"/>
    <w:rsid w:val="009B6EF8"/>
    <w:rsid w:val="009B7603"/>
    <w:rsid w:val="009B793E"/>
    <w:rsid w:val="009B79A0"/>
    <w:rsid w:val="009C1CAA"/>
    <w:rsid w:val="009C2C14"/>
    <w:rsid w:val="009C2EB9"/>
    <w:rsid w:val="009C3731"/>
    <w:rsid w:val="009C4391"/>
    <w:rsid w:val="009C5252"/>
    <w:rsid w:val="009C6A35"/>
    <w:rsid w:val="009C6A51"/>
    <w:rsid w:val="009C6A60"/>
    <w:rsid w:val="009D00FC"/>
    <w:rsid w:val="009D1F44"/>
    <w:rsid w:val="009D4249"/>
    <w:rsid w:val="009D4854"/>
    <w:rsid w:val="009D5847"/>
    <w:rsid w:val="009D605C"/>
    <w:rsid w:val="009D6900"/>
    <w:rsid w:val="009D747A"/>
    <w:rsid w:val="009E03BE"/>
    <w:rsid w:val="009E11BB"/>
    <w:rsid w:val="009E1E5F"/>
    <w:rsid w:val="009E2235"/>
    <w:rsid w:val="009E2C5B"/>
    <w:rsid w:val="009E2FFB"/>
    <w:rsid w:val="009E30D5"/>
    <w:rsid w:val="009E4CF0"/>
    <w:rsid w:val="009E4D74"/>
    <w:rsid w:val="009E54F7"/>
    <w:rsid w:val="009E5A71"/>
    <w:rsid w:val="009E6FB3"/>
    <w:rsid w:val="009E7036"/>
    <w:rsid w:val="009E7E1B"/>
    <w:rsid w:val="009F19E6"/>
    <w:rsid w:val="009F704F"/>
    <w:rsid w:val="00A00110"/>
    <w:rsid w:val="00A00BC6"/>
    <w:rsid w:val="00A014EE"/>
    <w:rsid w:val="00A037CB"/>
    <w:rsid w:val="00A0469A"/>
    <w:rsid w:val="00A0772E"/>
    <w:rsid w:val="00A11708"/>
    <w:rsid w:val="00A138AD"/>
    <w:rsid w:val="00A15663"/>
    <w:rsid w:val="00A2030A"/>
    <w:rsid w:val="00A20F7B"/>
    <w:rsid w:val="00A25AF8"/>
    <w:rsid w:val="00A3112E"/>
    <w:rsid w:val="00A320AB"/>
    <w:rsid w:val="00A35622"/>
    <w:rsid w:val="00A36377"/>
    <w:rsid w:val="00A363D9"/>
    <w:rsid w:val="00A367EF"/>
    <w:rsid w:val="00A36ED5"/>
    <w:rsid w:val="00A37066"/>
    <w:rsid w:val="00A377B0"/>
    <w:rsid w:val="00A37AD0"/>
    <w:rsid w:val="00A405D1"/>
    <w:rsid w:val="00A41054"/>
    <w:rsid w:val="00A41E44"/>
    <w:rsid w:val="00A42254"/>
    <w:rsid w:val="00A42D27"/>
    <w:rsid w:val="00A43472"/>
    <w:rsid w:val="00A4521A"/>
    <w:rsid w:val="00A46659"/>
    <w:rsid w:val="00A4679F"/>
    <w:rsid w:val="00A46A52"/>
    <w:rsid w:val="00A50056"/>
    <w:rsid w:val="00A502AA"/>
    <w:rsid w:val="00A51D2C"/>
    <w:rsid w:val="00A52C18"/>
    <w:rsid w:val="00A5404F"/>
    <w:rsid w:val="00A55E21"/>
    <w:rsid w:val="00A566E6"/>
    <w:rsid w:val="00A56D78"/>
    <w:rsid w:val="00A57AFC"/>
    <w:rsid w:val="00A60DFE"/>
    <w:rsid w:val="00A60FAB"/>
    <w:rsid w:val="00A6220A"/>
    <w:rsid w:val="00A67754"/>
    <w:rsid w:val="00A717E4"/>
    <w:rsid w:val="00A73DA1"/>
    <w:rsid w:val="00A76FB1"/>
    <w:rsid w:val="00A776B4"/>
    <w:rsid w:val="00A80FC0"/>
    <w:rsid w:val="00A81140"/>
    <w:rsid w:val="00A87855"/>
    <w:rsid w:val="00A900E2"/>
    <w:rsid w:val="00A906D5"/>
    <w:rsid w:val="00A92027"/>
    <w:rsid w:val="00A92F62"/>
    <w:rsid w:val="00A932D8"/>
    <w:rsid w:val="00A9364F"/>
    <w:rsid w:val="00A940E3"/>
    <w:rsid w:val="00A94413"/>
    <w:rsid w:val="00A94713"/>
    <w:rsid w:val="00A95947"/>
    <w:rsid w:val="00A96BC3"/>
    <w:rsid w:val="00A96EE6"/>
    <w:rsid w:val="00A97959"/>
    <w:rsid w:val="00AA0506"/>
    <w:rsid w:val="00AA0DF0"/>
    <w:rsid w:val="00AA1180"/>
    <w:rsid w:val="00AA19A7"/>
    <w:rsid w:val="00AA204D"/>
    <w:rsid w:val="00AA2C2B"/>
    <w:rsid w:val="00AA37FC"/>
    <w:rsid w:val="00AA44B0"/>
    <w:rsid w:val="00AA4B65"/>
    <w:rsid w:val="00AA57EF"/>
    <w:rsid w:val="00AA58FA"/>
    <w:rsid w:val="00AA5BDB"/>
    <w:rsid w:val="00AB08B8"/>
    <w:rsid w:val="00AB3A72"/>
    <w:rsid w:val="00AB3ED5"/>
    <w:rsid w:val="00AB3F5E"/>
    <w:rsid w:val="00AB4396"/>
    <w:rsid w:val="00AB6036"/>
    <w:rsid w:val="00AB7491"/>
    <w:rsid w:val="00AC03F2"/>
    <w:rsid w:val="00AC10CC"/>
    <w:rsid w:val="00AC1307"/>
    <w:rsid w:val="00AC1F0E"/>
    <w:rsid w:val="00AC37A7"/>
    <w:rsid w:val="00AC4E32"/>
    <w:rsid w:val="00AC6B4C"/>
    <w:rsid w:val="00AC6E31"/>
    <w:rsid w:val="00AD0240"/>
    <w:rsid w:val="00AD1D3D"/>
    <w:rsid w:val="00AD233F"/>
    <w:rsid w:val="00AD2C2D"/>
    <w:rsid w:val="00AD4941"/>
    <w:rsid w:val="00AD4ECE"/>
    <w:rsid w:val="00AD5C04"/>
    <w:rsid w:val="00AD5CB3"/>
    <w:rsid w:val="00AD6769"/>
    <w:rsid w:val="00AD6AC8"/>
    <w:rsid w:val="00AD7ADF"/>
    <w:rsid w:val="00AE013D"/>
    <w:rsid w:val="00AE34E5"/>
    <w:rsid w:val="00AF0939"/>
    <w:rsid w:val="00AF200E"/>
    <w:rsid w:val="00AF203D"/>
    <w:rsid w:val="00AF299E"/>
    <w:rsid w:val="00AF2AD6"/>
    <w:rsid w:val="00AF4015"/>
    <w:rsid w:val="00AF4BD7"/>
    <w:rsid w:val="00AF55A6"/>
    <w:rsid w:val="00AF6D90"/>
    <w:rsid w:val="00AF7C75"/>
    <w:rsid w:val="00B0060F"/>
    <w:rsid w:val="00B006A9"/>
    <w:rsid w:val="00B00EA0"/>
    <w:rsid w:val="00B01CA7"/>
    <w:rsid w:val="00B020F4"/>
    <w:rsid w:val="00B03355"/>
    <w:rsid w:val="00B03721"/>
    <w:rsid w:val="00B03CE2"/>
    <w:rsid w:val="00B04A8E"/>
    <w:rsid w:val="00B04B58"/>
    <w:rsid w:val="00B0682F"/>
    <w:rsid w:val="00B06BA1"/>
    <w:rsid w:val="00B10210"/>
    <w:rsid w:val="00B11E6A"/>
    <w:rsid w:val="00B15F9D"/>
    <w:rsid w:val="00B21982"/>
    <w:rsid w:val="00B22153"/>
    <w:rsid w:val="00B24D09"/>
    <w:rsid w:val="00B25866"/>
    <w:rsid w:val="00B25A6F"/>
    <w:rsid w:val="00B31B4E"/>
    <w:rsid w:val="00B3213E"/>
    <w:rsid w:val="00B33C2F"/>
    <w:rsid w:val="00B346C7"/>
    <w:rsid w:val="00B35040"/>
    <w:rsid w:val="00B35432"/>
    <w:rsid w:val="00B36178"/>
    <w:rsid w:val="00B364A9"/>
    <w:rsid w:val="00B37095"/>
    <w:rsid w:val="00B373AD"/>
    <w:rsid w:val="00B37E6C"/>
    <w:rsid w:val="00B408FD"/>
    <w:rsid w:val="00B40D04"/>
    <w:rsid w:val="00B4134E"/>
    <w:rsid w:val="00B4213D"/>
    <w:rsid w:val="00B421ED"/>
    <w:rsid w:val="00B42B2D"/>
    <w:rsid w:val="00B433B3"/>
    <w:rsid w:val="00B44DA3"/>
    <w:rsid w:val="00B451CE"/>
    <w:rsid w:val="00B45904"/>
    <w:rsid w:val="00B5061D"/>
    <w:rsid w:val="00B5114C"/>
    <w:rsid w:val="00B518F7"/>
    <w:rsid w:val="00B51A2C"/>
    <w:rsid w:val="00B531D4"/>
    <w:rsid w:val="00B5328A"/>
    <w:rsid w:val="00B5484B"/>
    <w:rsid w:val="00B5510F"/>
    <w:rsid w:val="00B557B8"/>
    <w:rsid w:val="00B55D96"/>
    <w:rsid w:val="00B623CE"/>
    <w:rsid w:val="00B662AD"/>
    <w:rsid w:val="00B671AA"/>
    <w:rsid w:val="00B67939"/>
    <w:rsid w:val="00B70066"/>
    <w:rsid w:val="00B70E8B"/>
    <w:rsid w:val="00B72ACE"/>
    <w:rsid w:val="00B73BC0"/>
    <w:rsid w:val="00B74A98"/>
    <w:rsid w:val="00B77788"/>
    <w:rsid w:val="00B77EF4"/>
    <w:rsid w:val="00B82000"/>
    <w:rsid w:val="00B82323"/>
    <w:rsid w:val="00B824DD"/>
    <w:rsid w:val="00B83446"/>
    <w:rsid w:val="00B8366E"/>
    <w:rsid w:val="00B83A78"/>
    <w:rsid w:val="00B84265"/>
    <w:rsid w:val="00B86BEE"/>
    <w:rsid w:val="00B86E05"/>
    <w:rsid w:val="00B91560"/>
    <w:rsid w:val="00B91A02"/>
    <w:rsid w:val="00B92B46"/>
    <w:rsid w:val="00B92E1C"/>
    <w:rsid w:val="00B9454C"/>
    <w:rsid w:val="00B94AD8"/>
    <w:rsid w:val="00B96729"/>
    <w:rsid w:val="00BA00A9"/>
    <w:rsid w:val="00BA0426"/>
    <w:rsid w:val="00BA0EBC"/>
    <w:rsid w:val="00BA1316"/>
    <w:rsid w:val="00BA1B7A"/>
    <w:rsid w:val="00BA3262"/>
    <w:rsid w:val="00BA36A5"/>
    <w:rsid w:val="00BA65A5"/>
    <w:rsid w:val="00BA69F4"/>
    <w:rsid w:val="00BB0AEC"/>
    <w:rsid w:val="00BB0CC2"/>
    <w:rsid w:val="00BB1A72"/>
    <w:rsid w:val="00BB37FC"/>
    <w:rsid w:val="00BB4824"/>
    <w:rsid w:val="00BB6202"/>
    <w:rsid w:val="00BB64C1"/>
    <w:rsid w:val="00BB66A8"/>
    <w:rsid w:val="00BB7698"/>
    <w:rsid w:val="00BC13D8"/>
    <w:rsid w:val="00BC15AB"/>
    <w:rsid w:val="00BC2070"/>
    <w:rsid w:val="00BC250E"/>
    <w:rsid w:val="00BC26D1"/>
    <w:rsid w:val="00BC30AA"/>
    <w:rsid w:val="00BC3FE1"/>
    <w:rsid w:val="00BC63BC"/>
    <w:rsid w:val="00BC6991"/>
    <w:rsid w:val="00BC7267"/>
    <w:rsid w:val="00BD000E"/>
    <w:rsid w:val="00BD0947"/>
    <w:rsid w:val="00BD1191"/>
    <w:rsid w:val="00BD14BA"/>
    <w:rsid w:val="00BD1625"/>
    <w:rsid w:val="00BD1BDB"/>
    <w:rsid w:val="00BD24F0"/>
    <w:rsid w:val="00BD2516"/>
    <w:rsid w:val="00BD3667"/>
    <w:rsid w:val="00BD3AD2"/>
    <w:rsid w:val="00BD412A"/>
    <w:rsid w:val="00BD428D"/>
    <w:rsid w:val="00BD4548"/>
    <w:rsid w:val="00BD4F79"/>
    <w:rsid w:val="00BD6BED"/>
    <w:rsid w:val="00BD7483"/>
    <w:rsid w:val="00BE0E74"/>
    <w:rsid w:val="00BE226E"/>
    <w:rsid w:val="00BE3A35"/>
    <w:rsid w:val="00BE3B2F"/>
    <w:rsid w:val="00BE57CA"/>
    <w:rsid w:val="00BE62F8"/>
    <w:rsid w:val="00BE67A1"/>
    <w:rsid w:val="00BF06C1"/>
    <w:rsid w:val="00BF0748"/>
    <w:rsid w:val="00BF2DD3"/>
    <w:rsid w:val="00BF4BE6"/>
    <w:rsid w:val="00BF4D3B"/>
    <w:rsid w:val="00BF595F"/>
    <w:rsid w:val="00BF6D06"/>
    <w:rsid w:val="00BF7D1A"/>
    <w:rsid w:val="00BF7E9F"/>
    <w:rsid w:val="00C007B9"/>
    <w:rsid w:val="00C0130F"/>
    <w:rsid w:val="00C0343A"/>
    <w:rsid w:val="00C04B04"/>
    <w:rsid w:val="00C04B32"/>
    <w:rsid w:val="00C0590E"/>
    <w:rsid w:val="00C1122F"/>
    <w:rsid w:val="00C117CB"/>
    <w:rsid w:val="00C12849"/>
    <w:rsid w:val="00C134E5"/>
    <w:rsid w:val="00C13832"/>
    <w:rsid w:val="00C15C48"/>
    <w:rsid w:val="00C16490"/>
    <w:rsid w:val="00C1712D"/>
    <w:rsid w:val="00C17535"/>
    <w:rsid w:val="00C1778D"/>
    <w:rsid w:val="00C20E42"/>
    <w:rsid w:val="00C22635"/>
    <w:rsid w:val="00C22842"/>
    <w:rsid w:val="00C23048"/>
    <w:rsid w:val="00C23621"/>
    <w:rsid w:val="00C23E53"/>
    <w:rsid w:val="00C2421C"/>
    <w:rsid w:val="00C25515"/>
    <w:rsid w:val="00C26070"/>
    <w:rsid w:val="00C265CC"/>
    <w:rsid w:val="00C27231"/>
    <w:rsid w:val="00C273AE"/>
    <w:rsid w:val="00C3109F"/>
    <w:rsid w:val="00C31ECA"/>
    <w:rsid w:val="00C3292E"/>
    <w:rsid w:val="00C349AC"/>
    <w:rsid w:val="00C34B07"/>
    <w:rsid w:val="00C3596C"/>
    <w:rsid w:val="00C359E4"/>
    <w:rsid w:val="00C35EDD"/>
    <w:rsid w:val="00C36DFA"/>
    <w:rsid w:val="00C400E5"/>
    <w:rsid w:val="00C41E21"/>
    <w:rsid w:val="00C4317A"/>
    <w:rsid w:val="00C431E7"/>
    <w:rsid w:val="00C44D26"/>
    <w:rsid w:val="00C4656F"/>
    <w:rsid w:val="00C46981"/>
    <w:rsid w:val="00C46A05"/>
    <w:rsid w:val="00C472F7"/>
    <w:rsid w:val="00C47587"/>
    <w:rsid w:val="00C47D1B"/>
    <w:rsid w:val="00C503FF"/>
    <w:rsid w:val="00C50698"/>
    <w:rsid w:val="00C50A9E"/>
    <w:rsid w:val="00C515D8"/>
    <w:rsid w:val="00C518A2"/>
    <w:rsid w:val="00C519E8"/>
    <w:rsid w:val="00C51B23"/>
    <w:rsid w:val="00C51DB4"/>
    <w:rsid w:val="00C53782"/>
    <w:rsid w:val="00C53E72"/>
    <w:rsid w:val="00C546A6"/>
    <w:rsid w:val="00C54BE5"/>
    <w:rsid w:val="00C562FE"/>
    <w:rsid w:val="00C56A45"/>
    <w:rsid w:val="00C57553"/>
    <w:rsid w:val="00C6012D"/>
    <w:rsid w:val="00C61475"/>
    <w:rsid w:val="00C61B3E"/>
    <w:rsid w:val="00C61F98"/>
    <w:rsid w:val="00C62190"/>
    <w:rsid w:val="00C636D0"/>
    <w:rsid w:val="00C6630B"/>
    <w:rsid w:val="00C673D1"/>
    <w:rsid w:val="00C70684"/>
    <w:rsid w:val="00C716E5"/>
    <w:rsid w:val="00C71B02"/>
    <w:rsid w:val="00C73CC8"/>
    <w:rsid w:val="00C7460D"/>
    <w:rsid w:val="00C74C5A"/>
    <w:rsid w:val="00C75446"/>
    <w:rsid w:val="00C76CED"/>
    <w:rsid w:val="00C7739C"/>
    <w:rsid w:val="00C77CD0"/>
    <w:rsid w:val="00C8009A"/>
    <w:rsid w:val="00C80153"/>
    <w:rsid w:val="00C801FE"/>
    <w:rsid w:val="00C805BA"/>
    <w:rsid w:val="00C8083C"/>
    <w:rsid w:val="00C80F8C"/>
    <w:rsid w:val="00C8162E"/>
    <w:rsid w:val="00C81D68"/>
    <w:rsid w:val="00C828BE"/>
    <w:rsid w:val="00C82C57"/>
    <w:rsid w:val="00C834AA"/>
    <w:rsid w:val="00C84585"/>
    <w:rsid w:val="00C86144"/>
    <w:rsid w:val="00C87926"/>
    <w:rsid w:val="00C87AB8"/>
    <w:rsid w:val="00C90A72"/>
    <w:rsid w:val="00C92091"/>
    <w:rsid w:val="00C92FA3"/>
    <w:rsid w:val="00C946FA"/>
    <w:rsid w:val="00C94DA4"/>
    <w:rsid w:val="00C94EA7"/>
    <w:rsid w:val="00C9614B"/>
    <w:rsid w:val="00C9682A"/>
    <w:rsid w:val="00C97E22"/>
    <w:rsid w:val="00CA29AC"/>
    <w:rsid w:val="00CA2AE3"/>
    <w:rsid w:val="00CA30DF"/>
    <w:rsid w:val="00CA456C"/>
    <w:rsid w:val="00CA460D"/>
    <w:rsid w:val="00CA4FB8"/>
    <w:rsid w:val="00CA66DF"/>
    <w:rsid w:val="00CA7476"/>
    <w:rsid w:val="00CA77F7"/>
    <w:rsid w:val="00CA7C1E"/>
    <w:rsid w:val="00CB2A57"/>
    <w:rsid w:val="00CB33EF"/>
    <w:rsid w:val="00CB5BCD"/>
    <w:rsid w:val="00CB7F63"/>
    <w:rsid w:val="00CC0C5D"/>
    <w:rsid w:val="00CC0EE1"/>
    <w:rsid w:val="00CC22DD"/>
    <w:rsid w:val="00CC2BF2"/>
    <w:rsid w:val="00CC30A8"/>
    <w:rsid w:val="00CC5E23"/>
    <w:rsid w:val="00CC6364"/>
    <w:rsid w:val="00CC702F"/>
    <w:rsid w:val="00CC7405"/>
    <w:rsid w:val="00CD07CF"/>
    <w:rsid w:val="00CD2845"/>
    <w:rsid w:val="00CD2AE3"/>
    <w:rsid w:val="00CD4A97"/>
    <w:rsid w:val="00CD5EEA"/>
    <w:rsid w:val="00CD63AF"/>
    <w:rsid w:val="00CD7C46"/>
    <w:rsid w:val="00CE0017"/>
    <w:rsid w:val="00CE0F87"/>
    <w:rsid w:val="00CE1592"/>
    <w:rsid w:val="00CE4075"/>
    <w:rsid w:val="00CE46FC"/>
    <w:rsid w:val="00CE4AA8"/>
    <w:rsid w:val="00CE4ACF"/>
    <w:rsid w:val="00CE4CC9"/>
    <w:rsid w:val="00CE58C5"/>
    <w:rsid w:val="00CE657B"/>
    <w:rsid w:val="00CE6664"/>
    <w:rsid w:val="00CF0C04"/>
    <w:rsid w:val="00CF108B"/>
    <w:rsid w:val="00CF4303"/>
    <w:rsid w:val="00CF67F8"/>
    <w:rsid w:val="00CF6971"/>
    <w:rsid w:val="00CF6B0F"/>
    <w:rsid w:val="00D01EDC"/>
    <w:rsid w:val="00D027E3"/>
    <w:rsid w:val="00D035FA"/>
    <w:rsid w:val="00D06512"/>
    <w:rsid w:val="00D073F7"/>
    <w:rsid w:val="00D101FD"/>
    <w:rsid w:val="00D10312"/>
    <w:rsid w:val="00D11533"/>
    <w:rsid w:val="00D121AE"/>
    <w:rsid w:val="00D1236B"/>
    <w:rsid w:val="00D12E08"/>
    <w:rsid w:val="00D16EAC"/>
    <w:rsid w:val="00D17DCA"/>
    <w:rsid w:val="00D20796"/>
    <w:rsid w:val="00D236C3"/>
    <w:rsid w:val="00D24764"/>
    <w:rsid w:val="00D24A5F"/>
    <w:rsid w:val="00D269B7"/>
    <w:rsid w:val="00D278A7"/>
    <w:rsid w:val="00D303FA"/>
    <w:rsid w:val="00D31A46"/>
    <w:rsid w:val="00D31B82"/>
    <w:rsid w:val="00D31BFC"/>
    <w:rsid w:val="00D32B38"/>
    <w:rsid w:val="00D33B5C"/>
    <w:rsid w:val="00D34301"/>
    <w:rsid w:val="00D3463B"/>
    <w:rsid w:val="00D35612"/>
    <w:rsid w:val="00D35C16"/>
    <w:rsid w:val="00D3622F"/>
    <w:rsid w:val="00D36B89"/>
    <w:rsid w:val="00D36E3B"/>
    <w:rsid w:val="00D371C6"/>
    <w:rsid w:val="00D372B2"/>
    <w:rsid w:val="00D37AAA"/>
    <w:rsid w:val="00D41363"/>
    <w:rsid w:val="00D4136B"/>
    <w:rsid w:val="00D418A9"/>
    <w:rsid w:val="00D41D70"/>
    <w:rsid w:val="00D42175"/>
    <w:rsid w:val="00D42497"/>
    <w:rsid w:val="00D43208"/>
    <w:rsid w:val="00D439E6"/>
    <w:rsid w:val="00D44F7D"/>
    <w:rsid w:val="00D463BD"/>
    <w:rsid w:val="00D46A09"/>
    <w:rsid w:val="00D47351"/>
    <w:rsid w:val="00D50580"/>
    <w:rsid w:val="00D513C7"/>
    <w:rsid w:val="00D518E8"/>
    <w:rsid w:val="00D51AEA"/>
    <w:rsid w:val="00D523CA"/>
    <w:rsid w:val="00D5352C"/>
    <w:rsid w:val="00D53645"/>
    <w:rsid w:val="00D547F7"/>
    <w:rsid w:val="00D57A4E"/>
    <w:rsid w:val="00D600E3"/>
    <w:rsid w:val="00D6203D"/>
    <w:rsid w:val="00D63D09"/>
    <w:rsid w:val="00D649B8"/>
    <w:rsid w:val="00D64AD5"/>
    <w:rsid w:val="00D66740"/>
    <w:rsid w:val="00D66A2A"/>
    <w:rsid w:val="00D66B59"/>
    <w:rsid w:val="00D7015C"/>
    <w:rsid w:val="00D70B6F"/>
    <w:rsid w:val="00D70F1D"/>
    <w:rsid w:val="00D71585"/>
    <w:rsid w:val="00D72466"/>
    <w:rsid w:val="00D72B26"/>
    <w:rsid w:val="00D75214"/>
    <w:rsid w:val="00D77B71"/>
    <w:rsid w:val="00D80763"/>
    <w:rsid w:val="00D83CE5"/>
    <w:rsid w:val="00D851F2"/>
    <w:rsid w:val="00D90475"/>
    <w:rsid w:val="00D90C56"/>
    <w:rsid w:val="00D91FB9"/>
    <w:rsid w:val="00D94608"/>
    <w:rsid w:val="00D950A6"/>
    <w:rsid w:val="00D95EF8"/>
    <w:rsid w:val="00D9665A"/>
    <w:rsid w:val="00DA0AF6"/>
    <w:rsid w:val="00DA0B77"/>
    <w:rsid w:val="00DA299A"/>
    <w:rsid w:val="00DA492C"/>
    <w:rsid w:val="00DA4C11"/>
    <w:rsid w:val="00DA62F5"/>
    <w:rsid w:val="00DA63C9"/>
    <w:rsid w:val="00DB012F"/>
    <w:rsid w:val="00DB091D"/>
    <w:rsid w:val="00DB0EDA"/>
    <w:rsid w:val="00DB23C1"/>
    <w:rsid w:val="00DB33CA"/>
    <w:rsid w:val="00DB57CE"/>
    <w:rsid w:val="00DC215D"/>
    <w:rsid w:val="00DC27D5"/>
    <w:rsid w:val="00DC3B6D"/>
    <w:rsid w:val="00DC3E83"/>
    <w:rsid w:val="00DC59EC"/>
    <w:rsid w:val="00DC70B3"/>
    <w:rsid w:val="00DC752F"/>
    <w:rsid w:val="00DC78FB"/>
    <w:rsid w:val="00DC7CC1"/>
    <w:rsid w:val="00DD0FEA"/>
    <w:rsid w:val="00DD10D7"/>
    <w:rsid w:val="00DD1AE4"/>
    <w:rsid w:val="00DD1B85"/>
    <w:rsid w:val="00DD1D6B"/>
    <w:rsid w:val="00DD2A10"/>
    <w:rsid w:val="00DD324F"/>
    <w:rsid w:val="00DD36E9"/>
    <w:rsid w:val="00DD430C"/>
    <w:rsid w:val="00DD43B7"/>
    <w:rsid w:val="00DD4B66"/>
    <w:rsid w:val="00DD4EA2"/>
    <w:rsid w:val="00DD5A5D"/>
    <w:rsid w:val="00DD747F"/>
    <w:rsid w:val="00DD7845"/>
    <w:rsid w:val="00DE0181"/>
    <w:rsid w:val="00DE03DC"/>
    <w:rsid w:val="00DE0BBF"/>
    <w:rsid w:val="00DE0BC1"/>
    <w:rsid w:val="00DE0D39"/>
    <w:rsid w:val="00DE18CF"/>
    <w:rsid w:val="00DE1D18"/>
    <w:rsid w:val="00DE5A9A"/>
    <w:rsid w:val="00DE7F9A"/>
    <w:rsid w:val="00DF0B40"/>
    <w:rsid w:val="00DF0D44"/>
    <w:rsid w:val="00DF1135"/>
    <w:rsid w:val="00DF1223"/>
    <w:rsid w:val="00DF134A"/>
    <w:rsid w:val="00DF13C0"/>
    <w:rsid w:val="00DF2348"/>
    <w:rsid w:val="00DF28B2"/>
    <w:rsid w:val="00DF3014"/>
    <w:rsid w:val="00DF3CE0"/>
    <w:rsid w:val="00DF3F63"/>
    <w:rsid w:val="00DF50E2"/>
    <w:rsid w:val="00DF62CA"/>
    <w:rsid w:val="00DF74A1"/>
    <w:rsid w:val="00E000A7"/>
    <w:rsid w:val="00E004A7"/>
    <w:rsid w:val="00E00B61"/>
    <w:rsid w:val="00E010DE"/>
    <w:rsid w:val="00E01862"/>
    <w:rsid w:val="00E01ED7"/>
    <w:rsid w:val="00E020A1"/>
    <w:rsid w:val="00E023C9"/>
    <w:rsid w:val="00E02EC1"/>
    <w:rsid w:val="00E03758"/>
    <w:rsid w:val="00E048A0"/>
    <w:rsid w:val="00E05C70"/>
    <w:rsid w:val="00E05DF2"/>
    <w:rsid w:val="00E07F0A"/>
    <w:rsid w:val="00E10E5D"/>
    <w:rsid w:val="00E1262E"/>
    <w:rsid w:val="00E14C8B"/>
    <w:rsid w:val="00E16244"/>
    <w:rsid w:val="00E162C7"/>
    <w:rsid w:val="00E16369"/>
    <w:rsid w:val="00E16AC1"/>
    <w:rsid w:val="00E204B7"/>
    <w:rsid w:val="00E207FE"/>
    <w:rsid w:val="00E21052"/>
    <w:rsid w:val="00E21C20"/>
    <w:rsid w:val="00E2306B"/>
    <w:rsid w:val="00E2538E"/>
    <w:rsid w:val="00E261A8"/>
    <w:rsid w:val="00E26B94"/>
    <w:rsid w:val="00E27928"/>
    <w:rsid w:val="00E32DD1"/>
    <w:rsid w:val="00E330B2"/>
    <w:rsid w:val="00E33369"/>
    <w:rsid w:val="00E34300"/>
    <w:rsid w:val="00E34890"/>
    <w:rsid w:val="00E35CAE"/>
    <w:rsid w:val="00E369C3"/>
    <w:rsid w:val="00E4041D"/>
    <w:rsid w:val="00E40D16"/>
    <w:rsid w:val="00E430A9"/>
    <w:rsid w:val="00E433A2"/>
    <w:rsid w:val="00E43B10"/>
    <w:rsid w:val="00E4549D"/>
    <w:rsid w:val="00E45F6B"/>
    <w:rsid w:val="00E46895"/>
    <w:rsid w:val="00E47425"/>
    <w:rsid w:val="00E5314B"/>
    <w:rsid w:val="00E53D1B"/>
    <w:rsid w:val="00E545EF"/>
    <w:rsid w:val="00E5532F"/>
    <w:rsid w:val="00E558B1"/>
    <w:rsid w:val="00E55E95"/>
    <w:rsid w:val="00E55ECE"/>
    <w:rsid w:val="00E56D64"/>
    <w:rsid w:val="00E60472"/>
    <w:rsid w:val="00E61731"/>
    <w:rsid w:val="00E619AC"/>
    <w:rsid w:val="00E6267E"/>
    <w:rsid w:val="00E62DB9"/>
    <w:rsid w:val="00E62F48"/>
    <w:rsid w:val="00E640ED"/>
    <w:rsid w:val="00E64143"/>
    <w:rsid w:val="00E6514E"/>
    <w:rsid w:val="00E65C14"/>
    <w:rsid w:val="00E66AC9"/>
    <w:rsid w:val="00E66CA0"/>
    <w:rsid w:val="00E70607"/>
    <w:rsid w:val="00E71476"/>
    <w:rsid w:val="00E7373D"/>
    <w:rsid w:val="00E73FB2"/>
    <w:rsid w:val="00E744D4"/>
    <w:rsid w:val="00E805C5"/>
    <w:rsid w:val="00E81221"/>
    <w:rsid w:val="00E8169E"/>
    <w:rsid w:val="00E82A53"/>
    <w:rsid w:val="00E8311E"/>
    <w:rsid w:val="00E86E4F"/>
    <w:rsid w:val="00E87ACA"/>
    <w:rsid w:val="00E91AC2"/>
    <w:rsid w:val="00E945A1"/>
    <w:rsid w:val="00E94C51"/>
    <w:rsid w:val="00E954B7"/>
    <w:rsid w:val="00E95D22"/>
    <w:rsid w:val="00EA061E"/>
    <w:rsid w:val="00EA0658"/>
    <w:rsid w:val="00EA4CD3"/>
    <w:rsid w:val="00EA4E2D"/>
    <w:rsid w:val="00EA6925"/>
    <w:rsid w:val="00EA699B"/>
    <w:rsid w:val="00EA6D71"/>
    <w:rsid w:val="00EA75AA"/>
    <w:rsid w:val="00EB108B"/>
    <w:rsid w:val="00EB1551"/>
    <w:rsid w:val="00EB160E"/>
    <w:rsid w:val="00EB1965"/>
    <w:rsid w:val="00EB29D3"/>
    <w:rsid w:val="00EB3E96"/>
    <w:rsid w:val="00EB49F3"/>
    <w:rsid w:val="00EB4AF6"/>
    <w:rsid w:val="00EB57EC"/>
    <w:rsid w:val="00EB5BD5"/>
    <w:rsid w:val="00EB648C"/>
    <w:rsid w:val="00EB69E1"/>
    <w:rsid w:val="00EB6ECD"/>
    <w:rsid w:val="00EC0103"/>
    <w:rsid w:val="00EC35B4"/>
    <w:rsid w:val="00EC3967"/>
    <w:rsid w:val="00EC40CC"/>
    <w:rsid w:val="00EC6696"/>
    <w:rsid w:val="00EC68B1"/>
    <w:rsid w:val="00EC7099"/>
    <w:rsid w:val="00ED017A"/>
    <w:rsid w:val="00ED1375"/>
    <w:rsid w:val="00ED2A18"/>
    <w:rsid w:val="00ED3020"/>
    <w:rsid w:val="00ED3957"/>
    <w:rsid w:val="00ED39C1"/>
    <w:rsid w:val="00ED3D1C"/>
    <w:rsid w:val="00ED4629"/>
    <w:rsid w:val="00ED4E84"/>
    <w:rsid w:val="00ED7C7A"/>
    <w:rsid w:val="00ED7CAF"/>
    <w:rsid w:val="00ED7D9E"/>
    <w:rsid w:val="00EE12AB"/>
    <w:rsid w:val="00EE277C"/>
    <w:rsid w:val="00EE57A3"/>
    <w:rsid w:val="00EE5DA3"/>
    <w:rsid w:val="00EF00D9"/>
    <w:rsid w:val="00EF079E"/>
    <w:rsid w:val="00EF0E89"/>
    <w:rsid w:val="00EF1F2A"/>
    <w:rsid w:val="00EF3634"/>
    <w:rsid w:val="00EF4435"/>
    <w:rsid w:val="00EF7B32"/>
    <w:rsid w:val="00F00AB6"/>
    <w:rsid w:val="00F00D29"/>
    <w:rsid w:val="00F01589"/>
    <w:rsid w:val="00F016F3"/>
    <w:rsid w:val="00F02049"/>
    <w:rsid w:val="00F04F66"/>
    <w:rsid w:val="00F069F1"/>
    <w:rsid w:val="00F10ED4"/>
    <w:rsid w:val="00F122A0"/>
    <w:rsid w:val="00F12A0E"/>
    <w:rsid w:val="00F14E59"/>
    <w:rsid w:val="00F172EE"/>
    <w:rsid w:val="00F179D8"/>
    <w:rsid w:val="00F2098F"/>
    <w:rsid w:val="00F219A8"/>
    <w:rsid w:val="00F25459"/>
    <w:rsid w:val="00F26169"/>
    <w:rsid w:val="00F271DD"/>
    <w:rsid w:val="00F300EF"/>
    <w:rsid w:val="00F302F4"/>
    <w:rsid w:val="00F30A7B"/>
    <w:rsid w:val="00F30EC1"/>
    <w:rsid w:val="00F30F7B"/>
    <w:rsid w:val="00F31401"/>
    <w:rsid w:val="00F32BCB"/>
    <w:rsid w:val="00F3329C"/>
    <w:rsid w:val="00F34964"/>
    <w:rsid w:val="00F366CD"/>
    <w:rsid w:val="00F36CCC"/>
    <w:rsid w:val="00F37637"/>
    <w:rsid w:val="00F40718"/>
    <w:rsid w:val="00F41380"/>
    <w:rsid w:val="00F414B3"/>
    <w:rsid w:val="00F423A8"/>
    <w:rsid w:val="00F45839"/>
    <w:rsid w:val="00F46A8F"/>
    <w:rsid w:val="00F4715B"/>
    <w:rsid w:val="00F47385"/>
    <w:rsid w:val="00F47EF8"/>
    <w:rsid w:val="00F5012C"/>
    <w:rsid w:val="00F5164C"/>
    <w:rsid w:val="00F533A1"/>
    <w:rsid w:val="00F552FA"/>
    <w:rsid w:val="00F5530B"/>
    <w:rsid w:val="00F567A8"/>
    <w:rsid w:val="00F5729F"/>
    <w:rsid w:val="00F574F8"/>
    <w:rsid w:val="00F600F2"/>
    <w:rsid w:val="00F6065B"/>
    <w:rsid w:val="00F63C1F"/>
    <w:rsid w:val="00F65053"/>
    <w:rsid w:val="00F702B4"/>
    <w:rsid w:val="00F73D6C"/>
    <w:rsid w:val="00F7451B"/>
    <w:rsid w:val="00F74ED2"/>
    <w:rsid w:val="00F75810"/>
    <w:rsid w:val="00F75E36"/>
    <w:rsid w:val="00F80729"/>
    <w:rsid w:val="00F80996"/>
    <w:rsid w:val="00F810B1"/>
    <w:rsid w:val="00F81C34"/>
    <w:rsid w:val="00F82380"/>
    <w:rsid w:val="00F82EA9"/>
    <w:rsid w:val="00F84BAA"/>
    <w:rsid w:val="00F84D35"/>
    <w:rsid w:val="00F86C3E"/>
    <w:rsid w:val="00F8725D"/>
    <w:rsid w:val="00F87384"/>
    <w:rsid w:val="00F878EA"/>
    <w:rsid w:val="00F907B2"/>
    <w:rsid w:val="00F92058"/>
    <w:rsid w:val="00F944D7"/>
    <w:rsid w:val="00F95C1D"/>
    <w:rsid w:val="00F97F78"/>
    <w:rsid w:val="00FA43A4"/>
    <w:rsid w:val="00FA43F5"/>
    <w:rsid w:val="00FA499D"/>
    <w:rsid w:val="00FA5129"/>
    <w:rsid w:val="00FA62D8"/>
    <w:rsid w:val="00FA6839"/>
    <w:rsid w:val="00FA6D3B"/>
    <w:rsid w:val="00FA7B5A"/>
    <w:rsid w:val="00FA7B91"/>
    <w:rsid w:val="00FA7FF8"/>
    <w:rsid w:val="00FB1D39"/>
    <w:rsid w:val="00FB2122"/>
    <w:rsid w:val="00FB40AA"/>
    <w:rsid w:val="00FB48D6"/>
    <w:rsid w:val="00FB59B6"/>
    <w:rsid w:val="00FC2A75"/>
    <w:rsid w:val="00FC3122"/>
    <w:rsid w:val="00FC3695"/>
    <w:rsid w:val="00FC5C77"/>
    <w:rsid w:val="00FC6CDB"/>
    <w:rsid w:val="00FD0E90"/>
    <w:rsid w:val="00FD1DE6"/>
    <w:rsid w:val="00FD2F92"/>
    <w:rsid w:val="00FD64C4"/>
    <w:rsid w:val="00FD6EAB"/>
    <w:rsid w:val="00FD7CD2"/>
    <w:rsid w:val="00FE021A"/>
    <w:rsid w:val="00FE1A69"/>
    <w:rsid w:val="00FE1B57"/>
    <w:rsid w:val="00FE1F79"/>
    <w:rsid w:val="00FE2C96"/>
    <w:rsid w:val="00FE43BA"/>
    <w:rsid w:val="00FE5006"/>
    <w:rsid w:val="00FE5219"/>
    <w:rsid w:val="00FE547A"/>
    <w:rsid w:val="00FE56B4"/>
    <w:rsid w:val="00FE6C02"/>
    <w:rsid w:val="00FE71F9"/>
    <w:rsid w:val="00FE7747"/>
    <w:rsid w:val="00FF0271"/>
    <w:rsid w:val="00FF0383"/>
    <w:rsid w:val="00FF145F"/>
    <w:rsid w:val="00FF32F3"/>
    <w:rsid w:val="00FF3308"/>
    <w:rsid w:val="00FF3CDA"/>
    <w:rsid w:val="00FF607A"/>
    <w:rsid w:val="00FF63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F14805D-73AA-4E40-AC49-05403952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eastAsia="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4025965">
      <w:bodyDiv w:val="1"/>
      <w:marLeft w:val="0"/>
      <w:marRight w:val="0"/>
      <w:marTop w:val="0"/>
      <w:marBottom w:val="0"/>
      <w:divBdr>
        <w:top w:val="none" w:sz="0" w:space="0" w:color="auto"/>
        <w:left w:val="none" w:sz="0" w:space="0" w:color="auto"/>
        <w:bottom w:val="none" w:sz="0" w:space="0" w:color="auto"/>
        <w:right w:val="none" w:sz="0" w:space="0" w:color="auto"/>
      </w:divBdr>
    </w:div>
    <w:div w:id="210266309">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95113731">
      <w:bodyDiv w:val="1"/>
      <w:marLeft w:val="0"/>
      <w:marRight w:val="0"/>
      <w:marTop w:val="0"/>
      <w:marBottom w:val="0"/>
      <w:divBdr>
        <w:top w:val="none" w:sz="0" w:space="0" w:color="auto"/>
        <w:left w:val="none" w:sz="0" w:space="0" w:color="auto"/>
        <w:bottom w:val="none" w:sz="0" w:space="0" w:color="auto"/>
        <w:right w:val="none" w:sz="0" w:space="0" w:color="auto"/>
      </w:divBdr>
    </w:div>
    <w:div w:id="30404436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43093851">
      <w:bodyDiv w:val="1"/>
      <w:marLeft w:val="0"/>
      <w:marRight w:val="0"/>
      <w:marTop w:val="0"/>
      <w:marBottom w:val="0"/>
      <w:divBdr>
        <w:top w:val="none" w:sz="0" w:space="0" w:color="auto"/>
        <w:left w:val="none" w:sz="0" w:space="0" w:color="auto"/>
        <w:bottom w:val="none" w:sz="0" w:space="0" w:color="auto"/>
        <w:right w:val="none" w:sz="0" w:space="0" w:color="auto"/>
      </w:divBdr>
    </w:div>
    <w:div w:id="348533782">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3065248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10586547">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8189922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5863638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558251">
      <w:bodyDiv w:val="1"/>
      <w:marLeft w:val="0"/>
      <w:marRight w:val="0"/>
      <w:marTop w:val="0"/>
      <w:marBottom w:val="0"/>
      <w:divBdr>
        <w:top w:val="none" w:sz="0" w:space="0" w:color="auto"/>
        <w:left w:val="none" w:sz="0" w:space="0" w:color="auto"/>
        <w:bottom w:val="none" w:sz="0" w:space="0" w:color="auto"/>
        <w:right w:val="none" w:sz="0" w:space="0" w:color="auto"/>
      </w:divBdr>
    </w:div>
    <w:div w:id="131125380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27577387">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1826584233">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5549723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1/feb04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C20B2-18AF-4FD0-8271-53E89C065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5458</Words>
  <Characters>30023</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2022-05-09T15:42:00Z</cp:lastPrinted>
  <dcterms:created xsi:type="dcterms:W3CDTF">2022-06-07T16:18:00Z</dcterms:created>
  <dcterms:modified xsi:type="dcterms:W3CDTF">2022-06-07T16:18:00Z</dcterms:modified>
</cp:coreProperties>
</file>