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18423BBC" w:rsidR="00662C69" w:rsidRPr="00A0054B" w:rsidRDefault="009B11D6" w:rsidP="00B31E90">
      <w:pPr>
        <w:tabs>
          <w:tab w:val="left" w:pos="3465"/>
        </w:tabs>
        <w:spacing w:line="360" w:lineRule="auto"/>
        <w:jc w:val="both"/>
        <w:rPr>
          <w:rFonts w:ascii="Palatino Linotype" w:hAnsi="Palatino Linotype"/>
          <w:color w:val="000000" w:themeColor="text1"/>
        </w:rPr>
      </w:pPr>
      <w:r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2C00A1">
        <w:rPr>
          <w:rFonts w:ascii="Palatino Linotype" w:hAnsi="Palatino Linotype"/>
          <w:color w:val="000000" w:themeColor="text1"/>
        </w:rPr>
        <w:t>dieciséis</w:t>
      </w:r>
      <w:r w:rsidR="007076C5" w:rsidRPr="00A0054B">
        <w:rPr>
          <w:rFonts w:ascii="Palatino Linotype" w:hAnsi="Palatino Linotype"/>
          <w:color w:val="000000" w:themeColor="text1"/>
        </w:rPr>
        <w:t xml:space="preserve"> (</w:t>
      </w:r>
      <w:r w:rsidR="002C00A1">
        <w:rPr>
          <w:rFonts w:ascii="Palatino Linotype" w:hAnsi="Palatino Linotype"/>
          <w:color w:val="000000" w:themeColor="text1"/>
        </w:rPr>
        <w:t>16</w:t>
      </w:r>
      <w:r w:rsidR="007076C5" w:rsidRPr="00A0054B">
        <w:rPr>
          <w:rFonts w:ascii="Palatino Linotype" w:hAnsi="Palatino Linotype"/>
          <w:color w:val="000000" w:themeColor="text1"/>
        </w:rPr>
        <w:t xml:space="preserve">) de </w:t>
      </w:r>
      <w:r w:rsidR="00715E8F" w:rsidRPr="00A0054B">
        <w:rPr>
          <w:rFonts w:ascii="Palatino Linotype" w:hAnsi="Palatino Linotype"/>
          <w:color w:val="000000" w:themeColor="text1"/>
        </w:rPr>
        <w:t>febrero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2E77EF91" w:rsidR="005F0007" w:rsidRPr="00A0054B"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F2518D" w:rsidRPr="00F2518D">
        <w:rPr>
          <w:rFonts w:ascii="Palatino Linotype" w:hAnsi="Palatino Linotype"/>
          <w:b/>
        </w:rPr>
        <w:t>06338/INFOEM/IP/RR/2021</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D0377B">
        <w:rPr>
          <w:rFonts w:ascii="Palatino Linotype" w:eastAsia="Times New Roman" w:hAnsi="Palatino Linotype" w:cs="Times New Roman"/>
          <w:color w:val="000000" w:themeColor="text1"/>
        </w:rPr>
        <w:t xml:space="preserve">un usuario del Sistema de Acceso a la Información Mexiquense (SAIMEX) que no proporcionó un nombre para ser identificado,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w:t>
      </w:r>
      <w:r w:rsidR="00384F2B" w:rsidRPr="00A0054B">
        <w:rPr>
          <w:rFonts w:ascii="Palatino Linotype" w:eastAsia="Times New Roman" w:hAnsi="Palatino Linotype" w:cs="Arial"/>
          <w:color w:val="000000" w:themeColor="text1"/>
        </w:rPr>
        <w:t xml:space="preserve"> </w:t>
      </w:r>
      <w:r w:rsidR="005F1362" w:rsidRPr="00A0054B">
        <w:rPr>
          <w:rFonts w:ascii="Palatino Linotype" w:eastAsia="Times New Roman" w:hAnsi="Palatino Linotype" w:cs="Arial"/>
          <w:color w:val="000000" w:themeColor="text1"/>
        </w:rPr>
        <w:t>l</w:t>
      </w:r>
      <w:r w:rsidR="00384F2B" w:rsidRPr="00A0054B">
        <w:rPr>
          <w:rFonts w:ascii="Palatino Linotype" w:eastAsia="Times New Roman" w:hAnsi="Palatino Linotype" w:cs="Arial"/>
          <w:color w:val="000000" w:themeColor="text1"/>
        </w:rPr>
        <w:t>a</w:t>
      </w:r>
      <w:r w:rsidR="002C1007" w:rsidRPr="00A0054B">
        <w:rPr>
          <w:rFonts w:ascii="Palatino Linotype" w:eastAsia="Times New Roman" w:hAnsi="Palatino Linotype" w:cs="Arial"/>
          <w:color w:val="000000" w:themeColor="text1"/>
        </w:rPr>
        <w:t xml:space="preserve"> </w:t>
      </w:r>
      <w:r w:rsidR="00715E8F" w:rsidRPr="00A0054B">
        <w:rPr>
          <w:rFonts w:ascii="Palatino Linotype" w:hAnsi="Palatino Linotype"/>
          <w:b/>
          <w:bCs/>
          <w:color w:val="000000"/>
        </w:rPr>
        <w:t>Ayuntamiento de Toluca</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0054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402A4C0A" w14:textId="1FC8BB2A" w:rsidR="00D9392E" w:rsidRPr="00A0054B"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E87AD0" w:rsidRPr="00A0054B">
        <w:rPr>
          <w:rFonts w:ascii="Palatino Linotype" w:eastAsia="Calibri" w:hAnsi="Palatino Linotype" w:cs="Arial"/>
          <w:color w:val="000000" w:themeColor="text1"/>
          <w:lang w:val="es-ES"/>
        </w:rPr>
        <w:t>veint</w:t>
      </w:r>
      <w:r w:rsidR="004E197E" w:rsidRPr="00A0054B">
        <w:rPr>
          <w:rFonts w:ascii="Palatino Linotype" w:eastAsia="Calibri" w:hAnsi="Palatino Linotype" w:cs="Arial"/>
          <w:color w:val="000000" w:themeColor="text1"/>
          <w:lang w:val="es-ES"/>
        </w:rPr>
        <w:t>i</w:t>
      </w:r>
      <w:r w:rsidR="00D0377B">
        <w:rPr>
          <w:rFonts w:ascii="Palatino Linotype" w:eastAsia="Calibri" w:hAnsi="Palatino Linotype" w:cs="Arial"/>
          <w:color w:val="000000" w:themeColor="text1"/>
          <w:lang w:val="es-ES"/>
        </w:rPr>
        <w:t>trés</w:t>
      </w:r>
      <w:r w:rsidR="007076C5" w:rsidRPr="00A0054B">
        <w:rPr>
          <w:rFonts w:ascii="Palatino Linotype" w:eastAsia="Calibri" w:hAnsi="Palatino Linotype" w:cs="Arial"/>
          <w:color w:val="000000" w:themeColor="text1"/>
          <w:lang w:val="es-ES"/>
        </w:rPr>
        <w:t xml:space="preserve"> (</w:t>
      </w:r>
      <w:r w:rsidR="00D0377B">
        <w:rPr>
          <w:rFonts w:ascii="Palatino Linotype" w:eastAsia="Calibri" w:hAnsi="Palatino Linotype" w:cs="Arial"/>
          <w:color w:val="000000" w:themeColor="text1"/>
          <w:lang w:val="es-ES"/>
        </w:rPr>
        <w:t>23</w:t>
      </w:r>
      <w:r w:rsidR="007076C5" w:rsidRPr="00A0054B">
        <w:rPr>
          <w:rFonts w:ascii="Palatino Linotype" w:eastAsia="Calibri" w:hAnsi="Palatino Linotype" w:cs="Arial"/>
          <w:color w:val="000000" w:themeColor="text1"/>
          <w:lang w:val="es-ES"/>
        </w:rPr>
        <w:t xml:space="preserve">) de </w:t>
      </w:r>
      <w:r w:rsidR="00D0377B">
        <w:rPr>
          <w:rFonts w:ascii="Palatino Linotype" w:eastAsia="Calibri" w:hAnsi="Palatino Linotype" w:cs="Arial"/>
          <w:color w:val="000000" w:themeColor="text1"/>
          <w:lang w:val="es-ES"/>
        </w:rPr>
        <w:t>noviembre</w:t>
      </w:r>
      <w:r w:rsidR="00B31E90" w:rsidRPr="00A0054B">
        <w:rPr>
          <w:rFonts w:ascii="Palatino Linotype" w:eastAsia="Calibri" w:hAnsi="Palatino Linotype" w:cs="Arial"/>
          <w:color w:val="000000" w:themeColor="text1"/>
          <w:lang w:val="es-ES"/>
        </w:rPr>
        <w:t xml:space="preserve"> de dos mil veintiuno</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del</w:t>
      </w:r>
      <w:r w:rsidR="007076C5" w:rsidRPr="00A0054B">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72239" w:rsidRPr="00A0054B">
        <w:rPr>
          <w:rFonts w:ascii="Palatino Linotype" w:hAnsi="Palatino Linotype"/>
          <w:b/>
          <w:bCs/>
          <w:color w:val="000000" w:themeColor="text1"/>
        </w:rPr>
        <w:t>010</w:t>
      </w:r>
      <w:r w:rsidR="00072239">
        <w:rPr>
          <w:rFonts w:ascii="Palatino Linotype" w:hAnsi="Palatino Linotype"/>
          <w:b/>
          <w:bCs/>
          <w:color w:val="000000" w:themeColor="text1"/>
        </w:rPr>
        <w:t>78</w:t>
      </w:r>
      <w:r w:rsidR="00072239" w:rsidRPr="00A0054B">
        <w:rPr>
          <w:rFonts w:ascii="Palatino Linotype" w:hAnsi="Palatino Linotype"/>
          <w:b/>
          <w:bCs/>
          <w:color w:val="000000" w:themeColor="text1"/>
        </w:rPr>
        <w:t>/TOLUCA/IP/2021</w:t>
      </w:r>
      <w:r w:rsidR="005F1362" w:rsidRPr="00A0054B">
        <w:rPr>
          <w:rFonts w:ascii="Palatino Linotype" w:hAnsi="Palatino Linotype"/>
          <w:b/>
          <w:bCs/>
          <w:color w:val="000000" w:themeColor="text1"/>
        </w:rPr>
        <w:t>,</w:t>
      </w:r>
      <w:r w:rsidR="005F1362" w:rsidRPr="00A0054B">
        <w:rPr>
          <w:rFonts w:ascii="Palatino Linotype" w:eastAsia="Calibri" w:hAnsi="Palatino Linotype" w:cs="Arial"/>
          <w:color w:val="000000" w:themeColor="text1"/>
          <w:lang w:val="es-ES"/>
        </w:rPr>
        <w:t xml:space="preserve"> mediante la cual requirió</w:t>
      </w:r>
      <w:r w:rsidR="00022D89" w:rsidRPr="00A0054B">
        <w:rPr>
          <w:rFonts w:ascii="Palatino Linotype" w:eastAsia="Calibri" w:hAnsi="Palatino Linotype" w:cs="Arial"/>
          <w:color w:val="000000" w:themeColor="text1"/>
          <w:lang w:val="es-ES"/>
        </w:rPr>
        <w:t xml:space="preserve"> lo siguiente</w:t>
      </w:r>
      <w:r w:rsidR="005F1362" w:rsidRPr="00A0054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4691116" w:rsidR="0097210F" w:rsidRPr="00A0054B"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0054B">
        <w:rPr>
          <w:rFonts w:ascii="Palatino Linotype" w:hAnsi="Palatino Linotype"/>
          <w:i/>
          <w:color w:val="000000" w:themeColor="text1"/>
          <w:sz w:val="22"/>
          <w:szCs w:val="22"/>
        </w:rPr>
        <w:t>“</w:t>
      </w:r>
      <w:r w:rsidR="00D0377B" w:rsidRPr="00D0377B">
        <w:rPr>
          <w:rFonts w:ascii="Palatino Linotype" w:hAnsi="Palatino Linotype"/>
          <w:i/>
          <w:iCs/>
          <w:color w:val="000000" w:themeColor="text1"/>
          <w:sz w:val="22"/>
          <w:szCs w:val="22"/>
        </w:rPr>
        <w:t xml:space="preserve">De acuerdo al artículo 33 de la </w:t>
      </w:r>
      <w:proofErr w:type="spellStart"/>
      <w:r w:rsidR="00D0377B" w:rsidRPr="00D0377B">
        <w:rPr>
          <w:rFonts w:ascii="Palatino Linotype" w:hAnsi="Palatino Linotype"/>
          <w:i/>
          <w:iCs/>
          <w:color w:val="000000" w:themeColor="text1"/>
          <w:sz w:val="22"/>
          <w:szCs w:val="22"/>
        </w:rPr>
        <w:t>la</w:t>
      </w:r>
      <w:proofErr w:type="spellEnd"/>
      <w:r w:rsidR="00D0377B" w:rsidRPr="00D0377B">
        <w:rPr>
          <w:rFonts w:ascii="Palatino Linotype" w:hAnsi="Palatino Linotype"/>
          <w:i/>
          <w:iCs/>
          <w:color w:val="000000" w:themeColor="text1"/>
          <w:sz w:val="22"/>
          <w:szCs w:val="22"/>
        </w:rPr>
        <w:t xml:space="preserve"> Ley Orgánica Municipal del Estado de México “los ayuntamientos necesitan autorización de la Legislatura o la Diputación permanente en su caso para enajenar los bienes inmuebles del municipio”, por lo anterior solicito toda evidencia documental en la que el Ayuntamiento de Toluca solicitó a la cámara de diputados estatal la autorización para la enajenación de 10 predios ubicados en Toluca para su subasta, así como la respuesta a dicha petición.</w:t>
      </w:r>
      <w:r w:rsidRPr="00A0054B">
        <w:rPr>
          <w:rFonts w:ascii="Palatino Linotype" w:hAnsi="Palatino Linotype"/>
          <w:i/>
          <w:color w:val="000000" w:themeColor="text1"/>
          <w:sz w:val="22"/>
          <w:szCs w:val="22"/>
        </w:rPr>
        <w:t xml:space="preserve">” </w:t>
      </w:r>
      <w:r w:rsidRPr="00A0054B">
        <w:rPr>
          <w:rFonts w:ascii="Palatino Linotype" w:hAnsi="Palatino Linotype"/>
          <w:color w:val="000000" w:themeColor="text1"/>
          <w:sz w:val="22"/>
          <w:szCs w:val="22"/>
        </w:rPr>
        <w:t>(Sic).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17532A7E"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4E197E" w:rsidRPr="00A0054B">
        <w:rPr>
          <w:rFonts w:ascii="Palatino Linotype" w:hAnsi="Palatino Linotype" w:cs="Arial"/>
          <w:color w:val="000000" w:themeColor="text1"/>
        </w:rPr>
        <w:t>l SAIMEX.</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AE8F5D0"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836FF4" w:rsidRPr="00A0054B">
        <w:rPr>
          <w:rFonts w:ascii="Palatino Linotype" w:eastAsia="MS Mincho" w:hAnsi="Palatino Linotype" w:cs="Times New Roman"/>
          <w:color w:val="000000" w:themeColor="text1"/>
        </w:rPr>
        <w:t>die</w:t>
      </w:r>
      <w:r w:rsidR="00D0377B">
        <w:rPr>
          <w:rFonts w:ascii="Palatino Linotype" w:eastAsia="MS Mincho" w:hAnsi="Palatino Linotype" w:cs="Times New Roman"/>
          <w:color w:val="000000" w:themeColor="text1"/>
        </w:rPr>
        <w:t xml:space="preserve">z </w:t>
      </w:r>
      <w:r w:rsidR="007076C5" w:rsidRPr="00A0054B">
        <w:rPr>
          <w:rFonts w:ascii="Palatino Linotype" w:eastAsia="MS Mincho" w:hAnsi="Palatino Linotype" w:cs="Times New Roman"/>
          <w:color w:val="000000" w:themeColor="text1"/>
        </w:rPr>
        <w:t>(</w:t>
      </w:r>
      <w:r w:rsidR="00D0377B">
        <w:rPr>
          <w:rFonts w:ascii="Palatino Linotype" w:eastAsia="MS Mincho" w:hAnsi="Palatino Linotype" w:cs="Times New Roman"/>
          <w:color w:val="000000" w:themeColor="text1"/>
        </w:rPr>
        <w:t>10</w:t>
      </w:r>
      <w:r w:rsidR="007076C5" w:rsidRPr="00A0054B">
        <w:rPr>
          <w:rFonts w:ascii="Palatino Linotype" w:eastAsia="MS Mincho" w:hAnsi="Palatino Linotype" w:cs="Times New Roman"/>
          <w:color w:val="000000" w:themeColor="text1"/>
        </w:rPr>
        <w:t xml:space="preserve">) de </w:t>
      </w:r>
      <w:r w:rsidR="00D0377B">
        <w:rPr>
          <w:rFonts w:ascii="Palatino Linotype" w:eastAsia="MS Mincho" w:hAnsi="Palatino Linotype" w:cs="Times New Roman"/>
          <w:color w:val="000000" w:themeColor="text1"/>
        </w:rPr>
        <w:t>diciembre</w:t>
      </w:r>
      <w:r w:rsidR="00762697" w:rsidRPr="00A0054B">
        <w:rPr>
          <w:rFonts w:ascii="Palatino Linotype" w:eastAsia="MS Mincho" w:hAnsi="Palatino Linotype" w:cs="Times New Roman"/>
          <w:color w:val="000000" w:themeColor="text1"/>
        </w:rPr>
        <w:t xml:space="preserve"> de dos mil veintiuno,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394DF8" w:rsidRPr="00A0054B">
        <w:rPr>
          <w:rFonts w:ascii="Palatino Linotype" w:hAnsi="Palatino Linotype"/>
          <w:b/>
          <w:bCs/>
          <w:color w:val="000000" w:themeColor="text1"/>
        </w:rPr>
        <w:t>010</w:t>
      </w:r>
      <w:r w:rsidR="00072239">
        <w:rPr>
          <w:rFonts w:ascii="Palatino Linotype" w:hAnsi="Palatino Linotype"/>
          <w:b/>
          <w:bCs/>
          <w:color w:val="000000" w:themeColor="text1"/>
        </w:rPr>
        <w:t>78</w:t>
      </w:r>
      <w:r w:rsidR="00394DF8" w:rsidRPr="00A0054B">
        <w:rPr>
          <w:rFonts w:ascii="Palatino Linotype" w:hAnsi="Palatino Linotype"/>
          <w:b/>
          <w:bCs/>
          <w:color w:val="000000" w:themeColor="text1"/>
        </w:rPr>
        <w:t>/TOLUCA/IP/2021</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0CBA4785" w14:textId="77777777" w:rsidR="00072239" w:rsidRPr="00072239" w:rsidRDefault="005F1362" w:rsidP="000722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w:t>
      </w:r>
      <w:r w:rsidR="00072239" w:rsidRPr="00072239">
        <w:rPr>
          <w:rFonts w:ascii="Palatino Linotype" w:hAnsi="Palatino Linotype"/>
          <w:i/>
          <w:noProof/>
          <w:color w:val="000000" w:themeColor="text1"/>
          <w:sz w:val="22"/>
          <w:szCs w:val="22"/>
          <w:lang w:val="es-MX" w:eastAsia="es-MX"/>
        </w:rPr>
        <w:t>Toluca, México a 10 de Diciembre de 2021</w:t>
      </w:r>
    </w:p>
    <w:p w14:paraId="615676C2" w14:textId="77777777" w:rsidR="00072239" w:rsidRPr="00072239" w:rsidRDefault="00072239" w:rsidP="000722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72239">
        <w:rPr>
          <w:rFonts w:ascii="Palatino Linotype" w:hAnsi="Palatino Linotype"/>
          <w:i/>
          <w:noProof/>
          <w:color w:val="000000" w:themeColor="text1"/>
          <w:sz w:val="22"/>
          <w:szCs w:val="22"/>
          <w:lang w:val="es-MX" w:eastAsia="es-MX"/>
        </w:rPr>
        <w:t>Nombre del solicitante:</w:t>
      </w:r>
    </w:p>
    <w:p w14:paraId="4D16C838" w14:textId="77777777" w:rsidR="00072239" w:rsidRPr="00072239" w:rsidRDefault="00072239" w:rsidP="000722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72239">
        <w:rPr>
          <w:rFonts w:ascii="Palatino Linotype" w:hAnsi="Palatino Linotype"/>
          <w:i/>
          <w:noProof/>
          <w:color w:val="000000" w:themeColor="text1"/>
          <w:sz w:val="22"/>
          <w:szCs w:val="22"/>
          <w:lang w:val="es-MX" w:eastAsia="es-MX"/>
        </w:rPr>
        <w:t>Folio de la solicitud: 01078/TOLUCA/IP/2021</w:t>
      </w:r>
    </w:p>
    <w:p w14:paraId="7E0BDAB7" w14:textId="77777777" w:rsidR="00072239" w:rsidRPr="00072239" w:rsidRDefault="00072239" w:rsidP="000722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7223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D29E89" w14:textId="77777777" w:rsidR="00072239" w:rsidRPr="00072239" w:rsidRDefault="00072239" w:rsidP="000722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72239">
        <w:rPr>
          <w:rFonts w:ascii="Palatino Linotype" w:hAnsi="Palatino Linotype"/>
          <w:i/>
          <w:noProof/>
          <w:color w:val="000000" w:themeColor="text1"/>
          <w:sz w:val="22"/>
          <w:szCs w:val="22"/>
          <w:lang w:val="es-MX" w:eastAsia="es-MX"/>
        </w:rPr>
        <w:t>Al respecto, se adjunta respuesta.</w:t>
      </w:r>
    </w:p>
    <w:p w14:paraId="5618B194" w14:textId="77777777" w:rsidR="00072239" w:rsidRPr="00072239" w:rsidRDefault="00072239" w:rsidP="000722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72239">
        <w:rPr>
          <w:rFonts w:ascii="Palatino Linotype" w:hAnsi="Palatino Linotype"/>
          <w:i/>
          <w:noProof/>
          <w:color w:val="000000" w:themeColor="text1"/>
          <w:sz w:val="22"/>
          <w:szCs w:val="22"/>
          <w:lang w:val="es-MX" w:eastAsia="es-MX"/>
        </w:rPr>
        <w:t>ATENTAMENTE</w:t>
      </w:r>
    </w:p>
    <w:p w14:paraId="35A36DE0" w14:textId="0C61635E" w:rsidR="0039142B" w:rsidRPr="00A0054B" w:rsidRDefault="00072239" w:rsidP="0007223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72239">
        <w:rPr>
          <w:rFonts w:ascii="Palatino Linotype" w:hAnsi="Palatino Linotype"/>
          <w:i/>
          <w:noProof/>
          <w:color w:val="000000" w:themeColor="text1"/>
          <w:sz w:val="22"/>
          <w:szCs w:val="22"/>
          <w:lang w:val="es-MX" w:eastAsia="es-MX"/>
        </w:rPr>
        <w:t>MTRA. LORENA NAVARRETE CASTAÑEDA</w:t>
      </w:r>
      <w:r w:rsidR="005F1362" w:rsidRPr="00A0054B">
        <w:rPr>
          <w:rFonts w:ascii="Palatino Linotype" w:hAnsi="Palatino Linotype"/>
          <w:i/>
          <w:noProof/>
          <w:color w:val="000000" w:themeColor="text1"/>
          <w:sz w:val="22"/>
          <w:szCs w:val="22"/>
          <w:lang w:val="es-MX" w:eastAsia="es-MX"/>
        </w:rPr>
        <w:t>”</w:t>
      </w:r>
      <w:r w:rsidR="00EB3DF7" w:rsidRPr="00A0054B">
        <w:rPr>
          <w:rFonts w:ascii="Palatino Linotype" w:hAnsi="Palatino Linotype"/>
          <w:noProof/>
          <w:color w:val="000000" w:themeColor="text1"/>
          <w:sz w:val="22"/>
          <w:szCs w:val="22"/>
          <w:lang w:val="es-MX" w:eastAsia="es-MX"/>
        </w:rPr>
        <w:t xml:space="preserve">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170BD45E" w14:textId="7CD12B11" w:rsidR="00022D89" w:rsidRPr="00A0054B"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hAnsi="Palatino Linotype"/>
          <w:color w:val="000000" w:themeColor="text1"/>
          <w:szCs w:val="22"/>
        </w:rPr>
        <w:t xml:space="preserve">Adjunto al acuse de </w:t>
      </w:r>
      <w:r w:rsidR="007076C5" w:rsidRPr="00A0054B">
        <w:rPr>
          <w:rFonts w:ascii="Palatino Linotype" w:hAnsi="Palatino Linotype"/>
          <w:color w:val="000000" w:themeColor="text1"/>
          <w:szCs w:val="22"/>
        </w:rPr>
        <w:t>respuesta</w:t>
      </w:r>
      <w:r w:rsidRPr="00A0054B">
        <w:rPr>
          <w:rFonts w:ascii="Palatino Linotype" w:hAnsi="Palatino Linotype"/>
          <w:color w:val="000000" w:themeColor="text1"/>
          <w:szCs w:val="22"/>
        </w:rPr>
        <w:t xml:space="preserve">, el </w:t>
      </w:r>
      <w:r w:rsidRPr="00A0054B">
        <w:rPr>
          <w:rFonts w:ascii="Palatino Linotype" w:hAnsi="Palatino Linotype"/>
          <w:b/>
          <w:bCs/>
          <w:color w:val="000000" w:themeColor="text1"/>
          <w:szCs w:val="22"/>
        </w:rPr>
        <w:t>SUJETO OBLIGADO</w:t>
      </w:r>
      <w:r w:rsidRPr="00A0054B">
        <w:rPr>
          <w:rFonts w:ascii="Palatino Linotype" w:hAnsi="Palatino Linotype"/>
          <w:color w:val="000000" w:themeColor="text1"/>
          <w:szCs w:val="22"/>
        </w:rPr>
        <w:t xml:space="preserve"> entregó a</w:t>
      </w:r>
      <w:r w:rsidR="009C0215" w:rsidRPr="00A0054B">
        <w:rPr>
          <w:rFonts w:ascii="Palatino Linotype" w:hAnsi="Palatino Linotype"/>
          <w:color w:val="000000" w:themeColor="text1"/>
          <w:szCs w:val="22"/>
        </w:rPr>
        <w:t>l</w:t>
      </w:r>
      <w:r w:rsidRPr="00A0054B">
        <w:rPr>
          <w:rFonts w:ascii="Palatino Linotype" w:hAnsi="Palatino Linotype"/>
          <w:color w:val="000000" w:themeColor="text1"/>
          <w:szCs w:val="22"/>
        </w:rPr>
        <w:t xml:space="preserve"> particular </w:t>
      </w:r>
      <w:r w:rsidR="009C0215" w:rsidRPr="00A0054B">
        <w:rPr>
          <w:rFonts w:ascii="Palatino Linotype" w:hAnsi="Palatino Linotype"/>
          <w:color w:val="000000" w:themeColor="text1"/>
          <w:szCs w:val="22"/>
        </w:rPr>
        <w:t>los siguientes documentos electrónicos:</w:t>
      </w:r>
    </w:p>
    <w:p w14:paraId="6CAB4C96" w14:textId="6C7ADFE9" w:rsidR="00072239" w:rsidRPr="00072239" w:rsidRDefault="00072239" w:rsidP="00F15830">
      <w:pPr>
        <w:pStyle w:val="Prrafodelista"/>
        <w:numPr>
          <w:ilvl w:val="0"/>
          <w:numId w:val="4"/>
        </w:numPr>
        <w:spacing w:line="360" w:lineRule="auto"/>
        <w:ind w:left="993"/>
        <w:contextualSpacing w:val="0"/>
        <w:jc w:val="both"/>
        <w:rPr>
          <w:rFonts w:ascii="Palatino Linotype" w:hAnsi="Palatino Linotype" w:cs="Arial"/>
        </w:rPr>
      </w:pPr>
      <w:proofErr w:type="spellStart"/>
      <w:r>
        <w:rPr>
          <w:rFonts w:ascii="Palatino Linotype" w:hAnsi="Palatino Linotype" w:cs="Arial"/>
          <w:b/>
          <w:bCs/>
        </w:rPr>
        <w:t>Saimex</w:t>
      </w:r>
      <w:proofErr w:type="spellEnd"/>
      <w:r>
        <w:rPr>
          <w:rFonts w:ascii="Palatino Linotype" w:hAnsi="Palatino Linotype" w:cs="Arial"/>
          <w:b/>
          <w:bCs/>
        </w:rPr>
        <w:t xml:space="preserve"> 1078</w:t>
      </w:r>
      <w:r w:rsidR="00462526" w:rsidRPr="00A0054B">
        <w:rPr>
          <w:rFonts w:ascii="Palatino Linotype" w:hAnsi="Palatino Linotype" w:cs="Arial"/>
          <w:b/>
          <w:bCs/>
        </w:rPr>
        <w:t>.pdf:</w:t>
      </w:r>
      <w:r w:rsidR="00104148">
        <w:rPr>
          <w:rFonts w:ascii="Palatino Linotype" w:hAnsi="Palatino Linotype" w:cs="Arial"/>
          <w:b/>
          <w:bCs/>
        </w:rPr>
        <w:t xml:space="preserve"> </w:t>
      </w:r>
      <w:r w:rsidR="00104148" w:rsidRPr="00104148">
        <w:rPr>
          <w:rFonts w:ascii="Palatino Linotype" w:hAnsi="Palatino Linotype" w:cs="Arial"/>
        </w:rPr>
        <w:t>Nota informativa mediante la cual refieren que la Dirección General de Administración no es competente para atender la solicitud.</w:t>
      </w:r>
    </w:p>
    <w:p w14:paraId="36CD52EA" w14:textId="7BE80F31" w:rsidR="00072239" w:rsidRPr="00104148" w:rsidRDefault="00072239" w:rsidP="00F15830">
      <w:pPr>
        <w:pStyle w:val="Prrafodelista"/>
        <w:numPr>
          <w:ilvl w:val="0"/>
          <w:numId w:val="4"/>
        </w:numPr>
        <w:spacing w:line="360" w:lineRule="auto"/>
        <w:ind w:left="993"/>
        <w:contextualSpacing w:val="0"/>
        <w:jc w:val="both"/>
        <w:rPr>
          <w:rFonts w:ascii="Palatino Linotype" w:hAnsi="Palatino Linotype" w:cs="Arial"/>
          <w:b/>
          <w:bCs/>
        </w:rPr>
      </w:pPr>
      <w:proofErr w:type="spellStart"/>
      <w:r w:rsidRPr="00104148">
        <w:rPr>
          <w:rFonts w:ascii="Palatino Linotype" w:hAnsi="Palatino Linotype" w:cs="Arial"/>
          <w:b/>
          <w:bCs/>
        </w:rPr>
        <w:t>Resp</w:t>
      </w:r>
      <w:proofErr w:type="spellEnd"/>
      <w:r w:rsidRPr="00104148">
        <w:rPr>
          <w:rFonts w:ascii="Palatino Linotype" w:hAnsi="Palatino Linotype" w:cs="Arial"/>
          <w:b/>
          <w:bCs/>
        </w:rPr>
        <w:t xml:space="preserve">. </w:t>
      </w:r>
      <w:proofErr w:type="spellStart"/>
      <w:r w:rsidRPr="00104148">
        <w:rPr>
          <w:rFonts w:ascii="Palatino Linotype" w:hAnsi="Palatino Linotype" w:cs="Arial"/>
          <w:b/>
          <w:bCs/>
        </w:rPr>
        <w:t>saimex</w:t>
      </w:r>
      <w:proofErr w:type="spellEnd"/>
      <w:r w:rsidRPr="00104148">
        <w:rPr>
          <w:rFonts w:ascii="Palatino Linotype" w:hAnsi="Palatino Linotype" w:cs="Arial"/>
          <w:b/>
          <w:bCs/>
        </w:rPr>
        <w:t xml:space="preserve"> </w:t>
      </w:r>
      <w:r w:rsidR="00104148" w:rsidRPr="00104148">
        <w:rPr>
          <w:rFonts w:ascii="Palatino Linotype" w:hAnsi="Palatino Linotype" w:cs="Arial"/>
          <w:b/>
          <w:bCs/>
        </w:rPr>
        <w:t>01078.pdf:</w:t>
      </w:r>
      <w:r w:rsidR="00104148">
        <w:rPr>
          <w:rFonts w:ascii="Palatino Linotype" w:hAnsi="Palatino Linotype" w:cs="Arial"/>
          <w:b/>
          <w:bCs/>
        </w:rPr>
        <w:t xml:space="preserve"> </w:t>
      </w:r>
      <w:r w:rsidR="00104148" w:rsidRPr="005B42D8">
        <w:rPr>
          <w:rFonts w:ascii="Palatino Linotype" w:hAnsi="Palatino Linotype" w:cs="Arial"/>
        </w:rPr>
        <w:t>Oficio 202012000/0470/2021 suscrito por la Directora de Contaduría mediante el cual refiere que después de realizar una búsqueda exhaustiva y razonable en los archivos de la Tesorería, no se localizaron registros de lo solicitado, debido a que no forman parte de las atribuciones del artículo 3.20 del Código Reglamentario Municipal de Toluca.</w:t>
      </w:r>
    </w:p>
    <w:p w14:paraId="7E2265C2" w14:textId="0BEE7240" w:rsidR="00104148" w:rsidRPr="00104148" w:rsidRDefault="00104148" w:rsidP="00F15830">
      <w:pPr>
        <w:pStyle w:val="Prrafodelista"/>
        <w:numPr>
          <w:ilvl w:val="0"/>
          <w:numId w:val="4"/>
        </w:numPr>
        <w:spacing w:line="360" w:lineRule="auto"/>
        <w:ind w:left="993"/>
        <w:contextualSpacing w:val="0"/>
        <w:jc w:val="both"/>
        <w:rPr>
          <w:rFonts w:ascii="Palatino Linotype" w:hAnsi="Palatino Linotype" w:cs="Arial"/>
          <w:b/>
          <w:bCs/>
        </w:rPr>
      </w:pPr>
      <w:r w:rsidRPr="00104148">
        <w:rPr>
          <w:rFonts w:ascii="Palatino Linotype" w:hAnsi="Palatino Linotype" w:cs="Arial"/>
          <w:b/>
          <w:bCs/>
        </w:rPr>
        <w:t xml:space="preserve">Nota </w:t>
      </w:r>
      <w:proofErr w:type="spellStart"/>
      <w:r w:rsidRPr="00104148">
        <w:rPr>
          <w:rFonts w:ascii="Palatino Linotype" w:hAnsi="Palatino Linotype" w:cs="Arial"/>
          <w:b/>
          <w:bCs/>
        </w:rPr>
        <w:t>saimex</w:t>
      </w:r>
      <w:proofErr w:type="spellEnd"/>
      <w:r w:rsidRPr="00104148">
        <w:rPr>
          <w:rFonts w:ascii="Palatino Linotype" w:hAnsi="Palatino Linotype" w:cs="Arial"/>
          <w:b/>
          <w:bCs/>
        </w:rPr>
        <w:t xml:space="preserve"> 01078.pdf:</w:t>
      </w:r>
      <w:r w:rsidR="005B42D8">
        <w:rPr>
          <w:rFonts w:ascii="Palatino Linotype" w:hAnsi="Palatino Linotype" w:cs="Arial"/>
          <w:b/>
          <w:bCs/>
        </w:rPr>
        <w:t xml:space="preserve"> </w:t>
      </w:r>
      <w:r w:rsidR="005B42D8" w:rsidRPr="005B42D8">
        <w:rPr>
          <w:rFonts w:ascii="Palatino Linotype" w:hAnsi="Palatino Linotype" w:cs="Arial"/>
        </w:rPr>
        <w:t>Nota informativa del Tesorero Municipal mediante el cual indica que se adjunta respuesta a la solicitud.</w:t>
      </w:r>
    </w:p>
    <w:p w14:paraId="46F46CF7" w14:textId="1B4113FD" w:rsidR="00104148" w:rsidRPr="00104148" w:rsidRDefault="00104148" w:rsidP="00F15830">
      <w:pPr>
        <w:pStyle w:val="Prrafodelista"/>
        <w:numPr>
          <w:ilvl w:val="0"/>
          <w:numId w:val="4"/>
        </w:numPr>
        <w:spacing w:line="360" w:lineRule="auto"/>
        <w:ind w:left="993"/>
        <w:contextualSpacing w:val="0"/>
        <w:jc w:val="both"/>
        <w:rPr>
          <w:rFonts w:ascii="Palatino Linotype" w:hAnsi="Palatino Linotype" w:cs="Arial"/>
          <w:b/>
          <w:bCs/>
        </w:rPr>
      </w:pPr>
      <w:r w:rsidRPr="00104148">
        <w:rPr>
          <w:rFonts w:ascii="Palatino Linotype" w:hAnsi="Palatino Linotype" w:cs="Arial"/>
          <w:b/>
          <w:bCs/>
        </w:rPr>
        <w:lastRenderedPageBreak/>
        <w:t>SA SAIMEX 01078.pdf:</w:t>
      </w:r>
      <w:r w:rsidR="005B42D8">
        <w:rPr>
          <w:rFonts w:ascii="Palatino Linotype" w:hAnsi="Palatino Linotype" w:cs="Arial"/>
          <w:b/>
          <w:bCs/>
        </w:rPr>
        <w:t xml:space="preserve"> </w:t>
      </w:r>
      <w:r w:rsidR="005B42D8" w:rsidRPr="005B42D8">
        <w:rPr>
          <w:rFonts w:ascii="Palatino Linotype" w:hAnsi="Palatino Linotype" w:cs="Arial"/>
        </w:rPr>
        <w:t>Contiene una nota informativa del Secretario del Ayuntamiento mediante el cual refiere que adjunta la respuesta de la búsqueda exhaustiva y razonable en sus archivos.</w:t>
      </w:r>
      <w:r w:rsidR="005B42D8">
        <w:rPr>
          <w:rFonts w:ascii="Palatino Linotype" w:hAnsi="Palatino Linotype" w:cs="Arial"/>
        </w:rPr>
        <w:t xml:space="preserve"> Asimismo, una nota informativa del Coordinador Jurídico mediante el cual refiere que en el Departamento de Asuntos Civiles y Patrimonio Municipal no se encontró antecedente de lo solicitado. </w:t>
      </w:r>
    </w:p>
    <w:p w14:paraId="610857F9" w14:textId="77777777" w:rsidR="00104148" w:rsidRPr="00072239" w:rsidRDefault="00104148" w:rsidP="00104148">
      <w:pPr>
        <w:pStyle w:val="Prrafodelista"/>
        <w:spacing w:line="360" w:lineRule="auto"/>
        <w:ind w:left="993"/>
        <w:contextualSpacing w:val="0"/>
        <w:jc w:val="both"/>
        <w:rPr>
          <w:rFonts w:ascii="Palatino Linotype" w:hAnsi="Palatino Linotype" w:cs="Arial"/>
        </w:rPr>
      </w:pPr>
    </w:p>
    <w:p w14:paraId="272B63B3" w14:textId="674C3084"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5B42D8">
        <w:rPr>
          <w:rFonts w:ascii="Palatino Linotype" w:eastAsia="Times New Roman" w:hAnsi="Palatino Linotype" w:cs="Arial"/>
          <w:color w:val="000000" w:themeColor="text1"/>
          <w:lang w:val="es-ES"/>
        </w:rPr>
        <w:t>catorce</w:t>
      </w:r>
      <w:r w:rsidR="002D6CF5" w:rsidRPr="00A0054B">
        <w:rPr>
          <w:rFonts w:ascii="Palatino Linotype" w:eastAsia="Times New Roman" w:hAnsi="Palatino Linotype" w:cs="Arial"/>
          <w:color w:val="000000" w:themeColor="text1"/>
          <w:lang w:val="es-ES"/>
        </w:rPr>
        <w:t xml:space="preserve"> (</w:t>
      </w:r>
      <w:r w:rsidR="005B42D8">
        <w:rPr>
          <w:rFonts w:ascii="Palatino Linotype" w:eastAsia="Times New Roman" w:hAnsi="Palatino Linotype" w:cs="Arial"/>
          <w:color w:val="000000" w:themeColor="text1"/>
          <w:lang w:val="es-ES"/>
        </w:rPr>
        <w:t>14</w:t>
      </w:r>
      <w:r w:rsidR="007A078A" w:rsidRPr="00A0054B">
        <w:rPr>
          <w:rFonts w:ascii="Palatino Linotype" w:eastAsia="Times New Roman" w:hAnsi="Palatino Linotype" w:cs="Arial"/>
          <w:color w:val="000000" w:themeColor="text1"/>
          <w:lang w:val="es-ES"/>
        </w:rPr>
        <w:t xml:space="preserve">) de </w:t>
      </w:r>
      <w:r w:rsidR="00F851AF" w:rsidRPr="00A0054B">
        <w:rPr>
          <w:rFonts w:ascii="Palatino Linotype" w:eastAsia="Times New Roman" w:hAnsi="Palatino Linotype" w:cs="Arial"/>
          <w:color w:val="000000" w:themeColor="text1"/>
          <w:lang w:val="es-ES"/>
        </w:rPr>
        <w:t>diciembre</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veintiuno</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F2518D" w:rsidRPr="00F2518D">
        <w:rPr>
          <w:rFonts w:ascii="Palatino Linotype" w:hAnsi="Palatino Linotype"/>
          <w:b/>
        </w:rPr>
        <w:t>06338/INFOEM/IP/RR/2021</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DE626A2" w:rsidR="00E34622" w:rsidRPr="00A0054B"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0054B">
        <w:rPr>
          <w:rFonts w:ascii="Palatino Linotype" w:eastAsia="Times New Roman" w:hAnsi="Palatino Linotype" w:cs="Arial"/>
          <w:b/>
          <w:color w:val="000000" w:themeColor="text1"/>
          <w:lang w:val="es-ES"/>
        </w:rPr>
        <w:t>Acto impugnado:</w:t>
      </w:r>
      <w:r w:rsidRPr="00A0054B">
        <w:rPr>
          <w:rFonts w:ascii="Palatino Linotype" w:eastAsia="Times New Roman" w:hAnsi="Palatino Linotype" w:cs="Arial"/>
          <w:color w:val="000000" w:themeColor="text1"/>
          <w:lang w:val="es-ES"/>
        </w:rPr>
        <w:t xml:space="preserve"> “</w:t>
      </w:r>
      <w:r w:rsidR="005B42D8" w:rsidRPr="005B42D8">
        <w:rPr>
          <w:rFonts w:ascii="Palatino Linotype" w:eastAsia="Times New Roman" w:hAnsi="Palatino Linotype" w:cs="Arial"/>
          <w:i/>
          <w:color w:val="000000" w:themeColor="text1"/>
          <w:lang w:val="es-ES"/>
        </w:rPr>
        <w:t>Se entregaron oficios internos pero no se entregó información relacionada con lo solicitado</w:t>
      </w:r>
      <w:r w:rsidRPr="00A0054B">
        <w:rPr>
          <w:rFonts w:ascii="Palatino Linotype" w:eastAsia="Times New Roman" w:hAnsi="Palatino Linotype" w:cs="Arial"/>
          <w:i/>
          <w:color w:val="000000" w:themeColor="text1"/>
          <w:lang w:val="es-ES"/>
        </w:rPr>
        <w:t>”</w:t>
      </w:r>
      <w:r w:rsidRPr="00A0054B">
        <w:rPr>
          <w:rFonts w:ascii="Palatino Linotype" w:eastAsia="Times New Roman" w:hAnsi="Palatino Linotype" w:cs="Arial"/>
          <w:color w:val="000000" w:themeColor="text1"/>
          <w:lang w:val="es-ES"/>
        </w:rPr>
        <w:t xml:space="preserve"> (Sic).</w:t>
      </w:r>
    </w:p>
    <w:p w14:paraId="033BFDE8" w14:textId="3A821943" w:rsidR="00901BB1" w:rsidRPr="00A0054B" w:rsidRDefault="00901BB1"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0054B">
        <w:rPr>
          <w:rFonts w:ascii="Palatino Linotype" w:eastAsia="Times New Roman" w:hAnsi="Palatino Linotype" w:cs="Arial"/>
          <w:b/>
          <w:color w:val="000000" w:themeColor="text1"/>
          <w:lang w:val="es-ES"/>
        </w:rPr>
        <w:t>Motivos o razones de inconformidad:</w:t>
      </w:r>
      <w:r w:rsidRPr="00A0054B">
        <w:rPr>
          <w:rFonts w:ascii="Palatino Linotype" w:eastAsia="Times New Roman" w:hAnsi="Palatino Linotype" w:cs="Arial"/>
          <w:color w:val="000000" w:themeColor="text1"/>
          <w:lang w:val="es-ES"/>
        </w:rPr>
        <w:t xml:space="preserve"> “</w:t>
      </w:r>
      <w:r w:rsidR="005B42D8" w:rsidRPr="005B42D8">
        <w:rPr>
          <w:rFonts w:ascii="Palatino Linotype" w:eastAsia="Times New Roman" w:hAnsi="Palatino Linotype" w:cs="Arial"/>
          <w:color w:val="000000" w:themeColor="text1"/>
          <w:lang w:val="es-ES"/>
        </w:rPr>
        <w:t>Se entregaron oficios internos pero no se entregó información relacionada con lo solicitado</w:t>
      </w:r>
      <w:r w:rsidRPr="00A0054B">
        <w:rPr>
          <w:rFonts w:ascii="Palatino Linotype" w:eastAsia="Times New Roman" w:hAnsi="Palatino Linotype" w:cs="Arial"/>
          <w:color w:val="000000" w:themeColor="text1"/>
          <w:lang w:val="es-ES"/>
        </w:rPr>
        <w:t>”</w:t>
      </w:r>
      <w:r w:rsidR="005B0765">
        <w:rPr>
          <w:rFonts w:ascii="Palatino Linotype" w:eastAsia="Times New Roman" w:hAnsi="Palatino Linotype" w:cs="Arial"/>
          <w:color w:val="000000" w:themeColor="text1"/>
          <w:lang w:val="es-ES"/>
        </w:rPr>
        <w:t xml:space="preserve"> (sic)</w:t>
      </w:r>
    </w:p>
    <w:p w14:paraId="38724B8B" w14:textId="77777777" w:rsidR="001468E9" w:rsidRPr="00A0054B"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6C4C331" w:rsidR="007446C2" w:rsidRPr="00A0054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B81371" w:rsidRPr="00A0054B">
        <w:rPr>
          <w:rFonts w:ascii="Palatino Linotype" w:eastAsia="Calibri" w:hAnsi="Palatino Linotype" w:cs="Arial"/>
          <w:color w:val="000000" w:themeColor="text1"/>
          <w:lang w:val="es-ES"/>
        </w:rPr>
        <w:t xml:space="preserve">de </w:t>
      </w:r>
      <w:r w:rsidR="005B42D8">
        <w:rPr>
          <w:rFonts w:ascii="Palatino Linotype" w:eastAsia="Calibri" w:hAnsi="Palatino Linotype" w:cs="Arial"/>
          <w:color w:val="000000" w:themeColor="text1"/>
          <w:lang w:val="es-ES"/>
        </w:rPr>
        <w:t>veintiuno</w:t>
      </w:r>
      <w:r w:rsidR="00BD6C40" w:rsidRPr="00A0054B">
        <w:rPr>
          <w:rFonts w:ascii="Palatino Linotype" w:eastAsia="Calibri" w:hAnsi="Palatino Linotype" w:cs="Arial"/>
          <w:color w:val="000000" w:themeColor="text1"/>
          <w:lang w:val="es-ES"/>
        </w:rPr>
        <w:t xml:space="preserve"> (</w:t>
      </w:r>
      <w:r w:rsidR="005B42D8">
        <w:rPr>
          <w:rFonts w:ascii="Palatino Linotype" w:eastAsia="Calibri" w:hAnsi="Palatino Linotype" w:cs="Arial"/>
          <w:color w:val="000000" w:themeColor="text1"/>
          <w:lang w:val="es-ES"/>
        </w:rPr>
        <w:t>21</w:t>
      </w:r>
      <w:r w:rsidR="00BD6C40" w:rsidRPr="00A0054B">
        <w:rPr>
          <w:rFonts w:ascii="Palatino Linotype" w:eastAsia="Calibri" w:hAnsi="Palatino Linotype" w:cs="Arial"/>
          <w:color w:val="000000" w:themeColor="text1"/>
          <w:lang w:val="es-ES"/>
        </w:rPr>
        <w:t xml:space="preserve">) de </w:t>
      </w:r>
      <w:r w:rsidR="00F851AF" w:rsidRPr="00A0054B">
        <w:rPr>
          <w:rFonts w:ascii="Palatino Linotype" w:eastAsia="Calibri" w:hAnsi="Palatino Linotype" w:cs="Arial"/>
          <w:color w:val="000000" w:themeColor="text1"/>
          <w:lang w:val="es-ES"/>
        </w:rPr>
        <w:lastRenderedPageBreak/>
        <w:t>diciembre</w:t>
      </w:r>
      <w:r w:rsidR="00613655" w:rsidRPr="00A0054B">
        <w:rPr>
          <w:rFonts w:ascii="Palatino Linotype" w:eastAsia="Calibri" w:hAnsi="Palatino Linotype" w:cs="Arial"/>
          <w:color w:val="000000" w:themeColor="text1"/>
          <w:lang w:val="es-ES"/>
        </w:rPr>
        <w:t xml:space="preserve"> de dos mil veintiuno</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455C196B" w14:textId="77777777" w:rsidR="003F0DDA" w:rsidRPr="00A0054B"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A45A71E" w14:textId="515F6C99" w:rsidR="00F851AF" w:rsidRPr="003718A1" w:rsidRDefault="00BD6C40" w:rsidP="00872622">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lang w:val="es-ES"/>
        </w:rPr>
        <w:t xml:space="preserve">De las constancias que obran en el expediente digital del recurso de revisión que hoy se resuelve, se aprecia que el </w:t>
      </w:r>
      <w:r w:rsidRPr="00A0054B">
        <w:rPr>
          <w:rFonts w:ascii="Palatino Linotype" w:eastAsia="Calibri" w:hAnsi="Palatino Linotype" w:cs="Arial"/>
          <w:b/>
          <w:color w:val="000000" w:themeColor="text1"/>
          <w:lang w:val="es-ES"/>
        </w:rPr>
        <w:t>SUJETO OBLIGADO</w:t>
      </w:r>
      <w:r w:rsidR="002C2460" w:rsidRPr="00A0054B">
        <w:rPr>
          <w:rFonts w:ascii="Palatino Linotype" w:eastAsia="Calibri" w:hAnsi="Palatino Linotype" w:cs="Arial"/>
          <w:b/>
          <w:color w:val="000000" w:themeColor="text1"/>
          <w:lang w:val="es-ES"/>
        </w:rPr>
        <w:t xml:space="preserve">, </w:t>
      </w:r>
      <w:r w:rsidR="002C2460" w:rsidRPr="00A0054B">
        <w:rPr>
          <w:rFonts w:ascii="Palatino Linotype" w:eastAsia="Calibri" w:hAnsi="Palatino Linotype" w:cs="Arial"/>
          <w:bCs/>
          <w:color w:val="000000" w:themeColor="text1"/>
          <w:lang w:val="es-ES"/>
        </w:rPr>
        <w:t xml:space="preserve">en fecha </w:t>
      </w:r>
      <w:r w:rsidR="005B42D8">
        <w:rPr>
          <w:rFonts w:ascii="Palatino Linotype" w:eastAsia="Calibri" w:hAnsi="Palatino Linotype" w:cs="Arial"/>
          <w:bCs/>
          <w:color w:val="000000" w:themeColor="text1"/>
          <w:lang w:val="es-ES"/>
        </w:rPr>
        <w:t>diecisiete</w:t>
      </w:r>
      <w:r w:rsidR="00F851AF" w:rsidRPr="00A0054B">
        <w:rPr>
          <w:rFonts w:ascii="Palatino Linotype" w:eastAsia="Calibri" w:hAnsi="Palatino Linotype" w:cs="Arial"/>
          <w:bCs/>
          <w:color w:val="000000" w:themeColor="text1"/>
          <w:lang w:val="es-ES"/>
        </w:rPr>
        <w:t xml:space="preserve"> (</w:t>
      </w:r>
      <w:r w:rsidR="005B42D8">
        <w:rPr>
          <w:rFonts w:ascii="Palatino Linotype" w:eastAsia="Calibri" w:hAnsi="Palatino Linotype" w:cs="Arial"/>
          <w:bCs/>
          <w:color w:val="000000" w:themeColor="text1"/>
          <w:lang w:val="es-ES"/>
        </w:rPr>
        <w:t>17</w:t>
      </w:r>
      <w:r w:rsidR="00F851AF" w:rsidRPr="00A0054B">
        <w:rPr>
          <w:rFonts w:ascii="Palatino Linotype" w:eastAsia="Calibri" w:hAnsi="Palatino Linotype" w:cs="Arial"/>
          <w:bCs/>
          <w:color w:val="000000" w:themeColor="text1"/>
          <w:lang w:val="es-ES"/>
        </w:rPr>
        <w:t xml:space="preserve">) de </w:t>
      </w:r>
      <w:r w:rsidR="005B42D8">
        <w:rPr>
          <w:rFonts w:ascii="Palatino Linotype" w:eastAsia="Calibri" w:hAnsi="Palatino Linotype" w:cs="Arial"/>
          <w:bCs/>
          <w:color w:val="000000" w:themeColor="text1"/>
          <w:lang w:val="es-ES"/>
        </w:rPr>
        <w:t>enero de dos mil veintidós</w:t>
      </w:r>
      <w:r w:rsidR="002C2460" w:rsidRPr="00A0054B">
        <w:rPr>
          <w:rFonts w:ascii="Palatino Linotype" w:eastAsia="Calibri" w:hAnsi="Palatino Linotype" w:cs="Arial"/>
          <w:bCs/>
          <w:color w:val="000000" w:themeColor="text1"/>
          <w:lang w:val="es-ES"/>
        </w:rPr>
        <w:t>,</w:t>
      </w:r>
      <w:r w:rsidRPr="00A0054B">
        <w:rPr>
          <w:rFonts w:ascii="Palatino Linotype" w:eastAsia="Calibri" w:hAnsi="Palatino Linotype" w:cs="Arial"/>
          <w:color w:val="000000" w:themeColor="text1"/>
          <w:lang w:val="es-ES"/>
        </w:rPr>
        <w:t xml:space="preserve"> </w:t>
      </w:r>
      <w:r w:rsidR="002C2460" w:rsidRPr="00A0054B">
        <w:rPr>
          <w:rFonts w:ascii="Palatino Linotype" w:eastAsia="Calibri" w:hAnsi="Palatino Linotype" w:cs="Arial"/>
          <w:color w:val="000000" w:themeColor="text1"/>
          <w:lang w:val="es-ES"/>
        </w:rPr>
        <w:t xml:space="preserve">remitió el documento </w:t>
      </w:r>
      <w:r w:rsidR="000C4698">
        <w:rPr>
          <w:rFonts w:ascii="Palatino Linotype" w:eastAsia="Calibri" w:hAnsi="Palatino Linotype" w:cs="Arial"/>
          <w:color w:val="000000" w:themeColor="text1"/>
          <w:lang w:val="es-ES"/>
        </w:rPr>
        <w:t>e</w:t>
      </w:r>
      <w:r w:rsidR="006D5F9D" w:rsidRPr="00A0054B">
        <w:rPr>
          <w:rFonts w:ascii="Palatino Linotype" w:eastAsia="Calibri" w:hAnsi="Palatino Linotype" w:cs="Arial"/>
          <w:color w:val="000000" w:themeColor="text1"/>
          <w:lang w:val="es-ES"/>
        </w:rPr>
        <w:t xml:space="preserve">lectrónico denominado </w:t>
      </w:r>
      <w:r w:rsidR="000C4698">
        <w:rPr>
          <w:rFonts w:ascii="Palatino Linotype" w:eastAsia="Calibri" w:hAnsi="Palatino Linotype" w:cs="Arial"/>
          <w:color w:val="000000" w:themeColor="text1"/>
          <w:lang w:val="es-ES"/>
        </w:rPr>
        <w:t xml:space="preserve">Informe </w:t>
      </w:r>
      <w:r w:rsidR="000C4698" w:rsidRPr="000C4698">
        <w:rPr>
          <w:rFonts w:ascii="Palatino Linotype" w:eastAsia="Calibri" w:hAnsi="Palatino Linotype" w:cs="Arial"/>
          <w:b/>
          <w:bCs/>
          <w:i/>
          <w:iCs/>
          <w:color w:val="000000" w:themeColor="text1"/>
          <w:lang w:val="es-ES"/>
        </w:rPr>
        <w:t>Justificado 06338_2021… (1)</w:t>
      </w:r>
      <w:r w:rsidR="00F851AF" w:rsidRPr="00A0054B">
        <w:rPr>
          <w:rFonts w:ascii="Palatino Linotype" w:eastAsia="Calibri" w:hAnsi="Palatino Linotype" w:cs="Arial"/>
          <w:b/>
          <w:bCs/>
          <w:i/>
          <w:iCs/>
          <w:color w:val="000000" w:themeColor="text1"/>
          <w:lang w:val="es-ES"/>
        </w:rPr>
        <w:t>.</w:t>
      </w:r>
      <w:proofErr w:type="spellStart"/>
      <w:r w:rsidR="00F851AF" w:rsidRPr="00A0054B">
        <w:rPr>
          <w:rFonts w:ascii="Palatino Linotype" w:eastAsia="Calibri" w:hAnsi="Palatino Linotype" w:cs="Arial"/>
          <w:b/>
          <w:bCs/>
          <w:i/>
          <w:iCs/>
          <w:color w:val="000000" w:themeColor="text1"/>
          <w:lang w:val="es-ES"/>
        </w:rPr>
        <w:t>pdf</w:t>
      </w:r>
      <w:proofErr w:type="spellEnd"/>
      <w:r w:rsidR="00F851AF" w:rsidRPr="00A0054B">
        <w:rPr>
          <w:rFonts w:ascii="Palatino Linotype" w:eastAsia="Calibri" w:hAnsi="Palatino Linotype" w:cs="Arial"/>
          <w:color w:val="000000" w:themeColor="text1"/>
          <w:lang w:val="es-ES"/>
        </w:rPr>
        <w:t xml:space="preserve">; </w:t>
      </w:r>
      <w:r w:rsidR="00872622" w:rsidRPr="00A0054B">
        <w:rPr>
          <w:rFonts w:ascii="Palatino Linotype" w:eastAsia="Calibri" w:hAnsi="Palatino Linotype" w:cs="Arial"/>
          <w:color w:val="000000" w:themeColor="text1"/>
          <w:lang w:val="es-ES"/>
        </w:rPr>
        <w:t xml:space="preserve">los cuales se pusieron a la vista el </w:t>
      </w:r>
      <w:r w:rsidR="000C4698">
        <w:rPr>
          <w:rFonts w:ascii="Palatino Linotype" w:eastAsia="Calibri" w:hAnsi="Palatino Linotype" w:cs="Arial"/>
          <w:color w:val="000000" w:themeColor="text1"/>
          <w:lang w:val="es-ES"/>
        </w:rPr>
        <w:t>dos</w:t>
      </w:r>
      <w:r w:rsidR="00872622" w:rsidRPr="00A0054B">
        <w:rPr>
          <w:rFonts w:ascii="Palatino Linotype" w:eastAsia="Calibri" w:hAnsi="Palatino Linotype" w:cs="Arial"/>
          <w:color w:val="000000" w:themeColor="text1"/>
          <w:lang w:val="es-ES"/>
        </w:rPr>
        <w:t xml:space="preserve"> (2) de </w:t>
      </w:r>
      <w:r w:rsidR="000C4698">
        <w:rPr>
          <w:rFonts w:ascii="Palatino Linotype" w:eastAsia="Calibri" w:hAnsi="Palatino Linotype" w:cs="Arial"/>
          <w:color w:val="000000" w:themeColor="text1"/>
          <w:lang w:val="es-ES"/>
        </w:rPr>
        <w:t>febrero</w:t>
      </w:r>
      <w:r w:rsidR="00872622" w:rsidRPr="00A0054B">
        <w:rPr>
          <w:rFonts w:ascii="Palatino Linotype" w:eastAsia="Calibri" w:hAnsi="Palatino Linotype" w:cs="Arial"/>
          <w:color w:val="000000" w:themeColor="text1"/>
          <w:lang w:val="es-ES"/>
        </w:rPr>
        <w:t xml:space="preserve"> de dos mil </w:t>
      </w:r>
      <w:r w:rsidR="000C4698" w:rsidRPr="00A0054B">
        <w:rPr>
          <w:rFonts w:ascii="Palatino Linotype" w:eastAsia="Calibri" w:hAnsi="Palatino Linotype" w:cs="Arial"/>
          <w:color w:val="000000" w:themeColor="text1"/>
          <w:lang w:val="es-ES"/>
        </w:rPr>
        <w:t>veinti</w:t>
      </w:r>
      <w:r w:rsidR="000C4698">
        <w:rPr>
          <w:rFonts w:ascii="Palatino Linotype" w:eastAsia="Calibri" w:hAnsi="Palatino Linotype" w:cs="Arial"/>
          <w:color w:val="000000" w:themeColor="text1"/>
          <w:lang w:val="es-ES"/>
        </w:rPr>
        <w:t>dós</w:t>
      </w:r>
      <w:r w:rsidR="00872622" w:rsidRPr="00A0054B">
        <w:rPr>
          <w:rFonts w:ascii="Palatino Linotype" w:eastAsia="Calibri" w:hAnsi="Palatino Linotype" w:cs="Arial"/>
          <w:color w:val="000000" w:themeColor="text1"/>
          <w:lang w:val="es-ES"/>
        </w:rPr>
        <w:t>.</w:t>
      </w:r>
    </w:p>
    <w:p w14:paraId="31D811B3" w14:textId="77777777" w:rsidR="003718A1" w:rsidRPr="003718A1" w:rsidRDefault="003718A1" w:rsidP="003718A1">
      <w:pPr>
        <w:pStyle w:val="Prrafodelista"/>
        <w:rPr>
          <w:rFonts w:ascii="Palatino Linotype" w:hAnsi="Palatino Linotype"/>
          <w:color w:val="000000" w:themeColor="text1"/>
        </w:rPr>
      </w:pPr>
    </w:p>
    <w:p w14:paraId="599A7F5B" w14:textId="729ECE5B" w:rsidR="00872622" w:rsidRPr="00A0054B" w:rsidRDefault="000C4698" w:rsidP="003718A1">
      <w:pPr>
        <w:pStyle w:val="Prrafodelista"/>
        <w:numPr>
          <w:ilvl w:val="0"/>
          <w:numId w:val="25"/>
        </w:numPr>
        <w:spacing w:line="360" w:lineRule="auto"/>
        <w:ind w:left="284"/>
        <w:jc w:val="both"/>
        <w:rPr>
          <w:rFonts w:ascii="Palatino Linotype" w:eastAsia="Calibri" w:hAnsi="Palatino Linotype" w:cs="Arial"/>
          <w:b/>
          <w:bCs/>
          <w:i/>
          <w:iCs/>
          <w:color w:val="000000" w:themeColor="text1"/>
          <w:lang w:val="es-ES"/>
        </w:rPr>
      </w:pPr>
      <w:r w:rsidRPr="000C4698">
        <w:rPr>
          <w:rFonts w:ascii="Palatino Linotype" w:eastAsia="Calibri" w:hAnsi="Palatino Linotype" w:cs="Arial"/>
          <w:b/>
          <w:bCs/>
          <w:i/>
          <w:iCs/>
          <w:color w:val="000000" w:themeColor="text1"/>
          <w:lang w:val="es-ES"/>
        </w:rPr>
        <w:t>Justificado 06338_2021… (1)</w:t>
      </w:r>
      <w:r w:rsidRPr="00A0054B">
        <w:rPr>
          <w:rFonts w:ascii="Palatino Linotype" w:eastAsia="Calibri" w:hAnsi="Palatino Linotype" w:cs="Arial"/>
          <w:b/>
          <w:bCs/>
          <w:i/>
          <w:iCs/>
          <w:color w:val="000000" w:themeColor="text1"/>
          <w:lang w:val="es-ES"/>
        </w:rPr>
        <w:t>.</w:t>
      </w:r>
      <w:proofErr w:type="spellStart"/>
      <w:r w:rsidRPr="00A0054B">
        <w:rPr>
          <w:rFonts w:ascii="Palatino Linotype" w:eastAsia="Calibri" w:hAnsi="Palatino Linotype" w:cs="Arial"/>
          <w:b/>
          <w:bCs/>
          <w:i/>
          <w:iCs/>
          <w:color w:val="000000" w:themeColor="text1"/>
          <w:lang w:val="es-ES"/>
        </w:rPr>
        <w:t>pdf</w:t>
      </w:r>
      <w:proofErr w:type="spellEnd"/>
      <w:r w:rsidR="00872622" w:rsidRPr="00A0054B">
        <w:rPr>
          <w:rFonts w:ascii="Palatino Linotype" w:eastAsia="Calibri" w:hAnsi="Palatino Linotype" w:cs="Arial"/>
          <w:b/>
          <w:bCs/>
          <w:i/>
          <w:iCs/>
          <w:color w:val="000000" w:themeColor="text1"/>
          <w:lang w:val="es-ES"/>
        </w:rPr>
        <w:t>:</w:t>
      </w:r>
      <w:r w:rsidR="00E75B53" w:rsidRPr="00A0054B">
        <w:rPr>
          <w:rFonts w:ascii="Palatino Linotype" w:eastAsia="Calibri" w:hAnsi="Palatino Linotype" w:cs="Arial"/>
          <w:b/>
          <w:bCs/>
          <w:i/>
          <w:iCs/>
          <w:color w:val="000000" w:themeColor="text1"/>
          <w:lang w:val="es-ES"/>
        </w:rPr>
        <w:t xml:space="preserve"> </w:t>
      </w:r>
      <w:r w:rsidR="003718A1">
        <w:rPr>
          <w:rFonts w:ascii="Palatino Linotype" w:eastAsia="Calibri" w:hAnsi="Palatino Linotype" w:cs="Arial"/>
          <w:color w:val="000000" w:themeColor="text1"/>
          <w:lang w:val="es-ES"/>
        </w:rPr>
        <w:t>Documento suscrito por el Titular de la Unidad de Transparencia mediante el cual refiere que</w:t>
      </w:r>
      <w:r w:rsidR="00E75B53" w:rsidRPr="003718A1">
        <w:rPr>
          <w:rFonts w:ascii="Palatino Linotype" w:eastAsia="Calibri" w:hAnsi="Palatino Linotype" w:cs="Arial"/>
          <w:b/>
          <w:bCs/>
          <w:color w:val="000000" w:themeColor="text1"/>
          <w:lang w:val="es-ES"/>
        </w:rPr>
        <w:t xml:space="preserve"> </w:t>
      </w:r>
      <w:r w:rsidR="003718A1" w:rsidRPr="003718A1">
        <w:rPr>
          <w:rFonts w:ascii="Palatino Linotype" w:eastAsia="Calibri" w:hAnsi="Palatino Linotype" w:cs="Arial"/>
          <w:color w:val="000000" w:themeColor="text1"/>
          <w:lang w:val="es-ES"/>
        </w:rPr>
        <w:t>los motivos o razones de inconformidad son inoperantes toda vez que no se encontró antecedente de lo solicitado</w:t>
      </w:r>
      <w:r w:rsidR="003718A1">
        <w:rPr>
          <w:rFonts w:ascii="Palatino Linotype" w:eastAsia="Calibri" w:hAnsi="Palatino Linotype" w:cs="Arial"/>
          <w:color w:val="000000" w:themeColor="text1"/>
          <w:lang w:val="es-ES"/>
        </w:rPr>
        <w:t xml:space="preserve"> y pide que el recurso de revisión sea </w:t>
      </w:r>
      <w:proofErr w:type="spellStart"/>
      <w:r w:rsidR="003718A1">
        <w:rPr>
          <w:rFonts w:ascii="Palatino Linotype" w:eastAsia="Calibri" w:hAnsi="Palatino Linotype" w:cs="Arial"/>
          <w:color w:val="000000" w:themeColor="text1"/>
          <w:lang w:val="es-ES"/>
        </w:rPr>
        <w:t>sobreseido</w:t>
      </w:r>
      <w:proofErr w:type="spellEnd"/>
      <w:r w:rsidR="003718A1">
        <w:rPr>
          <w:rFonts w:ascii="Palatino Linotype" w:eastAsia="Calibri" w:hAnsi="Palatino Linotype" w:cs="Arial"/>
          <w:color w:val="000000" w:themeColor="text1"/>
          <w:lang w:val="es-ES"/>
        </w:rPr>
        <w:t>.</w:t>
      </w:r>
    </w:p>
    <w:p w14:paraId="47A33C23" w14:textId="25733C01" w:rsidR="00E75B53" w:rsidRPr="00A0054B" w:rsidRDefault="00E75B53" w:rsidP="00D27729">
      <w:pPr>
        <w:ind w:left="284"/>
        <w:rPr>
          <w:rFonts w:ascii="Palatino Linotype" w:eastAsia="Calibri" w:hAnsi="Palatino Linotype" w:cs="Arial"/>
          <w:b/>
          <w:bCs/>
          <w:i/>
          <w:iCs/>
          <w:color w:val="000000" w:themeColor="text1"/>
          <w:lang w:val="es-ES"/>
        </w:rPr>
      </w:pPr>
    </w:p>
    <w:p w14:paraId="3001AA57" w14:textId="69846C6E" w:rsidR="008965EF" w:rsidRPr="0009520F"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lang w:val="es-ES"/>
        </w:rPr>
        <w:t>El</w:t>
      </w:r>
      <w:bookmarkStart w:id="3" w:name="_Toc461555889"/>
      <w:bookmarkStart w:id="4" w:name="_Toc466371858"/>
      <w:r w:rsidR="00B855AA" w:rsidRPr="00A0054B">
        <w:rPr>
          <w:rFonts w:ascii="Palatino Linotype" w:eastAsia="Calibri" w:hAnsi="Palatino Linotype" w:cs="Arial"/>
          <w:color w:val="000000" w:themeColor="text1"/>
          <w:lang w:val="es-ES"/>
        </w:rPr>
        <w:t xml:space="preserve"> </w:t>
      </w:r>
      <w:r w:rsidR="003718A1">
        <w:rPr>
          <w:rFonts w:ascii="Palatino Linotype" w:eastAsia="Calibri" w:hAnsi="Palatino Linotype" w:cs="Arial"/>
          <w:color w:val="000000" w:themeColor="text1"/>
          <w:lang w:val="es-ES"/>
        </w:rPr>
        <w:t>nueve</w:t>
      </w:r>
      <w:r w:rsidR="00C7137A" w:rsidRPr="00A0054B">
        <w:rPr>
          <w:rFonts w:ascii="Palatino Linotype" w:eastAsia="Calibri" w:hAnsi="Palatino Linotype" w:cs="Arial"/>
          <w:color w:val="000000" w:themeColor="text1"/>
          <w:lang w:val="es-ES"/>
        </w:rPr>
        <w:t xml:space="preserve"> (</w:t>
      </w:r>
      <w:r w:rsidR="003718A1">
        <w:rPr>
          <w:rFonts w:ascii="Palatino Linotype" w:eastAsia="Calibri" w:hAnsi="Palatino Linotype" w:cs="Arial"/>
          <w:color w:val="000000" w:themeColor="text1"/>
          <w:lang w:val="es-ES"/>
        </w:rPr>
        <w:t>9</w:t>
      </w:r>
      <w:r w:rsidR="00C7137A" w:rsidRPr="00A0054B">
        <w:rPr>
          <w:rFonts w:ascii="Palatino Linotype" w:eastAsia="Calibri" w:hAnsi="Palatino Linotype" w:cs="Arial"/>
          <w:color w:val="000000" w:themeColor="text1"/>
          <w:lang w:val="es-ES"/>
        </w:rPr>
        <w:t xml:space="preserve">) de </w:t>
      </w:r>
      <w:r w:rsidR="003718A1">
        <w:rPr>
          <w:rFonts w:ascii="Palatino Linotype" w:eastAsia="Calibri" w:hAnsi="Palatino Linotype" w:cs="Arial"/>
          <w:color w:val="000000" w:themeColor="text1"/>
          <w:lang w:val="es-ES"/>
        </w:rPr>
        <w:t>febrero</w:t>
      </w:r>
      <w:r w:rsidR="00C7137A" w:rsidRPr="00A0054B">
        <w:rPr>
          <w:rFonts w:ascii="Palatino Linotype" w:eastAsia="Calibri" w:hAnsi="Palatino Linotype" w:cs="Arial"/>
          <w:color w:val="000000" w:themeColor="text1"/>
          <w:lang w:val="es-ES"/>
        </w:rPr>
        <w:t xml:space="preserve"> de dos mil veintidós la Comisionada Ponente </w:t>
      </w:r>
      <w:r w:rsidR="003718A1">
        <w:rPr>
          <w:rFonts w:ascii="Palatino Linotype" w:eastAsia="Calibri" w:hAnsi="Palatino Linotype" w:cs="Arial"/>
          <w:color w:val="000000" w:themeColor="text1"/>
          <w:lang w:val="es-ES"/>
        </w:rPr>
        <w:t>decretó</w:t>
      </w:r>
      <w:r w:rsidR="00AD6AC5" w:rsidRPr="00A0054B">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A0054B">
        <w:rPr>
          <w:rFonts w:ascii="Palatino Linotype" w:hAnsi="Palatino Linotype" w:cs="Arial"/>
          <w:color w:val="000000" w:themeColor="text1"/>
        </w:rPr>
        <w:t xml:space="preserve">; </w:t>
      </w:r>
    </w:p>
    <w:p w14:paraId="5C447C51" w14:textId="77777777" w:rsidR="0096234B" w:rsidRPr="00A005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0054B">
        <w:rPr>
          <w:rFonts w:ascii="Palatino Linotype" w:hAnsi="Palatino Linotype"/>
          <w:b/>
          <w:color w:val="000000" w:themeColor="text1"/>
          <w:sz w:val="24"/>
        </w:rPr>
        <w:t>PRIMERO. De la competencia</w:t>
      </w:r>
      <w:bookmarkEnd w:id="6"/>
      <w:bookmarkEnd w:id="7"/>
      <w:bookmarkEnd w:id="8"/>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9"/>
      <w:bookmarkEnd w:id="10"/>
      <w:bookmarkEnd w:id="11"/>
    </w:p>
    <w:p w14:paraId="18E22450" w14:textId="77777777" w:rsidR="00C6440A" w:rsidRPr="00A0054B" w:rsidRDefault="00C6440A" w:rsidP="00B31E90">
      <w:pPr>
        <w:rPr>
          <w:color w:val="000000" w:themeColor="text1"/>
          <w:lang w:eastAsia="en-US"/>
        </w:rPr>
      </w:pPr>
    </w:p>
    <w:p w14:paraId="7D631690" w14:textId="18571F78" w:rsidR="00B34758" w:rsidRPr="00C54BBB"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AA37A7">
        <w:rPr>
          <w:rFonts w:ascii="Palatino Linotype" w:eastAsia="Calibri" w:hAnsi="Palatino Linotype" w:cs="Arial"/>
          <w:color w:val="000000" w:themeColor="text1"/>
        </w:rPr>
        <w:t>diez</w:t>
      </w:r>
      <w:r w:rsidR="00921375" w:rsidRPr="00A0054B">
        <w:rPr>
          <w:rFonts w:ascii="Palatino Linotype" w:eastAsia="Calibri" w:hAnsi="Palatino Linotype" w:cs="Arial"/>
          <w:color w:val="000000" w:themeColor="text1"/>
        </w:rPr>
        <w:t xml:space="preserve"> (</w:t>
      </w:r>
      <w:r w:rsidR="007F3C0D" w:rsidRPr="00A0054B">
        <w:rPr>
          <w:rFonts w:ascii="Palatino Linotype" w:eastAsia="Calibri" w:hAnsi="Palatino Linotype" w:cs="Arial"/>
          <w:color w:val="000000" w:themeColor="text1"/>
        </w:rPr>
        <w:t>1</w:t>
      </w:r>
      <w:r w:rsidR="00AA37A7">
        <w:rPr>
          <w:rFonts w:ascii="Palatino Linotype" w:eastAsia="Calibri" w:hAnsi="Palatino Linotype" w:cs="Arial"/>
          <w:color w:val="000000" w:themeColor="text1"/>
        </w:rPr>
        <w:t>0</w:t>
      </w:r>
      <w:r w:rsidR="00921375" w:rsidRPr="00A0054B">
        <w:rPr>
          <w:rFonts w:ascii="Palatino Linotype" w:eastAsia="Calibri" w:hAnsi="Palatino Linotype" w:cs="Arial"/>
          <w:color w:val="000000" w:themeColor="text1"/>
        </w:rPr>
        <w:t xml:space="preserve">) de </w:t>
      </w:r>
      <w:r w:rsidR="00AA37A7">
        <w:rPr>
          <w:rFonts w:ascii="Palatino Linotype" w:eastAsia="Calibri" w:hAnsi="Palatino Linotype" w:cs="Arial"/>
          <w:color w:val="000000" w:themeColor="text1"/>
        </w:rPr>
        <w:t>diciembre</w:t>
      </w:r>
      <w:r w:rsidR="007F372C" w:rsidRPr="00A0054B">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 xml:space="preserve">de dos mil veintiuno, de tal forma que el plazo para interponer el recurso de revisión transcurrió del </w:t>
      </w:r>
      <w:r w:rsidR="00AA37A7">
        <w:rPr>
          <w:rFonts w:ascii="Palatino Linotype" w:eastAsia="Calibri" w:hAnsi="Palatino Linotype" w:cs="Arial"/>
          <w:color w:val="000000" w:themeColor="text1"/>
        </w:rPr>
        <w:t>trece</w:t>
      </w:r>
      <w:r w:rsidR="00CE035D" w:rsidRPr="00A0054B">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w:t>
      </w:r>
      <w:r w:rsidR="00CE035D" w:rsidRPr="00A0054B">
        <w:rPr>
          <w:rFonts w:ascii="Palatino Linotype" w:eastAsia="Calibri" w:hAnsi="Palatino Linotype" w:cs="Arial"/>
          <w:color w:val="000000" w:themeColor="text1"/>
        </w:rPr>
        <w:t>1</w:t>
      </w:r>
      <w:r w:rsidR="00AA37A7">
        <w:rPr>
          <w:rFonts w:ascii="Palatino Linotype" w:eastAsia="Calibri" w:hAnsi="Palatino Linotype" w:cs="Arial"/>
          <w:color w:val="000000" w:themeColor="text1"/>
        </w:rPr>
        <w:t>3</w:t>
      </w:r>
      <w:r w:rsidR="00921375" w:rsidRPr="00A0054B">
        <w:rPr>
          <w:rFonts w:ascii="Palatino Linotype" w:eastAsia="Calibri" w:hAnsi="Palatino Linotype" w:cs="Arial"/>
          <w:color w:val="000000" w:themeColor="text1"/>
        </w:rPr>
        <w:t xml:space="preserve">) </w:t>
      </w:r>
      <w:r w:rsidR="00CE035D" w:rsidRPr="00A0054B">
        <w:rPr>
          <w:rFonts w:ascii="Palatino Linotype" w:eastAsia="Calibri" w:hAnsi="Palatino Linotype" w:cs="Arial"/>
          <w:color w:val="000000" w:themeColor="text1"/>
        </w:rPr>
        <w:t xml:space="preserve">de </w:t>
      </w:r>
      <w:r w:rsidR="00AA37A7">
        <w:rPr>
          <w:rFonts w:ascii="Palatino Linotype" w:eastAsia="Calibri" w:hAnsi="Palatino Linotype" w:cs="Arial"/>
          <w:color w:val="000000" w:themeColor="text1"/>
        </w:rPr>
        <w:t>diciembre</w:t>
      </w:r>
      <w:r w:rsidR="00CE035D" w:rsidRPr="00A0054B">
        <w:rPr>
          <w:rFonts w:ascii="Palatino Linotype" w:eastAsia="Calibri" w:hAnsi="Palatino Linotype" w:cs="Arial"/>
          <w:color w:val="000000" w:themeColor="text1"/>
        </w:rPr>
        <w:t xml:space="preserve"> </w:t>
      </w:r>
      <w:r w:rsidR="00AA37A7">
        <w:rPr>
          <w:rFonts w:ascii="Palatino Linotype" w:eastAsia="Calibri" w:hAnsi="Palatino Linotype" w:cs="Arial"/>
          <w:color w:val="000000" w:themeColor="text1"/>
        </w:rPr>
        <w:t xml:space="preserve">de dos mil veintiuno </w:t>
      </w:r>
      <w:r w:rsidR="00CE035D" w:rsidRPr="00A0054B">
        <w:rPr>
          <w:rFonts w:ascii="Palatino Linotype" w:eastAsia="Calibri" w:hAnsi="Palatino Linotype" w:cs="Arial"/>
          <w:color w:val="000000" w:themeColor="text1"/>
        </w:rPr>
        <w:t>al</w:t>
      </w:r>
      <w:r w:rsidR="00921375" w:rsidRPr="00A0054B">
        <w:rPr>
          <w:rFonts w:ascii="Palatino Linotype" w:eastAsia="Calibri" w:hAnsi="Palatino Linotype" w:cs="Arial"/>
          <w:color w:val="000000" w:themeColor="text1"/>
        </w:rPr>
        <w:t xml:space="preserve"> </w:t>
      </w:r>
      <w:r w:rsidR="00AA37A7">
        <w:rPr>
          <w:rFonts w:ascii="Palatino Linotype" w:eastAsia="Calibri" w:hAnsi="Palatino Linotype" w:cs="Arial"/>
          <w:color w:val="000000" w:themeColor="text1"/>
        </w:rPr>
        <w:t>dieciocho</w:t>
      </w:r>
      <w:r w:rsidR="00921375" w:rsidRPr="00A0054B">
        <w:rPr>
          <w:rFonts w:ascii="Palatino Linotype" w:eastAsia="Calibri" w:hAnsi="Palatino Linotype" w:cs="Arial"/>
          <w:color w:val="000000" w:themeColor="text1"/>
        </w:rPr>
        <w:t xml:space="preserve"> (</w:t>
      </w:r>
      <w:r w:rsidR="00AA37A7">
        <w:rPr>
          <w:rFonts w:ascii="Palatino Linotype" w:eastAsia="Calibri" w:hAnsi="Palatino Linotype" w:cs="Arial"/>
          <w:color w:val="000000" w:themeColor="text1"/>
        </w:rPr>
        <w:t>18</w:t>
      </w:r>
      <w:r w:rsidR="00921375" w:rsidRPr="00A0054B">
        <w:rPr>
          <w:rFonts w:ascii="Palatino Linotype" w:eastAsia="Calibri" w:hAnsi="Palatino Linotype" w:cs="Arial"/>
          <w:color w:val="000000" w:themeColor="text1"/>
        </w:rPr>
        <w:t xml:space="preserve">) de </w:t>
      </w:r>
      <w:r w:rsidR="00AA37A7">
        <w:rPr>
          <w:rFonts w:ascii="Palatino Linotype" w:eastAsia="Calibri" w:hAnsi="Palatino Linotype" w:cs="Arial"/>
          <w:color w:val="000000" w:themeColor="text1"/>
        </w:rPr>
        <w:t xml:space="preserve">enero </w:t>
      </w:r>
      <w:r w:rsidR="00921375" w:rsidRPr="00A0054B">
        <w:rPr>
          <w:rFonts w:ascii="Palatino Linotype" w:eastAsia="Calibri" w:hAnsi="Palatino Linotype" w:cs="Arial"/>
          <w:color w:val="000000" w:themeColor="text1"/>
        </w:rPr>
        <w:t xml:space="preserve">de dos mil </w:t>
      </w:r>
      <w:r w:rsidR="00AA37A7">
        <w:rPr>
          <w:rFonts w:ascii="Palatino Linotype" w:eastAsia="Calibri" w:hAnsi="Palatino Linotype" w:cs="Arial"/>
          <w:color w:val="000000" w:themeColor="text1"/>
        </w:rPr>
        <w:t>veintidós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AA37A7">
        <w:rPr>
          <w:rFonts w:ascii="Palatino Linotype" w:hAnsi="Palatino Linotype"/>
          <w:color w:val="000000" w:themeColor="text1"/>
        </w:rPr>
        <w:t>catorce</w:t>
      </w:r>
      <w:r w:rsidR="00CE035D" w:rsidRPr="00A0054B">
        <w:rPr>
          <w:rFonts w:ascii="Palatino Linotype" w:hAnsi="Palatino Linotype"/>
          <w:color w:val="000000" w:themeColor="text1"/>
        </w:rPr>
        <w:t xml:space="preserve"> </w:t>
      </w:r>
      <w:r w:rsidR="00921375" w:rsidRPr="00A0054B">
        <w:rPr>
          <w:rFonts w:ascii="Palatino Linotype" w:hAnsi="Palatino Linotype"/>
          <w:color w:val="000000" w:themeColor="text1"/>
        </w:rPr>
        <w:t>(</w:t>
      </w:r>
      <w:r w:rsidR="00AA37A7">
        <w:rPr>
          <w:rFonts w:ascii="Palatino Linotype" w:hAnsi="Palatino Linotype"/>
          <w:color w:val="000000" w:themeColor="text1"/>
        </w:rPr>
        <w:t>14</w:t>
      </w:r>
      <w:r w:rsidR="00921375" w:rsidRPr="00A0054B">
        <w:rPr>
          <w:rFonts w:ascii="Palatino Linotype" w:hAnsi="Palatino Linotype"/>
          <w:color w:val="000000" w:themeColor="text1"/>
        </w:rPr>
        <w:t xml:space="preserve">) de </w:t>
      </w:r>
      <w:r w:rsidR="00AA37A7">
        <w:rPr>
          <w:rFonts w:ascii="Palatino Linotype" w:hAnsi="Palatino Linotype"/>
          <w:color w:val="000000" w:themeColor="text1"/>
        </w:rPr>
        <w:t>diciembre</w:t>
      </w:r>
      <w:r w:rsidR="006E65C0" w:rsidRPr="00A0054B">
        <w:rPr>
          <w:rFonts w:ascii="Palatino Linotype" w:hAnsi="Palatino Linotype"/>
          <w:color w:val="000000" w:themeColor="text1"/>
        </w:rPr>
        <w:t xml:space="preserve"> </w:t>
      </w:r>
      <w:r w:rsidR="00E95534" w:rsidRPr="00A0054B">
        <w:rPr>
          <w:rFonts w:ascii="Palatino Linotype" w:hAnsi="Palatino Linotype"/>
          <w:color w:val="000000" w:themeColor="text1"/>
        </w:rPr>
        <w:t>de dos mil veintiuno,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70473106" w14:textId="77777777" w:rsidR="00C54BBB" w:rsidRDefault="00C54BBB" w:rsidP="00C54BB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B34758"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lastRenderedPageBreak/>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A0054B"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0F54104A" w14:textId="77777777" w:rsidR="00CE035D" w:rsidRPr="00037825"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37825">
        <w:rPr>
          <w:rFonts w:ascii="Palatino Linotype" w:hAnsi="Palatino Linotype" w:cs="Arial"/>
          <w:color w:val="000000" w:themeColor="text1"/>
        </w:rPr>
        <w:t>El Recurrente solicitó la siguiente información:</w:t>
      </w:r>
    </w:p>
    <w:p w14:paraId="6EDCAA33" w14:textId="1181FC92" w:rsidR="006F0FB5" w:rsidRPr="00037825" w:rsidRDefault="006F0FB5" w:rsidP="00F63F09">
      <w:pPr>
        <w:ind w:right="616"/>
        <w:jc w:val="both"/>
        <w:rPr>
          <w:rFonts w:ascii="Palatino Linotype" w:hAnsi="Palatino Linotype" w:cs="Arial"/>
          <w:color w:val="000000" w:themeColor="text1"/>
        </w:rPr>
      </w:pPr>
    </w:p>
    <w:p w14:paraId="435C99A2" w14:textId="4ACB9706" w:rsidR="00DD5654" w:rsidRPr="00037825" w:rsidRDefault="00DD5654" w:rsidP="00DD5654">
      <w:pPr>
        <w:pStyle w:val="Prrafodelista"/>
        <w:numPr>
          <w:ilvl w:val="0"/>
          <w:numId w:val="25"/>
        </w:numPr>
        <w:jc w:val="both"/>
        <w:rPr>
          <w:rFonts w:ascii="Palatino Linotype" w:eastAsia="Times New Roman" w:hAnsi="Palatino Linotype" w:cs="Times New Roman"/>
          <w:sz w:val="44"/>
          <w:szCs w:val="44"/>
          <w:lang w:eastAsia="es-MX"/>
        </w:rPr>
      </w:pPr>
      <w:r w:rsidRPr="00037825">
        <w:rPr>
          <w:rFonts w:ascii="Palatino Linotype" w:eastAsia="Times New Roman" w:hAnsi="Palatino Linotype" w:cs="Times New Roman"/>
          <w:lang w:eastAsia="es-MX"/>
        </w:rPr>
        <w:t>Solicito toda evidencia documental en la que el Ayuntamiento de Toluca solicitó a la cámara de diputados estatal la autorización para la enajenación de 10 predios ubicados en Toluca para su subasta, así como la respuesta a dicha petición.</w:t>
      </w:r>
    </w:p>
    <w:p w14:paraId="42C32636" w14:textId="539DAFCC" w:rsidR="00DD5654" w:rsidRPr="00037825" w:rsidRDefault="00DD5654" w:rsidP="00F63F09">
      <w:pPr>
        <w:ind w:right="616"/>
        <w:jc w:val="both"/>
        <w:rPr>
          <w:rFonts w:ascii="Palatino Linotype" w:hAnsi="Palatino Linotype" w:cs="Arial"/>
          <w:color w:val="000000" w:themeColor="text1"/>
        </w:rPr>
      </w:pPr>
    </w:p>
    <w:p w14:paraId="636DF834" w14:textId="77777777" w:rsidR="00DD5654" w:rsidRPr="00037825" w:rsidRDefault="00DD5654" w:rsidP="00F63F09">
      <w:pPr>
        <w:ind w:right="616"/>
        <w:jc w:val="both"/>
        <w:rPr>
          <w:rFonts w:ascii="Palatino Linotype" w:hAnsi="Palatino Linotype" w:cs="Arial"/>
          <w:color w:val="000000" w:themeColor="text1"/>
        </w:rPr>
      </w:pPr>
    </w:p>
    <w:p w14:paraId="17BBEB8B" w14:textId="246401F4" w:rsidR="006F0FB5" w:rsidRPr="00037825"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37825">
        <w:rPr>
          <w:rFonts w:ascii="Palatino Linotype" w:hAnsi="Palatino Linotype" w:cs="Arial"/>
          <w:color w:val="000000" w:themeColor="text1"/>
        </w:rPr>
        <w:t xml:space="preserve">El Sujeto Obligado </w:t>
      </w:r>
      <w:r w:rsidR="00DD5654" w:rsidRPr="00037825">
        <w:rPr>
          <w:rFonts w:ascii="Palatino Linotype" w:hAnsi="Palatino Linotype" w:cs="Arial"/>
          <w:color w:val="000000" w:themeColor="text1"/>
        </w:rPr>
        <w:t>refirió que, después de una búsqueda exhaustiva y razonable, no se localizó la información al respecto.</w:t>
      </w:r>
    </w:p>
    <w:p w14:paraId="28B8FEFD" w14:textId="77777777" w:rsidR="006F0FB5" w:rsidRPr="00037825"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3C8D78A" w:rsidR="009F1566" w:rsidRPr="00037825"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37825">
        <w:rPr>
          <w:rFonts w:ascii="Palatino Linotype" w:hAnsi="Palatino Linotype" w:cs="Arial"/>
          <w:color w:val="000000" w:themeColor="text1"/>
          <w:szCs w:val="23"/>
        </w:rPr>
        <w:t xml:space="preserve">Por lo anterior, la </w:t>
      </w:r>
      <w:r w:rsidRPr="00037825">
        <w:rPr>
          <w:rFonts w:ascii="Palatino Linotype" w:hAnsi="Palatino Linotype" w:cs="Arial"/>
          <w:i/>
          <w:color w:val="000000" w:themeColor="text1"/>
          <w:szCs w:val="23"/>
        </w:rPr>
        <w:t>Litis</w:t>
      </w:r>
      <w:r w:rsidRPr="00037825">
        <w:rPr>
          <w:rFonts w:ascii="Palatino Linotype" w:hAnsi="Palatino Linotype" w:cs="Arial"/>
          <w:color w:val="000000" w:themeColor="text1"/>
          <w:szCs w:val="23"/>
        </w:rPr>
        <w:t xml:space="preserve"> a resolver en el presente recurso se circunscribe en determinar si</w:t>
      </w:r>
      <w:r w:rsidR="002C6561" w:rsidRPr="00037825">
        <w:rPr>
          <w:rFonts w:ascii="Palatino Linotype" w:hAnsi="Palatino Linotype" w:cs="Arial"/>
          <w:color w:val="000000" w:themeColor="text1"/>
          <w:szCs w:val="23"/>
        </w:rPr>
        <w:t xml:space="preserve"> </w:t>
      </w:r>
      <w:r w:rsidR="004B0EB6" w:rsidRPr="00037825">
        <w:rPr>
          <w:rFonts w:ascii="Palatino Linotype" w:hAnsi="Palatino Linotype" w:cs="Arial"/>
          <w:color w:val="000000" w:themeColor="text1"/>
          <w:szCs w:val="23"/>
        </w:rPr>
        <w:t>la respuesta del</w:t>
      </w:r>
      <w:r w:rsidR="002C6561" w:rsidRPr="00037825">
        <w:rPr>
          <w:rFonts w:ascii="Palatino Linotype" w:hAnsi="Palatino Linotype" w:cs="Arial"/>
          <w:color w:val="000000" w:themeColor="text1"/>
          <w:szCs w:val="23"/>
        </w:rPr>
        <w:t xml:space="preserve"> </w:t>
      </w:r>
      <w:r w:rsidR="002C6561" w:rsidRPr="00037825">
        <w:rPr>
          <w:rFonts w:ascii="Palatino Linotype" w:hAnsi="Palatino Linotype" w:cs="Arial"/>
          <w:b/>
          <w:bCs/>
          <w:color w:val="000000" w:themeColor="text1"/>
          <w:szCs w:val="23"/>
        </w:rPr>
        <w:t>SUJETO OBLIGADO</w:t>
      </w:r>
      <w:r w:rsidR="002C6561" w:rsidRPr="00037825">
        <w:rPr>
          <w:rFonts w:ascii="Palatino Linotype" w:hAnsi="Palatino Linotype" w:cs="Arial"/>
          <w:color w:val="000000" w:themeColor="text1"/>
          <w:szCs w:val="23"/>
        </w:rPr>
        <w:t xml:space="preserve"> </w:t>
      </w:r>
      <w:r w:rsidR="004B0EB6" w:rsidRPr="00037825">
        <w:rPr>
          <w:rFonts w:ascii="Palatino Linotype" w:hAnsi="Palatino Linotype" w:cs="Arial"/>
          <w:color w:val="000000" w:themeColor="text1"/>
          <w:szCs w:val="23"/>
        </w:rPr>
        <w:t xml:space="preserve">colma el derecho de acceso a la información ejercido por el </w:t>
      </w:r>
      <w:r w:rsidR="004B0EB6" w:rsidRPr="00037825">
        <w:rPr>
          <w:rFonts w:ascii="Palatino Linotype" w:hAnsi="Palatino Linotype" w:cs="Arial"/>
          <w:b/>
          <w:bCs/>
          <w:color w:val="000000" w:themeColor="text1"/>
          <w:szCs w:val="23"/>
        </w:rPr>
        <w:t>RECURRENTE</w:t>
      </w:r>
      <w:r w:rsidR="002C6561" w:rsidRPr="00037825">
        <w:rPr>
          <w:rFonts w:ascii="Palatino Linotype" w:hAnsi="Palatino Linotype" w:cs="Arial"/>
          <w:color w:val="000000" w:themeColor="text1"/>
          <w:szCs w:val="23"/>
        </w:rPr>
        <w:t>; o si, por el contrario, se</w:t>
      </w:r>
      <w:r w:rsidR="00E32652" w:rsidRPr="00037825">
        <w:rPr>
          <w:rFonts w:ascii="Palatino Linotype" w:hAnsi="Palatino Linotype" w:cs="Arial"/>
          <w:color w:val="000000" w:themeColor="text1"/>
          <w:szCs w:val="23"/>
        </w:rPr>
        <w:t xml:space="preserve"> </w:t>
      </w:r>
      <w:r w:rsidR="0028248C" w:rsidRPr="00037825">
        <w:rPr>
          <w:rFonts w:ascii="Palatino Linotype" w:hAnsi="Palatino Linotype"/>
          <w:color w:val="000000" w:themeColor="text1"/>
        </w:rPr>
        <w:t>actualiza la causal de procedencia</w:t>
      </w:r>
      <w:r w:rsidR="00E66A80" w:rsidRPr="00037825">
        <w:rPr>
          <w:rFonts w:ascii="Palatino Linotype" w:hAnsi="Palatino Linotype" w:cs="Arial"/>
          <w:color w:val="000000" w:themeColor="text1"/>
          <w:szCs w:val="23"/>
        </w:rPr>
        <w:t xml:space="preserve"> del recurso de revisión establecida</w:t>
      </w:r>
      <w:r w:rsidR="00A42161" w:rsidRPr="00037825">
        <w:rPr>
          <w:rFonts w:ascii="Palatino Linotype" w:hAnsi="Palatino Linotype" w:cs="Arial"/>
          <w:color w:val="000000" w:themeColor="text1"/>
          <w:szCs w:val="23"/>
        </w:rPr>
        <w:t xml:space="preserve"> en las fracciones I y III</w:t>
      </w:r>
      <w:r w:rsidR="00E66A80" w:rsidRPr="00037825">
        <w:rPr>
          <w:rFonts w:ascii="Palatino Linotype" w:hAnsi="Palatino Linotype" w:cs="Arial"/>
          <w:color w:val="000000" w:themeColor="text1"/>
          <w:szCs w:val="23"/>
        </w:rPr>
        <w:t xml:space="preserve"> </w:t>
      </w:r>
      <w:r w:rsidR="00A42161" w:rsidRPr="00037825">
        <w:rPr>
          <w:rFonts w:ascii="Palatino Linotype" w:hAnsi="Palatino Linotype" w:cs="Arial"/>
          <w:color w:val="000000" w:themeColor="text1"/>
          <w:szCs w:val="23"/>
        </w:rPr>
        <w:t>de</w:t>
      </w:r>
      <w:r w:rsidR="00E66A80" w:rsidRPr="00037825">
        <w:rPr>
          <w:rFonts w:ascii="Palatino Linotype" w:hAnsi="Palatino Linotype" w:cs="Arial"/>
          <w:color w:val="000000" w:themeColor="text1"/>
          <w:szCs w:val="23"/>
        </w:rPr>
        <w:t>l artículo 179</w:t>
      </w:r>
      <w:r w:rsidR="008E4483" w:rsidRPr="00037825">
        <w:rPr>
          <w:rFonts w:ascii="Palatino Linotype" w:hAnsi="Palatino Linotype" w:cs="Arial"/>
          <w:color w:val="000000" w:themeColor="text1"/>
          <w:szCs w:val="23"/>
        </w:rPr>
        <w:t xml:space="preserve"> </w:t>
      </w:r>
      <w:r w:rsidR="00E66A80" w:rsidRPr="00037825">
        <w:rPr>
          <w:rFonts w:ascii="Palatino Linotype" w:hAnsi="Palatino Linotype" w:cs="Arial"/>
          <w:color w:val="000000" w:themeColor="text1"/>
          <w:szCs w:val="23"/>
        </w:rPr>
        <w:t xml:space="preserve">de la Ley de Transparencia y Acceso a la Información Pública del Estado de México y Municipios, </w:t>
      </w:r>
      <w:r w:rsidR="004364EE" w:rsidRPr="00037825">
        <w:rPr>
          <w:rFonts w:ascii="Palatino Linotype" w:hAnsi="Palatino Linotype" w:cs="Arial"/>
          <w:color w:val="000000" w:themeColor="text1"/>
          <w:szCs w:val="23"/>
        </w:rPr>
        <w:t>misma</w:t>
      </w:r>
      <w:r w:rsidR="00C51671" w:rsidRPr="00037825">
        <w:rPr>
          <w:rFonts w:ascii="Palatino Linotype" w:hAnsi="Palatino Linotype" w:cs="Arial"/>
          <w:color w:val="000000" w:themeColor="text1"/>
          <w:szCs w:val="23"/>
        </w:rPr>
        <w:t xml:space="preserve"> </w:t>
      </w:r>
      <w:r w:rsidR="00E66A80" w:rsidRPr="00037825">
        <w:rPr>
          <w:rFonts w:ascii="Palatino Linotype" w:hAnsi="Palatino Linotype" w:cs="Arial"/>
          <w:color w:val="000000" w:themeColor="text1"/>
          <w:szCs w:val="23"/>
        </w:rPr>
        <w:t>que se transcribe a continuación:</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lastRenderedPageBreak/>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w:t>
      </w:r>
      <w:r w:rsidRPr="00A0054B">
        <w:rPr>
          <w:rFonts w:ascii="Palatino Linotype" w:hAnsi="Palatino Linotype"/>
          <w:i/>
          <w:color w:val="000000"/>
          <w:sz w:val="22"/>
        </w:rPr>
        <w:lastRenderedPageBreak/>
        <w:t>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w:t>
      </w:r>
      <w:r w:rsidRPr="00A0054B">
        <w:rPr>
          <w:rFonts w:ascii="Palatino Linotype" w:hAnsi="Palatino Linotype"/>
          <w:b/>
          <w:i/>
          <w:sz w:val="22"/>
        </w:rPr>
        <w:lastRenderedPageBreak/>
        <w:t>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lastRenderedPageBreak/>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8E4483">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0054B" w:rsidRDefault="008E4483" w:rsidP="008E4483">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A0054B">
        <w:rPr>
          <w:rFonts w:ascii="Palatino Linotype" w:hAnsi="Palatino Linotype"/>
          <w:lang w:val="es-ES"/>
        </w:rPr>
        <w:lastRenderedPageBreak/>
        <w:t>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0054B" w:rsidRDefault="008E4483" w:rsidP="008E4483">
      <w:pPr>
        <w:pStyle w:val="Prrafodelista"/>
        <w:spacing w:line="360" w:lineRule="auto"/>
        <w:rPr>
          <w:rFonts w:ascii="Palatino Linotype" w:hAnsi="Palatino Linotype"/>
          <w:lang w:val="es-ES"/>
        </w:rPr>
      </w:pPr>
    </w:p>
    <w:p w14:paraId="1C9461BC"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w:t>
      </w:r>
      <w:r w:rsidRPr="00A0054B">
        <w:rPr>
          <w:rFonts w:ascii="Palatino Linotype" w:hAnsi="Palatino Linotype"/>
          <w:i/>
        </w:rPr>
        <w:lastRenderedPageBreak/>
        <w:t xml:space="preserve">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0054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31A63FA8" w14:textId="77777777" w:rsidR="008E4483" w:rsidRPr="00A0054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A0054B" w:rsidRDefault="008E4483" w:rsidP="008E4483">
      <w:pPr>
        <w:spacing w:line="360" w:lineRule="auto"/>
        <w:jc w:val="both"/>
        <w:rPr>
          <w:rFonts w:ascii="Palatino Linotype" w:hAnsi="Palatino Linotype" w:cs="Arial"/>
        </w:rPr>
      </w:pPr>
    </w:p>
    <w:p w14:paraId="61E5DFB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8E4483">
      <w:pPr>
        <w:ind w:left="567" w:right="567"/>
        <w:jc w:val="both"/>
        <w:rPr>
          <w:rFonts w:ascii="Palatino Linotype" w:hAnsi="Palatino Linotype" w:cs="Arial"/>
          <w:i/>
          <w:sz w:val="22"/>
        </w:rPr>
      </w:pPr>
    </w:p>
    <w:p w14:paraId="4B5681D6"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8E4483">
      <w:pPr>
        <w:ind w:left="567" w:right="567"/>
        <w:jc w:val="both"/>
        <w:rPr>
          <w:rFonts w:ascii="Palatino Linotype" w:hAnsi="Palatino Linotype" w:cs="Arial"/>
          <w:i/>
          <w:sz w:val="22"/>
        </w:rPr>
      </w:pPr>
    </w:p>
    <w:p w14:paraId="681A32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8E4483">
      <w:pPr>
        <w:ind w:left="567" w:right="567"/>
        <w:jc w:val="both"/>
        <w:rPr>
          <w:rFonts w:ascii="Palatino Linotype" w:hAnsi="Palatino Linotype" w:cs="Arial"/>
          <w:i/>
          <w:sz w:val="22"/>
        </w:rPr>
      </w:pPr>
    </w:p>
    <w:p w14:paraId="1A00976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8E4483">
      <w:pPr>
        <w:ind w:left="567" w:right="567"/>
        <w:jc w:val="both"/>
        <w:rPr>
          <w:rFonts w:ascii="Palatino Linotype" w:hAnsi="Palatino Linotype" w:cs="Arial"/>
          <w:b/>
          <w:i/>
          <w:sz w:val="22"/>
        </w:rPr>
      </w:pPr>
    </w:p>
    <w:p w14:paraId="3A80ED3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8E4483">
      <w:pPr>
        <w:ind w:left="567" w:right="567"/>
        <w:jc w:val="both"/>
        <w:rPr>
          <w:rFonts w:ascii="Palatino Linotype" w:hAnsi="Palatino Linotype" w:cs="Arial"/>
          <w:i/>
          <w:sz w:val="22"/>
        </w:rPr>
      </w:pPr>
    </w:p>
    <w:p w14:paraId="0CECF8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8E4483">
      <w:pPr>
        <w:ind w:left="567" w:right="567"/>
        <w:jc w:val="both"/>
        <w:rPr>
          <w:rFonts w:ascii="Palatino Linotype" w:hAnsi="Palatino Linotype" w:cs="Arial"/>
          <w:i/>
          <w:sz w:val="22"/>
        </w:rPr>
      </w:pPr>
    </w:p>
    <w:p w14:paraId="4EF8A8A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8E4483">
      <w:pPr>
        <w:ind w:left="567" w:right="567"/>
        <w:jc w:val="both"/>
        <w:rPr>
          <w:rFonts w:ascii="Palatino Linotype" w:hAnsi="Palatino Linotype" w:cs="Arial"/>
          <w:i/>
          <w:sz w:val="22"/>
        </w:rPr>
      </w:pPr>
    </w:p>
    <w:p w14:paraId="112801FD"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8E4483">
      <w:pPr>
        <w:ind w:left="567" w:right="567"/>
        <w:jc w:val="both"/>
        <w:rPr>
          <w:rFonts w:ascii="Palatino Linotype" w:hAnsi="Palatino Linotype" w:cs="Arial"/>
          <w:b/>
          <w:i/>
          <w:sz w:val="22"/>
        </w:rPr>
      </w:pPr>
    </w:p>
    <w:p w14:paraId="3FB33C7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8E4483">
      <w:pPr>
        <w:ind w:left="567" w:right="567"/>
        <w:jc w:val="both"/>
        <w:rPr>
          <w:rFonts w:ascii="Palatino Linotype" w:hAnsi="Palatino Linotype" w:cs="Arial"/>
          <w:i/>
          <w:sz w:val="22"/>
        </w:rPr>
      </w:pPr>
    </w:p>
    <w:p w14:paraId="3739931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8E4483">
      <w:pPr>
        <w:ind w:left="567" w:right="567"/>
        <w:jc w:val="both"/>
        <w:rPr>
          <w:rFonts w:ascii="Palatino Linotype" w:hAnsi="Palatino Linotype" w:cs="Arial"/>
          <w:i/>
          <w:sz w:val="22"/>
        </w:rPr>
      </w:pPr>
    </w:p>
    <w:p w14:paraId="4D04B6B7"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8E4483">
      <w:pPr>
        <w:ind w:left="567" w:right="567"/>
        <w:jc w:val="both"/>
        <w:rPr>
          <w:rFonts w:ascii="Palatino Linotype" w:hAnsi="Palatino Linotype" w:cs="Arial"/>
          <w:i/>
          <w:sz w:val="22"/>
        </w:rPr>
      </w:pPr>
    </w:p>
    <w:p w14:paraId="30D06838"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8E4483">
      <w:pPr>
        <w:ind w:left="567" w:right="567"/>
        <w:jc w:val="both"/>
        <w:rPr>
          <w:rFonts w:ascii="Palatino Linotype" w:hAnsi="Palatino Linotype"/>
          <w:i/>
          <w:sz w:val="22"/>
        </w:rPr>
      </w:pPr>
    </w:p>
    <w:p w14:paraId="70B9AFAD"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8E4483">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8E4483">
      <w:pPr>
        <w:ind w:left="567" w:right="567"/>
        <w:jc w:val="both"/>
        <w:rPr>
          <w:rFonts w:ascii="Palatino Linotype" w:hAnsi="Palatino Linotype"/>
          <w:i/>
          <w:sz w:val="22"/>
        </w:rPr>
      </w:pPr>
    </w:p>
    <w:p w14:paraId="480C22E0"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8E4483">
      <w:pPr>
        <w:ind w:left="567" w:right="567"/>
        <w:jc w:val="both"/>
        <w:rPr>
          <w:rFonts w:ascii="Palatino Linotype" w:hAnsi="Palatino Linotype"/>
          <w:b/>
          <w:i/>
          <w:sz w:val="22"/>
        </w:rPr>
      </w:pPr>
    </w:p>
    <w:p w14:paraId="44073A0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w:t>
      </w:r>
      <w:r w:rsidRPr="00A0054B">
        <w:rPr>
          <w:rFonts w:ascii="Palatino Linotype" w:hAnsi="Palatino Linotype"/>
          <w:i/>
          <w:sz w:val="22"/>
        </w:rPr>
        <w:lastRenderedPageBreak/>
        <w:t>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8E4483">
      <w:pPr>
        <w:ind w:left="567" w:right="567"/>
        <w:jc w:val="both"/>
        <w:rPr>
          <w:rFonts w:ascii="Palatino Linotype" w:hAnsi="Palatino Linotype"/>
          <w:i/>
          <w:sz w:val="22"/>
        </w:rPr>
      </w:pPr>
    </w:p>
    <w:p w14:paraId="2FF70804"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8E4483">
      <w:pPr>
        <w:ind w:left="567" w:right="567"/>
        <w:jc w:val="both"/>
        <w:rPr>
          <w:rFonts w:ascii="Palatino Linotype" w:hAnsi="Palatino Linotype"/>
          <w:i/>
          <w:sz w:val="22"/>
        </w:rPr>
      </w:pPr>
    </w:p>
    <w:p w14:paraId="6FA24126"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8E4483">
      <w:pPr>
        <w:ind w:left="567" w:right="567"/>
        <w:jc w:val="both"/>
        <w:rPr>
          <w:rFonts w:ascii="Palatino Linotype" w:hAnsi="Palatino Linotype"/>
          <w:i/>
          <w:sz w:val="22"/>
        </w:rPr>
      </w:pPr>
    </w:p>
    <w:p w14:paraId="24C5C6F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8E4483">
      <w:pPr>
        <w:ind w:left="567" w:right="567"/>
        <w:jc w:val="both"/>
        <w:rPr>
          <w:rFonts w:ascii="Palatino Linotype" w:hAnsi="Palatino Linotype"/>
          <w:i/>
          <w:sz w:val="22"/>
        </w:rPr>
      </w:pPr>
    </w:p>
    <w:p w14:paraId="2D1804C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8E4483">
      <w:pPr>
        <w:ind w:left="567" w:right="567"/>
        <w:jc w:val="both"/>
        <w:rPr>
          <w:rFonts w:ascii="Palatino Linotype" w:hAnsi="Palatino Linotype"/>
          <w:b/>
          <w:i/>
          <w:sz w:val="22"/>
        </w:rPr>
      </w:pPr>
    </w:p>
    <w:p w14:paraId="6DB2EC7A"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8E4483">
      <w:pPr>
        <w:ind w:left="567" w:right="567"/>
        <w:jc w:val="both"/>
        <w:rPr>
          <w:rFonts w:ascii="Palatino Linotype" w:hAnsi="Palatino Linotype"/>
          <w:i/>
          <w:sz w:val="22"/>
        </w:rPr>
      </w:pPr>
    </w:p>
    <w:p w14:paraId="6810788F"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8E4483">
      <w:pPr>
        <w:ind w:left="567" w:right="567"/>
        <w:jc w:val="both"/>
        <w:rPr>
          <w:rFonts w:ascii="Palatino Linotype" w:hAnsi="Palatino Linotype"/>
          <w:sz w:val="22"/>
        </w:rPr>
      </w:pPr>
    </w:p>
    <w:p w14:paraId="76F0890A" w14:textId="77777777" w:rsidR="008E4483" w:rsidRPr="00A0054B" w:rsidRDefault="008E4483" w:rsidP="008E4483">
      <w:pPr>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8E4483">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8E4483">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8E4483">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8E4483">
      <w:pPr>
        <w:ind w:left="567" w:right="822"/>
        <w:jc w:val="both"/>
        <w:rPr>
          <w:rFonts w:ascii="Palatino Linotype" w:eastAsia="MS Mincho" w:hAnsi="Palatino Linotype"/>
          <w:b/>
          <w:i/>
          <w:sz w:val="22"/>
          <w:szCs w:val="22"/>
        </w:rPr>
      </w:pPr>
    </w:p>
    <w:p w14:paraId="7FF5ACCA"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8E4483">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1C499F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E87AD0" w:rsidRPr="00A0054B">
        <w:rPr>
          <w:rFonts w:ascii="Palatino Linotype" w:hAnsi="Palatino Linotype"/>
          <w:b/>
          <w:bCs/>
          <w:color w:val="000000"/>
        </w:rPr>
        <w:t>Ayuntamiento de Toluca</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ACA06ED" w14:textId="77777777" w:rsidR="007820F2" w:rsidRPr="00A0054B"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2CB4493" w14:textId="640F3550"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lastRenderedPageBreak/>
        <w:t xml:space="preserve">II. </w:t>
      </w:r>
      <w:r w:rsidR="00FD0BDD" w:rsidRPr="00A0054B">
        <w:rPr>
          <w:rFonts w:ascii="Palatino Linotype" w:hAnsi="Palatino Linotype"/>
          <w:b/>
          <w:color w:val="000000" w:themeColor="text1"/>
        </w:rPr>
        <w:t>De</w:t>
      </w:r>
      <w:r w:rsidR="00037825">
        <w:rPr>
          <w:rFonts w:ascii="Palatino Linotype" w:hAnsi="Palatino Linotype"/>
          <w:b/>
          <w:color w:val="000000" w:themeColor="text1"/>
        </w:rPr>
        <w:t xml:space="preserve"> </w:t>
      </w:r>
      <w:r w:rsidR="00FD0BDD" w:rsidRPr="00A0054B">
        <w:rPr>
          <w:rFonts w:ascii="Palatino Linotype" w:hAnsi="Palatino Linotype"/>
          <w:b/>
          <w:color w:val="000000" w:themeColor="text1"/>
        </w:rPr>
        <w:t>l</w:t>
      </w:r>
      <w:r w:rsidR="00037825">
        <w:rPr>
          <w:rFonts w:ascii="Palatino Linotype" w:hAnsi="Palatino Linotype"/>
          <w:b/>
          <w:color w:val="000000" w:themeColor="text1"/>
        </w:rPr>
        <w:t>as enajenaciones.</w:t>
      </w:r>
      <w:bookmarkEnd w:id="31"/>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65EC1A9B" w14:textId="370982B3" w:rsidR="00022BB7" w:rsidRDefault="008F6B6F"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La Ley </w:t>
      </w:r>
      <w:r w:rsidR="00A6116B">
        <w:rPr>
          <w:rFonts w:ascii="Palatino Linotype" w:eastAsia="MS Mincho" w:hAnsi="Palatino Linotype"/>
        </w:rPr>
        <w:t>Orgánica Municipal, en el Capítulo Cuarto</w:t>
      </w:r>
      <w:r w:rsidR="008D6F08">
        <w:rPr>
          <w:rFonts w:ascii="Palatino Linotype" w:eastAsia="MS Mincho" w:hAnsi="Palatino Linotype"/>
        </w:rPr>
        <w:t xml:space="preserve"> en el artículo 33,</w:t>
      </w:r>
      <w:r w:rsidR="00A6116B">
        <w:rPr>
          <w:rFonts w:ascii="Palatino Linotype" w:eastAsia="MS Mincho" w:hAnsi="Palatino Linotype"/>
        </w:rPr>
        <w:t xml:space="preserve"> establece los siguiente</w:t>
      </w:r>
    </w:p>
    <w:p w14:paraId="11D44225" w14:textId="77777777" w:rsidR="00022BB7" w:rsidRDefault="00022BB7" w:rsidP="00CF4CB6">
      <w:pPr>
        <w:pStyle w:val="Prrafodelista"/>
        <w:spacing w:line="360" w:lineRule="auto"/>
        <w:ind w:left="0"/>
        <w:jc w:val="both"/>
        <w:rPr>
          <w:rFonts w:ascii="Palatino Linotype" w:eastAsia="MS Mincho" w:hAnsi="Palatino Linotype"/>
        </w:rPr>
      </w:pPr>
    </w:p>
    <w:p w14:paraId="3582EF8A" w14:textId="77777777" w:rsidR="00CF4CB6" w:rsidRDefault="00CF4CB6" w:rsidP="00CF4CB6">
      <w:pPr>
        <w:pStyle w:val="Prrafodelista"/>
        <w:spacing w:line="360" w:lineRule="auto"/>
        <w:ind w:left="0"/>
        <w:jc w:val="both"/>
        <w:rPr>
          <w:rFonts w:ascii="Palatino Linotype" w:eastAsia="MS Mincho" w:hAnsi="Palatino Linotype"/>
        </w:rPr>
      </w:pPr>
    </w:p>
    <w:p w14:paraId="556A7F65" w14:textId="695A071D" w:rsidR="00CF4CB6" w:rsidRPr="00A6116B" w:rsidRDefault="00CF4CB6" w:rsidP="00A6116B">
      <w:pPr>
        <w:pStyle w:val="Prrafodelista"/>
        <w:spacing w:line="360" w:lineRule="auto"/>
        <w:ind w:left="567" w:right="616"/>
        <w:jc w:val="center"/>
        <w:rPr>
          <w:rFonts w:ascii="Palatino Linotype" w:hAnsi="Palatino Linotype"/>
          <w:b/>
          <w:i/>
          <w:sz w:val="22"/>
        </w:rPr>
      </w:pPr>
      <w:r w:rsidRPr="00A6116B">
        <w:rPr>
          <w:rFonts w:ascii="Palatino Linotype" w:hAnsi="Palatino Linotype"/>
          <w:b/>
          <w:i/>
          <w:sz w:val="22"/>
        </w:rPr>
        <w:t>CAPITULO CUARTO</w:t>
      </w:r>
    </w:p>
    <w:p w14:paraId="68228BCC" w14:textId="3DCFCE4F" w:rsidR="00CF4CB6" w:rsidRPr="00A6116B" w:rsidRDefault="00CF4CB6" w:rsidP="00A6116B">
      <w:pPr>
        <w:pStyle w:val="Prrafodelista"/>
        <w:spacing w:line="360" w:lineRule="auto"/>
        <w:ind w:left="567" w:right="616"/>
        <w:jc w:val="center"/>
        <w:rPr>
          <w:rFonts w:ascii="Palatino Linotype" w:hAnsi="Palatino Linotype"/>
          <w:b/>
          <w:i/>
          <w:sz w:val="22"/>
        </w:rPr>
      </w:pPr>
      <w:r w:rsidRPr="00A6116B">
        <w:rPr>
          <w:rFonts w:ascii="Palatino Linotype" w:hAnsi="Palatino Linotype"/>
          <w:b/>
          <w:i/>
          <w:sz w:val="22"/>
        </w:rPr>
        <w:t>Actos administrativos que Requieren</w:t>
      </w:r>
    </w:p>
    <w:p w14:paraId="0EFFFFF7" w14:textId="682A8051" w:rsidR="00CF4CB6" w:rsidRPr="00A6116B" w:rsidRDefault="00CF4CB6" w:rsidP="00A6116B">
      <w:pPr>
        <w:pStyle w:val="Prrafodelista"/>
        <w:spacing w:line="360" w:lineRule="auto"/>
        <w:ind w:left="567" w:right="616"/>
        <w:jc w:val="center"/>
        <w:rPr>
          <w:rFonts w:ascii="Palatino Linotype" w:hAnsi="Palatino Linotype"/>
          <w:b/>
          <w:i/>
          <w:sz w:val="22"/>
        </w:rPr>
      </w:pPr>
      <w:r w:rsidRPr="00A6116B">
        <w:rPr>
          <w:rFonts w:ascii="Palatino Linotype" w:hAnsi="Palatino Linotype"/>
          <w:b/>
          <w:i/>
          <w:sz w:val="22"/>
        </w:rPr>
        <w:t>Autorización de la Legislatura</w:t>
      </w:r>
    </w:p>
    <w:p w14:paraId="4189988A" w14:textId="77777777" w:rsidR="00CF4CB6" w:rsidRPr="00A6116B" w:rsidRDefault="00CF4CB6" w:rsidP="00A6116B">
      <w:pPr>
        <w:pStyle w:val="Prrafodelista"/>
        <w:spacing w:line="360" w:lineRule="auto"/>
        <w:ind w:left="567" w:right="616"/>
        <w:jc w:val="both"/>
        <w:rPr>
          <w:rFonts w:ascii="Palatino Linotype" w:hAnsi="Palatino Linotype"/>
          <w:i/>
          <w:sz w:val="22"/>
        </w:rPr>
      </w:pPr>
      <w:r w:rsidRPr="00A6116B">
        <w:rPr>
          <w:rFonts w:ascii="Palatino Linotype" w:hAnsi="Palatino Linotype"/>
          <w:i/>
          <w:sz w:val="22"/>
        </w:rPr>
        <w:t xml:space="preserve">Artículo 33.- Los ayuntamientos necesitan autorización de la Legislatura o la Diputación permanente en su caso para: </w:t>
      </w:r>
    </w:p>
    <w:p w14:paraId="621DAB77" w14:textId="77777777" w:rsidR="00CF4CB6" w:rsidRPr="00A6116B" w:rsidRDefault="00CF4CB6" w:rsidP="00A6116B">
      <w:pPr>
        <w:pStyle w:val="Prrafodelista"/>
        <w:spacing w:line="360" w:lineRule="auto"/>
        <w:ind w:left="851" w:right="616"/>
        <w:jc w:val="both"/>
        <w:rPr>
          <w:rFonts w:ascii="Palatino Linotype" w:hAnsi="Palatino Linotype"/>
          <w:b/>
          <w:i/>
          <w:sz w:val="22"/>
        </w:rPr>
      </w:pPr>
      <w:r w:rsidRPr="00A6116B">
        <w:rPr>
          <w:rFonts w:ascii="Palatino Linotype" w:hAnsi="Palatino Linotype"/>
          <w:b/>
          <w:i/>
          <w:sz w:val="22"/>
        </w:rPr>
        <w:t xml:space="preserve">I. Enajenar los bienes inmuebles del municipio, o en cualquier acto o contrato que implique la transmisión de la propiedad de los mismos; </w:t>
      </w:r>
    </w:p>
    <w:p w14:paraId="1B6293DB" w14:textId="77777777" w:rsidR="00CF4CB6" w:rsidRPr="00A6116B" w:rsidRDefault="00CF4CB6" w:rsidP="00A6116B">
      <w:pPr>
        <w:pStyle w:val="Prrafodelista"/>
        <w:spacing w:line="360" w:lineRule="auto"/>
        <w:ind w:left="851" w:right="616"/>
        <w:jc w:val="both"/>
        <w:rPr>
          <w:rFonts w:ascii="Palatino Linotype" w:hAnsi="Palatino Linotype"/>
          <w:i/>
          <w:sz w:val="22"/>
        </w:rPr>
      </w:pPr>
      <w:r w:rsidRPr="00A6116B">
        <w:rPr>
          <w:rFonts w:ascii="Palatino Linotype" w:hAnsi="Palatino Linotype"/>
          <w:i/>
          <w:sz w:val="22"/>
        </w:rPr>
        <w:t xml:space="preserve">II. Cambiar las categorías políticas de las localidades del municipio a ciudad; en los términos del artículo 10 de esta ley; </w:t>
      </w:r>
    </w:p>
    <w:p w14:paraId="30EE5F2F" w14:textId="77777777" w:rsidR="00CF4CB6" w:rsidRPr="00A6116B" w:rsidRDefault="00CF4CB6" w:rsidP="00A6116B">
      <w:pPr>
        <w:pStyle w:val="Prrafodelista"/>
        <w:spacing w:line="360" w:lineRule="auto"/>
        <w:ind w:left="851" w:right="616"/>
        <w:jc w:val="both"/>
        <w:rPr>
          <w:rFonts w:ascii="Palatino Linotype" w:hAnsi="Palatino Linotype"/>
          <w:i/>
          <w:sz w:val="22"/>
        </w:rPr>
      </w:pPr>
      <w:r w:rsidRPr="00A6116B">
        <w:rPr>
          <w:rFonts w:ascii="Palatino Linotype" w:hAnsi="Palatino Linotype"/>
          <w:i/>
          <w:sz w:val="22"/>
        </w:rPr>
        <w:t xml:space="preserve">III. Contratar créditos cuando los plazos de amortización rebasen el término de la gestión municipal, en términos de la Ley de Deuda Pública Municipal del Estado de México; </w:t>
      </w:r>
    </w:p>
    <w:p w14:paraId="2AECABF2" w14:textId="77777777" w:rsidR="00CF4CB6" w:rsidRPr="00A6116B" w:rsidRDefault="00CF4CB6" w:rsidP="00A6116B">
      <w:pPr>
        <w:pStyle w:val="Prrafodelista"/>
        <w:spacing w:line="360" w:lineRule="auto"/>
        <w:ind w:left="851" w:right="616"/>
        <w:jc w:val="both"/>
        <w:rPr>
          <w:rFonts w:ascii="Palatino Linotype" w:hAnsi="Palatino Linotype"/>
          <w:i/>
          <w:sz w:val="22"/>
        </w:rPr>
      </w:pPr>
      <w:r w:rsidRPr="00A6116B">
        <w:rPr>
          <w:rFonts w:ascii="Palatino Linotype" w:hAnsi="Palatino Linotype"/>
          <w:i/>
          <w:sz w:val="22"/>
        </w:rPr>
        <w:t xml:space="preserve">IV. Dar en arrendamiento, comodato o en usufructo los bienes inmuebles del municipio, por un término que exceda el período de la gestión del ayuntamiento; </w:t>
      </w:r>
    </w:p>
    <w:p w14:paraId="4458C3B9" w14:textId="77777777" w:rsidR="00CF4CB6" w:rsidRPr="00A6116B" w:rsidRDefault="00CF4CB6" w:rsidP="00A6116B">
      <w:pPr>
        <w:pStyle w:val="Prrafodelista"/>
        <w:spacing w:line="360" w:lineRule="auto"/>
        <w:ind w:left="851" w:right="616"/>
        <w:jc w:val="both"/>
        <w:rPr>
          <w:rFonts w:ascii="Palatino Linotype" w:hAnsi="Palatino Linotype"/>
          <w:i/>
          <w:sz w:val="22"/>
        </w:rPr>
      </w:pPr>
      <w:r w:rsidRPr="00A6116B">
        <w:rPr>
          <w:rFonts w:ascii="Palatino Linotype" w:hAnsi="Palatino Linotype"/>
          <w:i/>
          <w:sz w:val="22"/>
        </w:rPr>
        <w:t xml:space="preserve">V. Celebrar contratos de obra, así como de prestación de servicios públicos, cuyo término exceda de la gestión del ayuntamiento contratante; </w:t>
      </w:r>
    </w:p>
    <w:p w14:paraId="2DECD888" w14:textId="77777777" w:rsidR="00CF4CB6" w:rsidRPr="00A6116B" w:rsidRDefault="00CF4CB6" w:rsidP="00A6116B">
      <w:pPr>
        <w:pStyle w:val="Prrafodelista"/>
        <w:spacing w:line="360" w:lineRule="auto"/>
        <w:ind w:left="851" w:right="616"/>
        <w:jc w:val="both"/>
        <w:rPr>
          <w:rFonts w:ascii="Palatino Linotype" w:hAnsi="Palatino Linotype"/>
          <w:i/>
          <w:sz w:val="22"/>
        </w:rPr>
      </w:pPr>
      <w:r w:rsidRPr="00A6116B">
        <w:rPr>
          <w:rFonts w:ascii="Palatino Linotype" w:hAnsi="Palatino Linotype"/>
          <w:i/>
          <w:sz w:val="22"/>
        </w:rPr>
        <w:t xml:space="preserve">VI. Desincorporar del dominio público los bienes inmuebles del municipio; </w:t>
      </w:r>
    </w:p>
    <w:p w14:paraId="75F3D998" w14:textId="77777777" w:rsidR="00CF4CB6" w:rsidRPr="00A6116B" w:rsidRDefault="00CF4CB6" w:rsidP="00A6116B">
      <w:pPr>
        <w:pStyle w:val="Prrafodelista"/>
        <w:spacing w:line="360" w:lineRule="auto"/>
        <w:ind w:left="851" w:right="616"/>
        <w:jc w:val="both"/>
        <w:rPr>
          <w:rFonts w:ascii="Palatino Linotype" w:hAnsi="Palatino Linotype"/>
          <w:i/>
          <w:sz w:val="22"/>
        </w:rPr>
      </w:pPr>
      <w:r w:rsidRPr="00A6116B">
        <w:rPr>
          <w:rFonts w:ascii="Palatino Linotype" w:hAnsi="Palatino Linotype"/>
          <w:i/>
          <w:sz w:val="22"/>
        </w:rPr>
        <w:t xml:space="preserve">VII. Poner en vigor y ejecutar los planes de desarrollo de las localidades de conurbación intermunicipal. </w:t>
      </w:r>
    </w:p>
    <w:p w14:paraId="4D5CDA81" w14:textId="77777777" w:rsidR="00CF4CB6" w:rsidRPr="00A6116B" w:rsidRDefault="00CF4CB6" w:rsidP="00A6116B">
      <w:pPr>
        <w:pStyle w:val="Prrafodelista"/>
        <w:spacing w:line="360" w:lineRule="auto"/>
        <w:ind w:left="567" w:right="616"/>
        <w:jc w:val="both"/>
        <w:rPr>
          <w:rFonts w:ascii="Palatino Linotype" w:hAnsi="Palatino Linotype"/>
          <w:i/>
          <w:sz w:val="22"/>
        </w:rPr>
      </w:pPr>
    </w:p>
    <w:p w14:paraId="02E7E765" w14:textId="762C03F6" w:rsidR="008D6F08" w:rsidRDefault="008D6F08" w:rsidP="008D6F08">
      <w:pPr>
        <w:pStyle w:val="Prrafodelista"/>
        <w:numPr>
          <w:ilvl w:val="0"/>
          <w:numId w:val="1"/>
        </w:numPr>
        <w:spacing w:line="360" w:lineRule="auto"/>
        <w:ind w:right="616"/>
        <w:jc w:val="both"/>
        <w:rPr>
          <w:rFonts w:ascii="Palatino Linotype" w:hAnsi="Palatino Linotype"/>
          <w:sz w:val="22"/>
        </w:rPr>
      </w:pPr>
      <w:r w:rsidRPr="008D6F08">
        <w:rPr>
          <w:rFonts w:ascii="Palatino Linotype" w:hAnsi="Palatino Linotype"/>
          <w:sz w:val="22"/>
        </w:rPr>
        <w:lastRenderedPageBreak/>
        <w:t>Es así que, los Ayuntamientos necesitan autorización de la legislatura para la enajenación de bienes inmuebles del municipio, o cualquier acto que implique la transmisión de la propiedad.</w:t>
      </w:r>
    </w:p>
    <w:p w14:paraId="7A05CCEB" w14:textId="77777777" w:rsidR="00AE31D5" w:rsidRDefault="00AE31D5" w:rsidP="00AE31D5">
      <w:pPr>
        <w:pStyle w:val="Prrafodelista"/>
        <w:spacing w:line="360" w:lineRule="auto"/>
        <w:ind w:left="0" w:right="616"/>
        <w:jc w:val="both"/>
        <w:rPr>
          <w:rFonts w:ascii="Palatino Linotype" w:hAnsi="Palatino Linotype"/>
          <w:sz w:val="22"/>
        </w:rPr>
      </w:pPr>
    </w:p>
    <w:p w14:paraId="11A0DAF3" w14:textId="613F7F91" w:rsidR="008D6F08" w:rsidRPr="008D6F08" w:rsidRDefault="008D6F08" w:rsidP="008D6F08">
      <w:pPr>
        <w:pStyle w:val="Prrafodelista"/>
        <w:numPr>
          <w:ilvl w:val="0"/>
          <w:numId w:val="1"/>
        </w:numPr>
        <w:spacing w:line="360" w:lineRule="auto"/>
        <w:ind w:right="616"/>
        <w:jc w:val="both"/>
        <w:rPr>
          <w:rFonts w:ascii="Palatino Linotype" w:hAnsi="Palatino Linotype"/>
          <w:sz w:val="22"/>
        </w:rPr>
      </w:pPr>
      <w:r>
        <w:rPr>
          <w:rFonts w:ascii="Palatino Linotype" w:hAnsi="Palatino Linotype"/>
          <w:sz w:val="22"/>
        </w:rPr>
        <w:t>Asimismo, los artículos 34 y 35 del mismo ordenamiento legal establecen lo siguiente:</w:t>
      </w:r>
    </w:p>
    <w:p w14:paraId="5DBE490C" w14:textId="77777777" w:rsidR="008D6F08" w:rsidRPr="008D6F08" w:rsidRDefault="008D6F08" w:rsidP="008D6F08">
      <w:pPr>
        <w:spacing w:line="360" w:lineRule="auto"/>
        <w:ind w:right="616"/>
        <w:jc w:val="both"/>
        <w:rPr>
          <w:rFonts w:ascii="Palatino Linotype" w:hAnsi="Palatino Linotype"/>
          <w:i/>
          <w:sz w:val="22"/>
        </w:rPr>
      </w:pPr>
    </w:p>
    <w:p w14:paraId="2C55C3D8" w14:textId="77777777" w:rsidR="00A6116B" w:rsidRDefault="00CF4CB6" w:rsidP="00A6116B">
      <w:pPr>
        <w:pStyle w:val="Prrafodelista"/>
        <w:spacing w:line="360" w:lineRule="auto"/>
        <w:ind w:left="567" w:right="616"/>
        <w:jc w:val="both"/>
        <w:rPr>
          <w:rFonts w:ascii="Palatino Linotype" w:hAnsi="Palatino Linotype"/>
          <w:i/>
          <w:sz w:val="22"/>
        </w:rPr>
      </w:pPr>
      <w:r w:rsidRPr="00A6116B">
        <w:rPr>
          <w:rFonts w:ascii="Palatino Linotype" w:hAnsi="Palatino Linotype"/>
          <w:i/>
          <w:sz w:val="22"/>
        </w:rPr>
        <w:t xml:space="preserve">Artículo 34.- </w:t>
      </w:r>
      <w:r w:rsidRPr="00A6116B">
        <w:rPr>
          <w:rFonts w:ascii="Palatino Linotype" w:hAnsi="Palatino Linotype"/>
          <w:b/>
          <w:i/>
          <w:sz w:val="22"/>
        </w:rPr>
        <w:t>La solicitud de autorización</w:t>
      </w:r>
      <w:r w:rsidRPr="00A6116B">
        <w:rPr>
          <w:rFonts w:ascii="Palatino Linotype" w:hAnsi="Palatino Linotype"/>
          <w:i/>
          <w:sz w:val="22"/>
        </w:rPr>
        <w:t xml:space="preserve">, para realizar cualquiera de los actos señalados en el artículo que precede, y los demás que señale la ley, </w:t>
      </w:r>
      <w:r w:rsidRPr="00A6116B">
        <w:rPr>
          <w:rFonts w:ascii="Palatino Linotype" w:hAnsi="Palatino Linotype"/>
          <w:b/>
          <w:i/>
          <w:sz w:val="22"/>
        </w:rPr>
        <w:t>deberá enviarse por conducto del Ejecutivo</w:t>
      </w:r>
      <w:r w:rsidRPr="00A6116B">
        <w:rPr>
          <w:rFonts w:ascii="Palatino Linotype" w:hAnsi="Palatino Linotype"/>
          <w:i/>
          <w:sz w:val="22"/>
        </w:rPr>
        <w:t xml:space="preserve">, a la que agregará íntegramente los documentos, justificaciones necesarias y, en su caso, el dictamen técnico correspondiente que le haya remitido el ayuntamiento en su petición; </w:t>
      </w:r>
      <w:r w:rsidRPr="00A6116B">
        <w:rPr>
          <w:rFonts w:ascii="Palatino Linotype" w:hAnsi="Palatino Linotype"/>
          <w:b/>
          <w:i/>
          <w:sz w:val="22"/>
        </w:rPr>
        <w:t>además, acompañará el Dictamen de Procedencia que emita</w:t>
      </w:r>
      <w:r w:rsidRPr="00A6116B">
        <w:rPr>
          <w:rFonts w:ascii="Palatino Linotype" w:hAnsi="Palatino Linotype"/>
          <w:i/>
          <w:sz w:val="22"/>
        </w:rPr>
        <w:t xml:space="preserve">, a través de la dependencia competente en el ramo de que se trate, y que recaerá exclusivamente en la petición municipal, sin prejuzgar sobre la autorización. </w:t>
      </w:r>
    </w:p>
    <w:p w14:paraId="4E25FB3E" w14:textId="77777777" w:rsidR="00A6116B" w:rsidRDefault="00A6116B" w:rsidP="00A6116B">
      <w:pPr>
        <w:pStyle w:val="Prrafodelista"/>
        <w:spacing w:line="360" w:lineRule="auto"/>
        <w:ind w:left="567" w:right="616"/>
        <w:jc w:val="both"/>
        <w:rPr>
          <w:rFonts w:ascii="Palatino Linotype" w:hAnsi="Palatino Linotype"/>
          <w:i/>
          <w:sz w:val="22"/>
        </w:rPr>
      </w:pPr>
    </w:p>
    <w:p w14:paraId="0D737E21" w14:textId="7473BFB7" w:rsidR="00A6116B" w:rsidRPr="00A6116B" w:rsidRDefault="00CF4CB6" w:rsidP="00A6116B">
      <w:pPr>
        <w:pStyle w:val="Prrafodelista"/>
        <w:spacing w:line="360" w:lineRule="auto"/>
        <w:ind w:left="567" w:right="616"/>
        <w:jc w:val="both"/>
        <w:rPr>
          <w:rFonts w:ascii="Palatino Linotype" w:hAnsi="Palatino Linotype"/>
          <w:i/>
          <w:sz w:val="22"/>
        </w:rPr>
      </w:pPr>
      <w:r w:rsidRPr="00A6116B">
        <w:rPr>
          <w:rFonts w:ascii="Palatino Linotype" w:hAnsi="Palatino Linotype"/>
          <w:i/>
          <w:sz w:val="22"/>
        </w:rPr>
        <w:t xml:space="preserve">Artículo 35.- La solicitud de enajenación de un inmueble del municipio deberá contener los siguientes datos: </w:t>
      </w:r>
    </w:p>
    <w:p w14:paraId="666E7DBF" w14:textId="77777777" w:rsidR="00A6116B" w:rsidRPr="00A6116B" w:rsidRDefault="00A6116B" w:rsidP="00A6116B">
      <w:pPr>
        <w:pStyle w:val="Prrafodelista"/>
        <w:spacing w:line="360" w:lineRule="auto"/>
        <w:ind w:left="567" w:right="616"/>
        <w:jc w:val="both"/>
        <w:rPr>
          <w:rFonts w:ascii="Palatino Linotype" w:hAnsi="Palatino Linotype"/>
          <w:i/>
          <w:sz w:val="22"/>
        </w:rPr>
      </w:pPr>
    </w:p>
    <w:p w14:paraId="7B2C57AC" w14:textId="22BA76DB" w:rsidR="00CF4CB6" w:rsidRPr="00A6116B" w:rsidRDefault="00CF4CB6" w:rsidP="00A6116B">
      <w:pPr>
        <w:pStyle w:val="Prrafodelista"/>
        <w:spacing w:line="360" w:lineRule="auto"/>
        <w:ind w:left="851" w:right="616"/>
        <w:jc w:val="both"/>
        <w:rPr>
          <w:rFonts w:ascii="Palatino Linotype" w:eastAsia="MS Mincho" w:hAnsi="Palatino Linotype"/>
          <w:b/>
          <w:i/>
          <w:sz w:val="22"/>
        </w:rPr>
      </w:pPr>
      <w:r w:rsidRPr="00A6116B">
        <w:rPr>
          <w:rFonts w:ascii="Palatino Linotype" w:hAnsi="Palatino Linotype"/>
          <w:b/>
          <w:i/>
          <w:sz w:val="22"/>
        </w:rPr>
        <w:t>I. Superficie, medidas, linderos y ubicación exacta del inmueble; II. Valor fiscal y comercial del inmueble, esto último certificado por perito autorizado en la materia;</w:t>
      </w:r>
    </w:p>
    <w:p w14:paraId="6F2C59D1" w14:textId="329584D6" w:rsidR="00CF4CB6" w:rsidRPr="00A6116B" w:rsidRDefault="00A6116B" w:rsidP="00A6116B">
      <w:pPr>
        <w:pStyle w:val="Prrafodelista"/>
        <w:spacing w:line="360" w:lineRule="auto"/>
        <w:ind w:left="851" w:right="616"/>
        <w:jc w:val="both"/>
        <w:rPr>
          <w:rFonts w:ascii="Palatino Linotype" w:hAnsi="Palatino Linotype"/>
          <w:b/>
          <w:i/>
          <w:sz w:val="22"/>
        </w:rPr>
      </w:pPr>
      <w:r w:rsidRPr="00A6116B">
        <w:rPr>
          <w:rFonts w:ascii="Palatino Linotype" w:hAnsi="Palatino Linotype"/>
          <w:b/>
          <w:i/>
          <w:sz w:val="22"/>
        </w:rPr>
        <w:t>II. Valor fiscal y comercial del inmueble, esto último certificado por perito autorizado en la materia;</w:t>
      </w:r>
    </w:p>
    <w:p w14:paraId="6785BCD0" w14:textId="77777777" w:rsidR="00A6116B" w:rsidRPr="00A6116B" w:rsidRDefault="00A6116B" w:rsidP="00A6116B">
      <w:pPr>
        <w:pStyle w:val="Prrafodelista"/>
        <w:spacing w:line="360" w:lineRule="auto"/>
        <w:ind w:left="851" w:right="616"/>
        <w:jc w:val="both"/>
        <w:rPr>
          <w:rFonts w:ascii="Palatino Linotype" w:hAnsi="Palatino Linotype"/>
          <w:b/>
          <w:i/>
          <w:sz w:val="22"/>
        </w:rPr>
      </w:pPr>
      <w:r w:rsidRPr="00A6116B">
        <w:rPr>
          <w:rFonts w:ascii="Palatino Linotype" w:hAnsi="Palatino Linotype"/>
          <w:b/>
          <w:i/>
          <w:sz w:val="22"/>
        </w:rPr>
        <w:t xml:space="preserve">III. Condiciones de la operación y motivos que se tengan para realizarla; </w:t>
      </w:r>
    </w:p>
    <w:p w14:paraId="4F78B67B" w14:textId="77777777" w:rsidR="00A6116B" w:rsidRPr="00A6116B" w:rsidRDefault="00A6116B" w:rsidP="00A6116B">
      <w:pPr>
        <w:pStyle w:val="Prrafodelista"/>
        <w:spacing w:line="360" w:lineRule="auto"/>
        <w:ind w:left="851" w:right="616"/>
        <w:jc w:val="both"/>
        <w:rPr>
          <w:rFonts w:ascii="Palatino Linotype" w:hAnsi="Palatino Linotype"/>
          <w:b/>
          <w:i/>
          <w:sz w:val="22"/>
        </w:rPr>
      </w:pPr>
      <w:r w:rsidRPr="00A6116B">
        <w:rPr>
          <w:rFonts w:ascii="Palatino Linotype" w:hAnsi="Palatino Linotype"/>
          <w:b/>
          <w:i/>
          <w:sz w:val="22"/>
        </w:rPr>
        <w:t xml:space="preserve">IV. La documentación que acredite la propiedad del inmueble; </w:t>
      </w:r>
    </w:p>
    <w:p w14:paraId="672801CD" w14:textId="77777777" w:rsidR="00A6116B" w:rsidRPr="00A6116B" w:rsidRDefault="00A6116B" w:rsidP="00A6116B">
      <w:pPr>
        <w:pStyle w:val="Prrafodelista"/>
        <w:spacing w:line="360" w:lineRule="auto"/>
        <w:ind w:left="851" w:right="616"/>
        <w:jc w:val="both"/>
        <w:rPr>
          <w:rFonts w:ascii="Palatino Linotype" w:hAnsi="Palatino Linotype"/>
          <w:b/>
          <w:i/>
          <w:sz w:val="22"/>
        </w:rPr>
      </w:pPr>
      <w:r w:rsidRPr="00A6116B">
        <w:rPr>
          <w:rFonts w:ascii="Palatino Linotype" w:hAnsi="Palatino Linotype"/>
          <w:b/>
          <w:i/>
          <w:sz w:val="22"/>
        </w:rPr>
        <w:lastRenderedPageBreak/>
        <w:t xml:space="preserve">V. Comprobación de que el inmueble no está destinado a un servicio público municipal y que no tiene un valor arqueológico, histórico o artístico, certificado por la autoridad competente; </w:t>
      </w:r>
    </w:p>
    <w:p w14:paraId="2D15C7D5" w14:textId="04D9F576" w:rsidR="00A6116B" w:rsidRPr="00A6116B" w:rsidRDefault="00A6116B" w:rsidP="00A6116B">
      <w:pPr>
        <w:pStyle w:val="Prrafodelista"/>
        <w:spacing w:line="360" w:lineRule="auto"/>
        <w:ind w:left="851" w:right="616"/>
        <w:jc w:val="both"/>
        <w:rPr>
          <w:rFonts w:ascii="Palatino Linotype" w:hAnsi="Palatino Linotype"/>
          <w:b/>
          <w:i/>
          <w:sz w:val="22"/>
        </w:rPr>
      </w:pPr>
      <w:r w:rsidRPr="00A6116B">
        <w:rPr>
          <w:rFonts w:ascii="Palatino Linotype" w:hAnsi="Palatino Linotype"/>
          <w:b/>
          <w:i/>
          <w:sz w:val="22"/>
        </w:rPr>
        <w:t>VI. El destino que se dará a los fondos que se obtengan de la enajenación</w:t>
      </w:r>
    </w:p>
    <w:p w14:paraId="379FF1CC" w14:textId="77777777" w:rsidR="00A6116B" w:rsidRPr="00A6116B" w:rsidRDefault="00A6116B" w:rsidP="00A6116B">
      <w:pPr>
        <w:pStyle w:val="Prrafodelista"/>
        <w:spacing w:line="360" w:lineRule="auto"/>
        <w:ind w:left="567" w:right="616"/>
        <w:jc w:val="both"/>
        <w:rPr>
          <w:rFonts w:ascii="Palatino Linotype" w:hAnsi="Palatino Linotype"/>
          <w:i/>
          <w:sz w:val="22"/>
        </w:rPr>
      </w:pPr>
    </w:p>
    <w:p w14:paraId="0E0BFA86" w14:textId="0A4E42D0" w:rsidR="00A6116B" w:rsidRDefault="00A6116B" w:rsidP="00A6116B">
      <w:pPr>
        <w:pStyle w:val="Prrafodelista"/>
        <w:spacing w:line="360" w:lineRule="auto"/>
        <w:ind w:left="567" w:right="616"/>
        <w:jc w:val="both"/>
        <w:rPr>
          <w:rFonts w:ascii="Palatino Linotype" w:hAnsi="Palatino Linotype"/>
          <w:i/>
          <w:sz w:val="22"/>
        </w:rPr>
      </w:pPr>
      <w:r w:rsidRPr="00A6116B">
        <w:rPr>
          <w:rFonts w:ascii="Palatino Linotype" w:hAnsi="Palatino Linotype"/>
          <w:i/>
          <w:sz w:val="22"/>
        </w:rPr>
        <w:t xml:space="preserve">Artículo 36. Las enajenaciones de bienes inmuebles propiedad de los municipios y sus organismos auxiliares, una vez realizada la desincorporación, </w:t>
      </w:r>
      <w:r w:rsidRPr="008D6F08">
        <w:rPr>
          <w:rFonts w:ascii="Palatino Linotype" w:hAnsi="Palatino Linotype"/>
          <w:b/>
          <w:i/>
          <w:sz w:val="22"/>
        </w:rPr>
        <w:t>se efectuarán a través de subasta pública,</w:t>
      </w:r>
      <w:r w:rsidRPr="00A6116B">
        <w:rPr>
          <w:rFonts w:ascii="Palatino Linotype" w:hAnsi="Palatino Linotype"/>
          <w:i/>
          <w:sz w:val="22"/>
        </w:rPr>
        <w:t xml:space="preserve"> en los términos de lo dispuesto en la Ley de Contratación Pública del Estado de México y Municipios y su Reglamento.</w:t>
      </w:r>
    </w:p>
    <w:p w14:paraId="35AC8A13" w14:textId="77777777" w:rsidR="00A6116B" w:rsidRPr="00A6116B" w:rsidRDefault="00A6116B" w:rsidP="00A6116B">
      <w:pPr>
        <w:pStyle w:val="Prrafodelista"/>
        <w:spacing w:line="360" w:lineRule="auto"/>
        <w:ind w:left="567" w:right="616"/>
        <w:jc w:val="both"/>
        <w:rPr>
          <w:rFonts w:ascii="Palatino Linotype" w:eastAsia="MS Mincho" w:hAnsi="Palatino Linotype"/>
          <w:i/>
          <w:sz w:val="22"/>
        </w:rPr>
      </w:pPr>
    </w:p>
    <w:p w14:paraId="15C74DFF" w14:textId="0C0CC825" w:rsidR="008D6F08" w:rsidRDefault="008D6F08" w:rsidP="008D6F08">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La solicitud de autorización para la enajenación de bienes inmuebles debe remitirse por conducto del Ejecutivo y debe </w:t>
      </w:r>
      <w:r w:rsidR="00A6116B" w:rsidRPr="008D6F08">
        <w:rPr>
          <w:rFonts w:ascii="Palatino Linotype" w:eastAsia="MS Mincho" w:hAnsi="Palatino Linotype"/>
        </w:rPr>
        <w:t>estar acompañado del Dicta</w:t>
      </w:r>
      <w:r>
        <w:rPr>
          <w:rFonts w:ascii="Palatino Linotype" w:eastAsia="MS Mincho" w:hAnsi="Palatino Linotype"/>
        </w:rPr>
        <w:t xml:space="preserve">men de procedencia que se emita y cumplir con los datos referidos en el artículo 35. </w:t>
      </w:r>
    </w:p>
    <w:p w14:paraId="6166E4F8" w14:textId="77777777" w:rsidR="008D6F08" w:rsidRDefault="008D6F08" w:rsidP="008D6F08">
      <w:pPr>
        <w:pStyle w:val="Prrafodelista"/>
        <w:spacing w:line="360" w:lineRule="auto"/>
        <w:ind w:left="0"/>
        <w:jc w:val="both"/>
        <w:rPr>
          <w:rFonts w:ascii="Palatino Linotype" w:eastAsia="MS Mincho" w:hAnsi="Palatino Linotype"/>
        </w:rPr>
      </w:pPr>
    </w:p>
    <w:p w14:paraId="3969D186" w14:textId="77777777" w:rsidR="002E191A" w:rsidRDefault="002E191A" w:rsidP="002E191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En el presente asunto en particular, el Sujeto Obligado refirió lo siguiente:</w:t>
      </w:r>
    </w:p>
    <w:p w14:paraId="2B97DAC5" w14:textId="77777777" w:rsidR="002E191A" w:rsidRPr="002E191A" w:rsidRDefault="002E191A" w:rsidP="002E191A">
      <w:pPr>
        <w:pStyle w:val="Prrafodelista"/>
        <w:rPr>
          <w:rFonts w:ascii="Palatino Linotype" w:eastAsia="MS Mincho" w:hAnsi="Palatino Linotype"/>
        </w:rPr>
      </w:pPr>
    </w:p>
    <w:p w14:paraId="7BB09047" w14:textId="77777777" w:rsidR="002E191A" w:rsidRDefault="002E191A" w:rsidP="002E191A">
      <w:pPr>
        <w:pStyle w:val="Prrafodelista"/>
        <w:numPr>
          <w:ilvl w:val="0"/>
          <w:numId w:val="33"/>
        </w:numPr>
        <w:spacing w:line="360" w:lineRule="auto"/>
        <w:jc w:val="both"/>
        <w:rPr>
          <w:rFonts w:ascii="Palatino Linotype" w:eastAsia="MS Mincho" w:hAnsi="Palatino Linotype"/>
        </w:rPr>
      </w:pPr>
      <w:r>
        <w:rPr>
          <w:rFonts w:ascii="Palatino Linotype" w:eastAsia="MS Mincho" w:hAnsi="Palatino Linotype"/>
        </w:rPr>
        <w:t>La Dirección General de Administración manifestó ser incompetente;</w:t>
      </w:r>
    </w:p>
    <w:p w14:paraId="3F9BF665" w14:textId="77777777" w:rsidR="002E191A" w:rsidRDefault="002E191A" w:rsidP="002E191A">
      <w:pPr>
        <w:pStyle w:val="Prrafodelista"/>
        <w:numPr>
          <w:ilvl w:val="0"/>
          <w:numId w:val="33"/>
        </w:numPr>
        <w:spacing w:line="360" w:lineRule="auto"/>
        <w:jc w:val="both"/>
        <w:rPr>
          <w:rFonts w:ascii="Palatino Linotype" w:eastAsia="MS Mincho" w:hAnsi="Palatino Linotype"/>
        </w:rPr>
      </w:pPr>
      <w:r>
        <w:rPr>
          <w:rFonts w:ascii="Palatino Linotype" w:eastAsia="MS Mincho" w:hAnsi="Palatino Linotype"/>
        </w:rPr>
        <w:t>Dirección de Contaduría no localizaron registros debido a que no forman parte de sus atribuciones;</w:t>
      </w:r>
    </w:p>
    <w:p w14:paraId="5D484B3E" w14:textId="77777777" w:rsidR="002E191A" w:rsidRDefault="002E191A" w:rsidP="002E191A">
      <w:pPr>
        <w:pStyle w:val="Prrafodelista"/>
        <w:numPr>
          <w:ilvl w:val="0"/>
          <w:numId w:val="33"/>
        </w:numPr>
        <w:spacing w:line="360" w:lineRule="auto"/>
        <w:jc w:val="both"/>
        <w:rPr>
          <w:rFonts w:ascii="Palatino Linotype" w:eastAsia="MS Mincho" w:hAnsi="Palatino Linotype"/>
        </w:rPr>
      </w:pPr>
      <w:r>
        <w:rPr>
          <w:rFonts w:ascii="Palatino Linotype" w:eastAsia="MS Mincho" w:hAnsi="Palatino Linotype"/>
        </w:rPr>
        <w:t xml:space="preserve">Coordinación Jurídica no encontró antecedente de lo solicitado. </w:t>
      </w:r>
    </w:p>
    <w:p w14:paraId="20A0E733" w14:textId="77777777" w:rsidR="002E191A" w:rsidRDefault="002E191A" w:rsidP="008D6F08">
      <w:pPr>
        <w:pStyle w:val="Prrafodelista"/>
        <w:spacing w:line="360" w:lineRule="auto"/>
        <w:ind w:left="0"/>
        <w:jc w:val="both"/>
        <w:rPr>
          <w:rFonts w:ascii="Palatino Linotype" w:eastAsia="MS Mincho" w:hAnsi="Palatino Linotype"/>
        </w:rPr>
      </w:pPr>
    </w:p>
    <w:p w14:paraId="436ADA68" w14:textId="0C9956E5" w:rsidR="008D6F08" w:rsidRDefault="002E191A"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No se debe perder de vista que e</w:t>
      </w:r>
      <w:r w:rsidR="008D6F08">
        <w:rPr>
          <w:rFonts w:ascii="Palatino Linotype" w:eastAsia="MS Mincho" w:hAnsi="Palatino Linotype"/>
        </w:rPr>
        <w:t>l Código Reglamentario Municipal de Toluca, en el artículo 5.18 establece lo siguiente:</w:t>
      </w:r>
    </w:p>
    <w:p w14:paraId="5721A8AD" w14:textId="77777777" w:rsidR="008D6F08" w:rsidRPr="008D6F08" w:rsidRDefault="008D6F08" w:rsidP="008D6F08">
      <w:pPr>
        <w:pStyle w:val="Prrafodelista"/>
        <w:rPr>
          <w:rFonts w:ascii="Palatino Linotype" w:eastAsia="MS Mincho" w:hAnsi="Palatino Linotype"/>
        </w:rPr>
      </w:pPr>
    </w:p>
    <w:p w14:paraId="4A80D2D2" w14:textId="15F868D2" w:rsidR="008D6F08" w:rsidRPr="002E191A" w:rsidRDefault="008D6F08" w:rsidP="002E191A">
      <w:pPr>
        <w:pStyle w:val="Prrafodelista"/>
        <w:spacing w:line="360" w:lineRule="auto"/>
        <w:ind w:left="567" w:right="616"/>
        <w:jc w:val="both"/>
        <w:rPr>
          <w:rFonts w:ascii="Palatino Linotype" w:eastAsia="MS Mincho" w:hAnsi="Palatino Linotype"/>
          <w:i/>
        </w:rPr>
      </w:pPr>
      <w:r w:rsidRPr="002E191A">
        <w:rPr>
          <w:rFonts w:ascii="Palatino Linotype" w:hAnsi="Palatino Linotype"/>
          <w:b/>
          <w:i/>
        </w:rPr>
        <w:t>Artículo 5.18.</w:t>
      </w:r>
      <w:r w:rsidRPr="002E191A">
        <w:rPr>
          <w:rFonts w:ascii="Palatino Linotype" w:hAnsi="Palatino Linotype"/>
          <w:i/>
        </w:rPr>
        <w:t xml:space="preserve"> Se integrarán e instalarán, de manera enunciativa, más no limitativa, los siguientes órganos colegiados:</w:t>
      </w:r>
    </w:p>
    <w:p w14:paraId="238830EC" w14:textId="77777777" w:rsidR="008D6F08" w:rsidRPr="002E191A" w:rsidRDefault="008D6F08" w:rsidP="002E191A">
      <w:pPr>
        <w:pStyle w:val="Prrafodelista"/>
        <w:ind w:left="567" w:right="616"/>
        <w:rPr>
          <w:rFonts w:ascii="Palatino Linotype" w:eastAsia="MS Mincho" w:hAnsi="Palatino Linotype"/>
          <w:i/>
        </w:rPr>
      </w:pPr>
    </w:p>
    <w:p w14:paraId="1FEA8B56" w14:textId="77777777" w:rsidR="002E191A" w:rsidRPr="002E191A" w:rsidRDefault="008D6F08" w:rsidP="002E191A">
      <w:pPr>
        <w:pStyle w:val="Prrafodelista"/>
        <w:spacing w:line="360" w:lineRule="auto"/>
        <w:ind w:left="567" w:right="616"/>
        <w:jc w:val="both"/>
        <w:rPr>
          <w:rFonts w:ascii="Palatino Linotype" w:hAnsi="Palatino Linotype"/>
          <w:i/>
        </w:rPr>
      </w:pPr>
      <w:r w:rsidRPr="002E191A">
        <w:rPr>
          <w:rFonts w:ascii="Palatino Linotype" w:hAnsi="Palatino Linotype"/>
          <w:i/>
        </w:rPr>
        <w:t xml:space="preserve">I. Comisión de Planeación para el Desarrollo Municipal; </w:t>
      </w:r>
    </w:p>
    <w:p w14:paraId="0BDC9A53" w14:textId="77777777" w:rsidR="002E191A" w:rsidRPr="002E191A" w:rsidRDefault="008D6F08" w:rsidP="002E191A">
      <w:pPr>
        <w:pStyle w:val="Prrafodelista"/>
        <w:spacing w:line="360" w:lineRule="auto"/>
        <w:ind w:left="567" w:right="616"/>
        <w:jc w:val="both"/>
        <w:rPr>
          <w:rFonts w:ascii="Palatino Linotype" w:hAnsi="Palatino Linotype"/>
          <w:i/>
        </w:rPr>
      </w:pPr>
      <w:r w:rsidRPr="002E191A">
        <w:rPr>
          <w:rFonts w:ascii="Palatino Linotype" w:hAnsi="Palatino Linotype"/>
          <w:i/>
        </w:rPr>
        <w:t xml:space="preserve">II. Comisión Municipal de Mejora Regulatoria; </w:t>
      </w:r>
    </w:p>
    <w:p w14:paraId="433169B8" w14:textId="77777777" w:rsidR="002E191A" w:rsidRPr="002E191A" w:rsidRDefault="008D6F08" w:rsidP="002E191A">
      <w:pPr>
        <w:pStyle w:val="Prrafodelista"/>
        <w:spacing w:line="360" w:lineRule="auto"/>
        <w:ind w:left="567" w:right="616"/>
        <w:jc w:val="both"/>
        <w:rPr>
          <w:rFonts w:ascii="Palatino Linotype" w:hAnsi="Palatino Linotype"/>
          <w:i/>
        </w:rPr>
      </w:pPr>
      <w:r w:rsidRPr="002E191A">
        <w:rPr>
          <w:rFonts w:ascii="Palatino Linotype" w:hAnsi="Palatino Linotype"/>
          <w:i/>
        </w:rPr>
        <w:t xml:space="preserve">III. Consejo Municipal de Protección a la Biodiversidad y Desarrollo Sostenible; </w:t>
      </w:r>
    </w:p>
    <w:p w14:paraId="0D064E8D" w14:textId="77777777" w:rsidR="002E191A" w:rsidRPr="002E191A" w:rsidRDefault="008D6F08" w:rsidP="002E191A">
      <w:pPr>
        <w:pStyle w:val="Prrafodelista"/>
        <w:spacing w:line="360" w:lineRule="auto"/>
        <w:ind w:left="567" w:right="616"/>
        <w:jc w:val="both"/>
        <w:rPr>
          <w:rFonts w:ascii="Palatino Linotype" w:hAnsi="Palatino Linotype"/>
          <w:i/>
        </w:rPr>
      </w:pPr>
      <w:r w:rsidRPr="002E191A">
        <w:rPr>
          <w:rFonts w:ascii="Palatino Linotype" w:hAnsi="Palatino Linotype"/>
          <w:i/>
        </w:rPr>
        <w:t xml:space="preserve">IV. Consejo Municipal para la Protección, Integración y Desarrollo de las Personas con Discapacidad; </w:t>
      </w:r>
    </w:p>
    <w:p w14:paraId="0F0E4B3B" w14:textId="77777777" w:rsidR="002E191A" w:rsidRPr="002E191A" w:rsidRDefault="008D6F08" w:rsidP="002E191A">
      <w:pPr>
        <w:pStyle w:val="Prrafodelista"/>
        <w:spacing w:line="360" w:lineRule="auto"/>
        <w:ind w:left="567" w:right="616"/>
        <w:jc w:val="both"/>
        <w:rPr>
          <w:rFonts w:ascii="Palatino Linotype" w:hAnsi="Palatino Linotype"/>
          <w:i/>
        </w:rPr>
      </w:pPr>
      <w:r w:rsidRPr="002E191A">
        <w:rPr>
          <w:rFonts w:ascii="Palatino Linotype" w:hAnsi="Palatino Linotype"/>
          <w:i/>
        </w:rPr>
        <w:t xml:space="preserve">V. Consejo Municipal Forestal y Vegetal; </w:t>
      </w:r>
    </w:p>
    <w:p w14:paraId="77A3F1FF" w14:textId="77777777" w:rsidR="002E191A" w:rsidRPr="002E191A" w:rsidRDefault="008D6F08" w:rsidP="002E191A">
      <w:pPr>
        <w:pStyle w:val="Prrafodelista"/>
        <w:spacing w:line="360" w:lineRule="auto"/>
        <w:ind w:left="567" w:right="616"/>
        <w:jc w:val="both"/>
        <w:rPr>
          <w:rFonts w:ascii="Palatino Linotype" w:hAnsi="Palatino Linotype"/>
          <w:i/>
        </w:rPr>
      </w:pPr>
      <w:r w:rsidRPr="002E191A">
        <w:rPr>
          <w:rFonts w:ascii="Palatino Linotype" w:hAnsi="Palatino Linotype"/>
          <w:i/>
        </w:rPr>
        <w:t xml:space="preserve">VI. Consejo Consultivo Municipal de Turismo; </w:t>
      </w:r>
    </w:p>
    <w:p w14:paraId="5D8DCAFE" w14:textId="77777777" w:rsidR="002E191A" w:rsidRPr="002E191A" w:rsidRDefault="008D6F08" w:rsidP="002E191A">
      <w:pPr>
        <w:pStyle w:val="Prrafodelista"/>
        <w:spacing w:line="360" w:lineRule="auto"/>
        <w:ind w:left="567" w:right="616"/>
        <w:jc w:val="both"/>
        <w:rPr>
          <w:rFonts w:ascii="Palatino Linotype" w:hAnsi="Palatino Linotype"/>
          <w:i/>
        </w:rPr>
      </w:pPr>
      <w:r w:rsidRPr="002E191A">
        <w:rPr>
          <w:rFonts w:ascii="Palatino Linotype" w:hAnsi="Palatino Linotype"/>
          <w:i/>
        </w:rPr>
        <w:t xml:space="preserve">VII. Comité de Adquisiciones y Servicios; </w:t>
      </w:r>
    </w:p>
    <w:p w14:paraId="667C46C7" w14:textId="77777777" w:rsidR="002E191A" w:rsidRPr="002E191A" w:rsidRDefault="008D6F08" w:rsidP="002E191A">
      <w:pPr>
        <w:pStyle w:val="Prrafodelista"/>
        <w:spacing w:line="360" w:lineRule="auto"/>
        <w:ind w:left="567" w:right="616"/>
        <w:jc w:val="both"/>
        <w:rPr>
          <w:rFonts w:ascii="Palatino Linotype" w:hAnsi="Palatino Linotype"/>
          <w:b/>
          <w:i/>
        </w:rPr>
      </w:pPr>
      <w:r w:rsidRPr="002E191A">
        <w:rPr>
          <w:rFonts w:ascii="Palatino Linotype" w:hAnsi="Palatino Linotype"/>
          <w:b/>
          <w:i/>
        </w:rPr>
        <w:t xml:space="preserve">VIII. Comité de Arrendamientos y Adquisiciones de Inmuebles y Enajenaciones del Municipio de Toluca; </w:t>
      </w:r>
    </w:p>
    <w:p w14:paraId="45718170" w14:textId="77777777" w:rsidR="002E191A" w:rsidRPr="002E191A" w:rsidRDefault="008D6F08" w:rsidP="002E191A">
      <w:pPr>
        <w:pStyle w:val="Prrafodelista"/>
        <w:spacing w:line="360" w:lineRule="auto"/>
        <w:ind w:left="567" w:right="616"/>
        <w:jc w:val="both"/>
        <w:rPr>
          <w:rFonts w:ascii="Palatino Linotype" w:hAnsi="Palatino Linotype"/>
          <w:i/>
        </w:rPr>
      </w:pPr>
      <w:r w:rsidRPr="002E191A">
        <w:rPr>
          <w:rFonts w:ascii="Palatino Linotype" w:hAnsi="Palatino Linotype"/>
          <w:i/>
        </w:rPr>
        <w:t xml:space="preserve">IX. Comité de Transparencia del Municipio de Toluca; </w:t>
      </w:r>
    </w:p>
    <w:p w14:paraId="6E2C3A1D" w14:textId="77777777" w:rsidR="002E191A" w:rsidRPr="002E191A" w:rsidRDefault="008D6F08" w:rsidP="002E191A">
      <w:pPr>
        <w:pStyle w:val="Prrafodelista"/>
        <w:spacing w:line="360" w:lineRule="auto"/>
        <w:ind w:left="567" w:right="616"/>
        <w:jc w:val="both"/>
        <w:rPr>
          <w:rFonts w:ascii="Palatino Linotype" w:hAnsi="Palatino Linotype"/>
          <w:i/>
        </w:rPr>
      </w:pPr>
      <w:r w:rsidRPr="002E191A">
        <w:rPr>
          <w:rFonts w:ascii="Palatino Linotype" w:hAnsi="Palatino Linotype"/>
          <w:i/>
        </w:rPr>
        <w:t xml:space="preserve">X. Consejo Municipal de Protección Civil; </w:t>
      </w:r>
    </w:p>
    <w:p w14:paraId="71598319" w14:textId="77777777" w:rsidR="002E191A" w:rsidRPr="002E191A" w:rsidRDefault="008D6F08" w:rsidP="002E191A">
      <w:pPr>
        <w:pStyle w:val="Prrafodelista"/>
        <w:spacing w:line="360" w:lineRule="auto"/>
        <w:ind w:left="567" w:right="616"/>
        <w:jc w:val="both"/>
        <w:rPr>
          <w:rFonts w:ascii="Palatino Linotype" w:hAnsi="Palatino Linotype"/>
          <w:i/>
        </w:rPr>
      </w:pPr>
      <w:r w:rsidRPr="002E191A">
        <w:rPr>
          <w:rFonts w:ascii="Palatino Linotype" w:hAnsi="Palatino Linotype"/>
          <w:i/>
        </w:rPr>
        <w:t xml:space="preserve">XI. Comité de Bienes Muebles e Inmuebles; y </w:t>
      </w:r>
    </w:p>
    <w:p w14:paraId="324B5EE0" w14:textId="12073B8A" w:rsidR="008D6F08" w:rsidRPr="002E191A" w:rsidRDefault="008D6F08" w:rsidP="002E191A">
      <w:pPr>
        <w:pStyle w:val="Prrafodelista"/>
        <w:spacing w:line="360" w:lineRule="auto"/>
        <w:ind w:left="567" w:right="616"/>
        <w:jc w:val="both"/>
        <w:rPr>
          <w:rFonts w:ascii="Palatino Linotype" w:eastAsia="MS Mincho" w:hAnsi="Palatino Linotype"/>
          <w:i/>
        </w:rPr>
      </w:pPr>
      <w:r w:rsidRPr="002E191A">
        <w:rPr>
          <w:rFonts w:ascii="Palatino Linotype" w:hAnsi="Palatino Linotype"/>
          <w:i/>
        </w:rPr>
        <w:t>XII. Los demás que ordene la legislación vigente.</w:t>
      </w:r>
    </w:p>
    <w:p w14:paraId="10838860" w14:textId="77777777" w:rsidR="008D6F08" w:rsidRPr="008D6F08" w:rsidRDefault="008D6F08" w:rsidP="008D6F08">
      <w:pPr>
        <w:pStyle w:val="Prrafodelista"/>
        <w:rPr>
          <w:rFonts w:ascii="Palatino Linotype" w:eastAsia="MS Mincho" w:hAnsi="Palatino Linotype"/>
        </w:rPr>
      </w:pPr>
    </w:p>
    <w:p w14:paraId="1FD15AFE" w14:textId="3AC653FF" w:rsidR="008D6F08" w:rsidRDefault="002E191A"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Asimismo, la Sección Octava, artículo 5.38 refiere lo siguiente:</w:t>
      </w:r>
    </w:p>
    <w:p w14:paraId="71A75074" w14:textId="77777777" w:rsidR="002E191A" w:rsidRDefault="002E191A" w:rsidP="002E191A">
      <w:pPr>
        <w:pStyle w:val="Prrafodelista"/>
        <w:spacing w:line="360" w:lineRule="auto"/>
        <w:ind w:left="0"/>
        <w:jc w:val="both"/>
        <w:rPr>
          <w:rFonts w:ascii="Palatino Linotype" w:eastAsia="MS Mincho" w:hAnsi="Palatino Linotype"/>
        </w:rPr>
      </w:pPr>
    </w:p>
    <w:p w14:paraId="4912BB7E" w14:textId="2600621E" w:rsidR="002E191A" w:rsidRPr="002E191A" w:rsidRDefault="002E191A" w:rsidP="002E191A">
      <w:pPr>
        <w:pStyle w:val="Prrafodelista"/>
        <w:spacing w:line="360" w:lineRule="auto"/>
        <w:ind w:left="567" w:right="616"/>
        <w:jc w:val="center"/>
        <w:rPr>
          <w:rFonts w:ascii="Palatino Linotype" w:hAnsi="Palatino Linotype"/>
          <w:b/>
          <w:i/>
          <w:sz w:val="22"/>
        </w:rPr>
      </w:pPr>
      <w:r w:rsidRPr="002E191A">
        <w:rPr>
          <w:rFonts w:ascii="Palatino Linotype" w:hAnsi="Palatino Linotype"/>
          <w:b/>
          <w:i/>
          <w:sz w:val="22"/>
        </w:rPr>
        <w:t>SECCIÓN OCTAVA</w:t>
      </w:r>
    </w:p>
    <w:p w14:paraId="6591402A" w14:textId="6EAFB8B2" w:rsidR="002E191A" w:rsidRPr="002E191A" w:rsidRDefault="002E191A" w:rsidP="002E191A">
      <w:pPr>
        <w:pStyle w:val="Prrafodelista"/>
        <w:spacing w:line="360" w:lineRule="auto"/>
        <w:ind w:left="567" w:right="616"/>
        <w:jc w:val="center"/>
        <w:rPr>
          <w:rFonts w:ascii="Palatino Linotype" w:hAnsi="Palatino Linotype"/>
          <w:b/>
          <w:i/>
          <w:sz w:val="22"/>
        </w:rPr>
      </w:pPr>
      <w:r w:rsidRPr="002E191A">
        <w:rPr>
          <w:rFonts w:ascii="Palatino Linotype" w:hAnsi="Palatino Linotype"/>
          <w:b/>
          <w:i/>
          <w:sz w:val="22"/>
        </w:rPr>
        <w:t>DEL COMITÉ DE ARRENDAMIENTOS Y ADQUISICIONES DE INMUEBLES Y ENAJENACIONES DEL MUNICIPIO DE TOLUCA</w:t>
      </w:r>
    </w:p>
    <w:p w14:paraId="3776A3A4" w14:textId="77777777" w:rsidR="002E191A" w:rsidRPr="002E191A" w:rsidRDefault="002E191A" w:rsidP="002E191A">
      <w:pPr>
        <w:pStyle w:val="Prrafodelista"/>
        <w:spacing w:line="360" w:lineRule="auto"/>
        <w:ind w:left="567" w:right="616"/>
        <w:jc w:val="both"/>
        <w:rPr>
          <w:rFonts w:ascii="Palatino Linotype" w:hAnsi="Palatino Linotype"/>
          <w:i/>
          <w:sz w:val="22"/>
        </w:rPr>
      </w:pPr>
      <w:r w:rsidRPr="002E191A">
        <w:rPr>
          <w:rFonts w:ascii="Palatino Linotype" w:hAnsi="Palatino Linotype"/>
          <w:i/>
          <w:sz w:val="22"/>
        </w:rPr>
        <w:t xml:space="preserve">Artículo 5.38. El Comité de Arrendamientos y Adquisiciones de Inmuebles y Enajenaciones del Municipio de Toluca será regulado por la Ley de la materia, quedando integrado conforme a la estructura siguiente: </w:t>
      </w:r>
    </w:p>
    <w:p w14:paraId="43834403" w14:textId="77777777" w:rsidR="002E191A" w:rsidRPr="002E191A" w:rsidRDefault="002E191A" w:rsidP="002E191A">
      <w:pPr>
        <w:pStyle w:val="Prrafodelista"/>
        <w:spacing w:line="360" w:lineRule="auto"/>
        <w:ind w:left="567" w:right="616"/>
        <w:jc w:val="both"/>
        <w:rPr>
          <w:rFonts w:ascii="Palatino Linotype" w:hAnsi="Palatino Linotype"/>
          <w:i/>
          <w:sz w:val="22"/>
        </w:rPr>
      </w:pPr>
      <w:r w:rsidRPr="002E191A">
        <w:rPr>
          <w:rFonts w:ascii="Palatino Linotype" w:hAnsi="Palatino Linotype"/>
          <w:i/>
          <w:sz w:val="22"/>
        </w:rPr>
        <w:t xml:space="preserve">I. Una o un Presidente, que será la o el Director General de Administración, con derecho a voz y voto; </w:t>
      </w:r>
    </w:p>
    <w:p w14:paraId="09DEBF06" w14:textId="77777777" w:rsidR="002E191A" w:rsidRPr="002E191A" w:rsidRDefault="002E191A" w:rsidP="002E191A">
      <w:pPr>
        <w:pStyle w:val="Prrafodelista"/>
        <w:spacing w:line="360" w:lineRule="auto"/>
        <w:ind w:left="567" w:right="616"/>
        <w:jc w:val="both"/>
        <w:rPr>
          <w:rFonts w:ascii="Palatino Linotype" w:hAnsi="Palatino Linotype"/>
          <w:i/>
          <w:sz w:val="22"/>
        </w:rPr>
      </w:pPr>
      <w:r w:rsidRPr="002E191A">
        <w:rPr>
          <w:rFonts w:ascii="Palatino Linotype" w:hAnsi="Palatino Linotype"/>
          <w:i/>
          <w:sz w:val="22"/>
        </w:rPr>
        <w:lastRenderedPageBreak/>
        <w:t xml:space="preserve">II. Una o un Secretario Ejecutivo, quien será designado por la o el Presidente con derecho a voz; y </w:t>
      </w:r>
    </w:p>
    <w:p w14:paraId="25B3E1BA" w14:textId="77777777" w:rsidR="002E191A" w:rsidRPr="002E191A" w:rsidRDefault="002E191A" w:rsidP="002E191A">
      <w:pPr>
        <w:pStyle w:val="Prrafodelista"/>
        <w:spacing w:line="360" w:lineRule="auto"/>
        <w:ind w:left="567" w:right="616"/>
        <w:jc w:val="both"/>
        <w:rPr>
          <w:rFonts w:ascii="Palatino Linotype" w:hAnsi="Palatino Linotype"/>
          <w:i/>
          <w:sz w:val="22"/>
        </w:rPr>
      </w:pPr>
      <w:r w:rsidRPr="002E191A">
        <w:rPr>
          <w:rFonts w:ascii="Palatino Linotype" w:hAnsi="Palatino Linotype"/>
          <w:i/>
          <w:sz w:val="22"/>
        </w:rPr>
        <w:t xml:space="preserve">III. Cuatro vocales, que serán: </w:t>
      </w:r>
    </w:p>
    <w:p w14:paraId="4597A6CA" w14:textId="77777777" w:rsidR="002E191A" w:rsidRPr="002E191A" w:rsidRDefault="002E191A" w:rsidP="002E191A">
      <w:pPr>
        <w:pStyle w:val="Prrafodelista"/>
        <w:spacing w:line="360" w:lineRule="auto"/>
        <w:ind w:left="567" w:right="616"/>
        <w:jc w:val="both"/>
        <w:rPr>
          <w:rFonts w:ascii="Palatino Linotype" w:hAnsi="Palatino Linotype"/>
          <w:i/>
          <w:sz w:val="22"/>
        </w:rPr>
      </w:pPr>
      <w:r w:rsidRPr="002E191A">
        <w:rPr>
          <w:rFonts w:ascii="Palatino Linotype" w:hAnsi="Palatino Linotype"/>
          <w:i/>
          <w:sz w:val="22"/>
        </w:rPr>
        <w:t xml:space="preserve">a. La o el Contralor, con derecho a voz; </w:t>
      </w:r>
    </w:p>
    <w:p w14:paraId="53D0C2A7" w14:textId="77777777" w:rsidR="002E191A" w:rsidRPr="002E191A" w:rsidRDefault="002E191A" w:rsidP="002E191A">
      <w:pPr>
        <w:pStyle w:val="Prrafodelista"/>
        <w:spacing w:line="360" w:lineRule="auto"/>
        <w:ind w:left="567" w:right="616"/>
        <w:jc w:val="both"/>
        <w:rPr>
          <w:rFonts w:ascii="Palatino Linotype" w:hAnsi="Palatino Linotype"/>
          <w:i/>
          <w:sz w:val="22"/>
        </w:rPr>
      </w:pPr>
      <w:r w:rsidRPr="002E191A">
        <w:rPr>
          <w:rFonts w:ascii="Palatino Linotype" w:hAnsi="Palatino Linotype"/>
          <w:i/>
          <w:sz w:val="22"/>
        </w:rPr>
        <w:t xml:space="preserve">b. La o el Consejero Jurídico, con derecho a voz y voto; </w:t>
      </w:r>
    </w:p>
    <w:p w14:paraId="44E5CC25" w14:textId="77777777" w:rsidR="002E191A" w:rsidRPr="002E191A" w:rsidRDefault="002E191A" w:rsidP="002E191A">
      <w:pPr>
        <w:pStyle w:val="Prrafodelista"/>
        <w:spacing w:line="360" w:lineRule="auto"/>
        <w:ind w:left="567" w:right="616"/>
        <w:jc w:val="both"/>
        <w:rPr>
          <w:rFonts w:ascii="Palatino Linotype" w:hAnsi="Palatino Linotype"/>
          <w:i/>
          <w:sz w:val="22"/>
        </w:rPr>
      </w:pPr>
      <w:r w:rsidRPr="002E191A">
        <w:rPr>
          <w:rFonts w:ascii="Palatino Linotype" w:hAnsi="Palatino Linotype"/>
          <w:i/>
          <w:sz w:val="22"/>
        </w:rPr>
        <w:t xml:space="preserve">c. La o el titular de la dependencia o unidad administrativa interesada en adquirir, enajenar y arrendar bienes o contratar servicios, con derecho a voz y voto; y </w:t>
      </w:r>
    </w:p>
    <w:p w14:paraId="664D8264" w14:textId="3ED59117" w:rsidR="002E191A" w:rsidRPr="002E191A" w:rsidRDefault="002E191A" w:rsidP="002E191A">
      <w:pPr>
        <w:pStyle w:val="Prrafodelista"/>
        <w:spacing w:line="360" w:lineRule="auto"/>
        <w:ind w:left="567" w:right="616"/>
        <w:jc w:val="both"/>
        <w:rPr>
          <w:rFonts w:ascii="Palatino Linotype" w:hAnsi="Palatino Linotype"/>
          <w:i/>
          <w:sz w:val="22"/>
        </w:rPr>
      </w:pPr>
      <w:r w:rsidRPr="002E191A">
        <w:rPr>
          <w:rFonts w:ascii="Palatino Linotype" w:hAnsi="Palatino Linotype"/>
          <w:i/>
          <w:sz w:val="22"/>
        </w:rPr>
        <w:t>d. La o el Tesorero Municipal con derecho a voz y voto.</w:t>
      </w:r>
    </w:p>
    <w:p w14:paraId="46902EBD" w14:textId="77777777" w:rsidR="002E191A" w:rsidRDefault="002E191A" w:rsidP="002E191A">
      <w:pPr>
        <w:pStyle w:val="Prrafodelista"/>
        <w:spacing w:line="360" w:lineRule="auto"/>
        <w:ind w:left="0"/>
        <w:jc w:val="both"/>
      </w:pPr>
    </w:p>
    <w:p w14:paraId="5E1102F3" w14:textId="4519DE5F" w:rsidR="002E191A" w:rsidRDefault="002E191A"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De lo anterior, se aprecia que existen áreas a las que no se les turnó la solicitud para su debido trámite, incumpliendo así con lo dispuesto en el artículo 162 de la Ley de Transparencia y Acceso a la Información Pública del Estado de México y Municipios, el cual establece lo siguiente:</w:t>
      </w:r>
    </w:p>
    <w:p w14:paraId="413FBBF1" w14:textId="77777777" w:rsidR="002E191A" w:rsidRDefault="002E191A" w:rsidP="002E191A">
      <w:pPr>
        <w:pStyle w:val="Prrafodelista"/>
        <w:spacing w:line="360" w:lineRule="auto"/>
        <w:ind w:left="0"/>
        <w:jc w:val="both"/>
        <w:rPr>
          <w:rFonts w:ascii="Palatino Linotype" w:eastAsia="MS Mincho" w:hAnsi="Palatino Linotype"/>
        </w:rPr>
      </w:pPr>
    </w:p>
    <w:p w14:paraId="1F3355DC" w14:textId="77777777" w:rsidR="002E191A" w:rsidRPr="002E191A" w:rsidRDefault="002E191A" w:rsidP="002E191A">
      <w:pPr>
        <w:pStyle w:val="Prrafodelista"/>
        <w:tabs>
          <w:tab w:val="left" w:pos="8222"/>
        </w:tabs>
        <w:spacing w:line="360" w:lineRule="auto"/>
        <w:ind w:left="360" w:right="567"/>
        <w:jc w:val="both"/>
        <w:rPr>
          <w:rFonts w:ascii="Palatino Linotype" w:hAnsi="Palatino Linotype"/>
          <w:i/>
          <w:sz w:val="22"/>
        </w:rPr>
      </w:pPr>
      <w:r w:rsidRPr="002E191A">
        <w:rPr>
          <w:rFonts w:ascii="Palatino Linotype" w:hAnsi="Palatino Linotype"/>
          <w:i/>
          <w:sz w:val="22"/>
        </w:rPr>
        <w:t>“</w:t>
      </w:r>
      <w:r w:rsidRPr="002E191A">
        <w:rPr>
          <w:rFonts w:ascii="Palatino Linotype" w:hAnsi="Palatino Linotype"/>
          <w:b/>
          <w:bCs/>
          <w:i/>
          <w:sz w:val="22"/>
        </w:rPr>
        <w:t>Artículo 162.</w:t>
      </w:r>
      <w:r w:rsidRPr="002E191A">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7700316" w14:textId="77777777" w:rsidR="002E191A" w:rsidRDefault="002E191A" w:rsidP="002E191A">
      <w:pPr>
        <w:pStyle w:val="Prrafodelista"/>
        <w:spacing w:line="360" w:lineRule="auto"/>
        <w:ind w:left="0"/>
        <w:jc w:val="both"/>
        <w:rPr>
          <w:rFonts w:ascii="Palatino Linotype" w:eastAsia="MS Mincho" w:hAnsi="Palatino Linotype"/>
        </w:rPr>
      </w:pPr>
    </w:p>
    <w:p w14:paraId="52BAB3C6" w14:textId="68A15AD5" w:rsidR="002E191A" w:rsidRDefault="00AE31D5"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Por lo que se ORDENA realizar una búsqueda exhaustiva y razonable en todas las áreas que de acuerdo a sus atribuciones, funciones y competencias deban generar, administrar o poseer la información requerida.</w:t>
      </w:r>
    </w:p>
    <w:p w14:paraId="5F8F8367" w14:textId="77777777" w:rsidR="002E191A" w:rsidRDefault="002E191A" w:rsidP="00AE31D5">
      <w:pPr>
        <w:pStyle w:val="Prrafodelista"/>
        <w:spacing w:line="360" w:lineRule="auto"/>
        <w:ind w:left="0"/>
        <w:jc w:val="both"/>
        <w:rPr>
          <w:rFonts w:ascii="Palatino Linotype" w:eastAsia="MS Mincho" w:hAnsi="Palatino Linotype"/>
        </w:rPr>
      </w:pPr>
    </w:p>
    <w:p w14:paraId="0E4D9346" w14:textId="07E8B137" w:rsidR="00AE31D5" w:rsidRDefault="00AE31D5"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Por otra parte, este Órgano Garante procedió a realizar una búsqueda de información o indicios que permitan conocer si la información que requirió el </w:t>
      </w:r>
      <w:r>
        <w:rPr>
          <w:rFonts w:ascii="Palatino Linotype" w:eastAsia="MS Mincho" w:hAnsi="Palatino Linotype"/>
        </w:rPr>
        <w:lastRenderedPageBreak/>
        <w:t>particular fue generada, administrada o poseída por el Sujeto Obligado encontrando lo siguientes notas periodísticas:</w:t>
      </w:r>
    </w:p>
    <w:p w14:paraId="5117A2B2" w14:textId="5438EAE2" w:rsidR="00AE31D5" w:rsidRDefault="0085732A" w:rsidP="00B44240">
      <w:pPr>
        <w:pStyle w:val="Prrafodelista"/>
        <w:numPr>
          <w:ilvl w:val="0"/>
          <w:numId w:val="34"/>
        </w:numPr>
        <w:ind w:left="851"/>
        <w:rPr>
          <w:rFonts w:ascii="Palatino Linotype" w:eastAsia="MS Mincho" w:hAnsi="Palatino Linotype"/>
        </w:rPr>
      </w:pPr>
      <w:hyperlink r:id="rId8" w:history="1">
        <w:r w:rsidR="00AE31D5" w:rsidRPr="008E38D4">
          <w:rPr>
            <w:rStyle w:val="Hipervnculo"/>
            <w:rFonts w:ascii="Palatino Linotype" w:eastAsia="MS Mincho" w:hAnsi="Palatino Linotype"/>
          </w:rPr>
          <w:t>https://www.milenio.com/politica/ayuntamiento-toluca-vender-10-predios-pagar-deudas</w:t>
        </w:r>
      </w:hyperlink>
    </w:p>
    <w:p w14:paraId="2885A819" w14:textId="2779D696" w:rsidR="00AE31D5" w:rsidRDefault="0085732A" w:rsidP="00B44240">
      <w:pPr>
        <w:pStyle w:val="Prrafodelista"/>
        <w:numPr>
          <w:ilvl w:val="0"/>
          <w:numId w:val="34"/>
        </w:numPr>
        <w:ind w:left="851"/>
        <w:rPr>
          <w:rFonts w:ascii="Palatino Linotype" w:eastAsia="MS Mincho" w:hAnsi="Palatino Linotype"/>
        </w:rPr>
      </w:pPr>
      <w:hyperlink r:id="rId9" w:history="1">
        <w:r w:rsidR="00AE31D5" w:rsidRPr="008E38D4">
          <w:rPr>
            <w:rStyle w:val="Hipervnculo"/>
            <w:rFonts w:ascii="Palatino Linotype" w:eastAsia="MS Mincho" w:hAnsi="Palatino Linotype"/>
          </w:rPr>
          <w:t>https://www.elsoldetoluca.com.mx/local/buscara-toluca-vender-diez-predios-para-pagar-pasivos-7570491.html</w:t>
        </w:r>
      </w:hyperlink>
    </w:p>
    <w:p w14:paraId="4CFA66F3" w14:textId="0D2B4B2A" w:rsidR="00AE31D5" w:rsidRDefault="0085732A" w:rsidP="00B44240">
      <w:pPr>
        <w:pStyle w:val="Prrafodelista"/>
        <w:numPr>
          <w:ilvl w:val="0"/>
          <w:numId w:val="34"/>
        </w:numPr>
        <w:ind w:left="851"/>
        <w:rPr>
          <w:rFonts w:ascii="Palatino Linotype" w:eastAsia="MS Mincho" w:hAnsi="Palatino Linotype"/>
        </w:rPr>
      </w:pPr>
      <w:hyperlink r:id="rId10" w:history="1">
        <w:r w:rsidR="00AE31D5" w:rsidRPr="008E38D4">
          <w:rPr>
            <w:rStyle w:val="Hipervnculo"/>
            <w:rFonts w:ascii="Palatino Linotype" w:eastAsia="MS Mincho" w:hAnsi="Palatino Linotype"/>
          </w:rPr>
          <w:t>https://cobertura360.mx/2021/12/07/negocios/el-ayuntamiento-de-toluca-vendera-10-predios-para-pagar-pasivos/</w:t>
        </w:r>
      </w:hyperlink>
    </w:p>
    <w:p w14:paraId="28455AC8" w14:textId="22DEAAC3" w:rsidR="00AE31D5" w:rsidRDefault="0085732A" w:rsidP="00B44240">
      <w:pPr>
        <w:pStyle w:val="Prrafodelista"/>
        <w:numPr>
          <w:ilvl w:val="0"/>
          <w:numId w:val="34"/>
        </w:numPr>
        <w:ind w:left="851"/>
        <w:rPr>
          <w:rFonts w:ascii="Palatino Linotype" w:eastAsia="MS Mincho" w:hAnsi="Palatino Linotype"/>
        </w:rPr>
      </w:pPr>
      <w:hyperlink r:id="rId11" w:history="1">
        <w:r w:rsidR="00AE31D5" w:rsidRPr="008E38D4">
          <w:rPr>
            <w:rStyle w:val="Hipervnculo"/>
            <w:rFonts w:ascii="Palatino Linotype" w:eastAsia="MS Mincho" w:hAnsi="Palatino Linotype"/>
          </w:rPr>
          <w:t>https://www.trespm.mx/edomex/busca-ayuntamiento-de-toluca-subastar-10-predios-para-subsanar-finanzas-del-municipio</w:t>
        </w:r>
      </w:hyperlink>
    </w:p>
    <w:p w14:paraId="56DBED6F" w14:textId="77777777" w:rsidR="00AE31D5" w:rsidRPr="00AE31D5" w:rsidRDefault="00AE31D5" w:rsidP="00AE31D5">
      <w:pPr>
        <w:pStyle w:val="Prrafodelista"/>
        <w:ind w:left="1440"/>
        <w:rPr>
          <w:rFonts w:ascii="Palatino Linotype" w:eastAsia="MS Mincho" w:hAnsi="Palatino Linotype"/>
        </w:rPr>
      </w:pPr>
    </w:p>
    <w:p w14:paraId="49C17425" w14:textId="77777777" w:rsidR="00AE31D5" w:rsidRDefault="00AE31D5" w:rsidP="00AE31D5">
      <w:pPr>
        <w:pStyle w:val="Prrafodelista"/>
        <w:spacing w:line="360" w:lineRule="auto"/>
        <w:ind w:left="0"/>
        <w:jc w:val="both"/>
        <w:rPr>
          <w:rFonts w:ascii="Palatino Linotype" w:eastAsia="MS Mincho" w:hAnsi="Palatino Linotype"/>
        </w:rPr>
      </w:pPr>
    </w:p>
    <w:p w14:paraId="4FD04725" w14:textId="224092BF" w:rsidR="00AE31D5" w:rsidRDefault="00AE31D5"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Las cuales, refieren la enajenación de 10 inmuebles y la subasta de los mismos, asimismo, hacen referencia a que el Ayuntamiento de Toluca pidió </w:t>
      </w:r>
      <w:r w:rsidR="00B44240">
        <w:rPr>
          <w:rFonts w:ascii="Palatino Linotype" w:eastAsia="MS Mincho" w:hAnsi="Palatino Linotype"/>
        </w:rPr>
        <w:t xml:space="preserve">autorización </w:t>
      </w:r>
      <w:r>
        <w:rPr>
          <w:rFonts w:ascii="Palatino Linotype" w:eastAsia="MS Mincho" w:hAnsi="Palatino Linotype"/>
        </w:rPr>
        <w:t xml:space="preserve">al Congreso del Estado de México para la venta de 10 inmuebles y poder pagar la deuda que tienen actualmente, no pasa desapercibido que, las notas periodísticas indican que del total de los 10 inmuebles, el Ejecutivo Estatal </w:t>
      </w:r>
      <w:r w:rsidR="001307C9">
        <w:rPr>
          <w:rFonts w:ascii="Palatino Linotype" w:eastAsia="MS Mincho" w:hAnsi="Palatino Linotype"/>
        </w:rPr>
        <w:t>únicamente ha turnado lo relativo a un predio.</w:t>
      </w:r>
    </w:p>
    <w:p w14:paraId="146F038E" w14:textId="77777777" w:rsidR="00AE31D5" w:rsidRDefault="00AE31D5" w:rsidP="001307C9">
      <w:pPr>
        <w:pStyle w:val="Prrafodelista"/>
        <w:spacing w:line="360" w:lineRule="auto"/>
        <w:ind w:left="0"/>
        <w:jc w:val="both"/>
        <w:rPr>
          <w:rFonts w:ascii="Palatino Linotype" w:eastAsia="MS Mincho" w:hAnsi="Palatino Linotype"/>
        </w:rPr>
      </w:pPr>
    </w:p>
    <w:p w14:paraId="2510A1AB" w14:textId="77777777" w:rsidR="001307C9" w:rsidRPr="007C1E2E" w:rsidRDefault="001307C9" w:rsidP="001307C9">
      <w:pPr>
        <w:numPr>
          <w:ilvl w:val="0"/>
          <w:numId w:val="1"/>
        </w:numPr>
        <w:spacing w:line="360" w:lineRule="auto"/>
        <w:ind w:right="34"/>
        <w:contextualSpacing/>
        <w:jc w:val="both"/>
        <w:rPr>
          <w:rFonts w:ascii="Palatino Linotype" w:eastAsia="Calibri" w:hAnsi="Palatino Linotype" w:cs="Times New Roman"/>
        </w:rPr>
      </w:pPr>
      <w:r>
        <w:rPr>
          <w:rFonts w:ascii="Palatino Linotype" w:hAnsi="Palatino Linotype" w:cs="Arial"/>
          <w:lang w:eastAsia="es-MX"/>
        </w:rPr>
        <w:t xml:space="preserve">En ese sentido, si bien es </w:t>
      </w:r>
      <w:r w:rsidRPr="00A86004">
        <w:rPr>
          <w:rFonts w:ascii="Palatino Linotype" w:hAnsi="Palatino Linotype" w:cs="Arial"/>
          <w:lang w:eastAsia="es-MX"/>
        </w:rPr>
        <w:t xml:space="preserve">cierto </w:t>
      </w:r>
      <w:r w:rsidRPr="00A86004">
        <w:rPr>
          <w:rFonts w:ascii="Palatino Linotype" w:eastAsia="Calibri" w:hAnsi="Palatino Linotype" w:cs="Times New Roman"/>
        </w:rPr>
        <w:t xml:space="preserve"> </w:t>
      </w:r>
      <w:r w:rsidRPr="00A86004">
        <w:rPr>
          <w:rFonts w:ascii="Palatino Linotype" w:hAnsi="Palatino Linotype" w:cs="Arial"/>
        </w:rPr>
        <w:t xml:space="preserve">las notas </w:t>
      </w:r>
      <w:r>
        <w:rPr>
          <w:rFonts w:ascii="Palatino Linotype" w:hAnsi="Palatino Linotype" w:cs="Arial"/>
        </w:rPr>
        <w:t xml:space="preserve">periodísticas </w:t>
      </w:r>
      <w:r w:rsidRPr="00A86004">
        <w:rPr>
          <w:rFonts w:ascii="Palatino Linotype" w:hAnsi="Palatino Linotype" w:cs="Arial"/>
        </w:rPr>
        <w:t>o publi</w:t>
      </w:r>
      <w:r>
        <w:rPr>
          <w:rFonts w:ascii="Palatino Linotype" w:hAnsi="Palatino Linotype" w:cs="Arial"/>
        </w:rPr>
        <w:t>caciones a través de la red de Internet constituyen el d</w:t>
      </w:r>
      <w:r w:rsidRPr="00A86004">
        <w:rPr>
          <w:rFonts w:ascii="Palatino Linotype" w:hAnsi="Palatino Linotype" w:cs="Arial"/>
        </w:rPr>
        <w:t xml:space="preserve">erecho a la </w:t>
      </w:r>
      <w:r>
        <w:rPr>
          <w:rFonts w:ascii="Palatino Linotype" w:hAnsi="Palatino Linotype" w:cs="Arial"/>
        </w:rPr>
        <w:t>l</w:t>
      </w:r>
      <w:r w:rsidRPr="00A86004">
        <w:rPr>
          <w:rFonts w:ascii="Palatino Linotype" w:hAnsi="Palatino Linotype" w:cs="Arial"/>
        </w:rPr>
        <w:t xml:space="preserve">ibre </w:t>
      </w:r>
      <w:r>
        <w:rPr>
          <w:rFonts w:ascii="Palatino Linotype" w:hAnsi="Palatino Linotype" w:cs="Arial"/>
        </w:rPr>
        <w:t>e</w:t>
      </w:r>
      <w:r w:rsidRPr="00A86004">
        <w:rPr>
          <w:rFonts w:ascii="Palatino Linotype" w:hAnsi="Palatino Linotype" w:cs="Arial"/>
        </w:rPr>
        <w:t xml:space="preserve">xpresión de los profesionales de la materia, previsto en el artículo 7 de la </w:t>
      </w:r>
      <w:r w:rsidRPr="00A86004">
        <w:rPr>
          <w:rFonts w:ascii="Palatino Linotype" w:hAnsi="Palatino Linotype" w:cs="Arial"/>
          <w:b/>
        </w:rPr>
        <w:t>Constitución Política de los Estados Unidos Mexicanos</w:t>
      </w:r>
      <w:r w:rsidRPr="00A86004">
        <w:rPr>
          <w:rFonts w:ascii="Palatino Linotype" w:hAnsi="Palatino Linotype" w:cs="Arial"/>
        </w:rPr>
        <w:t>, en las cuales cada medio informativo vierte su opinión, comentario o señalamiento respecto de hechos que al parecer se suscitaron en un tiempo y lugar determinado y no pueden ser consideradas como un medio de prueba</w:t>
      </w:r>
      <w:r>
        <w:rPr>
          <w:rFonts w:ascii="Palatino Linotype" w:hAnsi="Palatino Linotype" w:cs="Arial"/>
        </w:rPr>
        <w:t xml:space="preserve">; </w:t>
      </w:r>
      <w:r w:rsidRPr="00A86004">
        <w:rPr>
          <w:rFonts w:ascii="Palatino Linotype" w:hAnsi="Palatino Linotype" w:cs="Arial"/>
        </w:rPr>
        <w:t>también lo es que</w:t>
      </w:r>
      <w:r w:rsidRPr="00A86004">
        <w:rPr>
          <w:rFonts w:ascii="Palatino Linotype" w:hAnsi="Palatino Linotype"/>
        </w:rPr>
        <w:t xml:space="preserve">, arrojan </w:t>
      </w:r>
      <w:r w:rsidRPr="00913D81">
        <w:rPr>
          <w:rFonts w:ascii="Palatino Linotype" w:hAnsi="Palatino Linotype"/>
          <w:b/>
        </w:rPr>
        <w:t xml:space="preserve">indicios </w:t>
      </w:r>
      <w:r w:rsidRPr="00A86004">
        <w:rPr>
          <w:rFonts w:ascii="Palatino Linotype" w:hAnsi="Palatino Linotype"/>
        </w:rPr>
        <w:t>sobre los hechos a que se refieren.</w:t>
      </w:r>
    </w:p>
    <w:p w14:paraId="0A16D76B" w14:textId="77777777" w:rsidR="001307C9" w:rsidRPr="00A86004" w:rsidRDefault="001307C9" w:rsidP="001307C9">
      <w:pPr>
        <w:spacing w:line="360" w:lineRule="auto"/>
        <w:ind w:right="34"/>
        <w:contextualSpacing/>
        <w:jc w:val="both"/>
        <w:rPr>
          <w:rFonts w:ascii="Palatino Linotype" w:eastAsia="Calibri" w:hAnsi="Palatino Linotype" w:cs="Times New Roman"/>
        </w:rPr>
      </w:pPr>
    </w:p>
    <w:p w14:paraId="2952E37D" w14:textId="77777777" w:rsidR="001307C9" w:rsidRPr="0091154D" w:rsidRDefault="001307C9" w:rsidP="001307C9">
      <w:pPr>
        <w:numPr>
          <w:ilvl w:val="0"/>
          <w:numId w:val="1"/>
        </w:numPr>
        <w:spacing w:line="360" w:lineRule="auto"/>
        <w:ind w:right="34"/>
        <w:contextualSpacing/>
        <w:jc w:val="both"/>
        <w:rPr>
          <w:rFonts w:ascii="Palatino Linotype" w:eastAsia="Calibri" w:hAnsi="Palatino Linotype" w:cs="Times New Roman"/>
        </w:rPr>
      </w:pPr>
      <w:r w:rsidRPr="0091154D">
        <w:rPr>
          <w:rFonts w:ascii="Palatino Linotype" w:hAnsi="Palatino Linotype"/>
        </w:rPr>
        <w:lastRenderedPageBreak/>
        <w:t xml:space="preserve">Apoya lo anterior, la Jurisprudencia con número de registro 1000830, emitida por la Sala Superior, Apéndice de 2011, localizable en VIII. Electoral Primera Parte Vigentes, Materia Electoral, tesis 191, página 244, cuyo rubro y contenido del tenor literal siguiente: </w:t>
      </w:r>
    </w:p>
    <w:p w14:paraId="6BEDEE0D" w14:textId="77777777" w:rsidR="001307C9" w:rsidRDefault="001307C9" w:rsidP="001307C9">
      <w:pPr>
        <w:pStyle w:val="Textonotapie"/>
        <w:ind w:right="-709"/>
        <w:jc w:val="both"/>
        <w:rPr>
          <w:rFonts w:ascii="Palatino Linotype" w:hAnsi="Palatino Linotype"/>
          <w:sz w:val="18"/>
          <w:szCs w:val="18"/>
        </w:rPr>
      </w:pPr>
    </w:p>
    <w:p w14:paraId="21D2590B" w14:textId="77777777" w:rsidR="001307C9" w:rsidRPr="00A76ED4" w:rsidRDefault="001307C9" w:rsidP="001307C9">
      <w:pPr>
        <w:pStyle w:val="Prrafodelista"/>
        <w:spacing w:line="360" w:lineRule="auto"/>
        <w:ind w:left="567" w:right="567"/>
        <w:jc w:val="both"/>
        <w:rPr>
          <w:rFonts w:ascii="Palatino Linotype" w:hAnsi="Palatino Linotype"/>
          <w:i/>
          <w:sz w:val="22"/>
        </w:rPr>
      </w:pPr>
      <w:r w:rsidRPr="00A76ED4">
        <w:rPr>
          <w:rFonts w:ascii="Palatino Linotype" w:hAnsi="Palatino Linotype"/>
          <w:b/>
          <w:i/>
          <w:sz w:val="22"/>
        </w:rPr>
        <w:t xml:space="preserve">“NOTAS PERIODÍSTICAS. ELEMENTOS PARA DETERMINAR SU FUERZA INDICIARIA. </w:t>
      </w:r>
      <w:r w:rsidRPr="00A76ED4">
        <w:rPr>
          <w:rFonts w:ascii="Palatino Linotype" w:hAnsi="Palatino Linotype"/>
          <w:i/>
          <w:sz w:val="22"/>
        </w:rPr>
        <w:t xml:space="preserve">Los medios probatorios que se hacen consistir en notas periodísticas, sólo pueden arrojar indicios sobre los hechos a que se refieren, pero para calificar si se trata de indicios simples o de indicios de mayor grado </w:t>
      </w:r>
      <w:proofErr w:type="spellStart"/>
      <w:r w:rsidRPr="00A76ED4">
        <w:rPr>
          <w:rFonts w:ascii="Palatino Linotype" w:hAnsi="Palatino Linotype"/>
          <w:i/>
          <w:sz w:val="22"/>
        </w:rPr>
        <w:t>convictivo</w:t>
      </w:r>
      <w:proofErr w:type="spellEnd"/>
      <w:r w:rsidRPr="00A76ED4">
        <w:rPr>
          <w:rFonts w:ascii="Palatino Linotype" w:hAnsi="Palatino Linotype"/>
          <w:i/>
          <w:sz w:val="22"/>
        </w:rPr>
        <w:t>,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w:t>
      </w:r>
    </w:p>
    <w:p w14:paraId="68BDFB17" w14:textId="77777777" w:rsidR="001307C9" w:rsidRDefault="001307C9" w:rsidP="001307C9">
      <w:pPr>
        <w:pStyle w:val="Prrafodelista"/>
        <w:spacing w:line="360" w:lineRule="auto"/>
        <w:ind w:left="0"/>
        <w:jc w:val="both"/>
        <w:rPr>
          <w:rFonts w:ascii="Palatino Linotype" w:eastAsia="MS Mincho" w:hAnsi="Palatino Linotype"/>
        </w:rPr>
      </w:pPr>
    </w:p>
    <w:p w14:paraId="479474AD" w14:textId="44C62F47" w:rsidR="001307C9" w:rsidRPr="001307C9" w:rsidRDefault="001307C9" w:rsidP="001307C9">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Asimismo, robustece la postura por analogía, la </w:t>
      </w:r>
      <w:r w:rsidR="00C54BBB">
        <w:rPr>
          <w:rFonts w:ascii="Palatino Linotype" w:eastAsia="MS Mincho" w:hAnsi="Palatino Linotype"/>
        </w:rPr>
        <w:t>Jurisprudencia</w:t>
      </w:r>
      <w:r>
        <w:rPr>
          <w:rFonts w:ascii="Palatino Linotype" w:eastAsia="MS Mincho" w:hAnsi="Palatino Linotype"/>
        </w:rPr>
        <w:t xml:space="preserve"> en materia civil </w:t>
      </w:r>
      <w:r w:rsidRPr="001307C9">
        <w:rPr>
          <w:rFonts w:ascii="Palatino Linotype" w:hAnsi="Palatino Linotype" w:cs="Arial"/>
          <w:bCs/>
        </w:rPr>
        <w:t>I.3o.C35K (10a.), de la Décima Época, con número de identificación 2004949, emitido por el Tercer Tribunal Colegiado en Materia Civil del Primer Circuito que refiere lo siguiente:</w:t>
      </w:r>
    </w:p>
    <w:p w14:paraId="254CE046" w14:textId="77777777" w:rsidR="001307C9" w:rsidRPr="003721E3" w:rsidRDefault="001307C9" w:rsidP="001307C9">
      <w:pPr>
        <w:ind w:left="567" w:right="567"/>
        <w:jc w:val="both"/>
        <w:rPr>
          <w:rFonts w:ascii="Palatino Linotype" w:hAnsi="Palatino Linotype" w:cs="Calibri"/>
          <w:i/>
          <w:iCs/>
          <w:color w:val="000000"/>
          <w:sz w:val="22"/>
          <w:szCs w:val="22"/>
        </w:rPr>
      </w:pPr>
      <w:r w:rsidRPr="00AE0030">
        <w:rPr>
          <w:rFonts w:ascii="Palatino Linotype" w:hAnsi="Palatino Linotype" w:cs="Calibri"/>
          <w:b/>
          <w:bCs/>
          <w:i/>
          <w:iCs/>
          <w:color w:val="000000"/>
          <w:sz w:val="22"/>
          <w:szCs w:val="22"/>
        </w:rPr>
        <w:t>PÁGINAS</w:t>
      </w:r>
      <w:r>
        <w:rPr>
          <w:rFonts w:ascii="Palatino Linotype" w:hAnsi="Palatino Linotype" w:cs="Calibri"/>
          <w:b/>
          <w:bCs/>
          <w:i/>
          <w:iCs/>
          <w:color w:val="000000"/>
          <w:sz w:val="22"/>
          <w:szCs w:val="22"/>
        </w:rPr>
        <w:t xml:space="preserve"> WEB </w:t>
      </w:r>
      <w:r w:rsidRPr="00AE0030">
        <w:rPr>
          <w:rFonts w:ascii="Palatino Linotype" w:hAnsi="Palatino Linotype" w:cs="Calibri"/>
          <w:b/>
          <w:bCs/>
          <w:i/>
          <w:iCs/>
          <w:color w:val="000000"/>
          <w:sz w:val="22"/>
          <w:szCs w:val="22"/>
        </w:rPr>
        <w:t>O ELECTRÓNICAS. SU CONTENIDO ES UN HECHO NOTORIO</w:t>
      </w:r>
      <w:r w:rsidRPr="003721E3">
        <w:rPr>
          <w:rFonts w:ascii="Palatino Linotype" w:hAnsi="Palatino Linotype" w:cs="Calibri"/>
          <w:b/>
          <w:bCs/>
          <w:i/>
          <w:iCs/>
          <w:color w:val="000000"/>
          <w:sz w:val="22"/>
          <w:szCs w:val="22"/>
        </w:rPr>
        <w:t xml:space="preserve"> Y SUSCEPTIBLE DE SER VALORADO EN UNA DECISIÓN JUDICIAL.</w:t>
      </w:r>
      <w:r>
        <w:rPr>
          <w:rFonts w:ascii="Palatino Linotype" w:hAnsi="Palatino Linotype" w:cs="Calibri"/>
          <w:i/>
          <w:iCs/>
          <w:color w:val="000000"/>
          <w:sz w:val="22"/>
          <w:szCs w:val="22"/>
        </w:rPr>
        <w:t xml:space="preserve"> “</w:t>
      </w:r>
      <w:r w:rsidRPr="00AE0030">
        <w:rPr>
          <w:rFonts w:ascii="Palatino Linotype" w:hAnsi="Palatino Linotype" w:cs="Calibri"/>
          <w:b/>
          <w:bCs/>
          <w:i/>
          <w:iCs/>
          <w:color w:val="000000"/>
          <w:sz w:val="22"/>
          <w:szCs w:val="22"/>
        </w:rPr>
        <w:t xml:space="preserve">Los datos publicados en documentos o páginas situados en redes </w:t>
      </w:r>
      <w:r w:rsidRPr="00AE0030">
        <w:rPr>
          <w:rFonts w:ascii="Palatino Linotype" w:hAnsi="Palatino Linotype" w:cs="Calibri"/>
          <w:b/>
          <w:bCs/>
          <w:i/>
          <w:iCs/>
          <w:color w:val="000000"/>
          <w:sz w:val="22"/>
          <w:szCs w:val="22"/>
        </w:rPr>
        <w:lastRenderedPageBreak/>
        <w:t>informáticas constituyen un hecho notorio por formar parte del conocimiento público a través de tales medios al momento en que se dicta una resolución judicial</w:t>
      </w:r>
      <w:r w:rsidRPr="003721E3">
        <w:rPr>
          <w:rFonts w:ascii="Palatino Linotype" w:hAnsi="Palatino Linotype" w:cs="Calibri"/>
          <w:i/>
          <w:iCs/>
          <w:color w:val="000000"/>
          <w:sz w:val="22"/>
          <w:szCs w:val="22"/>
        </w:rPr>
        <w:t>, de conformidad con el artículo </w:t>
      </w:r>
      <w:hyperlink r:id="rId12" w:history="1">
        <w:r w:rsidRPr="003721E3">
          <w:rPr>
            <w:rStyle w:val="Hipervnculo"/>
            <w:rFonts w:ascii="Palatino Linotype" w:hAnsi="Palatino Linotype" w:cs="Calibri"/>
            <w:i/>
            <w:iCs/>
            <w:sz w:val="22"/>
            <w:szCs w:val="22"/>
          </w:rPr>
          <w:t>88 del Código Federal de Procedimientos Civiles</w:t>
        </w:r>
      </w:hyperlink>
      <w:r w:rsidRPr="003721E3">
        <w:rPr>
          <w:rFonts w:ascii="Palatino Linotype" w:hAnsi="Palatino Linotype" w:cs="Calibri"/>
          <w:i/>
          <w:iCs/>
          <w:color w:val="000000"/>
          <w:sz w:val="22"/>
          <w:szCs w:val="22"/>
        </w:rPr>
        <w:t xml:space="preserve">.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w:t>
      </w:r>
      <w:r w:rsidRPr="00AE0030">
        <w:rPr>
          <w:rFonts w:ascii="Palatino Linotype" w:hAnsi="Palatino Linotype" w:cs="Calibri"/>
          <w:b/>
          <w:bCs/>
          <w:i/>
          <w:iCs/>
          <w:color w:val="000000"/>
          <w:sz w:val="22"/>
          <w:szCs w:val="22"/>
        </w:rPr>
        <w:t>es posible determinar si por el tipo de datos un hecho forma parte de la cultura normal de un sector de la sociedad y pueda ser considerado como notorio por el juzgador y, consecuentemente, valorado en una decisión judicial, por tratarse de un dato u opinión común indiscutible</w:t>
      </w:r>
      <w:r w:rsidRPr="003721E3">
        <w:rPr>
          <w:rFonts w:ascii="Palatino Linotype" w:hAnsi="Palatino Linotype" w:cs="Calibri"/>
          <w:i/>
          <w:iCs/>
          <w:color w:val="000000"/>
          <w:sz w:val="22"/>
          <w:szCs w:val="22"/>
        </w:rPr>
        <w:t>,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Pr>
          <w:rFonts w:ascii="Palatino Linotype" w:hAnsi="Palatino Linotype" w:cs="Calibri"/>
          <w:i/>
          <w:iCs/>
          <w:color w:val="000000"/>
          <w:sz w:val="22"/>
          <w:szCs w:val="22"/>
        </w:rPr>
        <w:t>”</w:t>
      </w:r>
    </w:p>
    <w:p w14:paraId="76467259" w14:textId="77777777" w:rsidR="001307C9" w:rsidRDefault="001307C9" w:rsidP="001307C9">
      <w:pPr>
        <w:spacing w:line="360" w:lineRule="auto"/>
        <w:jc w:val="both"/>
        <w:rPr>
          <w:rFonts w:ascii="Palatino Linotype" w:eastAsia="MS Mincho" w:hAnsi="Palatino Linotype"/>
        </w:rPr>
      </w:pPr>
    </w:p>
    <w:p w14:paraId="6B1C57CE" w14:textId="77777777" w:rsidR="001307C9" w:rsidRDefault="001307C9"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Es así que, de las diversas notas periodísticas, se presume que la información solicitada por el particular existe y obra en posesión del Sujeto Obligado, aunado a que no se realizó una correcta búsqueda exhaustiva y razonable de la información, en consecuencia, se ORDENA entregar los documentos requeridos por el particular.</w:t>
      </w:r>
    </w:p>
    <w:p w14:paraId="6882E6C2" w14:textId="77777777" w:rsidR="001307C9" w:rsidRDefault="001307C9" w:rsidP="001307C9">
      <w:pPr>
        <w:pStyle w:val="Prrafodelista"/>
        <w:spacing w:line="360" w:lineRule="auto"/>
        <w:ind w:left="0"/>
        <w:jc w:val="both"/>
        <w:rPr>
          <w:rFonts w:ascii="Palatino Linotype" w:eastAsia="MS Mincho" w:hAnsi="Palatino Linotype"/>
        </w:rPr>
      </w:pPr>
    </w:p>
    <w:p w14:paraId="02D5BA3A" w14:textId="6D107384" w:rsidR="001307C9" w:rsidRDefault="001307C9"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Ahora bien, de ser el caso de que la información que se ordena entregar contenga datos personales susceptibles de clasificarse como confidenciales, el Sujeto Obligado estará a lo dispuesto en el siguiente considerando.</w:t>
      </w:r>
    </w:p>
    <w:p w14:paraId="222EAFCB" w14:textId="77777777" w:rsidR="002C00A1" w:rsidRPr="002C00A1" w:rsidRDefault="002C00A1" w:rsidP="002C00A1">
      <w:pPr>
        <w:pStyle w:val="Prrafodelista"/>
        <w:rPr>
          <w:rFonts w:ascii="Palatino Linotype" w:eastAsia="MS Mincho" w:hAnsi="Palatino Linotype"/>
        </w:rPr>
      </w:pPr>
    </w:p>
    <w:p w14:paraId="4C064660" w14:textId="70EFDAFC" w:rsidR="002C00A1" w:rsidRDefault="002C00A1"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De ser el caso de que la información relativa a la respuesta de la solicitud de autorización no obre en los archivos del Sujeto Obligado por no haberse emitido, deberá de hacerlo de conocimiento del Recurrente.</w:t>
      </w:r>
    </w:p>
    <w:p w14:paraId="370F2024" w14:textId="77777777" w:rsidR="001307C9" w:rsidRPr="001307C9" w:rsidRDefault="001307C9" w:rsidP="001307C9">
      <w:pPr>
        <w:pStyle w:val="Prrafodelista"/>
        <w:rPr>
          <w:rFonts w:ascii="Palatino Linotype" w:eastAsia="MS Mincho" w:hAnsi="Palatino Linotype"/>
        </w:rPr>
      </w:pPr>
    </w:p>
    <w:p w14:paraId="43913379" w14:textId="77777777" w:rsidR="001307C9" w:rsidRDefault="001307C9" w:rsidP="001307C9">
      <w:pPr>
        <w:pStyle w:val="Ttulo1"/>
        <w:rPr>
          <w:rFonts w:eastAsia="Calibri"/>
          <w:b/>
          <w:szCs w:val="24"/>
        </w:rPr>
      </w:pPr>
      <w:r w:rsidRPr="001307C9">
        <w:rPr>
          <w:rFonts w:eastAsia="Calibri"/>
          <w:b/>
          <w:szCs w:val="24"/>
        </w:rPr>
        <w:lastRenderedPageBreak/>
        <w:t>QUINTO. VERSIÓN PÚBLICA.</w:t>
      </w:r>
    </w:p>
    <w:p w14:paraId="3CB0DD66" w14:textId="77777777" w:rsidR="002C00A1" w:rsidRPr="002C00A1" w:rsidRDefault="002C00A1" w:rsidP="002C00A1">
      <w:pPr>
        <w:rPr>
          <w:lang w:eastAsia="en-US"/>
        </w:rPr>
      </w:pPr>
    </w:p>
    <w:p w14:paraId="28DCC048" w14:textId="77777777" w:rsidR="001307C9" w:rsidRPr="00EA0EA7" w:rsidRDefault="001307C9" w:rsidP="001307C9">
      <w:pPr>
        <w:pStyle w:val="Ttulo1"/>
        <w:numPr>
          <w:ilvl w:val="0"/>
          <w:numId w:val="36"/>
        </w:numPr>
        <w:spacing w:before="0" w:line="360" w:lineRule="auto"/>
        <w:rPr>
          <w:b/>
          <w:color w:val="000000" w:themeColor="text1"/>
          <w:szCs w:val="24"/>
        </w:rPr>
      </w:pPr>
      <w:bookmarkStart w:id="32" w:name="_Toc48135362"/>
      <w:bookmarkStart w:id="33" w:name="_Toc82017070"/>
      <w:bookmarkStart w:id="34" w:name="_Toc82537188"/>
      <w:bookmarkStart w:id="35" w:name="_Toc83830735"/>
      <w:bookmarkStart w:id="36" w:name="_Toc85112355"/>
      <w:r w:rsidRPr="00EA0EA7">
        <w:rPr>
          <w:rFonts w:cs="Times New Roman"/>
          <w:color w:val="000000" w:themeColor="text1"/>
          <w:szCs w:val="24"/>
          <w:lang w:eastAsia="es-ES_tradnl"/>
        </w:rPr>
        <w:t>Nociones generales.</w:t>
      </w:r>
      <w:bookmarkEnd w:id="32"/>
      <w:bookmarkEnd w:id="33"/>
      <w:bookmarkEnd w:id="34"/>
      <w:bookmarkEnd w:id="35"/>
      <w:bookmarkEnd w:id="36"/>
      <w:r w:rsidRPr="00EA0EA7">
        <w:rPr>
          <w:rFonts w:cs="Times New Roman"/>
          <w:color w:val="000000" w:themeColor="text1"/>
          <w:szCs w:val="24"/>
          <w:lang w:eastAsia="es-ES_tradnl"/>
        </w:rPr>
        <w:t xml:space="preserve"> </w:t>
      </w:r>
    </w:p>
    <w:p w14:paraId="37C95B01" w14:textId="77777777" w:rsidR="001307C9" w:rsidRDefault="001307C9" w:rsidP="001307C9">
      <w:pPr>
        <w:pStyle w:val="Prrafodelista"/>
        <w:numPr>
          <w:ilvl w:val="0"/>
          <w:numId w:val="1"/>
        </w:numPr>
        <w:spacing w:line="360" w:lineRule="auto"/>
        <w:ind w:right="49"/>
        <w:jc w:val="both"/>
        <w:rPr>
          <w:rFonts w:ascii="Palatino Linotype" w:hAnsi="Palatino Linotype" w:cs="Arial"/>
          <w:color w:val="000000"/>
        </w:rPr>
      </w:pPr>
      <w:r w:rsidRPr="000D77A7">
        <w:rPr>
          <w:rFonts w:ascii="Palatino Linotype" w:hAnsi="Palatino Linotype" w:cs="Arial"/>
          <w:color w:val="000000"/>
        </w:rPr>
        <w:t>Debe destacarse que, debido a la naturaleza de la información solicitada</w:t>
      </w:r>
      <w:r w:rsidRPr="000D77A7">
        <w:rPr>
          <w:rFonts w:ascii="Palatino Linotype" w:hAnsi="Palatino Linotype" w:cs="Arial"/>
          <w:b/>
          <w:color w:val="000000"/>
        </w:rPr>
        <w:t xml:space="preserve">, </w:t>
      </w:r>
      <w:r w:rsidRPr="000D77A7">
        <w:rPr>
          <w:rFonts w:ascii="Palatino Linotype" w:hAnsi="Palatino Linotype" w:cs="Arial"/>
          <w:color w:val="000000"/>
        </w:rPr>
        <w:t xml:space="preserve">eventualmente pudiera obrar datos personales susceptibles de protegerse, el </w:t>
      </w:r>
      <w:r w:rsidRPr="000D77A7">
        <w:rPr>
          <w:rFonts w:ascii="Palatino Linotype" w:hAnsi="Palatino Linotype" w:cs="Arial"/>
          <w:b/>
          <w:bCs/>
          <w:color w:val="000000"/>
        </w:rPr>
        <w:t xml:space="preserve">Sujeto Obligado </w:t>
      </w:r>
      <w:r w:rsidRPr="000D77A7">
        <w:rPr>
          <w:rFonts w:ascii="Palatino Linotype" w:hAnsi="Palatino Linotype" w:cs="Arial"/>
          <w:color w:val="000000"/>
        </w:rPr>
        <w:t xml:space="preserve">deberá de hacer la adecuada versión pública, protegiendo los datos que no son susceptibles de ser proporcionados. </w:t>
      </w:r>
    </w:p>
    <w:p w14:paraId="42B50ED4" w14:textId="77777777" w:rsidR="001307C9" w:rsidRPr="000D77A7" w:rsidRDefault="001307C9" w:rsidP="001307C9">
      <w:pPr>
        <w:pStyle w:val="Prrafodelista"/>
        <w:spacing w:line="360" w:lineRule="auto"/>
        <w:ind w:left="0" w:right="49"/>
        <w:jc w:val="both"/>
        <w:rPr>
          <w:rFonts w:ascii="Palatino Linotype" w:hAnsi="Palatino Linotype" w:cs="Arial"/>
          <w:color w:val="000000"/>
        </w:rPr>
      </w:pPr>
    </w:p>
    <w:p w14:paraId="3706B036" w14:textId="77777777" w:rsidR="001307C9" w:rsidRPr="000D77A7" w:rsidRDefault="001307C9" w:rsidP="001307C9">
      <w:pPr>
        <w:numPr>
          <w:ilvl w:val="0"/>
          <w:numId w:val="1"/>
        </w:numPr>
        <w:spacing w:line="360" w:lineRule="auto"/>
        <w:ind w:right="49"/>
        <w:contextualSpacing/>
        <w:jc w:val="both"/>
        <w:rPr>
          <w:rFonts w:ascii="Palatino Linotype" w:hAnsi="Palatino Linotype" w:cs="Arial"/>
          <w:color w:val="000000"/>
        </w:rPr>
      </w:pPr>
      <w:r w:rsidRPr="000D77A7">
        <w:rPr>
          <w:rFonts w:ascii="Palatino Linotype" w:hAnsi="Palatino Linotype" w:cs="Arial"/>
          <w:color w:val="000000"/>
        </w:rPr>
        <w:t xml:space="preserve">No pasa desapercibido para este Órgano Garante que los </w:t>
      </w:r>
      <w:r w:rsidRPr="000D77A7">
        <w:rPr>
          <w:rFonts w:ascii="Palatino Linotype" w:hAnsi="Palatino Linotype" w:cs="Arial"/>
          <w:b/>
          <w:bCs/>
          <w:color w:val="000000"/>
        </w:rPr>
        <w:t xml:space="preserve">Sujetos Obligados </w:t>
      </w:r>
      <w:r w:rsidRPr="000D77A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6A2CF40" w14:textId="77777777" w:rsidR="001307C9" w:rsidRPr="000D77A7" w:rsidRDefault="001307C9" w:rsidP="001307C9">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1307C9" w:rsidRPr="000D77A7" w14:paraId="4899578B" w14:textId="77777777" w:rsidTr="007E7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EF59699" w14:textId="77777777" w:rsidR="001307C9" w:rsidRPr="008A44D6" w:rsidRDefault="001307C9" w:rsidP="007E7B3F">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2E9F6F4F" w14:textId="77777777" w:rsidR="001307C9" w:rsidRPr="008A44D6" w:rsidRDefault="001307C9" w:rsidP="007E7B3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57DE9C4" w14:textId="77777777" w:rsidR="001307C9" w:rsidRPr="008A44D6" w:rsidRDefault="001307C9" w:rsidP="007E7B3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3A7DC34B" w14:textId="77777777" w:rsidR="001307C9" w:rsidRPr="008A44D6" w:rsidRDefault="001307C9" w:rsidP="007E7B3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05B9EBD7" w14:textId="77777777" w:rsidR="001307C9" w:rsidRPr="008A44D6" w:rsidRDefault="001307C9" w:rsidP="007E7B3F">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 xml:space="preserve">no se puede </w:t>
            </w:r>
            <w:r w:rsidRPr="008A44D6">
              <w:rPr>
                <w:rFonts w:ascii="Palatino Linotype" w:hAnsi="Palatino Linotype" w:cs="Arial"/>
                <w:b w:val="0"/>
                <w:bCs w:val="0"/>
                <w:color w:val="000000"/>
                <w:u w:val="single"/>
              </w:rPr>
              <w:lastRenderedPageBreak/>
              <w:t>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1307C9" w:rsidRPr="000D77A7" w14:paraId="196CA3C3" w14:textId="77777777" w:rsidTr="007E7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DC0516E" w14:textId="77777777" w:rsidR="001307C9" w:rsidRPr="008A44D6" w:rsidRDefault="001307C9" w:rsidP="007E7B3F">
            <w:pPr>
              <w:spacing w:line="360" w:lineRule="auto"/>
              <w:rPr>
                <w:rFonts w:ascii="Palatino Linotype" w:hAnsi="Palatino Linotype"/>
                <w:bCs w:val="0"/>
              </w:rPr>
            </w:pPr>
            <w:r w:rsidRPr="008A44D6">
              <w:rPr>
                <w:rFonts w:ascii="Palatino Linotype" w:hAnsi="Palatino Linotype" w:cstheme="majorBidi"/>
                <w:bCs w:val="0"/>
              </w:rPr>
              <w:lastRenderedPageBreak/>
              <w:t>b) Supuestos de clasificación.</w:t>
            </w:r>
          </w:p>
        </w:tc>
        <w:tc>
          <w:tcPr>
            <w:tcW w:w="6990" w:type="dxa"/>
            <w:hideMark/>
          </w:tcPr>
          <w:p w14:paraId="1600ABF3" w14:textId="77777777" w:rsidR="001307C9" w:rsidRPr="008A44D6" w:rsidRDefault="001307C9" w:rsidP="007E7B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2D14B97" w14:textId="77777777" w:rsidR="001307C9" w:rsidRPr="008A44D6" w:rsidRDefault="001307C9" w:rsidP="007E7B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24DB02E" w14:textId="77777777" w:rsidR="001307C9" w:rsidRPr="008A44D6" w:rsidRDefault="001307C9" w:rsidP="007E7B3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307C9" w:rsidRPr="000D77A7" w14:paraId="5CC2C0C6" w14:textId="77777777" w:rsidTr="007E7B3F">
        <w:tc>
          <w:tcPr>
            <w:cnfStyle w:val="001000000000" w:firstRow="0" w:lastRow="0" w:firstColumn="1" w:lastColumn="0" w:oddVBand="0" w:evenVBand="0" w:oddHBand="0" w:evenHBand="0" w:firstRowFirstColumn="0" w:firstRowLastColumn="0" w:lastRowFirstColumn="0" w:lastRowLastColumn="0"/>
            <w:tcW w:w="1838" w:type="dxa"/>
            <w:hideMark/>
          </w:tcPr>
          <w:p w14:paraId="77D33B84" w14:textId="77777777" w:rsidR="001307C9" w:rsidRPr="008A44D6" w:rsidRDefault="001307C9" w:rsidP="007E7B3F">
            <w:pPr>
              <w:spacing w:line="360" w:lineRule="auto"/>
              <w:rPr>
                <w:rFonts w:ascii="Palatino Linotype" w:hAnsi="Palatino Linotype"/>
                <w:bCs w:val="0"/>
              </w:rPr>
            </w:pPr>
            <w:r w:rsidRPr="008A44D6">
              <w:rPr>
                <w:rFonts w:ascii="Palatino Linotype" w:hAnsi="Palatino Linotype" w:cstheme="majorBidi"/>
                <w:bCs w:val="0"/>
              </w:rPr>
              <w:t>c) Formalidades para emitir el acuerdo de clasificación.</w:t>
            </w:r>
          </w:p>
        </w:tc>
        <w:tc>
          <w:tcPr>
            <w:tcW w:w="6990" w:type="dxa"/>
            <w:hideMark/>
          </w:tcPr>
          <w:p w14:paraId="7D9F2252" w14:textId="77777777" w:rsidR="001307C9" w:rsidRPr="008A44D6" w:rsidRDefault="001307C9" w:rsidP="007E7B3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5CF4AF3B" w14:textId="77777777" w:rsidR="001307C9" w:rsidRPr="008A44D6" w:rsidRDefault="001307C9" w:rsidP="007E7B3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31F3459F" w14:textId="77777777" w:rsidR="001307C9" w:rsidRPr="008A44D6" w:rsidRDefault="001307C9" w:rsidP="007E7B3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307C9" w:rsidRPr="000D77A7" w14:paraId="41669B6A" w14:textId="77777777" w:rsidTr="007E7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6A47DE" w14:textId="77777777" w:rsidR="001307C9" w:rsidRPr="008A44D6" w:rsidRDefault="001307C9" w:rsidP="007E7B3F">
            <w:pPr>
              <w:spacing w:line="360" w:lineRule="auto"/>
              <w:rPr>
                <w:rFonts w:ascii="Palatino Linotype" w:hAnsi="Palatino Linotype"/>
                <w:b w:val="0"/>
              </w:rPr>
            </w:pPr>
          </w:p>
          <w:p w14:paraId="2653E49E" w14:textId="77777777" w:rsidR="001307C9" w:rsidRPr="008A44D6" w:rsidRDefault="001307C9" w:rsidP="007E7B3F">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7B765A7C" w14:textId="77777777" w:rsidR="001307C9" w:rsidRPr="008A44D6" w:rsidRDefault="001307C9" w:rsidP="007E7B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067A4621" w14:textId="77777777" w:rsidR="001307C9" w:rsidRPr="008A44D6" w:rsidRDefault="001307C9" w:rsidP="007E7B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E115DD" w14:textId="77777777" w:rsidR="001307C9" w:rsidRPr="008A44D6" w:rsidRDefault="001307C9" w:rsidP="007E7B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51089C4" w14:textId="77777777" w:rsidR="001307C9" w:rsidRPr="008A44D6" w:rsidRDefault="001307C9" w:rsidP="007E7B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0681ECD0" w14:textId="77777777" w:rsidR="001307C9" w:rsidRPr="008A44D6" w:rsidRDefault="001307C9" w:rsidP="007E7B3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307C9" w:rsidRPr="000D77A7" w14:paraId="180303AB" w14:textId="77777777" w:rsidTr="007E7B3F">
        <w:tc>
          <w:tcPr>
            <w:cnfStyle w:val="001000000000" w:firstRow="0" w:lastRow="0" w:firstColumn="1" w:lastColumn="0" w:oddVBand="0" w:evenVBand="0" w:oddHBand="0" w:evenHBand="0" w:firstRowFirstColumn="0" w:firstRowLastColumn="0" w:lastRowFirstColumn="0" w:lastRowLastColumn="0"/>
            <w:tcW w:w="1838" w:type="dxa"/>
          </w:tcPr>
          <w:p w14:paraId="1864FFA9" w14:textId="77777777" w:rsidR="001307C9" w:rsidRPr="008A44D6" w:rsidRDefault="001307C9" w:rsidP="007E7B3F">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75B0BB2D" w14:textId="77777777" w:rsidR="001307C9" w:rsidRPr="008A44D6" w:rsidRDefault="001307C9" w:rsidP="007E7B3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1809A3D0" w14:textId="77777777" w:rsidR="001307C9" w:rsidRPr="008A44D6" w:rsidRDefault="001307C9" w:rsidP="007E7B3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E1CC8" w14:textId="77777777" w:rsidR="001307C9" w:rsidRPr="008A44D6" w:rsidRDefault="001307C9" w:rsidP="007E7B3F">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6B076E3" w14:textId="77777777" w:rsidR="001307C9" w:rsidRPr="000D77A7" w:rsidRDefault="001307C9" w:rsidP="001307C9">
      <w:pPr>
        <w:spacing w:line="360" w:lineRule="auto"/>
        <w:ind w:right="49"/>
        <w:contextualSpacing/>
        <w:jc w:val="both"/>
        <w:rPr>
          <w:rFonts w:ascii="Palatino Linotype" w:hAnsi="Palatino Linotype" w:cs="Arial"/>
          <w:color w:val="000000"/>
        </w:rPr>
      </w:pPr>
    </w:p>
    <w:p w14:paraId="7ACDAC0B" w14:textId="77777777" w:rsidR="001307C9" w:rsidRDefault="001307C9" w:rsidP="001307C9">
      <w:pPr>
        <w:pStyle w:val="Prrafodelista"/>
        <w:numPr>
          <w:ilvl w:val="0"/>
          <w:numId w:val="1"/>
        </w:numPr>
        <w:shd w:val="clear" w:color="auto" w:fill="FFFFFF"/>
        <w:spacing w:after="200" w:line="360" w:lineRule="auto"/>
        <w:jc w:val="both"/>
        <w:rPr>
          <w:rFonts w:ascii="Palatino Linotype" w:hAnsi="Palatino Linotype" w:cs="Arial"/>
        </w:rPr>
      </w:pPr>
      <w:r w:rsidRPr="000D77A7">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3BE2AB9" w14:textId="77777777" w:rsidR="001307C9" w:rsidRPr="001307C9" w:rsidRDefault="001307C9" w:rsidP="001307C9">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15833E4F" w:rsidR="00266588" w:rsidRPr="00A0054B"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0054B">
        <w:rPr>
          <w:rFonts w:ascii="Palatino Linotype" w:hAnsi="Palatino Linotype"/>
          <w:color w:val="000000" w:themeColor="text1"/>
          <w:lang w:val="es-ES"/>
        </w:rPr>
        <w:t xml:space="preserve">Por </w:t>
      </w:r>
      <w:r w:rsidR="00B41516" w:rsidRPr="00A0054B">
        <w:rPr>
          <w:rFonts w:ascii="Palatino Linotype" w:hAnsi="Palatino Linotype"/>
          <w:color w:val="000000" w:themeColor="text1"/>
        </w:rPr>
        <w:t xml:space="preserve">lo anteriormente expuesto y fundado, </w:t>
      </w:r>
      <w:r w:rsidR="003E6079" w:rsidRPr="00A0054B">
        <w:rPr>
          <w:rFonts w:ascii="Palatino Linotype" w:hAnsi="Palatino Linotype"/>
          <w:color w:val="000000" w:themeColor="text1"/>
        </w:rPr>
        <w:t>e</w:t>
      </w:r>
      <w:r w:rsidR="00B41516" w:rsidRPr="00A0054B">
        <w:rPr>
          <w:rFonts w:ascii="Palatino Linotype" w:hAnsi="Palatino Linotype"/>
          <w:color w:val="000000" w:themeColor="text1"/>
        </w:rPr>
        <w:t xml:space="preserve">ste </w:t>
      </w:r>
      <w:r w:rsidR="00B41516" w:rsidRPr="00A0054B">
        <w:rPr>
          <w:rFonts w:ascii="Palatino Linotype" w:hAnsi="Palatino Linotype"/>
          <w:b/>
          <w:color w:val="000000" w:themeColor="text1"/>
        </w:rPr>
        <w:t>ÓRGANO GARANTE</w:t>
      </w:r>
      <w:r w:rsidR="00B41516" w:rsidRPr="00A0054B">
        <w:rPr>
          <w:rFonts w:ascii="Palatino Linotype" w:hAnsi="Palatino Linotype"/>
          <w:color w:val="000000" w:themeColor="text1"/>
        </w:rPr>
        <w:t xml:space="preserve"> emite los siguientes:</w:t>
      </w:r>
      <w:r w:rsidR="003E6079" w:rsidRPr="00A0054B">
        <w:rPr>
          <w:rFonts w:ascii="Palatino Linotype" w:hAnsi="Palatino Linotype"/>
          <w:color w:val="000000" w:themeColor="text1"/>
        </w:rPr>
        <w:t xml:space="preserve"> </w:t>
      </w:r>
    </w:p>
    <w:p w14:paraId="18C7D92B" w14:textId="77777777" w:rsidR="009959DB" w:rsidRPr="00A0054B"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A0054B">
        <w:rPr>
          <w:b/>
          <w:color w:val="000000" w:themeColor="text1"/>
          <w:szCs w:val="24"/>
        </w:rPr>
        <w:t>R E S O L U T I V O S</w:t>
      </w:r>
      <w:bookmarkEnd w:id="23"/>
      <w:bookmarkEnd w:id="24"/>
      <w:bookmarkEnd w:id="37"/>
      <w:bookmarkEnd w:id="38"/>
      <w:bookmarkEnd w:id="39"/>
    </w:p>
    <w:p w14:paraId="67A78F7D" w14:textId="5D0D297B" w:rsidR="00CA0640" w:rsidRPr="00A0054B" w:rsidRDefault="00CA0640" w:rsidP="00CA0640">
      <w:pPr>
        <w:spacing w:line="360" w:lineRule="auto"/>
        <w:jc w:val="both"/>
        <w:rPr>
          <w:rFonts w:ascii="Palatino Linotype" w:eastAsia="Times New Roman" w:hAnsi="Palatino Linotype" w:cs="Times New Roman"/>
        </w:rPr>
      </w:pPr>
      <w:r w:rsidRPr="00B44240">
        <w:rPr>
          <w:rFonts w:ascii="Palatino Linotype" w:eastAsia="Times New Roman" w:hAnsi="Palatino Linotype" w:cs="Arial"/>
          <w:b/>
        </w:rPr>
        <w:t>PRIMERO.</w:t>
      </w:r>
      <w:r w:rsidRPr="00A0054B">
        <w:rPr>
          <w:rFonts w:ascii="Palatino Linotype" w:eastAsia="Times New Roman" w:hAnsi="Palatino Linotype" w:cs="Arial"/>
          <w:b/>
        </w:rPr>
        <w:t xml:space="preserve"> </w:t>
      </w:r>
      <w:r w:rsidRPr="00A0054B">
        <w:rPr>
          <w:rFonts w:ascii="Palatino Linotype" w:eastAsia="Times New Roman" w:hAnsi="Palatino Linotype" w:cs="Arial"/>
        </w:rPr>
        <w:t>Resultan</w:t>
      </w:r>
      <w:r w:rsidR="00892AB9" w:rsidRPr="00A0054B">
        <w:rPr>
          <w:rFonts w:ascii="Palatino Linotype" w:eastAsia="Times New Roman" w:hAnsi="Palatino Linotype" w:cs="Arial"/>
        </w:rPr>
        <w:t xml:space="preserve"> </w:t>
      </w:r>
      <w:r w:rsidR="00B8240B" w:rsidRPr="00A0054B">
        <w:rPr>
          <w:rFonts w:ascii="Palatino Linotype" w:eastAsia="Times New Roman" w:hAnsi="Palatino Linotype" w:cs="Arial"/>
        </w:rPr>
        <w:t>fundadas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F2518D" w:rsidRPr="00F2518D">
        <w:rPr>
          <w:rFonts w:ascii="Palatino Linotype" w:hAnsi="Palatino Linotype"/>
          <w:b/>
        </w:rPr>
        <w:t>06338/INFOEM/IP/RR/2021</w:t>
      </w:r>
      <w:r w:rsidRPr="00A0054B">
        <w:rPr>
          <w:rFonts w:ascii="Palatino Linotype" w:eastAsia="Times New Roman" w:hAnsi="Palatino Linotype" w:cs="Times New Roman"/>
          <w:b/>
        </w:rPr>
        <w:t xml:space="preserve"> </w:t>
      </w:r>
      <w:r w:rsidRPr="00A0054B">
        <w:rPr>
          <w:rFonts w:ascii="Palatino Linotype" w:eastAsia="Times New Roman" w:hAnsi="Palatino Linotype" w:cs="Times New Roman"/>
        </w:rPr>
        <w:t>en términos de</w:t>
      </w:r>
      <w:r w:rsidR="00B44240">
        <w:rPr>
          <w:rFonts w:ascii="Palatino Linotype" w:eastAsia="Times New Roman" w:hAnsi="Palatino Linotype" w:cs="Times New Roman"/>
        </w:rPr>
        <w:t xml:space="preserve"> </w:t>
      </w:r>
      <w:r w:rsidRPr="00A0054B">
        <w:rPr>
          <w:rFonts w:ascii="Palatino Linotype" w:eastAsia="Times New Roman" w:hAnsi="Palatino Linotype" w:cs="Times New Roman"/>
        </w:rPr>
        <w:t>l</w:t>
      </w:r>
      <w:r w:rsidR="00B44240">
        <w:rPr>
          <w:rFonts w:ascii="Palatino Linotype" w:eastAsia="Times New Roman" w:hAnsi="Palatino Linotype" w:cs="Times New Roman"/>
        </w:rPr>
        <w:t>os</w:t>
      </w:r>
      <w:r w:rsidRPr="00A0054B">
        <w:rPr>
          <w:rFonts w:ascii="Palatino Linotype" w:eastAsia="Times New Roman" w:hAnsi="Palatino Linotype" w:cs="Times New Roman"/>
          <w:b/>
          <w:bCs/>
        </w:rPr>
        <w:t xml:space="preserve"> Considerando</w:t>
      </w:r>
      <w:r w:rsidR="00B44240">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sidR="00B44240">
        <w:rPr>
          <w:rFonts w:ascii="Palatino Linotype" w:eastAsia="Times New Roman" w:hAnsi="Palatino Linotype" w:cs="Times New Roman"/>
          <w:b/>
        </w:rPr>
        <w:t xml:space="preserve"> y QUINTO</w:t>
      </w:r>
      <w:r w:rsidR="00B8240B" w:rsidRPr="00A0054B">
        <w:rPr>
          <w:rFonts w:ascii="Palatino Linotype" w:eastAsia="Times New Roman" w:hAnsi="Palatino Linotype" w:cs="Times New Roman"/>
        </w:rPr>
        <w:t xml:space="preserve"> </w:t>
      </w:r>
      <w:r w:rsidR="00115F2B" w:rsidRPr="00A0054B">
        <w:rPr>
          <w:rFonts w:ascii="Palatino Linotype" w:eastAsia="Times New Roman" w:hAnsi="Palatino Linotype" w:cs="Times New Roman"/>
        </w:rPr>
        <w:t>d</w:t>
      </w:r>
      <w:r w:rsidRPr="00A0054B">
        <w:rPr>
          <w:rFonts w:ascii="Palatino Linotype" w:eastAsia="Times New Roman" w:hAnsi="Palatino Linotype" w:cs="Times New Roman"/>
        </w:rPr>
        <w:t>e la presente resolución.</w:t>
      </w:r>
    </w:p>
    <w:p w14:paraId="223895AA" w14:textId="77777777" w:rsidR="00CA0640" w:rsidRPr="00A0054B" w:rsidRDefault="00CA0640" w:rsidP="00CA0640">
      <w:pPr>
        <w:spacing w:line="360" w:lineRule="auto"/>
        <w:contextualSpacing/>
        <w:jc w:val="both"/>
        <w:rPr>
          <w:rFonts w:ascii="Palatino Linotype" w:eastAsia="Calibri" w:hAnsi="Palatino Linotype" w:cs="Arial"/>
          <w:b/>
          <w:bCs/>
          <w:lang w:val="es-ES"/>
        </w:rPr>
      </w:pPr>
    </w:p>
    <w:p w14:paraId="0AD18F14" w14:textId="02F4D06B" w:rsidR="00B8240B" w:rsidRPr="00A0054B" w:rsidRDefault="00B8240B" w:rsidP="00B8240B">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2C00A1">
        <w:rPr>
          <w:rFonts w:ascii="Palatino Linotype" w:eastAsia="Calibri" w:hAnsi="Palatino Linotype" w:cs="Arial"/>
          <w:b/>
          <w:bCs/>
          <w:lang w:val="es-ES"/>
        </w:rPr>
        <w:t>REVOCA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2C00A1">
        <w:rPr>
          <w:rFonts w:ascii="Palatino Linotype" w:eastAsia="Calibri" w:hAnsi="Palatino Linotype" w:cs="Arial"/>
          <w:b/>
          <w:bCs/>
          <w:lang w:val="es-ES"/>
        </w:rPr>
        <w:t xml:space="preserve">el </w:t>
      </w:r>
      <w:r w:rsidRPr="00A0054B">
        <w:rPr>
          <w:rFonts w:ascii="Palatino Linotype" w:hAnsi="Palatino Linotype"/>
          <w:b/>
          <w:bCs/>
          <w:szCs w:val="22"/>
        </w:rPr>
        <w:t>Ayuntamiento de Toluca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entregar vía Sistema de Acceso a la Información Mexiquense</w:t>
      </w:r>
      <w:r w:rsidRPr="00A0054B">
        <w:rPr>
          <w:rFonts w:ascii="Palatino Linotype" w:eastAsia="Calibri" w:hAnsi="Palatino Linotype" w:cs="Arial"/>
          <w:b/>
          <w:bCs/>
          <w:lang w:val="es-ES"/>
        </w:rPr>
        <w:t xml:space="preserve"> (SAIMEX), </w:t>
      </w:r>
      <w:r w:rsidR="006A4193" w:rsidRPr="00A0054B">
        <w:rPr>
          <w:rFonts w:ascii="Palatino Linotype" w:eastAsia="Calibri" w:hAnsi="Palatino Linotype" w:cs="Arial"/>
          <w:b/>
          <w:bCs/>
          <w:lang w:val="es-ES"/>
        </w:rPr>
        <w:t xml:space="preserve">previa búsqueda exhaustiva y razonable, </w:t>
      </w:r>
      <w:r w:rsidR="002C00A1">
        <w:rPr>
          <w:rFonts w:ascii="Palatino Linotype" w:eastAsia="Calibri" w:hAnsi="Palatino Linotype" w:cs="Arial"/>
          <w:bCs/>
          <w:lang w:val="es-ES"/>
        </w:rPr>
        <w:t xml:space="preserve">de ser el caso en versión pública, </w:t>
      </w:r>
      <w:r w:rsidR="001307C9" w:rsidRPr="001307C9">
        <w:rPr>
          <w:rFonts w:ascii="Palatino Linotype" w:eastAsia="Calibri" w:hAnsi="Palatino Linotype" w:cs="Arial"/>
          <w:bCs/>
          <w:lang w:val="es-ES"/>
        </w:rPr>
        <w:t>lo siguiente:</w:t>
      </w:r>
    </w:p>
    <w:p w14:paraId="68F88708" w14:textId="77777777" w:rsidR="00876C70" w:rsidRPr="00A0054B" w:rsidRDefault="00876C70" w:rsidP="00B8240B">
      <w:pPr>
        <w:pStyle w:val="Sinespaciado"/>
        <w:spacing w:line="360" w:lineRule="auto"/>
        <w:jc w:val="both"/>
        <w:rPr>
          <w:rFonts w:ascii="Palatino Linotype" w:eastAsia="Calibri" w:hAnsi="Palatino Linotype" w:cs="Arial"/>
          <w:bCs/>
          <w:lang w:val="es-ES"/>
        </w:rPr>
      </w:pPr>
    </w:p>
    <w:p w14:paraId="4F2AE263" w14:textId="5164D6B2" w:rsidR="00E84271" w:rsidRDefault="00E84271" w:rsidP="00876C70">
      <w:pPr>
        <w:pStyle w:val="Sinespaciado"/>
        <w:numPr>
          <w:ilvl w:val="0"/>
          <w:numId w:val="29"/>
        </w:numPr>
        <w:spacing w:line="360" w:lineRule="auto"/>
        <w:ind w:left="284"/>
        <w:jc w:val="both"/>
        <w:rPr>
          <w:rFonts w:ascii="Palatino Linotype" w:eastAsia="Calibri" w:hAnsi="Palatino Linotype" w:cs="Arial"/>
          <w:b/>
          <w:bCs/>
          <w:lang w:val="es-ES"/>
        </w:rPr>
      </w:pPr>
      <w:r>
        <w:rPr>
          <w:rFonts w:ascii="Palatino Linotype" w:eastAsia="Calibri" w:hAnsi="Palatino Linotype" w:cs="Arial"/>
          <w:b/>
          <w:bCs/>
          <w:lang w:val="es-ES"/>
        </w:rPr>
        <w:lastRenderedPageBreak/>
        <w:t>Soporte documental donde conste la solicitud de autorización por parte del Ayuntamiento de Toluca al Poder Legislativo para la enajenación de 10 inmuebles, así como la respuesta a dicha solicitud.</w:t>
      </w:r>
    </w:p>
    <w:p w14:paraId="0A06F354" w14:textId="77777777" w:rsidR="001307C9" w:rsidRDefault="001307C9" w:rsidP="001307C9">
      <w:pPr>
        <w:pStyle w:val="Sinespaciado"/>
        <w:spacing w:line="360" w:lineRule="auto"/>
        <w:ind w:left="-76"/>
        <w:jc w:val="both"/>
        <w:rPr>
          <w:rFonts w:ascii="Palatino Linotype" w:eastAsia="Calibri" w:hAnsi="Palatino Linotype" w:cs="Arial"/>
          <w:b/>
          <w:bCs/>
          <w:lang w:val="es-ES"/>
        </w:rPr>
      </w:pPr>
    </w:p>
    <w:p w14:paraId="47B1848E" w14:textId="3DB63CDB" w:rsidR="001307C9" w:rsidRDefault="001307C9" w:rsidP="001307C9">
      <w:pPr>
        <w:pStyle w:val="Sinespaciado"/>
        <w:spacing w:line="360" w:lineRule="auto"/>
        <w:ind w:left="-76"/>
        <w:jc w:val="both"/>
        <w:rPr>
          <w:rFonts w:ascii="Palatino Linotype" w:eastAsia="Calibri" w:hAnsi="Palatino Linotype" w:cs="Arial"/>
          <w:bCs/>
          <w:lang w:val="es-ES"/>
        </w:rPr>
      </w:pPr>
      <w:r w:rsidRPr="001307C9">
        <w:rPr>
          <w:rFonts w:ascii="Palatino Linotype" w:eastAsia="Calibri" w:hAnsi="Palatino Linotype" w:cs="Arial"/>
          <w:bCs/>
          <w:lang w:val="es-ES"/>
        </w:rPr>
        <w:t>De ser el caso de que la información relativa a la respuesta a la solicitud de autorización no obre en los archivos por no haberse recibido, el Sujeto Obligado deberá de manifestar las razones que expliquen las causas por las que no se cuenta con la información</w:t>
      </w:r>
    </w:p>
    <w:p w14:paraId="148E18F3" w14:textId="77777777" w:rsidR="006D048B" w:rsidRDefault="006D048B" w:rsidP="006D048B">
      <w:pPr>
        <w:spacing w:before="240" w:after="240" w:line="360" w:lineRule="auto"/>
        <w:jc w:val="both"/>
        <w:rPr>
          <w:rFonts w:ascii="Palatino Linotype" w:eastAsia="Calibri" w:hAnsi="Palatino Linotype" w:cs="Arial"/>
          <w:b/>
        </w:rPr>
      </w:pPr>
      <w:r w:rsidRPr="008743A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8743AF">
        <w:rPr>
          <w:rFonts w:ascii="Palatino Linotype" w:eastAsia="Calibri" w:hAnsi="Palatino Linotype" w:cs="Arial"/>
          <w:b/>
        </w:rPr>
        <w:t>EL RECURRENTE.</w:t>
      </w:r>
    </w:p>
    <w:p w14:paraId="50CE732C" w14:textId="77777777" w:rsidR="00B8240B" w:rsidRPr="00A0054B" w:rsidRDefault="00B8240B" w:rsidP="00B8240B">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B252EB6" w14:textId="77777777" w:rsidR="00B8240B" w:rsidRPr="00A0054B" w:rsidRDefault="00B8240B" w:rsidP="00B8240B">
      <w:pPr>
        <w:pStyle w:val="Sinespaciado"/>
        <w:spacing w:line="360" w:lineRule="auto"/>
        <w:jc w:val="both"/>
        <w:rPr>
          <w:rFonts w:ascii="Palatino Linotype" w:eastAsia="Times New Roman" w:hAnsi="Palatino Linotype" w:cs="Arial"/>
          <w:b/>
        </w:rPr>
      </w:pPr>
    </w:p>
    <w:p w14:paraId="44C96457" w14:textId="77777777" w:rsidR="00962716" w:rsidRPr="00A0054B" w:rsidRDefault="00962716" w:rsidP="0096271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A0054B">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6DF756CA" w14:textId="77777777" w:rsidR="00962716" w:rsidRPr="00A0054B" w:rsidRDefault="00962716" w:rsidP="00B8240B">
      <w:pPr>
        <w:pStyle w:val="Sinespaciado"/>
        <w:spacing w:line="360" w:lineRule="auto"/>
        <w:jc w:val="both"/>
        <w:rPr>
          <w:rFonts w:ascii="Palatino Linotype" w:eastAsia="Times New Roman" w:hAnsi="Palatino Linotype" w:cs="Arial"/>
          <w:b/>
        </w:rPr>
      </w:pPr>
    </w:p>
    <w:p w14:paraId="7C7DB9C8" w14:textId="2F090EF4" w:rsidR="00B8240B" w:rsidRPr="00A0054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QUINTO</w:t>
      </w:r>
      <w:r w:rsidR="00B8240B" w:rsidRPr="00A0054B">
        <w:rPr>
          <w:rFonts w:ascii="Palatino Linotype" w:eastAsia="Times New Roman" w:hAnsi="Palatino Linotype" w:cs="Arial"/>
          <w:b/>
        </w:rPr>
        <w:t xml:space="preserve">. </w:t>
      </w:r>
      <w:r w:rsidR="00B8240B" w:rsidRPr="00A0054B">
        <w:rPr>
          <w:rFonts w:ascii="Palatino Linotype" w:eastAsia="Times New Roman" w:hAnsi="Palatino Linotype" w:cs="Times New Roman"/>
          <w:b/>
          <w:bCs/>
          <w:color w:val="222222"/>
          <w:lang w:val="es-ES"/>
        </w:rPr>
        <w:t xml:space="preserve">Notifíquese </w:t>
      </w:r>
      <w:r w:rsidR="00B8240B" w:rsidRPr="00A0054B">
        <w:rPr>
          <w:rFonts w:ascii="Palatino Linotype" w:eastAsia="Times New Roman" w:hAnsi="Palatino Linotype" w:cs="Times New Roman"/>
          <w:bCs/>
          <w:color w:val="222222"/>
          <w:lang w:val="es-ES"/>
        </w:rPr>
        <w:t xml:space="preserve">al </w:t>
      </w:r>
      <w:r w:rsidR="00B8240B" w:rsidRPr="00A0054B">
        <w:rPr>
          <w:rFonts w:ascii="Palatino Linotype" w:eastAsia="Times New Roman" w:hAnsi="Palatino Linotype" w:cs="Times New Roman"/>
          <w:b/>
          <w:color w:val="222222"/>
          <w:lang w:val="es-ES"/>
        </w:rPr>
        <w:t>RECURRENTE</w:t>
      </w:r>
      <w:r w:rsidR="00B8240B" w:rsidRPr="00A0054B">
        <w:rPr>
          <w:rFonts w:ascii="Palatino Linotype" w:eastAsia="Times New Roman" w:hAnsi="Palatino Linotype" w:cs="Times New Roman"/>
          <w:color w:val="222222"/>
          <w:lang w:val="es-ES" w:eastAsia="es-MX"/>
        </w:rPr>
        <w:t xml:space="preserve"> la presente resolución vía SAIME</w:t>
      </w:r>
      <w:r w:rsidR="008A20CA" w:rsidRPr="00A0054B">
        <w:rPr>
          <w:rFonts w:ascii="Palatino Linotype" w:eastAsia="Times New Roman" w:hAnsi="Palatino Linotype" w:cs="Times New Roman"/>
          <w:color w:val="222222"/>
          <w:lang w:val="es-ES" w:eastAsia="es-MX"/>
        </w:rPr>
        <w:t>X</w:t>
      </w:r>
      <w:r w:rsidR="00A0054B">
        <w:rPr>
          <w:rFonts w:ascii="Palatino Linotype" w:eastAsia="Times New Roman" w:hAnsi="Palatino Linotype" w:cs="Times New Roman"/>
          <w:color w:val="222222"/>
          <w:lang w:val="es-ES" w:eastAsia="es-MX"/>
        </w:rPr>
        <w:t>.</w:t>
      </w:r>
    </w:p>
    <w:p w14:paraId="7E4D1A4C" w14:textId="77777777" w:rsidR="00B8240B" w:rsidRPr="00A0054B" w:rsidRDefault="00B8240B" w:rsidP="00B8240B">
      <w:pPr>
        <w:pStyle w:val="Sinespaciado"/>
        <w:spacing w:line="360" w:lineRule="auto"/>
        <w:jc w:val="both"/>
        <w:rPr>
          <w:rFonts w:ascii="Palatino Linotype" w:eastAsia="Times New Roman" w:hAnsi="Palatino Linotype" w:cs="Times New Roman"/>
          <w:color w:val="222222"/>
          <w:lang w:val="es-ES" w:eastAsia="es-MX"/>
        </w:rPr>
      </w:pPr>
    </w:p>
    <w:p w14:paraId="6EF6E47F" w14:textId="22DA137A" w:rsidR="00B8240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hAnsi="Palatino Linotype"/>
          <w:b/>
        </w:rPr>
        <w:t>SEXTO</w:t>
      </w:r>
      <w:r w:rsidR="00B8240B" w:rsidRPr="00A0054B">
        <w:rPr>
          <w:rFonts w:ascii="Palatino Linotype" w:hAnsi="Palatino Linotype"/>
          <w:b/>
        </w:rPr>
        <w:t>.</w:t>
      </w:r>
      <w:r w:rsidR="00B8240B" w:rsidRPr="00A0054B">
        <w:rPr>
          <w:rFonts w:ascii="Palatino Linotype" w:eastAsia="Times New Roman" w:hAnsi="Palatino Linotype" w:cs="Times New Roman"/>
          <w:color w:val="222222"/>
          <w:lang w:val="es-ES" w:eastAsia="es-MX"/>
        </w:rPr>
        <w:t xml:space="preserve"> Se hace del conocimiento del </w:t>
      </w:r>
      <w:r w:rsidR="00B8240B" w:rsidRPr="00A0054B">
        <w:rPr>
          <w:rFonts w:ascii="Palatino Linotype" w:eastAsia="Times New Roman" w:hAnsi="Palatino Linotype" w:cs="Times New Roman"/>
          <w:b/>
          <w:bCs/>
          <w:color w:val="222222"/>
          <w:lang w:val="es-ES" w:eastAsia="es-MX"/>
        </w:rPr>
        <w:t>RECURRENTE</w:t>
      </w:r>
      <w:r w:rsidR="00B8240B" w:rsidRPr="00A0054B">
        <w:rPr>
          <w:rFonts w:ascii="Palatino Linotype" w:eastAsia="Times New Roman" w:hAnsi="Palatino Linotype" w:cs="Times New Roman"/>
          <w:color w:val="222222"/>
          <w:lang w:eastAsia="es-MX"/>
        </w:rPr>
        <w:t xml:space="preserve"> que,</w:t>
      </w:r>
      <w:r w:rsidR="00B8240B" w:rsidRPr="00A0054B">
        <w:rPr>
          <w:rFonts w:ascii="Palatino Linotype" w:eastAsia="Times New Roman" w:hAnsi="Palatino Linotype" w:cs="Arial"/>
          <w:b/>
          <w:lang w:val="es-ES"/>
        </w:rPr>
        <w:t xml:space="preserve"> </w:t>
      </w:r>
      <w:r w:rsidR="00B8240B" w:rsidRPr="00A0054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B8240B" w:rsidRPr="00A0054B">
        <w:rPr>
          <w:rFonts w:ascii="Palatino Linotype" w:eastAsia="Times New Roman" w:hAnsi="Palatino Linotype" w:cs="Times New Roman"/>
          <w:bCs/>
          <w:color w:val="222222"/>
          <w:lang w:val="es-ES" w:eastAsia="es-MX"/>
        </w:rPr>
        <w:t>vía juicio de amparo</w:t>
      </w:r>
      <w:r w:rsidR="00B8240B" w:rsidRPr="00A0054B">
        <w:rPr>
          <w:rFonts w:ascii="Palatino Linotype" w:eastAsia="Times New Roman" w:hAnsi="Palatino Linotype" w:cs="Times New Roman"/>
          <w:color w:val="222222"/>
          <w:lang w:val="es-ES" w:eastAsia="es-MX"/>
        </w:rPr>
        <w:t xml:space="preserve"> en los términos de las leyes aplicables.</w:t>
      </w:r>
    </w:p>
    <w:p w14:paraId="2329FD53" w14:textId="77777777" w:rsidR="0092586F" w:rsidRPr="00A0054B" w:rsidRDefault="0092586F" w:rsidP="00B8240B">
      <w:pPr>
        <w:pStyle w:val="Sinespaciado"/>
        <w:spacing w:line="360" w:lineRule="auto"/>
        <w:jc w:val="both"/>
        <w:rPr>
          <w:rFonts w:ascii="Palatino Linotype" w:eastAsia="Times New Roman" w:hAnsi="Palatino Linotype" w:cs="Times New Roman"/>
          <w:color w:val="222222"/>
          <w:lang w:val="es-ES" w:eastAsia="es-MX"/>
        </w:rPr>
      </w:pPr>
    </w:p>
    <w:p w14:paraId="4D7838E8" w14:textId="1FBC063C" w:rsidR="0092586F" w:rsidRDefault="0092586F" w:rsidP="0092586F">
      <w:pPr>
        <w:spacing w:line="360" w:lineRule="auto"/>
        <w:ind w:right="48"/>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SEXTA SESIÓN ORDINARIA CELEBRADA EL DIECISÉIS (16) DE FEB</w:t>
      </w:r>
      <w:r w:rsidR="000A2540">
        <w:rPr>
          <w:rFonts w:ascii="Palatino Linotype" w:hAnsi="Palatino Linotype"/>
        </w:rPr>
        <w:t>R</w:t>
      </w:r>
      <w:r>
        <w:rPr>
          <w:rFonts w:ascii="Palatino Linotype" w:hAnsi="Palatino Linotype"/>
        </w:rPr>
        <w:t xml:space="preserve">ERO DE DOS MIL VEINTIDÓS, ANTE EL SECRETARIO TÉCNICO DEL PLENO, ALEXIS TAPIA RAMÍREZ.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9C91" w14:textId="77777777" w:rsidR="0085732A" w:rsidRDefault="0085732A" w:rsidP="00587366">
      <w:r>
        <w:separator/>
      </w:r>
    </w:p>
  </w:endnote>
  <w:endnote w:type="continuationSeparator" w:id="0">
    <w:p w14:paraId="7460C3C8" w14:textId="77777777" w:rsidR="0085732A" w:rsidRDefault="0085732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F4CB6" w:rsidRPr="00883450" w:rsidRDefault="00CF4CB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02E2C">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02E2C">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47B193F0" w:rsidR="00CF4CB6" w:rsidRDefault="00CF4C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CF4CB6" w:rsidRPr="00883450" w:rsidRDefault="00CF4CB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54BBB" w:rsidRPr="00C54BB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54BBB" w:rsidRPr="00C54BBB">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0A9A2B26" w:rsidR="00CF4CB6" w:rsidRPr="00883450" w:rsidRDefault="00CF4CB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CA78" w14:textId="77777777" w:rsidR="0085732A" w:rsidRDefault="0085732A" w:rsidP="00587366">
      <w:r>
        <w:separator/>
      </w:r>
    </w:p>
  </w:footnote>
  <w:footnote w:type="continuationSeparator" w:id="0">
    <w:p w14:paraId="53E09CA2" w14:textId="77777777" w:rsidR="0085732A" w:rsidRDefault="0085732A" w:rsidP="00587366">
      <w:r>
        <w:continuationSeparator/>
      </w:r>
    </w:p>
  </w:footnote>
  <w:footnote w:id="1">
    <w:p w14:paraId="32D56466" w14:textId="77777777" w:rsidR="00CF4CB6" w:rsidRDefault="00CF4CB6" w:rsidP="008E4483">
      <w:pPr>
        <w:pStyle w:val="Textonotapie"/>
      </w:pPr>
      <w:r>
        <w:rPr>
          <w:rStyle w:val="Refdenotaalpie"/>
        </w:rPr>
        <w:footnoteRef/>
      </w:r>
      <w:r>
        <w:t xml:space="preserve"> Convención Americana sobre Derechos Humanos. Artículo 13.</w:t>
      </w:r>
    </w:p>
  </w:footnote>
  <w:footnote w:id="2">
    <w:p w14:paraId="3F7967D5" w14:textId="77777777" w:rsidR="00CF4CB6" w:rsidRDefault="00CF4CB6"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CF4CB6" w:rsidRDefault="00CF4CB6"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CF4CB6" w:rsidRDefault="00CF4CB6" w:rsidP="008E4483">
      <w:pPr>
        <w:pStyle w:val="Textonotapie"/>
      </w:pPr>
      <w:r>
        <w:rPr>
          <w:rStyle w:val="Refdenotaalpie"/>
        </w:rPr>
        <w:footnoteRef/>
      </w:r>
      <w:r>
        <w:t xml:space="preserve"> Ibídem. Parr. 87.</w:t>
      </w:r>
    </w:p>
  </w:footnote>
  <w:footnote w:id="5">
    <w:p w14:paraId="1C437D52" w14:textId="77777777" w:rsidR="00CF4CB6" w:rsidRDefault="00CF4CB6"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CF4CB6" w:rsidRDefault="00CF4CB6" w:rsidP="008E4483">
      <w:pPr>
        <w:pStyle w:val="Textonotapie"/>
      </w:pPr>
      <w:r>
        <w:t>II. Eficacia: Obligación del Instituto para tutelar, de manera efectiva, el derecho de acceso a la información;</w:t>
      </w:r>
    </w:p>
    <w:p w14:paraId="707D8AAF" w14:textId="77777777" w:rsidR="00CF4CB6" w:rsidRDefault="00CF4CB6" w:rsidP="008E4483">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F4CB6" w:rsidRPr="00025127" w14:paraId="07F2896E" w14:textId="77777777" w:rsidTr="00FA0F09">
      <w:trPr>
        <w:trHeight w:val="138"/>
        <w:jc w:val="right"/>
      </w:trPr>
      <w:tc>
        <w:tcPr>
          <w:tcW w:w="3260" w:type="dxa"/>
          <w:vAlign w:val="center"/>
        </w:tcPr>
        <w:p w14:paraId="4A5B1974" w14:textId="44CA9AFE" w:rsidR="00CF4CB6" w:rsidRPr="00025127" w:rsidRDefault="00CF4CB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9DC755D" w:rsidR="00CF4CB6" w:rsidRPr="00025127" w:rsidRDefault="00CF4CB6" w:rsidP="005F1362">
          <w:pPr>
            <w:pStyle w:val="Encabezado"/>
            <w:jc w:val="both"/>
            <w:rPr>
              <w:rFonts w:ascii="Palatino Linotype" w:hAnsi="Palatino Linotype"/>
              <w:b/>
              <w:sz w:val="22"/>
              <w:szCs w:val="22"/>
            </w:rPr>
          </w:pPr>
          <w:r>
            <w:rPr>
              <w:rFonts w:ascii="Palatino Linotype" w:hAnsi="Palatino Linotype"/>
              <w:b/>
              <w:sz w:val="22"/>
              <w:szCs w:val="22"/>
            </w:rPr>
            <w:t>06338</w:t>
          </w:r>
          <w:r w:rsidRPr="00025127">
            <w:rPr>
              <w:rFonts w:ascii="Palatino Linotype" w:hAnsi="Palatino Linotype"/>
              <w:b/>
              <w:sz w:val="22"/>
              <w:szCs w:val="22"/>
            </w:rPr>
            <w:t>/INFOEM/IP/RR/</w:t>
          </w:r>
          <w:r>
            <w:rPr>
              <w:rFonts w:ascii="Palatino Linotype" w:hAnsi="Palatino Linotype"/>
              <w:b/>
              <w:sz w:val="22"/>
              <w:szCs w:val="22"/>
            </w:rPr>
            <w:t>2021</w:t>
          </w:r>
        </w:p>
      </w:tc>
    </w:tr>
    <w:tr w:rsidR="00CF4CB6" w:rsidRPr="00025127" w14:paraId="1B5D8690" w14:textId="77777777" w:rsidTr="00FA0F09">
      <w:trPr>
        <w:trHeight w:val="233"/>
        <w:jc w:val="right"/>
      </w:trPr>
      <w:tc>
        <w:tcPr>
          <w:tcW w:w="3260" w:type="dxa"/>
          <w:vAlign w:val="center"/>
        </w:tcPr>
        <w:p w14:paraId="3903F2C6" w14:textId="22D569F8" w:rsidR="00CF4CB6" w:rsidRPr="00025127" w:rsidRDefault="00CF4CB6"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93F0CDB" w:rsidR="00CF4CB6" w:rsidRPr="00025127" w:rsidRDefault="00CF4CB6" w:rsidP="000F55C1">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CF4CB6" w:rsidRPr="00025127" w14:paraId="095EB01B" w14:textId="77777777" w:rsidTr="00FA0F09">
      <w:trPr>
        <w:trHeight w:val="321"/>
        <w:jc w:val="right"/>
      </w:trPr>
      <w:tc>
        <w:tcPr>
          <w:tcW w:w="3260" w:type="dxa"/>
          <w:vAlign w:val="center"/>
        </w:tcPr>
        <w:p w14:paraId="6E000A51" w14:textId="05E1861A" w:rsidR="00CF4CB6" w:rsidRPr="00025127" w:rsidRDefault="00CF4CB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F4CB6" w:rsidRPr="00025127" w:rsidRDefault="00CF4CB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CF4CB6" w:rsidRDefault="00CF4CB6"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CF4CB6" w:rsidRDefault="0085732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F4CB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F4CB6" w:rsidRPr="00025127" w14:paraId="0A3256F2" w14:textId="77777777" w:rsidTr="006E6B65">
      <w:trPr>
        <w:trHeight w:val="138"/>
        <w:jc w:val="right"/>
      </w:trPr>
      <w:tc>
        <w:tcPr>
          <w:tcW w:w="3261" w:type="dxa"/>
          <w:vAlign w:val="center"/>
        </w:tcPr>
        <w:p w14:paraId="3D80769D" w14:textId="316F11F8" w:rsidR="00CF4CB6" w:rsidRPr="00025127" w:rsidRDefault="00CF4CB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1237988" w:rsidR="00CF4CB6" w:rsidRPr="00025127" w:rsidRDefault="00CF4CB6" w:rsidP="005F1362">
          <w:pPr>
            <w:pStyle w:val="Encabezado"/>
            <w:rPr>
              <w:rFonts w:ascii="Palatino Linotype" w:hAnsi="Palatino Linotype"/>
              <w:b/>
              <w:sz w:val="22"/>
              <w:szCs w:val="22"/>
            </w:rPr>
          </w:pPr>
          <w:r>
            <w:rPr>
              <w:rFonts w:ascii="Palatino Linotype" w:hAnsi="Palatino Linotype"/>
              <w:b/>
              <w:sz w:val="22"/>
              <w:szCs w:val="22"/>
            </w:rPr>
            <w:t>06338</w:t>
          </w:r>
          <w:r w:rsidRPr="00025127">
            <w:rPr>
              <w:rFonts w:ascii="Palatino Linotype" w:hAnsi="Palatino Linotype"/>
              <w:b/>
              <w:sz w:val="22"/>
              <w:szCs w:val="22"/>
            </w:rPr>
            <w:t>/INFOEM/IP/RR/</w:t>
          </w:r>
          <w:r>
            <w:rPr>
              <w:rFonts w:ascii="Palatino Linotype" w:hAnsi="Palatino Linotype"/>
              <w:b/>
              <w:sz w:val="22"/>
              <w:szCs w:val="22"/>
            </w:rPr>
            <w:t>2021</w:t>
          </w:r>
        </w:p>
      </w:tc>
    </w:tr>
    <w:tr w:rsidR="00CF4CB6" w:rsidRPr="00025127" w14:paraId="128C8B3C" w14:textId="77777777" w:rsidTr="006E6B65">
      <w:trPr>
        <w:trHeight w:val="233"/>
        <w:jc w:val="right"/>
      </w:trPr>
      <w:tc>
        <w:tcPr>
          <w:tcW w:w="3261" w:type="dxa"/>
          <w:vAlign w:val="center"/>
        </w:tcPr>
        <w:p w14:paraId="483E3371" w14:textId="66B1BC74" w:rsidR="00CF4CB6" w:rsidRPr="00025127" w:rsidRDefault="00CF4CB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7A054F50" w:rsidR="00CF4CB6" w:rsidRPr="00025127" w:rsidRDefault="00CF4CB6" w:rsidP="0058757A">
          <w:pPr>
            <w:pStyle w:val="Encabezado"/>
            <w:rPr>
              <w:rFonts w:ascii="Palatino Linotype" w:hAnsi="Palatino Linotype"/>
              <w:b/>
              <w:sz w:val="22"/>
              <w:szCs w:val="22"/>
            </w:rPr>
          </w:pPr>
        </w:p>
      </w:tc>
    </w:tr>
    <w:tr w:rsidR="00CF4CB6" w:rsidRPr="00025127" w14:paraId="41BE0704" w14:textId="77777777" w:rsidTr="006E6B65">
      <w:trPr>
        <w:trHeight w:val="321"/>
        <w:jc w:val="right"/>
      </w:trPr>
      <w:tc>
        <w:tcPr>
          <w:tcW w:w="3261" w:type="dxa"/>
          <w:vAlign w:val="center"/>
        </w:tcPr>
        <w:p w14:paraId="34C64148" w14:textId="10C6C8A9" w:rsidR="00CF4CB6" w:rsidRPr="00025127" w:rsidRDefault="00CF4CB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1BEB686" w:rsidR="00CF4CB6" w:rsidRPr="00025127" w:rsidRDefault="00CF4CB6" w:rsidP="00AD2718">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CF4CB6" w:rsidRPr="00025127" w14:paraId="0C8B6193" w14:textId="77777777" w:rsidTr="006E6B65">
      <w:trPr>
        <w:trHeight w:val="321"/>
        <w:jc w:val="right"/>
      </w:trPr>
      <w:tc>
        <w:tcPr>
          <w:tcW w:w="3261" w:type="dxa"/>
          <w:vAlign w:val="center"/>
        </w:tcPr>
        <w:p w14:paraId="321FFAFF" w14:textId="0E8C2CE7" w:rsidR="00CF4CB6" w:rsidRPr="00025127" w:rsidRDefault="00CF4CB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CF4CB6" w:rsidRPr="00025127" w:rsidRDefault="00CF4CB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CF4CB6" w:rsidRDefault="00CF4CB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E31C2D"/>
    <w:multiLevelType w:val="hybridMultilevel"/>
    <w:tmpl w:val="3D3442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190DCD"/>
    <w:multiLevelType w:val="hybridMultilevel"/>
    <w:tmpl w:val="6862D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875C07"/>
    <w:multiLevelType w:val="hybridMultilevel"/>
    <w:tmpl w:val="9FEA52C6"/>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17">
      <w:start w:val="1"/>
      <w:numFmt w:val="lowerLetter"/>
      <w:lvlText w:val="%2)"/>
      <w:lvlJc w:val="left"/>
      <w:pPr>
        <w:ind w:left="1080" w:hanging="360"/>
      </w:pPr>
      <w:rPr>
        <w:rFonts w:hint="default"/>
        <w:b/>
        <w:bCs/>
      </w:rPr>
    </w:lvl>
    <w:lvl w:ilvl="2" w:tplc="ADF4FFE6">
      <w:start w:val="1"/>
      <w:numFmt w:val="lowerLetter"/>
      <w:lvlText w:val="%3)"/>
      <w:lvlJc w:val="left"/>
      <w:pPr>
        <w:ind w:left="1800" w:hanging="180"/>
      </w:pPr>
      <w:rPr>
        <w:b/>
        <w:bCs/>
      </w:rPr>
    </w:lvl>
    <w:lvl w:ilvl="3" w:tplc="D4BE1BA8">
      <w:start w:val="1"/>
      <w:numFmt w:val="lowerRoman"/>
      <w:lvlText w:val="%4."/>
      <w:lvlJc w:val="right"/>
      <w:pPr>
        <w:ind w:left="2520" w:hanging="360"/>
      </w:pPr>
      <w:rPr>
        <w:b/>
        <w:bCs/>
      </w:rPr>
    </w:lvl>
    <w:lvl w:ilvl="4" w:tplc="080A0019" w:tentative="1">
      <w:start w:val="1"/>
      <w:numFmt w:val="lowerLetter"/>
      <w:lvlText w:val="%5."/>
      <w:lvlJc w:val="left"/>
      <w:pPr>
        <w:ind w:left="3240" w:hanging="360"/>
      </w:pPr>
    </w:lvl>
    <w:lvl w:ilvl="5" w:tplc="080A001B">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0"/>
  </w:num>
  <w:num w:numId="4">
    <w:abstractNumId w:val="18"/>
  </w:num>
  <w:num w:numId="5">
    <w:abstractNumId w:val="25"/>
  </w:num>
  <w:num w:numId="6">
    <w:abstractNumId w:val="26"/>
  </w:num>
  <w:num w:numId="7">
    <w:abstractNumId w:val="21"/>
  </w:num>
  <w:num w:numId="8">
    <w:abstractNumId w:val="29"/>
  </w:num>
  <w:num w:numId="9">
    <w:abstractNumId w:val="19"/>
  </w:num>
  <w:num w:numId="10">
    <w:abstractNumId w:val="20"/>
  </w:num>
  <w:num w:numId="11">
    <w:abstractNumId w:val="3"/>
  </w:num>
  <w:num w:numId="12">
    <w:abstractNumId w:val="17"/>
  </w:num>
  <w:num w:numId="13">
    <w:abstractNumId w:val="10"/>
  </w:num>
  <w:num w:numId="14">
    <w:abstractNumId w:val="7"/>
  </w:num>
  <w:num w:numId="15">
    <w:abstractNumId w:val="6"/>
  </w:num>
  <w:num w:numId="16">
    <w:abstractNumId w:val="4"/>
  </w:num>
  <w:num w:numId="17">
    <w:abstractNumId w:val="27"/>
  </w:num>
  <w:num w:numId="18">
    <w:abstractNumId w:val="14"/>
  </w:num>
  <w:num w:numId="19">
    <w:abstractNumId w:val="24"/>
  </w:num>
  <w:num w:numId="20">
    <w:abstractNumId w:val="34"/>
  </w:num>
  <w:num w:numId="21">
    <w:abstractNumId w:val="12"/>
  </w:num>
  <w:num w:numId="22">
    <w:abstractNumId w:val="13"/>
  </w:num>
  <w:num w:numId="23">
    <w:abstractNumId w:val="2"/>
  </w:num>
  <w:num w:numId="24">
    <w:abstractNumId w:val="11"/>
  </w:num>
  <w:num w:numId="25">
    <w:abstractNumId w:val="15"/>
  </w:num>
  <w:num w:numId="26">
    <w:abstractNumId w:val="9"/>
  </w:num>
  <w:num w:numId="27">
    <w:abstractNumId w:val="32"/>
  </w:num>
  <w:num w:numId="28">
    <w:abstractNumId w:val="8"/>
  </w:num>
  <w:num w:numId="29">
    <w:abstractNumId w:val="33"/>
  </w:num>
  <w:num w:numId="30">
    <w:abstractNumId w:val="22"/>
  </w:num>
  <w:num w:numId="31">
    <w:abstractNumId w:val="28"/>
  </w:num>
  <w:num w:numId="32">
    <w:abstractNumId w:val="16"/>
  </w:num>
  <w:num w:numId="33">
    <w:abstractNumId w:val="30"/>
  </w:num>
  <w:num w:numId="34">
    <w:abstractNumId w:val="1"/>
  </w:num>
  <w:num w:numId="35">
    <w:abstractNumId w:val="31"/>
  </w:num>
  <w:num w:numId="3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BB7"/>
    <w:rsid w:val="00022D89"/>
    <w:rsid w:val="000236A3"/>
    <w:rsid w:val="00024849"/>
    <w:rsid w:val="00024F35"/>
    <w:rsid w:val="00025127"/>
    <w:rsid w:val="00025266"/>
    <w:rsid w:val="0003063D"/>
    <w:rsid w:val="00031D37"/>
    <w:rsid w:val="00031F10"/>
    <w:rsid w:val="00031F98"/>
    <w:rsid w:val="00032493"/>
    <w:rsid w:val="00037825"/>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20F"/>
    <w:rsid w:val="000953E2"/>
    <w:rsid w:val="00095BB9"/>
    <w:rsid w:val="0009663D"/>
    <w:rsid w:val="000A2540"/>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07C9"/>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0A1"/>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A"/>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64564"/>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1D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54F"/>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487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048B"/>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183"/>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6CDD"/>
    <w:rsid w:val="00766E0D"/>
    <w:rsid w:val="007674F3"/>
    <w:rsid w:val="00767CD2"/>
    <w:rsid w:val="00770859"/>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5732A"/>
    <w:rsid w:val="00860A1E"/>
    <w:rsid w:val="00861622"/>
    <w:rsid w:val="00861F40"/>
    <w:rsid w:val="00863125"/>
    <w:rsid w:val="008662C0"/>
    <w:rsid w:val="0087030B"/>
    <w:rsid w:val="008705E1"/>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1D9F"/>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6F08"/>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6B6F"/>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86F"/>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35D"/>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10E7"/>
    <w:rsid w:val="00A6116B"/>
    <w:rsid w:val="00A61DCD"/>
    <w:rsid w:val="00A62B7B"/>
    <w:rsid w:val="00A64F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33D3"/>
    <w:rsid w:val="00AD3DB4"/>
    <w:rsid w:val="00AD5133"/>
    <w:rsid w:val="00AD5712"/>
    <w:rsid w:val="00AD6AC5"/>
    <w:rsid w:val="00AD76A1"/>
    <w:rsid w:val="00AE31D5"/>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240"/>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2E2C"/>
    <w:rsid w:val="00C039DD"/>
    <w:rsid w:val="00C04666"/>
    <w:rsid w:val="00C04D22"/>
    <w:rsid w:val="00C06C02"/>
    <w:rsid w:val="00C11482"/>
    <w:rsid w:val="00C1254E"/>
    <w:rsid w:val="00C12A1B"/>
    <w:rsid w:val="00C12E38"/>
    <w:rsid w:val="00C14CDF"/>
    <w:rsid w:val="00C150E0"/>
    <w:rsid w:val="00C150F6"/>
    <w:rsid w:val="00C15F97"/>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4BBB"/>
    <w:rsid w:val="00C55FE8"/>
    <w:rsid w:val="00C601EF"/>
    <w:rsid w:val="00C6220B"/>
    <w:rsid w:val="00C62658"/>
    <w:rsid w:val="00C634D6"/>
    <w:rsid w:val="00C63CF2"/>
    <w:rsid w:val="00C6440A"/>
    <w:rsid w:val="00C648FC"/>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7D15"/>
    <w:rsid w:val="00CE7E6A"/>
    <w:rsid w:val="00CF030B"/>
    <w:rsid w:val="00CF23A2"/>
    <w:rsid w:val="00CF4CB6"/>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F52"/>
    <w:rsid w:val="00E82B54"/>
    <w:rsid w:val="00E8380C"/>
    <w:rsid w:val="00E838B2"/>
    <w:rsid w:val="00E84271"/>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115D"/>
    <w:rsid w:val="00EC152A"/>
    <w:rsid w:val="00EC3328"/>
    <w:rsid w:val="00EC34A9"/>
    <w:rsid w:val="00EC3934"/>
    <w:rsid w:val="00EC437F"/>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06619759">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enio.com/politica/ayuntamiento-toluca-vender-10-predios-pagar-deuda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spm.mx/edomex/busca-ayuntamiento-de-toluca-subastar-10-predios-para-subsanar-finanzas-del-municipi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bertura360.mx/2021/12/07/negocios/el-ayuntamiento-de-toluca-vendera-10-predios-para-pagar-pasivos/" TargetMode="External"/><Relationship Id="rId4" Type="http://schemas.openxmlformats.org/officeDocument/2006/relationships/settings" Target="settings.xml"/><Relationship Id="rId9" Type="http://schemas.openxmlformats.org/officeDocument/2006/relationships/hyperlink" Target="https://www.elsoldetoluca.com.mx/local/buscara-toluca-vender-diez-predios-para-pagar-pasivos-7570491.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FDDB4-266E-490F-A7DE-89448F15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8048</Words>
  <Characters>44269</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19</cp:revision>
  <cp:lastPrinted>2019-12-11T01:19:00Z</cp:lastPrinted>
  <dcterms:created xsi:type="dcterms:W3CDTF">2022-02-08T20:00:00Z</dcterms:created>
  <dcterms:modified xsi:type="dcterms:W3CDTF">2022-02-16T19:24:00Z</dcterms:modified>
</cp:coreProperties>
</file>