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AA4FB" w14:textId="651C2EF2" w:rsidR="0022454F" w:rsidRDefault="0022454F" w:rsidP="0022454F">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diez de agosto de dos mil veintidós.</w:t>
      </w:r>
    </w:p>
    <w:p w14:paraId="4558185C" w14:textId="77777777" w:rsidR="0022454F" w:rsidRDefault="0022454F" w:rsidP="0022454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05104/INFOEM/IP/RR/2022</w:t>
      </w:r>
      <w:r>
        <w:rPr>
          <w:rFonts w:ascii="Palatino Linotype" w:eastAsia="Palatino Linotype" w:hAnsi="Palatino Linotype" w:cs="Palatino Linotype"/>
          <w:sz w:val="24"/>
          <w:szCs w:val="24"/>
        </w:rPr>
        <w:t xml:space="preserve">, interpuesto por un particular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sidRPr="0022454F">
        <w:rPr>
          <w:rFonts w:ascii="Palatino Linotype" w:eastAsia="Palatino Linotype" w:hAnsi="Palatino Linotype" w:cs="Palatino Linotype"/>
          <w:b/>
          <w:sz w:val="24"/>
          <w:szCs w:val="24"/>
        </w:rPr>
        <w:t>00857/OASMETEPEC/IP/2022</w:t>
      </w:r>
      <w:r>
        <w:rPr>
          <w:rFonts w:ascii="Palatino Linotype" w:eastAsia="Palatino Linotype" w:hAnsi="Palatino Linotype" w:cs="Palatino Linotype"/>
          <w:sz w:val="24"/>
          <w:szCs w:val="24"/>
        </w:rPr>
        <w:t xml:space="preserve">, por parte del Organismo Público Descentralizado para la Prestación de Los Servicios de Agua Potable Alcantarillado y Saneamiento del Municipio de Metepec,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5FAB5FD4" w14:textId="77777777" w:rsidR="0022454F" w:rsidRDefault="0022454F" w:rsidP="0022454F">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 N T E C E D E N T E S   </w:t>
      </w:r>
    </w:p>
    <w:p w14:paraId="4C88431F" w14:textId="77777777" w:rsidR="0022454F" w:rsidRDefault="0022454F" w:rsidP="0022454F">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tres de marzo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sidRPr="0022454F">
        <w:rPr>
          <w:rFonts w:ascii="Palatino Linotype" w:eastAsia="Palatino Linotype" w:hAnsi="Palatino Linotype" w:cs="Palatino Linotype"/>
          <w:b/>
          <w:sz w:val="24"/>
          <w:szCs w:val="24"/>
        </w:rPr>
        <w:t>00857/OASMETEPEC/IP/2022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2283E6D0" w14:textId="77777777" w:rsidR="0022454F" w:rsidRDefault="0022454F" w:rsidP="0022454F">
      <w:pPr>
        <w:spacing w:before="240" w:after="240" w:line="276" w:lineRule="auto"/>
        <w:ind w:left="709" w:right="758"/>
        <w:jc w:val="both"/>
        <w:rPr>
          <w:rFonts w:ascii="Palatino Linotype" w:eastAsia="Palatino Linotype" w:hAnsi="Palatino Linotype" w:cs="Palatino Linotype"/>
          <w:i/>
          <w:color w:val="000000"/>
        </w:rPr>
      </w:pPr>
      <w:bookmarkStart w:id="0" w:name="_heading=h.30j0zll" w:colFirst="0" w:colLast="0"/>
      <w:bookmarkEnd w:id="0"/>
      <w:r>
        <w:rPr>
          <w:rFonts w:ascii="Palatino Linotype" w:eastAsia="Palatino Linotype" w:hAnsi="Palatino Linotype" w:cs="Palatino Linotype"/>
          <w:i/>
          <w:color w:val="000000"/>
        </w:rPr>
        <w:t>“</w:t>
      </w:r>
      <w:r w:rsidRPr="0022454F">
        <w:rPr>
          <w:rFonts w:ascii="Palatino Linotype" w:eastAsia="Palatino Linotype" w:hAnsi="Palatino Linotype" w:cs="Palatino Linotype"/>
          <w:i/>
          <w:color w:val="000000"/>
        </w:rPr>
        <w:t>Se solicita prueba documental en pdf, de las bitacoras vehiculares y de gasolina del 3 de Marzo de 2022</w:t>
      </w:r>
      <w:r>
        <w:rPr>
          <w:rFonts w:ascii="Palatino Linotype" w:eastAsia="Palatino Linotype" w:hAnsi="Palatino Linotype" w:cs="Palatino Linotype"/>
          <w:i/>
          <w:color w:val="000000"/>
        </w:rPr>
        <w:t>” (Sic).</w:t>
      </w:r>
    </w:p>
    <w:p w14:paraId="393A7847" w14:textId="77777777" w:rsidR="0022454F" w:rsidRDefault="0022454F" w:rsidP="0022454F">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132516E9" w14:textId="77777777" w:rsidR="0022454F" w:rsidRDefault="0022454F" w:rsidP="0022454F">
      <w:pPr>
        <w:spacing w:before="240" w:after="24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veinticinco de marzo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10EC9754" w14:textId="77777777" w:rsidR="0022454F" w:rsidRPr="0022454F" w:rsidRDefault="0022454F" w:rsidP="0022454F">
      <w:pPr>
        <w:ind w:left="851" w:right="900"/>
        <w:jc w:val="both"/>
        <w:rPr>
          <w:rFonts w:ascii="Palatino Linotype" w:eastAsia="Palatino Linotype" w:hAnsi="Palatino Linotype" w:cs="Palatino Linotype"/>
          <w:i/>
        </w:rPr>
      </w:pPr>
      <w:r w:rsidRPr="0022454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762B35" w14:textId="77777777" w:rsidR="0022454F" w:rsidRPr="0022454F" w:rsidRDefault="0022454F" w:rsidP="0022454F">
      <w:pPr>
        <w:ind w:left="851" w:right="900"/>
        <w:jc w:val="both"/>
        <w:rPr>
          <w:rFonts w:ascii="Palatino Linotype" w:eastAsia="Palatino Linotype" w:hAnsi="Palatino Linotype" w:cs="Palatino Linotype"/>
          <w:i/>
        </w:rPr>
      </w:pPr>
      <w:r w:rsidRPr="0022454F">
        <w:rPr>
          <w:rFonts w:ascii="Palatino Linotype" w:eastAsia="Palatino Linotype" w:hAnsi="Palatino Linotype" w:cs="Palatino Linotype"/>
          <w:i/>
        </w:rPr>
        <w:t>se anexa respuesta a su solicitud</w:t>
      </w:r>
    </w:p>
    <w:p w14:paraId="53648B36" w14:textId="77777777" w:rsidR="0022454F" w:rsidRPr="0022454F" w:rsidRDefault="0022454F" w:rsidP="0022454F">
      <w:pPr>
        <w:ind w:left="851" w:right="900"/>
        <w:jc w:val="both"/>
        <w:rPr>
          <w:rFonts w:ascii="Palatino Linotype" w:eastAsia="Palatino Linotype" w:hAnsi="Palatino Linotype" w:cs="Palatino Linotype"/>
          <w:i/>
        </w:rPr>
      </w:pPr>
      <w:r w:rsidRPr="0022454F">
        <w:rPr>
          <w:rFonts w:ascii="Palatino Linotype" w:eastAsia="Palatino Linotype" w:hAnsi="Palatino Linotype" w:cs="Palatino Linotype"/>
          <w:i/>
        </w:rPr>
        <w:t>ATENTAMENTE</w:t>
      </w:r>
    </w:p>
    <w:p w14:paraId="533D733A" w14:textId="77777777" w:rsidR="0022454F" w:rsidRDefault="0022454F" w:rsidP="0022454F">
      <w:pPr>
        <w:ind w:left="851" w:right="900"/>
        <w:jc w:val="both"/>
      </w:pPr>
      <w:r w:rsidRPr="0022454F">
        <w:rPr>
          <w:rFonts w:ascii="Palatino Linotype" w:eastAsia="Palatino Linotype" w:hAnsi="Palatino Linotype" w:cs="Palatino Linotype"/>
          <w:i/>
        </w:rPr>
        <w:t>C. Marìa Guadalupe Hernàndez Cajero</w:t>
      </w:r>
    </w:p>
    <w:p w14:paraId="777A6563" w14:textId="77777777" w:rsidR="0022454F" w:rsidRDefault="0022454F" w:rsidP="0022454F"/>
    <w:p w14:paraId="2D9087B1" w14:textId="77777777" w:rsidR="0022454F" w:rsidRDefault="0022454F" w:rsidP="0022454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el siguiente archivo electrónico: </w:t>
      </w:r>
    </w:p>
    <w:p w14:paraId="1CB26D8A" w14:textId="566812C6" w:rsidR="0022454F" w:rsidRDefault="0022454F" w:rsidP="0022454F">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w:t>
      </w:r>
      <w:r w:rsidRPr="0022454F">
        <w:rPr>
          <w:rFonts w:ascii="Palatino Linotype" w:eastAsia="Palatino Linotype" w:hAnsi="Palatino Linotype" w:cs="Palatino Linotype"/>
          <w:b/>
          <w:color w:val="000000"/>
          <w:sz w:val="24"/>
          <w:szCs w:val="24"/>
          <w:u w:val="single"/>
        </w:rPr>
        <w:t>respuesta 857.pdf</w:t>
      </w:r>
      <w:r>
        <w:rPr>
          <w:rFonts w:ascii="Palatino Linotype" w:eastAsia="Palatino Linotype" w:hAnsi="Palatino Linotype" w:cs="Palatino Linotype"/>
          <w:b/>
          <w:color w:val="000000"/>
          <w:sz w:val="24"/>
          <w:szCs w:val="24"/>
          <w:u w:val="single"/>
        </w:rPr>
        <w:t xml:space="preserve">” </w:t>
      </w:r>
      <w:r>
        <w:rPr>
          <w:rFonts w:ascii="Palatino Linotype" w:eastAsia="Palatino Linotype" w:hAnsi="Palatino Linotype" w:cs="Palatino Linotype"/>
          <w:color w:val="000000"/>
          <w:sz w:val="24"/>
          <w:szCs w:val="24"/>
        </w:rPr>
        <w:t xml:space="preserve">Oficio OPDAPAS/UT/465/2022 de fecha veinticinco de marzo de dos mil </w:t>
      </w:r>
      <w:r w:rsidR="002623C8">
        <w:rPr>
          <w:rFonts w:ascii="Palatino Linotype" w:eastAsia="Palatino Linotype" w:hAnsi="Palatino Linotype" w:cs="Palatino Linotype"/>
          <w:color w:val="000000"/>
          <w:sz w:val="24"/>
          <w:szCs w:val="24"/>
        </w:rPr>
        <w:t>veintidós</w:t>
      </w:r>
      <w:r w:rsidR="0035055C">
        <w:rPr>
          <w:rFonts w:ascii="Palatino Linotype" w:eastAsia="Palatino Linotype" w:hAnsi="Palatino Linotype" w:cs="Palatino Linotype"/>
          <w:color w:val="000000"/>
          <w:sz w:val="24"/>
          <w:szCs w:val="24"/>
        </w:rPr>
        <w:t xml:space="preserve">, signado por el Titular de la Unidad de Transparencia mediante el cual menciona que anexa la </w:t>
      </w:r>
      <w:r w:rsidR="002623C8">
        <w:rPr>
          <w:rFonts w:ascii="Palatino Linotype" w:eastAsia="Palatino Linotype" w:hAnsi="Palatino Linotype" w:cs="Palatino Linotype"/>
          <w:color w:val="000000"/>
          <w:sz w:val="24"/>
          <w:szCs w:val="24"/>
        </w:rPr>
        <w:t xml:space="preserve">respuesta emitida por </w:t>
      </w:r>
      <w:r w:rsidR="0035055C">
        <w:rPr>
          <w:rFonts w:ascii="Palatino Linotype" w:eastAsia="Palatino Linotype" w:hAnsi="Palatino Linotype" w:cs="Palatino Linotype"/>
          <w:color w:val="000000"/>
          <w:sz w:val="24"/>
          <w:szCs w:val="24"/>
        </w:rPr>
        <w:t>el</w:t>
      </w:r>
      <w:r w:rsidR="002623C8">
        <w:rPr>
          <w:rFonts w:ascii="Palatino Linotype" w:eastAsia="Palatino Linotype" w:hAnsi="Palatino Linotype" w:cs="Palatino Linotype"/>
          <w:color w:val="000000"/>
          <w:sz w:val="24"/>
          <w:szCs w:val="24"/>
        </w:rPr>
        <w:t xml:space="preserve"> Subdirector de Administración a la solicitud de información, tal como se advierte a continuación: </w:t>
      </w:r>
    </w:p>
    <w:p w14:paraId="0421119E" w14:textId="77777777" w:rsidR="0035055C" w:rsidRPr="0022454F" w:rsidRDefault="0035055C" w:rsidP="0035055C">
      <w:pPr>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7B98C7E6" wp14:editId="2F39B7E5">
            <wp:extent cx="4514850" cy="56614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284" t="15993" r="33639" b="12493"/>
                    <a:stretch/>
                  </pic:blipFill>
                  <pic:spPr bwMode="auto">
                    <a:xfrm>
                      <a:off x="0" y="0"/>
                      <a:ext cx="4522057" cy="5670516"/>
                    </a:xfrm>
                    <a:prstGeom prst="rect">
                      <a:avLst/>
                    </a:prstGeom>
                    <a:ln>
                      <a:noFill/>
                    </a:ln>
                    <a:extLst>
                      <a:ext uri="{53640926-AAD7-44D8-BBD7-CCE9431645EC}">
                        <a14:shadowObscured xmlns:a14="http://schemas.microsoft.com/office/drawing/2010/main"/>
                      </a:ext>
                    </a:extLst>
                  </pic:spPr>
                </pic:pic>
              </a:graphicData>
            </a:graphic>
          </wp:inline>
        </w:drawing>
      </w:r>
    </w:p>
    <w:p w14:paraId="03AD7CA5" w14:textId="7F654618" w:rsidR="0035055C" w:rsidRDefault="0022454F" w:rsidP="0022454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u w:val="single"/>
        </w:rPr>
        <w:t>“</w:t>
      </w:r>
      <w:r w:rsidRPr="0022454F">
        <w:rPr>
          <w:rFonts w:ascii="Palatino Linotype" w:eastAsia="Palatino Linotype" w:hAnsi="Palatino Linotype" w:cs="Palatino Linotype"/>
          <w:b/>
          <w:color w:val="000000"/>
          <w:sz w:val="24"/>
          <w:szCs w:val="24"/>
          <w:u w:val="single"/>
        </w:rPr>
        <w:t>857.pdf</w:t>
      </w:r>
      <w:r>
        <w:rPr>
          <w:rFonts w:ascii="Palatino Linotype" w:eastAsia="Palatino Linotype" w:hAnsi="Palatino Linotype" w:cs="Palatino Linotype"/>
          <w:sz w:val="24"/>
          <w:szCs w:val="24"/>
        </w:rPr>
        <w:t>” el cual contiene</w:t>
      </w:r>
      <w:r w:rsidR="0035055C">
        <w:rPr>
          <w:rFonts w:ascii="Palatino Linotype" w:eastAsia="Palatino Linotype" w:hAnsi="Palatino Linotype" w:cs="Palatino Linotype"/>
          <w:sz w:val="24"/>
          <w:szCs w:val="24"/>
        </w:rPr>
        <w:t xml:space="preserve"> el oficio antes descrito, así como el oficio OPDAPAS/SA/0226/2022 de fecha diecisiete de marzo de dos mil veintidós, signado por el Subdirector de Administración, mediante el cual </w:t>
      </w:r>
      <w:bookmarkStart w:id="1" w:name="_Hlk110334235"/>
      <w:r w:rsidR="0035055C">
        <w:rPr>
          <w:rFonts w:ascii="Palatino Linotype" w:eastAsia="Palatino Linotype" w:hAnsi="Palatino Linotype" w:cs="Palatino Linotype"/>
          <w:sz w:val="24"/>
          <w:szCs w:val="24"/>
        </w:rPr>
        <w:t xml:space="preserve">menciona que las Bitácoras </w:t>
      </w:r>
      <w:r w:rsidR="0035055C">
        <w:rPr>
          <w:rFonts w:ascii="Palatino Linotype" w:eastAsia="Palatino Linotype" w:hAnsi="Palatino Linotype" w:cs="Palatino Linotype"/>
          <w:sz w:val="24"/>
          <w:szCs w:val="24"/>
        </w:rPr>
        <w:lastRenderedPageBreak/>
        <w:t>de combustible del día solicitado se encuentra en proceso de elaboración</w:t>
      </w:r>
      <w:bookmarkEnd w:id="1"/>
      <w:r w:rsidR="002623C8">
        <w:rPr>
          <w:rFonts w:ascii="Palatino Linotype" w:eastAsia="Palatino Linotype" w:hAnsi="Palatino Linotype" w:cs="Palatino Linotype"/>
          <w:sz w:val="24"/>
          <w:szCs w:val="24"/>
        </w:rPr>
        <w:t xml:space="preserve">, tal como se aprecia a continuación: </w:t>
      </w:r>
    </w:p>
    <w:p w14:paraId="319379CB" w14:textId="3AA85B1F" w:rsidR="0022454F" w:rsidRDefault="0035055C" w:rsidP="0035055C">
      <w:pPr>
        <w:spacing w:line="360" w:lineRule="auto"/>
        <w:jc w:val="center"/>
        <w:rPr>
          <w:rFonts w:ascii="Palatino Linotype" w:eastAsia="Palatino Linotype" w:hAnsi="Palatino Linotype" w:cs="Palatino Linotype"/>
          <w:sz w:val="24"/>
          <w:szCs w:val="24"/>
        </w:rPr>
      </w:pPr>
      <w:r>
        <w:rPr>
          <w:noProof/>
        </w:rPr>
        <w:drawing>
          <wp:inline distT="0" distB="0" distL="0" distR="0" wp14:anchorId="5450910D" wp14:editId="31D976CA">
            <wp:extent cx="4524375" cy="5991738"/>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4" t="22632" r="34318" b="3440"/>
                    <a:stretch/>
                  </pic:blipFill>
                  <pic:spPr bwMode="auto">
                    <a:xfrm>
                      <a:off x="0" y="0"/>
                      <a:ext cx="4531389" cy="6001027"/>
                    </a:xfrm>
                    <a:prstGeom prst="rect">
                      <a:avLst/>
                    </a:prstGeom>
                    <a:ln>
                      <a:noFill/>
                    </a:ln>
                    <a:extLst>
                      <a:ext uri="{53640926-AAD7-44D8-BBD7-CCE9431645EC}">
                        <a14:shadowObscured xmlns:a14="http://schemas.microsoft.com/office/drawing/2010/main"/>
                      </a:ext>
                    </a:extLst>
                  </pic:spPr>
                </pic:pic>
              </a:graphicData>
            </a:graphic>
          </wp:inline>
        </w:drawing>
      </w:r>
    </w:p>
    <w:p w14:paraId="14DC2BBD" w14:textId="49791FB6" w:rsidR="002E0660" w:rsidRDefault="002E0660" w:rsidP="002E0660">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w:t>
      </w:r>
      <w:r w:rsidR="00D01433">
        <w:rPr>
          <w:rFonts w:ascii="Palatino Linotype" w:eastAsia="Palatino Linotype" w:hAnsi="Palatino Linotype" w:cs="Palatino Linotype"/>
          <w:sz w:val="24"/>
          <w:szCs w:val="24"/>
        </w:rPr>
        <w:t>ocho</w:t>
      </w:r>
      <w:r>
        <w:rPr>
          <w:rFonts w:ascii="Palatino Linotype" w:eastAsia="Palatino Linotype" w:hAnsi="Palatino Linotype" w:cs="Palatino Linotype"/>
          <w:sz w:val="24"/>
          <w:szCs w:val="24"/>
        </w:rPr>
        <w:t xml:space="preserve"> de marzo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w:t>
      </w:r>
      <w:r w:rsidRPr="005F6E3E">
        <w:rPr>
          <w:rFonts w:ascii="Palatino Linotype" w:eastAsia="Palatino Linotype" w:hAnsi="Palatino Linotype" w:cs="Palatino Linotype"/>
          <w:sz w:val="24"/>
          <w:szCs w:val="24"/>
        </w:rPr>
        <w:t xml:space="preserve">número </w:t>
      </w:r>
      <w:r w:rsidR="00315ACA" w:rsidRPr="005F6E3E">
        <w:rPr>
          <w:rFonts w:ascii="Palatino Linotype" w:eastAsia="Palatino Linotype" w:hAnsi="Palatino Linotype" w:cs="Palatino Linotype"/>
          <w:b/>
          <w:sz w:val="24"/>
          <w:szCs w:val="24"/>
        </w:rPr>
        <w:t>05104</w:t>
      </w:r>
      <w:r w:rsidRPr="005F6E3E">
        <w:rPr>
          <w:rFonts w:ascii="Palatino Linotype" w:eastAsia="Palatino Linotype" w:hAnsi="Palatino Linotype" w:cs="Palatino Linotype"/>
          <w:b/>
          <w:sz w:val="24"/>
          <w:szCs w:val="24"/>
        </w:rPr>
        <w:t>/INFOEM/IP/RR/2022</w:t>
      </w:r>
      <w:r>
        <w:rPr>
          <w:rFonts w:ascii="Palatino Linotype" w:eastAsia="Palatino Linotype" w:hAnsi="Palatino Linotype" w:cs="Palatino Linotype"/>
          <w:sz w:val="24"/>
          <w:szCs w:val="24"/>
        </w:rPr>
        <w:t>, en el cual manifiesta, lo siguiente:</w:t>
      </w:r>
    </w:p>
    <w:p w14:paraId="5D86A536" w14:textId="77777777" w:rsidR="002E0660" w:rsidRDefault="002E0660" w:rsidP="002E0660">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117CE143" w14:textId="108E1C2A" w:rsidR="002E0660" w:rsidRDefault="002E0660" w:rsidP="002E0660">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sidRPr="002E0660">
        <w:rPr>
          <w:rFonts w:ascii="Palatino Linotype" w:eastAsia="Palatino Linotype" w:hAnsi="Palatino Linotype" w:cs="Palatino Linotype"/>
          <w:i/>
          <w:color w:val="000000"/>
        </w:rPr>
        <w:t>La respuesta proporcionada por el Sujeto Obligado.</w:t>
      </w:r>
      <w:r>
        <w:rPr>
          <w:rFonts w:ascii="Palatino Linotype" w:eastAsia="Palatino Linotype" w:hAnsi="Palatino Linotype" w:cs="Palatino Linotype"/>
          <w:i/>
        </w:rPr>
        <w:t>” [sic]</w:t>
      </w:r>
    </w:p>
    <w:p w14:paraId="7EDA763E" w14:textId="77777777" w:rsidR="002E0660" w:rsidRDefault="002E0660" w:rsidP="002E0660">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1DF71D7D" w14:textId="7D3DE448" w:rsidR="002E0660" w:rsidRDefault="002E0660" w:rsidP="00EA5700">
      <w:pPr>
        <w:spacing w:before="240" w:after="240" w:line="276" w:lineRule="auto"/>
        <w:ind w:left="851"/>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4"/>
          <w:szCs w:val="24"/>
        </w:rPr>
        <w:t>“</w:t>
      </w:r>
      <w:r w:rsidR="00D356AF" w:rsidRPr="00D356AF">
        <w:rPr>
          <w:rFonts w:ascii="Palatino Linotype" w:eastAsia="Palatino Linotype" w:hAnsi="Palatino Linotype" w:cs="Palatino Linotype"/>
          <w:i/>
          <w:color w:val="000000"/>
        </w:rPr>
        <w:t xml:space="preserve">Se recurre la presente solicitud </w:t>
      </w:r>
      <w:r w:rsidR="00D356AF" w:rsidRPr="00EA5700">
        <w:rPr>
          <w:rFonts w:ascii="Palatino Linotype" w:eastAsia="Palatino Linotype" w:hAnsi="Palatino Linotype" w:cs="Palatino Linotype"/>
          <w:b/>
          <w:i/>
          <w:color w:val="000000"/>
          <w:u w:val="single"/>
        </w:rPr>
        <w:t xml:space="preserve">al haber realizado sin motivación alguna, un cambio de modalidad </w:t>
      </w:r>
      <w:r w:rsidR="00D356AF" w:rsidRPr="00D356AF">
        <w:rPr>
          <w:rFonts w:ascii="Palatino Linotype" w:eastAsia="Palatino Linotype" w:hAnsi="Palatino Linotype" w:cs="Palatino Linotype"/>
          <w:i/>
          <w:color w:val="000000"/>
        </w:rPr>
        <w:t>con el propósito de obstaculizar el ejercicio del derecho de acceso a la información pública, a pesar de haber sido puntual la modalidad de entrega por la vía del Sistema de Acceso a la Información Mexiquense (SAIMEX</w:t>
      </w:r>
      <w:r w:rsidR="00D356AF" w:rsidRPr="00EA5700">
        <w:rPr>
          <w:rFonts w:ascii="Palatino Linotype" w:eastAsia="Palatino Linotype" w:hAnsi="Palatino Linotype" w:cs="Palatino Linotype"/>
          <w:b/>
          <w:i/>
          <w:color w:val="000000"/>
          <w:u w:val="single"/>
        </w:rPr>
        <w:t>). No se acredita que se haya reportado la incidencia al Instituto de Transparencia, Acceso a la Información Pública y Protección de Datos Personales del Estado de México y Municipios</w:t>
      </w:r>
      <w:r w:rsidR="00D356AF" w:rsidRPr="00D356AF">
        <w:rPr>
          <w:rFonts w:ascii="Palatino Linotype" w:eastAsia="Palatino Linotype" w:hAnsi="Palatino Linotype" w:cs="Palatino Linotype"/>
          <w:i/>
          <w:color w:val="000000"/>
        </w:rPr>
        <w:t xml:space="preserve">, ni que el Servidor Público Habilitado haya remitido la información a la Unidad de Transparencia.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w:t>
      </w:r>
      <w:r w:rsidR="00D356AF" w:rsidRPr="00D356AF">
        <w:rPr>
          <w:rFonts w:ascii="Palatino Linotype" w:eastAsia="Palatino Linotype" w:hAnsi="Palatino Linotype" w:cs="Palatino Linotype"/>
          <w:i/>
          <w:color w:val="000000"/>
        </w:rPr>
        <w:lastRenderedPageBreak/>
        <w:t xml:space="preserve">como enlace entre el sujeto obligado y los solicitantes, y tiene bajo su responsabilidad el tramitar internamente las solicitudes de información.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w:t>
      </w:r>
      <w:r w:rsidR="00D356AF" w:rsidRPr="00EA5700">
        <w:rPr>
          <w:rFonts w:ascii="Palatino Linotype" w:eastAsia="Palatino Linotype" w:hAnsi="Palatino Linotype" w:cs="Palatino Linotype"/>
          <w:b/>
          <w:i/>
          <w:color w:val="000000"/>
          <w:u w:val="single"/>
        </w:rPr>
        <w:t>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w:t>
      </w:r>
      <w:r w:rsidR="00D356AF" w:rsidRPr="00D356AF">
        <w:rPr>
          <w:rFonts w:ascii="Palatino Linotype" w:eastAsia="Palatino Linotype" w:hAnsi="Palatino Linotype" w:cs="Palatino Linotype"/>
          <w:i/>
          <w:color w:val="000000"/>
        </w:rPr>
        <w:t xml:space="preserve">.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w:t>
      </w:r>
      <w:r w:rsidR="00D356AF" w:rsidRPr="00D356AF">
        <w:rPr>
          <w:rFonts w:ascii="Palatino Linotype" w:eastAsia="Palatino Linotype" w:hAnsi="Palatino Linotype" w:cs="Palatino Linotype"/>
          <w:i/>
          <w:color w:val="000000"/>
        </w:rPr>
        <w:lastRenderedPageBreak/>
        <w:t xml:space="preserve">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w:t>
      </w:r>
      <w:r w:rsidR="00D356AF" w:rsidRPr="00EA5700">
        <w:rPr>
          <w:rFonts w:ascii="Palatino Linotype" w:eastAsia="Palatino Linotype" w:hAnsi="Palatino Linotype" w:cs="Palatino Linotype"/>
          <w:b/>
          <w:i/>
          <w:color w:val="000000"/>
          <w:u w:val="single"/>
        </w:rPr>
        <w:t>se desprende que este retrasa el acceso a la información publica solicitada, toda vez que emite una respuesta en la cual, pretende sin motivación y justificación alguna cambiar la modalidad de entrega</w:t>
      </w:r>
      <w:r w:rsidR="00D356AF" w:rsidRPr="00D356AF">
        <w:rPr>
          <w:rFonts w:ascii="Palatino Linotype" w:eastAsia="Palatino Linotype" w:hAnsi="Palatino Linotype" w:cs="Palatino Linotype"/>
          <w:i/>
          <w:color w:val="000000"/>
        </w:rPr>
        <w:t xml:space="preserve">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w:t>
      </w:r>
      <w:r w:rsidR="00D356AF" w:rsidRPr="00D356AF">
        <w:rPr>
          <w:rFonts w:ascii="Palatino Linotype" w:eastAsia="Palatino Linotype" w:hAnsi="Palatino Linotype" w:cs="Palatino Linotype"/>
          <w:i/>
          <w:color w:val="000000"/>
        </w:rPr>
        <w:lastRenderedPageBreak/>
        <w:t>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eastAsia="Palatino Linotype" w:hAnsi="Palatino Linotype" w:cs="Palatino Linotype"/>
          <w:i/>
          <w:color w:val="000000"/>
        </w:rPr>
        <w:t xml:space="preserve">” [sic]  </w:t>
      </w:r>
    </w:p>
    <w:p w14:paraId="019707BE" w14:textId="77777777" w:rsidR="00EA5700" w:rsidRDefault="00EA5700" w:rsidP="00EA5700">
      <w:pPr>
        <w:spacing w:before="240" w:after="240" w:line="276" w:lineRule="auto"/>
        <w:ind w:left="851"/>
        <w:contextualSpacing/>
        <w:jc w:val="both"/>
        <w:rPr>
          <w:rFonts w:ascii="Palatino Linotype" w:eastAsia="Palatino Linotype" w:hAnsi="Palatino Linotype" w:cs="Palatino Linotype"/>
          <w:i/>
          <w:color w:val="FF0000"/>
        </w:rPr>
      </w:pPr>
    </w:p>
    <w:p w14:paraId="1E9B561A" w14:textId="12AD7FAB" w:rsidR="00D356AF" w:rsidRDefault="00D356AF" w:rsidP="00D356AF">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14:paraId="25076CA2" w14:textId="77777777" w:rsidR="00D356AF" w:rsidRDefault="00D356AF" w:rsidP="00D356AF">
      <w:pPr>
        <w:spacing w:line="360" w:lineRule="auto"/>
        <w:contextualSpacing/>
        <w:jc w:val="both"/>
        <w:rPr>
          <w:rFonts w:ascii="Palatino Linotype" w:eastAsia="Palatino Linotype" w:hAnsi="Palatino Linotype" w:cs="Palatino Linotype"/>
          <w:sz w:val="24"/>
          <w:szCs w:val="24"/>
        </w:rPr>
      </w:pPr>
    </w:p>
    <w:p w14:paraId="315A33DE" w14:textId="4ED60843" w:rsidR="00D356AF" w:rsidRDefault="00D356AF" w:rsidP="00D356AF">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treinta y uno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0407E2A9" w14:textId="77777777" w:rsidR="00D356AF" w:rsidRDefault="00D356AF" w:rsidP="00D356AF">
      <w:pPr>
        <w:spacing w:before="240" w:after="240" w:line="360" w:lineRule="auto"/>
        <w:contextualSpacing/>
        <w:jc w:val="both"/>
        <w:rPr>
          <w:rFonts w:ascii="Palatino Linotype" w:eastAsia="Palatino Linotype" w:hAnsi="Palatino Linotype" w:cs="Palatino Linotype"/>
          <w:sz w:val="24"/>
          <w:szCs w:val="24"/>
        </w:rPr>
      </w:pPr>
    </w:p>
    <w:p w14:paraId="67BC8927" w14:textId="1A10AA50" w:rsidR="002E0660" w:rsidRDefault="00D356AF" w:rsidP="00EA5700">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6.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14:paraId="7877F256" w14:textId="77777777" w:rsidR="0035055C" w:rsidRDefault="0035055C" w:rsidP="00D356AF">
      <w:pPr>
        <w:spacing w:line="360" w:lineRule="auto"/>
        <w:jc w:val="center"/>
        <w:rPr>
          <w:rFonts w:ascii="Palatino Linotype" w:eastAsia="Palatino Linotype" w:hAnsi="Palatino Linotype" w:cs="Palatino Linotype"/>
          <w:sz w:val="24"/>
          <w:szCs w:val="24"/>
        </w:rPr>
      </w:pPr>
      <w:r>
        <w:rPr>
          <w:noProof/>
        </w:rPr>
        <w:drawing>
          <wp:inline distT="0" distB="0" distL="0" distR="0" wp14:anchorId="7EAEFFC4" wp14:editId="1A9700FC">
            <wp:extent cx="5033963" cy="1438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01" t="24744" r="52817" b="54134"/>
                    <a:stretch/>
                  </pic:blipFill>
                  <pic:spPr bwMode="auto">
                    <a:xfrm>
                      <a:off x="0" y="0"/>
                      <a:ext cx="5039146" cy="1439756"/>
                    </a:xfrm>
                    <a:prstGeom prst="rect">
                      <a:avLst/>
                    </a:prstGeom>
                    <a:ln>
                      <a:noFill/>
                    </a:ln>
                    <a:extLst>
                      <a:ext uri="{53640926-AAD7-44D8-BBD7-CCE9431645EC}">
                        <a14:shadowObscured xmlns:a14="http://schemas.microsoft.com/office/drawing/2010/main"/>
                      </a:ext>
                    </a:extLst>
                  </pic:spPr>
                </pic:pic>
              </a:graphicData>
            </a:graphic>
          </wp:inline>
        </w:drawing>
      </w:r>
    </w:p>
    <w:p w14:paraId="3AD69CE0" w14:textId="6BDC419D" w:rsidR="00D356AF" w:rsidRPr="00D356AF" w:rsidRDefault="00D356AF" w:rsidP="00D356A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sidRPr="00D356AF">
        <w:rPr>
          <w:rFonts w:ascii="Palatino Linotype" w:eastAsia="Palatino Linotype" w:hAnsi="Palatino Linotype" w:cs="Palatino Linotype"/>
          <w:sz w:val="24"/>
          <w:szCs w:val="24"/>
        </w:rPr>
        <w:t xml:space="preserve">En </w:t>
      </w:r>
      <w:r w:rsidRPr="00D356AF">
        <w:rPr>
          <w:rFonts w:ascii="Palatino Linotype" w:eastAsia="Palatino Linotype" w:hAnsi="Palatino Linotype" w:cs="Palatino Linotype"/>
          <w:color w:val="000000"/>
          <w:sz w:val="24"/>
          <w:szCs w:val="24"/>
        </w:rPr>
        <w:t xml:space="preserve">fecha dos de agosto </w:t>
      </w:r>
      <w:r w:rsidRPr="00D356AF">
        <w:rPr>
          <w:rFonts w:ascii="Palatino Linotype" w:eastAsia="Palatino Linotype" w:hAnsi="Palatino Linotype" w:cs="Palatino Linotype"/>
          <w:sz w:val="24"/>
          <w:szCs w:val="24"/>
        </w:rPr>
        <w:t>de dos mil veintidós, se amplió el término para resolver el recurso de revisión en términos del artículo 181 párrafo tercero de la Ley de Transparencia y Acceso a la Información Pública del Estado de México y Municipios.</w:t>
      </w:r>
      <w:r w:rsidRPr="00D356AF">
        <w:rPr>
          <w:rFonts w:ascii="Palatino Linotype" w:eastAsia="Palatino Linotype" w:hAnsi="Palatino Linotype" w:cs="Palatino Linotype"/>
          <w:b/>
          <w:sz w:val="24"/>
          <w:szCs w:val="24"/>
        </w:rPr>
        <w:t xml:space="preserve"> </w:t>
      </w:r>
    </w:p>
    <w:p w14:paraId="564D11F8" w14:textId="77777777" w:rsidR="00D356AF" w:rsidRPr="00D356AF" w:rsidRDefault="00D356AF" w:rsidP="00D356AF">
      <w:pPr>
        <w:spacing w:after="0" w:line="360" w:lineRule="auto"/>
        <w:jc w:val="both"/>
        <w:rPr>
          <w:rFonts w:ascii="Palatino Linotype" w:eastAsia="Palatino Linotype" w:hAnsi="Palatino Linotype" w:cs="Palatino Linotype"/>
          <w:b/>
          <w:sz w:val="24"/>
          <w:szCs w:val="24"/>
        </w:rPr>
      </w:pPr>
    </w:p>
    <w:p w14:paraId="40476DB6" w14:textId="1DC34CD4"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48B97C"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007FC5"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52328B79"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1D71CD"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1CA3C54E"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D4F051"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711428FE" w14:textId="77777777" w:rsidR="00D356AF" w:rsidRPr="00D356AF" w:rsidRDefault="00D356AF" w:rsidP="00D356AF">
      <w:pPr>
        <w:spacing w:line="360" w:lineRule="auto"/>
        <w:contextualSpacing/>
        <w:jc w:val="both"/>
        <w:rPr>
          <w:rFonts w:ascii="Palatino Linotype" w:eastAsia="Palatino Linotype" w:hAnsi="Palatino Linotype" w:cs="Palatino Linotype"/>
          <w:strike/>
          <w:color w:val="FF0000"/>
          <w:sz w:val="24"/>
          <w:szCs w:val="24"/>
        </w:rPr>
      </w:pPr>
      <w:r w:rsidRPr="00D356A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D7582BF"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1025B793" w14:textId="77777777" w:rsidR="00D356AF" w:rsidRPr="00D356AF" w:rsidRDefault="00D356AF" w:rsidP="00D356AF">
      <w:pPr>
        <w:numPr>
          <w:ilvl w:val="0"/>
          <w:numId w:val="2"/>
        </w:numPr>
        <w:spacing w:after="0"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1200423F" w14:textId="77777777" w:rsidR="00D356AF" w:rsidRPr="00D356AF" w:rsidRDefault="00D356AF" w:rsidP="00D356AF">
      <w:pPr>
        <w:spacing w:line="360" w:lineRule="auto"/>
        <w:ind w:left="927"/>
        <w:contextualSpacing/>
        <w:jc w:val="both"/>
        <w:rPr>
          <w:rFonts w:ascii="Palatino Linotype" w:eastAsia="Palatino Linotype" w:hAnsi="Palatino Linotype" w:cs="Palatino Linotype"/>
          <w:sz w:val="24"/>
          <w:szCs w:val="24"/>
        </w:rPr>
      </w:pPr>
    </w:p>
    <w:p w14:paraId="2EFA1513" w14:textId="77777777" w:rsidR="00D356AF" w:rsidRPr="00D356AF" w:rsidRDefault="00D356AF" w:rsidP="00D356AF">
      <w:pPr>
        <w:numPr>
          <w:ilvl w:val="0"/>
          <w:numId w:val="2"/>
        </w:numPr>
        <w:spacing w:after="0"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Actividad Procesal del interesado. Acciones u omisiones del interesado.</w:t>
      </w:r>
    </w:p>
    <w:p w14:paraId="4B07377E"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6EE8C273" w14:textId="77777777" w:rsidR="00D356AF" w:rsidRPr="00D356AF" w:rsidRDefault="00D356AF" w:rsidP="00D356AF">
      <w:pPr>
        <w:numPr>
          <w:ilvl w:val="0"/>
          <w:numId w:val="2"/>
        </w:numPr>
        <w:spacing w:after="0"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278A245" w14:textId="77777777" w:rsidR="00D356AF" w:rsidRPr="00D356AF" w:rsidRDefault="00D356AF" w:rsidP="00D356AF">
      <w:pPr>
        <w:spacing w:line="360" w:lineRule="auto"/>
        <w:ind w:left="708"/>
        <w:contextualSpacing/>
        <w:rPr>
          <w:rFonts w:ascii="Palatino Linotype" w:eastAsia="Palatino Linotype" w:hAnsi="Palatino Linotype" w:cs="Palatino Linotype"/>
          <w:sz w:val="24"/>
          <w:szCs w:val="24"/>
        </w:rPr>
      </w:pPr>
    </w:p>
    <w:p w14:paraId="18F631DF" w14:textId="77777777" w:rsidR="00D356AF" w:rsidRPr="00D356AF" w:rsidRDefault="00D356AF" w:rsidP="00D356AF">
      <w:pPr>
        <w:spacing w:line="360" w:lineRule="auto"/>
        <w:ind w:left="567"/>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7E3F4C8"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3F325C0C"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020577"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0A985630" w14:textId="77777777" w:rsid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D356AF">
        <w:rPr>
          <w:rFonts w:ascii="Palatino Linotype" w:eastAsia="Palatino Linotype" w:hAnsi="Palatino Linotype" w:cs="Palatino Linotype"/>
          <w:i/>
          <w:sz w:val="24"/>
          <w:szCs w:val="24"/>
        </w:rPr>
        <w:t xml:space="preserve">“TÉRMINOS PROCESALES. PARA DETERMINAR SI UN FUNCIONARIO JUDICIAL ACTUÓ </w:t>
      </w:r>
      <w:r w:rsidRPr="00D356AF">
        <w:rPr>
          <w:rFonts w:ascii="Palatino Linotype" w:eastAsia="Palatino Linotype" w:hAnsi="Palatino Linotype" w:cs="Palatino Linotype"/>
          <w:i/>
          <w:sz w:val="24"/>
          <w:szCs w:val="24"/>
        </w:rPr>
        <w:lastRenderedPageBreak/>
        <w:t>INDEBIDAMENTE POR NO RESPETARLOS SE DEBE ATENDER AL PRESUPUESTO QUE CONSIDERÓ EL LEGISLADOR AL FIJARLOS Y LAS CARACTERÍSTICAS DEL CASO.”</w:t>
      </w:r>
      <w:r w:rsidRPr="00D356AF">
        <w:rPr>
          <w:rFonts w:ascii="Palatino Linotype" w:eastAsia="Palatino Linotype" w:hAnsi="Palatino Linotype" w:cs="Palatino Linotype"/>
          <w:sz w:val="24"/>
          <w:szCs w:val="24"/>
        </w:rPr>
        <w:t>, visible en la Gaceta del Seminario Judicial de la Federación con el registro digital 205635.</w:t>
      </w:r>
    </w:p>
    <w:p w14:paraId="0C6291F0" w14:textId="77777777" w:rsidR="00EA5700" w:rsidRPr="00D356AF" w:rsidRDefault="00EA5700" w:rsidP="00D356AF">
      <w:pPr>
        <w:spacing w:line="360" w:lineRule="auto"/>
        <w:contextualSpacing/>
        <w:jc w:val="both"/>
        <w:rPr>
          <w:rFonts w:ascii="Palatino Linotype" w:eastAsia="Palatino Linotype" w:hAnsi="Palatino Linotype" w:cs="Palatino Linotype"/>
          <w:b/>
          <w:sz w:val="24"/>
          <w:szCs w:val="24"/>
        </w:rPr>
      </w:pPr>
    </w:p>
    <w:p w14:paraId="59CB2C20"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68AA9A"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6465D41F" w14:textId="77777777" w:rsid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C855F1F" w14:textId="77777777" w:rsidR="00EA5700" w:rsidRPr="00D356AF" w:rsidRDefault="00EA5700" w:rsidP="00D356AF">
      <w:pPr>
        <w:spacing w:line="360" w:lineRule="auto"/>
        <w:contextualSpacing/>
        <w:jc w:val="both"/>
        <w:rPr>
          <w:rFonts w:ascii="Palatino Linotype" w:eastAsia="Palatino Linotype" w:hAnsi="Palatino Linotype" w:cs="Palatino Linotype"/>
          <w:sz w:val="24"/>
          <w:szCs w:val="24"/>
        </w:rPr>
      </w:pPr>
    </w:p>
    <w:p w14:paraId="3187A4F8"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lastRenderedPageBreak/>
        <w:t xml:space="preserve"> </w:t>
      </w:r>
      <w:r w:rsidRPr="00D356AF">
        <w:rPr>
          <w:rFonts w:ascii="Palatino Linotype" w:eastAsia="Palatino Linotype" w:hAnsi="Palatino Linotype" w:cs="Palatino Linotype"/>
          <w:i/>
          <w:sz w:val="24"/>
          <w:szCs w:val="24"/>
        </w:rPr>
        <w:t>“PLAZO RAZONABLE PARA RESOLVER. DIMENSIÓN Y EFECTOS DE ESTE CONCEPTO CUANDO SE ADUCE EXCESIVA CARGA DE TRABAJO.”</w:t>
      </w:r>
      <w:r w:rsidRPr="00D356AF">
        <w:rPr>
          <w:rFonts w:ascii="Palatino Linotype" w:eastAsia="Palatino Linotype" w:hAnsi="Palatino Linotype" w:cs="Palatino Linotype"/>
          <w:sz w:val="24"/>
          <w:szCs w:val="24"/>
        </w:rPr>
        <w:t xml:space="preserve"> consultable en el Seminario Judicial de la Federación y su gaceta, con el registro digital 2002351.</w:t>
      </w:r>
    </w:p>
    <w:p w14:paraId="3BD093AA" w14:textId="77777777" w:rsidR="00D356AF" w:rsidRPr="00D356AF" w:rsidRDefault="00D356AF" w:rsidP="00D356AF">
      <w:pPr>
        <w:spacing w:line="360" w:lineRule="auto"/>
        <w:contextualSpacing/>
        <w:jc w:val="both"/>
        <w:rPr>
          <w:rFonts w:ascii="Palatino Linotype" w:eastAsia="Palatino Linotype" w:hAnsi="Palatino Linotype" w:cs="Palatino Linotype"/>
          <w:b/>
          <w:sz w:val="24"/>
          <w:szCs w:val="24"/>
        </w:rPr>
      </w:pPr>
    </w:p>
    <w:p w14:paraId="4BBDA4DE"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D356AF">
        <w:rPr>
          <w:rFonts w:ascii="Palatino Linotype" w:eastAsia="Palatino Linotype" w:hAnsi="Palatino Linotype" w:cs="Palatino Linotype"/>
          <w:sz w:val="24"/>
          <w:szCs w:val="24"/>
        </w:rPr>
        <w:t>, visible en el Seminario Judicial de la Federación y su gaceta, con el registro digital 2002350.</w:t>
      </w:r>
    </w:p>
    <w:p w14:paraId="456AB6C2"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p>
    <w:p w14:paraId="29F20FB6" w14:textId="77777777" w:rsidR="00D356AF" w:rsidRPr="00D356AF" w:rsidRDefault="00D356AF" w:rsidP="00D356AF">
      <w:pPr>
        <w:spacing w:line="360" w:lineRule="auto"/>
        <w:contextualSpacing/>
        <w:jc w:val="both"/>
        <w:rPr>
          <w:rFonts w:ascii="Palatino Linotype" w:eastAsia="Palatino Linotype" w:hAnsi="Palatino Linotype" w:cs="Palatino Linotype"/>
          <w:sz w:val="24"/>
          <w:szCs w:val="24"/>
        </w:rPr>
      </w:pPr>
      <w:r w:rsidRPr="00D356A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2C98C3B5" w14:textId="3119A1B2" w:rsidR="00FB7E84" w:rsidRDefault="00291F4D"/>
    <w:p w14:paraId="6EA41A4D" w14:textId="2ADF3CAE" w:rsidR="00195DCE" w:rsidRDefault="00195DCE" w:rsidP="00195DCE">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 xml:space="preserve">El </w:t>
      </w:r>
      <w:r w:rsidR="00EA5700">
        <w:rPr>
          <w:rFonts w:ascii="Palatino Linotype" w:eastAsia="Palatino Linotype" w:hAnsi="Palatino Linotype" w:cs="Palatino Linotype"/>
          <w:color w:val="000000"/>
          <w:sz w:val="24"/>
          <w:szCs w:val="24"/>
        </w:rPr>
        <w:t xml:space="preserve">tres </w:t>
      </w:r>
      <w:r>
        <w:rPr>
          <w:rFonts w:ascii="Palatino Linotype" w:eastAsia="Palatino Linotype" w:hAnsi="Palatino Linotype" w:cs="Palatino Linotype"/>
          <w:color w:val="000000"/>
          <w:sz w:val="24"/>
          <w:szCs w:val="24"/>
        </w:rPr>
        <w:t>de agosto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de dos mil veintidós, al no existir diligencia</w:t>
      </w:r>
      <w:r w:rsidR="00EA5700">
        <w:rPr>
          <w:rFonts w:ascii="Palatino Linotype" w:eastAsia="Palatino Linotype" w:hAnsi="Palatino Linotype" w:cs="Palatino Linotype"/>
          <w:color w:val="000000"/>
          <w:sz w:val="24"/>
          <w:szCs w:val="24"/>
        </w:rPr>
        <w:t xml:space="preserve">s pendientes por desahogar, se notificó </w:t>
      </w:r>
      <w:r>
        <w:rPr>
          <w:rFonts w:ascii="Palatino Linotype" w:eastAsia="Palatino Linotype" w:hAnsi="Palatino Linotype" w:cs="Palatino Linotype"/>
          <w:color w:val="000000"/>
          <w:sz w:val="24"/>
          <w:szCs w:val="24"/>
        </w:rPr>
        <w:t>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891E16D" w14:textId="5E7850EB"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razón de que fue debidamente sustanciado el expediente electrónico y no existe diligencia pendiente de desahogo, se emite la Resolución que conforme a Derecho proceda, de acuerdo con los siguientes: </w:t>
      </w:r>
    </w:p>
    <w:p w14:paraId="48C536F0" w14:textId="77777777"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p>
    <w:p w14:paraId="25B3507F" w14:textId="50D980C9" w:rsidR="00195DCE" w:rsidRDefault="00195DCE" w:rsidP="00195DCE">
      <w:pPr>
        <w:widowControl w:val="0"/>
        <w:spacing w:line="360" w:lineRule="auto"/>
        <w:contextualSpacing/>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432E7291" w14:textId="77777777" w:rsidR="00195DCE" w:rsidRDefault="00195DCE" w:rsidP="00195DCE">
      <w:pPr>
        <w:widowControl w:val="0"/>
        <w:spacing w:line="360" w:lineRule="auto"/>
        <w:contextualSpacing/>
        <w:jc w:val="center"/>
        <w:rPr>
          <w:rFonts w:ascii="Palatino Linotype" w:eastAsia="Palatino Linotype" w:hAnsi="Palatino Linotype" w:cs="Palatino Linotype"/>
          <w:b/>
          <w:sz w:val="24"/>
          <w:szCs w:val="24"/>
        </w:rPr>
      </w:pPr>
    </w:p>
    <w:p w14:paraId="6B23EBAE" w14:textId="79A66EE1" w:rsidR="00195DCE" w:rsidRDefault="00195DCE" w:rsidP="00195DCE">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0F896B8" w14:textId="77777777" w:rsidR="00195DCE" w:rsidRDefault="00195DCE" w:rsidP="00195DCE">
      <w:pPr>
        <w:spacing w:line="360" w:lineRule="auto"/>
        <w:contextualSpacing/>
        <w:jc w:val="both"/>
        <w:rPr>
          <w:rFonts w:ascii="Palatino Linotype" w:eastAsia="Palatino Linotype" w:hAnsi="Palatino Linotype" w:cs="Palatino Linotype"/>
          <w:sz w:val="24"/>
          <w:szCs w:val="24"/>
        </w:rPr>
      </w:pPr>
    </w:p>
    <w:p w14:paraId="4B27C401" w14:textId="5BBAB063"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Pr>
          <w:rFonts w:ascii="Palatino Linotype" w:eastAsia="Palatino Linotype" w:hAnsi="Palatino Linotype" w:cs="Palatino Linotype"/>
          <w:sz w:val="24"/>
          <w:szCs w:val="24"/>
        </w:rPr>
        <w:lastRenderedPageBreak/>
        <w:t>interpuesto, previstos en los artículos 178 y 180 de la Ley de Transparencia y Acceso a la Información Pública del Estado de México y Municipios.</w:t>
      </w:r>
    </w:p>
    <w:p w14:paraId="240DB1DD" w14:textId="77777777"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p>
    <w:p w14:paraId="4F973241" w14:textId="72F06DB6"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veinticinco de marzo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veintiocho de marzo de dos mil veintidós</w:t>
      </w:r>
      <w:r>
        <w:rPr>
          <w:rFonts w:ascii="Palatino Linotype" w:eastAsia="Palatino Linotype" w:hAnsi="Palatino Linotype" w:cs="Palatino Linotype"/>
          <w:sz w:val="24"/>
          <w:szCs w:val="24"/>
        </w:rPr>
        <w:t>, esto es, al siguiente día hábil en que tuvo conocimiento de la respuesta impugnada.</w:t>
      </w:r>
    </w:p>
    <w:p w14:paraId="0CADC83F" w14:textId="77777777" w:rsidR="007F1358" w:rsidRDefault="007F1358" w:rsidP="00195DCE">
      <w:pPr>
        <w:spacing w:before="240" w:after="240" w:line="360" w:lineRule="auto"/>
        <w:contextualSpacing/>
        <w:jc w:val="both"/>
        <w:rPr>
          <w:rFonts w:ascii="Palatino Linotype" w:eastAsia="Palatino Linotype" w:hAnsi="Palatino Linotype" w:cs="Palatino Linotype"/>
          <w:sz w:val="24"/>
          <w:szCs w:val="24"/>
        </w:rPr>
      </w:pPr>
    </w:p>
    <w:p w14:paraId="766FC3EC" w14:textId="58C9EDF4"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bookmarkStart w:id="2" w:name="_heading=h.3znysh7" w:colFirst="0" w:colLast="0"/>
      <w:bookmarkEnd w:id="2"/>
      <w:r>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55BA9B9B" w14:textId="77777777" w:rsidR="007F1358" w:rsidRDefault="007F1358" w:rsidP="00195DCE">
      <w:pPr>
        <w:spacing w:before="240" w:after="240" w:line="360" w:lineRule="auto"/>
        <w:contextualSpacing/>
        <w:jc w:val="both"/>
        <w:rPr>
          <w:rFonts w:ascii="Palatino Linotype" w:eastAsia="Palatino Linotype" w:hAnsi="Palatino Linotype" w:cs="Palatino Linotype"/>
          <w:sz w:val="24"/>
          <w:szCs w:val="24"/>
        </w:rPr>
      </w:pPr>
    </w:p>
    <w:p w14:paraId="38BC2C8C" w14:textId="5C9C5A4C" w:rsidR="00195DCE" w:rsidRDefault="00195DCE" w:rsidP="00195DCE">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w:t>
      </w:r>
      <w:r>
        <w:rPr>
          <w:rFonts w:ascii="Palatino Linotype" w:eastAsia="Palatino Linotype" w:hAnsi="Palatino Linotype" w:cs="Palatino Linotype"/>
          <w:sz w:val="24"/>
          <w:szCs w:val="24"/>
        </w:rPr>
        <w:lastRenderedPageBreak/>
        <w:t>en el artículo 155, penúltimo párrafo de la Ley de Transparencia y Acceso a la Información Pública del Estado de México y Municipios que establece lo siguiente:</w:t>
      </w:r>
    </w:p>
    <w:p w14:paraId="7540FA29" w14:textId="77777777" w:rsidR="007F1358" w:rsidRDefault="007F1358" w:rsidP="00195DCE">
      <w:pPr>
        <w:spacing w:before="240" w:after="240" w:line="360" w:lineRule="auto"/>
        <w:contextualSpacing/>
        <w:jc w:val="both"/>
        <w:rPr>
          <w:rFonts w:ascii="Palatino Linotype" w:eastAsia="Palatino Linotype" w:hAnsi="Palatino Linotype" w:cs="Palatino Linotype"/>
          <w:sz w:val="24"/>
          <w:szCs w:val="24"/>
        </w:rPr>
      </w:pPr>
    </w:p>
    <w:p w14:paraId="2605BB6C" w14:textId="580CEE93" w:rsidR="00195DCE" w:rsidRDefault="00195DCE" w:rsidP="00195DCE">
      <w:pPr>
        <w:spacing w:before="240" w:after="240" w:line="36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032950F4" w14:textId="77777777" w:rsidR="00195DCE" w:rsidRDefault="00195DCE" w:rsidP="00195DCE">
      <w:pPr>
        <w:spacing w:before="240" w:after="240" w:line="360" w:lineRule="auto"/>
        <w:ind w:left="851" w:right="902"/>
        <w:contextualSpacing/>
        <w:jc w:val="both"/>
        <w:rPr>
          <w:rFonts w:ascii="Palatino Linotype" w:eastAsia="Palatino Linotype" w:hAnsi="Palatino Linotype" w:cs="Palatino Linotype"/>
          <w:i/>
        </w:rPr>
      </w:pPr>
    </w:p>
    <w:p w14:paraId="44F3D96E" w14:textId="01E7C65F" w:rsidR="00195DCE" w:rsidRDefault="00195DCE" w:rsidP="00195DCE">
      <w:pPr>
        <w:spacing w:before="240" w:after="24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33B1E7CE" w14:textId="77777777" w:rsidR="007F1358" w:rsidRDefault="007F1358" w:rsidP="00195DCE">
      <w:pPr>
        <w:spacing w:before="240" w:after="240" w:line="360" w:lineRule="auto"/>
        <w:contextualSpacing/>
        <w:jc w:val="both"/>
        <w:rPr>
          <w:rFonts w:ascii="Palatino Linotype" w:eastAsia="Palatino Linotype" w:hAnsi="Palatino Linotype" w:cs="Palatino Linotype"/>
          <w:sz w:val="24"/>
          <w:szCs w:val="24"/>
        </w:rPr>
      </w:pPr>
    </w:p>
    <w:p w14:paraId="4878928D" w14:textId="77777777" w:rsidR="00AC09CF" w:rsidRPr="00AC09CF" w:rsidRDefault="00AC09CF" w:rsidP="00AC09CF">
      <w:pPr>
        <w:spacing w:before="240" w:after="240" w:line="360" w:lineRule="auto"/>
        <w:jc w:val="both"/>
        <w:rPr>
          <w:rFonts w:ascii="Quattrocento Sans" w:eastAsia="Quattrocento Sans" w:hAnsi="Quattrocento Sans" w:cs="Quattrocento Sans"/>
          <w:sz w:val="24"/>
          <w:szCs w:val="24"/>
        </w:rPr>
      </w:pPr>
      <w:r w:rsidRPr="00AC09CF">
        <w:rPr>
          <w:rFonts w:ascii="Palatino Linotype" w:eastAsia="Palatino Linotype" w:hAnsi="Palatino Linotype" w:cs="Palatino Linotype"/>
          <w:sz w:val="24"/>
          <w:szCs w:val="24"/>
        </w:rPr>
        <w:t>Dentro de este marco, se advierte que resulta procedente la interposición del recurso, de acuerdo a lo que disponen los artículos 176 y 179 fracción VIII del ordenamiento legal citado, que establecen los supuestos en que puede interponerse el recurso de revisión:</w:t>
      </w:r>
    </w:p>
    <w:p w14:paraId="549AF540" w14:textId="77777777" w:rsidR="00AC09CF" w:rsidRDefault="00AC09CF" w:rsidP="00AC09CF">
      <w:pPr>
        <w:spacing w:before="240" w:after="240"/>
        <w:ind w:left="567" w:right="900"/>
        <w:jc w:val="both"/>
        <w:rPr>
          <w:rFonts w:ascii="Palatino Linotype" w:eastAsia="Palatino Linotype" w:hAnsi="Palatino Linotype" w:cs="Palatino Linotype"/>
          <w:i/>
        </w:rPr>
      </w:pP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b/>
          <w:i/>
        </w:rPr>
        <w:t xml:space="preserve">Artículo 176. </w:t>
      </w:r>
      <w:r>
        <w:rPr>
          <w:rFonts w:ascii="Palatino Linotype" w:eastAsia="Palatino Linotype" w:hAnsi="Palatino Linotype" w:cs="Palatino Linotype"/>
          <w:i/>
        </w:rPr>
        <w:t>El recurso de revisión  es la garantía secundaria mediante la cual se pretende reparar cualquier posible afectación al derecho de acceso a la información pública en términos del presente y siguiente Capítulo.</w:t>
      </w:r>
    </w:p>
    <w:p w14:paraId="57BF83C5" w14:textId="77777777" w:rsidR="00AC09CF" w:rsidRDefault="00AC09CF" w:rsidP="00AC09CF">
      <w:pPr>
        <w:spacing w:before="240" w:after="24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179</w:t>
      </w:r>
      <w:r>
        <w:rPr>
          <w:rFonts w:ascii="Palatino Linotype" w:eastAsia="Palatino Linotype" w:hAnsi="Palatino Linotype" w:cs="Palatino Linotype"/>
          <w:b/>
        </w:rPr>
        <w:t>.-</w:t>
      </w:r>
      <w:r>
        <w:rPr>
          <w:rFonts w:ascii="Bookman Old Style" w:eastAsia="Bookman Old Style" w:hAnsi="Bookman Old Style" w:cs="Bookman Old Style"/>
        </w:rPr>
        <w:t xml:space="preserve"> </w:t>
      </w:r>
      <w:r>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692F0F81" w14:textId="77777777" w:rsidR="00AC09CF" w:rsidRDefault="00AC09CF" w:rsidP="00AC09CF">
      <w:pPr>
        <w:spacing w:before="240" w:after="24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4D72BA21" w14:textId="77777777" w:rsidR="00AC09CF" w:rsidRDefault="00AC09CF" w:rsidP="00AC09CF">
      <w:pPr>
        <w:spacing w:before="240" w:after="24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VIII. La notificación, entrega o puesta a disposición de información en una modalidad o formato distinto al solicitado;”</w:t>
      </w:r>
    </w:p>
    <w:p w14:paraId="55037003" w14:textId="77777777" w:rsidR="007F1358" w:rsidRDefault="007F1358" w:rsidP="007F1358">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i/>
        </w:rPr>
      </w:pPr>
    </w:p>
    <w:p w14:paraId="5879AEA5" w14:textId="68671AC8" w:rsidR="00AC09CF" w:rsidRDefault="00AC09CF" w:rsidP="00AC09CF">
      <w:pPr>
        <w:spacing w:before="240" w:after="240" w:line="360" w:lineRule="auto"/>
        <w:contextualSpacing/>
        <w:jc w:val="both"/>
        <w:rPr>
          <w:rFonts w:ascii="Palatino Linotype" w:eastAsia="Palatino Linotype" w:hAnsi="Palatino Linotype" w:cs="Palatino Linotype"/>
          <w:color w:val="000000"/>
          <w:sz w:val="24"/>
          <w:szCs w:val="24"/>
        </w:rPr>
      </w:pPr>
      <w:r w:rsidRPr="00315ACA">
        <w:rPr>
          <w:rFonts w:ascii="Palatino Linotype" w:eastAsia="Palatino Linotype" w:hAnsi="Palatino Linotype" w:cs="Palatino Linotype"/>
          <w:b/>
          <w:color w:val="000000"/>
          <w:sz w:val="24"/>
          <w:szCs w:val="24"/>
        </w:rPr>
        <w:t>Tercero. Análisis de las causales de sobreseimiento del recurso de revisión.</w:t>
      </w:r>
      <w:r w:rsidRPr="00315ACA">
        <w:rPr>
          <w:sz w:val="24"/>
          <w:szCs w:val="24"/>
        </w:rPr>
        <w:t xml:space="preserve"> </w:t>
      </w:r>
      <w:r w:rsidRPr="00315ACA">
        <w:rPr>
          <w:rFonts w:ascii="Palatino Linotype" w:eastAsia="Palatino Linotype" w:hAnsi="Palatino Linotype" w:cs="Palatino Linotype"/>
          <w:color w:val="000000"/>
          <w:sz w:val="24"/>
          <w:szCs w:val="24"/>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7B6C95" w14:textId="77777777" w:rsidR="005F6E3E" w:rsidRPr="00315ACA" w:rsidRDefault="005F6E3E" w:rsidP="00AC09CF">
      <w:pPr>
        <w:spacing w:before="240" w:after="240" w:line="360" w:lineRule="auto"/>
        <w:contextualSpacing/>
        <w:jc w:val="both"/>
        <w:rPr>
          <w:sz w:val="24"/>
          <w:szCs w:val="24"/>
        </w:rPr>
      </w:pPr>
    </w:p>
    <w:p w14:paraId="4F2DD266" w14:textId="77777777" w:rsidR="00AC09CF" w:rsidRPr="00315ACA" w:rsidRDefault="00AC09CF" w:rsidP="00AC09CF">
      <w:pPr>
        <w:spacing w:line="360" w:lineRule="auto"/>
        <w:contextualSpacing/>
        <w:jc w:val="both"/>
        <w:rPr>
          <w:sz w:val="24"/>
          <w:szCs w:val="24"/>
        </w:rPr>
      </w:pPr>
      <w:r w:rsidRPr="00315ACA">
        <w:rPr>
          <w:rFonts w:ascii="Palatino Linotype" w:eastAsia="Palatino Linotype" w:hAnsi="Palatino Linotype" w:cs="Palatino Linotype"/>
          <w:color w:val="000000"/>
          <w:sz w:val="24"/>
          <w:szCs w:val="24"/>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w:t>
      </w:r>
      <w:r w:rsidRPr="00315ACA">
        <w:rPr>
          <w:rFonts w:ascii="Palatino Linotype" w:eastAsia="Palatino Linotype" w:hAnsi="Palatino Linotype" w:cs="Palatino Linotype"/>
          <w:color w:val="000000"/>
          <w:sz w:val="24"/>
          <w:szCs w:val="24"/>
        </w:rPr>
        <w:lastRenderedPageBreak/>
        <w:t>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BED6075" w14:textId="77777777" w:rsidR="00AC09CF" w:rsidRPr="00315ACA" w:rsidRDefault="00AC09CF" w:rsidP="00AC09CF">
      <w:pPr>
        <w:rPr>
          <w:sz w:val="24"/>
          <w:szCs w:val="24"/>
        </w:rPr>
      </w:pPr>
    </w:p>
    <w:p w14:paraId="0BEA3592" w14:textId="3315E567" w:rsidR="005F6E3E" w:rsidRPr="00315ACA" w:rsidRDefault="00AC09CF" w:rsidP="005F6E3E">
      <w:pPr>
        <w:spacing w:line="360" w:lineRule="auto"/>
        <w:ind w:right="49"/>
        <w:contextualSpacing/>
        <w:jc w:val="both"/>
        <w:rPr>
          <w:rFonts w:ascii="Palatino Linotype" w:eastAsia="Palatino Linotype" w:hAnsi="Palatino Linotype" w:cs="Palatino Linotype"/>
          <w:color w:val="000000"/>
          <w:sz w:val="24"/>
          <w:szCs w:val="24"/>
        </w:rPr>
      </w:pPr>
      <w:r w:rsidRPr="00315ACA">
        <w:rPr>
          <w:rFonts w:ascii="Palatino Linotype" w:eastAsia="Palatino Linotype" w:hAnsi="Palatino Linotype" w:cs="Palatino Linotype"/>
          <w:color w:val="000000"/>
          <w:sz w:val="24"/>
          <w:szCs w:val="24"/>
        </w:rPr>
        <w:t xml:space="preserve">Por lo que se advierte del contenido de la solicitud de información el </w:t>
      </w:r>
      <w:r w:rsidRPr="00315ACA">
        <w:rPr>
          <w:rFonts w:ascii="Palatino Linotype" w:eastAsia="Palatino Linotype" w:hAnsi="Palatino Linotype" w:cs="Palatino Linotype"/>
          <w:b/>
          <w:color w:val="000000"/>
          <w:sz w:val="24"/>
          <w:szCs w:val="24"/>
        </w:rPr>
        <w:t xml:space="preserve">Recurrente </w:t>
      </w:r>
      <w:r w:rsidRPr="00315ACA">
        <w:rPr>
          <w:rFonts w:ascii="Palatino Linotype" w:eastAsia="Palatino Linotype" w:hAnsi="Palatino Linotype" w:cs="Palatino Linotype"/>
          <w:color w:val="000000"/>
          <w:sz w:val="24"/>
          <w:szCs w:val="24"/>
        </w:rPr>
        <w:t>peticiona lo siguiente:</w:t>
      </w:r>
    </w:p>
    <w:p w14:paraId="5A7AFD7B" w14:textId="23545879" w:rsidR="005F6E3E" w:rsidRPr="005F6E3E" w:rsidRDefault="00C34450" w:rsidP="005F6E3E">
      <w:pPr>
        <w:pStyle w:val="Prrafodelista"/>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40"/>
          <w:szCs w:val="40"/>
        </w:rPr>
      </w:pPr>
      <w:r w:rsidRPr="00AC09CF">
        <w:rPr>
          <w:rFonts w:ascii="Palatino Linotype" w:eastAsia="Palatino Linotype" w:hAnsi="Palatino Linotype" w:cs="Palatino Linotype"/>
          <w:color w:val="000000"/>
          <w:sz w:val="24"/>
          <w:szCs w:val="24"/>
        </w:rPr>
        <w:t>Bitácoras vehiculares y de gasolina del 3 de marzo de 2022</w:t>
      </w:r>
      <w:r w:rsidR="007F1358" w:rsidRPr="00AC09CF">
        <w:rPr>
          <w:rFonts w:ascii="Palatino Linotype" w:eastAsia="Palatino Linotype" w:hAnsi="Palatino Linotype" w:cs="Palatino Linotype"/>
          <w:b/>
          <w:color w:val="000000"/>
          <w:sz w:val="24"/>
          <w:szCs w:val="24"/>
          <w:u w:val="single"/>
        </w:rPr>
        <w:t>.</w:t>
      </w:r>
    </w:p>
    <w:p w14:paraId="11E735F5" w14:textId="13F93535" w:rsidR="00AC09CF" w:rsidRDefault="007F1358" w:rsidP="005F6E3E">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señala que </w:t>
      </w:r>
      <w:r w:rsidRPr="007F1358">
        <w:rPr>
          <w:rFonts w:ascii="Palatino Linotype" w:eastAsia="Palatino Linotype" w:hAnsi="Palatino Linotype" w:cs="Palatino Linotype"/>
          <w:color w:val="000000"/>
          <w:sz w:val="24"/>
          <w:szCs w:val="24"/>
        </w:rPr>
        <w:t xml:space="preserve">menciona que las </w:t>
      </w:r>
      <w:r>
        <w:rPr>
          <w:rFonts w:ascii="Palatino Linotype" w:eastAsia="Palatino Linotype" w:hAnsi="Palatino Linotype" w:cs="Palatino Linotype"/>
          <w:color w:val="000000"/>
          <w:sz w:val="24"/>
          <w:szCs w:val="24"/>
        </w:rPr>
        <w:t>b</w:t>
      </w:r>
      <w:r w:rsidRPr="007F1358">
        <w:rPr>
          <w:rFonts w:ascii="Palatino Linotype" w:eastAsia="Palatino Linotype" w:hAnsi="Palatino Linotype" w:cs="Palatino Linotype"/>
          <w:color w:val="000000"/>
          <w:sz w:val="24"/>
          <w:szCs w:val="24"/>
        </w:rPr>
        <w:t>itácoras de combustible del día solicitado se encuentran en proceso de elaboración.</w:t>
      </w:r>
    </w:p>
    <w:p w14:paraId="20190118" w14:textId="77777777" w:rsidR="00AC09CF" w:rsidRDefault="00AC09CF" w:rsidP="005F6E3E">
      <w:pPr>
        <w:spacing w:line="360" w:lineRule="auto"/>
        <w:contextualSpacing/>
        <w:jc w:val="both"/>
        <w:rPr>
          <w:rFonts w:ascii="Palatino Linotype" w:eastAsia="Palatino Linotype" w:hAnsi="Palatino Linotype" w:cs="Palatino Linotype"/>
          <w:color w:val="000000"/>
          <w:sz w:val="24"/>
          <w:szCs w:val="24"/>
        </w:rPr>
      </w:pPr>
    </w:p>
    <w:p w14:paraId="5FFE4F1D" w14:textId="6E0DBD03" w:rsidR="00AC09CF" w:rsidRPr="00AC09CF" w:rsidRDefault="00C34450" w:rsidP="00AC09CF">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w:t>
      </w:r>
      <w:r w:rsidR="00AC09CF">
        <w:rPr>
          <w:rFonts w:ascii="Palatino Linotype" w:eastAsia="Palatino Linotype" w:hAnsi="Palatino Linotype" w:cs="Palatino Linotype"/>
          <w:color w:val="000000"/>
          <w:sz w:val="24"/>
          <w:szCs w:val="24"/>
        </w:rPr>
        <w:t xml:space="preserve"> el cambio de modalidad en la entrega de la información solicitada, tal como se advierte a continuación: </w:t>
      </w:r>
      <w:r w:rsidR="00AC09CF">
        <w:rPr>
          <w:rFonts w:ascii="Palatino Linotype" w:eastAsia="Palatino Linotype" w:hAnsi="Palatino Linotype" w:cs="Palatino Linotype"/>
          <w:i/>
          <w:color w:val="000000"/>
          <w:sz w:val="24"/>
          <w:szCs w:val="24"/>
        </w:rPr>
        <w:t>“</w:t>
      </w:r>
      <w:r w:rsidR="00AC09CF" w:rsidRPr="00D356AF">
        <w:rPr>
          <w:rFonts w:ascii="Palatino Linotype" w:eastAsia="Palatino Linotype" w:hAnsi="Palatino Linotype" w:cs="Palatino Linotype"/>
          <w:i/>
          <w:color w:val="000000"/>
        </w:rPr>
        <w:t xml:space="preserve">Se recurre la presente solicitud </w:t>
      </w:r>
      <w:r w:rsidR="00AC09CF" w:rsidRPr="00EA5700">
        <w:rPr>
          <w:rFonts w:ascii="Palatino Linotype" w:eastAsia="Palatino Linotype" w:hAnsi="Palatino Linotype" w:cs="Palatino Linotype"/>
          <w:b/>
          <w:i/>
          <w:color w:val="000000"/>
          <w:u w:val="single"/>
        </w:rPr>
        <w:t xml:space="preserve">al haber realizado sin motivación alguna, un cambio de modalidad </w:t>
      </w:r>
      <w:r w:rsidR="00AC09CF" w:rsidRPr="00D356AF">
        <w:rPr>
          <w:rFonts w:ascii="Palatino Linotype" w:eastAsia="Palatino Linotype" w:hAnsi="Palatino Linotype" w:cs="Palatino Linotype"/>
          <w:i/>
          <w:color w:val="000000"/>
        </w:rPr>
        <w:t>con el propósito de obstaculizar el ejercicio del derecho de acceso a la información pública, a pesar de haber sido puntual la modalidad de entrega por la vía del Sistema de Acceso a la Información Mexiquense (SAIMEX</w:t>
      </w:r>
      <w:r w:rsidR="00AC09CF" w:rsidRPr="00EA5700">
        <w:rPr>
          <w:rFonts w:ascii="Palatino Linotype" w:eastAsia="Palatino Linotype" w:hAnsi="Palatino Linotype" w:cs="Palatino Linotype"/>
          <w:b/>
          <w:i/>
          <w:color w:val="000000"/>
          <w:u w:val="single"/>
        </w:rPr>
        <w:t>). No se acredita que se haya reportado la incidencia al Instituto de Transparencia, Acceso a la Información Pública y Protección de Datos Personales del Estado de México y Municipios</w:t>
      </w:r>
      <w:r w:rsidR="00AC09CF" w:rsidRPr="00D356AF">
        <w:rPr>
          <w:rFonts w:ascii="Palatino Linotype" w:eastAsia="Palatino Linotype" w:hAnsi="Palatino Linotype" w:cs="Palatino Linotype"/>
          <w:i/>
          <w:color w:val="000000"/>
        </w:rPr>
        <w:t xml:space="preserve">, ni que el Servidor Público Habilitado haya remitido la información a la Unidad de </w:t>
      </w:r>
      <w:r w:rsidR="00AC09CF" w:rsidRPr="00D356AF">
        <w:rPr>
          <w:rFonts w:ascii="Palatino Linotype" w:eastAsia="Palatino Linotype" w:hAnsi="Palatino Linotype" w:cs="Palatino Linotype"/>
          <w:i/>
          <w:color w:val="000000"/>
        </w:rPr>
        <w:lastRenderedPageBreak/>
        <w:t xml:space="preserve">Transparencia.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w:t>
      </w:r>
      <w:r w:rsidR="00AC09CF" w:rsidRPr="00EA5700">
        <w:rPr>
          <w:rFonts w:ascii="Palatino Linotype" w:eastAsia="Palatino Linotype" w:hAnsi="Palatino Linotype" w:cs="Palatino Linotype"/>
          <w:b/>
          <w:i/>
          <w:color w:val="000000"/>
          <w:u w:val="single"/>
        </w:rPr>
        <w:t>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w:t>
      </w:r>
      <w:r w:rsidR="00AC09CF" w:rsidRPr="00D356AF">
        <w:rPr>
          <w:rFonts w:ascii="Palatino Linotype" w:eastAsia="Palatino Linotype" w:hAnsi="Palatino Linotype" w:cs="Palatino Linotype"/>
          <w:i/>
          <w:color w:val="000000"/>
        </w:rPr>
        <w:t xml:space="preserve">. Deben señalarse claramente los impedimentos técnicos administrativos que dificultan el permitir acceso a la </w:t>
      </w:r>
      <w:r w:rsidR="00AC09CF" w:rsidRPr="00D356AF">
        <w:rPr>
          <w:rFonts w:ascii="Palatino Linotype" w:eastAsia="Palatino Linotype" w:hAnsi="Palatino Linotype" w:cs="Palatino Linotype"/>
          <w:i/>
          <w:color w:val="000000"/>
        </w:rPr>
        <w:lastRenderedPageBreak/>
        <w:t xml:space="preserve">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w:t>
      </w:r>
      <w:r w:rsidR="00AC09CF" w:rsidRPr="00EA5700">
        <w:rPr>
          <w:rFonts w:ascii="Palatino Linotype" w:eastAsia="Palatino Linotype" w:hAnsi="Palatino Linotype" w:cs="Palatino Linotype"/>
          <w:b/>
          <w:i/>
          <w:color w:val="000000"/>
          <w:u w:val="single"/>
        </w:rPr>
        <w:t>se desprende que este retrasa el acceso a la información publica solicitada, toda vez que emite una respuesta en la cual, pretende sin motivación y justificación alguna cambiar la modalidad de entrega</w:t>
      </w:r>
      <w:r w:rsidR="00AC09CF" w:rsidRPr="00D356AF">
        <w:rPr>
          <w:rFonts w:ascii="Palatino Linotype" w:eastAsia="Palatino Linotype" w:hAnsi="Palatino Linotype" w:cs="Palatino Linotype"/>
          <w:i/>
          <w:color w:val="000000"/>
        </w:rPr>
        <w:t xml:space="preserve"> de la información. En este sentido es importante considerar que el sujeto obligado no niega en ningún momento la existencia de la información requerida, todo lo contrario por lo que en aquellos casos en que éste la asume, ello implica que la genera, posee o administra; por </w:t>
      </w:r>
      <w:r w:rsidR="00AC09CF" w:rsidRPr="00D356AF">
        <w:rPr>
          <w:rFonts w:ascii="Palatino Linotype" w:eastAsia="Palatino Linotype" w:hAnsi="Palatino Linotype" w:cs="Palatino Linotype"/>
          <w:i/>
          <w:color w:val="000000"/>
        </w:rPr>
        <w:lastRenderedPageBreak/>
        <w:t xml:space="preserve">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w:t>
      </w:r>
      <w:r w:rsidR="00AC09CF" w:rsidRPr="00B815E8">
        <w:rPr>
          <w:rFonts w:ascii="Palatino Linotype" w:eastAsia="Palatino Linotype" w:hAnsi="Palatino Linotype" w:cs="Palatino Linotype"/>
          <w:b/>
          <w:i/>
          <w:color w:val="000000"/>
          <w:u w:val="single"/>
        </w:rPr>
        <w:t>tenga a bien ordenar al Sistema Municipal para el Desarrollo Integral de la Familia de Metepec</w:t>
      </w:r>
      <w:r w:rsidR="00AC09CF" w:rsidRPr="00D356AF">
        <w:rPr>
          <w:rFonts w:ascii="Palatino Linotype" w:eastAsia="Palatino Linotype" w:hAnsi="Palatino Linotype" w:cs="Palatino Linotype"/>
          <w:i/>
          <w:color w:val="000000"/>
        </w:rPr>
        <w:t>,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00AC09CF">
        <w:rPr>
          <w:rFonts w:ascii="Palatino Linotype" w:eastAsia="Palatino Linotype" w:hAnsi="Palatino Linotype" w:cs="Palatino Linotype"/>
          <w:i/>
          <w:color w:val="000000"/>
        </w:rPr>
        <w:t xml:space="preserve">” [sic]  </w:t>
      </w:r>
    </w:p>
    <w:p w14:paraId="24800C7F" w14:textId="77777777" w:rsidR="00C34450" w:rsidRDefault="00C34450" w:rsidP="00B278E3">
      <w:pPr>
        <w:tabs>
          <w:tab w:val="left" w:pos="8647"/>
        </w:tabs>
        <w:spacing w:after="0" w:line="360" w:lineRule="auto"/>
        <w:ind w:right="141"/>
        <w:contextualSpacing/>
        <w:jc w:val="both"/>
        <w:rPr>
          <w:sz w:val="24"/>
          <w:szCs w:val="24"/>
        </w:rPr>
      </w:pPr>
      <w:r>
        <w:rPr>
          <w:rFonts w:ascii="Palatino Linotype" w:eastAsia="Palatino Linotype" w:hAnsi="Palatino Linotype" w:cs="Palatino Linotype"/>
          <w:sz w:val="24"/>
          <w:szCs w:val="24"/>
        </w:rPr>
        <w:lastRenderedPageBreak/>
        <w:t xml:space="preserve">Cabe resaltar que </w:t>
      </w:r>
      <w:r>
        <w:rPr>
          <w:rFonts w:ascii="Palatino Linotype" w:eastAsia="Palatino Linotype" w:hAnsi="Palatino Linotype" w:cs="Palatino Linotype"/>
          <w:color w:val="000000"/>
          <w:sz w:val="24"/>
          <w:szCs w:val="24"/>
        </w:rPr>
        <w:t xml:space="preserve">durante la etapa de manifestaciones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 informe justificado conforme a derecho les corresponde. </w:t>
      </w:r>
      <w:r>
        <w:rPr>
          <w:sz w:val="24"/>
          <w:szCs w:val="24"/>
        </w:rPr>
        <w:t xml:space="preserve"> </w:t>
      </w:r>
    </w:p>
    <w:p w14:paraId="61B2E438" w14:textId="5271E1DE" w:rsidR="00C34450" w:rsidRDefault="00C34450" w:rsidP="00B278E3">
      <w:pPr>
        <w:spacing w:line="360" w:lineRule="auto"/>
        <w:contextualSpacing/>
        <w:jc w:val="both"/>
      </w:pPr>
    </w:p>
    <w:p w14:paraId="3DDA84CB" w14:textId="1480F1D3" w:rsidR="00AC09CF" w:rsidRPr="00AC09CF" w:rsidRDefault="00AC09CF" w:rsidP="00AC09CF">
      <w:pPr>
        <w:spacing w:line="360" w:lineRule="auto"/>
        <w:jc w:val="both"/>
        <w:rPr>
          <w:sz w:val="24"/>
          <w:szCs w:val="24"/>
        </w:rPr>
      </w:pPr>
      <w:r w:rsidRPr="00AC09CF">
        <w:rPr>
          <w:rFonts w:ascii="Palatino Linotype" w:eastAsia="Palatino Linotype" w:hAnsi="Palatino Linotype" w:cs="Palatino Linotype"/>
          <w:color w:val="000000"/>
          <w:sz w:val="24"/>
          <w:szCs w:val="24"/>
        </w:rPr>
        <w:t>Como se advierte las razones o motivos de inconformidad encuadran en lo establecido en la fracción VIII del artículo 179 de la Ley de Transparencia y Acceso a la Información Pública del Estado de México y Municipios, los cuales establecen lo siguiente:</w:t>
      </w:r>
    </w:p>
    <w:p w14:paraId="03253D0A" w14:textId="77777777" w:rsidR="00AC09CF" w:rsidRDefault="00AC09CF" w:rsidP="00AC09CF"/>
    <w:p w14:paraId="46A35238" w14:textId="77777777" w:rsidR="00AC09CF" w:rsidRDefault="00AC09CF" w:rsidP="00AC09CF">
      <w:pPr>
        <w:ind w:left="567" w:right="616"/>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El recurso de revisión es un medio de protección que la Ley otorga a los particulares, para hacer valer su derecho de acceso a la información pública, y procederá en contra de las siguientes causas:</w:t>
      </w:r>
    </w:p>
    <w:p w14:paraId="029600EC" w14:textId="77777777" w:rsidR="00AC09CF" w:rsidRDefault="00AC09CF" w:rsidP="00AC09CF">
      <w:pPr>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FAE084B" w14:textId="77777777" w:rsidR="00AC09CF" w:rsidRDefault="00AC09CF" w:rsidP="00AC09CF">
      <w:pPr>
        <w:ind w:left="567" w:right="616"/>
        <w:jc w:val="both"/>
        <w:rPr>
          <w:b/>
          <w:color w:val="000000"/>
        </w:rPr>
      </w:pPr>
      <w:r>
        <w:rPr>
          <w:rFonts w:ascii="Palatino Linotype" w:eastAsia="Palatino Linotype" w:hAnsi="Palatino Linotype" w:cs="Palatino Linotype"/>
          <w:b/>
          <w:i/>
          <w:color w:val="000000"/>
        </w:rPr>
        <w:t>VIII. La notificación, entrega o puesta a disposición de información en una modalidad o formato distinto al solicitado;”</w:t>
      </w:r>
    </w:p>
    <w:p w14:paraId="2C66E3E9" w14:textId="77777777" w:rsidR="00AC09CF" w:rsidRDefault="00AC09CF" w:rsidP="00B278E3">
      <w:pPr>
        <w:spacing w:before="240" w:after="240" w:line="360" w:lineRule="auto"/>
        <w:contextualSpacing/>
        <w:jc w:val="both"/>
        <w:rPr>
          <w:rFonts w:ascii="Palatino Linotype" w:hAnsi="Palatino Linotype"/>
          <w:color w:val="000000"/>
          <w:sz w:val="24"/>
        </w:rPr>
      </w:pPr>
    </w:p>
    <w:p w14:paraId="2E3100DD" w14:textId="55BA0853" w:rsidR="00AC09CF" w:rsidRDefault="00315ACA" w:rsidP="005F6E3E">
      <w:pPr>
        <w:spacing w:line="360" w:lineRule="auto"/>
        <w:contextualSpacing/>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color w:val="000000"/>
          <w:sz w:val="24"/>
          <w:szCs w:val="24"/>
        </w:rPr>
        <w:t xml:space="preserve">Por lo que atentos </w:t>
      </w:r>
      <w:r w:rsidR="00AC09CF" w:rsidRPr="00315ACA">
        <w:rPr>
          <w:rFonts w:ascii="Palatino Linotype" w:eastAsia="Palatino Linotype" w:hAnsi="Palatino Linotype" w:cs="Palatino Linotype"/>
          <w:color w:val="000000"/>
          <w:sz w:val="24"/>
          <w:szCs w:val="24"/>
        </w:rPr>
        <w:t>a las razones o motivos de inconformidad, resulta necesario señalar respecto al cambio de modalidad e</w:t>
      </w:r>
      <w:r w:rsidR="00AC09CF" w:rsidRPr="00315ACA">
        <w:rPr>
          <w:rFonts w:ascii="Palatino Linotype" w:eastAsia="Palatino Linotype" w:hAnsi="Palatino Linotype" w:cs="Palatino Linotype"/>
          <w:sz w:val="24"/>
          <w:szCs w:val="24"/>
        </w:rPr>
        <w:t xml:space="preserve">l artículo 155, fracción V, de la Ley de Transparencia y Acceso a la Información Pública del Estado de México y Municipios, precisa que para presentar una solicitud, la particular podrá señalar </w:t>
      </w:r>
      <w:r w:rsidR="00AC09CF" w:rsidRPr="00315ACA">
        <w:rPr>
          <w:rFonts w:ascii="Palatino Linotype" w:eastAsia="Palatino Linotype" w:hAnsi="Palatino Linotype" w:cs="Palatino Linotype"/>
          <w:b/>
          <w:sz w:val="24"/>
          <w:szCs w:val="24"/>
        </w:rPr>
        <w:t>la modalidad en la que prefiere se otorgue el acceso a la información</w:t>
      </w:r>
      <w:r w:rsidR="00AC09CF" w:rsidRPr="00315ACA">
        <w:rPr>
          <w:rFonts w:ascii="Palatino Linotype" w:eastAsia="Palatino Linotype" w:hAnsi="Palatino Linotype" w:cs="Palatino Linotype"/>
          <w:sz w:val="24"/>
          <w:szCs w:val="24"/>
        </w:rPr>
        <w:t xml:space="preserve">, la cual podrá ser verbal, siempre y cuando sea para fines de orientación, mediante consulta directa, mediante </w:t>
      </w:r>
      <w:r w:rsidR="00AC09CF" w:rsidRPr="00315ACA">
        <w:rPr>
          <w:rFonts w:ascii="Palatino Linotype" w:eastAsia="Palatino Linotype" w:hAnsi="Palatino Linotype" w:cs="Palatino Linotype"/>
          <w:sz w:val="24"/>
          <w:szCs w:val="24"/>
        </w:rPr>
        <w:lastRenderedPageBreak/>
        <w:t>la expedición de copias simples o certificadas o la reproducción en cualquier otro medio, incluidos los electrónicos.</w:t>
      </w:r>
    </w:p>
    <w:p w14:paraId="5CDE4672" w14:textId="77777777" w:rsidR="006015C9" w:rsidRPr="00315ACA" w:rsidRDefault="006015C9" w:rsidP="005F6E3E">
      <w:pPr>
        <w:spacing w:line="360" w:lineRule="auto"/>
        <w:contextualSpacing/>
        <w:jc w:val="both"/>
        <w:rPr>
          <w:rFonts w:ascii="Palatino Linotype" w:eastAsia="Palatino Linotype" w:hAnsi="Palatino Linotype" w:cs="Palatino Linotype"/>
          <w:sz w:val="24"/>
          <w:szCs w:val="24"/>
        </w:rPr>
      </w:pPr>
    </w:p>
    <w:p w14:paraId="28FAE8C4" w14:textId="77777777" w:rsidR="00AC09CF" w:rsidRPr="00315ACA" w:rsidRDefault="00AC09CF" w:rsidP="00AC09CF">
      <w:pPr>
        <w:spacing w:line="360" w:lineRule="auto"/>
        <w:ind w:right="-28"/>
        <w:contextualSpacing/>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315ACA">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CC06FCF" w14:textId="77777777" w:rsidR="00AC09CF" w:rsidRPr="00315ACA" w:rsidRDefault="00AC09CF" w:rsidP="00AC09CF">
      <w:pPr>
        <w:spacing w:line="360" w:lineRule="auto"/>
        <w:ind w:right="-28"/>
        <w:jc w:val="both"/>
        <w:rPr>
          <w:rFonts w:ascii="Palatino Linotype" w:eastAsia="Palatino Linotype" w:hAnsi="Palatino Linotype" w:cs="Palatino Linotype"/>
          <w:sz w:val="24"/>
          <w:szCs w:val="24"/>
        </w:rPr>
      </w:pPr>
    </w:p>
    <w:p w14:paraId="3D8E326A" w14:textId="77777777" w:rsidR="00AC09CF" w:rsidRPr="00315ACA" w:rsidRDefault="00AC09CF" w:rsidP="00AC09CF">
      <w:pPr>
        <w:spacing w:after="240" w:line="360" w:lineRule="auto"/>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315ACA">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315ACA">
        <w:rPr>
          <w:rFonts w:ascii="Palatino Linotype" w:eastAsia="Palatino Linotype" w:hAnsi="Palatino Linotype" w:cs="Palatino Linotype"/>
          <w:sz w:val="24"/>
          <w:szCs w:val="24"/>
        </w:rPr>
        <w:t xml:space="preserve"> En cualquier caso, </w:t>
      </w:r>
      <w:r w:rsidRPr="00315ACA">
        <w:rPr>
          <w:rFonts w:ascii="Palatino Linotype" w:eastAsia="Palatino Linotype" w:hAnsi="Palatino Linotype" w:cs="Palatino Linotype"/>
          <w:b/>
          <w:sz w:val="24"/>
          <w:szCs w:val="24"/>
        </w:rPr>
        <w:t>se deberá fundar y motivar</w:t>
      </w:r>
      <w:r w:rsidRPr="00315ACA">
        <w:rPr>
          <w:rFonts w:ascii="Palatino Linotype" w:eastAsia="Palatino Linotype" w:hAnsi="Palatino Linotype" w:cs="Palatino Linotype"/>
          <w:sz w:val="24"/>
          <w:szCs w:val="24"/>
        </w:rPr>
        <w:t xml:space="preserve"> la necesidad de ofrecer otras modalidades.</w:t>
      </w:r>
    </w:p>
    <w:p w14:paraId="1330DAA9" w14:textId="2EB72E81" w:rsidR="00AC09CF" w:rsidRDefault="00AC09CF" w:rsidP="00AC09CF">
      <w:pPr>
        <w:spacing w:before="240" w:after="240" w:line="360" w:lineRule="auto"/>
        <w:contextualSpacing/>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315ACA">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315ACA">
        <w:rPr>
          <w:rFonts w:ascii="Palatino Linotype" w:eastAsia="Palatino Linotype" w:hAnsi="Palatino Linotype" w:cs="Palatino Linotype"/>
          <w:sz w:val="24"/>
          <w:szCs w:val="24"/>
        </w:rPr>
        <w:t xml:space="preserve">, en cuyo caso, deberán exponerse las razones por las </w:t>
      </w:r>
      <w:r w:rsidRPr="00315ACA">
        <w:rPr>
          <w:rFonts w:ascii="Palatino Linotype" w:eastAsia="Palatino Linotype" w:hAnsi="Palatino Linotype" w:cs="Palatino Linotype"/>
          <w:sz w:val="24"/>
          <w:szCs w:val="24"/>
        </w:rPr>
        <w:lastRenderedPageBreak/>
        <w:t xml:space="preserve">cuales no es posible utilizar el medio de reproducción solicitado; en este sentido, la entrega de la información en una modalidad distinta a la elegida por la particular </w:t>
      </w:r>
      <w:r w:rsidRPr="00315ACA">
        <w:rPr>
          <w:rFonts w:ascii="Palatino Linotype" w:eastAsia="Palatino Linotype" w:hAnsi="Palatino Linotype" w:cs="Palatino Linotype"/>
          <w:b/>
          <w:sz w:val="24"/>
          <w:szCs w:val="24"/>
        </w:rPr>
        <w:t>sólo procede, en caso de que se acredite la imposibilidad de atenderla.</w:t>
      </w:r>
      <w:r w:rsidRPr="00315ACA">
        <w:rPr>
          <w:rFonts w:ascii="Palatino Linotype" w:eastAsia="Palatino Linotype" w:hAnsi="Palatino Linotype" w:cs="Palatino Linotype"/>
          <w:sz w:val="24"/>
          <w:szCs w:val="24"/>
        </w:rPr>
        <w:t xml:space="preserve"> </w:t>
      </w:r>
    </w:p>
    <w:p w14:paraId="447FC3E2" w14:textId="77777777" w:rsidR="006015C9" w:rsidRPr="00315ACA" w:rsidRDefault="006015C9" w:rsidP="00AC09CF">
      <w:pPr>
        <w:spacing w:before="240" w:after="240" w:line="360" w:lineRule="auto"/>
        <w:contextualSpacing/>
        <w:jc w:val="both"/>
        <w:rPr>
          <w:rFonts w:ascii="Palatino Linotype" w:eastAsia="Palatino Linotype" w:hAnsi="Palatino Linotype" w:cs="Palatino Linotype"/>
          <w:sz w:val="24"/>
          <w:szCs w:val="24"/>
        </w:rPr>
      </w:pPr>
    </w:p>
    <w:p w14:paraId="54414A2E" w14:textId="748A97B4" w:rsidR="00AC09CF" w:rsidRDefault="00AC09CF" w:rsidP="00AC09CF">
      <w:pPr>
        <w:spacing w:before="240" w:after="240" w:line="360" w:lineRule="auto"/>
        <w:contextualSpacing/>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 xml:space="preserve">Así, cuando se justifique el impedimento, </w:t>
      </w:r>
      <w:r w:rsidRPr="00315ACA">
        <w:rPr>
          <w:rFonts w:ascii="Palatino Linotype" w:eastAsia="Palatino Linotype" w:hAnsi="Palatino Linotype" w:cs="Palatino Linotype"/>
          <w:b/>
          <w:sz w:val="24"/>
          <w:szCs w:val="24"/>
        </w:rPr>
        <w:t>los Sujetos Obligados deberán ofrecer al particular otras modalidades de entrega que permita la información</w:t>
      </w:r>
      <w:r w:rsidRPr="00315ACA">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3EAD618" w14:textId="77777777" w:rsidR="006015C9" w:rsidRPr="00315ACA" w:rsidRDefault="006015C9" w:rsidP="00AC09CF">
      <w:pPr>
        <w:spacing w:before="240" w:after="240" w:line="360" w:lineRule="auto"/>
        <w:contextualSpacing/>
        <w:jc w:val="both"/>
        <w:rPr>
          <w:rFonts w:ascii="Palatino Linotype" w:eastAsia="Palatino Linotype" w:hAnsi="Palatino Linotype" w:cs="Palatino Linotype"/>
          <w:sz w:val="24"/>
          <w:szCs w:val="24"/>
        </w:rPr>
      </w:pPr>
    </w:p>
    <w:p w14:paraId="67C796CF" w14:textId="63241A61" w:rsidR="00AC09CF" w:rsidRDefault="00AC09CF" w:rsidP="006015C9">
      <w:pPr>
        <w:spacing w:before="240" w:after="240" w:line="360" w:lineRule="auto"/>
        <w:ind w:left="567" w:right="567"/>
        <w:contextualSpacing/>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B14D5E6" w14:textId="77777777" w:rsidR="006015C9" w:rsidRDefault="006015C9" w:rsidP="006015C9">
      <w:pPr>
        <w:spacing w:before="240" w:after="240" w:line="360" w:lineRule="auto"/>
        <w:ind w:left="567" w:right="567"/>
        <w:contextualSpacing/>
        <w:jc w:val="both"/>
        <w:rPr>
          <w:rFonts w:ascii="Palatino Linotype" w:eastAsia="Palatino Linotype" w:hAnsi="Palatino Linotype" w:cs="Palatino Linotype"/>
          <w:i/>
          <w:sz w:val="20"/>
          <w:szCs w:val="20"/>
        </w:rPr>
      </w:pPr>
    </w:p>
    <w:p w14:paraId="6EF163B4" w14:textId="4C4FCE11" w:rsidR="00AC09CF" w:rsidRDefault="00AC09CF" w:rsidP="006015C9">
      <w:pPr>
        <w:spacing w:before="240" w:after="240" w:line="360" w:lineRule="auto"/>
        <w:contextualSpacing/>
        <w:jc w:val="both"/>
        <w:rPr>
          <w:rFonts w:ascii="Palatino Linotype" w:eastAsia="Palatino Linotype" w:hAnsi="Palatino Linotype" w:cs="Palatino Linotype"/>
          <w:b/>
          <w:sz w:val="24"/>
          <w:szCs w:val="24"/>
        </w:rPr>
      </w:pPr>
      <w:r w:rsidRPr="00315ACA">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w:t>
      </w:r>
      <w:r w:rsidRPr="00315ACA">
        <w:rPr>
          <w:rFonts w:ascii="Palatino Linotype" w:eastAsia="Palatino Linotype" w:hAnsi="Palatino Linotype" w:cs="Palatino Linotype"/>
          <w:sz w:val="24"/>
          <w:szCs w:val="24"/>
        </w:rPr>
        <w:lastRenderedPageBreak/>
        <w:t xml:space="preserve">misma y se notifique al particular la puesta a disposición de la </w:t>
      </w:r>
      <w:r w:rsidRPr="00315ACA">
        <w:rPr>
          <w:rFonts w:ascii="Palatino Linotype" w:eastAsia="Palatino Linotype" w:hAnsi="Palatino Linotype" w:cs="Palatino Linotype"/>
          <w:b/>
          <w:sz w:val="24"/>
          <w:szCs w:val="24"/>
        </w:rPr>
        <w:t>información en todas las modalidades que lo permitan, procurando reducir los costos de entrega.</w:t>
      </w:r>
    </w:p>
    <w:p w14:paraId="2CA145D5" w14:textId="77777777" w:rsidR="006015C9" w:rsidRPr="00315ACA" w:rsidRDefault="006015C9" w:rsidP="006015C9">
      <w:pPr>
        <w:spacing w:before="240" w:after="240" w:line="360" w:lineRule="auto"/>
        <w:contextualSpacing/>
        <w:jc w:val="both"/>
        <w:rPr>
          <w:rFonts w:ascii="Palatino Linotype" w:eastAsia="Palatino Linotype" w:hAnsi="Palatino Linotype" w:cs="Palatino Linotype"/>
          <w:b/>
          <w:sz w:val="24"/>
          <w:szCs w:val="24"/>
        </w:rPr>
      </w:pPr>
    </w:p>
    <w:p w14:paraId="3D8AEECC" w14:textId="69918505" w:rsidR="00AC09CF" w:rsidRDefault="00AC09CF" w:rsidP="00AC09CF">
      <w:pPr>
        <w:spacing w:before="240" w:after="240" w:line="360" w:lineRule="auto"/>
        <w:contextualSpacing/>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Por otra parte, al aludir la imposibilidad de entregar la información, el Ente Recurrido, debe proporcionar el Acta en donde su Comité de Transparencia, validará el cambio de modalidad solicitado.</w:t>
      </w:r>
    </w:p>
    <w:p w14:paraId="0EA8FA8B" w14:textId="77777777" w:rsidR="006015C9" w:rsidRPr="00315ACA" w:rsidRDefault="006015C9" w:rsidP="00AC09CF">
      <w:pPr>
        <w:spacing w:before="240" w:after="240" w:line="360" w:lineRule="auto"/>
        <w:contextualSpacing/>
        <w:jc w:val="both"/>
        <w:rPr>
          <w:rFonts w:ascii="Palatino Linotype" w:eastAsia="Palatino Linotype" w:hAnsi="Palatino Linotype" w:cs="Palatino Linotype"/>
          <w:sz w:val="24"/>
          <w:szCs w:val="24"/>
        </w:rPr>
      </w:pPr>
    </w:p>
    <w:p w14:paraId="15F7CC12" w14:textId="77777777" w:rsidR="00AC09CF" w:rsidRPr="00315ACA" w:rsidRDefault="00AC09CF" w:rsidP="00AC09CF">
      <w:pPr>
        <w:widowControl w:val="0"/>
        <w:spacing w:before="240" w:after="240" w:line="360" w:lineRule="auto"/>
        <w:contextualSpacing/>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E5C9EB6" w14:textId="77777777" w:rsidR="00AC09CF" w:rsidRPr="00315ACA" w:rsidRDefault="00AC09CF" w:rsidP="00AC09CF">
      <w:pPr>
        <w:numPr>
          <w:ilvl w:val="0"/>
          <w:numId w:val="5"/>
        </w:numPr>
        <w:spacing w:before="240" w:after="0" w:line="360" w:lineRule="auto"/>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Las razones por las cuales la información implicaba un análisis, estudio o procesamiento de datos;</w:t>
      </w:r>
    </w:p>
    <w:p w14:paraId="22419398" w14:textId="77777777" w:rsidR="00AC09CF" w:rsidRPr="00315ACA" w:rsidRDefault="00AC09CF" w:rsidP="00AC09CF">
      <w:pPr>
        <w:spacing w:line="360" w:lineRule="auto"/>
        <w:ind w:left="720"/>
        <w:jc w:val="both"/>
        <w:rPr>
          <w:rFonts w:ascii="Palatino Linotype" w:eastAsia="Palatino Linotype" w:hAnsi="Palatino Linotype" w:cs="Palatino Linotype"/>
          <w:sz w:val="24"/>
          <w:szCs w:val="24"/>
        </w:rPr>
      </w:pPr>
    </w:p>
    <w:p w14:paraId="48C80223" w14:textId="77777777" w:rsidR="00AC09CF" w:rsidRPr="00315ACA" w:rsidRDefault="00AC09CF" w:rsidP="00AC09CF">
      <w:pPr>
        <w:numPr>
          <w:ilvl w:val="0"/>
          <w:numId w:val="5"/>
        </w:numPr>
        <w:spacing w:after="0" w:line="360" w:lineRule="auto"/>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14:paraId="3C06E357" w14:textId="77777777" w:rsidR="00AC09CF" w:rsidRPr="00315ACA" w:rsidRDefault="00AC09CF" w:rsidP="00AC09CF">
      <w:pPr>
        <w:spacing w:line="360" w:lineRule="auto"/>
        <w:ind w:left="720"/>
        <w:rPr>
          <w:rFonts w:ascii="Palatino Linotype" w:eastAsia="Palatino Linotype" w:hAnsi="Palatino Linotype" w:cs="Palatino Linotype"/>
          <w:sz w:val="24"/>
          <w:szCs w:val="24"/>
        </w:rPr>
      </w:pPr>
    </w:p>
    <w:p w14:paraId="6F4C4649" w14:textId="03A0654A" w:rsidR="00AC09CF" w:rsidRDefault="00AC09CF" w:rsidP="00AC09CF">
      <w:pPr>
        <w:numPr>
          <w:ilvl w:val="0"/>
          <w:numId w:val="5"/>
        </w:numPr>
        <w:spacing w:after="0" w:line="360" w:lineRule="auto"/>
        <w:jc w:val="both"/>
        <w:rPr>
          <w:rFonts w:ascii="Palatino Linotype" w:eastAsia="Palatino Linotype" w:hAnsi="Palatino Linotype" w:cs="Palatino Linotype"/>
          <w:sz w:val="24"/>
          <w:szCs w:val="24"/>
        </w:rPr>
      </w:pPr>
      <w:r w:rsidRPr="00315ACA">
        <w:rPr>
          <w:rFonts w:ascii="Palatino Linotype" w:eastAsia="Palatino Linotype" w:hAnsi="Palatino Linotype" w:cs="Palatino Linotype"/>
          <w:sz w:val="24"/>
          <w:szCs w:val="24"/>
        </w:rPr>
        <w:lastRenderedPageBreak/>
        <w:t>La cantidad de recursos humanos y materiales con los que cuenta el Sujeto Obligado son insuficientes.</w:t>
      </w:r>
    </w:p>
    <w:p w14:paraId="3B5A839A" w14:textId="77777777" w:rsidR="006015C9" w:rsidRPr="00315ACA" w:rsidRDefault="006015C9" w:rsidP="006015C9">
      <w:pPr>
        <w:spacing w:after="0" w:line="360" w:lineRule="auto"/>
        <w:ind w:left="720"/>
        <w:jc w:val="both"/>
        <w:rPr>
          <w:rFonts w:ascii="Palatino Linotype" w:eastAsia="Palatino Linotype" w:hAnsi="Palatino Linotype" w:cs="Palatino Linotype"/>
          <w:sz w:val="24"/>
          <w:szCs w:val="24"/>
        </w:rPr>
      </w:pPr>
    </w:p>
    <w:p w14:paraId="6C9E75DE" w14:textId="0F71938D" w:rsidR="00AC09CF" w:rsidRDefault="00AC09CF" w:rsidP="006015C9">
      <w:pPr>
        <w:spacing w:line="360" w:lineRule="auto"/>
        <w:ind w:right="-28"/>
        <w:contextualSpacing/>
        <w:jc w:val="both"/>
        <w:rPr>
          <w:rFonts w:ascii="Palatino Linotype" w:eastAsia="Palatino Linotype" w:hAnsi="Palatino Linotype" w:cs="Palatino Linotype"/>
          <w:color w:val="000000"/>
          <w:sz w:val="24"/>
          <w:szCs w:val="24"/>
        </w:rPr>
      </w:pPr>
      <w:r w:rsidRPr="00315ACA">
        <w:rPr>
          <w:rFonts w:ascii="Palatino Linotype" w:eastAsia="Palatino Linotype" w:hAnsi="Palatino Linotype" w:cs="Palatino Linotype"/>
          <w:color w:val="000000"/>
          <w:sz w:val="24"/>
          <w:szCs w:val="24"/>
        </w:rPr>
        <w:t xml:space="preserve">Por consiguiente, en el presente asunto no se advierte que el </w:t>
      </w:r>
      <w:r w:rsidRPr="00315ACA">
        <w:rPr>
          <w:rFonts w:ascii="Palatino Linotype" w:eastAsia="Palatino Linotype" w:hAnsi="Palatino Linotype" w:cs="Palatino Linotype"/>
          <w:b/>
          <w:color w:val="000000"/>
          <w:sz w:val="24"/>
          <w:szCs w:val="24"/>
        </w:rPr>
        <w:t xml:space="preserve">Sujeto Obligado </w:t>
      </w:r>
      <w:r w:rsidRPr="00315ACA">
        <w:rPr>
          <w:rFonts w:ascii="Palatino Linotype" w:eastAsia="Palatino Linotype" w:hAnsi="Palatino Linotype" w:cs="Palatino Linotype"/>
          <w:color w:val="000000"/>
          <w:sz w:val="24"/>
          <w:szCs w:val="24"/>
        </w:rPr>
        <w:t xml:space="preserve">haya pretendido realizar un cambio de modalidad a consulta directa. </w:t>
      </w:r>
    </w:p>
    <w:p w14:paraId="133638A1" w14:textId="77777777" w:rsidR="006015C9" w:rsidRPr="00315ACA" w:rsidRDefault="006015C9" w:rsidP="006015C9">
      <w:pPr>
        <w:spacing w:line="360" w:lineRule="auto"/>
        <w:ind w:right="-28"/>
        <w:contextualSpacing/>
        <w:jc w:val="both"/>
        <w:rPr>
          <w:rFonts w:ascii="Palatino Linotype" w:eastAsia="Palatino Linotype" w:hAnsi="Palatino Linotype" w:cs="Palatino Linotype"/>
          <w:color w:val="000000"/>
          <w:sz w:val="24"/>
          <w:szCs w:val="24"/>
        </w:rPr>
      </w:pPr>
    </w:p>
    <w:p w14:paraId="02422037" w14:textId="4127DC4D" w:rsidR="00AC09CF" w:rsidRPr="00315ACA" w:rsidRDefault="00B815E8" w:rsidP="006015C9">
      <w:pPr>
        <w:spacing w:before="240" w:after="240" w:line="360" w:lineRule="auto"/>
        <w:contextualSpacing/>
        <w:jc w:val="both"/>
        <w:rPr>
          <w:rFonts w:ascii="Palatino Linotype" w:eastAsia="Palatino Linotype" w:hAnsi="Palatino Linotype" w:cs="Palatino Linotype"/>
          <w:color w:val="000000"/>
          <w:sz w:val="24"/>
          <w:szCs w:val="24"/>
        </w:rPr>
      </w:pPr>
      <w:r w:rsidRPr="00315ACA">
        <w:rPr>
          <w:rFonts w:ascii="Palatino Linotype" w:eastAsia="Palatino Linotype" w:hAnsi="Palatino Linotype" w:cs="Palatino Linotype"/>
          <w:color w:val="000000"/>
          <w:sz w:val="24"/>
          <w:szCs w:val="24"/>
        </w:rPr>
        <w:t>Toda vez que</w:t>
      </w:r>
      <w:r w:rsidR="00AC09CF" w:rsidRPr="00315ACA">
        <w:rPr>
          <w:rFonts w:ascii="Palatino Linotype" w:eastAsia="Palatino Linotype" w:hAnsi="Palatino Linotype" w:cs="Palatino Linotype"/>
          <w:color w:val="000000"/>
          <w:sz w:val="24"/>
          <w:szCs w:val="24"/>
        </w:rPr>
        <w:t xml:space="preserve">, como quedó precisado en párrafos anteriores, el </w:t>
      </w:r>
      <w:r w:rsidR="00AC09CF" w:rsidRPr="00315ACA">
        <w:rPr>
          <w:rFonts w:ascii="Palatino Linotype" w:eastAsia="Palatino Linotype" w:hAnsi="Palatino Linotype" w:cs="Palatino Linotype"/>
          <w:b/>
          <w:color w:val="000000"/>
          <w:sz w:val="24"/>
          <w:szCs w:val="24"/>
        </w:rPr>
        <w:t>Sujeto Obligado</w:t>
      </w:r>
      <w:r w:rsidR="00AC09CF" w:rsidRPr="00315ACA">
        <w:rPr>
          <w:rFonts w:ascii="Palatino Linotype" w:eastAsia="Palatino Linotype" w:hAnsi="Palatino Linotype" w:cs="Palatino Linotype"/>
          <w:color w:val="000000"/>
          <w:sz w:val="24"/>
          <w:szCs w:val="24"/>
        </w:rPr>
        <w:t xml:space="preserve"> señaló en respuesta a la solicitud de información que: </w:t>
      </w:r>
    </w:p>
    <w:p w14:paraId="4F90997F" w14:textId="70B8E2DB" w:rsidR="00AC09CF" w:rsidRDefault="00AC09CF" w:rsidP="00AC09CF">
      <w:pPr>
        <w:spacing w:before="240" w:after="240" w:line="360" w:lineRule="auto"/>
        <w:contextualSpacing/>
        <w:jc w:val="both"/>
        <w:rPr>
          <w:rFonts w:ascii="Palatino Linotype" w:eastAsia="Palatino Linotype" w:hAnsi="Palatino Linotype" w:cs="Palatino Linotype"/>
          <w:color w:val="000000"/>
        </w:rPr>
      </w:pPr>
      <w:r w:rsidRPr="00AC09CF">
        <w:rPr>
          <w:rFonts w:ascii="Palatino Linotype" w:eastAsia="Palatino Linotype" w:hAnsi="Palatino Linotype" w:cs="Palatino Linotype"/>
          <w:noProof/>
          <w:color w:val="000000"/>
        </w:rPr>
        <w:drawing>
          <wp:inline distT="0" distB="0" distL="0" distR="0" wp14:anchorId="7FE3D222" wp14:editId="620155D0">
            <wp:extent cx="5302523" cy="21972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523" cy="2197213"/>
                    </a:xfrm>
                    <a:prstGeom prst="rect">
                      <a:avLst/>
                    </a:prstGeom>
                  </pic:spPr>
                </pic:pic>
              </a:graphicData>
            </a:graphic>
          </wp:inline>
        </w:drawing>
      </w:r>
    </w:p>
    <w:p w14:paraId="1AD16B33" w14:textId="77777777" w:rsidR="00AC09CF" w:rsidRDefault="00AC09CF" w:rsidP="00AC09CF">
      <w:pPr>
        <w:spacing w:before="240" w:after="240" w:line="360" w:lineRule="auto"/>
        <w:contextualSpacing/>
        <w:jc w:val="both"/>
        <w:rPr>
          <w:rFonts w:ascii="Palatino Linotype" w:hAnsi="Palatino Linotype"/>
          <w:color w:val="000000"/>
          <w:sz w:val="24"/>
        </w:rPr>
      </w:pPr>
    </w:p>
    <w:p w14:paraId="26E8A3CC" w14:textId="77777777" w:rsidR="00B815E8" w:rsidRPr="00315ACA" w:rsidRDefault="00B815E8" w:rsidP="00B815E8">
      <w:pPr>
        <w:spacing w:line="360" w:lineRule="auto"/>
        <w:jc w:val="both"/>
        <w:rPr>
          <w:rFonts w:ascii="Palatino Linotype" w:eastAsia="Palatino Linotype" w:hAnsi="Palatino Linotype" w:cs="Palatino Linotype"/>
          <w:color w:val="000000"/>
          <w:sz w:val="24"/>
          <w:szCs w:val="24"/>
        </w:rPr>
      </w:pPr>
      <w:r w:rsidRPr="00315ACA">
        <w:rPr>
          <w:rFonts w:ascii="Palatino Linotype" w:eastAsia="Palatino Linotype" w:hAnsi="Palatino Linotype" w:cs="Palatino Linotype"/>
          <w:b/>
          <w:color w:val="000000"/>
          <w:sz w:val="24"/>
          <w:szCs w:val="24"/>
        </w:rPr>
        <w:t>Sin que se aprecie que pretenda cambiar la modalidad de entrega de la información</w:t>
      </w:r>
      <w:r w:rsidRPr="00315ACA">
        <w:rPr>
          <w:rFonts w:ascii="Palatino Linotype" w:eastAsia="Palatino Linotype" w:hAnsi="Palatino Linotype" w:cs="Palatino Linotype"/>
          <w:color w:val="000000"/>
          <w:sz w:val="24"/>
          <w:szCs w:val="24"/>
        </w:rPr>
        <w:t xml:space="preserve">, como lo refiere en sus motivos de inconformidad el </w:t>
      </w:r>
      <w:r w:rsidRPr="00315ACA">
        <w:rPr>
          <w:rFonts w:ascii="Palatino Linotype" w:eastAsia="Palatino Linotype" w:hAnsi="Palatino Linotype" w:cs="Palatino Linotype"/>
          <w:b/>
          <w:color w:val="000000"/>
          <w:sz w:val="24"/>
          <w:szCs w:val="24"/>
        </w:rPr>
        <w:t>Recurrente</w:t>
      </w:r>
      <w:r w:rsidRPr="00315ACA">
        <w:rPr>
          <w:rFonts w:ascii="Palatino Linotype" w:eastAsia="Palatino Linotype" w:hAnsi="Palatino Linotype" w:cs="Palatino Linotype"/>
          <w:color w:val="000000"/>
          <w:sz w:val="24"/>
          <w:szCs w:val="24"/>
        </w:rPr>
        <w:t>. </w:t>
      </w:r>
    </w:p>
    <w:p w14:paraId="0C781A76" w14:textId="29C8B269" w:rsidR="00315ACA" w:rsidRDefault="00315ACA" w:rsidP="006015C9">
      <w:pPr>
        <w:spacing w:line="360" w:lineRule="auto"/>
        <w:contextualSpacing/>
        <w:jc w:val="both"/>
        <w:rPr>
          <w:rFonts w:ascii="Palatino Linotype" w:eastAsia="Palatino Linotype" w:hAnsi="Palatino Linotype" w:cs="Palatino Linotype"/>
          <w:color w:val="000000"/>
        </w:rPr>
      </w:pPr>
      <w:r w:rsidRPr="00315ACA">
        <w:rPr>
          <w:rFonts w:ascii="Palatino Linotype" w:eastAsia="Palatino Linotype" w:hAnsi="Palatino Linotype" w:cs="Palatino Linotype"/>
          <w:color w:val="000000"/>
          <w:sz w:val="24"/>
          <w:szCs w:val="24"/>
        </w:rPr>
        <w:t>Aunado a que dentro de los motivos de inconformidad señala que dicha respuesta fue emitida por un Sujeto Obligado distinto, tal como se aprecia a continuación</w:t>
      </w:r>
      <w:r>
        <w:rPr>
          <w:rFonts w:ascii="Palatino Linotype" w:eastAsia="Palatino Linotype" w:hAnsi="Palatino Linotype" w:cs="Palatino Linotype"/>
          <w:color w:val="000000"/>
        </w:rPr>
        <w:t>: “…</w:t>
      </w:r>
      <w:r w:rsidRPr="00D356AF">
        <w:rPr>
          <w:rFonts w:ascii="Palatino Linotype" w:eastAsia="Palatino Linotype" w:hAnsi="Palatino Linotype" w:cs="Palatino Linotype"/>
          <w:i/>
          <w:color w:val="000000"/>
        </w:rPr>
        <w:t xml:space="preserve">Por lo anteriormente expuesto se solicita al Pleno del Instituto de Transparencia, Acceso a la </w:t>
      </w:r>
      <w:r w:rsidRPr="00D356AF">
        <w:rPr>
          <w:rFonts w:ascii="Palatino Linotype" w:eastAsia="Palatino Linotype" w:hAnsi="Palatino Linotype" w:cs="Palatino Linotype"/>
          <w:i/>
          <w:color w:val="000000"/>
        </w:rPr>
        <w:lastRenderedPageBreak/>
        <w:t xml:space="preserve">Información Pública y Protección de Datos Personales del Estado de México y Municipios </w:t>
      </w:r>
      <w:r w:rsidRPr="00B815E8">
        <w:rPr>
          <w:rFonts w:ascii="Palatino Linotype" w:eastAsia="Palatino Linotype" w:hAnsi="Palatino Linotype" w:cs="Palatino Linotype"/>
          <w:b/>
          <w:i/>
          <w:color w:val="000000"/>
          <w:u w:val="single"/>
        </w:rPr>
        <w:t>tenga a bien ordenar al Sistema Municipal para el Desarrollo Integral de la Familia de Metepec</w:t>
      </w:r>
      <w:r w:rsidRPr="00D356AF">
        <w:rPr>
          <w:rFonts w:ascii="Palatino Linotype" w:eastAsia="Palatino Linotype" w:hAnsi="Palatino Linotype" w:cs="Palatino Linotype"/>
          <w:i/>
          <w:color w:val="000000"/>
        </w:rPr>
        <w:t>, Estado de México la entrega de la información solicitada, en los términos descritos en el presente.</w:t>
      </w:r>
      <w:r>
        <w:rPr>
          <w:rFonts w:ascii="Palatino Linotype" w:eastAsia="Palatino Linotype" w:hAnsi="Palatino Linotype" w:cs="Palatino Linotype"/>
          <w:i/>
          <w:color w:val="000000"/>
        </w:rPr>
        <w:t xml:space="preserve">” </w:t>
      </w:r>
      <w:r w:rsidRPr="00315ACA">
        <w:rPr>
          <w:rFonts w:ascii="Palatino Linotype" w:eastAsia="Palatino Linotype" w:hAnsi="Palatino Linotype" w:cs="Palatino Linotype"/>
          <w:color w:val="000000"/>
          <w:sz w:val="24"/>
          <w:szCs w:val="24"/>
        </w:rPr>
        <w:t>Siendo que el Sujeto Obligado responsable de dar respuesta a la solicitud relacionada con el expediente que ahora se resuelve es el Organismo Público Descentralizado para la Prestación de Los Servicios de Agua Potable Alcantarillado y Saneamiento del Municipio de Metepec.</w:t>
      </w:r>
      <w:r>
        <w:rPr>
          <w:rFonts w:ascii="Palatino Linotype" w:eastAsia="Palatino Linotype" w:hAnsi="Palatino Linotype" w:cs="Palatino Linotype"/>
          <w:color w:val="000000"/>
        </w:rPr>
        <w:t xml:space="preserve"> </w:t>
      </w:r>
    </w:p>
    <w:p w14:paraId="1371308D" w14:textId="77777777" w:rsidR="006015C9" w:rsidRPr="00315ACA" w:rsidRDefault="006015C9" w:rsidP="006015C9">
      <w:pPr>
        <w:spacing w:line="360" w:lineRule="auto"/>
        <w:contextualSpacing/>
        <w:jc w:val="both"/>
        <w:rPr>
          <w:rFonts w:ascii="Palatino Linotype" w:eastAsia="Palatino Linotype" w:hAnsi="Palatino Linotype" w:cs="Palatino Linotype"/>
          <w:color w:val="000000"/>
        </w:rPr>
      </w:pPr>
    </w:p>
    <w:p w14:paraId="51F94871" w14:textId="130040C5" w:rsidR="00280223" w:rsidRPr="008F6243" w:rsidRDefault="00280223" w:rsidP="00280223">
      <w:pPr>
        <w:spacing w:line="360" w:lineRule="auto"/>
        <w:jc w:val="both"/>
        <w:rPr>
          <w:rFonts w:ascii="Palatino Linotype" w:eastAsia="Palatino Linotype" w:hAnsi="Palatino Linotype" w:cs="Palatino Linotype"/>
          <w:sz w:val="24"/>
          <w:szCs w:val="24"/>
        </w:rPr>
      </w:pPr>
      <w:r w:rsidRPr="008F6243">
        <w:rPr>
          <w:rFonts w:ascii="Palatino Linotype" w:eastAsia="Palatino Linotype" w:hAnsi="Palatino Linotype" w:cs="Palatino Linotype"/>
          <w:sz w:val="24"/>
          <w:szCs w:val="24"/>
        </w:rPr>
        <w:t xml:space="preserve">Ahora bien, atentos a la inconformidad planteada resulta necesario señalar que la misma no versa ni sobre la materia de la solicitud de información inicial, ni sobre el contenido de la respuesta emitida por el Sujeto Obligado, en esa virtud, no se actualiza ninguna causal de procedencia, al acreditarse con las constancias que integran el expediente, que las razones o motivos de inconformidad no guardan relación con la solicitud inicial, ni con la respuesta emitida a la misma, pues en ningún momento el Sujeto Obligado pretendió hacer un cambio de modalidad en la entrega de la información  es por ello que se actualiza la causal de improcedencia prevista en la fracción IV del artículo 192 de la Ley en la materia, en relación con la fracción III del artículo 191 del mismo ordenamiento, disposiciones normativas que señalan: </w:t>
      </w:r>
    </w:p>
    <w:p w14:paraId="6795398C" w14:textId="77777777" w:rsidR="00280223" w:rsidRPr="008F6243" w:rsidRDefault="00280223" w:rsidP="00280223">
      <w:pPr>
        <w:tabs>
          <w:tab w:val="left" w:pos="7938"/>
        </w:tabs>
        <w:ind w:left="560" w:right="620"/>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t xml:space="preserve">“Artículo 191. El recurso será desechado por improcedente cuando: </w:t>
      </w:r>
    </w:p>
    <w:p w14:paraId="62CD8BDF" w14:textId="77777777" w:rsidR="00280223" w:rsidRPr="008F6243" w:rsidRDefault="00280223" w:rsidP="00280223">
      <w:pPr>
        <w:tabs>
          <w:tab w:val="left" w:pos="7938"/>
        </w:tabs>
        <w:ind w:left="560" w:right="620"/>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t>III. No se actualice alguno de los supuestos previstos en la Ley.</w:t>
      </w:r>
    </w:p>
    <w:p w14:paraId="027BC5F4" w14:textId="77777777" w:rsidR="00280223" w:rsidRPr="008F6243" w:rsidRDefault="00280223" w:rsidP="00280223">
      <w:pPr>
        <w:tabs>
          <w:tab w:val="left" w:pos="2025"/>
        </w:tabs>
        <w:ind w:left="560" w:right="620"/>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tab/>
      </w:r>
    </w:p>
    <w:p w14:paraId="6165D03F" w14:textId="77777777" w:rsidR="00280223" w:rsidRPr="008F6243" w:rsidRDefault="00280223" w:rsidP="00280223">
      <w:pPr>
        <w:tabs>
          <w:tab w:val="left" w:pos="7938"/>
        </w:tabs>
        <w:ind w:left="560" w:right="620"/>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lastRenderedPageBreak/>
        <w:t xml:space="preserve">Artículo 192. El recurso será </w:t>
      </w:r>
      <w:r w:rsidRPr="008F6243">
        <w:rPr>
          <w:rFonts w:ascii="Palatino Linotype" w:eastAsia="Palatino Linotype" w:hAnsi="Palatino Linotype" w:cs="Palatino Linotype"/>
          <w:b/>
          <w:i/>
          <w:u w:val="single"/>
        </w:rPr>
        <w:t>sobreseído</w:t>
      </w:r>
      <w:r w:rsidRPr="008F6243">
        <w:rPr>
          <w:rFonts w:ascii="Palatino Linotype" w:eastAsia="Palatino Linotype" w:hAnsi="Palatino Linotype" w:cs="Palatino Linotype"/>
          <w:b/>
          <w:i/>
        </w:rPr>
        <w:t>, en todo o en parte, cuando una vez admitido, se actualicen alguno de los siguientes supuestos:</w:t>
      </w:r>
    </w:p>
    <w:p w14:paraId="19F2D9FB" w14:textId="77777777" w:rsidR="00280223" w:rsidRPr="008F6243" w:rsidRDefault="00280223" w:rsidP="00280223">
      <w:pPr>
        <w:tabs>
          <w:tab w:val="left" w:pos="7938"/>
        </w:tabs>
        <w:ind w:left="560" w:right="620"/>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t>(…)</w:t>
      </w:r>
    </w:p>
    <w:p w14:paraId="14A13B8B" w14:textId="77777777" w:rsidR="00280223" w:rsidRPr="008F6243" w:rsidRDefault="00280223" w:rsidP="00280223">
      <w:pPr>
        <w:tabs>
          <w:tab w:val="left" w:pos="7938"/>
        </w:tabs>
        <w:ind w:left="560" w:right="620"/>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t>V. Admitido el recurso de revisión aparezca alguna causal de improcedencia en términos de la presente Ley… (Sic)”</w:t>
      </w:r>
    </w:p>
    <w:p w14:paraId="0875F04F" w14:textId="77777777" w:rsidR="00280223" w:rsidRPr="008F6243" w:rsidRDefault="00280223" w:rsidP="00280223">
      <w:pPr>
        <w:tabs>
          <w:tab w:val="left" w:pos="7938"/>
        </w:tabs>
        <w:spacing w:before="120" w:after="120"/>
        <w:ind w:right="902"/>
        <w:jc w:val="both"/>
        <w:rPr>
          <w:rFonts w:ascii="Palatino Linotype" w:eastAsia="Palatino Linotype" w:hAnsi="Palatino Linotype" w:cs="Palatino Linotype"/>
          <w:b/>
          <w:i/>
        </w:rPr>
      </w:pPr>
    </w:p>
    <w:p w14:paraId="0876497C" w14:textId="77777777" w:rsidR="00B815E8" w:rsidRPr="008F6243" w:rsidRDefault="00B815E8" w:rsidP="00B815E8">
      <w:pPr>
        <w:spacing w:line="360" w:lineRule="auto"/>
        <w:jc w:val="both"/>
        <w:rPr>
          <w:rFonts w:ascii="Palatino Linotype" w:eastAsia="Palatino Linotype" w:hAnsi="Palatino Linotype" w:cs="Palatino Linotype"/>
          <w:color w:val="000000"/>
          <w:sz w:val="24"/>
          <w:szCs w:val="24"/>
        </w:rPr>
      </w:pPr>
      <w:r w:rsidRPr="008F6243">
        <w:rPr>
          <w:rFonts w:ascii="Palatino Linotype" w:eastAsia="Palatino Linotype" w:hAnsi="Palatino Linotype" w:cs="Palatino Linotype"/>
          <w:color w:val="000000"/>
          <w:sz w:val="24"/>
          <w:szCs w:val="24"/>
        </w:rPr>
        <w:t xml:space="preserve">En ese orden de ideas, podemos llegar a la conclusión de la inexistencia del acto reclamado, al acreditarse con las constancias que integran el expediente, que el </w:t>
      </w:r>
      <w:r w:rsidRPr="008F6243">
        <w:rPr>
          <w:rFonts w:ascii="Palatino Linotype" w:eastAsia="Palatino Linotype" w:hAnsi="Palatino Linotype" w:cs="Palatino Linotype"/>
          <w:b/>
          <w:color w:val="000000"/>
          <w:sz w:val="24"/>
          <w:szCs w:val="24"/>
        </w:rPr>
        <w:t>Sujeto Obligado</w:t>
      </w:r>
      <w:r w:rsidRPr="008F6243">
        <w:rPr>
          <w:rFonts w:ascii="Palatino Linotype" w:eastAsia="Palatino Linotype" w:hAnsi="Palatino Linotype" w:cs="Palatino Linotype"/>
          <w:color w:val="000000"/>
          <w:sz w:val="24"/>
          <w:szCs w:val="24"/>
        </w:rPr>
        <w:t xml:space="preserve"> no pretendió cambiar la modalidad de entrega de la información</w:t>
      </w:r>
      <w:r w:rsidRPr="008F6243">
        <w:rPr>
          <w:rFonts w:ascii="Palatino Linotype" w:eastAsia="Palatino Linotype" w:hAnsi="Palatino Linotype" w:cs="Palatino Linotype"/>
          <w:sz w:val="24"/>
          <w:szCs w:val="24"/>
        </w:rPr>
        <w:t xml:space="preserve">. </w:t>
      </w:r>
    </w:p>
    <w:p w14:paraId="3CEDD11F" w14:textId="53E24B04" w:rsidR="00B815E8" w:rsidRDefault="00B815E8" w:rsidP="006015C9">
      <w:pPr>
        <w:spacing w:line="360" w:lineRule="auto"/>
        <w:contextualSpacing/>
        <w:jc w:val="both"/>
        <w:rPr>
          <w:rFonts w:ascii="Palatino Linotype" w:eastAsia="Palatino Linotype" w:hAnsi="Palatino Linotype" w:cs="Palatino Linotype"/>
          <w:color w:val="000000"/>
          <w:sz w:val="24"/>
          <w:szCs w:val="24"/>
        </w:rPr>
      </w:pPr>
      <w:r w:rsidRPr="008F6243">
        <w:rPr>
          <w:rFonts w:ascii="Palatino Linotype" w:eastAsia="Palatino Linotype" w:hAnsi="Palatino Linotype" w:cs="Palatino Linotype"/>
          <w:color w:val="000000"/>
          <w:sz w:val="24"/>
          <w:szCs w:val="24"/>
        </w:rPr>
        <w:t xml:space="preserve">Por consiguiente, en estricto derecho la alegación del </w:t>
      </w:r>
      <w:r w:rsidRPr="008F6243">
        <w:rPr>
          <w:rFonts w:ascii="Palatino Linotype" w:eastAsia="Palatino Linotype" w:hAnsi="Palatino Linotype" w:cs="Palatino Linotype"/>
          <w:b/>
          <w:color w:val="000000"/>
          <w:sz w:val="24"/>
          <w:szCs w:val="24"/>
        </w:rPr>
        <w:t>Recurrente</w:t>
      </w:r>
      <w:r w:rsidRPr="008F6243">
        <w:rPr>
          <w:rFonts w:ascii="Palatino Linotype" w:eastAsia="Palatino Linotype" w:hAnsi="Palatino Linotype" w:cs="Palatino Linotype"/>
          <w:color w:val="000000"/>
          <w:sz w:val="24"/>
          <w:szCs w:val="24"/>
        </w:rPr>
        <w:t xml:space="preserve"> se limita a realizar manifestaciones sin sustento, las cuales han quedado demostradas, por ello se califican de inop</w:t>
      </w:r>
      <w:r w:rsidR="00280223" w:rsidRPr="008F6243">
        <w:rPr>
          <w:rFonts w:ascii="Palatino Linotype" w:eastAsia="Palatino Linotype" w:hAnsi="Palatino Linotype" w:cs="Palatino Linotype"/>
          <w:color w:val="000000"/>
          <w:sz w:val="24"/>
          <w:szCs w:val="24"/>
        </w:rPr>
        <w:t xml:space="preserve">erantes; </w:t>
      </w:r>
      <w:r w:rsidR="00280223" w:rsidRPr="008F6243">
        <w:rPr>
          <w:rFonts w:ascii="Palatino Linotype" w:eastAsia="Palatino Linotype" w:hAnsi="Palatino Linotype" w:cs="Palatino Linotype"/>
        </w:rPr>
        <w:t xml:space="preserve">motivo por el cual lo procedente es sobreseer el recurso de revisión; </w:t>
      </w:r>
      <w:r w:rsidRPr="008F6243">
        <w:rPr>
          <w:rFonts w:ascii="Palatino Linotype" w:eastAsia="Palatino Linotype" w:hAnsi="Palatino Linotype" w:cs="Palatino Linotype"/>
          <w:color w:val="000000"/>
          <w:sz w:val="24"/>
          <w:szCs w:val="24"/>
        </w:rPr>
        <w:t>resultando necesario traer a colación la Tesis Aislada con n</w:t>
      </w:r>
      <w:r w:rsidRPr="00315ACA">
        <w:rPr>
          <w:rFonts w:ascii="Palatino Linotype" w:eastAsia="Palatino Linotype" w:hAnsi="Palatino Linotype" w:cs="Palatino Linotype"/>
          <w:color w:val="000000"/>
          <w:sz w:val="24"/>
          <w:szCs w:val="24"/>
        </w:rPr>
        <w:t>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14:paraId="12F6234F" w14:textId="77777777" w:rsidR="00280223" w:rsidRPr="008F6243" w:rsidRDefault="00280223" w:rsidP="00280223">
      <w:pPr>
        <w:spacing w:before="240" w:after="240" w:line="360" w:lineRule="auto"/>
        <w:jc w:val="both"/>
        <w:rPr>
          <w:rFonts w:ascii="Palatino Linotype" w:eastAsia="Palatino Linotype" w:hAnsi="Palatino Linotype" w:cs="Palatino Linotype"/>
          <w:sz w:val="24"/>
          <w:szCs w:val="24"/>
        </w:rPr>
      </w:pPr>
      <w:r w:rsidRPr="008F6243">
        <w:rPr>
          <w:rFonts w:ascii="Palatino Linotype" w:eastAsia="Palatino Linotype" w:hAnsi="Palatino Linotype" w:cs="Palatino Linotype"/>
          <w:sz w:val="24"/>
          <w:szCs w:val="24"/>
        </w:rPr>
        <w:lastRenderedPageBreak/>
        <w:t xml:space="preserve">La cual constituye un criterio orientador para este Organismo Garante, que pone en aptitudes de poder sobreseer el presente recurso de revisión, lo que en el caso particular, se tiene por acreditada la inexistencia del acto reclamado. </w:t>
      </w:r>
    </w:p>
    <w:p w14:paraId="1CD297BA" w14:textId="77777777" w:rsidR="00280223" w:rsidRPr="008F6243" w:rsidRDefault="00280223" w:rsidP="00280223">
      <w:pPr>
        <w:spacing w:before="240" w:after="240" w:line="360" w:lineRule="auto"/>
        <w:jc w:val="both"/>
        <w:rPr>
          <w:rFonts w:ascii="Palatino Linotype" w:eastAsia="Palatino Linotype" w:hAnsi="Palatino Linotype" w:cs="Palatino Linotype"/>
          <w:sz w:val="24"/>
          <w:szCs w:val="24"/>
        </w:rPr>
      </w:pPr>
      <w:r w:rsidRPr="008F6243">
        <w:rPr>
          <w:rFonts w:ascii="Palatino Linotype" w:eastAsia="Palatino Linotype" w:hAnsi="Palatino Linotype" w:cs="Palatino Linotype"/>
          <w:sz w:val="24"/>
          <w:szCs w:val="24"/>
        </w:rPr>
        <w:t>Derivado de lo expuesto, es necesario hacer del conocimiento de la persona solicitante que, de la simple lectura a su Recurso de Revisión, se desprende que</w:t>
      </w:r>
      <w:r w:rsidRPr="008F6243">
        <w:rPr>
          <w:rFonts w:ascii="Palatino Linotype" w:eastAsia="Palatino Linotype" w:hAnsi="Palatino Linotype" w:cs="Palatino Linotype"/>
          <w:b/>
          <w:sz w:val="24"/>
          <w:szCs w:val="24"/>
          <w:u w:val="single"/>
        </w:rPr>
        <w:t xml:space="preserve"> las razones o motivos de inconformidad hechas valer, no corresponden ni con la solicitud, ni la respuesta del Sujeto Obligado para atender su requerimiento de información,</w:t>
      </w:r>
      <w:r w:rsidRPr="008F6243">
        <w:rPr>
          <w:rFonts w:ascii="Palatino Linotype" w:eastAsia="Palatino Linotype" w:hAnsi="Palatino Linotype" w:cs="Palatino Linotype"/>
          <w:sz w:val="24"/>
          <w:szCs w:val="24"/>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5613723E" w14:textId="77777777" w:rsidR="00280223" w:rsidRPr="008F6243" w:rsidRDefault="00280223" w:rsidP="00280223">
      <w:pPr>
        <w:spacing w:before="240" w:after="240" w:line="360" w:lineRule="auto"/>
        <w:jc w:val="both"/>
        <w:rPr>
          <w:rFonts w:ascii="Palatino Linotype" w:eastAsia="Palatino Linotype" w:hAnsi="Palatino Linotype" w:cs="Palatino Linotype"/>
          <w:sz w:val="24"/>
          <w:szCs w:val="24"/>
        </w:rPr>
      </w:pPr>
      <w:r w:rsidRPr="008F6243">
        <w:rPr>
          <w:rFonts w:ascii="Palatino Linotype" w:eastAsia="Palatino Linotype" w:hAnsi="Palatino Linotype" w:cs="Palatino Linotype"/>
          <w:sz w:val="24"/>
          <w:szCs w:val="24"/>
        </w:rPr>
        <w:t xml:space="preserve">Por tales circunstancias, este Instituto se encuentra impedido a entrar al estudio de fondo, en virtud que la particular no manifestó razones o motivos de inconformidad, relacionados con la solicitud inicial ni con la respuesta del </w:t>
      </w:r>
      <w:r w:rsidRPr="008F6243">
        <w:rPr>
          <w:rFonts w:ascii="Palatino Linotype" w:eastAsia="Palatino Linotype" w:hAnsi="Palatino Linotype" w:cs="Palatino Linotype"/>
          <w:b/>
          <w:sz w:val="24"/>
          <w:szCs w:val="24"/>
        </w:rPr>
        <w:t>Sujeto Obligado</w:t>
      </w:r>
      <w:r w:rsidRPr="008F6243">
        <w:rPr>
          <w:rFonts w:ascii="Palatino Linotype" w:eastAsia="Palatino Linotype" w:hAnsi="Palatino Linotype" w:cs="Palatino Linotype"/>
          <w:sz w:val="24"/>
          <w:szCs w:val="24"/>
        </w:rPr>
        <w:t>, a fin de atender su solicitud de acceso.</w:t>
      </w:r>
    </w:p>
    <w:p w14:paraId="43128CCA" w14:textId="77777777" w:rsidR="00280223" w:rsidRPr="008F6243" w:rsidRDefault="00280223" w:rsidP="00280223">
      <w:pPr>
        <w:spacing w:before="240" w:after="240" w:line="360" w:lineRule="auto"/>
        <w:ind w:right="96"/>
        <w:jc w:val="both"/>
        <w:rPr>
          <w:rFonts w:ascii="Palatino Linotype" w:eastAsia="Palatino Linotype" w:hAnsi="Palatino Linotype" w:cs="Palatino Linotype"/>
          <w:sz w:val="24"/>
          <w:szCs w:val="24"/>
        </w:rPr>
      </w:pPr>
      <w:r w:rsidRPr="008F6243">
        <w:rPr>
          <w:rFonts w:ascii="Palatino Linotype" w:eastAsia="Palatino Linotype" w:hAnsi="Palatino Linotype" w:cs="Palatino Linotype"/>
          <w:sz w:val="24"/>
          <w:szCs w:val="24"/>
        </w:rPr>
        <w:t xml:space="preserve">Por lo tanto, en virtud de  los argumentos expuestos con anterioridad así como del análisis realizado a las constancias que obran en el expediente electrónico, toda vez que no se actualizó algún supuesto de procedencia, se determina </w:t>
      </w:r>
      <w:r w:rsidRPr="008F6243">
        <w:rPr>
          <w:rFonts w:ascii="Palatino Linotype" w:eastAsia="Palatino Linotype" w:hAnsi="Palatino Linotype" w:cs="Palatino Linotype"/>
          <w:i/>
          <w:sz w:val="24"/>
          <w:szCs w:val="24"/>
        </w:rPr>
        <w:t xml:space="preserve">sobreseer </w:t>
      </w:r>
      <w:r w:rsidRPr="008F6243">
        <w:rPr>
          <w:rFonts w:ascii="Palatino Linotype" w:eastAsia="Palatino Linotype" w:hAnsi="Palatino Linotype" w:cs="Palatino Linotype"/>
          <w:sz w:val="24"/>
          <w:szCs w:val="24"/>
        </w:rPr>
        <w:t xml:space="preserve">el presente recurso de revisión. </w:t>
      </w:r>
    </w:p>
    <w:p w14:paraId="0D500381" w14:textId="77777777" w:rsidR="00280223" w:rsidRPr="008F6243" w:rsidRDefault="00280223" w:rsidP="00280223">
      <w:pPr>
        <w:spacing w:before="240" w:after="240" w:line="360" w:lineRule="auto"/>
        <w:ind w:right="96"/>
        <w:jc w:val="both"/>
        <w:rPr>
          <w:rFonts w:ascii="Palatino Linotype" w:eastAsia="Palatino Linotype" w:hAnsi="Palatino Linotype" w:cs="Palatino Linotype"/>
          <w:sz w:val="24"/>
          <w:szCs w:val="24"/>
        </w:rPr>
      </w:pPr>
    </w:p>
    <w:p w14:paraId="7B604DFB" w14:textId="77777777" w:rsidR="00280223" w:rsidRPr="008F6243" w:rsidRDefault="00280223" w:rsidP="00280223">
      <w:pPr>
        <w:spacing w:before="240" w:after="240" w:line="360" w:lineRule="auto"/>
        <w:ind w:right="96"/>
        <w:jc w:val="both"/>
        <w:rPr>
          <w:rFonts w:ascii="Palatino Linotype" w:eastAsia="Palatino Linotype" w:hAnsi="Palatino Linotype" w:cs="Palatino Linotype"/>
          <w:b/>
          <w:i/>
          <w:sz w:val="24"/>
          <w:szCs w:val="24"/>
        </w:rPr>
      </w:pPr>
      <w:r w:rsidRPr="008F6243">
        <w:rPr>
          <w:rFonts w:ascii="Palatino Linotype" w:eastAsia="Palatino Linotype" w:hAnsi="Palatino Linotype" w:cs="Palatino Linotype"/>
          <w:sz w:val="24"/>
          <w:szCs w:val="24"/>
        </w:rPr>
        <w:lastRenderedPageBreak/>
        <w:t xml:space="preserve">Siendo el </w:t>
      </w:r>
      <w:r w:rsidRPr="008F6243">
        <w:rPr>
          <w:rFonts w:ascii="Palatino Linotype" w:eastAsia="Palatino Linotype" w:hAnsi="Palatino Linotype" w:cs="Palatino Linotype"/>
          <w:i/>
          <w:sz w:val="24"/>
          <w:szCs w:val="24"/>
        </w:rPr>
        <w:t>sobreseimiento</w:t>
      </w:r>
      <w:r w:rsidRPr="008F6243">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389C8168" w14:textId="77777777" w:rsidR="00280223" w:rsidRPr="008F6243" w:rsidRDefault="00280223" w:rsidP="00280223">
      <w:pPr>
        <w:spacing w:after="120"/>
        <w:ind w:left="851" w:right="902"/>
        <w:jc w:val="both"/>
        <w:rPr>
          <w:rFonts w:ascii="Palatino Linotype" w:eastAsia="Palatino Linotype" w:hAnsi="Palatino Linotype" w:cs="Palatino Linotype"/>
          <w:b/>
          <w:i/>
        </w:rPr>
      </w:pPr>
      <w:r w:rsidRPr="008F6243">
        <w:rPr>
          <w:rFonts w:ascii="Palatino Linotype" w:eastAsia="Palatino Linotype" w:hAnsi="Palatino Linotype" w:cs="Palatino Linotype"/>
          <w:i/>
        </w:rPr>
        <w:t>“</w:t>
      </w:r>
      <w:r w:rsidRPr="008F6243">
        <w:rPr>
          <w:rFonts w:ascii="Palatino Linotype" w:eastAsia="Palatino Linotype" w:hAnsi="Palatino Linotype" w:cs="Palatino Linotype"/>
          <w:b/>
          <w:i/>
        </w:rPr>
        <w:t>SOBRESEIMIENTO, NO PERMITE ENTRAR AL ESTUDIO DE LAS CUESTIONES DE FONDO</w:t>
      </w:r>
    </w:p>
    <w:p w14:paraId="671D49EC" w14:textId="77777777" w:rsidR="00280223" w:rsidRPr="008F6243" w:rsidRDefault="00280223" w:rsidP="00280223">
      <w:pPr>
        <w:spacing w:before="120" w:after="120"/>
        <w:ind w:left="851" w:right="902"/>
        <w:jc w:val="both"/>
        <w:rPr>
          <w:rFonts w:ascii="Palatino Linotype" w:eastAsia="Palatino Linotype" w:hAnsi="Palatino Linotype" w:cs="Palatino Linotype"/>
          <w:i/>
        </w:rPr>
      </w:pPr>
      <w:r w:rsidRPr="008F6243">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69A9C616" w14:textId="77777777" w:rsidR="00280223" w:rsidRPr="008F6243" w:rsidRDefault="00280223" w:rsidP="00280223">
      <w:pPr>
        <w:spacing w:before="120" w:after="120"/>
        <w:ind w:left="851" w:right="902"/>
        <w:jc w:val="both"/>
        <w:rPr>
          <w:rFonts w:ascii="Palatino Linotype" w:eastAsia="Palatino Linotype" w:hAnsi="Palatino Linotype" w:cs="Palatino Linotype"/>
          <w:i/>
        </w:rPr>
      </w:pPr>
      <w:r w:rsidRPr="008F6243">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12134A7" w14:textId="77777777" w:rsidR="00280223" w:rsidRPr="008F6243" w:rsidRDefault="00280223" w:rsidP="00280223">
      <w:pPr>
        <w:spacing w:before="240" w:after="240" w:line="360" w:lineRule="auto"/>
        <w:jc w:val="both"/>
        <w:rPr>
          <w:rFonts w:ascii="Palatino Linotype" w:eastAsia="Palatino Linotype" w:hAnsi="Palatino Linotype" w:cs="Palatino Linotype"/>
        </w:rPr>
      </w:pPr>
      <w:r w:rsidRPr="008F6243">
        <w:rPr>
          <w:rFonts w:ascii="Palatino Linotype" w:eastAsia="Palatino Linotype" w:hAnsi="Palatino Linotype" w:cs="Palatino Linotype"/>
          <w:sz w:val="24"/>
          <w:szCs w:val="24"/>
        </w:rPr>
        <w:t>Cabe destacar que la decisión de este Organismo Colegiado de sobreseer el recurso de revisión no implica una limitación o negación a la justicia, según lo ha establecido el Poder Judicial Federal, en el criterio que es aplicable por analogía, con rubro</w:t>
      </w:r>
      <w:r w:rsidRPr="008F6243">
        <w:rPr>
          <w:rFonts w:ascii="Palatino Linotype" w:eastAsia="Palatino Linotype" w:hAnsi="Palatino Linotype" w:cs="Palatino Linotype"/>
        </w:rPr>
        <w:t>:</w:t>
      </w:r>
    </w:p>
    <w:p w14:paraId="61EDAB67" w14:textId="77777777" w:rsidR="00280223" w:rsidRPr="008F6243" w:rsidRDefault="00280223" w:rsidP="00280223">
      <w:pPr>
        <w:spacing w:before="120" w:after="120"/>
        <w:ind w:left="851" w:right="902"/>
        <w:jc w:val="both"/>
        <w:rPr>
          <w:rFonts w:ascii="Palatino Linotype" w:eastAsia="Palatino Linotype" w:hAnsi="Palatino Linotype" w:cs="Palatino Linotype"/>
          <w:b/>
          <w:i/>
        </w:rPr>
      </w:pPr>
      <w:r w:rsidRPr="008F6243">
        <w:rPr>
          <w:rFonts w:ascii="Palatino Linotype" w:eastAsia="Palatino Linotype" w:hAnsi="Palatino Linotype" w:cs="Palatino Linotype"/>
          <w:b/>
          <w:i/>
        </w:rPr>
        <w:t>“DESECHAMIENTO O SOBRESEIMIENTO EN EL JUICIO DE AMPARO. NO IMPLICA DENEGACIÓN DE JUSTICIA NI GENERA INSEGURIDAD JURÍDICA”</w:t>
      </w:r>
    </w:p>
    <w:p w14:paraId="75D58C38" w14:textId="77777777" w:rsidR="00280223" w:rsidRPr="008F6243" w:rsidRDefault="00280223" w:rsidP="00280223">
      <w:pPr>
        <w:spacing w:before="120" w:after="120"/>
        <w:ind w:left="851" w:right="902"/>
        <w:jc w:val="both"/>
        <w:rPr>
          <w:rFonts w:ascii="Palatino Linotype" w:eastAsia="Palatino Linotype" w:hAnsi="Palatino Linotype" w:cs="Palatino Linotype"/>
          <w:i/>
        </w:rPr>
      </w:pPr>
      <w:r w:rsidRPr="008F6243">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w:t>
      </w:r>
      <w:r w:rsidRPr="008F6243">
        <w:rPr>
          <w:rFonts w:ascii="Palatino Linotype" w:eastAsia="Palatino Linotype" w:hAnsi="Palatino Linotype" w:cs="Palatino Linotype"/>
          <w:i/>
        </w:rPr>
        <w:lastRenderedPageBreak/>
        <w:t>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8F6243">
        <w:rPr>
          <w:rFonts w:ascii="Palatino Linotype" w:eastAsia="Palatino Linotype" w:hAnsi="Palatino Linotype" w:cs="Palatino Linotype"/>
        </w:rPr>
        <w:tab/>
      </w:r>
    </w:p>
    <w:p w14:paraId="6A0B0FF6" w14:textId="53E19F7B" w:rsidR="006015C9" w:rsidRPr="00280223" w:rsidRDefault="00280223" w:rsidP="00280223">
      <w:pPr>
        <w:spacing w:before="240" w:after="240" w:line="360" w:lineRule="auto"/>
        <w:jc w:val="both"/>
        <w:rPr>
          <w:rFonts w:ascii="Palatino Linotype" w:eastAsia="Palatino Linotype" w:hAnsi="Palatino Linotype" w:cs="Palatino Linotype"/>
          <w:sz w:val="24"/>
          <w:szCs w:val="24"/>
        </w:rPr>
      </w:pPr>
      <w:r w:rsidRPr="008F6243">
        <w:rPr>
          <w:rFonts w:ascii="Palatino Linotype" w:eastAsia="Palatino Linotype" w:hAnsi="Palatino Linotype" w:cs="Palatino Linotype"/>
          <w:sz w:val="24"/>
          <w:szCs w:val="24"/>
        </w:rPr>
        <w:t xml:space="preserve">Bajo ese tenor con fundamento en la segunda hipótesis de la fracción I del artículo 186, de la Ley de Transparencia y Acceso a la Información Pública del Estado de México y Municipios, se </w:t>
      </w:r>
      <w:r w:rsidRPr="008F6243">
        <w:rPr>
          <w:rFonts w:ascii="Palatino Linotype" w:eastAsia="Palatino Linotype" w:hAnsi="Palatino Linotype" w:cs="Palatino Linotype"/>
          <w:b/>
          <w:sz w:val="24"/>
          <w:szCs w:val="24"/>
        </w:rPr>
        <w:t xml:space="preserve">Sobresee </w:t>
      </w:r>
      <w:r w:rsidRPr="008F6243">
        <w:rPr>
          <w:rFonts w:ascii="Palatino Linotype" w:eastAsia="Palatino Linotype" w:hAnsi="Palatino Linotype" w:cs="Palatino Linotype"/>
          <w:sz w:val="24"/>
          <w:szCs w:val="24"/>
        </w:rPr>
        <w:t xml:space="preserve">el recurso de revisión </w:t>
      </w:r>
      <w:r w:rsidRPr="008F6243">
        <w:rPr>
          <w:rFonts w:ascii="Palatino Linotype" w:eastAsia="Palatino Linotype" w:hAnsi="Palatino Linotype" w:cs="Palatino Linotype"/>
          <w:b/>
          <w:sz w:val="24"/>
          <w:szCs w:val="24"/>
        </w:rPr>
        <w:t>05104/INFOEM/IP/RR/2022</w:t>
      </w:r>
      <w:r w:rsidRPr="008F6243">
        <w:rPr>
          <w:rFonts w:ascii="Palatino Linotype" w:eastAsia="Palatino Linotype" w:hAnsi="Palatino Linotype" w:cs="Palatino Linotype"/>
          <w:sz w:val="24"/>
          <w:szCs w:val="24"/>
        </w:rPr>
        <w:t>, que ha sido materia del presente fallo.</w:t>
      </w:r>
    </w:p>
    <w:p w14:paraId="683982C7" w14:textId="427DAAB7" w:rsidR="00B815E8" w:rsidRDefault="00B815E8" w:rsidP="006015C9">
      <w:pPr>
        <w:spacing w:line="360" w:lineRule="auto"/>
        <w:contextualSpacing/>
        <w:jc w:val="both"/>
        <w:rPr>
          <w:rFonts w:ascii="Palatino Linotype" w:hAnsi="Palatino Linotype"/>
          <w:color w:val="000000"/>
        </w:rPr>
      </w:pPr>
      <w:r>
        <w:rPr>
          <w:rFonts w:ascii="Palatino Linotype" w:hAnsi="Palatino Linotype"/>
          <w:color w:val="000000"/>
        </w:rPr>
        <w:t>Por lo que se refiere al pronunciamiento realizado por el recurrente al momento de interponer el presente medio de impugnación, consistente en:</w:t>
      </w:r>
      <w:r w:rsidRPr="00B815E8">
        <w:t xml:space="preserve"> </w:t>
      </w:r>
      <w:r w:rsidRPr="00B815E8">
        <w:rPr>
          <w:i/>
        </w:rPr>
        <w:t>“</w:t>
      </w:r>
      <w:r w:rsidRPr="00B815E8">
        <w:rPr>
          <w:rFonts w:ascii="Palatino Linotype" w:hAnsi="Palatino Linotype"/>
          <w:i/>
          <w:color w:val="000000"/>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hAnsi="Palatino Linotype"/>
          <w:i/>
          <w:color w:val="000000"/>
        </w:rPr>
        <w:t>”</w:t>
      </w:r>
      <w:r>
        <w:rPr>
          <w:rFonts w:ascii="Palatino Linotype" w:hAnsi="Palatino Linotype"/>
          <w:color w:val="000000"/>
        </w:rPr>
        <w:t xml:space="preserve">; debe </w:t>
      </w:r>
      <w:r>
        <w:rPr>
          <w:rFonts w:ascii="Palatino Linotype" w:hAnsi="Palatino Linotype"/>
          <w:color w:val="000000"/>
        </w:rPr>
        <w:lastRenderedPageBreak/>
        <w:t xml:space="preserve">mencionarse que a través del ejercicio del derecho de acceso a la información pública, no es la vía para que se inicie un procedimiento administrativo de responsabilidad, motivo por el cual se dejan a salvo los derechos del recurrente para que en caso de que considere pertinente presente una queja o denuncia ante el </w:t>
      </w:r>
      <w:r>
        <w:rPr>
          <w:rFonts w:ascii="Palatino Linotype" w:hAnsi="Palatino Linotype"/>
          <w:b/>
          <w:bCs/>
          <w:color w:val="000000"/>
        </w:rPr>
        <w:t>SUJETO OBLIGADO</w:t>
      </w:r>
      <w:r>
        <w:rPr>
          <w:rFonts w:ascii="Palatino Linotype" w:hAnsi="Palatino Linotype"/>
          <w:color w:val="000000"/>
        </w:rPr>
        <w:t>, tal y como lo establecen los artículos 95, 96 y 97 de la Ley de Responsabilidades Administrativas del Estado de México y Municipios.</w:t>
      </w:r>
    </w:p>
    <w:p w14:paraId="38B3E5DD" w14:textId="77777777" w:rsidR="005A5EAC" w:rsidRPr="006015C9" w:rsidRDefault="005A5EAC" w:rsidP="006015C9">
      <w:pPr>
        <w:spacing w:line="360" w:lineRule="auto"/>
        <w:contextualSpacing/>
        <w:jc w:val="both"/>
        <w:rPr>
          <w:sz w:val="24"/>
          <w:szCs w:val="24"/>
        </w:rPr>
      </w:pPr>
    </w:p>
    <w:p w14:paraId="4DC75336" w14:textId="77777777" w:rsidR="00835F9F" w:rsidRDefault="00835F9F" w:rsidP="00835F9F">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4A169CC3" w14:textId="77777777" w:rsidR="00035D6B" w:rsidRDefault="00035D6B" w:rsidP="00035D6B">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6088C99E" w14:textId="77777777" w:rsidR="00035D6B" w:rsidRDefault="00035D6B" w:rsidP="00035D6B">
      <w:pPr>
        <w:spacing w:after="0" w:line="360" w:lineRule="auto"/>
        <w:ind w:right="-93"/>
        <w:jc w:val="center"/>
        <w:rPr>
          <w:rFonts w:ascii="Palatino Linotype" w:eastAsia="Palatino Linotype" w:hAnsi="Palatino Linotype" w:cs="Palatino Linotype"/>
          <w:b/>
          <w:sz w:val="24"/>
          <w:szCs w:val="24"/>
        </w:rPr>
      </w:pPr>
    </w:p>
    <w:p w14:paraId="3897BC21" w14:textId="77777777" w:rsidR="00280223" w:rsidRDefault="005A5EAC" w:rsidP="00280223">
      <w:pPr>
        <w:tabs>
          <w:tab w:val="left" w:pos="7936"/>
        </w:tabs>
        <w:spacing w:before="240" w:after="240" w:line="360" w:lineRule="auto"/>
        <w:jc w:val="both"/>
        <w:rPr>
          <w:rFonts w:ascii="Palatino Linotype" w:eastAsia="Palatino Linotype" w:hAnsi="Palatino Linotype" w:cs="Palatino Linotype"/>
        </w:rPr>
      </w:pPr>
      <w:r w:rsidRPr="005A5EAC">
        <w:rPr>
          <w:rFonts w:ascii="Palatino Linotype" w:eastAsia="Palatino Linotype" w:hAnsi="Palatino Linotype" w:cs="Palatino Linotype"/>
          <w:b/>
          <w:sz w:val="24"/>
          <w:szCs w:val="24"/>
        </w:rPr>
        <w:t xml:space="preserve">PRIMERO. </w:t>
      </w:r>
      <w:r w:rsidRPr="00280223">
        <w:rPr>
          <w:rFonts w:ascii="Palatino Linotype" w:eastAsia="Palatino Linotype" w:hAnsi="Palatino Linotype" w:cs="Palatino Linotype"/>
          <w:sz w:val="24"/>
          <w:szCs w:val="24"/>
        </w:rPr>
        <w:t xml:space="preserve">Se </w:t>
      </w:r>
      <w:r w:rsidRPr="00280223">
        <w:rPr>
          <w:rFonts w:ascii="Palatino Linotype" w:eastAsia="Palatino Linotype" w:hAnsi="Palatino Linotype" w:cs="Palatino Linotype"/>
          <w:b/>
          <w:sz w:val="24"/>
          <w:szCs w:val="24"/>
        </w:rPr>
        <w:t>SOBRESEE</w:t>
      </w:r>
      <w:r w:rsidRPr="00280223">
        <w:rPr>
          <w:rFonts w:ascii="Palatino Linotype" w:eastAsia="Palatino Linotype" w:hAnsi="Palatino Linotype" w:cs="Palatino Linotype"/>
          <w:sz w:val="24"/>
          <w:szCs w:val="24"/>
        </w:rPr>
        <w:t xml:space="preserve"> el Recurso de Revisión </w:t>
      </w:r>
      <w:r w:rsidRPr="008F6243">
        <w:rPr>
          <w:rFonts w:ascii="Palatino Linotype" w:eastAsia="Palatino Linotype" w:hAnsi="Palatino Linotype" w:cs="Palatino Linotype"/>
          <w:b/>
          <w:sz w:val="24"/>
          <w:szCs w:val="24"/>
        </w:rPr>
        <w:t>05104/INFOEM/IP/RR/2022</w:t>
      </w:r>
      <w:r w:rsidRPr="008F6243">
        <w:rPr>
          <w:rFonts w:ascii="Palatino Linotype" w:eastAsia="Palatino Linotype" w:hAnsi="Palatino Linotype" w:cs="Palatino Linotype"/>
          <w:sz w:val="24"/>
          <w:szCs w:val="24"/>
        </w:rPr>
        <w:t xml:space="preserve">, </w:t>
      </w:r>
      <w:r w:rsidR="00280223" w:rsidRPr="008F6243">
        <w:rPr>
          <w:rFonts w:ascii="Palatino Linotype" w:eastAsia="Palatino Linotype" w:hAnsi="Palatino Linotype" w:cs="Palatino Linotype"/>
          <w:sz w:val="24"/>
          <w:szCs w:val="24"/>
        </w:rPr>
        <w:t>por improcedente</w:t>
      </w:r>
      <w:r w:rsidR="00280223" w:rsidRPr="008F6243">
        <w:rPr>
          <w:rFonts w:ascii="Palatino Linotype" w:eastAsia="Palatino Linotype" w:hAnsi="Palatino Linotype" w:cs="Palatino Linotype"/>
          <w:b/>
          <w:sz w:val="24"/>
          <w:szCs w:val="24"/>
        </w:rPr>
        <w:t xml:space="preserve">, </w:t>
      </w:r>
      <w:r w:rsidR="00280223" w:rsidRPr="008F6243">
        <w:rPr>
          <w:rFonts w:ascii="Palatino Linotype" w:eastAsia="Palatino Linotype" w:hAnsi="Palatino Linotype" w:cs="Palatino Linotype"/>
          <w:sz w:val="24"/>
          <w:szCs w:val="24"/>
        </w:rPr>
        <w:t>por actualizarse la fracción IV del artículo 192,  en relación con la fracción III del artículo 191, ambos, de la Ley de Transparencia y Acceso a la Información Pública del Estado de México y Municipios, en términos del Considerando Tercero de la presente resolución.</w:t>
      </w:r>
      <w:bookmarkStart w:id="3" w:name="_GoBack"/>
      <w:bookmarkEnd w:id="3"/>
    </w:p>
    <w:p w14:paraId="40C0A2AD" w14:textId="09526274" w:rsidR="00035D6B" w:rsidRDefault="00035D6B" w:rsidP="00035D6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b/>
          <w:sz w:val="24"/>
          <w:szCs w:val="24"/>
          <w:highlight w:val="white"/>
        </w:rPr>
        <w:t>.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14:paraId="392DB07F" w14:textId="77777777" w:rsidR="00035D6B" w:rsidRDefault="00035D6B" w:rsidP="00035D6B">
      <w:pPr>
        <w:spacing w:after="0" w:line="360" w:lineRule="auto"/>
        <w:ind w:right="51"/>
        <w:jc w:val="both"/>
        <w:rPr>
          <w:rFonts w:ascii="Palatino Linotype" w:eastAsia="Palatino Linotype" w:hAnsi="Palatino Linotype" w:cs="Palatino Linotype"/>
          <w:sz w:val="24"/>
          <w:szCs w:val="24"/>
        </w:rPr>
      </w:pPr>
    </w:p>
    <w:p w14:paraId="28D8D653" w14:textId="77777777" w:rsidR="00035D6B" w:rsidRDefault="00035D6B" w:rsidP="00035D6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b/>
          <w:sz w:val="24"/>
          <w:szCs w:val="24"/>
          <w:highlight w:val="white"/>
        </w:rPr>
        <w:t> </w:t>
      </w:r>
      <w:r>
        <w:rPr>
          <w:rFonts w:ascii="Palatino Linotype" w:eastAsia="Palatino Linotype" w:hAnsi="Palatino Linotype" w:cs="Palatino Linotype"/>
          <w:sz w:val="24"/>
          <w:szCs w:val="24"/>
        </w:rPr>
        <w:t>vía 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21A2EDFE" w14:textId="77777777" w:rsidR="00035D6B" w:rsidRDefault="00035D6B" w:rsidP="00035D6B">
      <w:pPr>
        <w:spacing w:after="0" w:line="360" w:lineRule="auto"/>
        <w:ind w:right="51"/>
        <w:jc w:val="both"/>
        <w:rPr>
          <w:rFonts w:ascii="Palatino Linotype" w:eastAsia="Palatino Linotype" w:hAnsi="Palatino Linotype" w:cs="Palatino Linotype"/>
          <w:sz w:val="24"/>
          <w:szCs w:val="24"/>
        </w:rPr>
      </w:pPr>
    </w:p>
    <w:p w14:paraId="0290F9D3" w14:textId="1D29A131" w:rsidR="00035D6B" w:rsidRDefault="00035D6B" w:rsidP="00035D6B">
      <w:pPr>
        <w:spacing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DE AGOSTO DE DOS MIL VEINTIDÓS, ANTE EL SECRETARIO TÉCNICO DEL PLENO ALEXIS TAPIA RAMÍREZ.</w:t>
      </w:r>
    </w:p>
    <w:p w14:paraId="0ECCD13F" w14:textId="77777777" w:rsidR="00035D6B" w:rsidRDefault="00035D6B" w:rsidP="00035D6B">
      <w:pPr>
        <w:spacing w:after="0" w:line="360" w:lineRule="auto"/>
        <w:jc w:val="both"/>
      </w:pPr>
    </w:p>
    <w:p w14:paraId="62841D34" w14:textId="77777777" w:rsidR="00035D6B" w:rsidRDefault="00035D6B" w:rsidP="00035D6B"/>
    <w:p w14:paraId="43DBFC1C" w14:textId="77777777" w:rsidR="00835F9F" w:rsidRDefault="00835F9F" w:rsidP="00D9196C">
      <w:pPr>
        <w:spacing w:after="0" w:line="360" w:lineRule="auto"/>
        <w:jc w:val="both"/>
        <w:rPr>
          <w:rFonts w:ascii="Palatino Linotype" w:eastAsia="Palatino Linotype" w:hAnsi="Palatino Linotype" w:cs="Palatino Linotype"/>
          <w:sz w:val="24"/>
          <w:szCs w:val="24"/>
        </w:rPr>
      </w:pPr>
    </w:p>
    <w:p w14:paraId="0C856E00" w14:textId="77777777" w:rsidR="003515EA" w:rsidRDefault="003515EA" w:rsidP="00E963B6">
      <w:pPr>
        <w:spacing w:line="360" w:lineRule="auto"/>
        <w:contextualSpacing/>
        <w:jc w:val="both"/>
      </w:pPr>
    </w:p>
    <w:sectPr w:rsidR="003515E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2B537" w14:textId="77777777" w:rsidR="00291F4D" w:rsidRDefault="00291F4D" w:rsidP="0022454F">
      <w:pPr>
        <w:spacing w:after="0" w:line="240" w:lineRule="auto"/>
      </w:pPr>
      <w:r>
        <w:separator/>
      </w:r>
    </w:p>
  </w:endnote>
  <w:endnote w:type="continuationSeparator" w:id="0">
    <w:p w14:paraId="19D9C300" w14:textId="77777777" w:rsidR="00291F4D" w:rsidRDefault="00291F4D" w:rsidP="00224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Quattrocento Sans">
    <w:altName w:val="Vrinda"/>
    <w:charset w:val="00"/>
    <w:family w:val="swiss"/>
    <w:pitch w:val="variable"/>
    <w:sig w:usb0="00000003" w:usb1="4000005B"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90816" w14:textId="77777777" w:rsidR="006015C9" w:rsidRDefault="006015C9" w:rsidP="006015C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F6243">
      <w:rPr>
        <w:rFonts w:ascii="Arial" w:eastAsia="Arial" w:hAnsi="Arial" w:cs="Arial"/>
        <w:b/>
        <w:noProof/>
        <w:color w:val="000000"/>
        <w:sz w:val="20"/>
        <w:szCs w:val="20"/>
      </w:rPr>
      <w:t>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F6243">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76A15A25" w14:textId="77777777" w:rsidR="006015C9" w:rsidRDefault="006015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C963D" w14:textId="77777777" w:rsidR="00291F4D" w:rsidRDefault="00291F4D" w:rsidP="0022454F">
      <w:pPr>
        <w:spacing w:after="0" w:line="240" w:lineRule="auto"/>
      </w:pPr>
      <w:r>
        <w:separator/>
      </w:r>
    </w:p>
  </w:footnote>
  <w:footnote w:type="continuationSeparator" w:id="0">
    <w:p w14:paraId="668DF28D" w14:textId="77777777" w:rsidR="00291F4D" w:rsidRDefault="00291F4D" w:rsidP="00224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22454F" w14:paraId="45C65572" w14:textId="77777777" w:rsidTr="00147EF2">
      <w:trPr>
        <w:trHeight w:val="244"/>
      </w:trPr>
      <w:tc>
        <w:tcPr>
          <w:tcW w:w="5684" w:type="dxa"/>
        </w:tcPr>
        <w:p w14:paraId="3A72F45F" w14:textId="6A6F14BB" w:rsidR="0022454F" w:rsidRDefault="0022454F" w:rsidP="0022454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6715AE23" w14:textId="77777777" w:rsidR="0022454F" w:rsidRDefault="0022454F" w:rsidP="0022454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05104/INFOEM/IP/RR/2022</w:t>
          </w:r>
        </w:p>
      </w:tc>
    </w:tr>
    <w:tr w:rsidR="0022454F" w14:paraId="36E28707" w14:textId="77777777" w:rsidTr="00147EF2">
      <w:trPr>
        <w:trHeight w:val="210"/>
      </w:trPr>
      <w:tc>
        <w:tcPr>
          <w:tcW w:w="5684" w:type="dxa"/>
        </w:tcPr>
        <w:p w14:paraId="64C8E35C" w14:textId="77777777" w:rsidR="0022454F" w:rsidRDefault="0022454F" w:rsidP="0022454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09C71E50" w14:textId="77777777" w:rsidR="0022454F" w:rsidRDefault="0022454F" w:rsidP="0022454F">
          <w:pPr>
            <w:spacing w:after="120"/>
            <w:ind w:left="-486" w:right="214" w:firstLine="567"/>
            <w:jc w:val="right"/>
            <w:rPr>
              <w:rFonts w:ascii="Palatino Linotype" w:eastAsia="Palatino Linotype" w:hAnsi="Palatino Linotype" w:cs="Palatino Linotype"/>
              <w:sz w:val="24"/>
              <w:szCs w:val="24"/>
            </w:rPr>
          </w:pPr>
        </w:p>
      </w:tc>
    </w:tr>
    <w:tr w:rsidR="0022454F" w14:paraId="441495FB" w14:textId="77777777" w:rsidTr="00147EF2">
      <w:trPr>
        <w:trHeight w:val="261"/>
      </w:trPr>
      <w:tc>
        <w:tcPr>
          <w:tcW w:w="5684" w:type="dxa"/>
        </w:tcPr>
        <w:p w14:paraId="2B62F894" w14:textId="77777777" w:rsidR="0022454F" w:rsidRDefault="0022454F" w:rsidP="0022454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0EE701DD" w14:textId="77777777" w:rsidR="0022454F" w:rsidRDefault="0022454F" w:rsidP="0022454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para la Prestación de Los Servicios de </w:t>
          </w:r>
        </w:p>
        <w:p w14:paraId="4F3F2252" w14:textId="77777777" w:rsidR="0022454F" w:rsidRDefault="0022454F" w:rsidP="0022454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Agua Potable Alcantarillado y  Saneamiento del Municipio de Metepec</w:t>
          </w:r>
        </w:p>
      </w:tc>
    </w:tr>
    <w:tr w:rsidR="0022454F" w14:paraId="744E49A4" w14:textId="77777777" w:rsidTr="00147EF2">
      <w:trPr>
        <w:trHeight w:val="368"/>
      </w:trPr>
      <w:tc>
        <w:tcPr>
          <w:tcW w:w="5684" w:type="dxa"/>
        </w:tcPr>
        <w:p w14:paraId="64CA9121" w14:textId="77777777" w:rsidR="0022454F" w:rsidRDefault="0022454F" w:rsidP="0022454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A2E7BC0" w14:textId="77777777" w:rsidR="0022454F" w:rsidRDefault="0022454F" w:rsidP="0022454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A6C110F" w14:textId="427B2CD7" w:rsidR="0022454F" w:rsidRDefault="00B06FC8">
    <w:pPr>
      <w:pStyle w:val="Encabezado"/>
    </w:pPr>
    <w:r>
      <w:rPr>
        <w:noProof/>
        <w:lang w:eastAsia="es-MX"/>
      </w:rPr>
      <w:drawing>
        <wp:anchor distT="0" distB="0" distL="0" distR="0" simplePos="0" relativeHeight="251659264" behindDoc="1" locked="0" layoutInCell="1" hidden="0" allowOverlap="1" wp14:anchorId="14919A62" wp14:editId="6A569041">
          <wp:simplePos x="0" y="0"/>
          <wp:positionH relativeFrom="column">
            <wp:posOffset>-750570</wp:posOffset>
          </wp:positionH>
          <wp:positionV relativeFrom="paragraph">
            <wp:posOffset>-2220595</wp:posOffset>
          </wp:positionV>
          <wp:extent cx="7867650" cy="10133330"/>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B271D"/>
    <w:multiLevelType w:val="multilevel"/>
    <w:tmpl w:val="8DDCAC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781E00"/>
    <w:multiLevelType w:val="hybridMultilevel"/>
    <w:tmpl w:val="BD3E77C6"/>
    <w:lvl w:ilvl="0" w:tplc="5F885E1C">
      <w:start w:val="8"/>
      <w:numFmt w:val="bullet"/>
      <w:lvlText w:val="-"/>
      <w:lvlJc w:val="left"/>
      <w:pPr>
        <w:ind w:left="420" w:hanging="360"/>
      </w:pPr>
      <w:rPr>
        <w:rFonts w:ascii="Palatino Linotype" w:eastAsia="Palatino Linotype" w:hAnsi="Palatino Linotype" w:cs="Palatino Linotype"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0F62F51"/>
    <w:multiLevelType w:val="multilevel"/>
    <w:tmpl w:val="BFA22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783480"/>
    <w:multiLevelType w:val="multilevel"/>
    <w:tmpl w:val="B1187B3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54F"/>
    <w:rsid w:val="00035D6B"/>
    <w:rsid w:val="00055CD8"/>
    <w:rsid w:val="000B6B18"/>
    <w:rsid w:val="00195DCE"/>
    <w:rsid w:val="0022454F"/>
    <w:rsid w:val="002623C8"/>
    <w:rsid w:val="00280223"/>
    <w:rsid w:val="00286942"/>
    <w:rsid w:val="00291F4D"/>
    <w:rsid w:val="002B4050"/>
    <w:rsid w:val="002C5EF6"/>
    <w:rsid w:val="002E0660"/>
    <w:rsid w:val="00315ACA"/>
    <w:rsid w:val="0035055C"/>
    <w:rsid w:val="003515EA"/>
    <w:rsid w:val="003B7778"/>
    <w:rsid w:val="004E3DB6"/>
    <w:rsid w:val="0050104D"/>
    <w:rsid w:val="00530829"/>
    <w:rsid w:val="005A5EAC"/>
    <w:rsid w:val="005F6E3E"/>
    <w:rsid w:val="006015C9"/>
    <w:rsid w:val="007444DC"/>
    <w:rsid w:val="007F1358"/>
    <w:rsid w:val="00835F9F"/>
    <w:rsid w:val="008C6BB2"/>
    <w:rsid w:val="008F6243"/>
    <w:rsid w:val="009711B9"/>
    <w:rsid w:val="00A33876"/>
    <w:rsid w:val="00AC09CF"/>
    <w:rsid w:val="00AE6308"/>
    <w:rsid w:val="00B06FC8"/>
    <w:rsid w:val="00B1516B"/>
    <w:rsid w:val="00B278E3"/>
    <w:rsid w:val="00B815E8"/>
    <w:rsid w:val="00C04C31"/>
    <w:rsid w:val="00C16729"/>
    <w:rsid w:val="00C34450"/>
    <w:rsid w:val="00D01433"/>
    <w:rsid w:val="00D356AF"/>
    <w:rsid w:val="00D6426F"/>
    <w:rsid w:val="00D9196C"/>
    <w:rsid w:val="00DA60F2"/>
    <w:rsid w:val="00E27E40"/>
    <w:rsid w:val="00E963B6"/>
    <w:rsid w:val="00EA509F"/>
    <w:rsid w:val="00EA5700"/>
    <w:rsid w:val="00FA29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CC4DE"/>
  <w15:chartTrackingRefBased/>
  <w15:docId w15:val="{10E18F2F-7979-489E-B76C-0BE532F8B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54F"/>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454F"/>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22454F"/>
  </w:style>
  <w:style w:type="paragraph" w:styleId="Piedepgina">
    <w:name w:val="footer"/>
    <w:basedOn w:val="Normal"/>
    <w:link w:val="PiedepginaCar"/>
    <w:uiPriority w:val="99"/>
    <w:unhideWhenUsed/>
    <w:rsid w:val="0022454F"/>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22454F"/>
  </w:style>
  <w:style w:type="paragraph" w:styleId="Prrafodelista">
    <w:name w:val="List Paragraph"/>
    <w:basedOn w:val="Normal"/>
    <w:uiPriority w:val="34"/>
    <w:qFormat/>
    <w:rsid w:val="007F1358"/>
    <w:pPr>
      <w:ind w:left="720"/>
      <w:contextualSpacing/>
    </w:pPr>
  </w:style>
  <w:style w:type="paragraph" w:styleId="NormalWeb">
    <w:name w:val="Normal (Web)"/>
    <w:basedOn w:val="Normal"/>
    <w:uiPriority w:val="99"/>
    <w:semiHidden/>
    <w:unhideWhenUsed/>
    <w:rsid w:val="00B815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6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7327</Words>
  <Characters>40300</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2022-08-08T23:09:00Z</dcterms:created>
  <dcterms:modified xsi:type="dcterms:W3CDTF">2022-09-06T14:47:00Z</dcterms:modified>
</cp:coreProperties>
</file>