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bookmarkStart w:colFirst="0" w:colLast="0" w:name="_heading=h.3znysh7" w:id="0"/>
      <w:bookmarkEnd w:id="0"/>
      <w:r w:rsidDel="00000000" w:rsidR="00000000" w:rsidRPr="00000000">
        <w:rPr>
          <w:rtl w:val="0"/>
        </w:rPr>
      </w:r>
    </w:p>
    <w:p w:rsidR="00000000" w:rsidDel="00000000" w:rsidP="00000000" w:rsidRDefault="00000000" w:rsidRPr="00000000" w14:paraId="000000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veintisiete de abril del dos mil veintidós.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00664/INFOEM/IP/RR/2022;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 Xxxxxxx Xxxxxxx</w:t>
      </w:r>
      <w:r w:rsidDel="00000000" w:rsidR="00000000" w:rsidRPr="00000000">
        <w:rPr>
          <w:rFonts w:ascii="Palatino Linotype" w:cs="Palatino Linotype" w:eastAsia="Palatino Linotype" w:hAnsi="Palatino Linotype"/>
          <w:rtl w:val="0"/>
        </w:rPr>
        <w:t xml:space="preserve">, en lo sucesivo se le denominara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hyperlink r:id="rId10">
        <w:r w:rsidDel="00000000" w:rsidR="00000000" w:rsidRPr="00000000">
          <w:rPr>
            <w:rFonts w:ascii="Palatino Linotype" w:cs="Palatino Linotype" w:eastAsia="Palatino Linotype" w:hAnsi="Palatino Linotype"/>
            <w:b w:val="1"/>
            <w:rtl w:val="0"/>
          </w:rPr>
          <w:t xml:space="preserve">00002/DIFJILO/IP/2022</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Sistema Municipal Para el Desarrollo Integral de la Familia de Jilotepec,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5">
      <w:pPr>
        <w:numPr>
          <w:ilvl w:val="0"/>
          <w:numId w:val="5"/>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b w:val="1"/>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treinta y uno de enero del dos mil veintidós,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a través de la Plataforma Nacional de Transparencia vinculada al Sistema de Acceso a la Información Mexiquense, en lo subsecuente 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requiriéndole lo siguiente:</w:t>
      </w:r>
      <w:r w:rsidDel="00000000" w:rsidR="00000000" w:rsidRPr="00000000">
        <w:rPr>
          <w:rtl w:val="0"/>
        </w:rPr>
      </w:r>
    </w:p>
    <w:p w:rsidR="00000000" w:rsidDel="00000000" w:rsidP="00000000" w:rsidRDefault="00000000" w:rsidRPr="00000000" w14:paraId="00000007">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w:t>
      </w:r>
    </w:p>
    <w:p w:rsidR="00000000" w:rsidDel="00000000" w:rsidP="00000000" w:rsidRDefault="00000000" w:rsidRPr="00000000" w14:paraId="0000000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solicita lo siguiente: </w:t>
      </w:r>
    </w:p>
    <w:p w:rsidR="00000000" w:rsidDel="00000000" w:rsidP="00000000" w:rsidRDefault="00000000" w:rsidRPr="00000000" w14:paraId="0000000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Reportes del aplicativo “Visor de nómina del SAT” por los años 2018, 2019, 2020, y 2021 en sus tres presentaciones: </w:t>
      </w:r>
    </w:p>
    <w:p w:rsidR="00000000" w:rsidDel="00000000" w:rsidP="00000000" w:rsidRDefault="00000000" w:rsidRPr="00000000" w14:paraId="0000000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Vista anual acumulada. </w:t>
      </w:r>
    </w:p>
    <w:p w:rsidR="00000000" w:rsidDel="00000000" w:rsidP="00000000" w:rsidRDefault="00000000" w:rsidRPr="00000000" w14:paraId="0000000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Detalle mensual. </w:t>
      </w:r>
    </w:p>
    <w:p w:rsidR="00000000" w:rsidDel="00000000" w:rsidP="00000000" w:rsidRDefault="00000000" w:rsidRPr="00000000" w14:paraId="0000000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Detalle diferencias sueldos y salarios. </w:t>
      </w:r>
    </w:p>
    <w:p w:rsidR="00000000" w:rsidDel="00000000" w:rsidP="00000000" w:rsidRDefault="00000000" w:rsidRPr="00000000" w14:paraId="0000000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constancia de situación fiscal de no adeudo emitida por el INFONAVIT, generada desde el portal empresarial de esa Institución, a través de internet. </w:t>
      </w:r>
    </w:p>
    <w:p w:rsidR="00000000" w:rsidDel="00000000" w:rsidP="00000000" w:rsidRDefault="00000000" w:rsidRPr="00000000" w14:paraId="0000000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opinión de no adeudo en el cumplimiento de obligaciones fiscales en materia de seguridad social emitida x el IMSS, generada desde el portal de esa Institución, a través de internet. </w:t>
      </w:r>
    </w:p>
    <w:p w:rsidR="00000000" w:rsidDel="00000000" w:rsidP="00000000" w:rsidRDefault="00000000" w:rsidRPr="00000000" w14:paraId="0000000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opinión de no adeudo en el cumplimiento de obligaciones fiscales estatales emitida por el SATEM, generada desde el portal de esa Institución, a través de internet. </w:t>
      </w:r>
    </w:p>
    <w:p w:rsidR="00000000" w:rsidDel="00000000" w:rsidP="00000000" w:rsidRDefault="00000000" w:rsidRPr="00000000" w14:paraId="0000001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rsidR="00000000" w:rsidDel="00000000" w:rsidP="00000000" w:rsidRDefault="00000000" w:rsidRPr="00000000" w14:paraId="0000001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En la columna A “Mes”. </w:t>
      </w:r>
    </w:p>
    <w:p w:rsidR="00000000" w:rsidDel="00000000" w:rsidP="00000000" w:rsidRDefault="00000000" w:rsidRPr="00000000" w14:paraId="0000001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En la columna B “Año”. </w:t>
      </w:r>
    </w:p>
    <w:p w:rsidR="00000000" w:rsidDel="00000000" w:rsidP="00000000" w:rsidRDefault="00000000" w:rsidRPr="00000000" w14:paraId="0000001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En la columna C “ISR salarios retenido”. </w:t>
      </w:r>
    </w:p>
    <w:p w:rsidR="00000000" w:rsidDel="00000000" w:rsidP="00000000" w:rsidRDefault="00000000" w:rsidRPr="00000000" w14:paraId="0000001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En la columna D “ISR salarios enterado”. </w:t>
      </w:r>
    </w:p>
    <w:p w:rsidR="00000000" w:rsidDel="00000000" w:rsidP="00000000" w:rsidRDefault="00000000" w:rsidRPr="00000000" w14:paraId="0000001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En la columna E “ISR asimilados retenido”. </w:t>
      </w:r>
    </w:p>
    <w:p w:rsidR="00000000" w:rsidDel="00000000" w:rsidP="00000000" w:rsidRDefault="00000000" w:rsidRPr="00000000" w14:paraId="0000001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En la columna F “ISR asimilados enterado”. </w:t>
      </w:r>
    </w:p>
    <w:p w:rsidR="00000000" w:rsidDel="00000000" w:rsidP="00000000" w:rsidRDefault="00000000" w:rsidRPr="00000000" w14:paraId="0000001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En la columna G “ISR honorarios y arrendamiento retenido”. </w:t>
      </w:r>
    </w:p>
    <w:p w:rsidR="00000000" w:rsidDel="00000000" w:rsidP="00000000" w:rsidRDefault="00000000" w:rsidRPr="00000000" w14:paraId="0000001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En la columna H “ISR honorarios y arrendamiento enterado”. </w:t>
      </w:r>
    </w:p>
    <w:p w:rsidR="00000000" w:rsidDel="00000000" w:rsidP="00000000" w:rsidRDefault="00000000" w:rsidRPr="00000000" w14:paraId="0000001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En la columna I “ISR participable recuperado a valor histórico”. </w:t>
      </w:r>
    </w:p>
    <w:p w:rsidR="00000000" w:rsidDel="00000000" w:rsidP="00000000" w:rsidRDefault="00000000" w:rsidRPr="00000000" w14:paraId="0000001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J) En la columna J “Subsidio para el empleo entregado en el mes al trabajador”. </w:t>
      </w:r>
    </w:p>
    <w:p w:rsidR="00000000" w:rsidDel="00000000" w:rsidP="00000000" w:rsidRDefault="00000000" w:rsidRPr="00000000" w14:paraId="0000001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K) En la columna K “Subsidio para el empleo acreditado en el mes contra las contribuciones que proceda”. </w:t>
      </w:r>
    </w:p>
    <w:p w:rsidR="00000000" w:rsidDel="00000000" w:rsidP="00000000" w:rsidRDefault="00000000" w:rsidRPr="00000000" w14:paraId="0000001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rsidR="00000000" w:rsidDel="00000000" w:rsidP="00000000" w:rsidRDefault="00000000" w:rsidRPr="00000000" w14:paraId="0000001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w:t>
      </w:r>
    </w:p>
    <w:p w:rsidR="00000000" w:rsidDel="00000000" w:rsidP="00000000" w:rsidRDefault="00000000" w:rsidRPr="00000000" w14:paraId="0000001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En la columna A “Nombre del trabajador”, pudiendo identificarlos como: trabajador 1, trabajador 2, trabajador 3 </w:t>
      </w:r>
    </w:p>
    <w:p w:rsidR="00000000" w:rsidDel="00000000" w:rsidP="00000000" w:rsidRDefault="00000000" w:rsidRPr="00000000" w14:paraId="0000001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En la columna B “Año”. </w:t>
      </w:r>
    </w:p>
    <w:p w:rsidR="00000000" w:rsidDel="00000000" w:rsidP="00000000" w:rsidRDefault="00000000" w:rsidRPr="00000000" w14:paraId="0000002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En la columna C “Saldo a favor de ISR”. </w:t>
      </w:r>
    </w:p>
    <w:p w:rsidR="00000000" w:rsidDel="00000000" w:rsidP="00000000" w:rsidRDefault="00000000" w:rsidRPr="00000000" w14:paraId="0000002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En la columna D “Saldo a cargo en el ISR”. </w:t>
      </w:r>
    </w:p>
    <w:p w:rsidR="00000000" w:rsidDel="00000000" w:rsidP="00000000" w:rsidRDefault="00000000" w:rsidRPr="00000000" w14:paraId="0000002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En la columna E “Diferencia 0 en el ISR”. </w:t>
      </w:r>
    </w:p>
    <w:p w:rsidR="00000000" w:rsidDel="00000000" w:rsidP="00000000" w:rsidRDefault="00000000" w:rsidRPr="00000000" w14:paraId="0000002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w:t>
      </w:r>
    </w:p>
    <w:p w:rsidR="00000000" w:rsidDel="00000000" w:rsidP="00000000" w:rsidRDefault="00000000" w:rsidRPr="00000000" w14:paraId="00000024">
      <w:pPr>
        <w:spacing w:after="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5">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 correo electrónico, Cualquier otro medio incluido los electrónicos (USB, SD, Disco)</w:t>
      </w:r>
    </w:p>
    <w:p w:rsidR="00000000" w:rsidDel="00000000" w:rsidP="00000000" w:rsidRDefault="00000000" w:rsidRPr="00000000" w14:paraId="0000002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pasa desapercibido que el ahora Recurrente en el apartado de “Cualquier detalle que facilite la búsqueda de la información”, preciso lo siguiente:</w:t>
      </w:r>
    </w:p>
    <w:p w:rsidR="00000000" w:rsidDel="00000000" w:rsidP="00000000" w:rsidRDefault="00000000" w:rsidRPr="00000000" w14:paraId="00000028">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su tesorero(a) del ayuntamiento, con sus asesores financieros, con sus contadores de las descentralizadas del ayuntamiento, con su titular de recursos humanos y con su nominista del ayuntamiento y/o descentralizadas” (Sic)</w:t>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cuatro de febrero del dos mil veintidós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2C">
      <w:pPr>
        <w:spacing w:before="24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ENVÍA INFORMACIÓN REFERIDA A SU SOLICITUD DE INFORMACIÓN LA CUAL NO COMPETE AL SISTEMA MUNICIPAL DIF DE JILOTEPEC” (Sic)</w:t>
      </w:r>
    </w:p>
    <w:p w:rsidR="00000000" w:rsidDel="00000000" w:rsidP="00000000" w:rsidRDefault="00000000" w:rsidRPr="00000000" w14:paraId="0000002D">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E">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el archivo electrónico siguiente:</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i w:val="1"/>
          <w:rtl w:val="0"/>
        </w:rPr>
        <w:t xml:space="preserve">0002DIFJILOIPO2022.pdf”: </w:t>
      </w:r>
      <w:r w:rsidDel="00000000" w:rsidR="00000000" w:rsidRPr="00000000">
        <w:rPr>
          <w:rFonts w:ascii="Palatino Linotype" w:cs="Palatino Linotype" w:eastAsia="Palatino Linotype" w:hAnsi="Palatino Linotype"/>
          <w:rtl w:val="0"/>
        </w:rPr>
        <w:t xml:space="preserve">Oficio número DIFJIL/2224/001 de fecha cuatro de abril de dos mil veintidós consistente en la declaración de incompetencia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atender la solicitud de información. </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el recurso de revisión a través del SAIMEX en fecha diez de febrero del dos mil veintidós, a través del cual expresó lo siguiente:</w:t>
      </w:r>
    </w:p>
    <w:p w:rsidR="00000000" w:rsidDel="00000000" w:rsidP="00000000" w:rsidRDefault="00000000" w:rsidRPr="00000000" w14:paraId="00000031">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32">
      <w:pPr>
        <w:spacing w:after="240" w:before="240" w:line="36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“Su respuesta oficio 0002DIFJILOIPO2022” (Sic)</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34">
      <w:pPr>
        <w:spacing w:after="240" w:before="240" w:line="276" w:lineRule="auto"/>
        <w:ind w:left="851"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“Por medio de la presente hoy 09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Jilotepec con número de folio 425685 de la solicitud de Información Pública realizada en la Plataforma Nacional de Transparencia, ya que su respuesta; oficio: 0002DIFJILOIPO2022 a mi petición de información recae en los supuestos establecidos por las fracciones III, V, X, XI y XII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ya que los reportes visores de nómina solo puede generarlos el Ente Público Obligado desde su portal del SAT; se reitera es información fácil que ya tiene el Ente Obligado, directamente de su portal del SAT ya que son simples REPORTES reitero REPORTES que ya hizo y entregó el Sistema Municipal Para el Desarrollo Integral de la Familia de Jilotepec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con esos entes fiscalizadores está bien la respuesta que no aplica si esto es así, pero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 eficientar y mejor su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Polo Alvarez” (Sic)</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recurso de revisión número </w:t>
      </w:r>
      <w:r w:rsidDel="00000000" w:rsidR="00000000" w:rsidRPr="00000000">
        <w:rPr>
          <w:rFonts w:ascii="Palatino Linotype" w:cs="Palatino Linotype" w:eastAsia="Palatino Linotype" w:hAnsi="Palatino Linotype"/>
          <w:b w:val="1"/>
          <w:rtl w:val="0"/>
        </w:rPr>
        <w:t xml:space="preserve">00664/INFOEM/IP/RR/2022 </w:t>
      </w:r>
      <w:r w:rsidDel="00000000" w:rsidR="00000000" w:rsidRPr="00000000">
        <w:rPr>
          <w:rFonts w:ascii="Palatino Linotype" w:cs="Palatino Linotype" w:eastAsia="Palatino Linotype" w:hAnsi="Palatino Linotype"/>
          <w:rtl w:val="0"/>
        </w:rPr>
        <w:t xml:space="preserve">fue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 por el sistema electrónico del Instituto de Transparencia, Acceso a la Información Pública y Protección de Datos Personales del Estado de México y Municipios,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3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En fecha quince de febrero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color w:val="000000"/>
          <w:rtl w:val="0"/>
        </w:rPr>
        <w:t xml:space="preserve">6. Manifestaciones</w:t>
      </w:r>
      <w:r w:rsidDel="00000000" w:rsidR="00000000" w:rsidRPr="00000000">
        <w:rPr>
          <w:rFonts w:ascii="Palatino Linotype" w:cs="Palatino Linotype" w:eastAsia="Palatino Linotype" w:hAnsi="Palatino Linotype"/>
          <w:color w:val="000000"/>
          <w:rtl w:val="0"/>
        </w:rPr>
        <w:t xml:space="preserve">: De las constancias que integran el expediente en que se actúa se advierte que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remitió,</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en fecha veinticuatro de febrero de dos mil veintidós, el archivo electrónico identificado como “</w:t>
      </w:r>
      <w:r w:rsidDel="00000000" w:rsidR="00000000" w:rsidRPr="00000000">
        <w:rPr>
          <w:rFonts w:ascii="Palatino Linotype" w:cs="Palatino Linotype" w:eastAsia="Palatino Linotype" w:hAnsi="Palatino Linotype"/>
          <w:b w:val="1"/>
          <w:i w:val="1"/>
          <w:color w:val="000000"/>
          <w:rtl w:val="0"/>
        </w:rPr>
        <w:t xml:space="preserve">RECURSO DE REVICION.pdf” </w:t>
      </w:r>
      <w:r w:rsidDel="00000000" w:rsidR="00000000" w:rsidRPr="00000000">
        <w:rPr>
          <w:rFonts w:ascii="Palatino Linotype" w:cs="Palatino Linotype" w:eastAsia="Palatino Linotype" w:hAnsi="Palatino Linotype"/>
          <w:color w:val="000000"/>
          <w:rtl w:val="0"/>
        </w:rPr>
        <w:t xml:space="preserve">cuyo contenido se trata del oficio número DIFJIL/22-24/002, suscrito y signado por el Titular de la Unida de Transparencia que en su parte sustantiva refirió: </w:t>
      </w:r>
      <w:r w:rsidDel="00000000" w:rsidR="00000000" w:rsidRPr="00000000">
        <w:rPr>
          <w:rFonts w:ascii="Palatino Linotype" w:cs="Palatino Linotype" w:eastAsia="Palatino Linotype" w:hAnsi="Palatino Linotype"/>
          <w:i w:val="1"/>
          <w:color w:val="000000"/>
          <w:rtl w:val="0"/>
        </w:rPr>
        <w:t xml:space="preserve">“…al momento de atender la solicitud del particular se declaró la incompetencia para emitir la información requerida, informándole que la misma no obra en el sistema propio del Sujeto Obligado, toda vez que la clave referida por el particular como CIEC solo es proporcionada por el Sistema de Administración Tributaria SAT para cumplir con las obligaciones fiscales, no para generar o manipular la base de datos de dicho sistema.”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Documento que el cuatro de abril de dos mil veintidós se pusó a la vista del </w:t>
      </w:r>
      <w:r w:rsidDel="00000000" w:rsidR="00000000" w:rsidRPr="00000000">
        <w:rPr>
          <w:rFonts w:ascii="Palatino Linotype" w:cs="Palatino Linotype" w:eastAsia="Palatino Linotype" w:hAnsi="Palatino Linotype"/>
          <w:b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para su conoicimiento.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rtl w:val="0"/>
        </w:rPr>
        <w:t xml:space="preserve">Por su parte el </w:t>
      </w:r>
      <w:r w:rsidDel="00000000" w:rsidR="00000000" w:rsidRPr="00000000">
        <w:rPr>
          <w:rFonts w:ascii="Palatino Linotype" w:cs="Palatino Linotype" w:eastAsia="Palatino Linotype" w:hAnsi="Palatino Linotype"/>
          <w:b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remitió los archivos electronicos descritos en el siguiente orden</w:t>
      </w:r>
      <w:r w:rsidDel="00000000" w:rsidR="00000000" w:rsidRPr="00000000">
        <w:rPr>
          <w:rFonts w:ascii="Palatino Linotype" w:cs="Palatino Linotype" w:eastAsia="Palatino Linotype" w:hAnsi="Palatino Linotype"/>
          <w:color w:val="000000"/>
          <w:sz w:val="22"/>
          <w:szCs w:val="22"/>
          <w:rtl w:val="0"/>
        </w:rPr>
        <w:t xml:space="preserve">: </w:t>
      </w:r>
    </w:p>
    <w:p w:rsidR="00000000" w:rsidDel="00000000" w:rsidP="00000000" w:rsidRDefault="00000000" w:rsidRPr="00000000" w14:paraId="0000003A">
      <w:pPr>
        <w:widowControl w:val="0"/>
        <w:numPr>
          <w:ilvl w:val="0"/>
          <w:numId w:val="7"/>
        </w:numPr>
        <w:pBdr>
          <w:top w:space="0" w:sz="0" w:val="nil"/>
          <w:left w:space="0" w:sz="0" w:val="nil"/>
          <w:bottom w:space="0" w:sz="0" w:val="nil"/>
          <w:right w:space="0" w:sz="0" w:val="nil"/>
          <w:between w:space="0" w:sz="0" w:val="nil"/>
        </w:pBdr>
        <w:tabs>
          <w:tab w:val="left" w:pos="709"/>
        </w:tabs>
        <w:spacing w:after="240" w:before="240"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“Manifestaciones para DIF Jilotepec.pdf”: </w:t>
      </w:r>
      <w:r w:rsidDel="00000000" w:rsidR="00000000" w:rsidRPr="00000000">
        <w:rPr>
          <w:rFonts w:ascii="Palatino Linotype" w:cs="Palatino Linotype" w:eastAsia="Palatino Linotype" w:hAnsi="Palatino Linotype"/>
          <w:color w:val="000000"/>
          <w:sz w:val="22"/>
          <w:szCs w:val="22"/>
          <w:rtl w:val="0"/>
        </w:rPr>
        <w:t xml:space="preserve">Documento suscrito por el </w:t>
      </w:r>
      <w:r w:rsidDel="00000000" w:rsidR="00000000" w:rsidRPr="00000000">
        <w:rPr>
          <w:rFonts w:ascii="Palatino Linotype" w:cs="Palatino Linotype" w:eastAsia="Palatino Linotype" w:hAnsi="Palatino Linotype"/>
          <w:b w:val="1"/>
          <w:color w:val="000000"/>
          <w:sz w:val="22"/>
          <w:szCs w:val="22"/>
          <w:rtl w:val="0"/>
        </w:rPr>
        <w:t xml:space="preserve">RECURRENTE </w:t>
      </w:r>
      <w:r w:rsidDel="00000000" w:rsidR="00000000" w:rsidRPr="00000000">
        <w:rPr>
          <w:rFonts w:ascii="Palatino Linotype" w:cs="Palatino Linotype" w:eastAsia="Palatino Linotype" w:hAnsi="Palatino Linotype"/>
          <w:color w:val="000000"/>
          <w:sz w:val="22"/>
          <w:szCs w:val="22"/>
          <w:rtl w:val="0"/>
        </w:rPr>
        <w:t xml:space="preserve">en el que en términos generales refirió: </w:t>
      </w: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tabs>
          <w:tab w:val="left" w:pos="709"/>
        </w:tabs>
        <w:spacing w:after="240" w:before="240"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Pues solo reiterar en mis manifestaciones que el sujeto Obligado sigue evadiendo su responsabilidad de rendición de cuentas y trasparencia con un servidor como yo, ya que sigue negándose a entregar la información argumentando sustentos jurídicos que nada tiene que ver para negar la información pública y que concretamente y en palabras más comunes lo dejare nuevamente claro: Es información ya generada por ellos y ya entregada tal cual o manipulable ni por el mismo ente público Obligado y que ya obra en sus archivos háblese su expediente fiscal en su portal del ente fiscalizador del SAT pero que es del ente público obligado municipal…”</w:t>
      </w:r>
    </w:p>
    <w:p w:rsidR="00000000" w:rsidDel="00000000" w:rsidP="00000000" w:rsidRDefault="00000000" w:rsidRPr="00000000" w14:paraId="0000003C">
      <w:pPr>
        <w:widowControl w:val="0"/>
        <w:numPr>
          <w:ilvl w:val="0"/>
          <w:numId w:val="7"/>
        </w:numPr>
        <w:pBdr>
          <w:top w:space="0" w:sz="0" w:val="nil"/>
          <w:left w:space="0" w:sz="0" w:val="nil"/>
          <w:bottom w:space="0" w:sz="0" w:val="nil"/>
          <w:right w:space="0" w:sz="0" w:val="nil"/>
          <w:between w:space="0" w:sz="0" w:val="nil"/>
        </w:pBdr>
        <w:tabs>
          <w:tab w:val="left" w:pos="709"/>
        </w:tabs>
        <w:spacing w:after="240" w:before="240" w:line="360" w:lineRule="auto"/>
        <w:ind w:left="720" w:hanging="36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“G-35-03-03-2018-01 ejemplo presentación detalle mensual.pdf”: </w:t>
      </w:r>
      <w:r w:rsidDel="00000000" w:rsidR="00000000" w:rsidRPr="00000000">
        <w:rPr>
          <w:rFonts w:ascii="Palatino Linotype" w:cs="Palatino Linotype" w:eastAsia="Palatino Linotype" w:hAnsi="Palatino Linotype"/>
          <w:color w:val="000000"/>
          <w:sz w:val="22"/>
          <w:szCs w:val="22"/>
          <w:rtl w:val="0"/>
        </w:rPr>
        <w:t xml:space="preserve">En el que se advierte la siguiente información: </w:t>
      </w: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tabs>
          <w:tab w:val="left" w:pos="709"/>
        </w:tabs>
        <w:spacing w:after="240" w:before="240" w:line="360" w:lineRule="auto"/>
        <w:ind w:left="720" w:firstLine="0"/>
        <w:jc w:val="both"/>
        <w:rPr>
          <w:rFonts w:ascii="Palatino Linotype" w:cs="Palatino Linotype" w:eastAsia="Palatino Linotype" w:hAnsi="Palatino Linotype"/>
          <w:b w:val="1"/>
          <w:i w:val="1"/>
          <w:color w:val="000000"/>
          <w:sz w:val="22"/>
          <w:szCs w:val="22"/>
        </w:rPr>
      </w:pPr>
      <w:r w:rsidDel="00000000" w:rsidR="00000000" w:rsidRPr="00000000">
        <w:rPr>
          <w:color w:val="000000"/>
          <w:sz w:val="22"/>
          <w:szCs w:val="22"/>
        </w:rPr>
        <w:drawing>
          <wp:inline distB="0" distT="0" distL="0" distR="0">
            <wp:extent cx="5068977" cy="1714432"/>
            <wp:effectExtent b="0" l="0" r="0" t="0"/>
            <wp:docPr id="10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68977" cy="1714432"/>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tabs>
          <w:tab w:val="left" w:pos="709"/>
        </w:tabs>
        <w:spacing w:after="240" w:before="240" w:line="360" w:lineRule="auto"/>
        <w:ind w:left="720" w:firstLine="0"/>
        <w:jc w:val="both"/>
        <w:rPr>
          <w:rFonts w:ascii="Palatino Linotype" w:cs="Palatino Linotype" w:eastAsia="Palatino Linotype" w:hAnsi="Palatino Linotype"/>
          <w:b w:val="1"/>
          <w:i w:val="1"/>
          <w:color w:val="000000"/>
          <w:sz w:val="22"/>
          <w:szCs w:val="22"/>
        </w:rPr>
      </w:pPr>
      <w:r w:rsidDel="00000000" w:rsidR="00000000" w:rsidRPr="00000000">
        <w:rPr>
          <w:color w:val="000000"/>
          <w:sz w:val="22"/>
          <w:szCs w:val="22"/>
        </w:rPr>
        <w:drawing>
          <wp:inline distB="0" distT="0" distL="0" distR="0">
            <wp:extent cx="5183316" cy="1714433"/>
            <wp:effectExtent b="0" l="0" r="0" t="0"/>
            <wp:docPr id="1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183316" cy="171443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numPr>
          <w:ilvl w:val="0"/>
          <w:numId w:val="7"/>
        </w:numPr>
        <w:pBdr>
          <w:top w:space="0" w:sz="0" w:val="nil"/>
          <w:left w:space="0" w:sz="0" w:val="nil"/>
          <w:bottom w:space="0" w:sz="0" w:val="nil"/>
          <w:right w:space="0" w:sz="0" w:val="nil"/>
          <w:between w:space="0" w:sz="0" w:val="nil"/>
        </w:pBdr>
        <w:tabs>
          <w:tab w:val="left" w:pos="709"/>
        </w:tabs>
        <w:spacing w:after="240" w:before="240" w:line="360" w:lineRule="auto"/>
        <w:ind w:left="720" w:hanging="36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“G-13-03-01-2019-01 ejemplo vista anual acumulado o global.pdf”: </w:t>
      </w:r>
      <w:r w:rsidDel="00000000" w:rsidR="00000000" w:rsidRPr="00000000">
        <w:rPr>
          <w:rFonts w:ascii="Palatino Linotype" w:cs="Palatino Linotype" w:eastAsia="Palatino Linotype" w:hAnsi="Palatino Linotype"/>
          <w:color w:val="000000"/>
          <w:sz w:val="22"/>
          <w:szCs w:val="22"/>
          <w:rtl w:val="0"/>
        </w:rPr>
        <w:t xml:space="preserve">Contiene lo siguiente: </w:t>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tabs>
          <w:tab w:val="left" w:pos="709"/>
        </w:tabs>
        <w:spacing w:after="240" w:before="240" w:line="360" w:lineRule="auto"/>
        <w:ind w:left="72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Pr>
        <w:drawing>
          <wp:inline distB="0" distT="0" distL="0" distR="0">
            <wp:extent cx="5237027" cy="1915026"/>
            <wp:effectExtent b="0" l="0" r="0" t="0"/>
            <wp:docPr id="11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237027" cy="191502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tabs>
          <w:tab w:val="left" w:pos="709"/>
        </w:tabs>
        <w:spacing w:after="240" w:before="240" w:line="360" w:lineRule="auto"/>
        <w:ind w:left="72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Pr>
        <w:drawing>
          <wp:inline distB="0" distT="0" distL="0" distR="0">
            <wp:extent cx="5126891" cy="1410022"/>
            <wp:effectExtent b="0" l="0" r="0" t="0"/>
            <wp:docPr id="113" name="image10.png"/>
            <a:graphic>
              <a:graphicData uri="http://schemas.openxmlformats.org/drawingml/2006/picture">
                <pic:pic>
                  <pic:nvPicPr>
                    <pic:cNvPr id="0" name="image10.png"/>
                    <pic:cNvPicPr preferRelativeResize="0"/>
                  </pic:nvPicPr>
                  <pic:blipFill>
                    <a:blip r:embed="rId13"/>
                    <a:srcRect b="55869" l="0" r="0" t="0"/>
                    <a:stretch>
                      <a:fillRect/>
                    </a:stretch>
                  </pic:blipFill>
                  <pic:spPr>
                    <a:xfrm>
                      <a:off x="0" y="0"/>
                      <a:ext cx="5126891" cy="141002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numPr>
          <w:ilvl w:val="0"/>
          <w:numId w:val="7"/>
        </w:numPr>
        <w:pBdr>
          <w:top w:space="0" w:sz="0" w:val="nil"/>
          <w:left w:space="0" w:sz="0" w:val="nil"/>
          <w:bottom w:space="0" w:sz="0" w:val="nil"/>
          <w:right w:space="0" w:sz="0" w:val="nil"/>
          <w:between w:space="0" w:sz="0" w:val="nil"/>
        </w:pBdr>
        <w:tabs>
          <w:tab w:val="left" w:pos="709"/>
        </w:tabs>
        <w:spacing w:after="240" w:before="240" w:line="360" w:lineRule="auto"/>
        <w:ind w:left="720" w:hanging="36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“G-13-01-02-2019-01 ejemplo detalle diferencias sueldos y salarios, diferencias mensuales.pdf”: </w:t>
      </w:r>
      <w:r w:rsidDel="00000000" w:rsidR="00000000" w:rsidRPr="00000000">
        <w:rPr>
          <w:rFonts w:ascii="Palatino Linotype" w:cs="Palatino Linotype" w:eastAsia="Palatino Linotype" w:hAnsi="Palatino Linotype"/>
          <w:color w:val="000000"/>
          <w:sz w:val="22"/>
          <w:szCs w:val="22"/>
          <w:rtl w:val="0"/>
        </w:rPr>
        <w:t xml:space="preserve">Contiene la siguiente documentación:</w:t>
      </w: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tabs>
          <w:tab w:val="left" w:pos="709"/>
        </w:tabs>
        <w:spacing w:after="240" w:before="240" w:line="360" w:lineRule="auto"/>
        <w:ind w:left="72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color w:val="000000"/>
          <w:sz w:val="22"/>
          <w:szCs w:val="22"/>
        </w:rPr>
        <w:drawing>
          <wp:inline distB="0" distT="0" distL="0" distR="0">
            <wp:extent cx="5125720" cy="2076450"/>
            <wp:effectExtent b="12700" l="12700" r="12700" t="12700"/>
            <wp:docPr id="11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125720" cy="20764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tabs>
          <w:tab w:val="left" w:pos="709"/>
        </w:tabs>
        <w:spacing w:after="240" w:before="240" w:line="360" w:lineRule="auto"/>
        <w:ind w:left="72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color w:val="000000"/>
          <w:sz w:val="22"/>
          <w:szCs w:val="22"/>
        </w:rPr>
        <w:drawing>
          <wp:inline distB="0" distT="0" distL="0" distR="0">
            <wp:extent cx="5148163" cy="1892711"/>
            <wp:effectExtent b="12700" l="12700" r="12700" t="12700"/>
            <wp:docPr id="11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148163" cy="189271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tabs>
          <w:tab w:val="left" w:pos="709"/>
        </w:tabs>
        <w:spacing w:after="240" w:before="240" w:line="360" w:lineRule="auto"/>
        <w:ind w:left="720" w:firstLine="0"/>
        <w:jc w:val="both"/>
        <w:rPr>
          <w:color w:val="000000"/>
          <w:sz w:val="22"/>
          <w:szCs w:val="22"/>
        </w:rPr>
      </w:pPr>
      <w:r w:rsidDel="00000000" w:rsidR="00000000" w:rsidRPr="00000000">
        <w:rPr>
          <w:color w:val="000000"/>
          <w:sz w:val="22"/>
          <w:szCs w:val="22"/>
        </w:rPr>
        <w:pict>
          <v:shape id="_x0000_i1025" style="width:383.25pt;height:135pt" o:ole="" type="#_x0000_t75">
            <v:imagedata r:id="rId1" o:title=""/>
          </v:shape>
          <o:OLEObject DrawAspect="Content" r:id="rId2" ObjectID="_1713351476" ProgID="Paint.Picture" ShapeID="_x0000_i1025" Type="Embed"/>
        </w:pict>
      </w: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tabs>
          <w:tab w:val="left" w:pos="709"/>
        </w:tabs>
        <w:spacing w:after="240" w:before="240" w:line="360" w:lineRule="auto"/>
        <w:ind w:left="720"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47">
      <w:pPr>
        <w:widowControl w:val="0"/>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w:t>
      </w:r>
      <w:r w:rsidDel="00000000" w:rsidR="00000000" w:rsidRPr="00000000">
        <w:rPr>
          <w:rFonts w:ascii="Palatino Linotype" w:cs="Palatino Linotype" w:eastAsia="Palatino Linotype" w:hAnsi="Palatino Linotype"/>
          <w:rtl w:val="0"/>
        </w:rPr>
        <w:t xml:space="preserve"> En fecha veintiuno de abril del año dos mil,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48">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En fecha veinticinco de abril del año dos mil veintidós,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9">
      <w:pPr>
        <w:numPr>
          <w:ilvl w:val="0"/>
          <w:numId w:val="5"/>
        </w:numPr>
        <w:pBdr>
          <w:top w:space="0" w:sz="0" w:val="nil"/>
          <w:left w:space="0" w:sz="0" w:val="nil"/>
          <w:bottom w:space="0" w:sz="0" w:val="nil"/>
          <w:right w:space="0" w:sz="0" w:val="nil"/>
          <w:between w:space="0" w:sz="0" w:val="nil"/>
        </w:pBdr>
        <w:spacing w:after="240" w:before="240" w:line="360" w:lineRule="auto"/>
        <w:ind w:left="72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O N S I D E R A N D O:</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 los Recursos de Revisión</w:t>
      </w:r>
      <w:r w:rsidDel="00000000" w:rsidR="00000000" w:rsidRPr="00000000">
        <w:rPr>
          <w:rFonts w:ascii="Palatino Linotype" w:cs="Palatino Linotype" w:eastAsia="Palatino Linotype" w:hAnsi="Palatino Linotype"/>
          <w:rtl w:val="0"/>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el solicitante en fecha cuatro de febrero del año dos mil veintidós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el diez de febrero del mismo año; esto es al tercer día hábil siguiente de aquel en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mismo tiempo, tras la revisión de los formatos de interposición del recurso, se concluye en la acreditación plena de todos y cada uno de los elementos formales exigidos por el artículo 180 de la Ley de Transparencia y Acceso a la Información Pública del Estado de México y Municipios, toda vez que fueron ingresados a través del SAIMEX.</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resulta procedente la interposición del recurso, según lo aducido por la recurrente en sus razones o motivos de inconformidad, de acuerdo al artículo 179, fracción IV de la Ley de Transparencia y Acceso a la Información Pública del Estado de México y Municipios; que a la letra dice:</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179</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El recurso de revisión</w:t>
      </w:r>
      <w:r w:rsidDel="00000000" w:rsidR="00000000" w:rsidRPr="00000000">
        <w:rPr>
          <w:rFonts w:ascii="Palatino Linotype" w:cs="Palatino Linotype" w:eastAsia="Palatino Linotype" w:hAnsi="Palatino Linotype"/>
          <w:i w:val="1"/>
          <w:color w:val="000000"/>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color w:val="000000"/>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La declaración de incompetencia por el sujeto obligado;</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5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360" w:lineRule="auto"/>
        <w:ind w:right="-15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Cuarto. Estudio de fondo del asunto. </w:t>
      </w:r>
      <w:r w:rsidDel="00000000" w:rsidR="00000000" w:rsidRPr="00000000">
        <w:rPr>
          <w:rFonts w:ascii="Palatino Linotype" w:cs="Palatino Linotype" w:eastAsia="Palatino Linotype" w:hAnsi="Palatino Linotype"/>
          <w:color w:val="000000"/>
          <w:rtl w:val="0"/>
        </w:rPr>
        <w:t xml:space="preserve">Del análisis de la solicitud de información pública que motivó el recurso de revisión que ahora se resuelve, se advierte que el particular requirió al Sistema Municipal Para el Desarrollo Integral de la Familia de Almoloya de Jilotepec; lo siguiente:</w:t>
      </w:r>
    </w:p>
    <w:p w:rsidR="00000000" w:rsidDel="00000000" w:rsidP="00000000" w:rsidRDefault="00000000" w:rsidRPr="00000000" w14:paraId="00000054">
      <w:pPr>
        <w:numPr>
          <w:ilvl w:val="0"/>
          <w:numId w:val="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Reportes del aplicativo “Visor de nómina del SAT” por los años 2018, 2019, 2020, y 2021 en sus tres presentaciones: </w:t>
      </w:r>
    </w:p>
    <w:p w:rsidR="00000000" w:rsidDel="00000000" w:rsidP="00000000" w:rsidRDefault="00000000" w:rsidRPr="00000000" w14:paraId="00000055">
      <w:pPr>
        <w:numPr>
          <w:ilvl w:val="1"/>
          <w:numId w:val="3"/>
        </w:numPr>
        <w:pBdr>
          <w:top w:space="0" w:sz="0" w:val="nil"/>
          <w:left w:space="0" w:sz="0" w:val="nil"/>
          <w:bottom w:space="0" w:sz="0" w:val="nil"/>
          <w:right w:space="0" w:sz="0" w:val="nil"/>
          <w:between w:space="0" w:sz="0" w:val="nil"/>
        </w:pBdr>
        <w:spacing w:line="276" w:lineRule="auto"/>
        <w:ind w:left="1080" w:hanging="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Vista anual acumulada. </w:t>
      </w:r>
    </w:p>
    <w:p w:rsidR="00000000" w:rsidDel="00000000" w:rsidP="00000000" w:rsidRDefault="00000000" w:rsidRPr="00000000" w14:paraId="00000056">
      <w:pPr>
        <w:numPr>
          <w:ilvl w:val="1"/>
          <w:numId w:val="3"/>
        </w:numPr>
        <w:pBdr>
          <w:top w:space="0" w:sz="0" w:val="nil"/>
          <w:left w:space="0" w:sz="0" w:val="nil"/>
          <w:bottom w:space="0" w:sz="0" w:val="nil"/>
          <w:right w:space="0" w:sz="0" w:val="nil"/>
          <w:between w:space="0" w:sz="0" w:val="nil"/>
        </w:pBdr>
        <w:spacing w:line="276" w:lineRule="auto"/>
        <w:ind w:left="1080" w:hanging="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Detalle mensual. </w:t>
      </w:r>
    </w:p>
    <w:p w:rsidR="00000000" w:rsidDel="00000000" w:rsidP="00000000" w:rsidRDefault="00000000" w:rsidRPr="00000000" w14:paraId="00000057">
      <w:pPr>
        <w:numPr>
          <w:ilvl w:val="1"/>
          <w:numId w:val="3"/>
        </w:numPr>
        <w:pBdr>
          <w:top w:space="0" w:sz="0" w:val="nil"/>
          <w:left w:space="0" w:sz="0" w:val="nil"/>
          <w:bottom w:space="0" w:sz="0" w:val="nil"/>
          <w:right w:space="0" w:sz="0" w:val="nil"/>
          <w:between w:space="0" w:sz="0" w:val="nil"/>
        </w:pBdr>
        <w:spacing w:line="276" w:lineRule="auto"/>
        <w:ind w:left="1080" w:hanging="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Detalle diferencias sueldos y salarios.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ind w:left="108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constancia de situación fiscal de no adeudo emitida por el INFONAVIT, generada desde el portal empresarial de esa Institución, a través de internet.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ind w:left="36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opinión de no adeudo en el cumplimiento de obligaciones fiscales en materia de seguridad social emitida por el IMSS, generada desde el portal de esa Institución, a través de internet. </w:t>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D">
      <w:pPr>
        <w:numPr>
          <w:ilvl w:val="0"/>
          <w:numId w:val="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opinión de no adeudo en el cumplimiento de obligaciones fiscales estatales emitida por el SATEM, generada desde el portal de esa Institución, a través de internet.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ind w:left="36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F">
      <w:pPr>
        <w:numPr>
          <w:ilvl w:val="0"/>
          <w:numId w:val="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ind w:left="36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1">
      <w:pPr>
        <w:numPr>
          <w:ilvl w:val="0"/>
          <w:numId w:val="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0000"/>
          <w:u w:val="single"/>
          <w:rtl w:val="0"/>
        </w:rPr>
        <w:t xml:space="preserve">Para comprobar que los trabajadores no están siendo afectados por errores en el cálculo de sus impuestos</w:t>
      </w:r>
      <w:r w:rsidDel="00000000" w:rsidR="00000000" w:rsidRPr="00000000">
        <w:rPr>
          <w:rFonts w:ascii="Palatino Linotype" w:cs="Palatino Linotype" w:eastAsia="Palatino Linotype" w:hAnsi="Palatino Linotype"/>
          <w:color w:val="000000"/>
          <w:rtl w:val="0"/>
        </w:rPr>
        <w:t xml:space="preserve"> (No tienen diferencias a cargo, ni diferencias a favor en su declaración anual precargada), propongo que </w:t>
      </w:r>
      <w:r w:rsidDel="00000000" w:rsidR="00000000" w:rsidRPr="00000000">
        <w:rPr>
          <w:rFonts w:ascii="Palatino Linotype" w:cs="Palatino Linotype" w:eastAsia="Palatino Linotype" w:hAnsi="Palatino Linotype"/>
          <w:color w:val="000000"/>
          <w:u w:val="single"/>
          <w:rtl w:val="0"/>
        </w:rPr>
        <w:t xml:space="preserve">seleccionen al azar 5 muestras del ayuntamiento y tres muestras de cada paramunicipal</w:t>
      </w:r>
      <w:r w:rsidDel="00000000" w:rsidR="00000000" w:rsidRPr="00000000">
        <w:rPr>
          <w:rFonts w:ascii="Palatino Linotype" w:cs="Palatino Linotype" w:eastAsia="Palatino Linotype" w:hAnsi="Palatino Linotype"/>
          <w:color w:val="000000"/>
          <w:rtl w:val="0"/>
        </w:rPr>
        <w:t xml:space="preserve">.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w:t>
      </w:r>
      <w:r w:rsidDel="00000000" w:rsidR="00000000" w:rsidRPr="00000000">
        <w:rPr>
          <w:rFonts w:ascii="Palatino Linotype" w:cs="Palatino Linotype" w:eastAsia="Palatino Linotype" w:hAnsi="Palatino Linotype"/>
          <w:color w:val="000000"/>
          <w:u w:val="single"/>
          <w:rtl w:val="0"/>
        </w:rPr>
        <w:t xml:space="preserve">a mi solo me entregarán un papel de trabajo con los siguientes encabezados</w:t>
      </w:r>
      <w:r w:rsidDel="00000000" w:rsidR="00000000" w:rsidRPr="00000000">
        <w:rPr>
          <w:rFonts w:ascii="Palatino Linotype" w:cs="Palatino Linotype" w:eastAsia="Palatino Linotype" w:hAnsi="Palatino Linotype"/>
          <w:color w:val="000000"/>
          <w:rtl w:val="0"/>
        </w:rPr>
        <w:t xml:space="preserve">: A)En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través del Titular de la Unidad de Transparencia mediante el  archivo electrónico identificado como “</w:t>
      </w:r>
      <w:r w:rsidDel="00000000" w:rsidR="00000000" w:rsidRPr="00000000">
        <w:rPr>
          <w:rFonts w:ascii="Palatino Linotype" w:cs="Palatino Linotype" w:eastAsia="Palatino Linotype" w:hAnsi="Palatino Linotype"/>
          <w:b w:val="1"/>
          <w:i w:val="1"/>
          <w:rtl w:val="0"/>
        </w:rPr>
        <w:t xml:space="preserve">0002DIFJILOIPO2022.pdf” </w:t>
      </w:r>
      <w:r w:rsidDel="00000000" w:rsidR="00000000" w:rsidRPr="00000000">
        <w:rPr>
          <w:rFonts w:ascii="Palatino Linotype" w:cs="Palatino Linotype" w:eastAsia="Palatino Linotype" w:hAnsi="Palatino Linotype"/>
          <w:rtl w:val="0"/>
        </w:rPr>
        <w:t xml:space="preserve">consistente en el oficio número DIFJIL/2224/001 de fecha cuatro de abril de dos mil veintidós por medio del cual declaró su incompetencia para atender la solicitud de información. </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dicha respuesta el solicitante se inconformó, en lo medular, por lo siguiente</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 ya que su respuesta; oficio: RESPUESTA_SAIMEX_FOLIO_00002_DIF_ALMOJU a mi petición de información recae en los supuestos establecidos por las fracciones III, V, X, XI y XII del artículo 179 de la misma Ley de Transparencia y Acceso a la Información Pública del Estado de México y Municipios por lo cual procede en contra…”</w:t>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 porque pareciera no entendió que si es de su competencia, ya que </w:t>
      </w:r>
      <w:r w:rsidDel="00000000" w:rsidR="00000000" w:rsidRPr="00000000">
        <w:rPr>
          <w:rFonts w:ascii="Palatino Linotype" w:cs="Palatino Linotype" w:eastAsia="Palatino Linotype" w:hAnsi="Palatino Linotype"/>
          <w:color w:val="000000"/>
          <w:sz w:val="22"/>
          <w:szCs w:val="22"/>
          <w:u w:val="single"/>
          <w:rtl w:val="0"/>
        </w:rPr>
        <w:t xml:space="preserve">los reportes visores de nómina solo puede generarlos el Ente Público Obligado desde su portal del SAT;</w:t>
      </w:r>
      <w:r w:rsidDel="00000000" w:rsidR="00000000" w:rsidRPr="00000000">
        <w:rPr>
          <w:rFonts w:ascii="Palatino Linotype" w:cs="Palatino Linotype" w:eastAsia="Palatino Linotype" w:hAnsi="Palatino Linotype"/>
          <w:color w:val="000000"/>
          <w:sz w:val="22"/>
          <w:szCs w:val="22"/>
          <w:rtl w:val="0"/>
        </w:rPr>
        <w:t xml:space="preserve"> se reitera es información fácil que ya tiene el Ente Obligado, directamente de su portal del SAT ya que s</w:t>
      </w:r>
      <w:r w:rsidDel="00000000" w:rsidR="00000000" w:rsidRPr="00000000">
        <w:rPr>
          <w:rFonts w:ascii="Palatino Linotype" w:cs="Palatino Linotype" w:eastAsia="Palatino Linotype" w:hAnsi="Palatino Linotype"/>
          <w:color w:val="000000"/>
          <w:sz w:val="22"/>
          <w:szCs w:val="22"/>
          <w:u w:val="single"/>
          <w:rtl w:val="0"/>
        </w:rPr>
        <w:t xml:space="preserve">on simples REPORTES reitero REPORTES que ya hizo y entregó el</w:t>
      </w:r>
      <w:r w:rsidDel="00000000" w:rsidR="00000000" w:rsidRPr="00000000">
        <w:rPr>
          <w:rFonts w:ascii="Verdana" w:cs="Verdana" w:eastAsia="Verdana" w:hAnsi="Verdana"/>
          <w:color w:val="000000"/>
          <w:sz w:val="14"/>
          <w:szCs w:val="14"/>
          <w:rtl w:val="0"/>
        </w:rPr>
        <w:t xml:space="preserve"> </w:t>
      </w:r>
      <w:r w:rsidDel="00000000" w:rsidR="00000000" w:rsidRPr="00000000">
        <w:rPr>
          <w:rFonts w:ascii="Palatino Linotype" w:cs="Palatino Linotype" w:eastAsia="Palatino Linotype" w:hAnsi="Palatino Linotype"/>
          <w:color w:val="000000"/>
          <w:sz w:val="22"/>
          <w:szCs w:val="22"/>
          <w:u w:val="single"/>
          <w:rtl w:val="0"/>
        </w:rPr>
        <w:t xml:space="preserve">Sistema Municipal Para el Desarrollo Integral de la Familia de Almoloya de Juárez al ente fiscalizador SAT,</w:t>
      </w:r>
      <w:r w:rsidDel="00000000" w:rsidR="00000000" w:rsidRPr="00000000">
        <w:rPr>
          <w:rFonts w:ascii="Palatino Linotype" w:cs="Palatino Linotype" w:eastAsia="Palatino Linotype" w:hAnsi="Palatino Linotype"/>
          <w:color w:val="000000"/>
          <w:sz w:val="22"/>
          <w:szCs w:val="22"/>
          <w:rtl w:val="0"/>
        </w:rPr>
        <w:t xml:space="preserve"> y en ningún momento distraen de sus actividades al Ente Público Obligado y mucho menos son SECRETO DE ESTADO, ya que se tienen en máximo 10 minutos…”</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y detalle mensual) solo tiene que descargar los pdf. de su portal del SAT. Dando solo dos clicks y descargando los archivos…”</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“…Respecto a los puntos solicitados II, III y IV si no se tiene convenios de colaboración con esos entes fiscalizadores está bien la respuesta sea que no aplica, pero respecto al punto I espero ahora si lo haya entendido que es una herramienta de ayuda del SAT para ellos y son reportes ya entregados…”</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“…Ocupo los visores de nómina en sus tres presentaciones; a) vista anual acumulada, detalle mensual y detalle diferencias sueldos y salarios por los años 2018, 2019, 2020 y 2021…”</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informe justificado remitió el archivo identificado como </w:t>
      </w:r>
      <w:r w:rsidDel="00000000" w:rsidR="00000000" w:rsidRPr="00000000">
        <w:rPr>
          <w:rFonts w:ascii="Palatino Linotype" w:cs="Palatino Linotype" w:eastAsia="Palatino Linotype" w:hAnsi="Palatino Linotype"/>
          <w:b w:val="1"/>
          <w:i w:val="1"/>
          <w:color w:val="000000"/>
          <w:rtl w:val="0"/>
        </w:rPr>
        <w:t xml:space="preserve">RECURSO DE REVICION.pdf” </w:t>
      </w:r>
      <w:r w:rsidDel="00000000" w:rsidR="00000000" w:rsidRPr="00000000">
        <w:rPr>
          <w:rFonts w:ascii="Palatino Linotype" w:cs="Palatino Linotype" w:eastAsia="Palatino Linotype" w:hAnsi="Palatino Linotype"/>
          <w:color w:val="000000"/>
          <w:rtl w:val="0"/>
        </w:rPr>
        <w:t xml:space="preserve">cuyo contenido se trata del oficio número DIFJIL/22-24/002, suscrito y signado por el Titular de la Unida de Transparencia que en su parte sustantiva refirió: </w:t>
      </w:r>
      <w:r w:rsidDel="00000000" w:rsidR="00000000" w:rsidRPr="00000000">
        <w:rPr>
          <w:rFonts w:ascii="Palatino Linotype" w:cs="Palatino Linotype" w:eastAsia="Palatino Linotype" w:hAnsi="Palatino Linotype"/>
          <w:i w:val="1"/>
          <w:color w:val="000000"/>
          <w:rtl w:val="0"/>
        </w:rPr>
        <w:t xml:space="preserve">“…al momento de atender la solicitud del particular se declaró la incompetencia para emitir la información requerida, informándole que la misma no obra en el sistema propio del Sujeto Obligado, toda vez que la clave referida por el particular como CIEC solo es proporcionada por el Sistema de Administración Tributaria SAT para cumplir con las obligaciones fiscales, no para generar o manipular la base de datos de dicho sistema.”</w:t>
      </w:r>
      <w:r w:rsidDel="00000000" w:rsidR="00000000" w:rsidRPr="00000000">
        <w:rPr>
          <w:rtl w:val="0"/>
        </w:rPr>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del análisis de las constancias que integran el expediente en que se actúa, así como de la materia sobre la que versa la solicitud de acceso a la información pública, se advierte que los motivos de inconformidad acontecen parcialmente fundados para modificar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w:t>
      </w:r>
      <w:r w:rsidDel="00000000" w:rsidR="00000000" w:rsidRPr="00000000">
        <w:rPr>
          <w:rFonts w:ascii="Palatino Linotype" w:cs="Palatino Linotype" w:eastAsia="Palatino Linotype" w:hAnsi="Palatino Linotype"/>
          <w:color w:val="000000"/>
          <w:rtl w:val="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Del="00000000" w:rsidR="00000000" w:rsidRPr="00000000">
        <w:rPr>
          <w:rFonts w:ascii="Palatino Linotype" w:cs="Palatino Linotype" w:eastAsia="Palatino Linotype" w:hAnsi="Palatino Linotype"/>
          <w:rtl w:val="0"/>
        </w:rPr>
        <w:t xml:space="preserve">transcribe</w:t>
      </w:r>
      <w:r w:rsidDel="00000000" w:rsidR="00000000" w:rsidRPr="00000000">
        <w:rPr>
          <w:rFonts w:ascii="Palatino Linotype" w:cs="Palatino Linotype" w:eastAsia="Palatino Linotype" w:hAnsi="Palatino Linotype"/>
          <w:color w:val="000000"/>
          <w:rtl w:val="0"/>
        </w:rPr>
        <w:t xml:space="preserve"> para un mejor entendimiento:</w:t>
      </w:r>
      <w:r w:rsidDel="00000000" w:rsidR="00000000" w:rsidRPr="00000000">
        <w:rPr>
          <w:rtl w:val="0"/>
        </w:rPr>
      </w:r>
    </w:p>
    <w:p w:rsidR="00000000" w:rsidDel="00000000" w:rsidP="00000000" w:rsidRDefault="00000000" w:rsidRPr="00000000" w14:paraId="0000006D">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E">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F">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71">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2">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73">
      <w:pPr>
        <w:spacing w:after="240" w:before="240"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todo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rtl w:val="0"/>
        </w:rPr>
        <w:t xml:space="preserve"> </w:t>
      </w:r>
    </w:p>
    <w:p w:rsidR="00000000" w:rsidDel="00000000" w:rsidP="00000000" w:rsidRDefault="00000000" w:rsidRPr="00000000" w14:paraId="00000075">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76">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Resoluciones: </w:t>
      </w:r>
    </w:p>
    <w:p w:rsidR="00000000" w:rsidDel="00000000" w:rsidP="00000000" w:rsidRDefault="00000000" w:rsidRPr="00000000" w14:paraId="00000077">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Noto Sans Symbols" w:cs="Noto Sans Symbols" w:eastAsia="Noto Sans Symbols" w:hAnsi="Noto Sans Symbols"/>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78">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Noto Sans Symbols" w:cs="Noto Sans Symbols" w:eastAsia="Noto Sans Symbols" w:hAnsi="Noto Sans Symbols"/>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79">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Noto Sans Symbols" w:cs="Noto Sans Symbols" w:eastAsia="Noto Sans Symbols" w:hAnsi="Noto Sans Symbols"/>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7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D">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E">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spacing w:after="240" w:before="240" w:line="276" w:lineRule="auto"/>
        <w:ind w:left="851"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1">
      <w:pPr>
        <w:spacing w:after="240" w:before="240"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82">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3">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4">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5">
      <w:pPr>
        <w:spacing w:after="240" w:before="240"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6">
      <w:pPr>
        <w:spacing w:after="240" w:before="240"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7">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virtud de lo anterior</w:t>
      </w:r>
      <w:r w:rsidDel="00000000" w:rsidR="00000000" w:rsidRPr="00000000">
        <w:rPr>
          <w:rFonts w:ascii="Palatino Linotype" w:cs="Palatino Linotype" w:eastAsia="Palatino Linotype" w:hAnsi="Palatino Linotype"/>
          <w:rtl w:val="0"/>
        </w:rPr>
        <w:t xml:space="preserve">, se determina que la información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cumple parcialmente con lo establecido por los artículos 4, 12 y 24 último párrafo de la Ley de Transparencia y Acceso a la Información Pública del Estado de México y Municipios, conforme a lo siguiente:</w:t>
      </w:r>
    </w:p>
    <w:p w:rsidR="00000000" w:rsidDel="00000000" w:rsidP="00000000" w:rsidRDefault="00000000" w:rsidRPr="00000000" w14:paraId="00000088">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Del="00000000" w:rsidR="00000000" w:rsidRPr="00000000">
        <w:rPr>
          <w:rFonts w:ascii="Palatino Linotype" w:cs="Palatino Linotype" w:eastAsia="Palatino Linotype" w:hAnsi="Palatino Linotype"/>
          <w:b w:val="1"/>
          <w:rtl w:val="0"/>
        </w:rPr>
        <w:t xml:space="preserve">tramitar ante las Áreas poseedoras de la información lo que se solicita</w:t>
      </w:r>
      <w:r w:rsidDel="00000000" w:rsidR="00000000" w:rsidRPr="00000000">
        <w:rPr>
          <w:rFonts w:ascii="Palatino Linotype" w:cs="Palatino Linotype" w:eastAsia="Palatino Linotype" w:hAnsi="Palatino Linotype"/>
          <w:rtl w:val="0"/>
        </w:rPr>
        <w:t xml:space="preserve">,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000000" w:rsidDel="00000000" w:rsidP="00000000" w:rsidRDefault="00000000" w:rsidRPr="00000000" w14:paraId="00000089">
      <w:pPr>
        <w:tabs>
          <w:tab w:val="left" w:pos="709"/>
        </w:tabs>
        <w:ind w:left="851" w:right="76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8A">
      <w:pPr>
        <w:tabs>
          <w:tab w:val="left" w:pos="709"/>
        </w:tabs>
        <w:ind w:left="851" w:right="760" w:firstLine="0"/>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8B">
      <w:pPr>
        <w:tabs>
          <w:tab w:val="left" w:pos="709"/>
        </w:tabs>
        <w:ind w:left="851" w:right="76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8C">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50. Los sujetos obligados contarán con un área responsable para la atención de las solicitudes de información, a la que se le denominará Unidad de Transparencia. </w:t>
      </w:r>
    </w:p>
    <w:p w:rsidR="00000000" w:rsidDel="00000000" w:rsidP="00000000" w:rsidRDefault="00000000" w:rsidRPr="00000000" w14:paraId="0000008D">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E">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51. Los sujetos obligados designaran a un responsable para atender la Unidad de Transparencia, quien fungirá como enlace entre éstos y los solicitantes. </w:t>
      </w:r>
      <w:r w:rsidDel="00000000" w:rsidR="00000000" w:rsidRPr="00000000">
        <w:rPr>
          <w:rFonts w:ascii="Palatino Linotype" w:cs="Palatino Linotype" w:eastAsia="Palatino Linotype" w:hAnsi="Palatino Linotype"/>
          <w:b w:val="1"/>
          <w:i w:val="1"/>
          <w:sz w:val="22"/>
          <w:szCs w:val="22"/>
          <w:u w:val="single"/>
          <w:rtl w:val="0"/>
        </w:rPr>
        <w:t xml:space="preserve">Dicha Unidad será la encargada de tramitar internamente la solicitud de información</w:t>
      </w:r>
      <w:r w:rsidDel="00000000" w:rsidR="00000000" w:rsidRPr="00000000">
        <w:rPr>
          <w:rFonts w:ascii="Palatino Linotype" w:cs="Palatino Linotype" w:eastAsia="Palatino Linotype" w:hAnsi="Palatino Linotype"/>
          <w:i w:val="1"/>
          <w:sz w:val="22"/>
          <w:szCs w:val="22"/>
          <w:rtl w:val="0"/>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00000" w:rsidDel="00000000" w:rsidP="00000000" w:rsidRDefault="00000000" w:rsidRPr="00000000" w14:paraId="0000008F">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0">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53. Las Unidades de Transparencia tendrán las siguientes funciones:</w:t>
      </w:r>
    </w:p>
    <w:p w:rsidR="00000000" w:rsidDel="00000000" w:rsidP="00000000" w:rsidRDefault="00000000" w:rsidRPr="00000000" w14:paraId="00000091">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2">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Recibir, tramitar y dar respuesta a las solicitudes de acceso a la información; </w:t>
      </w:r>
    </w:p>
    <w:p w:rsidR="00000000" w:rsidDel="00000000" w:rsidP="00000000" w:rsidRDefault="00000000" w:rsidRPr="00000000" w14:paraId="00000093">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4">
      <w:pPr>
        <w:tabs>
          <w:tab w:val="left" w:pos="709"/>
        </w:tabs>
        <w:ind w:left="851" w:right="76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Realizar, con efectividad, los trámites internos necesarios para la atención de las solicitudes de acceso a la información; </w:t>
      </w:r>
    </w:p>
    <w:p w:rsidR="00000000" w:rsidDel="00000000" w:rsidP="00000000" w:rsidRDefault="00000000" w:rsidRPr="00000000" w14:paraId="00000095">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Entregar, en su caso, a los particulares la información solicitada; </w:t>
      </w:r>
    </w:p>
    <w:p w:rsidR="00000000" w:rsidDel="00000000" w:rsidP="00000000" w:rsidRDefault="00000000" w:rsidRPr="00000000" w14:paraId="00000096">
      <w:pPr>
        <w:tabs>
          <w:tab w:val="left" w:pos="709"/>
        </w:tabs>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Efectuar las notificaciones a los solicitantes;”</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se debe señalar que aunque la solicitud de información y la respuesta estén dirigidas y atendidas por un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 cierto es que también tienen diversas Unidades Administrativas y cada área cuenta con un </w:t>
      </w:r>
      <w:r w:rsidDel="00000000" w:rsidR="00000000" w:rsidRPr="00000000">
        <w:rPr>
          <w:rFonts w:ascii="Palatino Linotype" w:cs="Palatino Linotype" w:eastAsia="Palatino Linotype" w:hAnsi="Palatino Linotype"/>
          <w:b w:val="1"/>
          <w:rtl w:val="0"/>
        </w:rPr>
        <w:t xml:space="preserve">Servidor Público Habilitado</w:t>
      </w:r>
      <w:r w:rsidDel="00000000" w:rsidR="00000000" w:rsidRPr="00000000">
        <w:rPr>
          <w:rFonts w:ascii="Palatino Linotype" w:cs="Palatino Linotype" w:eastAsia="Palatino Linotype" w:hAnsi="Palatino Linotype"/>
          <w:rtl w:val="0"/>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9B">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C">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XXXIX. Servidor público habilitado: </w:t>
      </w:r>
      <w:r w:rsidDel="00000000" w:rsidR="00000000" w:rsidRPr="00000000">
        <w:rPr>
          <w:rFonts w:ascii="Palatino Linotype" w:cs="Palatino Linotype" w:eastAsia="Palatino Linotype" w:hAnsi="Palatino Linotype"/>
          <w:i w:val="1"/>
          <w:sz w:val="22"/>
          <w:szCs w:val="22"/>
          <w:rtl w:val="0"/>
        </w:rPr>
        <w:t xml:space="preserve">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00000" w:rsidDel="00000000" w:rsidP="00000000" w:rsidRDefault="00000000" w:rsidRPr="00000000" w14:paraId="0000009D">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58.</w:t>
      </w:r>
      <w:r w:rsidDel="00000000" w:rsidR="00000000" w:rsidRPr="00000000">
        <w:rPr>
          <w:rFonts w:ascii="Palatino Linotype" w:cs="Palatino Linotype" w:eastAsia="Palatino Linotype" w:hAnsi="Palatino Linotype"/>
          <w:i w:val="1"/>
          <w:sz w:val="22"/>
          <w:szCs w:val="22"/>
          <w:rtl w:val="0"/>
        </w:rPr>
        <w:t xml:space="preserve"> Los servidores públicos habilitados serán designados por el titular del sujeto obligado a propuesta del responsable de la Unidad de Transparencia.</w:t>
      </w:r>
    </w:p>
    <w:p w:rsidR="00000000" w:rsidDel="00000000" w:rsidP="00000000" w:rsidRDefault="00000000" w:rsidRPr="00000000" w14:paraId="000000A0">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1">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funciones siguientes:</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Localizar la información que le solicite la Unidad de Transparencia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4">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u w:val="single"/>
          <w:rtl w:val="0"/>
        </w:rPr>
        <w:t xml:space="preserve">Proporcionar la información que obre en los archivos y que le sea solicitada por la Unidad de Transparencia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5">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Apoyar a la Unidad de Transparencia en lo que esta le solicite para el cumplimiento de sus funciones;</w:t>
      </w:r>
    </w:p>
    <w:p w:rsidR="00000000" w:rsidDel="00000000" w:rsidP="00000000" w:rsidRDefault="00000000" w:rsidRPr="00000000" w14:paraId="000000A6">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Proporcionar a la Unidad de Transparencia, las modificaciones a la información pública de oficio que obre en su poder;</w:t>
      </w:r>
    </w:p>
    <w:p w:rsidR="00000000" w:rsidDel="00000000" w:rsidP="00000000" w:rsidRDefault="00000000" w:rsidRPr="00000000" w14:paraId="000000A7">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A8">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Verificar, una vez analizado el contenido de la información, que no se encuentre en los supuestos de información clasificada; y</w:t>
      </w:r>
    </w:p>
    <w:p w:rsidR="00000000" w:rsidDel="00000000" w:rsidP="00000000" w:rsidRDefault="00000000" w:rsidRPr="00000000" w14:paraId="000000A9">
      <w:pPr>
        <w:spacing w:line="276" w:lineRule="auto"/>
        <w:ind w:left="567" w:righ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Dar cuenta a la Unidad de Transparencia del vencimiento de los plazos de reserva.</w:t>
      </w:r>
    </w:p>
    <w:p w:rsidR="00000000" w:rsidDel="00000000" w:rsidP="00000000" w:rsidRDefault="00000000" w:rsidRPr="00000000" w14:paraId="000000AA">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no se cumplió con lo que para tal efecto, dispone el artículo 162 de la Ley de Transparencia y Acceso a la Información Pública del Estado de México y Municipios, que índica:</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162. </w:t>
      </w:r>
      <w:r w:rsidDel="00000000" w:rsidR="00000000" w:rsidRPr="00000000">
        <w:rPr>
          <w:rFonts w:ascii="Palatino Linotype" w:cs="Palatino Linotype" w:eastAsia="Palatino Linotype" w:hAnsi="Palatino Linotype"/>
          <w:i w:val="1"/>
          <w:sz w:val="22"/>
          <w:szCs w:val="22"/>
          <w:u w:val="single"/>
          <w:rtl w:val="0"/>
        </w:rPr>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E">
      <w:pPr>
        <w:spacing w:after="240" w:before="240" w:line="256" w:lineRule="auto"/>
        <w:ind w:left="567" w:firstLine="0"/>
        <w:jc w:val="right"/>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 [Énfasis añadido]</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precisar que </w:t>
      </w:r>
      <w:r w:rsidDel="00000000" w:rsidR="00000000" w:rsidRPr="00000000">
        <w:rPr>
          <w:rFonts w:ascii="Palatino Linotype" w:cs="Palatino Linotype" w:eastAsia="Palatino Linotype" w:hAnsi="Palatino Linotype"/>
          <w:u w:val="single"/>
          <w:rtl w:val="0"/>
        </w:rPr>
        <w:t xml:space="preserve">no basta con que </w:t>
      </w:r>
      <w:r w:rsidDel="00000000" w:rsidR="00000000" w:rsidRPr="00000000">
        <w:rPr>
          <w:rFonts w:ascii="Palatino Linotype" w:cs="Palatino Linotype" w:eastAsia="Palatino Linotype" w:hAnsi="Palatino Linotype"/>
          <w:b w:val="1"/>
          <w:u w:val="single"/>
          <w:rtl w:val="0"/>
        </w:rPr>
        <w:t xml:space="preserve">el Sujeto Obligado</w:t>
      </w:r>
      <w:r w:rsidDel="00000000" w:rsidR="00000000" w:rsidRPr="00000000">
        <w:rPr>
          <w:rFonts w:ascii="Palatino Linotype" w:cs="Palatino Linotype" w:eastAsia="Palatino Linotype" w:hAnsi="Palatino Linotype"/>
          <w:u w:val="single"/>
          <w:rtl w:val="0"/>
        </w:rPr>
        <w:t xml:space="preserve"> únicamente remita la respuesta formulada por cada servidor público habilitado,</w:t>
      </w:r>
      <w:r w:rsidDel="00000000" w:rsidR="00000000" w:rsidRPr="00000000">
        <w:rPr>
          <w:rFonts w:ascii="Palatino Linotype" w:cs="Palatino Linotype" w:eastAsia="Palatino Linotype" w:hAnsi="Palatino Linotype"/>
          <w:rtl w:val="0"/>
        </w:rPr>
        <w:t xml:space="preserve"> por el contrario, deberá recabar la información, difundirla y actualizarla para poder entregar una sola respuesta de manera íntegra conforme a la normatividad aplicable en materia de transparencia, toda vez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en el presente asunto es el </w:t>
      </w:r>
      <w:r w:rsidDel="00000000" w:rsidR="00000000" w:rsidRPr="00000000">
        <w:rPr>
          <w:rFonts w:ascii="Palatino Linotype" w:cs="Palatino Linotype" w:eastAsia="Palatino Linotype" w:hAnsi="Palatino Linotype"/>
          <w:b w:val="1"/>
          <w:rtl w:val="0"/>
        </w:rPr>
        <w:t xml:space="preserve">Sistema Municipal Para el Desarrollo Integral de la Familia de Jilotepec</w:t>
      </w:r>
      <w:r w:rsidDel="00000000" w:rsidR="00000000" w:rsidRPr="00000000">
        <w:rPr>
          <w:rFonts w:ascii="Palatino Linotype" w:cs="Palatino Linotype" w:eastAsia="Palatino Linotype" w:hAnsi="Palatino Linotype"/>
          <w:rtl w:val="0"/>
        </w:rPr>
        <w:t xml:space="preserve"> , incluyendo </w:t>
      </w:r>
      <w:r w:rsidDel="00000000" w:rsidR="00000000" w:rsidRPr="00000000">
        <w:rPr>
          <w:rFonts w:ascii="Palatino Linotype" w:cs="Palatino Linotype" w:eastAsia="Palatino Linotype" w:hAnsi="Palatino Linotype"/>
          <w:b w:val="1"/>
          <w:u w:val="single"/>
          <w:rtl w:val="0"/>
        </w:rPr>
        <w:t xml:space="preserve">todas y cada una de las áreas que lo conforman</w:t>
      </w:r>
      <w:r w:rsidDel="00000000" w:rsidR="00000000" w:rsidRPr="00000000">
        <w:rPr>
          <w:rFonts w:ascii="Palatino Linotype" w:cs="Palatino Linotype" w:eastAsia="Palatino Linotype" w:hAnsi="Palatino Linotype"/>
          <w:rtl w:val="0"/>
        </w:rPr>
        <w:t xml:space="preserve"> y por supuesto en donde pudiera obrar la información que se solicita.</w:t>
      </w:r>
    </w:p>
    <w:p w:rsidR="00000000" w:rsidDel="00000000" w:rsidP="00000000" w:rsidRDefault="00000000" w:rsidRPr="00000000" w14:paraId="000000B3">
      <w:pPr>
        <w:spacing w:after="160" w:line="25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una vez hecha la búsqueda exhaustiva y razonable de la información en todas y cada una de las áreas que pudieran poseer la información, deberá informar al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el resultado de la misma, junto con las constancias que acrediten la búsqueda precisada.</w:t>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tabs>
          <w:tab w:val="left" w:pos="7938"/>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ya que derivado de la solicitud de información (en la que se resuelve), se aprecia en el sistema SAIMEX, que la Titular de la Unidad de Transparencia del Sujeto Obligado, no tramitó ante las instancias competentes, que pudieran tener lo solicitado (derivado de sus funciones) lo requerido por el particular, sino que de </w:t>
      </w:r>
      <w:r w:rsidDel="00000000" w:rsidR="00000000" w:rsidRPr="00000000">
        <w:rPr>
          <w:rFonts w:ascii="Palatino Linotype" w:cs="Palatino Linotype" w:eastAsia="Palatino Linotype" w:hAnsi="Palatino Linotype"/>
          <w:i w:val="1"/>
          <w:rtl w:val="0"/>
        </w:rPr>
        <w:t xml:space="preserve">motu proprio (por propia iniciativa)</w:t>
      </w:r>
      <w:r w:rsidDel="00000000" w:rsidR="00000000" w:rsidRPr="00000000">
        <w:rPr>
          <w:rFonts w:ascii="Palatino Linotype" w:cs="Palatino Linotype" w:eastAsia="Palatino Linotype" w:hAnsi="Palatino Linotype"/>
          <w:rtl w:val="0"/>
        </w:rPr>
        <w:t xml:space="preserve"> respondió, sin que exista certeza de que las áreas que pudieran tener dicha información dieran cuenta de la atención a la solicitud antes citada, en virtud de ello, se advierte el hecho de que no se generó algún requerimiento o tramite interno por parte de la Titular de la Unidad de Transparencia que se haya dirigido a alguna otra dependencia del Sujeto Obligado, ya que no se aprecia alguna comunicación interna en el sistema que haya quedado registrada.</w:t>
      </w:r>
    </w:p>
    <w:p w:rsidR="00000000" w:rsidDel="00000000" w:rsidP="00000000" w:rsidRDefault="00000000" w:rsidRPr="00000000" w14:paraId="000000B7">
      <w:pPr>
        <w:tabs>
          <w:tab w:val="left" w:pos="7938"/>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tabs>
          <w:tab w:val="left" w:pos="7938"/>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E</w:t>
      </w:r>
      <w:r w:rsidDel="00000000" w:rsidR="00000000" w:rsidRPr="00000000">
        <w:rPr>
          <w:rFonts w:ascii="Palatino Linotype" w:cs="Palatino Linotype" w:eastAsia="Palatino Linotype" w:hAnsi="Palatino Linotype"/>
          <w:rtl w:val="0"/>
        </w:rPr>
        <w:t xml:space="preserve">s así como podemos concluir que las solicitudes de información, deben ser remitidas a las áreas competentes de contar con la información y derivado a que no giro los requerimientos a las diferentes áreas con la que cuenta el Sujeto Obligado, es necesario se realice el procedimiento correspondiente a fin de localizar los documentos en los que conste la información solicitada. </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en lo tocante a los puntos I y IV, mediante los cuales se requieren los </w:t>
      </w:r>
      <w:r w:rsidDel="00000000" w:rsidR="00000000" w:rsidRPr="00000000">
        <w:rPr>
          <w:rFonts w:ascii="Palatino Linotype" w:cs="Palatino Linotype" w:eastAsia="Palatino Linotype" w:hAnsi="Palatino Linotype"/>
          <w:i w:val="1"/>
          <w:rtl w:val="0"/>
        </w:rPr>
        <w:t xml:space="preserve">reportes del aplicativo “Visor de nómina del SAT” de los años 2018, 2019, 2020, y 2021 en sus tres presentaciones: </w:t>
      </w:r>
      <w:r w:rsidDel="00000000" w:rsidR="00000000" w:rsidRPr="00000000">
        <w:rPr>
          <w:rFonts w:ascii="Palatino Linotype" w:cs="Palatino Linotype" w:eastAsia="Palatino Linotype" w:hAnsi="Palatino Linotype"/>
          <w:b w:val="1"/>
          <w:i w:val="1"/>
          <w:rtl w:val="0"/>
        </w:rPr>
        <w:t xml:space="preserve">a.</w:t>
      </w:r>
      <w:r w:rsidDel="00000000" w:rsidR="00000000" w:rsidRPr="00000000">
        <w:rPr>
          <w:rFonts w:ascii="Palatino Linotype" w:cs="Palatino Linotype" w:eastAsia="Palatino Linotype" w:hAnsi="Palatino Linotype"/>
          <w:i w:val="1"/>
          <w:rtl w:val="0"/>
        </w:rPr>
        <w:t xml:space="preserve"> Vista anual acumulada, </w:t>
      </w:r>
      <w:r w:rsidDel="00000000" w:rsidR="00000000" w:rsidRPr="00000000">
        <w:rPr>
          <w:rFonts w:ascii="Palatino Linotype" w:cs="Palatino Linotype" w:eastAsia="Palatino Linotype" w:hAnsi="Palatino Linotype"/>
          <w:b w:val="1"/>
          <w:i w:val="1"/>
          <w:rtl w:val="0"/>
        </w:rPr>
        <w:t xml:space="preserve">b.</w:t>
      </w:r>
      <w:r w:rsidDel="00000000" w:rsidR="00000000" w:rsidRPr="00000000">
        <w:rPr>
          <w:rFonts w:ascii="Palatino Linotype" w:cs="Palatino Linotype" w:eastAsia="Palatino Linotype" w:hAnsi="Palatino Linotype"/>
          <w:i w:val="1"/>
          <w:rtl w:val="0"/>
        </w:rPr>
        <w:t xml:space="preserve"> Detalle mensual y </w:t>
      </w:r>
      <w:r w:rsidDel="00000000" w:rsidR="00000000" w:rsidRPr="00000000">
        <w:rPr>
          <w:rFonts w:ascii="Palatino Linotype" w:cs="Palatino Linotype" w:eastAsia="Palatino Linotype" w:hAnsi="Palatino Linotype"/>
          <w:b w:val="1"/>
          <w:i w:val="1"/>
          <w:rtl w:val="0"/>
        </w:rPr>
        <w:t xml:space="preserve">c.</w:t>
      </w:r>
      <w:r w:rsidDel="00000000" w:rsidR="00000000" w:rsidRPr="00000000">
        <w:rPr>
          <w:rFonts w:ascii="Palatino Linotype" w:cs="Palatino Linotype" w:eastAsia="Palatino Linotype" w:hAnsi="Palatino Linotype"/>
          <w:i w:val="1"/>
          <w:rtl w:val="0"/>
        </w:rPr>
        <w:t xml:space="preserve"> Detalle diferencias sueldos y salarios,</w:t>
      </w:r>
      <w:r w:rsidDel="00000000" w:rsidR="00000000" w:rsidRPr="00000000">
        <w:rPr>
          <w:rFonts w:ascii="Palatino Linotype" w:cs="Palatino Linotype" w:eastAsia="Palatino Linotype" w:hAnsi="Palatino Linotype"/>
          <w:rtl w:val="0"/>
        </w:rPr>
        <w:t xml:space="preserve"> y la </w:t>
      </w:r>
      <w:r w:rsidDel="00000000" w:rsidR="00000000" w:rsidRPr="00000000">
        <w:rPr>
          <w:rFonts w:ascii="Palatino Linotype" w:cs="Palatino Linotype" w:eastAsia="Palatino Linotype" w:hAnsi="Palatino Linotype"/>
          <w:i w:val="1"/>
          <w:rtl w:val="0"/>
        </w:rPr>
        <w:t xml:space="preserve">opinión de no adeudo en el cumplimiento de obligaciones fiscales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estatales</w:t>
      </w:r>
      <w:r w:rsidDel="00000000" w:rsidR="00000000" w:rsidRPr="00000000">
        <w:rPr>
          <w:rFonts w:ascii="Palatino Linotype" w:cs="Palatino Linotype" w:eastAsia="Palatino Linotype" w:hAnsi="Palatino Linotype"/>
          <w:rtl w:val="0"/>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comprobantes fiscales respectivos, de conformidad con los artículos 94 fracción I,  96 párrafo primero y 99 fracciones I y II de la Ley del Impuesto Sobre la Renta, a saber:</w:t>
      </w:r>
    </w:p>
    <w:p w:rsidR="00000000" w:rsidDel="00000000" w:rsidP="00000000" w:rsidRDefault="00000000" w:rsidRPr="00000000" w14:paraId="000000BD">
      <w:pPr>
        <w:tabs>
          <w:tab w:val="left"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94. </w:t>
      </w:r>
      <w:r w:rsidDel="00000000" w:rsidR="00000000" w:rsidRPr="00000000">
        <w:rPr>
          <w:rFonts w:ascii="Palatino Linotype" w:cs="Palatino Linotype" w:eastAsia="Palatino Linotype" w:hAnsi="Palatino Linotype"/>
          <w:b w:val="1"/>
          <w:i w:val="1"/>
          <w:sz w:val="22"/>
          <w:szCs w:val="22"/>
          <w:u w:val="single"/>
          <w:rtl w:val="0"/>
        </w:rPr>
        <w:t xml:space="preserve">Se consideran ingresos por la prestación de un servicio personal subordinado</w:t>
      </w:r>
      <w:r w:rsidDel="00000000" w:rsidR="00000000" w:rsidRPr="00000000">
        <w:rPr>
          <w:rFonts w:ascii="Palatino Linotype" w:cs="Palatino Linotype" w:eastAsia="Palatino Linotype" w:hAnsi="Palatino Linotype"/>
          <w:i w:val="1"/>
          <w:sz w:val="22"/>
          <w:szCs w:val="22"/>
          <w:rtl w:val="0"/>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Del="00000000" w:rsidR="00000000" w:rsidRPr="00000000">
        <w:rPr>
          <w:rFonts w:ascii="Palatino Linotype" w:cs="Palatino Linotype" w:eastAsia="Palatino Linotype" w:hAnsi="Palatino Linotype"/>
          <w:b w:val="1"/>
          <w:i w:val="1"/>
          <w:sz w:val="22"/>
          <w:szCs w:val="22"/>
          <w:rtl w:val="0"/>
        </w:rPr>
        <w:t xml:space="preserve">se asimilan a estos ingresos </w:t>
      </w:r>
      <w:r w:rsidDel="00000000" w:rsidR="00000000" w:rsidRPr="00000000">
        <w:rPr>
          <w:rFonts w:ascii="Palatino Linotype" w:cs="Palatino Linotype" w:eastAsia="Palatino Linotype" w:hAnsi="Palatino Linotype"/>
          <w:i w:val="1"/>
          <w:sz w:val="22"/>
          <w:szCs w:val="22"/>
          <w:rtl w:val="0"/>
        </w:rPr>
        <w:t xml:space="preserve">los siguientes:</w:t>
      </w:r>
    </w:p>
    <w:p w:rsidR="00000000" w:rsidDel="00000000" w:rsidP="00000000" w:rsidRDefault="00000000" w:rsidRPr="00000000" w14:paraId="000000BE">
      <w:pPr>
        <w:tabs>
          <w:tab w:val="left" w:pos="7938"/>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Las remuneraciones y demás prestaciones, obtenidas por los funcionarios y trabajadores de</w:t>
      </w:r>
      <w:r w:rsidDel="00000000" w:rsidR="00000000" w:rsidRPr="00000000">
        <w:rPr>
          <w:rFonts w:ascii="Palatino Linotype" w:cs="Palatino Linotype" w:eastAsia="Palatino Linotype" w:hAnsi="Palatino Linotype"/>
          <w:i w:val="1"/>
          <w:sz w:val="22"/>
          <w:szCs w:val="22"/>
          <w:rtl w:val="0"/>
        </w:rPr>
        <w:t xml:space="preserve"> la Federación, de las entidades federativas y de </w:t>
      </w:r>
      <w:r w:rsidDel="00000000" w:rsidR="00000000" w:rsidRPr="00000000">
        <w:rPr>
          <w:rFonts w:ascii="Palatino Linotype" w:cs="Palatino Linotype" w:eastAsia="Palatino Linotype" w:hAnsi="Palatino Linotype"/>
          <w:b w:val="1"/>
          <w:i w:val="1"/>
          <w:sz w:val="22"/>
          <w:szCs w:val="22"/>
          <w:rtl w:val="0"/>
        </w:rPr>
        <w:t xml:space="preserve">los municipios</w:t>
      </w:r>
      <w:r w:rsidDel="00000000" w:rsidR="00000000" w:rsidRPr="00000000">
        <w:rPr>
          <w:rFonts w:ascii="Palatino Linotype" w:cs="Palatino Linotype" w:eastAsia="Palatino Linotype" w:hAnsi="Palatino Linotype"/>
          <w:i w:val="1"/>
          <w:sz w:val="22"/>
          <w:szCs w:val="22"/>
          <w:rtl w:val="0"/>
        </w:rPr>
        <w:t xml:space="preserve">, aun cuando sean por concepto de gastos no sujetos a comprobación, así como los obtenidos por los miembros de las fuerzas armadas.</w:t>
      </w:r>
    </w:p>
    <w:p w:rsidR="00000000" w:rsidDel="00000000" w:rsidP="00000000" w:rsidRDefault="00000000" w:rsidRPr="00000000" w14:paraId="000000BF">
      <w:pPr>
        <w:tabs>
          <w:tab w:val="left" w:pos="7938"/>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0">
      <w:pPr>
        <w:tabs>
          <w:tab w:val="left"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96. </w:t>
      </w:r>
      <w:r w:rsidDel="00000000" w:rsidR="00000000" w:rsidRPr="00000000">
        <w:rPr>
          <w:rFonts w:ascii="Palatino Linotype" w:cs="Palatino Linotype" w:eastAsia="Palatino Linotype" w:hAnsi="Palatino Linotype"/>
          <w:b w:val="1"/>
          <w:i w:val="1"/>
          <w:sz w:val="22"/>
          <w:szCs w:val="22"/>
          <w:u w:val="single"/>
          <w:rtl w:val="0"/>
        </w:rPr>
        <w:t xml:space="preserve">Quienes hagan pagos por los conceptos a que se refiere este Capítulo están obligados a efectuar retenciones y enteros mensuales</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i w:val="1"/>
          <w:sz w:val="22"/>
          <w:szCs w:val="22"/>
          <w:rtl w:val="0"/>
        </w:rPr>
        <w:t xml:space="preserve">que tendrán el carácter de pagos provisionales a cuenta del impuesto anual. No se efectuará retención a las personas que en el mes únicamente perciban un salario mínimo general correspondiente al área geográfica del contribuyente.</w:t>
      </w:r>
    </w:p>
    <w:p w:rsidR="00000000" w:rsidDel="00000000" w:rsidP="00000000" w:rsidRDefault="00000000" w:rsidRPr="00000000" w14:paraId="000000C1">
      <w:pPr>
        <w:tabs>
          <w:tab w:val="left"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C2">
      <w:pPr>
        <w:tabs>
          <w:tab w:val="left"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99.</w:t>
      </w:r>
      <w:r w:rsidDel="00000000" w:rsidR="00000000" w:rsidRPr="00000000">
        <w:rPr>
          <w:rFonts w:ascii="Palatino Linotype" w:cs="Palatino Linotype" w:eastAsia="Palatino Linotype" w:hAnsi="Palatino Linotype"/>
          <w:i w:val="1"/>
          <w:sz w:val="22"/>
          <w:szCs w:val="22"/>
          <w:rtl w:val="0"/>
        </w:rPr>
        <w:t xml:space="preserve"> Quienes hagan pagos por los conceptos a que se refiere este Capítulo, tendrán las siguientes obligaciones: </w:t>
      </w:r>
    </w:p>
    <w:p w:rsidR="00000000" w:rsidDel="00000000" w:rsidP="00000000" w:rsidRDefault="00000000" w:rsidRPr="00000000" w14:paraId="000000C3">
      <w:pPr>
        <w:tabs>
          <w:tab w:val="left" w:pos="7938"/>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Efectuar las retenciones </w:t>
      </w:r>
      <w:r w:rsidDel="00000000" w:rsidR="00000000" w:rsidRPr="00000000">
        <w:rPr>
          <w:rFonts w:ascii="Palatino Linotype" w:cs="Palatino Linotype" w:eastAsia="Palatino Linotype" w:hAnsi="Palatino Linotype"/>
          <w:i w:val="1"/>
          <w:sz w:val="22"/>
          <w:szCs w:val="22"/>
          <w:rtl w:val="0"/>
        </w:rPr>
        <w:t xml:space="preserve">señaladas en el artículo 96 de esta Ley.</w:t>
      </w:r>
    </w:p>
    <w:p w:rsidR="00000000" w:rsidDel="00000000" w:rsidP="00000000" w:rsidRDefault="00000000" w:rsidRPr="00000000" w14:paraId="000000C4">
      <w:pPr>
        <w:tabs>
          <w:tab w:val="left" w:pos="7938"/>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5">
      <w:pPr>
        <w:tabs>
          <w:tab w:val="left" w:pos="7938"/>
        </w:tabs>
        <w:spacing w:after="12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Expedir y entregar comprobantes fiscales</w:t>
      </w:r>
      <w:r w:rsidDel="00000000" w:rsidR="00000000" w:rsidRPr="00000000">
        <w:rPr>
          <w:rFonts w:ascii="Palatino Linotype" w:cs="Palatino Linotype" w:eastAsia="Palatino Linotype" w:hAnsi="Palatino Linotype"/>
          <w:i w:val="1"/>
          <w:sz w:val="22"/>
          <w:szCs w:val="22"/>
          <w:rtl w:val="0"/>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r w:rsidDel="00000000" w:rsidR="00000000" w:rsidRPr="00000000">
        <w:rPr>
          <w:rtl w:val="0"/>
        </w:rPr>
      </w:r>
    </w:p>
    <w:p w:rsidR="00000000" w:rsidDel="00000000" w:rsidP="00000000" w:rsidRDefault="00000000" w:rsidRPr="00000000" w14:paraId="000000C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advierte que los municipios, al estar obligados a realizar el pago a los servidores públicos por los servicios prestados, de conformidad con el 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rsidR="00000000" w:rsidDel="00000000" w:rsidP="00000000" w:rsidRDefault="00000000" w:rsidRPr="00000000" w14:paraId="000000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tales efectos, la entidad retenedora, debe entregar un comprobante fiscal que ampare las respectivas retenciones conforme a lo establecido en los artículos 29 párrafo primero y 32-G fracción I del Código Financiero de la Federación:</w:t>
      </w:r>
    </w:p>
    <w:p w:rsidR="00000000" w:rsidDel="00000000" w:rsidP="00000000" w:rsidRDefault="00000000" w:rsidRPr="00000000" w14:paraId="000000C8">
      <w:pPr>
        <w:spacing w:after="120" w:before="120" w:lineRule="auto"/>
        <w:ind w:left="709"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leyes fiscales </w:t>
      </w:r>
      <w:r w:rsidDel="00000000" w:rsidR="00000000" w:rsidRPr="00000000">
        <w:rPr>
          <w:rFonts w:ascii="Palatino Linotype" w:cs="Palatino Linotype" w:eastAsia="Palatino Linotype" w:hAnsi="Palatino Linotype"/>
          <w:b w:val="1"/>
          <w:i w:val="1"/>
          <w:sz w:val="22"/>
          <w:szCs w:val="22"/>
          <w:u w:val="single"/>
          <w:rtl w:val="0"/>
        </w:rPr>
        <w:t xml:space="preserve">establezcan la obligación de expedir comprobantes fiscales</w:t>
      </w:r>
      <w:r w:rsidDel="00000000" w:rsidR="00000000" w:rsidRPr="00000000">
        <w:rPr>
          <w:rFonts w:ascii="Palatino Linotype" w:cs="Palatino Linotype" w:eastAsia="Palatino Linotype" w:hAnsi="Palatino Linotype"/>
          <w:b w:val="1"/>
          <w:i w:val="1"/>
          <w:sz w:val="22"/>
          <w:szCs w:val="22"/>
          <w:rtl w:val="0"/>
        </w:rPr>
        <w:t xml:space="preserve"> por los actos o actividades que realicen, por los ingresos que se perciban o por las retenciones de contribuciones que efectúen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l</w:t>
      </w:r>
      <w:r w:rsidDel="00000000" w:rsidR="00000000" w:rsidRPr="00000000">
        <w:rPr>
          <w:rFonts w:ascii="Palatino Linotype" w:cs="Palatino Linotype" w:eastAsia="Palatino Linotype" w:hAnsi="Palatino Linotype"/>
          <w:b w:val="1"/>
          <w:i w:val="1"/>
          <w:sz w:val="22"/>
          <w:szCs w:val="22"/>
          <w:u w:val="single"/>
          <w:rtl w:val="0"/>
        </w:rPr>
        <w:t xml:space="preserve">os contribuyentes deberán emitirlos mediante documentos digitales a través de la página de Internet del Servicio de Administración Tributaria</w:t>
      </w:r>
      <w:r w:rsidDel="00000000" w:rsidR="00000000" w:rsidRPr="00000000">
        <w:rPr>
          <w:rFonts w:ascii="Palatino Linotype" w:cs="Palatino Linotype" w:eastAsia="Palatino Linotype" w:hAnsi="Palatino Linotype"/>
          <w:i w:val="1"/>
          <w:sz w:val="22"/>
          <w:szCs w:val="22"/>
          <w:rtl w:val="0"/>
        </w:rPr>
        <w:t xml:space="preserve">. Las personas que adquieran bienes, disfruten de su uso o goce temporal, reciban servicios, realicen pagos parciales o diferidos que liquidan saldos de comprobantes fiscales digitales por Internet, o </w:t>
      </w:r>
      <w:r w:rsidDel="00000000" w:rsidR="00000000" w:rsidRPr="00000000">
        <w:rPr>
          <w:rFonts w:ascii="Palatino Linotype" w:cs="Palatino Linotype" w:eastAsia="Palatino Linotype" w:hAnsi="Palatino Linotype"/>
          <w:b w:val="1"/>
          <w:i w:val="1"/>
          <w:sz w:val="22"/>
          <w:szCs w:val="22"/>
          <w:rtl w:val="0"/>
        </w:rPr>
        <w:t xml:space="preserve">aquéllas a las que les hubieren retenido contribuciones deberán solicitar el comprobante fiscal digital por Internet respectivo. </w:t>
      </w:r>
      <w:r w:rsidDel="00000000" w:rsidR="00000000" w:rsidRPr="00000000">
        <w:rPr>
          <w:rFonts w:ascii="Palatino Linotype" w:cs="Palatino Linotype" w:eastAsia="Palatino Linotype" w:hAnsi="Palatino Linotype"/>
          <w:i w:val="1"/>
          <w:sz w:val="22"/>
          <w:szCs w:val="22"/>
          <w:rtl w:val="0"/>
        </w:rPr>
        <w:t xml:space="preserve">Los contribuyentes que exporten mercancías que no sean objeto de enajenación o cuya enajenación sea a título gratuito, deberán expedir el comprobante fiscal digital por Internet que ampare la operación.</w:t>
      </w:r>
    </w:p>
    <w:p w:rsidR="00000000" w:rsidDel="00000000" w:rsidP="00000000" w:rsidRDefault="00000000" w:rsidRPr="00000000" w14:paraId="000000C9">
      <w:pPr>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CA">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32-G.</w:t>
      </w:r>
      <w:r w:rsidDel="00000000" w:rsidR="00000000" w:rsidRPr="00000000">
        <w:rPr>
          <w:rFonts w:ascii="Palatino Linotype" w:cs="Palatino Linotype" w:eastAsia="Palatino Linotype" w:hAnsi="Palatino Linotype"/>
          <w:i w:val="1"/>
          <w:sz w:val="22"/>
          <w:szCs w:val="22"/>
          <w:rtl w:val="0"/>
        </w:rPr>
        <w:t xml:space="preserve"> La Federación, las Entidades Federativas, el Distrito Federal, y sus Organismos Descentralizados, así como los </w:t>
      </w:r>
      <w:r w:rsidDel="00000000" w:rsidR="00000000" w:rsidRPr="00000000">
        <w:rPr>
          <w:rFonts w:ascii="Palatino Linotype" w:cs="Palatino Linotype" w:eastAsia="Palatino Linotype" w:hAnsi="Palatino Linotype"/>
          <w:b w:val="1"/>
          <w:i w:val="1"/>
          <w:sz w:val="22"/>
          <w:szCs w:val="22"/>
          <w:rtl w:val="0"/>
        </w:rPr>
        <w:t xml:space="preserve">Municipios,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tendrán la </w:t>
      </w:r>
      <w:r w:rsidDel="00000000" w:rsidR="00000000" w:rsidRPr="00000000">
        <w:rPr>
          <w:rFonts w:ascii="Palatino Linotype" w:cs="Palatino Linotype" w:eastAsia="Palatino Linotype" w:hAnsi="Palatino Linotype"/>
          <w:b w:val="1"/>
          <w:i w:val="1"/>
          <w:sz w:val="22"/>
          <w:szCs w:val="22"/>
          <w:u w:val="single"/>
          <w:rtl w:val="0"/>
        </w:rPr>
        <w:t xml:space="preserve">obligación de presentar ante las autoridades fiscales, </w:t>
      </w:r>
      <w:r w:rsidDel="00000000" w:rsidR="00000000" w:rsidRPr="00000000">
        <w:rPr>
          <w:rFonts w:ascii="Palatino Linotype" w:cs="Palatino Linotype" w:eastAsia="Palatino Linotype" w:hAnsi="Palatino Linotype"/>
          <w:b w:val="1"/>
          <w:i w:val="1"/>
          <w:sz w:val="22"/>
          <w:szCs w:val="22"/>
          <w:rtl w:val="0"/>
        </w:rPr>
        <w:t xml:space="preserve">a través de los medios y formatos electrónicos que señale el Servicio de Administración, la información relativa a:</w:t>
      </w:r>
    </w:p>
    <w:p w:rsidR="00000000" w:rsidDel="00000000" w:rsidP="00000000" w:rsidRDefault="00000000" w:rsidRPr="00000000" w14:paraId="000000C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personas a las que en el mes inmediato anterior l</w:t>
      </w:r>
      <w:r w:rsidDel="00000000" w:rsidR="00000000" w:rsidRPr="00000000">
        <w:rPr>
          <w:rFonts w:ascii="Palatino Linotype" w:cs="Palatino Linotype" w:eastAsia="Palatino Linotype" w:hAnsi="Palatino Linotype"/>
          <w:b w:val="1"/>
          <w:i w:val="1"/>
          <w:sz w:val="22"/>
          <w:szCs w:val="22"/>
          <w:u w:val="single"/>
          <w:rtl w:val="0"/>
        </w:rPr>
        <w:t xml:space="preserve">es hubieren efectuado retenciones de impuesto sobre la renta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así como de los residentes en el extranjero a los que les hayan efectuado pagos de acuerdo con lo previsto en el Título V de la Ley del Impuesto sobre la Renta.”</w:t>
      </w:r>
    </w:p>
    <w:p w:rsidR="00000000" w:rsidDel="00000000" w:rsidP="00000000" w:rsidRDefault="00000000" w:rsidRPr="00000000" w14:paraId="000000C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del “visor de comprobantes nómina” del Servicio de Administración Tributaria, cabe señalar que es una herramienta o aplicación en línea que permite a los </w:t>
      </w:r>
      <w:r w:rsidDel="00000000" w:rsidR="00000000" w:rsidRPr="00000000">
        <w:rPr>
          <w:rFonts w:ascii="Palatino Linotype" w:cs="Palatino Linotype" w:eastAsia="Palatino Linotype" w:hAnsi="Palatino Linotype"/>
          <w:i w:val="1"/>
          <w:rtl w:val="0"/>
        </w:rPr>
        <w:t xml:space="preserve">trabajadores</w:t>
      </w:r>
      <w:r w:rsidDel="00000000" w:rsidR="00000000" w:rsidRPr="00000000">
        <w:rPr>
          <w:rFonts w:ascii="Palatino Linotype" w:cs="Palatino Linotype" w:eastAsia="Palatino Linotype" w:hAnsi="Palatino Linotype"/>
          <w:rtl w:val="0"/>
        </w:rPr>
        <w:t xml:space="preserve"> consultar de manera anticipada el acumulado de ingresos y retenciones provenientes de comprobantes de nómina, y a los </w:t>
      </w:r>
      <w:r w:rsidDel="00000000" w:rsidR="00000000" w:rsidRPr="00000000">
        <w:rPr>
          <w:rFonts w:ascii="Palatino Linotype" w:cs="Palatino Linotype" w:eastAsia="Palatino Linotype" w:hAnsi="Palatino Linotype"/>
          <w:i w:val="1"/>
          <w:rtl w:val="0"/>
        </w:rPr>
        <w:t xml:space="preserve">patrones</w:t>
      </w:r>
      <w:r w:rsidDel="00000000" w:rsidR="00000000" w:rsidRPr="00000000">
        <w:rPr>
          <w:rFonts w:ascii="Palatino Linotype" w:cs="Palatino Linotype" w:eastAsia="Palatino Linotype" w:hAnsi="Palatino Linotype"/>
          <w:rtl w:val="0"/>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es identificar de manera oportuna errores en la información timbrada, y en su caso corregirla.</w:t>
      </w:r>
    </w:p>
    <w:p w:rsidR="00000000" w:rsidDel="00000000" w:rsidP="00000000" w:rsidRDefault="00000000" w:rsidRPr="00000000" w14:paraId="000000C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el requerimiento señalado con el romano I, se enfoca en el </w:t>
      </w:r>
      <w:r w:rsidDel="00000000" w:rsidR="00000000" w:rsidRPr="00000000">
        <w:rPr>
          <w:rFonts w:ascii="Palatino Linotype" w:cs="Palatino Linotype" w:eastAsia="Palatino Linotype" w:hAnsi="Palatino Linotype"/>
          <w:i w:val="1"/>
          <w:rtl w:val="0"/>
        </w:rPr>
        <w:t xml:space="preserve">visor de comprobantes de nómina para patrones</w:t>
      </w:r>
      <w:r w:rsidDel="00000000" w:rsidR="00000000" w:rsidRPr="00000000">
        <w:rPr>
          <w:rFonts w:ascii="Palatino Linotype" w:cs="Palatino Linotype" w:eastAsia="Palatino Linotype" w:hAnsi="Palatino Linotype"/>
          <w:rtl w:val="0"/>
        </w:rPr>
        <w:t xml:space="preserve">, que tiene por objetivo consultar la información correspondiente a los pagos realizados por concepto de sueldos y salarios a los trabajadores, así como el prellenado y entero de pagos provisionales del impuesto sobre la renta, retenidos por salarios y asimilados a salarios.</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dicha herramienta, es un servicio que se localiza en el portal de internet del SAT, concretamente en el apartado de declaraciones</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y, para acceder a la misma, es necesario autenticarse con el RFC y la contraseña o e.firma, asimismo, de conformidad con la Guía de Usuario del visor de comprobantes de nómina del patrón, las modalidades de consulta son las siguientes:</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8955" cy="972185"/>
            <wp:effectExtent b="0" l="0" r="0" t="0"/>
            <wp:docPr id="117"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608955" cy="9721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241300</wp:posOffset>
                </wp:positionV>
                <wp:extent cx="198355" cy="616200"/>
                <wp:effectExtent b="0" l="0" r="0" t="0"/>
                <wp:wrapNone/>
                <wp:docPr id="102" name=""/>
                <a:graphic>
                  <a:graphicData uri="http://schemas.microsoft.com/office/word/2010/wordprocessingShape">
                    <wps:wsp>
                      <wps:cNvSpPr/>
                      <wps:cNvPr id="5" name="Shape 5"/>
                      <wps:spPr>
                        <a:xfrm>
                          <a:off x="5284923" y="3510000"/>
                          <a:ext cx="122155" cy="540000"/>
                        </a:xfrm>
                        <a:prstGeom prst="leftBrace">
                          <a:avLst>
                            <a:gd fmla="val 8333" name="adj1"/>
                            <a:gd fmla="val 50000" name="adj2"/>
                          </a:avLst>
                        </a:prstGeom>
                        <a:noFill/>
                        <a:ln cap="flat" cmpd="sng" w="254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241300</wp:posOffset>
                </wp:positionV>
                <wp:extent cx="198355" cy="616200"/>
                <wp:effectExtent b="0" l="0" r="0" t="0"/>
                <wp:wrapNone/>
                <wp:docPr id="102"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198355" cy="616200"/>
                        </a:xfrm>
                        <a:prstGeom prst="rect"/>
                        <a:ln/>
                      </pic:spPr>
                    </pic:pic>
                  </a:graphicData>
                </a:graphic>
              </wp:anchor>
            </w:drawing>
          </mc:Fallback>
        </mc:AlternateConten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descargarse en archivo pdf, corresponde con los incisos a y b del requerimiento de información.</w:t>
      </w:r>
    </w:p>
    <w:p w:rsidR="00000000" w:rsidDel="00000000" w:rsidP="00000000" w:rsidRDefault="00000000" w:rsidRPr="00000000" w14:paraId="000000D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rsidR="00000000" w:rsidDel="00000000" w:rsidP="00000000" w:rsidRDefault="00000000" w:rsidRPr="00000000" w14:paraId="000000D2">
      <w:pPr>
        <w:spacing w:after="240"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88000" cy="2034821"/>
            <wp:effectExtent b="0" l="0" r="0" t="0"/>
            <wp:docPr id="116" name="image13.png"/>
            <a:graphic>
              <a:graphicData uri="http://schemas.openxmlformats.org/drawingml/2006/picture">
                <pic:pic>
                  <pic:nvPicPr>
                    <pic:cNvPr id="0" name="image13.png"/>
                    <pic:cNvPicPr preferRelativeResize="0"/>
                  </pic:nvPicPr>
                  <pic:blipFill>
                    <a:blip r:embed="rId18"/>
                    <a:srcRect b="65024" l="0" r="0" t="0"/>
                    <a:stretch>
                      <a:fillRect/>
                    </a:stretch>
                  </pic:blipFill>
                  <pic:spPr>
                    <a:xfrm>
                      <a:off x="0" y="0"/>
                      <a:ext cx="4788000" cy="2034821"/>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240" w:before="240" w:line="276"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88000" cy="3779687"/>
            <wp:effectExtent b="0" l="0" r="0" t="0"/>
            <wp:docPr id="120" name="image13.png"/>
            <a:graphic>
              <a:graphicData uri="http://schemas.openxmlformats.org/drawingml/2006/picture">
                <pic:pic>
                  <pic:nvPicPr>
                    <pic:cNvPr id="0" name="image13.png"/>
                    <pic:cNvPicPr preferRelativeResize="0"/>
                  </pic:nvPicPr>
                  <pic:blipFill>
                    <a:blip r:embed="rId18"/>
                    <a:srcRect b="154" l="0" r="0" t="34873"/>
                    <a:stretch>
                      <a:fillRect/>
                    </a:stretch>
                  </pic:blipFill>
                  <pic:spPr>
                    <a:xfrm>
                      <a:off x="0" y="0"/>
                      <a:ext cx="4788000" cy="3779687"/>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presume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al ser un ente retenedor del impuesto sobre la renta que se genere por ingresos por salarios -</w:t>
      </w:r>
      <w:r w:rsidDel="00000000" w:rsidR="00000000" w:rsidRPr="00000000">
        <w:rPr>
          <w:rFonts w:ascii="Palatino Linotype" w:cs="Palatino Linotype" w:eastAsia="Palatino Linotype" w:hAnsi="Palatino Linotype"/>
          <w:sz w:val="22"/>
          <w:szCs w:val="22"/>
          <w:rtl w:val="0"/>
        </w:rPr>
        <w:t xml:space="preserve">y en general por la prestación de un servicio</w:t>
      </w:r>
      <w:r w:rsidDel="00000000" w:rsidR="00000000" w:rsidRPr="00000000">
        <w:rPr>
          <w:rFonts w:ascii="Palatino Linotype" w:cs="Palatino Linotype" w:eastAsia="Palatino Linotype" w:hAnsi="Palatino Linotype"/>
          <w:rtl w:val="0"/>
        </w:rPr>
        <w:t xml:space="preserve">- y encontrarse constreñido a entregar un comprobante fiscal digital por internet que ampare dichas retenciones, para el 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 </w:t>
      </w:r>
    </w:p>
    <w:p w:rsidR="00000000" w:rsidDel="00000000" w:rsidP="00000000" w:rsidRDefault="00000000" w:rsidRPr="00000000" w14:paraId="000000D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contrario a lo señalado por el  Gerente de Finanzas, no se advierte que el visor de nómina del SAT esté protegido por una clave que el sistema tributario asigne, ya que, como se advierte en la página del SAT, para realizar la consulta solo se requiere autenticarse con RFC y contraseña o e. firma, datos que deben ser administrados por el contribuyente, en este caso,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al tener la obligación de presentar las declaraciones provisionales y anual.</w:t>
      </w:r>
    </w:p>
    <w:p w:rsidR="00000000" w:rsidDel="00000000" w:rsidP="00000000" w:rsidRDefault="00000000" w:rsidRPr="00000000" w14:paraId="000000D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ilustra a continuación para un mejor entendimiento:</w:t>
      </w:r>
    </w:p>
    <w:p w:rsidR="00000000" w:rsidDel="00000000" w:rsidP="00000000" w:rsidRDefault="00000000" w:rsidRPr="00000000" w14:paraId="000000D7">
      <w:pPr>
        <w:spacing w:after="240"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20000" cy="2319310"/>
            <wp:effectExtent b="0" l="0" r="0" t="0"/>
            <wp:docPr id="118" name="image14.png"/>
            <a:graphic>
              <a:graphicData uri="http://schemas.openxmlformats.org/drawingml/2006/picture">
                <pic:pic>
                  <pic:nvPicPr>
                    <pic:cNvPr id="0" name="image14.png"/>
                    <pic:cNvPicPr preferRelativeResize="0"/>
                  </pic:nvPicPr>
                  <pic:blipFill>
                    <a:blip r:embed="rId19"/>
                    <a:srcRect b="55943" l="0" r="0" t="0"/>
                    <a:stretch>
                      <a:fillRect/>
                    </a:stretch>
                  </pic:blipFill>
                  <pic:spPr>
                    <a:xfrm>
                      <a:off x="0" y="0"/>
                      <a:ext cx="5220000" cy="231931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240"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20000" cy="2848202"/>
            <wp:effectExtent b="0" l="0" r="0" t="0"/>
            <wp:docPr id="119" name="image14.png"/>
            <a:graphic>
              <a:graphicData uri="http://schemas.openxmlformats.org/drawingml/2006/picture">
                <pic:pic>
                  <pic:nvPicPr>
                    <pic:cNvPr id="0" name="image14.png"/>
                    <pic:cNvPicPr preferRelativeResize="0"/>
                  </pic:nvPicPr>
                  <pic:blipFill>
                    <a:blip r:embed="rId19"/>
                    <a:srcRect b="472" l="0" r="0" t="45422"/>
                    <a:stretch>
                      <a:fillRect/>
                    </a:stretch>
                  </pic:blipFill>
                  <pic:spPr>
                    <a:xfrm>
                      <a:off x="0" y="0"/>
                      <a:ext cx="5220000" cy="2848202"/>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no debe perderse de vista que la normatividad aplicable no establece como obligatorio el uso de dicha herramienta, por lo que, si la información a la que se hace referencia no obra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bastará con que así se haga del conocimiento del particular para tener por colmado el derecho de acceso del particular.</w:t>
      </w:r>
    </w:p>
    <w:p w:rsidR="00000000" w:rsidDel="00000000" w:rsidP="00000000" w:rsidRDefault="00000000" w:rsidRPr="00000000" w14:paraId="000000D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del artículo 12 de la Ley de Transparencia y Acceso a la Información Pública del Estado de México y Municipios, citado con antelación.</w:t>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romano IV mediante el cual se solicita la </w:t>
      </w:r>
      <w:r w:rsidDel="00000000" w:rsidR="00000000" w:rsidRPr="00000000">
        <w:rPr>
          <w:rFonts w:ascii="Palatino Linotype" w:cs="Palatino Linotype" w:eastAsia="Palatino Linotype" w:hAnsi="Palatino Linotype"/>
          <w:i w:val="1"/>
          <w:rtl w:val="0"/>
        </w:rPr>
        <w:t xml:space="preserve">opinión de no adeudo en el cumplimiento de obligaciones fiscales, se menciona que es un trámite que se realiza en línea, a través del portal de internet del SAT</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que consiste en un reporte emitido por el SAT que te permite consultar de manera instantánea la situación del cumplimiento de las obligaciones fiscales al momento de la fecha de la consulta, por lo que, si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 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en sus obligaciones fiscales, consecuentemente es procedente ordenar la entrega del referido reporte, para tener por atendido el requerimiento de información, para lo cual no está demás señalar que en el portal del SAT, se contemplan las siguientes opciones para su obtención:</w:t>
      </w:r>
    </w:p>
    <w:p w:rsidR="00000000" w:rsidDel="00000000" w:rsidP="00000000" w:rsidRDefault="00000000" w:rsidRPr="00000000" w14:paraId="000000DE">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140000" cy="2969706"/>
            <wp:effectExtent b="0" l="0" r="0" t="0"/>
            <wp:docPr id="12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4140000" cy="2969706"/>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Resolución Miscelánea Fiscal para 2022 establece, en la regla 2.1.37 el procedimiento que debe observarse para la obtención de la opinión de cumplimiento de obligaciones fiscales: a saber:</w:t>
      </w:r>
    </w:p>
    <w:p w:rsidR="00000000" w:rsidDel="00000000" w:rsidP="00000000" w:rsidRDefault="00000000" w:rsidRPr="00000000" w14:paraId="000000E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9590" cy="1934210"/>
            <wp:effectExtent b="0" l="0" r="0" t="0"/>
            <wp:docPr id="12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609590" cy="193421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multicitada opinión se generará atendiendo a la situación fiscal del contribuyente en los siguientes sentidos:</w:t>
      </w:r>
    </w:p>
    <w:p w:rsidR="00000000" w:rsidDel="00000000" w:rsidP="00000000" w:rsidRDefault="00000000" w:rsidRPr="00000000" w14:paraId="000000E2">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Positiva.</w:t>
      </w:r>
      <w:r w:rsidDel="00000000" w:rsidR="00000000" w:rsidRPr="00000000">
        <w:rPr>
          <w:rFonts w:ascii="Palatino Linotype" w:cs="Palatino Linotype" w:eastAsia="Palatino Linotype" w:hAnsi="Palatino Linotype"/>
          <w:rtl w:val="0"/>
        </w:rPr>
        <w:t xml:space="preserve">- Cuando el contribuyente esté inscrito y al corriente en el cumplimiento de las obligaciones que se consideran en los numerales 1 a 12 de esta regla.</w:t>
      </w:r>
    </w:p>
    <w:p w:rsidR="00000000" w:rsidDel="00000000" w:rsidP="00000000" w:rsidRDefault="00000000" w:rsidRPr="00000000" w14:paraId="000000E3">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Negativa.-</w:t>
      </w:r>
      <w:r w:rsidDel="00000000" w:rsidR="00000000" w:rsidRPr="00000000">
        <w:rPr>
          <w:rFonts w:ascii="Palatino Linotype" w:cs="Palatino Linotype" w:eastAsia="Palatino Linotype" w:hAnsi="Palatino Linotype"/>
          <w:rtl w:val="0"/>
        </w:rPr>
        <w:t xml:space="preserve"> Cuando el contribuyente no esté al corriente en el cumplimiento de las obligaciones que se consideran en los numerales 1 a 12 de esta regla.</w:t>
      </w:r>
    </w:p>
    <w:p w:rsidR="00000000" w:rsidDel="00000000" w:rsidP="00000000" w:rsidRDefault="00000000" w:rsidRPr="00000000" w14:paraId="000000E4">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Inscrito sin obligaciones.</w:t>
      </w:r>
      <w:r w:rsidDel="00000000" w:rsidR="00000000" w:rsidRPr="00000000">
        <w:rPr>
          <w:rFonts w:ascii="Palatino Linotype" w:cs="Palatino Linotype" w:eastAsia="Palatino Linotype" w:hAnsi="Palatino Linotype"/>
          <w:rtl w:val="0"/>
        </w:rPr>
        <w:t xml:space="preserve">- Cuando el contribuyente está inscrito en el RFC pero no tiene obligaciones fiscales.</w:t>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autoridad, a fin de generar la opinión del cumplimiento de obligaciones fiscales, revisará que el contribuyente solicitante:</w:t>
      </w:r>
    </w:p>
    <w:p w:rsidR="00000000" w:rsidDel="00000000" w:rsidP="00000000" w:rsidRDefault="00000000" w:rsidRPr="00000000" w14:paraId="000000E6">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Pr>
        <w:drawing>
          <wp:inline distB="0" distT="0" distL="0" distR="0">
            <wp:extent cx="5040000" cy="2101681"/>
            <wp:effectExtent b="0" l="0" r="0" t="0"/>
            <wp:docPr id="123" name="image16.png"/>
            <a:graphic>
              <a:graphicData uri="http://schemas.openxmlformats.org/drawingml/2006/picture">
                <pic:pic>
                  <pic:nvPicPr>
                    <pic:cNvPr id="0" name="image16.png"/>
                    <pic:cNvPicPr preferRelativeResize="0"/>
                  </pic:nvPicPr>
                  <pic:blipFill>
                    <a:blip r:embed="rId22"/>
                    <a:srcRect b="58299" l="0" r="0" t="1"/>
                    <a:stretch>
                      <a:fillRect/>
                    </a:stretch>
                  </pic:blipFill>
                  <pic:spPr>
                    <a:xfrm>
                      <a:off x="0" y="0"/>
                      <a:ext cx="5040000" cy="2101681"/>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Pr>
        <w:drawing>
          <wp:inline distB="0" distT="0" distL="0" distR="0">
            <wp:extent cx="5040000" cy="2938126"/>
            <wp:effectExtent b="0" l="0" r="0" t="0"/>
            <wp:docPr id="124" name="image16.png"/>
            <a:graphic>
              <a:graphicData uri="http://schemas.openxmlformats.org/drawingml/2006/picture">
                <pic:pic>
                  <pic:nvPicPr>
                    <pic:cNvPr id="0" name="image16.png"/>
                    <pic:cNvPicPr preferRelativeResize="0"/>
                  </pic:nvPicPr>
                  <pic:blipFill>
                    <a:blip r:embed="rId22"/>
                    <a:srcRect b="12" l="0" r="0" t="41689"/>
                    <a:stretch>
                      <a:fillRect/>
                    </a:stretch>
                  </pic:blipFill>
                  <pic:spPr>
                    <a:xfrm>
                      <a:off x="0" y="0"/>
                      <a:ext cx="5040000" cy="2938126"/>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Tocante a los romanos II y III, mediante los cuales se requiere la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i w:val="1"/>
          <w:rtl w:val="0"/>
        </w:rPr>
        <w:t xml:space="preserve">constancia de situación fiscal de no adeudo emitida por el INFONAVIT, generada desde el portal empresarial de esa Institución, a través de internet</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i w:val="1"/>
          <w:rtl w:val="0"/>
        </w:rPr>
        <w:t xml:space="preserve">la opinión de no adeudo en el cumplimiento de obligaciones fiscales en materia de seguridad social emitida por el IMSS, generada desde el portal de esa Institución, a través de internet,</w:t>
      </w:r>
      <w:r w:rsidDel="00000000" w:rsidR="00000000" w:rsidRPr="00000000">
        <w:rPr>
          <w:rFonts w:ascii="Palatino Linotype" w:cs="Palatino Linotype" w:eastAsia="Palatino Linotype" w:hAnsi="Palatino Linotype"/>
          <w:rtl w:val="0"/>
        </w:rPr>
        <w:t xml:space="preserve"> es de recordar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su respuesta expresó que no le era aplicable lo del IMSS y del INFONAVIT.</w:t>
      </w:r>
    </w:p>
    <w:p w:rsidR="00000000" w:rsidDel="00000000" w:rsidP="00000000" w:rsidRDefault="00000000" w:rsidRPr="00000000" w14:paraId="000000E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con 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rsidR="00000000" w:rsidDel="00000000" w:rsidP="00000000" w:rsidRDefault="00000000" w:rsidRPr="00000000" w14:paraId="000000EA">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123. </w:t>
      </w:r>
      <w:r w:rsidDel="00000000" w:rsidR="00000000" w:rsidRPr="00000000">
        <w:rPr>
          <w:rFonts w:ascii="Palatino Linotype" w:cs="Palatino Linotype" w:eastAsia="Palatino Linotype" w:hAnsi="Palatino Linotype"/>
          <w:i w:val="1"/>
          <w:sz w:val="22"/>
          <w:szCs w:val="22"/>
          <w:rtl w:val="0"/>
        </w:rPr>
        <w:t xml:space="preserve">Toda persona tiene derecho al trabajo digno y socialmente útil; al efecto, se promoverán la creación de empleos y la organización social de trabajo, conforme a la ley.</w:t>
      </w:r>
    </w:p>
    <w:p w:rsidR="00000000" w:rsidDel="00000000" w:rsidP="00000000" w:rsidRDefault="00000000" w:rsidRPr="00000000" w14:paraId="000000EB">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Congreso de la Unión, sin contravenir a las bases siguientes deberá expedir leyes sobre el trabajo, las cuales regirán:</w:t>
      </w:r>
    </w:p>
    <w:p w:rsidR="00000000" w:rsidDel="00000000" w:rsidP="00000000" w:rsidRDefault="00000000" w:rsidRPr="00000000" w14:paraId="000000EC">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Entre los obreros, jornaleros, empleados domésticos, artesanos y de una manera general, todo contrato de trabajo:</w:t>
      </w:r>
    </w:p>
    <w:p w:rsidR="00000000" w:rsidDel="00000000" w:rsidP="00000000" w:rsidRDefault="00000000" w:rsidRPr="00000000" w14:paraId="000000ED">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E">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Toda empresa agrícola, industrial, minera o de cualquier otra clase de trabajo, estará obligada, según lo determinen las leyes reglamentarias a proporcionar a los trabajadores habitaciones cómodas e higiénicas. </w:t>
      </w:r>
      <w:r w:rsidDel="00000000" w:rsidR="00000000" w:rsidRPr="00000000">
        <w:rPr>
          <w:rFonts w:ascii="Palatino Linotype" w:cs="Palatino Linotype" w:eastAsia="Palatino Linotype" w:hAnsi="Palatino Linotype"/>
          <w:b w:val="1"/>
          <w:i w:val="1"/>
          <w:sz w:val="22"/>
          <w:szCs w:val="22"/>
          <w:rtl w:val="0"/>
        </w:rPr>
        <w:t xml:space="preserve">Esta obligación se cumplirá mediante las aportaciones que las empresas hagan a un fondo nacional de la vivienda a fin de constituir depósitos en favor de sus trabajadores</w:t>
      </w:r>
      <w:r w:rsidDel="00000000" w:rsidR="00000000" w:rsidRPr="00000000">
        <w:rPr>
          <w:rFonts w:ascii="Palatino Linotype" w:cs="Palatino Linotype" w:eastAsia="Palatino Linotype" w:hAnsi="Palatino Linotype"/>
          <w:i w:val="1"/>
          <w:sz w:val="22"/>
          <w:szCs w:val="22"/>
          <w:rtl w:val="0"/>
        </w:rPr>
        <w:t xml:space="preserve"> y establecer un sistema de financiamiento que permita otorgar a éstos crédito barato y suficiente para que adquieran en propiedad tales habitaciones.</w:t>
      </w:r>
    </w:p>
    <w:p w:rsidR="00000000" w:rsidDel="00000000" w:rsidP="00000000" w:rsidRDefault="00000000" w:rsidRPr="00000000" w14:paraId="000000EF">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Del="00000000" w:rsidR="00000000" w:rsidRPr="00000000">
        <w:rPr>
          <w:rFonts w:ascii="Palatino Linotype" w:cs="Palatino Linotype" w:eastAsia="Palatino Linotype" w:hAnsi="Palatino Linotype"/>
          <w:i w:val="1"/>
          <w:sz w:val="22"/>
          <w:szCs w:val="22"/>
          <w:rtl w:val="0"/>
        </w:rPr>
        <w:t xml:space="preserve">Dicha ley regulará las formas y procedimientos conforme a los cuales los trabajadores podrán adquirir en propiedad las habitaciones antes mencionadas.”</w:t>
      </w:r>
    </w:p>
    <w:p w:rsidR="00000000" w:rsidDel="00000000" w:rsidP="00000000" w:rsidRDefault="00000000" w:rsidRPr="00000000" w14:paraId="000000F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rsidR="00000000" w:rsidDel="00000000" w:rsidP="00000000" w:rsidRDefault="00000000" w:rsidRPr="00000000" w14:paraId="000000F1">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3o.-</w:t>
      </w:r>
      <w:r w:rsidDel="00000000" w:rsidR="00000000" w:rsidRPr="00000000">
        <w:rPr>
          <w:rFonts w:ascii="Palatino Linotype" w:cs="Palatino Linotype" w:eastAsia="Palatino Linotype" w:hAnsi="Palatino Linotype"/>
          <w:i w:val="1"/>
          <w:sz w:val="22"/>
          <w:szCs w:val="22"/>
          <w:rtl w:val="0"/>
        </w:rPr>
        <w:t xml:space="preserve"> El Instituto tiene por objeto:</w:t>
      </w:r>
    </w:p>
    <w:p w:rsidR="00000000" w:rsidDel="00000000" w:rsidP="00000000" w:rsidRDefault="00000000" w:rsidRPr="00000000" w14:paraId="000000F2">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Administrar los recursos del Fondo Nacional de la Vivienda;</w:t>
      </w:r>
    </w:p>
    <w:p w:rsidR="00000000" w:rsidDel="00000000" w:rsidP="00000000" w:rsidRDefault="00000000" w:rsidRPr="00000000" w14:paraId="000000F3">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Establecer y operar un sistema de financiamiento que permita a los trabajadores obtener crédito barato y suficiente para:</w:t>
      </w:r>
    </w:p>
    <w:p w:rsidR="00000000" w:rsidDel="00000000" w:rsidP="00000000" w:rsidRDefault="00000000" w:rsidRPr="00000000" w14:paraId="000000F4">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La adquisición en propiedad de habitaciones cómodas e higiénicas,</w:t>
      </w:r>
    </w:p>
    <w:p w:rsidR="00000000" w:rsidDel="00000000" w:rsidP="00000000" w:rsidRDefault="00000000" w:rsidRPr="00000000" w14:paraId="000000F5">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La construcción, reparación, ampliación o mejoramiento de sus habitaciones, y</w:t>
      </w:r>
    </w:p>
    <w:p w:rsidR="00000000" w:rsidDel="00000000" w:rsidP="00000000" w:rsidRDefault="00000000" w:rsidRPr="00000000" w14:paraId="000000F6">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El pago de pasivos contraídos por los conceptos anteriores;</w:t>
      </w:r>
    </w:p>
    <w:p w:rsidR="00000000" w:rsidDel="00000000" w:rsidP="00000000" w:rsidRDefault="00000000" w:rsidRPr="00000000" w14:paraId="000000F7">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La adquisición en propiedad de suelo destinado para la construcción de sus habitaciones;</w:t>
      </w:r>
    </w:p>
    <w:p w:rsidR="00000000" w:rsidDel="00000000" w:rsidP="00000000" w:rsidRDefault="00000000" w:rsidRPr="00000000" w14:paraId="000000F8">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Coordinar y financiar programas de construcción de habitaciones destinadas a ser adquiridas en propiedad por los trabajadores; y</w:t>
      </w:r>
    </w:p>
    <w:p w:rsidR="00000000" w:rsidDel="00000000" w:rsidP="00000000" w:rsidRDefault="00000000" w:rsidRPr="00000000" w14:paraId="000000F9">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Lo demás a que se refiere la fracción XII del Apartado A del Artículo 123 Constitucional y el</w:t>
      </w:r>
    </w:p>
    <w:p w:rsidR="00000000" w:rsidDel="00000000" w:rsidP="00000000" w:rsidRDefault="00000000" w:rsidRPr="00000000" w14:paraId="000000FA">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Título Cuarto, Capítulo III de la Ley Federal del Trabajo, así como lo que esta ley establece.”</w:t>
      </w:r>
    </w:p>
    <w:p w:rsidR="00000000" w:rsidDel="00000000" w:rsidP="00000000" w:rsidRDefault="00000000" w:rsidRPr="00000000" w14:paraId="000000F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la entrega de la misma, por parte de entidades gubernamentales no resulta procedente, derivado de no encuadrar en los supuestos de los ordenamientos citados, teniéndose por acreditada la notoria incompetencia, a cargo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del artículo 167 de la Ley de Transparencia local, que señala:</w:t>
      </w:r>
    </w:p>
    <w:p w:rsidR="00000000" w:rsidDel="00000000" w:rsidP="00000000" w:rsidRDefault="00000000" w:rsidRPr="00000000" w14:paraId="000000F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Cuando las unidades de transparencia determinen la </w:t>
      </w:r>
      <w:r w:rsidDel="00000000" w:rsidR="00000000" w:rsidRPr="00000000">
        <w:rPr>
          <w:rFonts w:ascii="Palatino Linotype" w:cs="Palatino Linotype" w:eastAsia="Palatino Linotype" w:hAnsi="Palatino Linotype"/>
          <w:i w:val="1"/>
          <w:sz w:val="22"/>
          <w:szCs w:val="22"/>
          <w:u w:val="single"/>
          <w:rtl w:val="0"/>
        </w:rPr>
        <w:t xml:space="preserve">notoria incompetencia </w:t>
      </w:r>
      <w:r w:rsidDel="00000000" w:rsidR="00000000" w:rsidRPr="00000000">
        <w:rPr>
          <w:rFonts w:ascii="Palatino Linotype" w:cs="Palatino Linotype" w:eastAsia="Palatino Linotype" w:hAnsi="Palatino Linotype"/>
          <w:i w:val="1"/>
          <w:sz w:val="22"/>
          <w:szCs w:val="22"/>
          <w:rtl w:val="0"/>
        </w:rPr>
        <w:t xml:space="preserve">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i w:val="1"/>
          <w:sz w:val="22"/>
          <w:szCs w:val="22"/>
          <w:u w:val="single"/>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en su caso orientar al solicitante, el o los sujetos obligados competentes.</w:t>
      </w:r>
    </w:p>
    <w:p w:rsidR="00000000" w:rsidDel="00000000" w:rsidP="00000000" w:rsidRDefault="00000000" w:rsidRPr="00000000" w14:paraId="000000F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los sujetos obligados son </w:t>
      </w:r>
      <w:r w:rsidDel="00000000" w:rsidR="00000000" w:rsidRPr="00000000">
        <w:rPr>
          <w:rFonts w:ascii="Palatino Linotype" w:cs="Palatino Linotype" w:eastAsia="Palatino Linotype" w:hAnsi="Palatino Linotype"/>
          <w:i w:val="1"/>
          <w:sz w:val="22"/>
          <w:szCs w:val="22"/>
          <w:u w:val="single"/>
          <w:rtl w:val="0"/>
        </w:rPr>
        <w:t xml:space="preserve">competentes</w:t>
      </w:r>
      <w:r w:rsidDel="00000000" w:rsidR="00000000" w:rsidRPr="00000000">
        <w:rPr>
          <w:rFonts w:ascii="Palatino Linotype" w:cs="Palatino Linotype" w:eastAsia="Palatino Linotype" w:hAnsi="Palatino Linotype"/>
          <w:i w:val="1"/>
          <w:sz w:val="22"/>
          <w:szCs w:val="22"/>
          <w:rtl w:val="0"/>
        </w:rPr>
        <w:t xml:space="preserve"> para atender </w:t>
      </w:r>
      <w:r w:rsidDel="00000000" w:rsidR="00000000" w:rsidRPr="00000000">
        <w:rPr>
          <w:rFonts w:ascii="Palatino Linotype" w:cs="Palatino Linotype" w:eastAsia="Palatino Linotype" w:hAnsi="Palatino Linotype"/>
          <w:i w:val="1"/>
          <w:sz w:val="22"/>
          <w:szCs w:val="22"/>
          <w:u w:val="single"/>
          <w:rtl w:val="0"/>
        </w:rPr>
        <w:t xml:space="preserve">parcialmente</w:t>
      </w:r>
      <w:r w:rsidDel="00000000" w:rsidR="00000000" w:rsidRPr="00000000">
        <w:rPr>
          <w:rFonts w:ascii="Palatino Linotype" w:cs="Palatino Linotype" w:eastAsia="Palatino Linotype" w:hAnsi="Palatino Linotype"/>
          <w:i w:val="1"/>
          <w:sz w:val="22"/>
          <w:szCs w:val="22"/>
          <w:rtl w:val="0"/>
        </w:rPr>
        <w:t xml:space="preserve"> la solicitud de acceso a la información, deberá dar respuesta respecto de dicha parte. </w:t>
      </w:r>
      <w:r w:rsidDel="00000000" w:rsidR="00000000" w:rsidRPr="00000000">
        <w:rPr>
          <w:rFonts w:ascii="Palatino Linotype" w:cs="Palatino Linotype" w:eastAsia="Palatino Linotype" w:hAnsi="Palatino Linotype"/>
          <w:i w:val="1"/>
          <w:sz w:val="22"/>
          <w:szCs w:val="22"/>
          <w:u w:val="single"/>
          <w:rtl w:val="0"/>
        </w:rPr>
        <w:t xml:space="preserve">Respecto de la información sobre la cual es incompetente se procederá conforme lo señala el párrafo anterior.</w:t>
      </w:r>
      <w:r w:rsidDel="00000000" w:rsidR="00000000" w:rsidRPr="00000000">
        <w:rPr>
          <w:rtl w:val="0"/>
        </w:rPr>
      </w:r>
    </w:p>
    <w:p w:rsidR="00000000" w:rsidDel="00000000" w:rsidP="00000000" w:rsidRDefault="00000000" w:rsidRPr="00000000" w14:paraId="000000FF">
      <w:pPr>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Si transcurrido el plazo señalado en el primer párrafo de este artículo, el sujeto obligado no declina la competencia en los términos establecidos, podrá canalizar la solicitud ante el sujeto obligado competente.”(Sic)</w:t>
      </w:r>
      <w:r w:rsidDel="00000000" w:rsidR="00000000" w:rsidRPr="00000000">
        <w:rPr>
          <w:rtl w:val="0"/>
        </w:rPr>
      </w:r>
    </w:p>
    <w:p w:rsidR="00000000" w:rsidDel="00000000" w:rsidP="00000000" w:rsidRDefault="00000000" w:rsidRPr="00000000" w14:paraId="0000010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robustece con la siguiente imagen del Padrón de Sujetos Obligados del Ámbito Federal, en términos de la Ley General de Transparencia y Acceso a la Información Pública, de veintiséis de mayo de dos mil veinte, en la liga </w:t>
      </w:r>
      <w:hyperlink r:id="rId23">
        <w:r w:rsidDel="00000000" w:rsidR="00000000" w:rsidRPr="00000000">
          <w:rPr>
            <w:rFonts w:ascii="Palatino Linotype" w:cs="Palatino Linotype" w:eastAsia="Palatino Linotype" w:hAnsi="Palatino Linotype"/>
            <w:color w:val="0000ff"/>
            <w:u w:val="single"/>
            <w:rtl w:val="0"/>
          </w:rPr>
          <w:t xml:space="preserve">https://www.fonacot.gob.mx/TransparenciaRendicionCuentas/Documents/Normatividad%20en%20Transparencia/Padron_Sujetos_Obligados%20INAI.pdf</w:t>
        </w:r>
      </w:hyperlink>
      <w:r w:rsidDel="00000000" w:rsidR="00000000" w:rsidRPr="00000000">
        <w:rPr>
          <w:rFonts w:ascii="Palatino Linotype" w:cs="Palatino Linotype" w:eastAsia="Palatino Linotype" w:hAnsi="Palatino Linotype"/>
          <w:rtl w:val="0"/>
        </w:rPr>
        <w:t xml:space="preserve">), que se insertan a continuación de manera ilustrativa:</w:t>
      </w:r>
    </w:p>
    <w:p w:rsidR="00000000" w:rsidDel="00000000" w:rsidP="00000000" w:rsidRDefault="00000000" w:rsidRPr="00000000" w14:paraId="00000102">
      <w:pPr>
        <w:spacing w:line="360" w:lineRule="auto"/>
        <w:ind w:right="49"/>
        <w:jc w:val="both"/>
        <w:rPr/>
      </w:pPr>
      <w:r w:rsidDel="00000000" w:rsidR="00000000" w:rsidRPr="00000000">
        <w:rPr>
          <w:rtl w:val="0"/>
        </w:rPr>
      </w:r>
    </w:p>
    <w:p w:rsidR="00000000" w:rsidDel="00000000" w:rsidP="00000000" w:rsidRDefault="00000000" w:rsidRPr="00000000" w14:paraId="00000103">
      <w:pPr>
        <w:spacing w:line="360" w:lineRule="auto"/>
        <w:ind w:right="49"/>
        <w:jc w:val="both"/>
        <w:rPr>
          <w:rFonts w:ascii="Palatino Linotype" w:cs="Palatino Linotype" w:eastAsia="Palatino Linotype" w:hAnsi="Palatino Linotype"/>
        </w:rPr>
      </w:pPr>
      <w:r w:rsidDel="00000000" w:rsidR="00000000" w:rsidRPr="00000000">
        <w:rPr/>
        <w:drawing>
          <wp:inline distB="0" distT="0" distL="0" distR="0">
            <wp:extent cx="5539480" cy="1232609"/>
            <wp:effectExtent b="0" l="0" r="0" t="0"/>
            <wp:docPr id="125" name="image17.png"/>
            <a:graphic>
              <a:graphicData uri="http://schemas.openxmlformats.org/drawingml/2006/picture">
                <pic:pic>
                  <pic:nvPicPr>
                    <pic:cNvPr id="0" name="image17.png"/>
                    <pic:cNvPicPr preferRelativeResize="0"/>
                  </pic:nvPicPr>
                  <pic:blipFill>
                    <a:blip r:embed="rId24"/>
                    <a:srcRect b="23614" l="23809" r="24447" t="47590"/>
                    <a:stretch>
                      <a:fillRect/>
                    </a:stretch>
                  </pic:blipFill>
                  <pic:spPr>
                    <a:xfrm>
                      <a:off x="0" y="0"/>
                      <a:ext cx="5539480" cy="1232609"/>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w:t>
      </w:r>
      <w:r w:rsidDel="00000000" w:rsidR="00000000" w:rsidRPr="00000000">
        <w:rPr>
          <w:rFonts w:ascii="Palatino Linotype" w:cs="Palatino Linotype" w:eastAsia="Palatino Linotype" w:hAnsi="Palatino Linotype"/>
          <w:i w:val="1"/>
          <w:rtl w:val="0"/>
        </w:rPr>
        <w:t xml:space="preserve">la opinión de no adeudo en el cumplimiento de obligaciones fiscales en materia de seguridad social emitida por el IMSS, generada desde el portal de esa Institución, a través de internet, </w:t>
      </w:r>
      <w:r w:rsidDel="00000000" w:rsidR="00000000" w:rsidRPr="00000000">
        <w:rPr>
          <w:rFonts w:ascii="Palatino Linotype" w:cs="Palatino Linotype" w:eastAsia="Palatino Linotype" w:hAnsi="Palatino Linotype"/>
          <w:rtl w:val="0"/>
        </w:rPr>
        <w:t xml:space="preserve">se señala que de conformidad con el artículo 5 de la Ley del Seguro Social</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rsidR="00000000" w:rsidDel="00000000" w:rsidP="00000000" w:rsidRDefault="00000000" w:rsidRPr="00000000" w14:paraId="0000010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rsidR="00000000" w:rsidDel="00000000" w:rsidP="00000000" w:rsidRDefault="00000000" w:rsidRPr="00000000" w14:paraId="0000010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ARTICULO 1.- </w:t>
      </w:r>
      <w:r w:rsidDel="00000000" w:rsidR="00000000" w:rsidRPr="00000000">
        <w:rPr>
          <w:rFonts w:ascii="Palatino Linotype" w:cs="Palatino Linotype" w:eastAsia="Palatino Linotype" w:hAnsi="Palatino Linotype"/>
          <w:i w:val="1"/>
          <w:sz w:val="22"/>
          <w:szCs w:val="22"/>
          <w:rtl w:val="0"/>
        </w:rPr>
        <w:t xml:space="preserve">La presente ley es de orden público e interés general y tiene por objeto regular el régimen de seguridad social en favor de los servidores públicos del estado y municipios, así como de sus organismos auxiliares y fideicomisos públicos.</w:t>
      </w:r>
    </w:p>
    <w:p w:rsidR="00000000" w:rsidDel="00000000" w:rsidP="00000000" w:rsidRDefault="00000000" w:rsidRPr="00000000" w14:paraId="0000010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ARTICULO 2.- </w:t>
      </w:r>
      <w:r w:rsidDel="00000000" w:rsidR="00000000" w:rsidRPr="00000000">
        <w:rPr>
          <w:rFonts w:ascii="Palatino Linotype" w:cs="Palatino Linotype" w:eastAsia="Palatino Linotype" w:hAnsi="Palatino Linotype"/>
          <w:i w:val="1"/>
          <w:sz w:val="22"/>
          <w:szCs w:val="22"/>
          <w:rtl w:val="0"/>
        </w:rPr>
        <w:t xml:space="preserve">La aplicación y cumplimiento del régimen de seguridad social que regula esta ley, le corresponde al Instituto de Seguridad Social del Estado de México y Municipios, organismo público descentralizado con personalidad jurídica y patrimonio propios.</w:t>
        <w:br w:type="textWrapping"/>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Son sujetos de esta ley:</w:t>
      </w:r>
    </w:p>
    <w:p w:rsidR="00000000" w:rsidDel="00000000" w:rsidP="00000000" w:rsidRDefault="00000000" w:rsidRPr="00000000" w14:paraId="0000010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rsidR="00000000" w:rsidDel="00000000" w:rsidP="00000000" w:rsidRDefault="00000000" w:rsidRPr="00000000" w14:paraId="0000010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servidores públicos de las instituciones públicas mencionadas en la fracción anterior;</w:t>
      </w:r>
    </w:p>
    <w:p w:rsidR="00000000" w:rsidDel="00000000" w:rsidP="00000000" w:rsidRDefault="00000000" w:rsidRPr="00000000" w14:paraId="0000010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Los pensionados y pensionistas;</w:t>
      </w:r>
    </w:p>
    <w:p w:rsidR="00000000" w:rsidDel="00000000" w:rsidP="00000000" w:rsidRDefault="00000000" w:rsidRPr="00000000" w14:paraId="0000010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Los familiares y dependientes económicos de los servidores públicos y de los pensionados.</w:t>
      </w:r>
    </w:p>
    <w:p w:rsidR="00000000" w:rsidDel="00000000" w:rsidP="00000000" w:rsidRDefault="00000000" w:rsidRPr="00000000" w14:paraId="0000010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ARTICULO 5</w:t>
      </w:r>
      <w:r w:rsidDel="00000000" w:rsidR="00000000" w:rsidRPr="00000000">
        <w:rPr>
          <w:rFonts w:ascii="Palatino Linotype" w:cs="Palatino Linotype" w:eastAsia="Palatino Linotype" w:hAnsi="Palatino Linotype"/>
          <w:i w:val="1"/>
          <w:sz w:val="22"/>
          <w:szCs w:val="22"/>
          <w:rtl w:val="0"/>
        </w:rPr>
        <w:t xml:space="preserve">.- Para los efectos de esta ley se entiende por:</w:t>
      </w:r>
    </w:p>
    <w:p w:rsidR="00000000" w:rsidDel="00000000" w:rsidP="00000000" w:rsidRDefault="00000000" w:rsidRPr="00000000" w14:paraId="0000010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Institución pública,</w:t>
      </w:r>
      <w:r w:rsidDel="00000000" w:rsidR="00000000" w:rsidRPr="00000000">
        <w:rPr>
          <w:rFonts w:ascii="Palatino Linotype" w:cs="Palatino Linotype" w:eastAsia="Palatino Linotype" w:hAnsi="Palatino Linotype"/>
          <w:i w:val="1"/>
          <w:sz w:val="22"/>
          <w:szCs w:val="22"/>
          <w:rtl w:val="0"/>
        </w:rPr>
        <w:t xml:space="preserve"> a los poderes públicos del estado, los ayuntamientos de los municipios y los tribunales administrativos, así como los organismos auxiliares y fideicomisos públicos de carácter estatal y municipal;</w:t>
      </w:r>
    </w:p>
    <w:p w:rsidR="00000000" w:rsidDel="00000000" w:rsidP="00000000" w:rsidRDefault="00000000" w:rsidRPr="00000000" w14:paraId="0000010F">
      <w:pPr>
        <w:spacing w:after="120" w:before="120" w:lineRule="auto"/>
        <w:ind w:left="1134"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III. Servidor público</w:t>
      </w:r>
      <w:r w:rsidDel="00000000" w:rsidR="00000000" w:rsidRPr="00000000">
        <w:rPr>
          <w:rFonts w:ascii="Palatino Linotype" w:cs="Palatino Linotype" w:eastAsia="Palatino Linotype" w:hAnsi="Palatino Linotype"/>
          <w:i w:val="1"/>
          <w:sz w:val="22"/>
          <w:szCs w:val="22"/>
          <w:rtl w:val="0"/>
        </w:rPr>
        <w:t xml:space="preserve">,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r w:rsidDel="00000000" w:rsidR="00000000" w:rsidRPr="00000000">
        <w:rPr>
          <w:rtl w:val="0"/>
        </w:rPr>
      </w:r>
    </w:p>
    <w:p w:rsidR="00000000" w:rsidDel="00000000" w:rsidP="00000000" w:rsidRDefault="00000000" w:rsidRPr="00000000" w14:paraId="0000011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40" w:line="360" w:lineRule="auto"/>
        <w:ind w:right="-150"/>
        <w:jc w:val="both"/>
        <w:rPr>
          <w:rFonts w:ascii="Palatino Linotype" w:cs="Palatino Linotype" w:eastAsia="Palatino Linotype" w:hAnsi="Palatino Linotype"/>
          <w:shd w:fill="ff9900" w:val="clear"/>
        </w:rPr>
      </w:pPr>
      <w:r w:rsidDel="00000000" w:rsidR="00000000" w:rsidRPr="00000000">
        <w:rPr>
          <w:rFonts w:ascii="Palatino Linotype" w:cs="Palatino Linotype" w:eastAsia="Palatino Linotype" w:hAnsi="Palatino Linotype"/>
          <w:rtl w:val="0"/>
        </w:rPr>
        <w:t xml:space="preserve">De conformidad con los preceptos legales, se acredita que compete Instituto de Seguridad Social del Estado de México y Municipios, ISSEMyM, re</w:t>
      </w:r>
      <w:r w:rsidDel="00000000" w:rsidR="00000000" w:rsidRPr="00000000">
        <w:rPr>
          <w:rFonts w:ascii="Palatino Linotype" w:cs="Palatino Linotype" w:eastAsia="Palatino Linotype" w:hAnsi="Palatino Linotype"/>
          <w:b w:val="1"/>
          <w:rtl w:val="0"/>
        </w:rPr>
        <w:t xml:space="preserve">g</w:t>
      </w:r>
      <w:r w:rsidDel="00000000" w:rsidR="00000000" w:rsidRPr="00000000">
        <w:rPr>
          <w:rFonts w:ascii="Palatino Linotype" w:cs="Palatino Linotype" w:eastAsia="Palatino Linotype" w:hAnsi="Palatino Linotype"/>
          <w:rtl w:val="0"/>
        </w:rPr>
        <w:t xml:space="preserve">ular el régimen de seguridad social en favor de los servidores públicos del estado y municipios, consecuentemente,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resulta incompetente para tener en sus archivos la información relativa a la opinión de cumplimiento de sus obligaciones fiscales en materia de Seguridad Social” emitida por el Instituto Mexicano del Seguro Social, IMSS, teniéndose por acreditada la notoria incompetencia, a cargo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del artículo 167 de la Ley de Transparencia local, ya referido, lo que se robustece con el padrón de Sujetos Obligados del Ámbito Federal, en términos de la Ley General de Transparencia y Acceso a la Información Pública, de veintiséis de mayo de dos mil veinte, en la liga </w:t>
      </w:r>
      <w:hyperlink r:id="rId25">
        <w:r w:rsidDel="00000000" w:rsidR="00000000" w:rsidRPr="00000000">
          <w:rPr>
            <w:rFonts w:ascii="Palatino Linotype" w:cs="Palatino Linotype" w:eastAsia="Palatino Linotype" w:hAnsi="Palatino Linotype"/>
            <w:color w:val="0000ff"/>
            <w:u w:val="single"/>
            <w:rtl w:val="0"/>
          </w:rPr>
          <w:t xml:space="preserve">https://www.fonacot.gob.mx/TransparenciaRendicionCuentas/Documents/Normatividad%20en%20Transparencia/Padron_Sujetos_Obligados%20INAI.pdf</w:t>
        </w:r>
      </w:hyperlink>
      <w:r w:rsidDel="00000000" w:rsidR="00000000" w:rsidRPr="00000000">
        <w:rPr>
          <w:rFonts w:ascii="Palatino Linotype" w:cs="Palatino Linotype" w:eastAsia="Palatino Linotype" w:hAnsi="Palatino Linotype"/>
          <w:rtl w:val="0"/>
        </w:rPr>
        <w:t xml:space="preserve">), en el que se advierte que el Instituto Mexicano del Seguro Social, es un Sujeto Obligado diverso, como se acredita con la siguiente imagen de dicho padrón que se inserta a continuación de manera ilustrativa:</w:t>
      </w:r>
      <w:r w:rsidDel="00000000" w:rsidR="00000000" w:rsidRPr="00000000">
        <w:rPr>
          <w:rtl w:val="0"/>
        </w:rPr>
      </w:r>
    </w:p>
    <w:p w:rsidR="00000000" w:rsidDel="00000000" w:rsidP="00000000" w:rsidRDefault="00000000" w:rsidRPr="00000000" w14:paraId="00000112">
      <w:pPr>
        <w:spacing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drawing>
          <wp:inline distB="0" distT="0" distL="0" distR="0">
            <wp:extent cx="5644422" cy="1951927"/>
            <wp:effectExtent b="0" l="0" r="0" t="0"/>
            <wp:docPr id="126" name="image19.png"/>
            <a:graphic>
              <a:graphicData uri="http://schemas.openxmlformats.org/drawingml/2006/picture">
                <pic:pic>
                  <pic:nvPicPr>
                    <pic:cNvPr id="0" name="image19.png"/>
                    <pic:cNvPicPr preferRelativeResize="0"/>
                  </pic:nvPicPr>
                  <pic:blipFill>
                    <a:blip r:embed="rId26"/>
                    <a:srcRect b="16079" l="24979" r="24861" t="38184"/>
                    <a:stretch>
                      <a:fillRect/>
                    </a:stretch>
                  </pic:blipFill>
                  <pic:spPr>
                    <a:xfrm>
                      <a:off x="0" y="0"/>
                      <a:ext cx="5644422" cy="195192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520700</wp:posOffset>
                </wp:positionV>
                <wp:extent cx="660730" cy="441036"/>
                <wp:effectExtent b="0" l="0" r="0" t="0"/>
                <wp:wrapNone/>
                <wp:docPr id="99" name=""/>
                <a:graphic>
                  <a:graphicData uri="http://schemas.microsoft.com/office/word/2010/wordprocessingShape">
                    <wps:wsp>
                      <wps:cNvSpPr/>
                      <wps:cNvPr id="2" name="Shape 2"/>
                      <wps:spPr>
                        <a:xfrm>
                          <a:off x="5028335" y="3572182"/>
                          <a:ext cx="635330" cy="415636"/>
                        </a:xfrm>
                        <a:prstGeom prst="left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520700</wp:posOffset>
                </wp:positionV>
                <wp:extent cx="660730" cy="441036"/>
                <wp:effectExtent b="0" l="0" r="0" t="0"/>
                <wp:wrapNone/>
                <wp:docPr id="99"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660730" cy="441036"/>
                        </a:xfrm>
                        <a:prstGeom prst="rect"/>
                        <a:ln/>
                      </pic:spPr>
                    </pic:pic>
                  </a:graphicData>
                </a:graphic>
              </wp:anchor>
            </w:drawing>
          </mc:Fallback>
        </mc:AlternateContent>
      </w:r>
    </w:p>
    <w:p w:rsidR="00000000" w:rsidDel="00000000" w:rsidP="00000000" w:rsidRDefault="00000000" w:rsidRPr="00000000" w14:paraId="0000011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 se advierte una notoria incompetencia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dar respuesta a los requerimientos marcados con los números romanos II y III, y si bien ante dicha circunstancia, no se observó lo previsto en el párrafo primero del artículo 167 de la Ley de la Materia, que es del tenor literal siguiente:</w:t>
      </w:r>
    </w:p>
    <w:p w:rsidR="00000000" w:rsidDel="00000000" w:rsidP="00000000" w:rsidRDefault="00000000" w:rsidRPr="00000000" w14:paraId="0000011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C</w:t>
      </w:r>
      <w:r w:rsidDel="00000000" w:rsidR="00000000" w:rsidRPr="00000000">
        <w:rPr>
          <w:rFonts w:ascii="Palatino Linotype" w:cs="Palatino Linotype" w:eastAsia="Palatino Linotype" w:hAnsi="Palatino Linotype"/>
          <w:b w:val="1"/>
          <w:i w:val="1"/>
          <w:sz w:val="22"/>
          <w:szCs w:val="22"/>
          <w:rtl w:val="0"/>
        </w:rPr>
        <w:t xml:space="preserve">uando las unidades de transparencia determinen la notoria incompetencia por parte de los sujetos obligados,</w:t>
      </w:r>
      <w:r w:rsidDel="00000000" w:rsidR="00000000" w:rsidRPr="00000000">
        <w:rPr>
          <w:rFonts w:ascii="Palatino Linotype" w:cs="Palatino Linotype" w:eastAsia="Palatino Linotype" w:hAnsi="Palatino Linotype"/>
          <w:i w:val="1"/>
          <w:sz w:val="22"/>
          <w:szCs w:val="22"/>
          <w:rtl w:val="0"/>
        </w:rPr>
        <w:t xml:space="preserve">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w:t>
      </w:r>
      <w:r w:rsidDel="00000000" w:rsidR="00000000" w:rsidRPr="00000000">
        <w:rPr>
          <w:rFonts w:ascii="Palatino Linotype" w:cs="Palatino Linotype" w:eastAsia="Palatino Linotype" w:hAnsi="Palatino Linotype"/>
          <w:b w:val="1"/>
          <w:i w:val="1"/>
          <w:sz w:val="22"/>
          <w:szCs w:val="22"/>
          <w:u w:val="single"/>
          <w:rtl w:val="0"/>
        </w:rPr>
        <w:t xml:space="preserve">tres días hábiles posteriores</w:t>
      </w:r>
      <w:r w:rsidDel="00000000" w:rsidR="00000000" w:rsidRPr="00000000">
        <w:rPr>
          <w:rFonts w:ascii="Palatino Linotype" w:cs="Palatino Linotype" w:eastAsia="Palatino Linotype" w:hAnsi="Palatino Linotype"/>
          <w:b w:val="1"/>
          <w:i w:val="1"/>
          <w:sz w:val="22"/>
          <w:szCs w:val="22"/>
          <w:rtl w:val="0"/>
        </w:rPr>
        <w:t xml:space="preserve"> a la recepción de la solicitud</w:t>
      </w:r>
      <w:r w:rsidDel="00000000" w:rsidR="00000000" w:rsidRPr="00000000">
        <w:rPr>
          <w:rFonts w:ascii="Palatino Linotype" w:cs="Palatino Linotype" w:eastAsia="Palatino Linotype" w:hAnsi="Palatino Linotype"/>
          <w:i w:val="1"/>
          <w:sz w:val="22"/>
          <w:szCs w:val="22"/>
          <w:rtl w:val="0"/>
        </w:rPr>
        <w:t xml:space="preserve"> y, en su caso orientar al solicitante, el o los sujetos obligados competentes.”</w:t>
      </w:r>
    </w:p>
    <w:p w:rsidR="00000000" w:rsidDel="00000000" w:rsidP="00000000" w:rsidRDefault="00000000" w:rsidRPr="00000000" w14:paraId="00000116">
      <w:pPr>
        <w:spacing w:after="240" w:before="240" w:line="360" w:lineRule="auto"/>
        <w:jc w:val="both"/>
        <w:rPr/>
      </w:pPr>
      <w:r w:rsidDel="00000000" w:rsidR="00000000" w:rsidRPr="00000000">
        <w:rPr>
          <w:rFonts w:ascii="Palatino Linotype" w:cs="Palatino Linotype" w:eastAsia="Palatino Linotype" w:hAnsi="Palatino Linotype"/>
          <w:rtl w:val="0"/>
        </w:rPr>
        <w:t xml:space="preserve">En el caso concreto resulta ocioso y a nada práctico llevaría ordenar la declaratoria formal de incompetencia a través del acuerdo que para tales efectos emita el Comité de Transparencia en términos de lo previsto en el artículo 49 fracción II</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al acreditarse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está supeditado al cumplimiento de obligaciones fiscales ante el Instituto del Fondo Nacional de la Vivienda para los Trabajadores, INFONAVIT, así como el Instituto Mexicano del Seguro Social, IMSS.</w:t>
      </w:r>
      <w:r w:rsidDel="00000000" w:rsidR="00000000" w:rsidRPr="00000000">
        <w:rPr>
          <w:rtl w:val="0"/>
        </w:rPr>
      </w:r>
    </w:p>
    <w:p w:rsidR="00000000" w:rsidDel="00000000" w:rsidP="00000000" w:rsidRDefault="00000000" w:rsidRPr="00000000" w14:paraId="000001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de lo anterior, se insta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en próximas ocasiones observe las formalidades que prevén las leyes de la materia a efecto de no vulnerar el derecho de acceso a la información de los particulares.</w:t>
      </w:r>
    </w:p>
    <w:p w:rsidR="00000000" w:rsidDel="00000000" w:rsidP="00000000" w:rsidRDefault="00000000" w:rsidRPr="00000000" w14:paraId="0000011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hace de su conocimiento que mismo artículo 167 de la Ley de la Materia, en su párrafo segundo concede a los Sujetos Obligados la posibilidad de atender de manera parcial las solicitudes de acceso a la información, dando respuesta únicamente respecto de aquellos requerimientos sobre los cuales se tiene competencia, y, respecto de la información sobre la cual se es incompetente, declarar la incompetencia en el término de tres días hábiles posteriores a la recepción de la solicitud.</w:t>
      </w:r>
    </w:p>
    <w:p w:rsidR="00000000" w:rsidDel="00000000" w:rsidP="00000000" w:rsidRDefault="00000000" w:rsidRPr="00000000" w14:paraId="0000011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numeral </w:t>
      </w:r>
      <w:r w:rsidDel="00000000" w:rsidR="00000000" w:rsidRPr="00000000">
        <w:rPr>
          <w:rFonts w:ascii="Palatino Linotype" w:cs="Palatino Linotype" w:eastAsia="Palatino Linotype" w:hAnsi="Palatino Linotype"/>
          <w:b w:val="1"/>
          <w:sz w:val="26"/>
          <w:szCs w:val="26"/>
          <w:rtl w:val="0"/>
        </w:rPr>
        <w:t xml:space="preserve">V</w:t>
      </w:r>
      <w:r w:rsidDel="00000000" w:rsidR="00000000" w:rsidRPr="00000000">
        <w:rPr>
          <w:rFonts w:ascii="Palatino Linotype" w:cs="Palatino Linotype" w:eastAsia="Palatino Linotype" w:hAnsi="Palatino Linotype"/>
          <w:rtl w:val="0"/>
        </w:rPr>
        <w:t xml:space="preserve">, relativo a documentos de trabajo por Municipio y por sus órganos paramunicipales, que contenga los datos de identificación de ISR, recuperado por mes, del periodo del uno de enero de dos mil diecinueve al treinta y uno de octubre de dos mil veintiuno; apreciamos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peticiona un documento de tipo específico que contenga desagregada la información en diversos apartados, atentos a ello, se le hace del conocimiento al particular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rsidR="00000000" w:rsidDel="00000000" w:rsidP="00000000" w:rsidRDefault="00000000" w:rsidRPr="00000000" w14:paraId="0000011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del contenido del requerimiento, podemos sintetizar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rsidR="00000000" w:rsidDel="00000000" w:rsidP="00000000" w:rsidRDefault="00000000" w:rsidRPr="00000000" w14:paraId="0000011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48. Retenciones del Impuesto Sobre la Renta por Salarios, Honorarios y Arrendamiento</w:t>
      </w:r>
    </w:p>
    <w:p w:rsidR="00000000" w:rsidDel="00000000" w:rsidP="00000000" w:rsidRDefault="00000000" w:rsidRPr="00000000" w14:paraId="0000011E">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Formato: el archivo se presentará en .pdf y .xls</w:t>
      </w:r>
    </w:p>
    <w:p w:rsidR="00000000" w:rsidDel="00000000" w:rsidP="00000000" w:rsidRDefault="00000000" w:rsidRPr="00000000" w14:paraId="0000011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Objetivo</w:t>
      </w:r>
      <w:r w:rsidDel="00000000" w:rsidR="00000000" w:rsidRPr="00000000">
        <w:rPr>
          <w:rFonts w:ascii="Palatino Linotype" w:cs="Palatino Linotype" w:eastAsia="Palatino Linotype" w:hAnsi="Palatino Linotype"/>
          <w:i w:val="1"/>
          <w:sz w:val="22"/>
          <w:szCs w:val="22"/>
          <w:rtl w:val="0"/>
        </w:rPr>
        <w:t xml:space="preserve">: Concentrar toda la información de las Retenciones del Impuesto Sobre la Renta por Salarios, Honorarios y Arrendamiento.</w:t>
      </w:r>
    </w:p>
    <w:p w:rsidR="00000000" w:rsidDel="00000000" w:rsidP="00000000" w:rsidRDefault="00000000" w:rsidRPr="00000000" w14:paraId="0000012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Instructivo:</w:t>
      </w:r>
    </w:p>
    <w:p w:rsidR="00000000" w:rsidDel="00000000" w:rsidP="00000000" w:rsidRDefault="00000000" w:rsidRPr="00000000" w14:paraId="0000012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Entidad Municipal:</w:t>
      </w:r>
      <w:r w:rsidDel="00000000" w:rsidR="00000000" w:rsidRPr="00000000">
        <w:rPr>
          <w:rFonts w:ascii="Palatino Linotype" w:cs="Palatino Linotype" w:eastAsia="Palatino Linotype" w:hAnsi="Palatino Linotype"/>
          <w:i w:val="1"/>
          <w:sz w:val="22"/>
          <w:szCs w:val="22"/>
          <w:rtl w:val="0"/>
        </w:rPr>
        <w:t xml:space="preserve"> Anotar el nombre de la entidad, seguido del número que le corresponde, por ejemplo: Toluca, 101.</w:t>
      </w:r>
    </w:p>
    <w:p w:rsidR="00000000" w:rsidDel="00000000" w:rsidP="00000000" w:rsidRDefault="00000000" w:rsidRPr="00000000" w14:paraId="00000122">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Periodo de Presentación; </w:t>
      </w:r>
      <w:r w:rsidDel="00000000" w:rsidR="00000000" w:rsidRPr="00000000">
        <w:rPr>
          <w:rFonts w:ascii="Palatino Linotype" w:cs="Palatino Linotype" w:eastAsia="Palatino Linotype" w:hAnsi="Palatino Linotype"/>
          <w:i w:val="1"/>
          <w:sz w:val="22"/>
          <w:szCs w:val="22"/>
          <w:rtl w:val="0"/>
        </w:rPr>
        <w:t xml:space="preserve">Indicar a que fecha se presenta la información requisitada. </w:t>
      </w:r>
    </w:p>
    <w:p w:rsidR="00000000" w:rsidDel="00000000" w:rsidP="00000000" w:rsidRDefault="00000000" w:rsidRPr="00000000" w14:paraId="00000123">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ISR Retenido por Salarios:</w:t>
      </w:r>
      <w:r w:rsidDel="00000000" w:rsidR="00000000" w:rsidRPr="00000000">
        <w:rPr>
          <w:rFonts w:ascii="Palatino Linotype" w:cs="Palatino Linotype" w:eastAsia="Palatino Linotype" w:hAnsi="Palatino Linotype"/>
          <w:i w:val="1"/>
          <w:sz w:val="22"/>
          <w:szCs w:val="22"/>
          <w:rtl w:val="0"/>
        </w:rPr>
        <w:t xml:space="preserve"> Anotar en pesos el importe mensual registrado por este concepto durante el ejercicio 2019.</w:t>
      </w:r>
    </w:p>
    <w:p w:rsidR="00000000" w:rsidDel="00000000" w:rsidP="00000000" w:rsidRDefault="00000000" w:rsidRPr="00000000" w14:paraId="0000012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 ISR Retenido por Honorarios: </w:t>
      </w:r>
      <w:r w:rsidDel="00000000" w:rsidR="00000000" w:rsidRPr="00000000">
        <w:rPr>
          <w:rFonts w:ascii="Palatino Linotype" w:cs="Palatino Linotype" w:eastAsia="Palatino Linotype" w:hAnsi="Palatino Linotype"/>
          <w:i w:val="1"/>
          <w:sz w:val="22"/>
          <w:szCs w:val="22"/>
          <w:rtl w:val="0"/>
        </w:rPr>
        <w:t xml:space="preserve">Colocar en pesos el importe mensual registrado por este concepto durante el ejercicio 2019.</w:t>
      </w:r>
    </w:p>
    <w:p w:rsidR="00000000" w:rsidDel="00000000" w:rsidP="00000000" w:rsidRDefault="00000000" w:rsidRPr="00000000" w14:paraId="0000012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 ISR por pago a cuenta de Terceros o Retenciones por Arrendamiento de Inmuebles:</w:t>
      </w:r>
      <w:r w:rsidDel="00000000" w:rsidR="00000000" w:rsidRPr="00000000">
        <w:rPr>
          <w:rFonts w:ascii="Palatino Linotype" w:cs="Palatino Linotype" w:eastAsia="Palatino Linotype" w:hAnsi="Palatino Linotype"/>
          <w:i w:val="1"/>
          <w:sz w:val="22"/>
          <w:szCs w:val="22"/>
          <w:rtl w:val="0"/>
        </w:rPr>
        <w:t xml:space="preserve"> En caso de que la entidad presente retenciones por estos conceptos deberá anotar en pesos el importe mensual registrado por este concepto durante el ejercicio 2019.</w:t>
      </w:r>
    </w:p>
    <w:p w:rsidR="00000000" w:rsidDel="00000000" w:rsidP="00000000" w:rsidRDefault="00000000" w:rsidRPr="00000000" w14:paraId="00000126">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6.- ISR Retenido por algún otro concepto:</w:t>
      </w:r>
      <w:r w:rsidDel="00000000" w:rsidR="00000000" w:rsidRPr="00000000">
        <w:rPr>
          <w:rFonts w:ascii="Palatino Linotype" w:cs="Palatino Linotype" w:eastAsia="Palatino Linotype" w:hAnsi="Palatino Linotype"/>
          <w:i w:val="1"/>
          <w:sz w:val="22"/>
          <w:szCs w:val="22"/>
          <w:rtl w:val="0"/>
        </w:rPr>
        <w:t xml:space="preserve"> En caso de que la entidad presente retenciones por algún otro concepto no detallado entre los principales, estos deberá anotarse en pesos el importe mensual registrado por este concepto durante el ejercicio 2019.</w:t>
      </w:r>
    </w:p>
    <w:p w:rsidR="00000000" w:rsidDel="00000000" w:rsidP="00000000" w:rsidRDefault="00000000" w:rsidRPr="00000000" w14:paraId="00000127">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 Actualizaciones y Recargos:</w:t>
      </w:r>
      <w:r w:rsidDel="00000000" w:rsidR="00000000" w:rsidRPr="00000000">
        <w:rPr>
          <w:rFonts w:ascii="Palatino Linotype" w:cs="Palatino Linotype" w:eastAsia="Palatino Linotype" w:hAnsi="Palatino Linotype"/>
          <w:i w:val="1"/>
          <w:sz w:val="22"/>
          <w:szCs w:val="22"/>
          <w:rtl w:val="0"/>
        </w:rPr>
        <w:t xml:space="preserve"> En casos de cumplimiento extemporáneo de obligaciones deberán anotar la suma en pesos de las actualizaciones y los recargos que fueron originados al momento de cumplir con la obligación.</w:t>
      </w:r>
    </w:p>
    <w:p w:rsidR="00000000" w:rsidDel="00000000" w:rsidP="00000000" w:rsidRDefault="00000000" w:rsidRPr="00000000" w14:paraId="00000128">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8.- Subsidio al empleo: </w:t>
      </w:r>
      <w:r w:rsidDel="00000000" w:rsidR="00000000" w:rsidRPr="00000000">
        <w:rPr>
          <w:rFonts w:ascii="Palatino Linotype" w:cs="Palatino Linotype" w:eastAsia="Palatino Linotype" w:hAnsi="Palatino Linotype"/>
          <w:i w:val="1"/>
          <w:sz w:val="22"/>
          <w:szCs w:val="22"/>
          <w:rtl w:val="0"/>
        </w:rPr>
        <w:t xml:space="preserve">Anotar en pesos el importe mensual registrado por este concepto de ayuda o apoyo que por ley debe pagarle el patrón al trabajador cuando éste último percibe el salario mínimo durante el ejercicio y que se acredito contra el ISR a cargo.</w:t>
      </w:r>
    </w:p>
    <w:p w:rsidR="00000000" w:rsidDel="00000000" w:rsidP="00000000" w:rsidRDefault="00000000" w:rsidRPr="00000000" w14:paraId="00000129">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9.- ISR por pagar; </w:t>
      </w:r>
      <w:r w:rsidDel="00000000" w:rsidR="00000000" w:rsidRPr="00000000">
        <w:rPr>
          <w:rFonts w:ascii="Palatino Linotype" w:cs="Palatino Linotype" w:eastAsia="Palatino Linotype" w:hAnsi="Palatino Linotype"/>
          <w:i w:val="1"/>
          <w:sz w:val="22"/>
          <w:szCs w:val="22"/>
          <w:rtl w:val="0"/>
        </w:rPr>
        <w:t xml:space="preserve">Operación aritmética que consiste en sumar los conceptos de retención de ISR con las actualizaciones y recargos que en su caso se originaron descontando el subsidio.</w:t>
      </w:r>
    </w:p>
    <w:p w:rsidR="00000000" w:rsidDel="00000000" w:rsidP="00000000" w:rsidRDefault="00000000" w:rsidRPr="00000000" w14:paraId="0000012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Refleja el saldo mensual que se debió pagar de las Retenciones del Impuesto Sobre la Renta por Salarios, Honorarios y Arrendamiento del ejercicio 2019.</w:t>
      </w:r>
    </w:p>
    <w:p w:rsidR="00000000" w:rsidDel="00000000" w:rsidP="00000000" w:rsidRDefault="00000000" w:rsidRPr="00000000" w14:paraId="0000012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10.- Pagos realizados de acuerdo a expediente;</w:t>
      </w:r>
      <w:r w:rsidDel="00000000" w:rsidR="00000000" w:rsidRPr="00000000">
        <w:rPr>
          <w:rFonts w:ascii="Palatino Linotype" w:cs="Palatino Linotype" w:eastAsia="Palatino Linotype" w:hAnsi="Palatino Linotype"/>
          <w:i w:val="1"/>
          <w:sz w:val="22"/>
          <w:szCs w:val="22"/>
          <w:rtl w:val="0"/>
        </w:rPr>
        <w:t xml:space="preserve"> Anotar en pesos el importe correspondiente a cada mes de los pagos efectuados por las Retenciones del Impuesto Sobre la Renta por Salarios, Honorarios y Arrendamiento del ejercicio 2019.</w:t>
      </w:r>
    </w:p>
    <w:p w:rsidR="00000000" w:rsidDel="00000000" w:rsidP="00000000" w:rsidRDefault="00000000" w:rsidRPr="00000000" w14:paraId="0000012C">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 Fecha de pago: </w:t>
      </w:r>
      <w:r w:rsidDel="00000000" w:rsidR="00000000" w:rsidRPr="00000000">
        <w:rPr>
          <w:rFonts w:ascii="Palatino Linotype" w:cs="Palatino Linotype" w:eastAsia="Palatino Linotype" w:hAnsi="Palatino Linotype"/>
          <w:i w:val="1"/>
          <w:sz w:val="22"/>
          <w:szCs w:val="22"/>
          <w:rtl w:val="0"/>
        </w:rPr>
        <w:t xml:space="preserve">Especificar la fecha en que se realizó el pago de dicha obligación.</w:t>
      </w:r>
    </w:p>
    <w:p w:rsidR="00000000" w:rsidDel="00000000" w:rsidP="00000000" w:rsidRDefault="00000000" w:rsidRPr="00000000" w14:paraId="0000012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12.- Remanente por pagar:</w:t>
      </w:r>
      <w:r w:rsidDel="00000000" w:rsidR="00000000" w:rsidRPr="00000000">
        <w:rPr>
          <w:rFonts w:ascii="Palatino Linotype" w:cs="Palatino Linotype" w:eastAsia="Palatino Linotype" w:hAnsi="Palatino Linotype"/>
          <w:i w:val="1"/>
          <w:sz w:val="22"/>
          <w:szCs w:val="22"/>
          <w:rtl w:val="0"/>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rsidR="00000000" w:rsidDel="00000000" w:rsidP="00000000" w:rsidRDefault="00000000" w:rsidRPr="00000000" w14:paraId="0000012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13.- Cuenta Contable:</w:t>
      </w:r>
      <w:r w:rsidDel="00000000" w:rsidR="00000000" w:rsidRPr="00000000">
        <w:rPr>
          <w:rFonts w:ascii="Palatino Linotype" w:cs="Palatino Linotype" w:eastAsia="Palatino Linotype" w:hAnsi="Palatino Linotype"/>
          <w:i w:val="1"/>
          <w:sz w:val="22"/>
          <w:szCs w:val="22"/>
          <w:rtl w:val="0"/>
        </w:rPr>
        <w:t xml:space="preserve"> Anotar las subcuentas a nivel registro de la cuenta contable donde se registró la provisión del pasivo para el pago de las Retenciones del Impuesto Sobre la Renta por Salarios, Honorarios y Arrendamiento del ejercicio 2019.</w:t>
      </w:r>
    </w:p>
    <w:p w:rsidR="00000000" w:rsidDel="00000000" w:rsidP="00000000" w:rsidRDefault="00000000" w:rsidRPr="00000000" w14:paraId="0000012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14.- Saldo de la Cuenta de pasivo:</w:t>
      </w:r>
      <w:r w:rsidDel="00000000" w:rsidR="00000000" w:rsidRPr="00000000">
        <w:rPr>
          <w:rFonts w:ascii="Palatino Linotype" w:cs="Palatino Linotype" w:eastAsia="Palatino Linotype" w:hAnsi="Palatino Linotype"/>
          <w:i w:val="1"/>
          <w:sz w:val="22"/>
          <w:szCs w:val="22"/>
          <w:rtl w:val="0"/>
        </w:rPr>
        <w:t xml:space="preserve"> Colocar en pesos el saldo de la cuenta de pasivo que reflejan los reportes contables para cada cuenta que le corresponda.</w:t>
      </w:r>
    </w:p>
    <w:p w:rsidR="00000000" w:rsidDel="00000000" w:rsidP="00000000" w:rsidRDefault="00000000" w:rsidRPr="00000000" w14:paraId="0000013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15. Apartado de Firmas:</w:t>
      </w:r>
      <w:r w:rsidDel="00000000" w:rsidR="00000000" w:rsidRPr="00000000">
        <w:rPr>
          <w:rFonts w:ascii="Palatino Linotype" w:cs="Palatino Linotype" w:eastAsia="Palatino Linotype" w:hAnsi="Palatino Linotype"/>
          <w:i w:val="1"/>
          <w:sz w:val="22"/>
          <w:szCs w:val="22"/>
          <w:rtl w:val="0"/>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rsidR="00000000" w:rsidDel="00000000" w:rsidP="00000000" w:rsidRDefault="00000000" w:rsidRPr="00000000" w14:paraId="0000013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rsidR="00000000" w:rsidDel="00000000" w:rsidP="00000000" w:rsidRDefault="00000000" w:rsidRPr="00000000" w14:paraId="000001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63350" cy="3029300"/>
            <wp:effectExtent b="0" l="0" r="0" t="0"/>
            <wp:docPr id="127"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363350" cy="30293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podemos observar, el documento denominado “Retenciones del Impuesto Sobre la Renta por Salarios, Honorarios y Arrendamiento”, satisface el requerimiento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al apreciarse en los apartados del documento, que contiene la información peticionada, en consecuencia,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al ser ente fiscalizable por el Órgano Superior de Fiscalización del Estado de México OSFEM, que lo constriñe a remitir la información referida, se encuentra obligado a tenerla en sus archivos, consecuentemente es dable ordenar su entrega.</w:t>
      </w:r>
    </w:p>
    <w:p w:rsidR="00000000" w:rsidDel="00000000" w:rsidP="00000000" w:rsidRDefault="00000000" w:rsidRPr="00000000" w14:paraId="0000013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spacing w:line="360" w:lineRule="auto"/>
        <w:jc w:val="both"/>
        <w:rPr>
          <w:rFonts w:ascii="Verdana" w:cs="Verdana" w:eastAsia="Verdana" w:hAnsi="Verdana"/>
          <w:color w:val="000000"/>
          <w:sz w:val="14"/>
          <w:szCs w:val="14"/>
        </w:rPr>
      </w:pPr>
      <w:r w:rsidDel="00000000" w:rsidR="00000000" w:rsidRPr="00000000">
        <w:rPr>
          <w:rFonts w:ascii="Palatino Linotype" w:cs="Palatino Linotype" w:eastAsia="Palatino Linotype" w:hAnsi="Palatino Linotype"/>
          <w:rtl w:val="0"/>
        </w:rPr>
        <w:t xml:space="preserve">En lo concerniente al punto VI.- Papel de trabajo de tres muestras de trabajadores por los años 2017, 2018, 2019 y 2020, sobre este punto, es necesario precisar que  de la lectura del mismo, se acredita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peticiona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realice un procesamiento de información, a efecto de poder comprobarse que los servidores públicos no están siendo afectados por errores en el cálculo de impuestos, por lo que a manera de muestra </w:t>
      </w:r>
      <w:r w:rsidDel="00000000" w:rsidR="00000000" w:rsidRPr="00000000">
        <w:rPr>
          <w:rFonts w:ascii="Palatino Linotype" w:cs="Palatino Linotype" w:eastAsia="Palatino Linotype" w:hAnsi="Palatino Linotype"/>
          <w:u w:val="single"/>
          <w:rtl w:val="0"/>
        </w:rPr>
        <w:t xml:space="preserve">calculen los impuestos anuales</w:t>
      </w:r>
      <w:r w:rsidDel="00000000" w:rsidR="00000000" w:rsidRPr="00000000">
        <w:rPr>
          <w:rFonts w:ascii="Palatino Linotype" w:cs="Palatino Linotype" w:eastAsia="Palatino Linotype" w:hAnsi="Palatino Linotype"/>
          <w:rtl w:val="0"/>
        </w:rPr>
        <w:t xml:space="preserve"> de los años 2017, 2018, 2019 y 2020, una vez hecho el procesamiento de la información, deberá realizar un documento de tipo específico que la contenga desagregada conforme a los apartados señalados.</w:t>
      </w:r>
      <w:r w:rsidDel="00000000" w:rsidR="00000000" w:rsidRPr="00000000">
        <w:rPr>
          <w:rtl w:val="0"/>
        </w:rPr>
      </w:r>
    </w:p>
    <w:p w:rsidR="00000000" w:rsidDel="00000000" w:rsidP="00000000" w:rsidRDefault="00000000" w:rsidRPr="00000000" w14:paraId="000001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Del="00000000" w:rsidR="00000000" w:rsidRPr="00000000">
        <w:rPr>
          <w:rFonts w:ascii="Palatino Linotype" w:cs="Palatino Linotype" w:eastAsia="Palatino Linotype" w:hAnsi="Palatino Linotype"/>
          <w:u w:val="single"/>
          <w:rtl w:val="0"/>
        </w:rPr>
        <w:t xml:space="preserve">en el estado que se encuentra y no hacer un procesamiento de la misma, ni presentarla conforme al interés del solicitante</w:t>
      </w:r>
      <w:r w:rsidDel="00000000" w:rsidR="00000000" w:rsidRPr="00000000">
        <w:rPr>
          <w:rFonts w:ascii="Palatino Linotype" w:cs="Palatino Linotype" w:eastAsia="Palatino Linotype" w:hAnsi="Palatino Linotype"/>
          <w:rtl w:val="0"/>
        </w:rPr>
        <w:t xml:space="preserve">; como así lo establece el artículo 12 de la Ley de Transparencia y Acceso a la Información Pública del Estado de México y Municipios, que a la letra dice:</w:t>
      </w:r>
    </w:p>
    <w:p w:rsidR="00000000" w:rsidDel="00000000" w:rsidP="00000000" w:rsidRDefault="00000000" w:rsidRPr="00000000" w14:paraId="00000139">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13B">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C">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13D">
      <w:pPr>
        <w:spacing w:line="276"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3E">
      <w:pPr>
        <w:spacing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13F">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40">
      <w:pPr>
        <w:spacing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tl w:val="0"/>
        </w:rPr>
      </w:r>
    </w:p>
    <w:p w:rsidR="00000000" w:rsidDel="00000000" w:rsidP="00000000" w:rsidRDefault="00000000" w:rsidRPr="00000000" w14:paraId="00000141">
      <w:pPr>
        <w:spacing w:line="360" w:lineRule="auto"/>
        <w:ind w:left="851" w:right="901"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142">
      <w:pPr>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143">
      <w:pPr>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Resoluciones: </w:t>
      </w:r>
    </w:p>
    <w:p w:rsidR="00000000" w:rsidDel="00000000" w:rsidP="00000000" w:rsidRDefault="00000000" w:rsidRPr="00000000" w14:paraId="00000144">
      <w:pPr>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145">
      <w:pPr>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146">
      <w:pPr>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RRA 1889/16. Secretaría de Hacienda y Crédito Público. 05 de octubre de 2016. Por unanimidad. Comisionada Ponente. Ximena Puente de la Mora.”(Sic)</w:t>
      </w:r>
    </w:p>
    <w:p w:rsidR="00000000" w:rsidDel="00000000" w:rsidP="00000000" w:rsidRDefault="00000000" w:rsidRPr="00000000" w14:paraId="0000014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al apreciarse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desea acceder a un soporte documental, sino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realice un procesamiento y cálculo de la información, una vez realizados, genere un documento que contenga desagregada la información, en apartados específicos lo cual no resulta exigible, consecuentemente, no resulta dable ordenar su entrega. </w:t>
      </w:r>
    </w:p>
    <w:p w:rsidR="00000000" w:rsidDel="00000000" w:rsidP="00000000" w:rsidRDefault="00000000" w:rsidRPr="00000000" w14:paraId="000001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no pasa desapercibido que de un análisis a los motivos de inconformidad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se advierte alguna inconformidad del documento anterior, ya que sólo se concretó a señalar “Y el V y VI es una sugerencia par eficientar y mejor su actividades”, el cual no actualiza alguna de las hipótesis de procedencia del Recurso de Revisión, previstas en el artículo 179 de la Ley de Transparencia y Acceso a la Información Pública del Estado de México y Municipios, que señala:</w:t>
      </w:r>
    </w:p>
    <w:p w:rsidR="00000000" w:rsidDel="00000000" w:rsidP="00000000" w:rsidRDefault="00000000" w:rsidRPr="00000000" w14:paraId="0000014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179. El recurso de revisión es un medio de protección que la Ley otorga a los particulares, para hacer valer su derecho de acceso a la información pública, y procederá en contra de las siguientes causas: </w:t>
      </w:r>
    </w:p>
    <w:p w:rsidR="00000000" w:rsidDel="00000000" w:rsidP="00000000" w:rsidRDefault="00000000" w:rsidRPr="00000000" w14:paraId="0000014C">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 </w:t>
      </w:r>
    </w:p>
    <w:p w:rsidR="00000000" w:rsidDel="00000000" w:rsidP="00000000" w:rsidRDefault="00000000" w:rsidRPr="00000000" w14:paraId="0000014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clasificación de la información; </w:t>
      </w:r>
    </w:p>
    <w:p w:rsidR="00000000" w:rsidDel="00000000" w:rsidP="00000000" w:rsidRDefault="00000000" w:rsidRPr="00000000" w14:paraId="0000014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declaración de inexistencia de la información; </w:t>
      </w:r>
    </w:p>
    <w:p w:rsidR="00000000" w:rsidDel="00000000" w:rsidP="00000000" w:rsidRDefault="00000000" w:rsidRPr="00000000" w14:paraId="0000014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declaración de incompetencia por el sujeto obligado; </w:t>
      </w:r>
    </w:p>
    <w:p w:rsidR="00000000" w:rsidDel="00000000" w:rsidP="00000000" w:rsidRDefault="00000000" w:rsidRPr="00000000" w14:paraId="0000015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 </w:t>
      </w:r>
    </w:p>
    <w:p w:rsidR="00000000" w:rsidDel="00000000" w:rsidP="00000000" w:rsidRDefault="00000000" w:rsidRPr="00000000" w14:paraId="0000015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entrega de información que no corresponda con lo solicitado; </w:t>
      </w:r>
    </w:p>
    <w:p w:rsidR="00000000" w:rsidDel="00000000" w:rsidP="00000000" w:rsidRDefault="00000000" w:rsidRPr="00000000" w14:paraId="00000152">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 falta de respuesta a una solicitud de acceso a la información; </w:t>
      </w:r>
    </w:p>
    <w:p w:rsidR="00000000" w:rsidDel="00000000" w:rsidP="00000000" w:rsidRDefault="00000000" w:rsidRPr="00000000" w14:paraId="00000153">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notificación, entrega o puesta a disposición de información en una modalidad o formato distinto al solicitado; </w:t>
      </w:r>
    </w:p>
    <w:p w:rsidR="00000000" w:rsidDel="00000000" w:rsidP="00000000" w:rsidRDefault="00000000" w:rsidRPr="00000000" w14:paraId="0000015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La entrega o puesta a disposición de información en un formato incomprensible y/o no accesible para el solicitante; </w:t>
      </w:r>
    </w:p>
    <w:p w:rsidR="00000000" w:rsidDel="00000000" w:rsidP="00000000" w:rsidRDefault="00000000" w:rsidRPr="00000000" w14:paraId="0000015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Los costos o tiempos de entrega de la información; </w:t>
      </w:r>
    </w:p>
    <w:p w:rsidR="00000000" w:rsidDel="00000000" w:rsidP="00000000" w:rsidRDefault="00000000" w:rsidRPr="00000000" w14:paraId="00000156">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La falta de trámite a una solicitud; </w:t>
      </w:r>
    </w:p>
    <w:p w:rsidR="00000000" w:rsidDel="00000000" w:rsidP="00000000" w:rsidRDefault="00000000" w:rsidRPr="00000000" w14:paraId="00000157">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La negativa a permitir la consulta directa de la información; </w:t>
      </w:r>
    </w:p>
    <w:p w:rsidR="00000000" w:rsidDel="00000000" w:rsidP="00000000" w:rsidRDefault="00000000" w:rsidRPr="00000000" w14:paraId="00000158">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La falta, deficiencia o insuficiencia de la fundamentación y/o motivación en la respuesta; y X</w:t>
      </w:r>
    </w:p>
    <w:p w:rsidR="00000000" w:rsidDel="00000000" w:rsidP="00000000" w:rsidRDefault="00000000" w:rsidRPr="00000000" w14:paraId="00000159">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orientación a un trámite específico. </w:t>
      </w:r>
    </w:p>
    <w:p w:rsidR="00000000" w:rsidDel="00000000" w:rsidP="00000000" w:rsidRDefault="00000000" w:rsidRPr="00000000" w14:paraId="0000015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rsidR="00000000" w:rsidDel="00000000" w:rsidP="00000000" w:rsidRDefault="00000000" w:rsidRPr="00000000" w14:paraId="000001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15D">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w:t>
      </w:r>
      <w:r w:rsidDel="00000000" w:rsidR="00000000" w:rsidRPr="00000000">
        <w:rPr>
          <w:rFonts w:ascii="Palatino Linotype" w:cs="Palatino Linotype" w:eastAsia="Palatino Linotype" w:hAnsi="Palatino Linotype"/>
          <w:i w:val="1"/>
          <w:sz w:val="22"/>
          <w:szCs w:val="22"/>
          <w:rtl w:val="0"/>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000000" w:rsidDel="00000000" w:rsidP="00000000" w:rsidRDefault="00000000" w:rsidRPr="00000000" w14:paraId="000001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la parte de la solicitud sobre la que no se expresó inconformidad, debe declararse consentida por el hoy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000000" w:rsidDel="00000000" w:rsidP="00000000" w:rsidRDefault="00000000" w:rsidRPr="00000000" w14:paraId="000001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160">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SON LOS QUE NO SE IMPUGNAN MEDIANTE EL RECURSO IDÓNEO</w:t>
      </w:r>
      <w:r w:rsidDel="00000000" w:rsidR="00000000" w:rsidRPr="00000000">
        <w:rPr>
          <w:rFonts w:ascii="Palatino Linotype" w:cs="Palatino Linotype" w:eastAsia="Palatino Linotype" w:hAnsi="Palatino Linotype"/>
          <w:i w:val="1"/>
          <w:sz w:val="22"/>
          <w:szCs w:val="22"/>
          <w:rtl w:val="0"/>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240"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Colmando con ello el derecho de acceso a la información del particular en cuanto al presente punto.</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240"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no pasa desapercibido para este Órgano Garante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peticiona la información de todas las Dependencias que integran el Ayuntamiento, así como de sus Organismos Descentralizados (Sistema de agua, Instituto de la mujer, casa de la cultura, etc.), en esa virtud, de conformidad con el Padrón de Sujetos Obligados del Estado de México, en materia de Transparencia, se advierte que tanto el Ayuntamiento de Jilotepec y el Organismo Público Descentralizado para la prestación de los servicios de Agua Potable, Alcantarillado y Saneamiento del Municipio de Jilotepec, son Sujetos Obligados diversos, lo que se acredita su notoria incompetencia, en atención a las siguientes imágenes del padrón de Sujetos Obligados en materia de Transparencia y Acceso a la Información Pública del Estado de México y Municipios, que se inserta a continuación de manera ilustrativa:</w:t>
      </w:r>
    </w:p>
    <w:p w:rsidR="00000000" w:rsidDel="00000000" w:rsidP="00000000" w:rsidRDefault="00000000" w:rsidRPr="00000000" w14:paraId="000001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560830"/>
            <wp:effectExtent b="0" l="0" r="0" t="0"/>
            <wp:docPr id="128"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612130" cy="156083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366520"/>
            <wp:effectExtent b="0" l="0" r="0" t="0"/>
            <wp:docPr id="106"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612130" cy="13665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482600</wp:posOffset>
                </wp:positionV>
                <wp:extent cx="964375" cy="352796"/>
                <wp:effectExtent b="0" l="0" r="0" t="0"/>
                <wp:wrapNone/>
                <wp:docPr id="104" name=""/>
                <a:graphic>
                  <a:graphicData uri="http://schemas.microsoft.com/office/word/2010/wordprocessingShape">
                    <wps:wsp>
                      <wps:cNvSpPr/>
                      <wps:cNvPr id="7" name="Shape 7"/>
                      <wps:spPr>
                        <a:xfrm>
                          <a:off x="4876513" y="3616302"/>
                          <a:ext cx="938975" cy="327396"/>
                        </a:xfrm>
                        <a:prstGeom prst="left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482600</wp:posOffset>
                </wp:positionV>
                <wp:extent cx="964375" cy="352796"/>
                <wp:effectExtent b="0" l="0" r="0" t="0"/>
                <wp:wrapNone/>
                <wp:docPr id="104" name="image26.png"/>
                <a:graphic>
                  <a:graphicData uri="http://schemas.openxmlformats.org/drawingml/2006/picture">
                    <pic:pic>
                      <pic:nvPicPr>
                        <pic:cNvPr id="0" name="image26.png"/>
                        <pic:cNvPicPr preferRelativeResize="0"/>
                      </pic:nvPicPr>
                      <pic:blipFill>
                        <a:blip r:embed="rId31"/>
                        <a:srcRect/>
                        <a:stretch>
                          <a:fillRect/>
                        </a:stretch>
                      </pic:blipFill>
                      <pic:spPr>
                        <a:xfrm>
                          <a:off x="0" y="0"/>
                          <a:ext cx="964375" cy="352796"/>
                        </a:xfrm>
                        <a:prstGeom prst="rect"/>
                        <a:ln/>
                      </pic:spPr>
                    </pic:pic>
                  </a:graphicData>
                </a:graphic>
              </wp:anchor>
            </w:drawing>
          </mc:Fallback>
        </mc:AlternateContent>
      </w:r>
    </w:p>
    <w:p w:rsidR="00000000" w:rsidDel="00000000" w:rsidP="00000000" w:rsidRDefault="00000000" w:rsidRPr="00000000" w14:paraId="00000166">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609600</wp:posOffset>
                </wp:positionV>
                <wp:extent cx="964375" cy="352796"/>
                <wp:effectExtent b="0" l="0" r="0" t="0"/>
                <wp:wrapNone/>
                <wp:docPr id="103" name=""/>
                <a:graphic>
                  <a:graphicData uri="http://schemas.microsoft.com/office/word/2010/wordprocessingShape">
                    <wps:wsp>
                      <wps:cNvSpPr/>
                      <wps:cNvPr id="6" name="Shape 6"/>
                      <wps:spPr>
                        <a:xfrm>
                          <a:off x="4876513" y="3616302"/>
                          <a:ext cx="938975" cy="327396"/>
                        </a:xfrm>
                        <a:prstGeom prst="left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609600</wp:posOffset>
                </wp:positionV>
                <wp:extent cx="964375" cy="352796"/>
                <wp:effectExtent b="0" l="0" r="0" t="0"/>
                <wp:wrapNone/>
                <wp:docPr id="103"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964375" cy="352796"/>
                        </a:xfrm>
                        <a:prstGeom prst="rect"/>
                        <a:ln/>
                      </pic:spPr>
                    </pic:pic>
                  </a:graphicData>
                </a:graphic>
              </wp:anchor>
            </w:drawing>
          </mc:Fallback>
        </mc:AlternateContent>
      </w:r>
    </w:p>
    <w:p w:rsidR="00000000" w:rsidDel="00000000" w:rsidP="00000000" w:rsidRDefault="00000000" w:rsidRPr="00000000" w14:paraId="00000167">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1510030"/>
            <wp:effectExtent b="0" l="0" r="0" t="0"/>
            <wp:docPr id="107"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5612130" cy="151003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si bien es cierto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sobre las incompetencias que se observan en el presente considerando, en algunos sólo se concretó a decir que no le es aplicable y en otros no se pronunció al respecto, en ese sentido es pertinente señalar que nada práctico no conduciría ordenar el acuerdo de incompetencia respectivo, sí este Organismo Garante advierte que es una notoria incompetencia, por ello no es procedente ordenar el acuerdo de incompetencia respectivo. </w:t>
      </w:r>
    </w:p>
    <w:p w:rsidR="00000000" w:rsidDel="00000000" w:rsidP="00000000" w:rsidRDefault="00000000" w:rsidRPr="00000000" w14:paraId="0000016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pertinente señalar que respecto del punto IV. “La opinión de no adeudo en el cumplimiento de obligaciones fiscales estatales emitida por el SATEM, generada desde el portal de esa Institución, a través de internet”, de una revisión a la Ley</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Orgánica de la Administración Pública del Estado de México, Bando Municipal del Ayuntamiento de Almoloya de Juárez y Ley del Servicio de Administración Tributaria, no se advierte la existencia del SATEM, por lo que se concluye que el mismo no existe; de ahí que no es procedente ordena su entrega. </w:t>
      </w:r>
    </w:p>
    <w:p w:rsidR="00000000" w:rsidDel="00000000" w:rsidP="00000000" w:rsidRDefault="00000000" w:rsidRPr="00000000" w14:paraId="0000016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Finalmente, con relación a las modalidad de entrega de la información </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i w:val="1"/>
          <w:rtl w:val="0"/>
        </w:rPr>
        <w:t xml:space="preserve">usb, sd y cd-rom.” </w:t>
      </w:r>
      <w:r w:rsidDel="00000000" w:rsidR="00000000" w:rsidRPr="00000000">
        <w:rPr>
          <w:rFonts w:ascii="Palatino Linotype" w:cs="Palatino Linotype" w:eastAsia="Palatino Linotype" w:hAnsi="Palatino Linotype"/>
          <w:rtl w:val="0"/>
        </w:rPr>
        <w:t xml:space="preserve">es menester señalar que se encuentran reguladas por el Código Financiero del Estado de México y Municipios en su artículo 148, fracciones III y IV, aplicable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rsidR="00000000" w:rsidDel="00000000" w:rsidP="00000000" w:rsidRDefault="00000000" w:rsidRPr="00000000" w14:paraId="0000016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464000" cy="2804201"/>
            <wp:effectExtent b="0" l="0" r="0" t="0"/>
            <wp:docPr id="108"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4464000" cy="28042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1612900</wp:posOffset>
                </wp:positionV>
                <wp:extent cx="4477034" cy="600075"/>
                <wp:effectExtent b="0" l="0" r="0" t="0"/>
                <wp:wrapNone/>
                <wp:docPr id="100" name=""/>
                <a:graphic>
                  <a:graphicData uri="http://schemas.microsoft.com/office/word/2010/wordprocessingShape">
                    <wps:wsp>
                      <wps:cNvSpPr/>
                      <wps:cNvPr id="3" name="Shape 3"/>
                      <wps:spPr>
                        <a:xfrm>
                          <a:off x="3145583" y="3518063"/>
                          <a:ext cx="4400834" cy="523875"/>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1612900</wp:posOffset>
                </wp:positionV>
                <wp:extent cx="4477034" cy="600075"/>
                <wp:effectExtent b="0" l="0" r="0" t="0"/>
                <wp:wrapNone/>
                <wp:docPr id="100" name="image22.png"/>
                <a:graphic>
                  <a:graphicData uri="http://schemas.openxmlformats.org/drawingml/2006/picture">
                    <pic:pic>
                      <pic:nvPicPr>
                        <pic:cNvPr id="0" name="image22.png"/>
                        <pic:cNvPicPr preferRelativeResize="0"/>
                      </pic:nvPicPr>
                      <pic:blipFill>
                        <a:blip r:embed="rId35"/>
                        <a:srcRect/>
                        <a:stretch>
                          <a:fillRect/>
                        </a:stretch>
                      </pic:blipFill>
                      <pic:spPr>
                        <a:xfrm>
                          <a:off x="0" y="0"/>
                          <a:ext cx="4477034" cy="600075"/>
                        </a:xfrm>
                        <a:prstGeom prst="rect"/>
                        <a:ln/>
                      </pic:spPr>
                    </pic:pic>
                  </a:graphicData>
                </a:graphic>
              </wp:anchor>
            </w:drawing>
          </mc:Fallback>
        </mc:AlternateContent>
      </w:r>
    </w:p>
    <w:p w:rsidR="00000000" w:rsidDel="00000000" w:rsidP="00000000" w:rsidRDefault="00000000" w:rsidRPr="00000000" w14:paraId="0000016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la información que es de su interés,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sin embargo, dicho cobró no resultará procedente en el caso de que el solicitante proporcione el medio en el que requiera le sea entregada la información pública.</w:t>
      </w:r>
    </w:p>
    <w:p w:rsidR="00000000" w:rsidDel="00000000" w:rsidP="00000000" w:rsidRDefault="00000000" w:rsidRPr="00000000" w14:paraId="000001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1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72">
      <w:pPr>
        <w:spacing w:after="240" w:before="240" w:line="276"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173">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174">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75">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76">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77">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78">
      <w:pPr>
        <w:spacing w:after="240" w:before="240" w:line="276"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79">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7A">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7B">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C">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17D">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7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8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18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8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8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8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8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8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189">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18B">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8D">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8E">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8F">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90">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91">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9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9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9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9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9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9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9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9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9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9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9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A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A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A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A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A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A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A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A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A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A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A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A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A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A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A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A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B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B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B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B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B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B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B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B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B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B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B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B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B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BD">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E">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C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C1">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2">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C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C7">
      <w:pPr>
        <w:numPr>
          <w:ilvl w:val="0"/>
          <w:numId w:val="5"/>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 E S U E L V E:</w:t>
      </w:r>
    </w:p>
    <w:p w:rsidR="00000000" w:rsidDel="00000000" w:rsidP="00000000" w:rsidRDefault="00000000" w:rsidRPr="00000000" w14:paraId="000001C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parcialmente fundados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00664/INFOEM/IP/RR/2022,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C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y Quinto </w:t>
      </w:r>
      <w:r w:rsidDel="00000000" w:rsidR="00000000" w:rsidRPr="00000000">
        <w:rPr>
          <w:rFonts w:ascii="Palatino Linotype" w:cs="Palatino Linotype" w:eastAsia="Palatino Linotype" w:hAnsi="Palatino Linotype"/>
          <w:rtl w:val="0"/>
        </w:rPr>
        <w:t xml:space="preserve">de esta resolución, haga entrega, vía SAIMEX, correo electrónico, medios magnéticos (con costo) y CD-ROM (con costo), en versión pública de ser procedente, del soporte documental en el que obre al mayor grado de desagregación lo siguiente:</w:t>
      </w:r>
    </w:p>
    <w:p w:rsidR="00000000" w:rsidDel="00000000" w:rsidP="00000000" w:rsidRDefault="00000000" w:rsidRPr="00000000" w14:paraId="000001CA">
      <w:pPr>
        <w:numPr>
          <w:ilvl w:val="0"/>
          <w:numId w:val="8"/>
        </w:numPr>
        <w:pBdr>
          <w:top w:space="0" w:sz="0" w:val="nil"/>
          <w:left w:space="0" w:sz="0" w:val="nil"/>
          <w:bottom w:space="0" w:sz="0" w:val="nil"/>
          <w:right w:space="0" w:sz="0" w:val="nil"/>
          <w:between w:space="0" w:sz="0" w:val="nil"/>
        </w:pBdr>
        <w:spacing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Reportes del aplicativo “Visor de nómina del SAT” por los años 2018, 2019, 2020, y 2021 en sus tres presentaciones: </w:t>
      </w:r>
    </w:p>
    <w:p w:rsidR="00000000" w:rsidDel="00000000" w:rsidP="00000000" w:rsidRDefault="00000000" w:rsidRPr="00000000" w14:paraId="000001CB">
      <w:pPr>
        <w:numPr>
          <w:ilvl w:val="0"/>
          <w:numId w:val="2"/>
        </w:numPr>
        <w:pBdr>
          <w:top w:space="0" w:sz="0" w:val="nil"/>
          <w:left w:space="0" w:sz="0" w:val="nil"/>
          <w:bottom w:space="0" w:sz="0" w:val="nil"/>
          <w:right w:space="0" w:sz="0" w:val="nil"/>
          <w:between w:space="0" w:sz="0" w:val="nil"/>
        </w:pBdr>
        <w:spacing w:after="120" w:line="360" w:lineRule="auto"/>
        <w:ind w:left="113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Vista anual acumulada. </w:t>
      </w:r>
    </w:p>
    <w:p w:rsidR="00000000" w:rsidDel="00000000" w:rsidP="00000000" w:rsidRDefault="00000000" w:rsidRPr="00000000" w14:paraId="000001CC">
      <w:pPr>
        <w:numPr>
          <w:ilvl w:val="0"/>
          <w:numId w:val="1"/>
        </w:numPr>
        <w:pBdr>
          <w:top w:space="0" w:sz="0" w:val="nil"/>
          <w:left w:space="0" w:sz="0" w:val="nil"/>
          <w:bottom w:space="0" w:sz="0" w:val="nil"/>
          <w:right w:space="0" w:sz="0" w:val="nil"/>
          <w:between w:space="0" w:sz="0" w:val="nil"/>
        </w:pBdr>
        <w:spacing w:after="120" w:before="120" w:line="360" w:lineRule="auto"/>
        <w:ind w:left="113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Detalle mensual. </w:t>
      </w:r>
    </w:p>
    <w:p w:rsidR="00000000" w:rsidDel="00000000" w:rsidP="00000000" w:rsidRDefault="00000000" w:rsidRPr="00000000" w14:paraId="000001CD">
      <w:pPr>
        <w:numPr>
          <w:ilvl w:val="0"/>
          <w:numId w:val="1"/>
        </w:numPr>
        <w:pBdr>
          <w:top w:space="0" w:sz="0" w:val="nil"/>
          <w:left w:space="0" w:sz="0" w:val="nil"/>
          <w:bottom w:space="0" w:sz="0" w:val="nil"/>
          <w:right w:space="0" w:sz="0" w:val="nil"/>
          <w:between w:space="0" w:sz="0" w:val="nil"/>
        </w:pBdr>
        <w:spacing w:after="120" w:before="120" w:line="360" w:lineRule="auto"/>
        <w:ind w:left="113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Detalle diferencias sueldos y salarios. </w:t>
      </w:r>
    </w:p>
    <w:p w:rsidR="00000000" w:rsidDel="00000000" w:rsidP="00000000" w:rsidRDefault="00000000" w:rsidRPr="00000000" w14:paraId="000001CE">
      <w:pPr>
        <w:numPr>
          <w:ilvl w:val="0"/>
          <w:numId w:val="8"/>
        </w:numPr>
        <w:pBdr>
          <w:top w:space="0" w:sz="0" w:val="nil"/>
          <w:left w:space="0" w:sz="0" w:val="nil"/>
          <w:bottom w:space="0" w:sz="0" w:val="nil"/>
          <w:right w:space="0" w:sz="0" w:val="nil"/>
          <w:between w:space="0" w:sz="0" w:val="nil"/>
        </w:pBdr>
        <w:spacing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opinión de no adeudo en el cumplimiento de obligaciones fiscales emitida por el Servicio de Administración Tributaria (SAT), vigente al treinta y uno de enero del año dos mil veintidós. </w:t>
      </w:r>
    </w:p>
    <w:p w:rsidR="00000000" w:rsidDel="00000000" w:rsidP="00000000" w:rsidRDefault="00000000" w:rsidRPr="00000000" w14:paraId="000001CF">
      <w:pPr>
        <w:numPr>
          <w:ilvl w:val="0"/>
          <w:numId w:val="8"/>
        </w:numPr>
        <w:pBdr>
          <w:top w:space="0" w:sz="0" w:val="nil"/>
          <w:left w:space="0" w:sz="0" w:val="nil"/>
          <w:bottom w:space="0" w:sz="0" w:val="nil"/>
          <w:right w:space="0" w:sz="0" w:val="nil"/>
          <w:between w:space="0" w:sz="0" w:val="nil"/>
        </w:pBdr>
        <w:spacing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Retenciones del Impuesto Sobre la Renta por Salarios, Honorarios y Arrendamiento del periodo del 01 de enero de 2019, hasta el 31 de octubre de 2021. </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240" w:before="240" w:lineRule="auto"/>
        <w:ind w:left="720" w:firstLine="0"/>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i w:val="1"/>
          <w:color w:val="000000"/>
          <w:sz w:val="20"/>
          <w:szCs w:val="20"/>
          <w:rtl w:val="0"/>
        </w:rPr>
        <w:t xml:space="preserve">Para la expedición de la información en medios magnéticos (con costo) y CD-ROM (con costo), el </w:t>
      </w:r>
      <w:r w:rsidDel="00000000" w:rsidR="00000000" w:rsidRPr="00000000">
        <w:rPr>
          <w:rFonts w:ascii="Palatino Linotype" w:cs="Palatino Linotype" w:eastAsia="Palatino Linotype" w:hAnsi="Palatino Linotype"/>
          <w:b w:val="1"/>
          <w:i w:val="1"/>
          <w:color w:val="000000"/>
          <w:sz w:val="20"/>
          <w:szCs w:val="20"/>
          <w:rtl w:val="0"/>
        </w:rPr>
        <w:t xml:space="preserve">Sujeto Obligado</w:t>
      </w:r>
      <w:r w:rsidDel="00000000" w:rsidR="00000000" w:rsidRPr="00000000">
        <w:rPr>
          <w:rFonts w:ascii="Palatino Linotype" w:cs="Palatino Linotype" w:eastAsia="Palatino Linotype" w:hAnsi="Palatino Linotype"/>
          <w:i w:val="1"/>
          <w:color w:val="000000"/>
          <w:sz w:val="20"/>
          <w:szCs w:val="20"/>
          <w:rtl w:val="0"/>
        </w:rPr>
        <w:t xml:space="preserve"> deberá informar a la parte </w:t>
      </w:r>
      <w:r w:rsidDel="00000000" w:rsidR="00000000" w:rsidRPr="00000000">
        <w:rPr>
          <w:rFonts w:ascii="Palatino Linotype" w:cs="Palatino Linotype" w:eastAsia="Palatino Linotype" w:hAnsi="Palatino Linotype"/>
          <w:b w:val="1"/>
          <w:i w:val="1"/>
          <w:color w:val="000000"/>
          <w:sz w:val="20"/>
          <w:szCs w:val="20"/>
          <w:rtl w:val="0"/>
        </w:rPr>
        <w:t xml:space="preserve">Recurrente</w:t>
      </w:r>
      <w:r w:rsidDel="00000000" w:rsidR="00000000" w:rsidRPr="00000000">
        <w:rPr>
          <w:rFonts w:ascii="Palatino Linotype" w:cs="Palatino Linotype" w:eastAsia="Palatino Linotype" w:hAnsi="Palatino Linotype"/>
          <w:i w:val="1"/>
          <w:color w:val="000000"/>
          <w:sz w:val="20"/>
          <w:szCs w:val="20"/>
          <w:rtl w:val="0"/>
        </w:rPr>
        <w:t xml:space="preserv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240" w:before="240" w:lineRule="auto"/>
        <w:ind w:left="720" w:right="49" w:firstLine="0"/>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i w:val="1"/>
          <w:color w:val="000000"/>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240" w:before="240" w:lineRule="auto"/>
        <w:ind w:left="720" w:firstLine="0"/>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i w:val="1"/>
          <w:color w:val="000000"/>
          <w:sz w:val="20"/>
          <w:szCs w:val="20"/>
          <w:rtl w:val="0"/>
        </w:rPr>
        <w:t xml:space="preserve">Respecto del numeral </w:t>
      </w:r>
      <w:r w:rsidDel="00000000" w:rsidR="00000000" w:rsidRPr="00000000">
        <w:rPr>
          <w:rFonts w:ascii="Palatino Linotype" w:cs="Palatino Linotype" w:eastAsia="Palatino Linotype" w:hAnsi="Palatino Linotype"/>
          <w:b w:val="1"/>
          <w:i w:val="1"/>
          <w:color w:val="000000"/>
          <w:sz w:val="20"/>
          <w:szCs w:val="20"/>
          <w:rtl w:val="0"/>
        </w:rPr>
        <w:t xml:space="preserve">1</w:t>
      </w:r>
      <w:r w:rsidDel="00000000" w:rsidR="00000000" w:rsidRPr="00000000">
        <w:rPr>
          <w:rFonts w:ascii="Palatino Linotype" w:cs="Palatino Linotype" w:eastAsia="Palatino Linotype" w:hAnsi="Palatino Linotype"/>
          <w:i w:val="1"/>
          <w:color w:val="000000"/>
          <w:sz w:val="20"/>
          <w:szCs w:val="20"/>
          <w:rtl w:val="0"/>
        </w:rPr>
        <w:t xml:space="preserve">, en el supuesto que una vez agotada la búsqueda de la información, se acredite no contar con la misma, deberá hacerlo del conocimiento del Recurrente, en términos del artículo 19 de la Ley de Transparencia local.</w:t>
      </w:r>
    </w:p>
    <w:p w:rsidR="00000000" w:rsidDel="00000000" w:rsidP="00000000" w:rsidRDefault="00000000" w:rsidRPr="00000000" w14:paraId="000001D3">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vía SAIMEX,</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00000" w:rsidDel="00000000" w:rsidP="00000000" w:rsidRDefault="00000000" w:rsidRPr="00000000" w14:paraId="000001D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por correo electrónico</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000000" w:rsidDel="00000000" w:rsidP="00000000" w:rsidRDefault="00000000" w:rsidRPr="00000000" w14:paraId="000001D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D7">
      <w:pPr>
        <w:spacing w:after="240" w:before="240" w:line="360" w:lineRule="auto"/>
        <w:jc w:val="both"/>
        <w:rPr>
          <w:rFonts w:ascii="Palatino Linotype" w:cs="Palatino Linotype" w:eastAsia="Palatino Linotype" w:hAnsi="Palatino Linotype"/>
        </w:rPr>
      </w:pPr>
      <w:bookmarkStart w:colFirst="0" w:colLast="0" w:name="_heading=h.gjdgxs" w:id="3"/>
      <w:bookmarkEnd w:id="3"/>
      <w:r w:rsidDel="00000000" w:rsidR="00000000" w:rsidRPr="00000000">
        <w:rPr>
          <w:rFonts w:ascii="Palatino Linotype" w:cs="Palatino Linotype" w:eastAsia="Palatino Linotype" w:hAnsi="Palatino Linotype"/>
          <w:color w:val="2222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VEINTISIETE</w:t>
      </w:r>
      <w:r w:rsidDel="00000000" w:rsidR="00000000" w:rsidRPr="00000000">
        <w:rPr>
          <w:rFonts w:ascii="Palatino Linotype" w:cs="Palatino Linotype" w:eastAsia="Palatino Linotype" w:hAnsi="Palatino Linotype"/>
          <w:rtl w:val="0"/>
        </w:rPr>
        <w:t xml:space="preserve"> DE ABRIL DEL DOS MIL VEINTIDÓS, ANTE EL SECRETARIO TÉCNICO DEL PLENO ALEXIS TAPIA RAMÍREZ.    </w:t>
      </w:r>
    </w:p>
    <w:p w:rsidR="00000000" w:rsidDel="00000000" w:rsidP="00000000" w:rsidRDefault="00000000" w:rsidRPr="00000000" w14:paraId="000001D8">
      <w:pPr>
        <w:spacing w:after="240" w:before="240" w:line="360" w:lineRule="auto"/>
        <w:jc w:val="both"/>
        <w:rPr>
          <w:rFonts w:ascii="Palatino Linotype" w:cs="Palatino Linotype" w:eastAsia="Palatino Linotype" w:hAnsi="Palatino Linotype"/>
        </w:rPr>
        <w:sectPr>
          <w:headerReference r:id="rId36" w:type="default"/>
          <w:headerReference r:id="rId37" w:type="first"/>
          <w:footerReference r:id="rId38" w:type="default"/>
          <w:footerReference r:id="rId39" w:type="first"/>
          <w:pgSz w:h="15840" w:w="12240" w:orient="portrait"/>
          <w:pgMar w:bottom="1276" w:top="1417" w:left="1701" w:right="1701" w:header="709" w:footer="709"/>
          <w:pgNumType w:start="1"/>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5410200" cy="6372225"/>
                <wp:effectExtent b="0" l="0" r="0" t="0"/>
                <wp:wrapNone/>
                <wp:docPr id="101" name=""/>
                <a:graphic>
                  <a:graphicData uri="http://schemas.microsoft.com/office/word/2010/wordprocessingShape">
                    <wps:wsp>
                      <wps:cNvCnPr/>
                      <wps:spPr>
                        <a:xfrm>
                          <a:off x="2645663" y="598650"/>
                          <a:ext cx="5400675" cy="636270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5410200" cy="6372225"/>
                <wp:effectExtent b="0" l="0" r="0" t="0"/>
                <wp:wrapNone/>
                <wp:docPr id="101" name="image23.png"/>
                <a:graphic>
                  <a:graphicData uri="http://schemas.openxmlformats.org/drawingml/2006/picture">
                    <pic:pic>
                      <pic:nvPicPr>
                        <pic:cNvPr id="0" name="image23.png"/>
                        <pic:cNvPicPr preferRelativeResize="0"/>
                      </pic:nvPicPr>
                      <pic:blipFill>
                        <a:blip r:embed="rId40"/>
                        <a:srcRect/>
                        <a:stretch>
                          <a:fillRect/>
                        </a:stretch>
                      </pic:blipFill>
                      <pic:spPr>
                        <a:xfrm>
                          <a:off x="0" y="0"/>
                          <a:ext cx="5410200" cy="6372225"/>
                        </a:xfrm>
                        <a:prstGeom prst="rect"/>
                        <a:ln/>
                      </pic:spPr>
                    </pic:pic>
                  </a:graphicData>
                </a:graphic>
              </wp:anchor>
            </w:drawing>
          </mc:Fallback>
        </mc:AlternateContent>
      </w:r>
    </w:p>
    <w:p w:rsidR="00000000" w:rsidDel="00000000" w:rsidP="00000000" w:rsidRDefault="00000000" w:rsidRPr="00000000" w14:paraId="000001D9">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41" w:type="first"/>
      <w:type w:val="nextPage"/>
      <w:pgSz w:h="15840" w:w="12240" w:orient="portrait"/>
      <w:pgMar w:bottom="1276" w:top="1417"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Calibri"/>
  <w:font w:name="Courier New"/>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pos="4419"/>
        <w:tab w:val="right" w:pos="8838"/>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pos="4419"/>
        <w:tab w:val="right" w:pos="8838"/>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D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hyperlink r:id="rId3">
        <w:r w:rsidDel="00000000" w:rsidR="00000000" w:rsidRPr="00000000">
          <w:rPr>
            <w:rFonts w:ascii="Palatino Linotype" w:cs="Palatino Linotype" w:eastAsia="Palatino Linotype" w:hAnsi="Palatino Linotype"/>
            <w:color w:val="0000ff"/>
            <w:sz w:val="16"/>
            <w:szCs w:val="16"/>
            <w:u w:val="single"/>
            <w:rtl w:val="0"/>
          </w:rPr>
          <w:t xml:space="preserve">https://www.sat.gob.mx/declaracion/90887/consulta-el-visor-de-comprobantes-de-nomina-para-el-patron-</w:t>
        </w:r>
      </w:hyperlink>
      <w:r w:rsidDel="00000000" w:rsidR="00000000" w:rsidRPr="00000000">
        <w:rPr>
          <w:rFonts w:ascii="Palatino Linotype" w:cs="Palatino Linotype" w:eastAsia="Palatino Linotype" w:hAnsi="Palatino Linotype"/>
          <w:color w:val="000000"/>
          <w:sz w:val="16"/>
          <w:szCs w:val="16"/>
          <w:rtl w:val="0"/>
        </w:rPr>
        <w:t xml:space="preserve"> o </w:t>
      </w:r>
      <w:hyperlink r:id="rId4">
        <w:r w:rsidDel="00000000" w:rsidR="00000000" w:rsidRPr="00000000">
          <w:rPr>
            <w:rFonts w:ascii="Palatino Linotype" w:cs="Palatino Linotype" w:eastAsia="Palatino Linotype" w:hAnsi="Palatino Linotype"/>
            <w:color w:val="0000ff"/>
            <w:sz w:val="16"/>
            <w:szCs w:val="16"/>
            <w:u w:val="single"/>
            <w:rtl w:val="0"/>
          </w:rPr>
          <w:t xml:space="preserve">https://www.sat.gob.mx/personas/declaraciones</w:t>
        </w:r>
      </w:hyperlink>
      <w:r w:rsidDel="00000000" w:rsidR="00000000" w:rsidRPr="00000000">
        <w:rPr>
          <w:rFonts w:ascii="Palatino Linotype" w:cs="Palatino Linotype" w:eastAsia="Palatino Linotype" w:hAnsi="Palatino Linotype"/>
          <w:color w:val="000000"/>
          <w:sz w:val="16"/>
          <w:szCs w:val="16"/>
          <w:rtl w:val="0"/>
        </w:rPr>
        <w:t xml:space="preserve"> </w:t>
      </w:r>
    </w:p>
  </w:footnote>
  <w:footnote w:id="1">
    <w:p w:rsidR="00000000" w:rsidDel="00000000" w:rsidP="00000000" w:rsidRDefault="00000000" w:rsidRPr="00000000" w14:paraId="000001D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https://www.sat.gob.mx/consultas/20777/consulta-tu-opinion-de-cumplimiento-de-obligaciones-fiscales#</w:t>
      </w:r>
    </w:p>
  </w:footnote>
  <w:footnote w:id="2">
    <w:p w:rsidR="00000000" w:rsidDel="00000000" w:rsidP="00000000" w:rsidRDefault="00000000" w:rsidRPr="00000000" w14:paraId="000001D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hyperlink r:id="rId5">
        <w:r w:rsidDel="00000000" w:rsidR="00000000" w:rsidRPr="00000000">
          <w:rPr>
            <w:rFonts w:ascii="Palatino Linotype" w:cs="Palatino Linotype" w:eastAsia="Palatino Linotype" w:hAnsi="Palatino Linotype"/>
            <w:color w:val="0000ff"/>
            <w:sz w:val="16"/>
            <w:szCs w:val="16"/>
            <w:u w:val="single"/>
            <w:rtl w:val="0"/>
          </w:rPr>
          <w:t xml:space="preserve">http://www.imss.gob.mx/sites/all/statics/pdf/leyes/LSS.pdf</w:t>
        </w:r>
      </w:hyperlink>
      <w:r w:rsidDel="00000000" w:rsidR="00000000" w:rsidRPr="00000000">
        <w:rPr>
          <w:rFonts w:ascii="Palatino Linotype" w:cs="Palatino Linotype" w:eastAsia="Palatino Linotype" w:hAnsi="Palatino Linotype"/>
          <w:color w:val="000000"/>
          <w:sz w:val="16"/>
          <w:szCs w:val="16"/>
          <w:rtl w:val="0"/>
        </w:rPr>
        <w:t xml:space="preserve"> consultada el día 09 de marzo de 2022 a las 12:33 horas</w:t>
      </w:r>
    </w:p>
  </w:footnote>
  <w:footnote w:id="3">
    <w:p w:rsidR="00000000" w:rsidDel="00000000" w:rsidP="00000000" w:rsidRDefault="00000000" w:rsidRPr="00000000" w14:paraId="000001D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1D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-651050</wp:posOffset>
          </wp:positionH>
          <wp:positionV relativeFrom="paragraph">
            <wp:posOffset>-322501</wp:posOffset>
          </wp:positionV>
          <wp:extent cx="7635600" cy="9943200"/>
          <wp:effectExtent b="0" l="0" r="0" t="0"/>
          <wp:wrapNone/>
          <wp:docPr id="105" name="image7.jpg"/>
          <a:graphic>
            <a:graphicData uri="http://schemas.openxmlformats.org/drawingml/2006/picture">
              <pic:pic>
                <pic:nvPicPr>
                  <pic:cNvPr id="0" name="image7.jpg"/>
                  <pic:cNvPicPr preferRelativeResize="0"/>
                </pic:nvPicPr>
                <pic:blipFill>
                  <a:blip r:embed="rId3"/>
                  <a:srcRect b="0" l="0" r="0" t="0"/>
                  <a:stretch>
                    <a:fillRect/>
                  </a:stretch>
                </pic:blipFill>
                <pic:spPr>
                  <a:xfrm>
                    <a:off x="0" y="0"/>
                    <a:ext cx="7635600" cy="9943200"/>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E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E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00664/INFOEM/IP/RR/2022 </w:t>
          </w:r>
        </w:p>
      </w:tc>
    </w:tr>
    <w:tr>
      <w:trPr>
        <w:cantSplit w:val="0"/>
        <w:tblHeader w:val="0"/>
      </w:trPr>
      <w:tc>
        <w:tcPr>
          <w:vAlign w:val="center"/>
        </w:tcPr>
        <w:p w:rsidR="00000000" w:rsidDel="00000000" w:rsidP="00000000" w:rsidRDefault="00000000" w:rsidRPr="00000000" w14:paraId="000001E2">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E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Xxxxxxx Xxxxxxx.</w:t>
          </w:r>
        </w:p>
      </w:tc>
    </w:tr>
    <w:tr>
      <w:trPr>
        <w:cantSplit w:val="0"/>
        <w:trHeight w:val="228" w:hRule="atLeast"/>
        <w:tblHeader w:val="0"/>
      </w:trPr>
      <w:tc>
        <w:tcPr>
          <w:vAlign w:val="center"/>
        </w:tcPr>
        <w:p w:rsidR="00000000" w:rsidDel="00000000" w:rsidP="00000000" w:rsidRDefault="00000000" w:rsidRPr="00000000" w14:paraId="000001E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E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Jilotepec</w:t>
          </w:r>
        </w:p>
      </w:tc>
    </w:tr>
    <w:tr>
      <w:trPr>
        <w:cantSplit w:val="0"/>
        <w:tblHeader w:val="0"/>
      </w:trPr>
      <w:tc>
        <w:tcPr>
          <w:vAlign w:val="center"/>
        </w:tcPr>
        <w:p w:rsidR="00000000" w:rsidDel="00000000" w:rsidP="00000000" w:rsidRDefault="00000000" w:rsidRPr="00000000" w14:paraId="000001E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E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-680310</wp:posOffset>
          </wp:positionH>
          <wp:positionV relativeFrom="paragraph">
            <wp:posOffset>-454174</wp:posOffset>
          </wp:positionV>
          <wp:extent cx="7635600" cy="9943200"/>
          <wp:effectExtent b="0" l="0" r="0" t="0"/>
          <wp:wrapNone/>
          <wp:docPr id="114" name="image7.jpg"/>
          <a:graphic>
            <a:graphicData uri="http://schemas.openxmlformats.org/drawingml/2006/picture">
              <pic:pic>
                <pic:nvPicPr>
                  <pic:cNvPr id="0" name="image7.jpg"/>
                  <pic:cNvPicPr preferRelativeResize="0"/>
                </pic:nvPicPr>
                <pic:blipFill>
                  <a:blip r:embed="rId3"/>
                  <a:srcRect b="0" l="0" r="0" t="0"/>
                  <a:stretch>
                    <a:fillRect/>
                  </a:stretch>
                </pic:blipFill>
                <pic:spPr>
                  <a:xfrm>
                    <a:off x="0" y="0"/>
                    <a:ext cx="7635600" cy="9943200"/>
                  </a:xfrm>
                  <a:prstGeom prst="rect"/>
                  <a:ln/>
                </pic:spPr>
              </pic:pic>
            </a:graphicData>
          </a:graphic>
        </wp:anchor>
      </w:drawing>
    </w:r>
  </w:p>
  <w:tbl>
    <w:tblPr>
      <w:tblStyle w:val="Table3"/>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E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E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00664/INFOEM/IP/RR/2022.</w:t>
          </w:r>
        </w:p>
      </w:tc>
    </w:tr>
    <w:tr>
      <w:trPr>
        <w:cantSplit w:val="0"/>
        <w:trHeight w:val="228" w:hRule="atLeast"/>
        <w:tblHeader w:val="0"/>
      </w:trPr>
      <w:tc>
        <w:tcPr>
          <w:vAlign w:val="center"/>
        </w:tcPr>
        <w:p w:rsidR="00000000" w:rsidDel="00000000" w:rsidP="00000000" w:rsidRDefault="00000000" w:rsidRPr="00000000" w14:paraId="000001E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E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Jilotepec.</w:t>
          </w:r>
        </w:p>
      </w:tc>
    </w:tr>
    <w:tr>
      <w:trPr>
        <w:cantSplit w:val="0"/>
        <w:tblHeader w:val="0"/>
      </w:trPr>
      <w:tc>
        <w:tcPr>
          <w:vAlign w:val="center"/>
        </w:tcPr>
        <w:p w:rsidR="00000000" w:rsidDel="00000000" w:rsidP="00000000" w:rsidRDefault="00000000" w:rsidRPr="00000000" w14:paraId="000001E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E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353" w:hanging="359"/>
      </w:pPr>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abstractNum w:abstractNumId="3">
    <w:lvl w:ilvl="0">
      <w:start w:val="1"/>
      <w:numFmt w:val="decimal"/>
      <w:lvlText w:val="%1."/>
      <w:lvlJc w:val="left"/>
      <w:pPr>
        <w:ind w:left="375" w:hanging="375"/>
      </w:pPr>
      <w:rPr/>
    </w:lvl>
    <w:lvl w:ilvl="1">
      <w:start w:val="1"/>
      <w:numFmt w:val="decimal"/>
      <w:lvlText w:val="%1.%2-"/>
      <w:lvlJc w:val="left"/>
      <w:pPr>
        <w:ind w:left="1080" w:hanging="72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E5396"/>
    <w:rPr>
      <w:lang w:eastAsia="es-ES"/>
    </w:rPr>
  </w:style>
  <w:style w:type="paragraph" w:styleId="Ttulo1">
    <w:name w:val="heading 1"/>
    <w:basedOn w:val="Normal"/>
    <w:link w:val="Ttulo1Car"/>
    <w:uiPriority w:val="9"/>
    <w:qFormat w:val="1"/>
    <w:rsid w:val="00815308"/>
    <w:pPr>
      <w:spacing w:after="100" w:afterAutospacing="1" w:before="100" w:beforeAutospacing="1"/>
      <w:outlineLvl w:val="0"/>
    </w:pPr>
    <w:rPr>
      <w:b w:val="1"/>
      <w:bCs w:val="1"/>
      <w:kern w:val="36"/>
      <w:sz w:val="48"/>
      <w:szCs w:val="48"/>
      <w:lang w:eastAsia="es-MX" w:val="es-MX"/>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Textoindependiente">
    <w:name w:val="Body Text"/>
    <w:basedOn w:val="Normal"/>
    <w:link w:val="TextoindependienteCar"/>
    <w:uiPriority w:val="1"/>
    <w:unhideWhenUsed w:val="1"/>
    <w:qFormat w:val="1"/>
    <w:rsid w:val="002E5396"/>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2E5396"/>
    <w:rPr>
      <w:rFonts w:ascii="Times New Roman" w:cs="Times New Roman" w:hAnsi="Times New Roman"/>
      <w:sz w:val="23"/>
      <w:szCs w:val="23"/>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2E5396"/>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2E5396"/>
    <w:pPr>
      <w:ind w:left="708"/>
    </w:pPr>
    <w:rPr>
      <w:sz w:val="22"/>
      <w:szCs w:val="22"/>
      <w:lang w:eastAsia="en-US"/>
    </w:rPr>
  </w:style>
  <w:style w:type="paragraph" w:styleId="paragraph" w:customStyle="1">
    <w:name w:val="paragraph"/>
    <w:basedOn w:val="Normal"/>
    <w:rsid w:val="002E5396"/>
    <w:pPr>
      <w:spacing w:after="100" w:afterAutospacing="1" w:before="100" w:beforeAutospacing="1"/>
    </w:pPr>
    <w:rPr>
      <w:lang w:eastAsia="es-MX" w:val="es-MX"/>
    </w:rPr>
  </w:style>
  <w:style w:type="character" w:styleId="normaltextrun" w:customStyle="1">
    <w:name w:val="normaltextrun"/>
    <w:basedOn w:val="Fuentedeprrafopredeter"/>
    <w:rsid w:val="002E5396"/>
  </w:style>
  <w:style w:type="character" w:styleId="apple-converted-space" w:customStyle="1">
    <w:name w:val="apple-converted-space"/>
    <w:basedOn w:val="Fuentedeprrafopredeter"/>
    <w:rsid w:val="002E5396"/>
  </w:style>
  <w:style w:type="character" w:styleId="eop" w:customStyle="1">
    <w:name w:val="eop"/>
    <w:basedOn w:val="Fuentedeprrafopredeter"/>
    <w:rsid w:val="002E5396"/>
  </w:style>
  <w:style w:type="table" w:styleId="Tablaconcuadrcula">
    <w:name w:val="Table Grid"/>
    <w:basedOn w:val="Tablanormal"/>
    <w:uiPriority w:val="59"/>
    <w:rsid w:val="002E5396"/>
    <w:rPr>
      <w:rFonts w:eastAsiaTheme="minorEastAsia"/>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ipervnculo">
    <w:name w:val="Hyperlink"/>
    <w:basedOn w:val="Fuentedeprrafopredeter"/>
    <w:uiPriority w:val="99"/>
    <w:unhideWhenUsed w:val="1"/>
    <w:rsid w:val="002E5396"/>
    <w:rPr>
      <w:color w:val="0000ff"/>
      <w:u w:val="single"/>
    </w:rPr>
  </w:style>
  <w:style w:type="paragraph" w:styleId="Encabezado">
    <w:name w:val="header"/>
    <w:basedOn w:val="Normal"/>
    <w:link w:val="EncabezadoCar"/>
    <w:uiPriority w:val="99"/>
    <w:unhideWhenUsed w:val="1"/>
    <w:rsid w:val="00224D6A"/>
    <w:pPr>
      <w:tabs>
        <w:tab w:val="center" w:pos="4419"/>
        <w:tab w:val="right" w:pos="8838"/>
      </w:tabs>
    </w:pPr>
  </w:style>
  <w:style w:type="character" w:styleId="EncabezadoCar" w:customStyle="1">
    <w:name w:val="Encabezado Car"/>
    <w:basedOn w:val="Fuentedeprrafopredeter"/>
    <w:link w:val="Encabezado"/>
    <w:uiPriority w:val="99"/>
    <w:rsid w:val="00224D6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224D6A"/>
    <w:pPr>
      <w:tabs>
        <w:tab w:val="center" w:pos="4419"/>
        <w:tab w:val="right" w:pos="8838"/>
      </w:tabs>
    </w:pPr>
  </w:style>
  <w:style w:type="character" w:styleId="PiedepginaCar" w:customStyle="1">
    <w:name w:val="Pie de página Car"/>
    <w:basedOn w:val="Fuentedeprrafopredeter"/>
    <w:link w:val="Piedepgina"/>
    <w:uiPriority w:val="99"/>
    <w:rsid w:val="00224D6A"/>
    <w:rPr>
      <w:rFonts w:ascii="Times New Roman" w:cs="Times New Roman" w:eastAsia="Times New Roman" w:hAnsi="Times New Roman"/>
      <w:sz w:val="24"/>
      <w:szCs w:val="24"/>
      <w:lang w:eastAsia="es-ES" w:val="es-ES"/>
    </w:rPr>
  </w:style>
  <w:style w:type="paragraph" w:styleId="Sinespaciado">
    <w:name w:val="No Spacing"/>
    <w:aliases w:val="Francesa"/>
    <w:link w:val="SinespaciadoCar"/>
    <w:uiPriority w:val="1"/>
    <w:qFormat w:val="1"/>
    <w:rsid w:val="001E35F1"/>
  </w:style>
  <w:style w:type="character" w:styleId="SinespaciadoCar" w:customStyle="1">
    <w:name w:val="Sin espaciado Car"/>
    <w:aliases w:val="Francesa Car"/>
    <w:link w:val="Sinespaciado"/>
    <w:uiPriority w:val="1"/>
    <w:locked w:val="1"/>
    <w:rsid w:val="001E35F1"/>
  </w:style>
  <w:style w:type="character" w:styleId="Textoennegrita">
    <w:name w:val="Strong"/>
    <w:uiPriority w:val="22"/>
    <w:qFormat w:val="1"/>
    <w:rsid w:val="00FE56B6"/>
    <w:rPr>
      <w:b w:val="1"/>
      <w:bCs w:val="1"/>
    </w:rPr>
  </w:style>
  <w:style w:type="paragraph" w:styleId="Textodeglobo">
    <w:name w:val="Balloon Text"/>
    <w:basedOn w:val="Normal"/>
    <w:link w:val="TextodegloboCar"/>
    <w:uiPriority w:val="99"/>
    <w:semiHidden w:val="1"/>
    <w:unhideWhenUsed w:val="1"/>
    <w:rsid w:val="00E72E93"/>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72E93"/>
    <w:rPr>
      <w:rFonts w:ascii="Segoe UI" w:cs="Segoe UI" w:eastAsia="Times New Roman" w:hAnsi="Segoe UI"/>
      <w:sz w:val="18"/>
      <w:szCs w:val="18"/>
      <w:lang w:eastAsia="es-ES" w:val="es-ES"/>
    </w:rPr>
  </w:style>
  <w:style w:type="character" w:styleId="Nmerodelnea">
    <w:name w:val="line number"/>
    <w:basedOn w:val="Fuentedeprrafopredeter"/>
    <w:uiPriority w:val="99"/>
    <w:semiHidden w:val="1"/>
    <w:unhideWhenUsed w:val="1"/>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14A6D"/>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cs="Times New Roman" w:eastAsia="Times New Roman" w:hAnsi="Times New Roman"/>
      <w:sz w:val="20"/>
      <w:szCs w:val="20"/>
      <w:lang w:eastAsia="es-ES" w:val="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114A6D"/>
    <w:rPr>
      <w:vertAlign w:val="superscript"/>
    </w:rPr>
  </w:style>
  <w:style w:type="paragraph" w:styleId="Default" w:customStyle="1">
    <w:name w:val="Default"/>
    <w:rsid w:val="00A13C6C"/>
    <w:pPr>
      <w:autoSpaceDE w:val="0"/>
      <w:autoSpaceDN w:val="0"/>
      <w:adjustRightInd w:val="0"/>
    </w:pPr>
    <w:rPr>
      <w:rFonts w:ascii="Arial" w:cs="Arial" w:hAnsi="Arial"/>
      <w:color w:val="000000"/>
    </w:rPr>
  </w:style>
  <w:style w:type="character" w:styleId="Hipervnculovisitado">
    <w:name w:val="FollowedHyperlink"/>
    <w:basedOn w:val="Fuentedeprrafopredeter"/>
    <w:uiPriority w:val="99"/>
    <w:semiHidden w:val="1"/>
    <w:unhideWhenUsed w:val="1"/>
    <w:rsid w:val="002B22DF"/>
    <w:rPr>
      <w:color w:val="954f72" w:themeColor="followedHyperlink"/>
      <w:u w:val="single"/>
    </w:rPr>
  </w:style>
  <w:style w:type="paragraph" w:styleId="j" w:customStyle="1">
    <w:name w:val="j"/>
    <w:basedOn w:val="Normal"/>
    <w:rsid w:val="00300B23"/>
    <w:pPr>
      <w:spacing w:after="100" w:afterAutospacing="1" w:before="100" w:beforeAutospacing="1"/>
    </w:pPr>
    <w:rPr>
      <w:lang w:eastAsia="es-MX" w:val="es-MX"/>
    </w:rPr>
  </w:style>
  <w:style w:type="character" w:styleId="h" w:customStyle="1">
    <w:name w:val="h"/>
    <w:basedOn w:val="Fuentedeprrafopredeter"/>
    <w:rsid w:val="00300B23"/>
  </w:style>
  <w:style w:type="character" w:styleId="nacep" w:customStyle="1">
    <w:name w:val="n_acep"/>
    <w:basedOn w:val="Fuentedeprrafopredeter"/>
    <w:rsid w:val="00300B23"/>
  </w:style>
  <w:style w:type="character" w:styleId="A8" w:customStyle="1">
    <w:name w:val="A8"/>
    <w:uiPriority w:val="99"/>
    <w:rsid w:val="00180F38"/>
    <w:rPr>
      <w:rFonts w:cs="Raleway"/>
      <w:color w:val="211d1e"/>
      <w:sz w:val="28"/>
      <w:szCs w:val="28"/>
    </w:rPr>
  </w:style>
  <w:style w:type="character" w:styleId="Ttulo1Car" w:customStyle="1">
    <w:name w:val="Título 1 Car"/>
    <w:basedOn w:val="Fuentedeprrafopredeter"/>
    <w:link w:val="Ttulo1"/>
    <w:uiPriority w:val="9"/>
    <w:rsid w:val="00815308"/>
    <w:rPr>
      <w:rFonts w:ascii="Times New Roman" w:cs="Times New Roman" w:eastAsia="Times New Roman" w:hAnsi="Times New Roman"/>
      <w:b w:val="1"/>
      <w:bCs w:val="1"/>
      <w:kern w:val="36"/>
      <w:sz w:val="48"/>
      <w:szCs w:val="48"/>
      <w:lang w:eastAsia="es-MX"/>
    </w:rPr>
  </w:style>
  <w:style w:type="character" w:styleId="apple-style-span" w:customStyle="1">
    <w:name w:val="apple-style-span"/>
    <w:rsid w:val="00F44283"/>
  </w:style>
  <w:style w:type="character" w:styleId="Mencinsinresolver1" w:customStyle="1">
    <w:name w:val="Mención sin resolver1"/>
    <w:basedOn w:val="Fuentedeprrafopredeter"/>
    <w:uiPriority w:val="99"/>
    <w:semiHidden w:val="1"/>
    <w:unhideWhenUsed w:val="1"/>
    <w:rsid w:val="00316E8D"/>
    <w:rPr>
      <w:color w:val="605e5c"/>
      <w:shd w:color="auto" w:fill="e1dfdd" w:val="clear"/>
    </w:rPr>
  </w:style>
  <w:style w:type="paragraph" w:styleId="NormalWeb">
    <w:name w:val="Normal (Web)"/>
    <w:basedOn w:val="Normal"/>
    <w:uiPriority w:val="99"/>
    <w:unhideWhenUsed w:val="1"/>
    <w:rsid w:val="00AB41B0"/>
    <w:pPr>
      <w:spacing w:after="100" w:afterAutospacing="1" w:before="100" w:beforeAutospacing="1"/>
    </w:pPr>
    <w:rPr>
      <w:lang w:eastAsia="es-MX" w:val="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15.0" w:type="dxa"/>
        <w:bottom w:w="0.0" w:type="dxa"/>
        <w:right w:w="115.0" w:type="dxa"/>
      </w:tblCellMar>
    </w:tblPr>
  </w:style>
  <w:style w:type="table" w:styleId="a1" w:customStyle="1">
    <w:basedOn w:val="TableNormal0"/>
    <w:tblPr>
      <w:tblStyleRowBandSize w:val="1"/>
      <w:tblStyleColBandSize w:val="1"/>
      <w:tblCellMar>
        <w:top w:w="0.0" w:type="dxa"/>
        <w:left w:w="115.0" w:type="dxa"/>
        <w:bottom w:w="0.0" w:type="dxa"/>
        <w:right w:w="115.0" w:type="dxa"/>
      </w:tblCellMar>
    </w:tblPr>
  </w:style>
  <w:style w:type="paragraph" w:styleId="Listaconvietas3">
    <w:name w:val="List Bullet 3"/>
    <w:basedOn w:val="Normal"/>
    <w:uiPriority w:val="99"/>
    <w:unhideWhenUsed w:val="1"/>
    <w:rsid w:val="00F71FCF"/>
    <w:pPr>
      <w:numPr>
        <w:numId w:val="8"/>
      </w:numPr>
      <w:contextualSpacing w:val="1"/>
    </w:pPr>
    <w:rPr>
      <w:lang w:eastAsia="es-MX" w:val="es-MX"/>
    </w:rPr>
  </w:style>
  <w:style w:type="table" w:styleId="a2" w:customStyle="1">
    <w:basedOn w:val="TableNormal0"/>
    <w:tblPr>
      <w:tblStyleRowBandSize w:val="1"/>
      <w:tblStyleColBandSize w:val="1"/>
      <w:tblCellMar>
        <w:top w:w="0.0" w:type="dxa"/>
        <w:left w:w="115.0" w:type="dxa"/>
        <w:bottom w:w="0.0" w:type="dxa"/>
        <w:right w:w="115.0" w:type="dxa"/>
      </w:tblCellMar>
    </w:tblPr>
  </w:style>
  <w:style w:type="table" w:styleId="a3" w:customStyle="1">
    <w:basedOn w:val="TableNormal0"/>
    <w:tblPr>
      <w:tblStyleRowBandSize w:val="1"/>
      <w:tblStyleColBandSize w:val="1"/>
      <w:tblCellMar>
        <w:top w:w="0.0" w:type="dxa"/>
        <w:left w:w="115.0" w:type="dxa"/>
        <w:bottom w:w="0.0" w:type="dxa"/>
        <w:right w:w="115.0" w:type="dxa"/>
      </w:tblCellMar>
    </w:tblPr>
  </w:style>
  <w:style w:type="table" w:styleId="a4"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20" Type="http://schemas.openxmlformats.org/officeDocument/2006/relationships/image" Target="media/image12.png"/><Relationship Id="rId41" Type="http://schemas.openxmlformats.org/officeDocument/2006/relationships/header" Target="header3.xml"/><Relationship Id="rId22" Type="http://schemas.openxmlformats.org/officeDocument/2006/relationships/image" Target="media/image16.png"/><Relationship Id="rId21" Type="http://schemas.openxmlformats.org/officeDocument/2006/relationships/image" Target="media/image11.png"/><Relationship Id="rId24" Type="http://schemas.openxmlformats.org/officeDocument/2006/relationships/image" Target="media/image17.png"/><Relationship Id="rId23" Type="http://schemas.openxmlformats.org/officeDocument/2006/relationships/hyperlink" Target="https://www.fonacot.gob.mx/TransparenciaRendicionCuentas/Documents/Normatividad%20en%20Transparencia/Padron_Sujetos_Obligados%20INAI.pdf" TargetMode="Externa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hyperlink" Target="https://www.fonacot.gob.mx/TransparenciaRendicionCuentas/Documents/Normatividad%20en%20Transparencia/Padron_Sujetos_Obligados%20INAI.pdf" TargetMode="External"/><Relationship Id="rId28" Type="http://schemas.openxmlformats.org/officeDocument/2006/relationships/image" Target="media/image20.png"/><Relationship Id="rId27" Type="http://schemas.openxmlformats.org/officeDocument/2006/relationships/image" Target="media/image21.png"/><Relationship Id="rId5" Type="http://schemas.openxmlformats.org/officeDocument/2006/relationships/fontTable" Target="fontTable.xml"/><Relationship Id="rId6" Type="http://schemas.openxmlformats.org/officeDocument/2006/relationships/footnotes" Target="footnotes.xml"/><Relationship Id="rId29" Type="http://schemas.openxmlformats.org/officeDocument/2006/relationships/image" Target="media/image18.png"/><Relationship Id="rId7" Type="http://schemas.openxmlformats.org/officeDocument/2006/relationships/numbering" Target="numbering.xml"/><Relationship Id="rId8" Type="http://schemas.openxmlformats.org/officeDocument/2006/relationships/styles" Target="styles.xml"/><Relationship Id="rId31" Type="http://schemas.openxmlformats.org/officeDocument/2006/relationships/image" Target="media/image26.png"/><Relationship Id="rId30" Type="http://schemas.openxmlformats.org/officeDocument/2006/relationships/image" Target="media/image5.png"/><Relationship Id="rId11" Type="http://schemas.openxmlformats.org/officeDocument/2006/relationships/image" Target="media/image2.png"/><Relationship Id="rId33" Type="http://schemas.openxmlformats.org/officeDocument/2006/relationships/image" Target="media/image3.png"/><Relationship Id="rId10" Type="http://schemas.openxmlformats.org/officeDocument/2006/relationships/hyperlink" Target="about:blank" TargetMode="External"/><Relationship Id="rId32" Type="http://schemas.openxmlformats.org/officeDocument/2006/relationships/image" Target="media/image25.png"/><Relationship Id="rId13" Type="http://schemas.openxmlformats.org/officeDocument/2006/relationships/image" Target="media/image10.png"/><Relationship Id="rId35" Type="http://schemas.openxmlformats.org/officeDocument/2006/relationships/image" Target="media/image22.png"/><Relationship Id="rId12" Type="http://schemas.openxmlformats.org/officeDocument/2006/relationships/image" Target="media/image6.png"/><Relationship Id="rId34" Type="http://schemas.openxmlformats.org/officeDocument/2006/relationships/image" Target="media/image4.png"/><Relationship Id="rId15" Type="http://schemas.openxmlformats.org/officeDocument/2006/relationships/image" Target="media/image8.png"/><Relationship Id="rId37" Type="http://schemas.openxmlformats.org/officeDocument/2006/relationships/header" Target="header1.xml"/><Relationship Id="rId14" Type="http://schemas.openxmlformats.org/officeDocument/2006/relationships/image" Target="media/image9.png"/><Relationship Id="rId36" Type="http://schemas.openxmlformats.org/officeDocument/2006/relationships/header" Target="header2.xml"/><Relationship Id="rId17" Type="http://schemas.openxmlformats.org/officeDocument/2006/relationships/image" Target="media/image24.png"/><Relationship Id="rId39" Type="http://schemas.openxmlformats.org/officeDocument/2006/relationships/footer" Target="footer1.xml"/><Relationship Id="rId16" Type="http://schemas.openxmlformats.org/officeDocument/2006/relationships/image" Target="media/image15.png"/><Relationship Id="rId38" Type="http://schemas.openxmlformats.org/officeDocument/2006/relationships/footer" Target="footer2.xml"/><Relationship Id="rId19" Type="http://schemas.openxmlformats.org/officeDocument/2006/relationships/image" Target="media/image14.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3" Type="http://schemas.openxmlformats.org/officeDocument/2006/relationships/hyperlink" Target="https://www.sat.gob.mx/declaracion/90887/consulta-el-visor-de-comprobantes-de-nomina-para-el-patron-" TargetMode="External"/><Relationship Id="rId4" Type="http://schemas.openxmlformats.org/officeDocument/2006/relationships/hyperlink" Target="https://www.sat.gob.mx/personas/declaraciones" TargetMode="External"/><Relationship Id="rId5" Type="http://schemas.openxmlformats.org/officeDocument/2006/relationships/hyperlink" Target="http://www.imss.gob.mx/sites/all/statics/pdf/leyes/LSS.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T4KIuTCOuQpc2qDw0OjgLAaFvQ==">AMUW2mUIJVDgW+GniadPv21bIuKac1o7iETFuKUgzWnLfT3mPbxkrGLpJHwaGInFRmBcPMaNs/HS288as66woZQtonn567MvuhjAg2vPqdvNbWHZ24yG/bSjn4taaHRiw/MFHlPIA42sMwLwRLjdpS0MuLUE3EN16hL/yXUyyQ2NSbg3Eyf9crU=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2022-05-06T19:12:00Z</dcterms:created>
  <dc:creator>USER</dc:creator>
</cp:coreProperties>
</file>