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630B4" w14:textId="5E0D4E6C" w:rsidR="007A6821" w:rsidRPr="00CE3D9C" w:rsidRDefault="007A6821" w:rsidP="00887E2C">
      <w:pPr>
        <w:spacing w:line="360" w:lineRule="auto"/>
        <w:jc w:val="both"/>
        <w:rPr>
          <w:rFonts w:ascii="Palatino Linotype" w:hAnsi="Palatino Linotype" w:cs="Arial"/>
          <w:sz w:val="22"/>
        </w:rPr>
      </w:pPr>
      <w:r w:rsidRPr="00887E2C">
        <w:rPr>
          <w:rFonts w:ascii="Palatino Linotype" w:hAnsi="Palatino Linotype" w:cs="Arial"/>
          <w:sz w:val="22"/>
        </w:rPr>
        <w:t xml:space="preserve">Resolución del Pleno del Instituto de Transparencia, Acceso a la Información Pública y Protección de Datos Personales del Estado de México y Municipios, con domicilio en Metepec, Estado de México, de fecha </w:t>
      </w:r>
      <w:r w:rsidR="0002406F" w:rsidRPr="00CE3D9C">
        <w:rPr>
          <w:rFonts w:ascii="Palatino Linotype" w:hAnsi="Palatino Linotype" w:cs="Arial"/>
          <w:sz w:val="22"/>
        </w:rPr>
        <w:t>veintitrés</w:t>
      </w:r>
      <w:r w:rsidRPr="00CE3D9C">
        <w:rPr>
          <w:rFonts w:ascii="Palatino Linotype" w:hAnsi="Palatino Linotype" w:cs="Arial"/>
          <w:sz w:val="22"/>
        </w:rPr>
        <w:t xml:space="preserve"> de febrero de dos mil veintidós.</w:t>
      </w:r>
    </w:p>
    <w:p w14:paraId="16DA0F47" w14:textId="77777777" w:rsidR="00887E2C" w:rsidRPr="00CE3D9C" w:rsidRDefault="00887E2C" w:rsidP="00887E2C">
      <w:pPr>
        <w:spacing w:line="360" w:lineRule="auto"/>
        <w:jc w:val="both"/>
        <w:rPr>
          <w:rFonts w:ascii="Palatino Linotype" w:hAnsi="Palatino Linotype" w:cs="Arial"/>
          <w:sz w:val="22"/>
        </w:rPr>
      </w:pPr>
    </w:p>
    <w:p w14:paraId="7A275DE7" w14:textId="4E7EC017" w:rsidR="007A6821" w:rsidRDefault="1BB75220" w:rsidP="1BB75220">
      <w:pPr>
        <w:spacing w:line="360" w:lineRule="auto"/>
        <w:jc w:val="both"/>
        <w:rPr>
          <w:rFonts w:ascii="Palatino Linotype" w:hAnsi="Palatino Linotype" w:cs="Arial"/>
          <w:sz w:val="22"/>
          <w:szCs w:val="22"/>
          <w:lang w:val="es-ES"/>
        </w:rPr>
      </w:pPr>
      <w:r w:rsidRPr="1BB75220">
        <w:rPr>
          <w:rFonts w:ascii="Palatino Linotype" w:hAnsi="Palatino Linotype" w:cs="Arial"/>
          <w:b/>
          <w:bCs/>
        </w:rPr>
        <w:t>VISTO</w:t>
      </w:r>
      <w:r w:rsidRPr="1BB75220">
        <w:rPr>
          <w:rFonts w:ascii="Palatino Linotype" w:hAnsi="Palatino Linotype" w:cs="Arial"/>
          <w:sz w:val="22"/>
          <w:szCs w:val="22"/>
        </w:rPr>
        <w:t xml:space="preserve"> el expediente formado con motivo del Recurso de Revisión </w:t>
      </w:r>
      <w:r w:rsidRPr="1BB75220">
        <w:rPr>
          <w:rFonts w:ascii="Palatino Linotype" w:hAnsi="Palatino Linotype" w:cs="Arial"/>
          <w:b/>
          <w:bCs/>
          <w:sz w:val="22"/>
          <w:szCs w:val="22"/>
        </w:rPr>
        <w:t xml:space="preserve">00052/INFOEM/IP/RR/2022, </w:t>
      </w:r>
      <w:r w:rsidRPr="1BB75220">
        <w:rPr>
          <w:rFonts w:ascii="Palatino Linotype" w:hAnsi="Palatino Linotype" w:cs="Arial"/>
          <w:sz w:val="22"/>
          <w:szCs w:val="22"/>
        </w:rPr>
        <w:t xml:space="preserve">promovido por el </w:t>
      </w:r>
      <w:r w:rsidRPr="1BB75220">
        <w:rPr>
          <w:rFonts w:ascii="Palatino Linotype" w:hAnsi="Palatino Linotype" w:cs="Arial"/>
          <w:b/>
          <w:bCs/>
          <w:sz w:val="22"/>
          <w:szCs w:val="22"/>
        </w:rPr>
        <w:t xml:space="preserve">C. </w:t>
      </w:r>
      <w:r w:rsidRPr="1BB75220">
        <w:rPr>
          <w:rFonts w:ascii="Palatino Linotype" w:hAnsi="Palatino Linotype" w:cs="Arial"/>
          <w:sz w:val="22"/>
          <w:szCs w:val="22"/>
          <w:highlight w:val="black"/>
        </w:rPr>
        <w:t>XXXXXXXXXXXXXXXXXXXXXX</w:t>
      </w:r>
      <w:r w:rsidRPr="1BB75220">
        <w:rPr>
          <w:rFonts w:ascii="Palatino Linotype" w:hAnsi="Palatino Linotype" w:cs="Arial"/>
          <w:b/>
          <w:bCs/>
          <w:sz w:val="22"/>
          <w:szCs w:val="22"/>
        </w:rPr>
        <w:t xml:space="preserve">, </w:t>
      </w:r>
      <w:r w:rsidRPr="1BB75220">
        <w:rPr>
          <w:rFonts w:ascii="Palatino Linotype" w:hAnsi="Palatino Linotype"/>
          <w:sz w:val="22"/>
          <w:szCs w:val="22"/>
        </w:rPr>
        <w:t xml:space="preserve">a quien en lo sucesivo se le denominará </w:t>
      </w:r>
      <w:r w:rsidRPr="1BB75220">
        <w:rPr>
          <w:rFonts w:ascii="Palatino Linotype" w:hAnsi="Palatino Linotype" w:cs="Arial"/>
          <w:b/>
          <w:bCs/>
          <w:sz w:val="22"/>
          <w:szCs w:val="22"/>
          <w:lang w:val="es-ES"/>
        </w:rPr>
        <w:t>EL RECURRENTE,</w:t>
      </w:r>
      <w:r w:rsidRPr="1BB75220">
        <w:rPr>
          <w:rFonts w:ascii="Palatino Linotype" w:hAnsi="Palatino Linotype" w:cs="Arial"/>
          <w:sz w:val="22"/>
          <w:szCs w:val="22"/>
          <w:lang w:val="es-ES"/>
        </w:rPr>
        <w:t xml:space="preserve"> en contra de la respuesta del </w:t>
      </w:r>
      <w:r w:rsidRPr="1BB75220">
        <w:rPr>
          <w:rFonts w:ascii="Palatino Linotype" w:hAnsi="Palatino Linotype" w:cs="Arial"/>
          <w:b/>
          <w:bCs/>
          <w:sz w:val="22"/>
          <w:szCs w:val="22"/>
          <w:lang w:val="es-ES"/>
        </w:rPr>
        <w:t xml:space="preserve">Ayuntamiento de Apaxco, </w:t>
      </w:r>
      <w:r w:rsidRPr="1BB75220">
        <w:rPr>
          <w:rFonts w:ascii="Palatino Linotype" w:hAnsi="Palatino Linotype" w:cs="Arial"/>
          <w:sz w:val="22"/>
          <w:szCs w:val="22"/>
          <w:lang w:val="es-ES"/>
        </w:rPr>
        <w:t>a quien</w:t>
      </w:r>
      <w:r w:rsidRPr="1BB75220">
        <w:rPr>
          <w:rFonts w:ascii="Palatino Linotype" w:hAnsi="Palatino Linotype" w:cs="Arial"/>
          <w:b/>
          <w:bCs/>
          <w:sz w:val="22"/>
          <w:szCs w:val="22"/>
          <w:lang w:val="es-ES"/>
        </w:rPr>
        <w:t xml:space="preserve"> </w:t>
      </w:r>
      <w:r w:rsidRPr="1BB75220">
        <w:rPr>
          <w:rFonts w:ascii="Palatino Linotype" w:hAnsi="Palatino Linotype"/>
          <w:sz w:val="22"/>
          <w:szCs w:val="22"/>
        </w:rPr>
        <w:t xml:space="preserve">en lo subsecuente se le denominará </w:t>
      </w:r>
      <w:r w:rsidRPr="1BB75220">
        <w:rPr>
          <w:rFonts w:ascii="Palatino Linotype" w:hAnsi="Palatino Linotype" w:cs="Arial"/>
          <w:b/>
          <w:bCs/>
          <w:sz w:val="22"/>
          <w:szCs w:val="22"/>
          <w:lang w:val="es-ES"/>
        </w:rPr>
        <w:t xml:space="preserve">EL SUJETO OBLIGADO, </w:t>
      </w:r>
      <w:r w:rsidRPr="1BB75220">
        <w:rPr>
          <w:rFonts w:ascii="Palatino Linotype" w:hAnsi="Palatino Linotype" w:cs="Arial"/>
          <w:sz w:val="22"/>
          <w:szCs w:val="22"/>
          <w:lang w:val="es-ES"/>
        </w:rPr>
        <w:t>se procede a dictar la presente resolución con base en los siguientes:</w:t>
      </w:r>
    </w:p>
    <w:p w14:paraId="180443A2" w14:textId="77777777" w:rsidR="00887E2C" w:rsidRPr="00887E2C" w:rsidRDefault="00887E2C" w:rsidP="00624F14">
      <w:pPr>
        <w:spacing w:line="360" w:lineRule="auto"/>
        <w:jc w:val="both"/>
        <w:rPr>
          <w:rFonts w:ascii="Palatino Linotype" w:hAnsi="Palatino Linotype" w:cs="Arial"/>
          <w:sz w:val="22"/>
          <w:lang w:val="es-ES"/>
        </w:rPr>
      </w:pPr>
    </w:p>
    <w:p w14:paraId="534A5211" w14:textId="77777777" w:rsidR="007A6821" w:rsidRDefault="007A6821" w:rsidP="00624F14">
      <w:pPr>
        <w:spacing w:line="360" w:lineRule="auto"/>
        <w:jc w:val="center"/>
        <w:rPr>
          <w:rFonts w:ascii="Palatino Linotype" w:hAnsi="Palatino Linotype" w:cs="Arial"/>
          <w:b/>
          <w:bCs/>
          <w:spacing w:val="60"/>
        </w:rPr>
      </w:pPr>
      <w:r w:rsidRPr="00887E2C">
        <w:rPr>
          <w:rFonts w:ascii="Palatino Linotype" w:hAnsi="Palatino Linotype" w:cs="Arial"/>
          <w:b/>
          <w:bCs/>
          <w:spacing w:val="60"/>
        </w:rPr>
        <w:t>RESULTANDOS</w:t>
      </w:r>
    </w:p>
    <w:p w14:paraId="76A36182" w14:textId="77777777" w:rsidR="00887E2C" w:rsidRPr="00887E2C" w:rsidRDefault="00887E2C" w:rsidP="00624F14">
      <w:pPr>
        <w:spacing w:line="360" w:lineRule="auto"/>
        <w:jc w:val="center"/>
        <w:rPr>
          <w:rFonts w:ascii="Palatino Linotype" w:hAnsi="Palatino Linotype" w:cs="Arial"/>
          <w:b/>
          <w:bCs/>
          <w:spacing w:val="60"/>
        </w:rPr>
      </w:pPr>
    </w:p>
    <w:p w14:paraId="653B266C" w14:textId="6C2FC45C" w:rsidR="007A6821" w:rsidRDefault="007A6821" w:rsidP="00624F14">
      <w:pPr>
        <w:spacing w:line="360" w:lineRule="auto"/>
        <w:jc w:val="both"/>
        <w:rPr>
          <w:rFonts w:ascii="Palatino Linotype" w:eastAsia="MS Mincho" w:hAnsi="Palatino Linotype" w:cs="Arial"/>
          <w:bCs/>
          <w:sz w:val="22"/>
        </w:rPr>
      </w:pPr>
      <w:r w:rsidRPr="00887E2C">
        <w:rPr>
          <w:rFonts w:ascii="Palatino Linotype" w:eastAsia="Calibri" w:hAnsi="Palatino Linotype" w:cs="Arial"/>
          <w:b/>
          <w:szCs w:val="28"/>
          <w:lang w:val="es-ES" w:eastAsia="en-US"/>
        </w:rPr>
        <w:t xml:space="preserve">I. </w:t>
      </w:r>
      <w:r w:rsidRPr="00887E2C">
        <w:rPr>
          <w:rFonts w:ascii="Palatino Linotype" w:eastAsia="MS Mincho" w:hAnsi="Palatino Linotype" w:cs="Arial"/>
          <w:sz w:val="22"/>
        </w:rPr>
        <w:t xml:space="preserve">En </w:t>
      </w:r>
      <w:r w:rsidRPr="00887E2C">
        <w:rPr>
          <w:rFonts w:ascii="Palatino Linotype" w:eastAsia="MS Mincho" w:hAnsi="Palatino Linotype" w:cs="Arial"/>
          <w:sz w:val="22"/>
          <w:lang w:val="es-ES_tradnl"/>
        </w:rPr>
        <w:t xml:space="preserve">fecha </w:t>
      </w:r>
      <w:bookmarkStart w:id="0" w:name="_Hlk66905340"/>
      <w:r w:rsidRPr="00887E2C">
        <w:rPr>
          <w:rFonts w:ascii="Palatino Linotype" w:eastAsia="MS Mincho" w:hAnsi="Palatino Linotype" w:cs="Arial"/>
          <w:sz w:val="22"/>
          <w:lang w:val="es-ES_tradnl"/>
        </w:rPr>
        <w:t xml:space="preserve">catorce de diciembre </w:t>
      </w:r>
      <w:r w:rsidRPr="00887E2C">
        <w:rPr>
          <w:rFonts w:ascii="Palatino Linotype" w:eastAsia="MS Mincho" w:hAnsi="Palatino Linotype" w:cs="Arial"/>
          <w:sz w:val="22"/>
        </w:rPr>
        <w:t>de dos mil veintiuno</w:t>
      </w:r>
      <w:bookmarkEnd w:id="0"/>
      <w:r w:rsidRPr="00887E2C">
        <w:rPr>
          <w:rFonts w:ascii="Palatino Linotype" w:eastAsia="MS Mincho" w:hAnsi="Palatino Linotype" w:cs="Arial"/>
          <w:sz w:val="22"/>
        </w:rPr>
        <w:t xml:space="preserve">, </w:t>
      </w:r>
      <w:r w:rsidRPr="00887E2C">
        <w:rPr>
          <w:rFonts w:ascii="Palatino Linotype" w:eastAsia="MS Mincho" w:hAnsi="Palatino Linotype" w:cs="Arial"/>
          <w:b/>
          <w:sz w:val="22"/>
        </w:rPr>
        <w:t>EL RECURRENTE</w:t>
      </w:r>
      <w:r w:rsidRPr="00887E2C">
        <w:rPr>
          <w:rFonts w:ascii="Palatino Linotype" w:eastAsia="MS Mincho" w:hAnsi="Palatino Linotype" w:cs="Arial"/>
          <w:sz w:val="22"/>
        </w:rPr>
        <w:t xml:space="preserve"> </w:t>
      </w:r>
      <w:r w:rsidRPr="00887E2C">
        <w:rPr>
          <w:rFonts w:ascii="Palatino Linotype" w:eastAsia="MS Mincho" w:hAnsi="Palatino Linotype" w:cs="Arial"/>
          <w:sz w:val="22"/>
          <w:lang w:val="es-ES_tradnl"/>
        </w:rPr>
        <w:t xml:space="preserve">presentó a través del Sistema de Acceso a la Información Mexiquense, en lo subsecuente </w:t>
      </w:r>
      <w:r w:rsidRPr="00887E2C">
        <w:rPr>
          <w:rFonts w:ascii="Palatino Linotype" w:eastAsia="MS Mincho" w:hAnsi="Palatino Linotype" w:cs="Arial"/>
          <w:b/>
          <w:sz w:val="22"/>
          <w:lang w:val="es-ES_tradnl"/>
        </w:rPr>
        <w:t>EL SAIMEX</w:t>
      </w:r>
      <w:r w:rsidRPr="00887E2C">
        <w:rPr>
          <w:rFonts w:ascii="Palatino Linotype" w:eastAsia="MS Mincho" w:hAnsi="Palatino Linotype" w:cs="Arial"/>
          <w:sz w:val="22"/>
          <w:lang w:val="es-ES_tradnl"/>
        </w:rPr>
        <w:t xml:space="preserve"> ante </w:t>
      </w:r>
      <w:r w:rsidRPr="00887E2C">
        <w:rPr>
          <w:rFonts w:ascii="Palatino Linotype" w:eastAsia="MS Mincho" w:hAnsi="Palatino Linotype" w:cs="Arial"/>
          <w:b/>
          <w:sz w:val="22"/>
          <w:lang w:val="es-ES_tradnl"/>
        </w:rPr>
        <w:t>EL SUJETO OBLIGADO</w:t>
      </w:r>
      <w:r w:rsidRPr="00887E2C">
        <w:rPr>
          <w:rFonts w:ascii="Palatino Linotype" w:eastAsia="MS Mincho" w:hAnsi="Palatino Linotype" w:cs="Arial"/>
          <w:sz w:val="22"/>
          <w:lang w:val="es-ES_tradnl"/>
        </w:rPr>
        <w:t xml:space="preserve">, la solicitud de acceso a la información pública, </w:t>
      </w:r>
      <w:r w:rsidRPr="00887E2C">
        <w:rPr>
          <w:rFonts w:ascii="Palatino Linotype" w:eastAsia="MS Mincho" w:hAnsi="Palatino Linotype" w:cs="Arial"/>
          <w:sz w:val="22"/>
        </w:rPr>
        <w:t xml:space="preserve">a la que se le asignó el número de </w:t>
      </w:r>
      <w:bookmarkStart w:id="1" w:name="_Hlk71626058"/>
      <w:bookmarkStart w:id="2" w:name="_Hlk72841721"/>
      <w:bookmarkStart w:id="3" w:name="_Hlk73992511"/>
      <w:bookmarkStart w:id="4" w:name="_Hlk79436216"/>
      <w:bookmarkStart w:id="5" w:name="_Hlk79487986"/>
      <w:bookmarkStart w:id="6" w:name="_Hlk81858819"/>
      <w:r w:rsidRPr="00887E2C">
        <w:rPr>
          <w:rFonts w:ascii="Palatino Linotype" w:eastAsia="MS Mincho" w:hAnsi="Palatino Linotype" w:cs="Arial"/>
          <w:sz w:val="22"/>
        </w:rPr>
        <w:t xml:space="preserve">expediente </w:t>
      </w:r>
      <w:bookmarkEnd w:id="1"/>
      <w:bookmarkEnd w:id="2"/>
      <w:bookmarkEnd w:id="3"/>
      <w:bookmarkEnd w:id="4"/>
      <w:bookmarkEnd w:id="5"/>
      <w:bookmarkEnd w:id="6"/>
      <w:r w:rsidRPr="00887E2C">
        <w:rPr>
          <w:rFonts w:ascii="Palatino Linotype" w:eastAsia="MS Mincho" w:hAnsi="Palatino Linotype" w:cs="Arial"/>
          <w:b/>
          <w:sz w:val="22"/>
          <w:lang w:val="es-ES_tradnl"/>
        </w:rPr>
        <w:t>00119/APAXCO/IP/2021</w:t>
      </w:r>
      <w:r w:rsidRPr="00887E2C">
        <w:rPr>
          <w:rFonts w:ascii="Palatino Linotype" w:eastAsia="MS Mincho" w:hAnsi="Palatino Linotype" w:cs="Arial"/>
          <w:b/>
          <w:bCs/>
          <w:sz w:val="22"/>
        </w:rPr>
        <w:t xml:space="preserve">, </w:t>
      </w:r>
      <w:r w:rsidRPr="00887E2C">
        <w:rPr>
          <w:rFonts w:ascii="Palatino Linotype" w:eastAsia="MS Mincho" w:hAnsi="Palatino Linotype" w:cs="Arial"/>
          <w:bCs/>
          <w:sz w:val="22"/>
        </w:rPr>
        <w:t>mediante la cual requirió, lo siguiente:</w:t>
      </w:r>
    </w:p>
    <w:p w14:paraId="74E0B940" w14:textId="77777777" w:rsidR="00887E2C" w:rsidRPr="00887E2C" w:rsidRDefault="00887E2C" w:rsidP="00624F14">
      <w:pPr>
        <w:spacing w:line="360" w:lineRule="auto"/>
        <w:jc w:val="both"/>
        <w:rPr>
          <w:rFonts w:ascii="Palatino Linotype" w:eastAsia="MS Mincho" w:hAnsi="Palatino Linotype" w:cs="Arial"/>
          <w:bCs/>
          <w:sz w:val="22"/>
        </w:rPr>
      </w:pPr>
    </w:p>
    <w:p w14:paraId="293DEBAE" w14:textId="6D959435" w:rsidR="007A6821" w:rsidRDefault="007A6821" w:rsidP="00624F14">
      <w:pPr>
        <w:spacing w:line="360" w:lineRule="auto"/>
        <w:ind w:left="851" w:right="899"/>
        <w:jc w:val="both"/>
        <w:rPr>
          <w:rFonts w:ascii="Palatino Linotype" w:hAnsi="Palatino Linotype" w:cs="Arial"/>
          <w:i/>
          <w:iCs/>
          <w:sz w:val="18"/>
          <w:szCs w:val="20"/>
        </w:rPr>
      </w:pPr>
      <w:r w:rsidRPr="00887E2C">
        <w:rPr>
          <w:rFonts w:ascii="Palatino Linotype" w:hAnsi="Palatino Linotype" w:cs="Arial"/>
          <w:i/>
          <w:iCs/>
          <w:sz w:val="18"/>
          <w:szCs w:val="20"/>
        </w:rPr>
        <w:t>“SOLICITO AL SUJETO OBLIGADO ME INFORME QUE UNIDAD ADMINISTRATIVA SE ENCARGA DE LAS ENAJENACIONES DE BIENES MUEBLES Y DE QUE DIRECCIÓN GENERAL DEPENDE DICHA UNIDAD ADMINISTRATIVA.” (Sic)</w:t>
      </w:r>
      <w:r w:rsidR="00887E2C">
        <w:rPr>
          <w:rFonts w:ascii="Palatino Linotype" w:hAnsi="Palatino Linotype" w:cs="Arial"/>
          <w:i/>
          <w:iCs/>
          <w:sz w:val="18"/>
          <w:szCs w:val="20"/>
        </w:rPr>
        <w:t>.</w:t>
      </w:r>
    </w:p>
    <w:p w14:paraId="60835C66" w14:textId="77777777" w:rsidR="00887E2C" w:rsidRPr="00887E2C" w:rsidRDefault="00887E2C" w:rsidP="00624F14">
      <w:pPr>
        <w:spacing w:line="360" w:lineRule="auto"/>
        <w:ind w:left="851" w:right="899"/>
        <w:jc w:val="both"/>
        <w:rPr>
          <w:rFonts w:ascii="Palatino Linotype" w:hAnsi="Palatino Linotype" w:cs="Arial"/>
          <w:i/>
          <w:iCs/>
          <w:sz w:val="18"/>
          <w:szCs w:val="20"/>
        </w:rPr>
      </w:pPr>
    </w:p>
    <w:p w14:paraId="47874202" w14:textId="0A823656" w:rsidR="007A6821" w:rsidRDefault="007A6821" w:rsidP="00624F14">
      <w:pPr>
        <w:widowControl w:val="0"/>
        <w:autoSpaceDE w:val="0"/>
        <w:autoSpaceDN w:val="0"/>
        <w:adjustRightInd w:val="0"/>
        <w:spacing w:line="360" w:lineRule="auto"/>
        <w:jc w:val="both"/>
        <w:rPr>
          <w:rFonts w:ascii="Palatino Linotype" w:eastAsia="Calibri" w:hAnsi="Palatino Linotype" w:cs="Arial"/>
          <w:b/>
          <w:bCs/>
          <w:sz w:val="22"/>
          <w:lang w:val="es-ES" w:eastAsia="en-US"/>
        </w:rPr>
      </w:pPr>
      <w:r w:rsidRPr="00887E2C">
        <w:rPr>
          <w:rFonts w:ascii="Palatino Linotype" w:eastAsia="Calibri" w:hAnsi="Palatino Linotype" w:cs="Arial"/>
          <w:b/>
          <w:bCs/>
          <w:sz w:val="22"/>
          <w:lang w:val="es-ES" w:eastAsia="en-US"/>
        </w:rPr>
        <w:t xml:space="preserve">MODALIDAD DE ENTREGA: </w:t>
      </w:r>
      <w:r w:rsidRPr="00887E2C">
        <w:rPr>
          <w:rFonts w:ascii="Palatino Linotype" w:eastAsia="Calibri" w:hAnsi="Palatino Linotype" w:cs="Arial"/>
          <w:bCs/>
          <w:sz w:val="22"/>
          <w:lang w:val="es-ES" w:eastAsia="en-US"/>
        </w:rPr>
        <w:t>Vía</w:t>
      </w:r>
      <w:r w:rsidRPr="00887E2C">
        <w:rPr>
          <w:rFonts w:ascii="Palatino Linotype" w:eastAsia="Calibri" w:hAnsi="Palatino Linotype" w:cs="Arial"/>
          <w:b/>
          <w:bCs/>
          <w:sz w:val="22"/>
          <w:lang w:val="es-ES" w:eastAsia="en-US"/>
        </w:rPr>
        <w:t xml:space="preserve"> </w:t>
      </w:r>
      <w:r w:rsidR="00887E2C">
        <w:rPr>
          <w:rFonts w:ascii="Palatino Linotype" w:eastAsia="Calibri" w:hAnsi="Palatino Linotype" w:cs="Arial"/>
          <w:b/>
          <w:bCs/>
          <w:sz w:val="22"/>
          <w:lang w:val="es-ES" w:eastAsia="en-US"/>
        </w:rPr>
        <w:t xml:space="preserve">EL </w:t>
      </w:r>
      <w:r w:rsidRPr="00887E2C">
        <w:rPr>
          <w:rFonts w:ascii="Palatino Linotype" w:eastAsia="Calibri" w:hAnsi="Palatino Linotype" w:cs="Arial"/>
          <w:b/>
          <w:bCs/>
          <w:sz w:val="22"/>
          <w:lang w:val="es-ES" w:eastAsia="en-US"/>
        </w:rPr>
        <w:t>SAIMEX.</w:t>
      </w:r>
    </w:p>
    <w:p w14:paraId="2A7CA2E7" w14:textId="77777777" w:rsidR="00887E2C" w:rsidRPr="00887E2C" w:rsidRDefault="00887E2C" w:rsidP="00624F14">
      <w:pPr>
        <w:widowControl w:val="0"/>
        <w:autoSpaceDE w:val="0"/>
        <w:autoSpaceDN w:val="0"/>
        <w:adjustRightInd w:val="0"/>
        <w:spacing w:line="360" w:lineRule="auto"/>
        <w:jc w:val="both"/>
        <w:rPr>
          <w:rFonts w:ascii="Palatino Linotype" w:eastAsia="Calibri" w:hAnsi="Palatino Linotype" w:cs="Arial"/>
          <w:b/>
          <w:bCs/>
          <w:sz w:val="22"/>
          <w:lang w:val="es-ES" w:eastAsia="en-US"/>
        </w:rPr>
      </w:pPr>
    </w:p>
    <w:p w14:paraId="2AFC31BA" w14:textId="77777777" w:rsidR="007A6821" w:rsidRDefault="007A6821" w:rsidP="00624F14">
      <w:pPr>
        <w:widowControl w:val="0"/>
        <w:autoSpaceDE w:val="0"/>
        <w:autoSpaceDN w:val="0"/>
        <w:adjustRightInd w:val="0"/>
        <w:spacing w:line="360" w:lineRule="auto"/>
        <w:jc w:val="both"/>
        <w:rPr>
          <w:rFonts w:ascii="Palatino Linotype" w:hAnsi="Palatino Linotype" w:cs="Segoe UI"/>
          <w:sz w:val="22"/>
          <w:lang w:eastAsia="es-MX"/>
        </w:rPr>
      </w:pPr>
      <w:r w:rsidRPr="00887E2C">
        <w:rPr>
          <w:rFonts w:ascii="Palatino Linotype" w:eastAsia="Calibri" w:hAnsi="Palatino Linotype" w:cs="Arial"/>
          <w:b/>
          <w:bCs/>
          <w:lang w:val="es-ES" w:eastAsia="en-US"/>
        </w:rPr>
        <w:t>II</w:t>
      </w:r>
      <w:r w:rsidRPr="00887E2C">
        <w:rPr>
          <w:rFonts w:ascii="Palatino Linotype" w:eastAsia="Calibri" w:hAnsi="Palatino Linotype" w:cs="Arial"/>
          <w:b/>
          <w:bCs/>
          <w:sz w:val="22"/>
          <w:lang w:val="es-ES" w:eastAsia="en-US"/>
        </w:rPr>
        <w:t>.</w:t>
      </w:r>
      <w:r w:rsidRPr="00887E2C">
        <w:rPr>
          <w:rFonts w:ascii="Palatino Linotype" w:eastAsia="Calibri" w:hAnsi="Palatino Linotype" w:cs="Arial"/>
          <w:sz w:val="22"/>
          <w:lang w:val="es-ES" w:eastAsia="en-US"/>
        </w:rPr>
        <w:t xml:space="preserve"> </w:t>
      </w:r>
      <w:r w:rsidRPr="00887E2C">
        <w:rPr>
          <w:rFonts w:ascii="Palatino Linotype" w:hAnsi="Palatino Linotype" w:cs="Segoe UI"/>
          <w:sz w:val="22"/>
          <w:lang w:eastAsia="es-MX"/>
        </w:rPr>
        <w:t xml:space="preserve">En fecha veintidós de diciembre de dos mil veintiuno, </w:t>
      </w:r>
      <w:r w:rsidRPr="00887E2C">
        <w:rPr>
          <w:rFonts w:ascii="Palatino Linotype" w:hAnsi="Palatino Linotype" w:cs="Segoe UI"/>
          <w:b/>
          <w:bCs/>
          <w:sz w:val="22"/>
          <w:lang w:eastAsia="es-MX"/>
        </w:rPr>
        <w:t>EL SU</w:t>
      </w:r>
      <w:r w:rsidRPr="00887E2C">
        <w:rPr>
          <w:rFonts w:ascii="Palatino Linotype" w:hAnsi="Palatino Linotype" w:cs="Segoe UI"/>
          <w:b/>
          <w:sz w:val="22"/>
          <w:lang w:eastAsia="es-MX"/>
        </w:rPr>
        <w:t>JETO OBLIGADO</w:t>
      </w:r>
      <w:r w:rsidRPr="00887E2C">
        <w:rPr>
          <w:rFonts w:ascii="Palatino Linotype" w:hAnsi="Palatino Linotype" w:cs="Segoe UI"/>
          <w:sz w:val="22"/>
          <w:lang w:eastAsia="es-MX"/>
        </w:rPr>
        <w:t xml:space="preserve"> dio respuesta a la solicitud de información, en los términos siguientes:</w:t>
      </w:r>
    </w:p>
    <w:p w14:paraId="406B407B" w14:textId="77777777" w:rsidR="00887E2C" w:rsidRPr="00887E2C" w:rsidRDefault="00887E2C" w:rsidP="00624F14">
      <w:pPr>
        <w:widowControl w:val="0"/>
        <w:autoSpaceDE w:val="0"/>
        <w:autoSpaceDN w:val="0"/>
        <w:adjustRightInd w:val="0"/>
        <w:spacing w:line="360" w:lineRule="auto"/>
        <w:jc w:val="both"/>
        <w:rPr>
          <w:rFonts w:ascii="Palatino Linotype" w:hAnsi="Palatino Linotype" w:cs="Segoe UI"/>
          <w:sz w:val="22"/>
          <w:lang w:eastAsia="es-MX"/>
        </w:rPr>
      </w:pPr>
    </w:p>
    <w:p w14:paraId="280C6EBC" w14:textId="77777777" w:rsidR="007A6821" w:rsidRDefault="007A6821" w:rsidP="00887E2C">
      <w:pPr>
        <w:tabs>
          <w:tab w:val="left" w:pos="851"/>
        </w:tabs>
        <w:spacing w:line="360" w:lineRule="auto"/>
        <w:ind w:left="851" w:right="901"/>
        <w:jc w:val="both"/>
        <w:rPr>
          <w:rFonts w:ascii="Palatino Linotype" w:eastAsia="Palatino Linotype" w:hAnsi="Palatino Linotype" w:cs="Palatino Linotype"/>
          <w:i/>
          <w:sz w:val="20"/>
          <w:szCs w:val="22"/>
        </w:rPr>
      </w:pPr>
      <w:r w:rsidRPr="00887E2C">
        <w:rPr>
          <w:rFonts w:ascii="Palatino Linotype" w:eastAsia="Palatino Linotype" w:hAnsi="Palatino Linotype" w:cs="Palatino Linotype"/>
          <w:i/>
          <w:sz w:val="20"/>
          <w:szCs w:val="22"/>
        </w:rPr>
        <w:lastRenderedPageBreak/>
        <w:t xml:space="preserve"> “SE ENVÍA RESPUESTA EN DOCUMENTOS ADJUNTOS.” (Sic) </w:t>
      </w:r>
    </w:p>
    <w:p w14:paraId="1E63BA2E" w14:textId="77777777" w:rsidR="00887E2C" w:rsidRPr="00887E2C" w:rsidRDefault="00887E2C" w:rsidP="00887E2C">
      <w:pPr>
        <w:tabs>
          <w:tab w:val="left" w:pos="851"/>
        </w:tabs>
        <w:spacing w:line="360" w:lineRule="auto"/>
        <w:ind w:left="851" w:right="901"/>
        <w:jc w:val="both"/>
        <w:rPr>
          <w:rFonts w:ascii="Palatino Linotype" w:eastAsia="Palatino Linotype" w:hAnsi="Palatino Linotype" w:cs="Palatino Linotype"/>
          <w:i/>
          <w:sz w:val="20"/>
          <w:szCs w:val="22"/>
        </w:rPr>
      </w:pPr>
    </w:p>
    <w:p w14:paraId="0000E4B0" w14:textId="7C01CDA2" w:rsidR="007A6821" w:rsidRDefault="007A6821" w:rsidP="00624F14">
      <w:pPr>
        <w:widowControl w:val="0"/>
        <w:autoSpaceDE w:val="0"/>
        <w:autoSpaceDN w:val="0"/>
        <w:adjustRightInd w:val="0"/>
        <w:spacing w:line="360" w:lineRule="auto"/>
        <w:jc w:val="both"/>
        <w:rPr>
          <w:rFonts w:ascii="Palatino Linotype" w:hAnsi="Palatino Linotype" w:cs="Segoe UI"/>
          <w:sz w:val="22"/>
          <w:lang w:eastAsia="es-MX"/>
        </w:rPr>
      </w:pPr>
      <w:r w:rsidRPr="00887E2C">
        <w:rPr>
          <w:rFonts w:ascii="Palatino Linotype" w:hAnsi="Palatino Linotype" w:cs="Segoe UI"/>
          <w:sz w:val="22"/>
          <w:lang w:eastAsia="es-MX"/>
        </w:rPr>
        <w:t xml:space="preserve">A su respuesta </w:t>
      </w:r>
      <w:r w:rsidR="00887E2C">
        <w:rPr>
          <w:rFonts w:ascii="Palatino Linotype" w:hAnsi="Palatino Linotype" w:cs="Segoe UI"/>
          <w:sz w:val="22"/>
          <w:lang w:eastAsia="es-MX"/>
        </w:rPr>
        <w:t xml:space="preserve">adjuntó </w:t>
      </w:r>
      <w:r w:rsidRPr="00887E2C">
        <w:rPr>
          <w:rFonts w:ascii="Palatino Linotype" w:hAnsi="Palatino Linotype" w:cs="Segoe UI"/>
          <w:sz w:val="22"/>
          <w:lang w:eastAsia="es-MX"/>
        </w:rPr>
        <w:t xml:space="preserve">dos archivos electrónicos denominados </w:t>
      </w:r>
      <w:r w:rsidRPr="00887E2C">
        <w:rPr>
          <w:rFonts w:ascii="Palatino Linotype" w:hAnsi="Palatino Linotype" w:cs="Segoe UI"/>
          <w:b/>
          <w:sz w:val="22"/>
          <w:lang w:eastAsia="es-MX"/>
        </w:rPr>
        <w:t>“</w:t>
      </w:r>
      <w:hyperlink r:id="rId8" w:tgtFrame="_blank" w:history="1">
        <w:r w:rsidRPr="00887E2C">
          <w:rPr>
            <w:rFonts w:ascii="Palatino Linotype" w:hAnsi="Palatino Linotype" w:cs="Segoe UI"/>
            <w:b/>
            <w:sz w:val="22"/>
            <w:lang w:eastAsia="es-MX"/>
          </w:rPr>
          <w:t>Resp.Int. 00119-APAXCO-IP-2021.docx</w:t>
        </w:r>
      </w:hyperlink>
      <w:r w:rsidRPr="00887E2C">
        <w:rPr>
          <w:rFonts w:ascii="Palatino Linotype" w:hAnsi="Palatino Linotype" w:cs="Segoe UI"/>
          <w:b/>
          <w:sz w:val="22"/>
          <w:lang w:eastAsia="es-MX"/>
        </w:rPr>
        <w:t>”</w:t>
      </w:r>
      <w:r w:rsidRPr="00887E2C">
        <w:rPr>
          <w:rFonts w:ascii="Palatino Linotype" w:hAnsi="Palatino Linotype" w:cs="Segoe UI"/>
          <w:sz w:val="22"/>
          <w:lang w:eastAsia="es-MX"/>
        </w:rPr>
        <w:t xml:space="preserve"> y </w:t>
      </w:r>
      <w:r w:rsidRPr="00887E2C">
        <w:rPr>
          <w:rFonts w:ascii="Palatino Linotype" w:hAnsi="Palatino Linotype" w:cs="Segoe UI"/>
          <w:b/>
          <w:sz w:val="22"/>
          <w:lang w:eastAsia="es-MX"/>
        </w:rPr>
        <w:t>“</w:t>
      </w:r>
      <w:hyperlink r:id="rId9" w:tgtFrame="_blank" w:history="1">
        <w:r w:rsidRPr="00887E2C">
          <w:rPr>
            <w:rFonts w:ascii="Palatino Linotype" w:hAnsi="Palatino Linotype" w:cs="Segoe UI"/>
            <w:b/>
            <w:sz w:val="22"/>
            <w:lang w:eastAsia="es-MX"/>
          </w:rPr>
          <w:t>Resp.Int. 00119-APAXCO-IP-2021.pdf</w:t>
        </w:r>
      </w:hyperlink>
      <w:r w:rsidRPr="00887E2C">
        <w:rPr>
          <w:rFonts w:ascii="Palatino Linotype" w:hAnsi="Palatino Linotype" w:cs="Segoe UI"/>
          <w:b/>
          <w:sz w:val="22"/>
          <w:lang w:eastAsia="es-MX"/>
        </w:rPr>
        <w:t>”</w:t>
      </w:r>
      <w:r w:rsidRPr="00887E2C">
        <w:rPr>
          <w:rFonts w:ascii="Palatino Linotype" w:hAnsi="Palatino Linotype" w:cs="Segoe UI"/>
          <w:sz w:val="22"/>
          <w:lang w:eastAsia="es-MX"/>
        </w:rPr>
        <w:t xml:space="preserve">, cuyo contenido es el mismo; sin embargo, fueron remitidos por </w:t>
      </w:r>
      <w:r w:rsidRPr="00887E2C">
        <w:rPr>
          <w:rFonts w:ascii="Palatino Linotype" w:hAnsi="Palatino Linotype" w:cs="Segoe UI"/>
          <w:b/>
          <w:sz w:val="22"/>
          <w:lang w:eastAsia="es-MX"/>
        </w:rPr>
        <w:t>EL SUJETO OBLIGADO</w:t>
      </w:r>
      <w:r w:rsidRPr="00887E2C">
        <w:rPr>
          <w:rFonts w:ascii="Palatino Linotype" w:hAnsi="Palatino Linotype" w:cs="Segoe UI"/>
          <w:sz w:val="22"/>
          <w:lang w:eastAsia="es-MX"/>
        </w:rPr>
        <w:t xml:space="preserve"> en formatos distintos. Se trata del oficio número PMA/UMTyAIP/0420/2021, de fecha veintidós de diciembre de dos mi veintiuno, firmado por la Directora de la Unidad de Transparencia y Acceso a la Información Pública del Ayuntamiento</w:t>
      </w:r>
      <w:r w:rsidR="00887E2C">
        <w:rPr>
          <w:rFonts w:ascii="Palatino Linotype" w:hAnsi="Palatino Linotype" w:cs="Segoe UI"/>
          <w:sz w:val="22"/>
          <w:lang w:eastAsia="es-MX"/>
        </w:rPr>
        <w:t>,</w:t>
      </w:r>
      <w:r w:rsidRPr="00887E2C">
        <w:rPr>
          <w:rFonts w:ascii="Palatino Linotype" w:hAnsi="Palatino Linotype" w:cs="Segoe UI"/>
          <w:sz w:val="22"/>
          <w:lang w:eastAsia="es-MX"/>
        </w:rPr>
        <w:t xml:space="preserve"> administración 2019-2021, mediante el cual informó que se trata del Comité de Bienes Muebles e Inmuebles integrado por el Secretario del Ayuntamiento, el Contralor Interno Municipal, Síndico Municipal, Tesorero Municipal y el Coordinador Jurídico son los responsables de la enajenación de bienes muebles.</w:t>
      </w:r>
    </w:p>
    <w:p w14:paraId="1710E69D" w14:textId="77777777" w:rsidR="00887E2C" w:rsidRPr="00887E2C" w:rsidRDefault="00887E2C" w:rsidP="00624F14">
      <w:pPr>
        <w:widowControl w:val="0"/>
        <w:autoSpaceDE w:val="0"/>
        <w:autoSpaceDN w:val="0"/>
        <w:adjustRightInd w:val="0"/>
        <w:spacing w:line="360" w:lineRule="auto"/>
        <w:jc w:val="both"/>
        <w:rPr>
          <w:rFonts w:ascii="Palatino Linotype" w:hAnsi="Palatino Linotype" w:cs="Segoe UI"/>
          <w:sz w:val="22"/>
          <w:lang w:eastAsia="es-MX"/>
        </w:rPr>
      </w:pPr>
    </w:p>
    <w:p w14:paraId="3D51E4DE" w14:textId="78A6A91C" w:rsidR="007A6821" w:rsidRDefault="007A6821" w:rsidP="00624F14">
      <w:pPr>
        <w:spacing w:line="360" w:lineRule="auto"/>
        <w:ind w:left="-57" w:right="-57"/>
        <w:jc w:val="both"/>
        <w:rPr>
          <w:rFonts w:ascii="Palatino Linotype" w:hAnsi="Palatino Linotype" w:cs="Arial"/>
          <w:sz w:val="22"/>
        </w:rPr>
      </w:pPr>
      <w:r w:rsidRPr="00887E2C">
        <w:rPr>
          <w:rFonts w:ascii="Palatino Linotype" w:hAnsi="Palatino Linotype" w:cs="Segoe UI"/>
          <w:b/>
          <w:bCs/>
          <w:szCs w:val="28"/>
          <w:lang w:eastAsia="es-MX"/>
        </w:rPr>
        <w:t>III</w:t>
      </w:r>
      <w:r w:rsidRPr="00887E2C">
        <w:rPr>
          <w:rFonts w:ascii="Palatino Linotype" w:hAnsi="Palatino Linotype" w:cs="Segoe UI"/>
          <w:b/>
          <w:bCs/>
          <w:sz w:val="22"/>
          <w:lang w:eastAsia="es-MX"/>
        </w:rPr>
        <w:t>.</w:t>
      </w:r>
      <w:r w:rsidRPr="00887E2C">
        <w:rPr>
          <w:rFonts w:ascii="Palatino Linotype" w:hAnsi="Palatino Linotype" w:cs="Segoe UI"/>
          <w:sz w:val="22"/>
          <w:lang w:eastAsia="es-MX"/>
        </w:rPr>
        <w:t xml:space="preserve"> </w:t>
      </w:r>
      <w:r w:rsidRPr="00887E2C">
        <w:rPr>
          <w:rFonts w:ascii="Palatino Linotype" w:hAnsi="Palatino Linotype" w:cs="Arial"/>
          <w:sz w:val="22"/>
        </w:rPr>
        <w:t>Inconforme por la respuesta de</w:t>
      </w:r>
      <w:r w:rsidR="00887E2C">
        <w:rPr>
          <w:rFonts w:ascii="Palatino Linotype" w:hAnsi="Palatino Linotype" w:cs="Arial"/>
          <w:sz w:val="22"/>
        </w:rPr>
        <w:t xml:space="preserve"> </w:t>
      </w:r>
      <w:r w:rsidR="00887E2C" w:rsidRPr="00624F14">
        <w:rPr>
          <w:rFonts w:ascii="Palatino Linotype" w:hAnsi="Palatino Linotype" w:cs="Arial"/>
          <w:b/>
          <w:sz w:val="22"/>
        </w:rPr>
        <w:t>EL</w:t>
      </w:r>
      <w:r w:rsidRPr="00887E2C">
        <w:rPr>
          <w:rFonts w:ascii="Palatino Linotype" w:hAnsi="Palatino Linotype" w:cs="Arial"/>
          <w:b/>
          <w:sz w:val="22"/>
        </w:rPr>
        <w:t xml:space="preserve"> SUJETO OBLIGADO</w:t>
      </w:r>
      <w:r w:rsidRPr="00887E2C">
        <w:rPr>
          <w:rFonts w:ascii="Palatino Linotype" w:hAnsi="Palatino Linotype" w:cs="Arial"/>
          <w:sz w:val="22"/>
        </w:rPr>
        <w:t xml:space="preserve">, </w:t>
      </w:r>
      <w:bookmarkStart w:id="7" w:name="_Hlk65869348"/>
      <w:r w:rsidRPr="00887E2C">
        <w:rPr>
          <w:rFonts w:ascii="Palatino Linotype" w:hAnsi="Palatino Linotype" w:cs="Arial"/>
          <w:sz w:val="22"/>
        </w:rPr>
        <w:t xml:space="preserve">el </w:t>
      </w:r>
      <w:bookmarkEnd w:id="7"/>
      <w:r w:rsidRPr="00887E2C">
        <w:rPr>
          <w:rFonts w:ascii="Palatino Linotype" w:hAnsi="Palatino Linotype" w:cs="Segoe UI"/>
          <w:sz w:val="22"/>
          <w:lang w:eastAsia="es-MX"/>
        </w:rPr>
        <w:t>diez de enero de dos mil veintidós</w:t>
      </w:r>
      <w:r w:rsidRPr="00887E2C">
        <w:rPr>
          <w:rFonts w:ascii="Palatino Linotype" w:hAnsi="Palatino Linotype" w:cs="Arial"/>
          <w:sz w:val="22"/>
        </w:rPr>
        <w:t xml:space="preserve">, </w:t>
      </w:r>
      <w:r w:rsidRPr="00887E2C">
        <w:rPr>
          <w:rFonts w:ascii="Palatino Linotype" w:hAnsi="Palatino Linotype" w:cs="Arial"/>
          <w:b/>
          <w:sz w:val="22"/>
        </w:rPr>
        <w:t>EL RECURRENTE</w:t>
      </w:r>
      <w:r w:rsidRPr="00887E2C">
        <w:rPr>
          <w:rFonts w:ascii="Palatino Linotype" w:hAnsi="Palatino Linotype" w:cs="Arial"/>
          <w:sz w:val="22"/>
        </w:rPr>
        <w:t xml:space="preserve"> interpuso el recurso de revisión</w:t>
      </w:r>
      <w:r w:rsidR="00887E2C">
        <w:rPr>
          <w:rFonts w:ascii="Palatino Linotype" w:hAnsi="Palatino Linotype" w:cs="Arial"/>
          <w:sz w:val="22"/>
        </w:rPr>
        <w:t xml:space="preserve">, al cual se le </w:t>
      </w:r>
      <w:r w:rsidRPr="00887E2C">
        <w:rPr>
          <w:rFonts w:ascii="Palatino Linotype" w:hAnsi="Palatino Linotype" w:cs="Arial"/>
          <w:sz w:val="22"/>
        </w:rPr>
        <w:t>asign</w:t>
      </w:r>
      <w:r w:rsidR="00887E2C">
        <w:rPr>
          <w:rFonts w:ascii="Palatino Linotype" w:hAnsi="Palatino Linotype" w:cs="Arial"/>
          <w:sz w:val="22"/>
        </w:rPr>
        <w:t>ó</w:t>
      </w:r>
      <w:r w:rsidRPr="00887E2C">
        <w:rPr>
          <w:rFonts w:ascii="Palatino Linotype" w:hAnsi="Palatino Linotype" w:cs="Arial"/>
          <w:sz w:val="22"/>
        </w:rPr>
        <w:t xml:space="preserve"> el número de recurso de revisión señalado al rubro, el cual es objeto del presente estudio, en el que señal</w:t>
      </w:r>
      <w:r w:rsidR="00887E2C">
        <w:rPr>
          <w:rFonts w:ascii="Palatino Linotype" w:hAnsi="Palatino Linotype" w:cs="Arial"/>
          <w:sz w:val="22"/>
        </w:rPr>
        <w:t>ó</w:t>
      </w:r>
      <w:r w:rsidRPr="00887E2C">
        <w:rPr>
          <w:rFonts w:ascii="Palatino Linotype" w:hAnsi="Palatino Linotype" w:cs="Arial"/>
          <w:sz w:val="22"/>
        </w:rPr>
        <w:t xml:space="preserve"> como acto impugnado:</w:t>
      </w:r>
    </w:p>
    <w:p w14:paraId="47AAC46E" w14:textId="77777777" w:rsidR="00887E2C" w:rsidRPr="00887E2C" w:rsidRDefault="00887E2C" w:rsidP="00624F14">
      <w:pPr>
        <w:spacing w:line="360" w:lineRule="auto"/>
        <w:ind w:left="-57" w:right="-57"/>
        <w:jc w:val="both"/>
        <w:rPr>
          <w:rFonts w:ascii="Palatino Linotype" w:hAnsi="Palatino Linotype" w:cs="Arial"/>
          <w:sz w:val="22"/>
        </w:rPr>
      </w:pPr>
    </w:p>
    <w:p w14:paraId="09C5E395" w14:textId="7D3E83A7" w:rsidR="007A6821" w:rsidRDefault="007A6821" w:rsidP="00624F14">
      <w:pPr>
        <w:tabs>
          <w:tab w:val="left" w:pos="851"/>
        </w:tabs>
        <w:spacing w:line="360" w:lineRule="auto"/>
        <w:ind w:left="851" w:right="901"/>
        <w:jc w:val="both"/>
        <w:rPr>
          <w:rFonts w:ascii="Palatino Linotype" w:eastAsia="Palatino Linotype" w:hAnsi="Palatino Linotype" w:cs="Palatino Linotype"/>
          <w:i/>
          <w:sz w:val="20"/>
          <w:szCs w:val="22"/>
        </w:rPr>
      </w:pPr>
      <w:r w:rsidRPr="00887E2C">
        <w:rPr>
          <w:rFonts w:ascii="Palatino Linotype" w:eastAsia="Palatino Linotype" w:hAnsi="Palatino Linotype" w:cs="Palatino Linotype"/>
          <w:i/>
          <w:sz w:val="20"/>
          <w:szCs w:val="22"/>
        </w:rPr>
        <w:t>“Solicito al sujeto obligado me informe que unidad administrativa se encarga de las Enajenaciones de Bienes Muebles y de qué Dirección general depende dicha unidad administrativa.”</w:t>
      </w:r>
      <w:r w:rsidR="00887E2C">
        <w:rPr>
          <w:rFonts w:ascii="Palatino Linotype" w:eastAsia="Palatino Linotype" w:hAnsi="Palatino Linotype" w:cs="Palatino Linotype"/>
          <w:i/>
          <w:sz w:val="20"/>
          <w:szCs w:val="22"/>
        </w:rPr>
        <w:t xml:space="preserve"> (Sic).</w:t>
      </w:r>
    </w:p>
    <w:p w14:paraId="624D99BF" w14:textId="77777777" w:rsidR="00887E2C" w:rsidRPr="00887E2C" w:rsidRDefault="00887E2C" w:rsidP="00624F14">
      <w:pPr>
        <w:tabs>
          <w:tab w:val="left" w:pos="851"/>
        </w:tabs>
        <w:spacing w:line="360" w:lineRule="auto"/>
        <w:ind w:left="851" w:right="901"/>
        <w:jc w:val="both"/>
        <w:rPr>
          <w:rFonts w:ascii="Palatino Linotype" w:eastAsia="Palatino Linotype" w:hAnsi="Palatino Linotype" w:cs="Palatino Linotype"/>
          <w:i/>
          <w:sz w:val="20"/>
          <w:szCs w:val="22"/>
        </w:rPr>
      </w:pPr>
    </w:p>
    <w:p w14:paraId="07B87E9C" w14:textId="77777777" w:rsidR="007A6821" w:rsidRPr="00887E2C" w:rsidRDefault="007A6821" w:rsidP="00624F14">
      <w:pPr>
        <w:spacing w:line="360" w:lineRule="auto"/>
        <w:jc w:val="both"/>
        <w:rPr>
          <w:rFonts w:ascii="Palatino Linotype" w:eastAsia="Palatino Linotype" w:hAnsi="Palatino Linotype" w:cs="Palatino Linotype"/>
          <w:color w:val="000000"/>
          <w:sz w:val="20"/>
          <w:szCs w:val="22"/>
        </w:rPr>
      </w:pPr>
      <w:r w:rsidRPr="00887E2C">
        <w:rPr>
          <w:rFonts w:ascii="Palatino Linotype" w:eastAsia="Palatino Linotype" w:hAnsi="Palatino Linotype" w:cs="Palatino Linotype"/>
          <w:color w:val="000000"/>
          <w:sz w:val="20"/>
          <w:szCs w:val="22"/>
        </w:rPr>
        <w:t xml:space="preserve">Así como, razones o motivos de inconformidad lo siguiente: </w:t>
      </w:r>
    </w:p>
    <w:p w14:paraId="4BDDD1FB" w14:textId="77777777" w:rsidR="007A6821" w:rsidRDefault="007A6821" w:rsidP="00624F14">
      <w:pPr>
        <w:tabs>
          <w:tab w:val="left" w:pos="851"/>
        </w:tabs>
        <w:spacing w:line="360" w:lineRule="auto"/>
        <w:ind w:left="851" w:right="901"/>
        <w:jc w:val="both"/>
        <w:rPr>
          <w:rFonts w:ascii="Palatino Linotype" w:hAnsi="Palatino Linotype"/>
          <w:i/>
          <w:sz w:val="20"/>
          <w:szCs w:val="22"/>
        </w:rPr>
      </w:pPr>
      <w:r w:rsidRPr="00887E2C">
        <w:rPr>
          <w:rFonts w:ascii="Palatino Linotype" w:eastAsia="Palatino Linotype" w:hAnsi="Palatino Linotype" w:cs="Palatino Linotype"/>
          <w:i/>
          <w:sz w:val="20"/>
          <w:szCs w:val="22"/>
        </w:rPr>
        <w:t>“Se le solicito al sujeto obligado informara ¿Qué unidad administrativa se encarga de EJECUTAR el procedimiento de enajenación de bienes muebles?</w:t>
      </w:r>
      <w:r w:rsidRPr="00887E2C">
        <w:rPr>
          <w:rFonts w:ascii="Palatino Linotype" w:hAnsi="Palatino Linotype" w:cs="Arial"/>
          <w:sz w:val="22"/>
        </w:rPr>
        <w:t xml:space="preserve">” </w:t>
      </w:r>
      <w:r w:rsidRPr="00887E2C">
        <w:rPr>
          <w:rFonts w:ascii="Palatino Linotype" w:hAnsi="Palatino Linotype"/>
          <w:i/>
          <w:sz w:val="20"/>
          <w:szCs w:val="22"/>
        </w:rPr>
        <w:t>(Sic)</w:t>
      </w:r>
    </w:p>
    <w:p w14:paraId="56102CCC" w14:textId="77777777" w:rsidR="00887E2C" w:rsidRPr="00887E2C" w:rsidRDefault="00887E2C" w:rsidP="00624F14">
      <w:pPr>
        <w:tabs>
          <w:tab w:val="left" w:pos="851"/>
        </w:tabs>
        <w:spacing w:line="360" w:lineRule="auto"/>
        <w:ind w:left="851" w:right="901"/>
        <w:jc w:val="both"/>
        <w:rPr>
          <w:rFonts w:ascii="Palatino Linotype" w:hAnsi="Palatino Linotype" w:cs="Arial"/>
          <w:sz w:val="22"/>
        </w:rPr>
      </w:pPr>
    </w:p>
    <w:p w14:paraId="17CD6393" w14:textId="0D78B507" w:rsidR="007A6821" w:rsidRDefault="007A6821" w:rsidP="00624F14">
      <w:pPr>
        <w:spacing w:line="360" w:lineRule="auto"/>
        <w:jc w:val="both"/>
        <w:rPr>
          <w:rFonts w:ascii="Palatino Linotype" w:hAnsi="Palatino Linotype" w:cs="Arial"/>
          <w:sz w:val="22"/>
          <w:lang w:val="es-ES_tradnl"/>
        </w:rPr>
      </w:pPr>
      <w:r w:rsidRPr="00887E2C">
        <w:rPr>
          <w:rFonts w:ascii="Palatino Linotype" w:hAnsi="Palatino Linotype" w:cs="Arial"/>
          <w:b/>
          <w:szCs w:val="28"/>
        </w:rPr>
        <w:t>IV</w:t>
      </w:r>
      <w:r w:rsidRPr="00887E2C">
        <w:rPr>
          <w:rFonts w:ascii="Palatino Linotype" w:hAnsi="Palatino Linotype" w:cs="Arial"/>
          <w:b/>
          <w:sz w:val="22"/>
        </w:rPr>
        <w:t xml:space="preserve">. </w:t>
      </w:r>
      <w:bookmarkStart w:id="8" w:name="_Hlk76554159"/>
      <w:r w:rsidRPr="00887E2C">
        <w:rPr>
          <w:rFonts w:ascii="Palatino Linotype" w:hAnsi="Palatino Linotype" w:cs="Arial"/>
          <w:sz w:val="22"/>
        </w:rPr>
        <w:t xml:space="preserve">El </w:t>
      </w:r>
      <w:r w:rsidRPr="00887E2C">
        <w:rPr>
          <w:rFonts w:ascii="Palatino Linotype" w:hAnsi="Palatino Linotype" w:cs="Segoe UI"/>
          <w:sz w:val="22"/>
          <w:lang w:eastAsia="es-MX"/>
        </w:rPr>
        <w:t>diez de enero de dos mil veintidós</w:t>
      </w:r>
      <w:r w:rsidRPr="00887E2C">
        <w:rPr>
          <w:rFonts w:ascii="Palatino Linotype" w:hAnsi="Palatino Linotype" w:cs="Arial"/>
          <w:sz w:val="22"/>
        </w:rPr>
        <w:t xml:space="preserve">, el recurso del que se trata se </w:t>
      </w:r>
      <w:r w:rsidR="00887E2C">
        <w:rPr>
          <w:rFonts w:ascii="Palatino Linotype" w:hAnsi="Palatino Linotype" w:cs="Arial"/>
          <w:sz w:val="22"/>
        </w:rPr>
        <w:t xml:space="preserve">presentó </w:t>
      </w:r>
      <w:r w:rsidR="00887E2C" w:rsidRPr="00887E2C">
        <w:rPr>
          <w:rFonts w:ascii="Palatino Linotype" w:hAnsi="Palatino Linotype" w:cs="Arial"/>
          <w:sz w:val="22"/>
        </w:rPr>
        <w:t xml:space="preserve"> </w:t>
      </w:r>
      <w:r w:rsidRPr="00887E2C">
        <w:rPr>
          <w:rFonts w:ascii="Palatino Linotype" w:hAnsi="Palatino Linotype" w:cs="Arial"/>
          <w:sz w:val="22"/>
        </w:rPr>
        <w:t xml:space="preserve">electrónicamente </w:t>
      </w:r>
      <w:r w:rsidR="00887E2C">
        <w:rPr>
          <w:rFonts w:ascii="Palatino Linotype" w:hAnsi="Palatino Linotype" w:cs="Arial"/>
          <w:sz w:val="22"/>
        </w:rPr>
        <w:t>ante e</w:t>
      </w:r>
      <w:r w:rsidRPr="00887E2C">
        <w:rPr>
          <w:rFonts w:ascii="Palatino Linotype" w:hAnsi="Palatino Linotype" w:cs="Arial"/>
          <w:sz w:val="22"/>
        </w:rPr>
        <w:t xml:space="preserve">l Instituto de </w:t>
      </w:r>
      <w:r w:rsidRPr="00887E2C">
        <w:rPr>
          <w:rFonts w:ascii="Palatino Linotype" w:eastAsia="Arial Unicode MS" w:hAnsi="Palatino Linotype" w:cs="Arial"/>
          <w:sz w:val="22"/>
        </w:rPr>
        <w:t>Transparencia</w:t>
      </w:r>
      <w:r w:rsidRPr="00887E2C">
        <w:rPr>
          <w:rFonts w:ascii="Palatino Linotype" w:hAnsi="Palatino Linotype" w:cs="Arial"/>
          <w:sz w:val="22"/>
        </w:rPr>
        <w:t xml:space="preserve">, Acceso a la Información Pública y </w:t>
      </w:r>
      <w:r w:rsidRPr="00887E2C">
        <w:rPr>
          <w:rFonts w:ascii="Palatino Linotype" w:hAnsi="Palatino Linotype" w:cs="Arial"/>
          <w:sz w:val="22"/>
        </w:rPr>
        <w:lastRenderedPageBreak/>
        <w:t xml:space="preserve">Protección de Datos Personales del Estado de México y Municipios y con fundamento en el artículo 185, fracción I de la </w:t>
      </w:r>
      <w:r w:rsidRPr="00887E2C">
        <w:rPr>
          <w:rFonts w:ascii="Palatino Linotype" w:hAnsi="Palatino Linotype"/>
          <w:sz w:val="22"/>
        </w:rPr>
        <w:t>Ley de Transparencia y Acceso a la Información Pública del Estado de México y Municipios</w:t>
      </w:r>
      <w:r w:rsidRPr="00887E2C">
        <w:rPr>
          <w:rFonts w:ascii="Palatino Linotype" w:hAnsi="Palatino Linotype" w:cs="Arial"/>
          <w:sz w:val="22"/>
        </w:rPr>
        <w:t xml:space="preserve">, </w:t>
      </w:r>
      <w:r w:rsidRPr="00887E2C">
        <w:rPr>
          <w:rFonts w:ascii="Palatino Linotype" w:hAnsi="Palatino Linotype" w:cs="Arial"/>
          <w:sz w:val="22"/>
          <w:lang w:val="es-ES_tradnl"/>
        </w:rPr>
        <w:t>a través de</w:t>
      </w:r>
      <w:r w:rsidR="00887E2C">
        <w:rPr>
          <w:rFonts w:ascii="Palatino Linotype" w:hAnsi="Palatino Linotype" w:cs="Arial"/>
          <w:sz w:val="22"/>
          <w:lang w:val="es-ES_tradnl"/>
        </w:rPr>
        <w:t xml:space="preserve"> </w:t>
      </w:r>
      <w:r w:rsidR="00887E2C" w:rsidRPr="00624F14">
        <w:rPr>
          <w:rFonts w:ascii="Palatino Linotype" w:hAnsi="Palatino Linotype" w:cs="Arial"/>
          <w:b/>
          <w:sz w:val="22"/>
          <w:lang w:val="es-ES_tradnl"/>
        </w:rPr>
        <w:t>EL</w:t>
      </w:r>
      <w:r w:rsidRPr="00887E2C">
        <w:rPr>
          <w:rFonts w:ascii="Palatino Linotype" w:eastAsia="Arial Unicode MS" w:hAnsi="Palatino Linotype" w:cs="Arial"/>
          <w:sz w:val="22"/>
          <w:lang w:val="es-ES_tradnl"/>
        </w:rPr>
        <w:t xml:space="preserve"> </w:t>
      </w:r>
      <w:r w:rsidRPr="00887E2C">
        <w:rPr>
          <w:rFonts w:ascii="Palatino Linotype" w:eastAsia="Arial Unicode MS" w:hAnsi="Palatino Linotype" w:cs="Arial"/>
          <w:b/>
          <w:sz w:val="22"/>
          <w:lang w:val="es-ES_tradnl"/>
        </w:rPr>
        <w:t>SAIMEX</w:t>
      </w:r>
      <w:r w:rsidRPr="00887E2C">
        <w:rPr>
          <w:rFonts w:ascii="Palatino Linotype" w:hAnsi="Palatino Linotype"/>
          <w:sz w:val="22"/>
        </w:rPr>
        <w:t>, el recurso</w:t>
      </w:r>
      <w:r w:rsidRPr="00887E2C">
        <w:rPr>
          <w:rFonts w:ascii="Palatino Linotype" w:hAnsi="Palatino Linotype" w:cs="Arial"/>
          <w:sz w:val="22"/>
          <w:szCs w:val="20"/>
        </w:rPr>
        <w:t xml:space="preserve"> de revisión </w:t>
      </w:r>
      <w:r w:rsidR="00887E2C" w:rsidRPr="00887E2C">
        <w:rPr>
          <w:rFonts w:ascii="Palatino Linotype" w:hAnsi="Palatino Linotype" w:cs="Arial"/>
          <w:sz w:val="22"/>
          <w:lang w:val="es-ES_tradnl"/>
        </w:rPr>
        <w:t>se turnó</w:t>
      </w:r>
      <w:r w:rsidR="00887E2C" w:rsidRPr="00887E2C">
        <w:rPr>
          <w:rFonts w:ascii="Palatino Linotype" w:hAnsi="Palatino Linotype"/>
          <w:sz w:val="22"/>
        </w:rPr>
        <w:t xml:space="preserve"> </w:t>
      </w:r>
      <w:r w:rsidRPr="00887E2C">
        <w:rPr>
          <w:rFonts w:ascii="Palatino Linotype" w:hAnsi="Palatino Linotype"/>
          <w:sz w:val="22"/>
        </w:rPr>
        <w:t xml:space="preserve">al </w:t>
      </w:r>
      <w:r w:rsidRPr="00887E2C">
        <w:rPr>
          <w:rFonts w:ascii="Palatino Linotype" w:hAnsi="Palatino Linotype" w:cs="Arial"/>
          <w:b/>
          <w:bCs/>
          <w:sz w:val="22"/>
          <w:lang w:val="es-ES_tradnl"/>
        </w:rPr>
        <w:t>Comisionado Luis Gustavo Parra Noriega</w:t>
      </w:r>
      <w:r w:rsidRPr="00887E2C">
        <w:rPr>
          <w:rFonts w:ascii="Palatino Linotype" w:hAnsi="Palatino Linotype"/>
          <w:sz w:val="22"/>
        </w:rPr>
        <w:t xml:space="preserve">, a </w:t>
      </w:r>
      <w:r w:rsidRPr="00887E2C">
        <w:rPr>
          <w:rFonts w:ascii="Palatino Linotype" w:hAnsi="Palatino Linotype" w:cs="Arial"/>
          <w:sz w:val="22"/>
          <w:lang w:val="es-ES_tradnl"/>
        </w:rPr>
        <w:t>efecto de que decretara su admisión o desechamiento.</w:t>
      </w:r>
    </w:p>
    <w:p w14:paraId="6E01C29B" w14:textId="77777777" w:rsidR="00887E2C" w:rsidRPr="00887E2C" w:rsidRDefault="00887E2C" w:rsidP="00624F14">
      <w:pPr>
        <w:spacing w:line="360" w:lineRule="auto"/>
        <w:jc w:val="both"/>
        <w:rPr>
          <w:rFonts w:ascii="Palatino Linotype" w:hAnsi="Palatino Linotype" w:cs="Arial"/>
          <w:sz w:val="22"/>
          <w:lang w:val="es-ES_tradnl"/>
        </w:rPr>
      </w:pPr>
    </w:p>
    <w:bookmarkEnd w:id="8"/>
    <w:p w14:paraId="3D71CCA1" w14:textId="40708F10" w:rsidR="007A6821" w:rsidRDefault="007A6821" w:rsidP="00624F14">
      <w:pPr>
        <w:tabs>
          <w:tab w:val="center" w:pos="4252"/>
          <w:tab w:val="right" w:pos="8504"/>
        </w:tabs>
        <w:spacing w:line="360" w:lineRule="auto"/>
        <w:jc w:val="both"/>
        <w:rPr>
          <w:rFonts w:ascii="Palatino Linotype" w:hAnsi="Palatino Linotype" w:cs="Arial"/>
          <w:sz w:val="22"/>
        </w:rPr>
      </w:pPr>
      <w:r w:rsidRPr="00887E2C">
        <w:rPr>
          <w:rFonts w:ascii="Palatino Linotype" w:hAnsi="Palatino Linotype" w:cs="Arial"/>
          <w:b/>
          <w:szCs w:val="28"/>
        </w:rPr>
        <w:t xml:space="preserve">V. </w:t>
      </w:r>
      <w:r w:rsidRPr="00887E2C">
        <w:rPr>
          <w:rFonts w:ascii="Palatino Linotype" w:hAnsi="Palatino Linotype" w:cs="Arial"/>
          <w:sz w:val="22"/>
        </w:rPr>
        <w:t>De las constancias que obran en el expediente electrónico de</w:t>
      </w:r>
      <w:r w:rsidR="00887E2C">
        <w:rPr>
          <w:rFonts w:ascii="Palatino Linotype" w:hAnsi="Palatino Linotype" w:cs="Arial"/>
          <w:sz w:val="22"/>
        </w:rPr>
        <w:t xml:space="preserve"> </w:t>
      </w:r>
      <w:r w:rsidR="00887E2C" w:rsidRPr="00572A69">
        <w:rPr>
          <w:rFonts w:ascii="Palatino Linotype" w:hAnsi="Palatino Linotype" w:cs="Arial"/>
          <w:b/>
          <w:sz w:val="22"/>
          <w:lang w:val="es-ES_tradnl"/>
        </w:rPr>
        <w:t>EL</w:t>
      </w:r>
      <w:r w:rsidRPr="00887E2C">
        <w:rPr>
          <w:rFonts w:ascii="Palatino Linotype" w:hAnsi="Palatino Linotype" w:cs="Arial"/>
          <w:b/>
          <w:sz w:val="22"/>
        </w:rPr>
        <w:t xml:space="preserve"> SAIMEX</w:t>
      </w:r>
      <w:r w:rsidRPr="00887E2C">
        <w:rPr>
          <w:rFonts w:ascii="Palatino Linotype" w:hAnsi="Palatino Linotype" w:cs="Arial"/>
          <w:sz w:val="22"/>
        </w:rPr>
        <w:t>, se advierte que en fecha once de enero de dos mil veinti</w:t>
      </w:r>
      <w:r w:rsidR="00887E2C">
        <w:rPr>
          <w:rFonts w:ascii="Palatino Linotype" w:hAnsi="Palatino Linotype" w:cs="Arial"/>
          <w:sz w:val="22"/>
        </w:rPr>
        <w:t>d</w:t>
      </w:r>
      <w:r w:rsidRPr="00887E2C">
        <w:rPr>
          <w:rFonts w:ascii="Palatino Linotype" w:hAnsi="Palatino Linotype" w:cs="Arial"/>
          <w:sz w:val="22"/>
        </w:rPr>
        <w:t xml:space="preserve">ós, se acordó la admisión a trámite del </w:t>
      </w:r>
      <w:r w:rsidR="00887E2C" w:rsidRPr="00887E2C">
        <w:rPr>
          <w:rFonts w:ascii="Palatino Linotype" w:hAnsi="Palatino Linotype" w:cs="Arial"/>
          <w:sz w:val="22"/>
        </w:rPr>
        <w:t>Re</w:t>
      </w:r>
      <w:r w:rsidRPr="00887E2C">
        <w:rPr>
          <w:rFonts w:ascii="Palatino Linotype" w:hAnsi="Palatino Linotype" w:cs="Arial"/>
          <w:sz w:val="22"/>
        </w:rPr>
        <w:t xml:space="preserve">curso de </w:t>
      </w:r>
      <w:r w:rsidR="00887E2C" w:rsidRPr="00887E2C">
        <w:rPr>
          <w:rFonts w:ascii="Palatino Linotype" w:hAnsi="Palatino Linotype" w:cs="Arial"/>
          <w:sz w:val="22"/>
        </w:rPr>
        <w:t xml:space="preserve">Revisión </w:t>
      </w:r>
      <w:r w:rsidRPr="00887E2C">
        <w:rPr>
          <w:rFonts w:ascii="Palatino Linotype" w:hAnsi="Palatino Linotype" w:cs="Arial"/>
          <w:sz w:val="22"/>
        </w:rPr>
        <w:t xml:space="preserve">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87E2C">
        <w:rPr>
          <w:rFonts w:ascii="Palatino Linotype" w:hAnsi="Palatino Linotype" w:cs="Arial"/>
          <w:b/>
          <w:sz w:val="22"/>
        </w:rPr>
        <w:t xml:space="preserve">EL SUJETO OBLIGADO </w:t>
      </w:r>
      <w:r w:rsidRPr="00887E2C">
        <w:rPr>
          <w:rFonts w:ascii="Palatino Linotype" w:hAnsi="Palatino Linotype" w:cs="Arial"/>
          <w:sz w:val="22"/>
        </w:rPr>
        <w:t>rindiera el correspondiente</w:t>
      </w:r>
      <w:r w:rsidRPr="00887E2C">
        <w:rPr>
          <w:rFonts w:ascii="Palatino Linotype" w:hAnsi="Palatino Linotype" w:cs="Arial"/>
          <w:b/>
          <w:sz w:val="22"/>
        </w:rPr>
        <w:t xml:space="preserve"> </w:t>
      </w:r>
      <w:r w:rsidRPr="00887E2C">
        <w:rPr>
          <w:rFonts w:ascii="Palatino Linotype" w:hAnsi="Palatino Linotype" w:cs="Arial"/>
          <w:sz w:val="22"/>
        </w:rPr>
        <w:t>Informe Justificado.</w:t>
      </w:r>
    </w:p>
    <w:p w14:paraId="33BD0BD4" w14:textId="77777777" w:rsidR="00887E2C" w:rsidRPr="00887E2C" w:rsidRDefault="00887E2C" w:rsidP="00624F14">
      <w:pPr>
        <w:tabs>
          <w:tab w:val="center" w:pos="4252"/>
          <w:tab w:val="right" w:pos="8504"/>
        </w:tabs>
        <w:spacing w:line="360" w:lineRule="auto"/>
        <w:jc w:val="both"/>
        <w:rPr>
          <w:rFonts w:ascii="Palatino Linotype" w:hAnsi="Palatino Linotype" w:cs="Arial"/>
          <w:sz w:val="22"/>
        </w:rPr>
      </w:pPr>
    </w:p>
    <w:p w14:paraId="51C4083D" w14:textId="46E47CE0" w:rsidR="007A6821" w:rsidRDefault="007A6821" w:rsidP="00624F14">
      <w:pPr>
        <w:spacing w:line="360" w:lineRule="auto"/>
        <w:jc w:val="both"/>
        <w:rPr>
          <w:rFonts w:ascii="Palatino Linotype" w:hAnsi="Palatino Linotype" w:cs="Arial"/>
          <w:sz w:val="22"/>
        </w:rPr>
      </w:pPr>
      <w:r w:rsidRPr="00887E2C">
        <w:rPr>
          <w:rFonts w:ascii="Palatino Linotype" w:hAnsi="Palatino Linotype" w:cs="Arial"/>
          <w:b/>
          <w:szCs w:val="28"/>
        </w:rPr>
        <w:t>VI</w:t>
      </w:r>
      <w:r w:rsidRPr="00887E2C">
        <w:rPr>
          <w:rFonts w:ascii="Palatino Linotype" w:hAnsi="Palatino Linotype" w:cs="Arial"/>
          <w:b/>
          <w:sz w:val="22"/>
        </w:rPr>
        <w:t xml:space="preserve">. </w:t>
      </w:r>
      <w:r w:rsidRPr="00887E2C">
        <w:rPr>
          <w:rFonts w:ascii="Palatino Linotype" w:hAnsi="Palatino Linotype" w:cs="Arial"/>
          <w:sz w:val="22"/>
        </w:rPr>
        <w:t>En cumplimiento a lo anterior, de las constancias del expediente electrónico de</w:t>
      </w:r>
      <w:r w:rsidR="00887E2C">
        <w:rPr>
          <w:rFonts w:ascii="Palatino Linotype" w:hAnsi="Palatino Linotype" w:cs="Arial"/>
          <w:sz w:val="22"/>
        </w:rPr>
        <w:t xml:space="preserve"> </w:t>
      </w:r>
      <w:r w:rsidR="00887E2C" w:rsidRPr="00572A69">
        <w:rPr>
          <w:rFonts w:ascii="Palatino Linotype" w:hAnsi="Palatino Linotype" w:cs="Arial"/>
          <w:b/>
          <w:sz w:val="22"/>
          <w:lang w:val="es-ES_tradnl"/>
        </w:rPr>
        <w:t>EL</w:t>
      </w:r>
      <w:r w:rsidRPr="00887E2C">
        <w:rPr>
          <w:rFonts w:ascii="Palatino Linotype" w:hAnsi="Palatino Linotype" w:cs="Arial"/>
          <w:sz w:val="22"/>
        </w:rPr>
        <w:t xml:space="preserve"> </w:t>
      </w:r>
      <w:r w:rsidRPr="00887E2C">
        <w:rPr>
          <w:rFonts w:ascii="Palatino Linotype" w:hAnsi="Palatino Linotype" w:cs="Arial"/>
          <w:b/>
          <w:bCs/>
          <w:sz w:val="22"/>
        </w:rPr>
        <w:t>SAIMEX</w:t>
      </w:r>
      <w:r w:rsidRPr="00887E2C">
        <w:rPr>
          <w:rFonts w:ascii="Palatino Linotype" w:hAnsi="Palatino Linotype" w:cs="Arial"/>
          <w:sz w:val="22"/>
        </w:rPr>
        <w:t xml:space="preserve">, se advierte que </w:t>
      </w:r>
      <w:r w:rsidRPr="00887E2C">
        <w:rPr>
          <w:rFonts w:ascii="Palatino Linotype" w:hAnsi="Palatino Linotype" w:cs="Arial"/>
          <w:b/>
          <w:sz w:val="22"/>
        </w:rPr>
        <w:t xml:space="preserve">EL SUJETO OBLIGADO </w:t>
      </w:r>
      <w:r w:rsidRPr="00887E2C">
        <w:rPr>
          <w:rFonts w:ascii="Palatino Linotype" w:hAnsi="Palatino Linotype" w:cs="Arial"/>
          <w:sz w:val="22"/>
        </w:rPr>
        <w:t>en fecha dieciocho de enero de dos mil veintidós, rindió el informe justificado respectivo a través de los archivos electrónicos que se describen a continuación:</w:t>
      </w:r>
    </w:p>
    <w:p w14:paraId="28F998DD" w14:textId="77777777" w:rsidR="00887E2C" w:rsidRPr="00887E2C" w:rsidRDefault="00887E2C" w:rsidP="00624F14">
      <w:pPr>
        <w:spacing w:line="360" w:lineRule="auto"/>
        <w:jc w:val="both"/>
        <w:rPr>
          <w:rFonts w:ascii="Palatino Linotype" w:hAnsi="Palatino Linotype" w:cs="Arial"/>
          <w:sz w:val="22"/>
        </w:rPr>
      </w:pPr>
    </w:p>
    <w:p w14:paraId="687CFE80" w14:textId="6503B988" w:rsidR="007A6821" w:rsidRPr="00887E2C" w:rsidRDefault="0098323C" w:rsidP="00887E2C">
      <w:pPr>
        <w:pStyle w:val="Prrafodelista"/>
        <w:numPr>
          <w:ilvl w:val="0"/>
          <w:numId w:val="2"/>
        </w:numPr>
        <w:spacing w:line="360" w:lineRule="auto"/>
        <w:contextualSpacing/>
        <w:jc w:val="both"/>
        <w:rPr>
          <w:rFonts w:ascii="Palatino Linotype" w:eastAsia="Palatino Linotype" w:hAnsi="Palatino Linotype" w:cs="Palatino Linotype"/>
          <w:sz w:val="22"/>
        </w:rPr>
      </w:pPr>
      <w:hyperlink r:id="rId10" w:history="1">
        <w:r w:rsidR="007A6821" w:rsidRPr="00887E2C">
          <w:rPr>
            <w:rFonts w:ascii="Palatino Linotype" w:eastAsia="Palatino Linotype" w:hAnsi="Palatino Linotype" w:cs="Palatino Linotype"/>
            <w:b/>
            <w:sz w:val="22"/>
          </w:rPr>
          <w:t>INFORME JUSTIFICADO 00052-INFOEM-IP-2021.docx</w:t>
        </w:r>
      </w:hyperlink>
      <w:r w:rsidR="007A6821" w:rsidRPr="00887E2C">
        <w:rPr>
          <w:rFonts w:ascii="Palatino Linotype" w:eastAsia="Palatino Linotype" w:hAnsi="Palatino Linotype" w:cs="Palatino Linotype"/>
          <w:b/>
          <w:sz w:val="22"/>
        </w:rPr>
        <w:t>:</w:t>
      </w:r>
      <w:r w:rsidR="007A6821" w:rsidRPr="00887E2C">
        <w:rPr>
          <w:rFonts w:ascii="Palatino Linotype" w:eastAsia="Palatino Linotype" w:hAnsi="Palatino Linotype" w:cs="Palatino Linotype"/>
          <w:sz w:val="22"/>
        </w:rPr>
        <w:t xml:space="preserve"> contiene el oficio número PMA/UMTyAIP/022/2022, de fecha dieciocho de enero de dos mil veintidós, signado por la Titular de la Unidad de Transparencia y en el que realizó una semblanza de las actuaciones que obran en el expediente </w:t>
      </w:r>
      <w:r w:rsidR="00887E2C">
        <w:rPr>
          <w:rFonts w:ascii="Palatino Linotype" w:eastAsia="Palatino Linotype" w:hAnsi="Palatino Linotype" w:cs="Palatino Linotype"/>
          <w:sz w:val="22"/>
        </w:rPr>
        <w:t xml:space="preserve">en donde </w:t>
      </w:r>
      <w:r w:rsidR="007A6821" w:rsidRPr="00887E2C">
        <w:rPr>
          <w:rFonts w:ascii="Palatino Linotype" w:eastAsia="Palatino Linotype" w:hAnsi="Palatino Linotype" w:cs="Palatino Linotype"/>
          <w:sz w:val="22"/>
        </w:rPr>
        <w:t>señal</w:t>
      </w:r>
      <w:r w:rsidR="00887E2C">
        <w:rPr>
          <w:rFonts w:ascii="Palatino Linotype" w:eastAsia="Palatino Linotype" w:hAnsi="Palatino Linotype" w:cs="Palatino Linotype"/>
          <w:sz w:val="22"/>
        </w:rPr>
        <w:t>ó</w:t>
      </w:r>
      <w:r w:rsidR="007A6821" w:rsidRPr="00887E2C">
        <w:rPr>
          <w:rFonts w:ascii="Palatino Linotype" w:eastAsia="Palatino Linotype" w:hAnsi="Palatino Linotype" w:cs="Palatino Linotype"/>
          <w:sz w:val="22"/>
        </w:rPr>
        <w:t xml:space="preserve"> que la Ley Orgánica Municipal del Estado de México, no establece facultad alguna a una Dirección o Unidad Administrativa; sin embargo, el artículo 2</w:t>
      </w:r>
      <w:r w:rsidR="00887E2C">
        <w:rPr>
          <w:rFonts w:ascii="Palatino Linotype" w:eastAsia="Palatino Linotype" w:hAnsi="Palatino Linotype" w:cs="Palatino Linotype"/>
          <w:sz w:val="22"/>
        </w:rPr>
        <w:t>°</w:t>
      </w:r>
      <w:r w:rsidR="007A6821" w:rsidRPr="00887E2C">
        <w:rPr>
          <w:rFonts w:ascii="Palatino Linotype" w:eastAsia="Palatino Linotype" w:hAnsi="Palatino Linotype" w:cs="Palatino Linotype"/>
          <w:sz w:val="22"/>
        </w:rPr>
        <w:t xml:space="preserve"> de la Ley en cita dispone que las autoridades </w:t>
      </w:r>
      <w:r w:rsidR="007A6821" w:rsidRPr="00887E2C">
        <w:rPr>
          <w:rFonts w:ascii="Palatino Linotype" w:eastAsia="Palatino Linotype" w:hAnsi="Palatino Linotype" w:cs="Palatino Linotype"/>
          <w:sz w:val="22"/>
        </w:rPr>
        <w:lastRenderedPageBreak/>
        <w:t xml:space="preserve">municipales tienen </w:t>
      </w:r>
      <w:r w:rsidR="00887E2C">
        <w:rPr>
          <w:rFonts w:ascii="Palatino Linotype" w:eastAsia="Palatino Linotype" w:hAnsi="Palatino Linotype" w:cs="Palatino Linotype"/>
          <w:sz w:val="22"/>
        </w:rPr>
        <w:t xml:space="preserve">las </w:t>
      </w:r>
      <w:r w:rsidR="007A6821" w:rsidRPr="00887E2C">
        <w:rPr>
          <w:rFonts w:ascii="Palatino Linotype" w:eastAsia="Palatino Linotype" w:hAnsi="Palatino Linotype" w:cs="Palatino Linotype"/>
          <w:sz w:val="22"/>
        </w:rPr>
        <w:t>atribuciones que les señalen otros ordenamientos</w:t>
      </w:r>
      <w:r w:rsidR="00887E2C">
        <w:rPr>
          <w:rFonts w:ascii="Palatino Linotype" w:eastAsia="Palatino Linotype" w:hAnsi="Palatino Linotype" w:cs="Palatino Linotype"/>
          <w:sz w:val="22"/>
        </w:rPr>
        <w:t>,</w:t>
      </w:r>
      <w:r w:rsidR="007A6821" w:rsidRPr="00887E2C">
        <w:rPr>
          <w:rFonts w:ascii="Palatino Linotype" w:eastAsia="Palatino Linotype" w:hAnsi="Palatino Linotype" w:cs="Palatino Linotype"/>
          <w:sz w:val="22"/>
        </w:rPr>
        <w:t xml:space="preserve"> tal y como lo prevé la Ley de Bienes del Estado de México y Municipios que en su artículo 57 establece que para la realización de actos de adquisición y arrendamiento de bienes inmuebles, así como de enajenación de bienes muebles e inmuebles deberán integrar el Comité respectivo.</w:t>
      </w:r>
    </w:p>
    <w:p w14:paraId="1E3C5562" w14:textId="77777777" w:rsidR="007A6821" w:rsidRPr="00887E2C" w:rsidRDefault="007A6821">
      <w:pPr>
        <w:pStyle w:val="Prrafodelista"/>
        <w:spacing w:line="360" w:lineRule="auto"/>
        <w:jc w:val="both"/>
        <w:rPr>
          <w:rFonts w:ascii="Palatino Linotype" w:eastAsia="Palatino Linotype" w:hAnsi="Palatino Linotype" w:cs="Palatino Linotype"/>
          <w:sz w:val="22"/>
        </w:rPr>
      </w:pPr>
    </w:p>
    <w:p w14:paraId="0BA46520" w14:textId="2F1DED58" w:rsidR="007A6821" w:rsidRDefault="007A6821">
      <w:pPr>
        <w:pStyle w:val="Prrafodelista"/>
        <w:spacing w:line="360" w:lineRule="auto"/>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t>A</w:t>
      </w:r>
      <w:r w:rsidR="00887E2C">
        <w:rPr>
          <w:rFonts w:ascii="Palatino Linotype" w:eastAsia="Palatino Linotype" w:hAnsi="Palatino Linotype" w:cs="Palatino Linotype"/>
          <w:sz w:val="22"/>
        </w:rPr>
        <w:t>demás a</w:t>
      </w:r>
      <w:r w:rsidRPr="00887E2C">
        <w:rPr>
          <w:rFonts w:ascii="Palatino Linotype" w:eastAsia="Palatino Linotype" w:hAnsi="Palatino Linotype" w:cs="Palatino Linotype"/>
          <w:sz w:val="22"/>
        </w:rPr>
        <w:t>greg</w:t>
      </w:r>
      <w:r w:rsidR="00887E2C">
        <w:rPr>
          <w:rFonts w:ascii="Palatino Linotype" w:eastAsia="Palatino Linotype" w:hAnsi="Palatino Linotype" w:cs="Palatino Linotype"/>
          <w:sz w:val="22"/>
        </w:rPr>
        <w:t>ó</w:t>
      </w:r>
      <w:r w:rsidRPr="00887E2C">
        <w:rPr>
          <w:rFonts w:ascii="Palatino Linotype" w:eastAsia="Palatino Linotype" w:hAnsi="Palatino Linotype" w:cs="Palatino Linotype"/>
          <w:sz w:val="22"/>
        </w:rPr>
        <w:t xml:space="preserve"> </w:t>
      </w:r>
      <w:r w:rsidR="00887E2C">
        <w:rPr>
          <w:rFonts w:ascii="Palatino Linotype" w:eastAsia="Palatino Linotype" w:hAnsi="Palatino Linotype" w:cs="Palatino Linotype"/>
          <w:sz w:val="22"/>
        </w:rPr>
        <w:t>a</w:t>
      </w:r>
      <w:r w:rsidRPr="00887E2C">
        <w:rPr>
          <w:rFonts w:ascii="Palatino Linotype" w:eastAsia="Palatino Linotype" w:hAnsi="Palatino Linotype" w:cs="Palatino Linotype"/>
          <w:sz w:val="22"/>
        </w:rPr>
        <w:t xml:space="preserve"> </w:t>
      </w:r>
      <w:r w:rsidR="00887E2C">
        <w:rPr>
          <w:rFonts w:ascii="Palatino Linotype" w:eastAsia="Palatino Linotype" w:hAnsi="Palatino Linotype" w:cs="Palatino Linotype"/>
          <w:sz w:val="22"/>
        </w:rPr>
        <w:t>las</w:t>
      </w:r>
      <w:r w:rsidRPr="00887E2C">
        <w:rPr>
          <w:rFonts w:ascii="Palatino Linotype" w:eastAsia="Palatino Linotype" w:hAnsi="Palatino Linotype" w:cs="Palatino Linotype"/>
          <w:sz w:val="22"/>
        </w:rPr>
        <w:t xml:space="preserve"> razones o motivos de inconformidad </w:t>
      </w:r>
      <w:r w:rsidR="00887E2C">
        <w:rPr>
          <w:rFonts w:ascii="Palatino Linotype" w:eastAsia="Palatino Linotype" w:hAnsi="Palatino Linotype" w:cs="Palatino Linotype"/>
          <w:sz w:val="22"/>
        </w:rPr>
        <w:t xml:space="preserve">de </w:t>
      </w:r>
      <w:r w:rsidR="00887E2C" w:rsidRPr="00624F14">
        <w:rPr>
          <w:rFonts w:ascii="Palatino Linotype" w:eastAsia="Palatino Linotype" w:hAnsi="Palatino Linotype" w:cs="Palatino Linotype"/>
          <w:b/>
          <w:sz w:val="22"/>
        </w:rPr>
        <w:t>EL RECURRENTE</w:t>
      </w:r>
      <w:r w:rsidR="00887E2C">
        <w:rPr>
          <w:rFonts w:ascii="Palatino Linotype" w:eastAsia="Palatino Linotype" w:hAnsi="Palatino Linotype" w:cs="Palatino Linotype"/>
          <w:sz w:val="22"/>
        </w:rPr>
        <w:t xml:space="preserve"> </w:t>
      </w:r>
      <w:r w:rsidRPr="00887E2C">
        <w:rPr>
          <w:rFonts w:ascii="Palatino Linotype" w:eastAsia="Palatino Linotype" w:hAnsi="Palatino Linotype" w:cs="Palatino Linotype"/>
          <w:sz w:val="22"/>
        </w:rPr>
        <w:t xml:space="preserve">no se encuadran en algún supuesto de procedencia del </w:t>
      </w:r>
      <w:r w:rsidR="00887E2C" w:rsidRPr="00887E2C">
        <w:rPr>
          <w:rFonts w:ascii="Palatino Linotype" w:eastAsia="Palatino Linotype" w:hAnsi="Palatino Linotype" w:cs="Palatino Linotype"/>
          <w:sz w:val="22"/>
        </w:rPr>
        <w:t xml:space="preserve">Recurso </w:t>
      </w:r>
      <w:r w:rsidRPr="00887E2C">
        <w:rPr>
          <w:rFonts w:ascii="Palatino Linotype" w:eastAsia="Palatino Linotype" w:hAnsi="Palatino Linotype" w:cs="Palatino Linotype"/>
          <w:sz w:val="22"/>
        </w:rPr>
        <w:t xml:space="preserve">de </w:t>
      </w:r>
      <w:r w:rsidR="00887E2C" w:rsidRPr="00887E2C">
        <w:rPr>
          <w:rFonts w:ascii="Palatino Linotype" w:eastAsia="Palatino Linotype" w:hAnsi="Palatino Linotype" w:cs="Palatino Linotype"/>
          <w:sz w:val="22"/>
        </w:rPr>
        <w:t xml:space="preserve">Revisión </w:t>
      </w:r>
      <w:r w:rsidRPr="00887E2C">
        <w:rPr>
          <w:rFonts w:ascii="Palatino Linotype" w:eastAsia="Palatino Linotype" w:hAnsi="Palatino Linotype" w:cs="Palatino Linotype"/>
          <w:sz w:val="22"/>
        </w:rPr>
        <w:t>del artículo 179 de la Ley de Transparencia y Acceso a la Información Pública del Estado de México; pues en ellas solicita se le informe qu</w:t>
      </w:r>
      <w:r w:rsidR="00887E2C">
        <w:rPr>
          <w:rFonts w:ascii="Palatino Linotype" w:eastAsia="Palatino Linotype" w:hAnsi="Palatino Linotype" w:cs="Palatino Linotype"/>
          <w:sz w:val="22"/>
        </w:rPr>
        <w:t>é</w:t>
      </w:r>
      <w:r w:rsidRPr="00887E2C">
        <w:rPr>
          <w:rFonts w:ascii="Palatino Linotype" w:eastAsia="Palatino Linotype" w:hAnsi="Palatino Linotype" w:cs="Palatino Linotype"/>
          <w:sz w:val="22"/>
        </w:rPr>
        <w:t xml:space="preserve"> unidad administrativa se encarga de ejecutar el procedimiento de enajenación de bienes muebles, requerimiento que difiere de la solicitud de origen donde s</w:t>
      </w:r>
      <w:r w:rsidR="00887E2C">
        <w:rPr>
          <w:rFonts w:ascii="Palatino Linotype" w:eastAsia="Palatino Linotype" w:hAnsi="Palatino Linotype" w:cs="Palatino Linotype"/>
          <w:sz w:val="22"/>
        </w:rPr>
        <w:t>ó</w:t>
      </w:r>
      <w:r w:rsidRPr="00887E2C">
        <w:rPr>
          <w:rFonts w:ascii="Palatino Linotype" w:eastAsia="Palatino Linotype" w:hAnsi="Palatino Linotype" w:cs="Palatino Linotype"/>
          <w:sz w:val="22"/>
        </w:rPr>
        <w:t>lo se pidió el nombre de la unidad administrativa que se encarga de las enajenaciones y la dirección general de la que depende,</w:t>
      </w:r>
      <w:r w:rsidR="00887E2C">
        <w:rPr>
          <w:rFonts w:ascii="Palatino Linotype" w:eastAsia="Palatino Linotype" w:hAnsi="Palatino Linotype" w:cs="Palatino Linotype"/>
          <w:sz w:val="22"/>
        </w:rPr>
        <w:t xml:space="preserve"> por lo que</w:t>
      </w:r>
      <w:r w:rsidRPr="00887E2C">
        <w:rPr>
          <w:rFonts w:ascii="Palatino Linotype" w:eastAsia="Palatino Linotype" w:hAnsi="Palatino Linotype" w:cs="Palatino Linotype"/>
          <w:sz w:val="22"/>
        </w:rPr>
        <w:t xml:space="preserve"> reiter</w:t>
      </w:r>
      <w:r w:rsidR="00887E2C">
        <w:rPr>
          <w:rFonts w:ascii="Palatino Linotype" w:eastAsia="Palatino Linotype" w:hAnsi="Palatino Linotype" w:cs="Palatino Linotype"/>
          <w:sz w:val="22"/>
        </w:rPr>
        <w:t>ó</w:t>
      </w:r>
      <w:r w:rsidRPr="00887E2C">
        <w:rPr>
          <w:rFonts w:ascii="Palatino Linotype" w:eastAsia="Palatino Linotype" w:hAnsi="Palatino Linotype" w:cs="Palatino Linotype"/>
          <w:sz w:val="22"/>
        </w:rPr>
        <w:t xml:space="preserve"> su respuesta</w:t>
      </w:r>
      <w:r w:rsidR="00887E2C">
        <w:rPr>
          <w:rFonts w:ascii="Palatino Linotype" w:eastAsia="Palatino Linotype" w:hAnsi="Palatino Linotype" w:cs="Palatino Linotype"/>
          <w:sz w:val="22"/>
        </w:rPr>
        <w:t xml:space="preserve"> y </w:t>
      </w:r>
      <w:r w:rsidRPr="00887E2C">
        <w:rPr>
          <w:rFonts w:ascii="Palatino Linotype" w:eastAsia="Palatino Linotype" w:hAnsi="Palatino Linotype" w:cs="Palatino Linotype"/>
          <w:sz w:val="22"/>
        </w:rPr>
        <w:t xml:space="preserve">solicitó al Pleno del Instituto </w:t>
      </w:r>
      <w:r w:rsidR="00887E2C">
        <w:rPr>
          <w:rFonts w:ascii="Palatino Linotype" w:eastAsia="Palatino Linotype" w:hAnsi="Palatino Linotype" w:cs="Palatino Linotype"/>
          <w:sz w:val="22"/>
        </w:rPr>
        <w:t xml:space="preserve">la </w:t>
      </w:r>
      <w:r w:rsidRPr="00887E2C">
        <w:rPr>
          <w:rFonts w:ascii="Palatino Linotype" w:eastAsia="Palatino Linotype" w:hAnsi="Palatino Linotype" w:cs="Palatino Linotype"/>
          <w:sz w:val="22"/>
        </w:rPr>
        <w:t>confirme.</w:t>
      </w:r>
    </w:p>
    <w:p w14:paraId="63BC2117" w14:textId="77777777" w:rsidR="00887E2C" w:rsidRPr="00887E2C" w:rsidRDefault="00887E2C">
      <w:pPr>
        <w:pStyle w:val="Prrafodelista"/>
        <w:spacing w:line="360" w:lineRule="auto"/>
        <w:jc w:val="both"/>
        <w:rPr>
          <w:rFonts w:ascii="Palatino Linotype" w:eastAsia="Palatino Linotype" w:hAnsi="Palatino Linotype" w:cs="Palatino Linotype"/>
          <w:sz w:val="22"/>
        </w:rPr>
      </w:pPr>
    </w:p>
    <w:p w14:paraId="3CC82BE8" w14:textId="13F8A51C" w:rsidR="007A6821" w:rsidRPr="00887E2C" w:rsidRDefault="0098323C">
      <w:pPr>
        <w:pStyle w:val="Prrafodelista"/>
        <w:numPr>
          <w:ilvl w:val="0"/>
          <w:numId w:val="2"/>
        </w:numPr>
        <w:spacing w:line="360" w:lineRule="auto"/>
        <w:contextualSpacing/>
        <w:jc w:val="both"/>
        <w:rPr>
          <w:rFonts w:ascii="Palatino Linotype" w:eastAsia="Palatino Linotype" w:hAnsi="Palatino Linotype" w:cs="Palatino Linotype"/>
          <w:sz w:val="22"/>
        </w:rPr>
      </w:pPr>
      <w:hyperlink r:id="rId11" w:history="1">
        <w:r w:rsidR="007A6821" w:rsidRPr="00887E2C">
          <w:rPr>
            <w:rFonts w:ascii="Palatino Linotype" w:eastAsia="Palatino Linotype" w:hAnsi="Palatino Linotype" w:cs="Palatino Linotype"/>
            <w:b/>
            <w:sz w:val="22"/>
          </w:rPr>
          <w:t>ANEXO 1.pdf</w:t>
        </w:r>
      </w:hyperlink>
      <w:r w:rsidR="007A6821" w:rsidRPr="00887E2C">
        <w:rPr>
          <w:rFonts w:ascii="Palatino Linotype" w:eastAsia="Palatino Linotype" w:hAnsi="Palatino Linotype" w:cs="Palatino Linotype"/>
          <w:b/>
          <w:sz w:val="22"/>
        </w:rPr>
        <w:t>:</w:t>
      </w:r>
      <w:r w:rsidR="007A6821" w:rsidRPr="00887E2C">
        <w:rPr>
          <w:rFonts w:ascii="Palatino Linotype" w:eastAsia="Palatino Linotype" w:hAnsi="Palatino Linotype" w:cs="Palatino Linotype"/>
          <w:sz w:val="22"/>
        </w:rPr>
        <w:t xml:space="preserve"> contiene el formato de la solicitud que se genera en </w:t>
      </w:r>
      <w:r w:rsidR="00B43BB2" w:rsidRPr="00572A69">
        <w:rPr>
          <w:rFonts w:ascii="Palatino Linotype" w:hAnsi="Palatino Linotype" w:cs="Arial"/>
          <w:b/>
          <w:sz w:val="22"/>
          <w:lang w:val="es-ES_tradnl"/>
        </w:rPr>
        <w:t>EL</w:t>
      </w:r>
      <w:r w:rsidR="007A6821" w:rsidRPr="00887E2C">
        <w:rPr>
          <w:rFonts w:ascii="Palatino Linotype" w:eastAsia="Palatino Linotype" w:hAnsi="Palatino Linotype" w:cs="Palatino Linotype"/>
          <w:sz w:val="22"/>
        </w:rPr>
        <w:t xml:space="preserve"> </w:t>
      </w:r>
      <w:r w:rsidR="007A6821" w:rsidRPr="00624F14">
        <w:rPr>
          <w:rFonts w:ascii="Palatino Linotype" w:eastAsia="Palatino Linotype" w:hAnsi="Palatino Linotype" w:cs="Palatino Linotype"/>
          <w:b/>
          <w:sz w:val="22"/>
        </w:rPr>
        <w:t>SAIMEX</w:t>
      </w:r>
      <w:r w:rsidR="007A6821" w:rsidRPr="00887E2C">
        <w:rPr>
          <w:rFonts w:ascii="Palatino Linotype" w:eastAsia="Palatino Linotype" w:hAnsi="Palatino Linotype" w:cs="Palatino Linotype"/>
          <w:sz w:val="22"/>
        </w:rPr>
        <w:t>.</w:t>
      </w:r>
    </w:p>
    <w:p w14:paraId="66492E5B" w14:textId="77777777" w:rsidR="007A6821" w:rsidRPr="00887E2C" w:rsidRDefault="0098323C">
      <w:pPr>
        <w:pStyle w:val="Prrafodelista"/>
        <w:numPr>
          <w:ilvl w:val="0"/>
          <w:numId w:val="2"/>
        </w:numPr>
        <w:spacing w:line="360" w:lineRule="auto"/>
        <w:contextualSpacing/>
        <w:jc w:val="both"/>
        <w:rPr>
          <w:rFonts w:ascii="Palatino Linotype" w:eastAsia="Palatino Linotype" w:hAnsi="Palatino Linotype" w:cs="Palatino Linotype"/>
          <w:sz w:val="22"/>
        </w:rPr>
      </w:pPr>
      <w:hyperlink r:id="rId12" w:history="1">
        <w:r w:rsidR="007A6821" w:rsidRPr="00887E2C">
          <w:rPr>
            <w:rFonts w:ascii="Palatino Linotype" w:eastAsia="Palatino Linotype" w:hAnsi="Palatino Linotype" w:cs="Palatino Linotype"/>
            <w:b/>
            <w:sz w:val="22"/>
          </w:rPr>
          <w:t>ANEXO 2.pdf</w:t>
        </w:r>
      </w:hyperlink>
      <w:r w:rsidR="007A6821" w:rsidRPr="00887E2C">
        <w:rPr>
          <w:rFonts w:ascii="Palatino Linotype" w:eastAsia="Palatino Linotype" w:hAnsi="Palatino Linotype" w:cs="Palatino Linotype"/>
          <w:b/>
          <w:sz w:val="22"/>
        </w:rPr>
        <w:t xml:space="preserve"> :</w:t>
      </w:r>
      <w:r w:rsidR="007A6821" w:rsidRPr="00887E2C">
        <w:rPr>
          <w:rFonts w:ascii="Palatino Linotype" w:eastAsia="Palatino Linotype" w:hAnsi="Palatino Linotype" w:cs="Palatino Linotype"/>
          <w:sz w:val="22"/>
        </w:rPr>
        <w:t xml:space="preserve"> su contenido es el mismo que el del oficio remitido por </w:t>
      </w:r>
      <w:r w:rsidR="007A6821" w:rsidRPr="00624F14">
        <w:rPr>
          <w:rFonts w:ascii="Palatino Linotype" w:eastAsia="Palatino Linotype" w:hAnsi="Palatino Linotype" w:cs="Palatino Linotype"/>
          <w:b/>
          <w:sz w:val="22"/>
        </w:rPr>
        <w:t>EL SUJETO OBLIGADO</w:t>
      </w:r>
      <w:r w:rsidR="007A6821" w:rsidRPr="00887E2C">
        <w:rPr>
          <w:rFonts w:ascii="Palatino Linotype" w:eastAsia="Palatino Linotype" w:hAnsi="Palatino Linotype" w:cs="Palatino Linotype"/>
          <w:sz w:val="22"/>
        </w:rPr>
        <w:t xml:space="preserve"> en respuesta.</w:t>
      </w:r>
    </w:p>
    <w:p w14:paraId="2084596A" w14:textId="06B0F868" w:rsidR="007A6821" w:rsidRPr="00887E2C" w:rsidRDefault="0098323C">
      <w:pPr>
        <w:pStyle w:val="Prrafodelista"/>
        <w:numPr>
          <w:ilvl w:val="0"/>
          <w:numId w:val="2"/>
        </w:numPr>
        <w:spacing w:line="360" w:lineRule="auto"/>
        <w:contextualSpacing/>
        <w:jc w:val="both"/>
        <w:rPr>
          <w:rFonts w:ascii="Palatino Linotype" w:eastAsia="Palatino Linotype" w:hAnsi="Palatino Linotype" w:cs="Palatino Linotype"/>
          <w:sz w:val="22"/>
        </w:rPr>
      </w:pPr>
      <w:hyperlink r:id="rId13" w:history="1">
        <w:r w:rsidR="007A6821" w:rsidRPr="00887E2C">
          <w:rPr>
            <w:rFonts w:ascii="Palatino Linotype" w:eastAsia="Palatino Linotype" w:hAnsi="Palatino Linotype" w:cs="Palatino Linotype"/>
            <w:b/>
            <w:sz w:val="22"/>
          </w:rPr>
          <w:t>ANEXO 3.pdf</w:t>
        </w:r>
      </w:hyperlink>
      <w:r w:rsidR="007A6821" w:rsidRPr="00887E2C">
        <w:rPr>
          <w:rFonts w:ascii="Palatino Linotype" w:eastAsia="Palatino Linotype" w:hAnsi="Palatino Linotype" w:cs="Palatino Linotype"/>
          <w:b/>
          <w:sz w:val="22"/>
        </w:rPr>
        <w:t xml:space="preserve">: </w:t>
      </w:r>
      <w:r w:rsidR="007A6821" w:rsidRPr="00887E2C">
        <w:rPr>
          <w:rFonts w:ascii="Palatino Linotype" w:eastAsia="Palatino Linotype" w:hAnsi="Palatino Linotype" w:cs="Palatino Linotype"/>
          <w:sz w:val="22"/>
        </w:rPr>
        <w:t xml:space="preserve">contiene el formato generado por </w:t>
      </w:r>
      <w:r w:rsidR="00B43BB2" w:rsidRPr="00572A69">
        <w:rPr>
          <w:rFonts w:ascii="Palatino Linotype" w:hAnsi="Palatino Linotype" w:cs="Arial"/>
          <w:b/>
          <w:sz w:val="22"/>
          <w:lang w:val="es-ES_tradnl"/>
        </w:rPr>
        <w:t>EL</w:t>
      </w:r>
      <w:r w:rsidR="007A6821" w:rsidRPr="00887E2C">
        <w:rPr>
          <w:rFonts w:ascii="Palatino Linotype" w:eastAsia="Palatino Linotype" w:hAnsi="Palatino Linotype" w:cs="Palatino Linotype"/>
          <w:sz w:val="22"/>
        </w:rPr>
        <w:t xml:space="preserve"> </w:t>
      </w:r>
      <w:r w:rsidR="007A6821" w:rsidRPr="00624F14">
        <w:rPr>
          <w:rFonts w:ascii="Palatino Linotype" w:eastAsia="Palatino Linotype" w:hAnsi="Palatino Linotype" w:cs="Palatino Linotype"/>
          <w:b/>
          <w:sz w:val="22"/>
        </w:rPr>
        <w:t>SAIMEX</w:t>
      </w:r>
      <w:r w:rsidR="007A6821" w:rsidRPr="00887E2C">
        <w:rPr>
          <w:rFonts w:ascii="Palatino Linotype" w:eastAsia="Palatino Linotype" w:hAnsi="Palatino Linotype" w:cs="Palatino Linotype"/>
          <w:sz w:val="22"/>
        </w:rPr>
        <w:t xml:space="preserve"> para el recurso de revisión.</w:t>
      </w:r>
    </w:p>
    <w:p w14:paraId="1066F0C2" w14:textId="77777777" w:rsidR="007A6821" w:rsidRPr="00887E2C" w:rsidRDefault="0098323C">
      <w:pPr>
        <w:pStyle w:val="Prrafodelista"/>
        <w:numPr>
          <w:ilvl w:val="0"/>
          <w:numId w:val="2"/>
        </w:numPr>
        <w:spacing w:line="360" w:lineRule="auto"/>
        <w:contextualSpacing/>
        <w:jc w:val="both"/>
        <w:rPr>
          <w:rFonts w:ascii="Palatino Linotype" w:eastAsia="Palatino Linotype" w:hAnsi="Palatino Linotype" w:cs="Palatino Linotype"/>
          <w:b/>
          <w:sz w:val="22"/>
        </w:rPr>
      </w:pPr>
      <w:hyperlink r:id="rId14" w:history="1">
        <w:r w:rsidR="007A6821" w:rsidRPr="00887E2C">
          <w:rPr>
            <w:rFonts w:ascii="Palatino Linotype" w:eastAsia="Palatino Linotype" w:hAnsi="Palatino Linotype" w:cs="Palatino Linotype"/>
            <w:b/>
            <w:sz w:val="22"/>
          </w:rPr>
          <w:t>INFORME JUSTIFICADO 00052-INFOEM-IP-2021.pdf</w:t>
        </w:r>
      </w:hyperlink>
      <w:r w:rsidR="007A6821" w:rsidRPr="00887E2C">
        <w:rPr>
          <w:rFonts w:ascii="Palatino Linotype" w:eastAsia="Palatino Linotype" w:hAnsi="Palatino Linotype" w:cs="Palatino Linotype"/>
          <w:b/>
          <w:sz w:val="22"/>
        </w:rPr>
        <w:t xml:space="preserve">: </w:t>
      </w:r>
      <w:r w:rsidR="007A6821" w:rsidRPr="00887E2C">
        <w:rPr>
          <w:rFonts w:ascii="Palatino Linotype" w:eastAsia="Palatino Linotype" w:hAnsi="Palatino Linotype" w:cs="Palatino Linotype"/>
          <w:sz w:val="22"/>
        </w:rPr>
        <w:t>contiene el mismo informe justificado descrito en el primer archivo electrónico, sólo que en formato PDF.</w:t>
      </w:r>
    </w:p>
    <w:p w14:paraId="27BD4028" w14:textId="77777777" w:rsidR="00B43BB2" w:rsidRDefault="00B43BB2" w:rsidP="00624F14">
      <w:pPr>
        <w:spacing w:line="360" w:lineRule="auto"/>
        <w:jc w:val="both"/>
        <w:rPr>
          <w:rFonts w:ascii="Palatino Linotype" w:eastAsia="Palatino Linotype" w:hAnsi="Palatino Linotype" w:cs="Palatino Linotype"/>
          <w:sz w:val="22"/>
        </w:rPr>
      </w:pPr>
    </w:p>
    <w:p w14:paraId="582EED42" w14:textId="0508FB34" w:rsidR="007A6821" w:rsidRPr="00887E2C" w:rsidRDefault="007A6821" w:rsidP="00624F14">
      <w:pPr>
        <w:spacing w:line="360" w:lineRule="auto"/>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t>Informe justificado que fue hecho de conocimiento de</w:t>
      </w:r>
      <w:r w:rsidR="00B43BB2">
        <w:rPr>
          <w:rFonts w:ascii="Palatino Linotype" w:eastAsia="Palatino Linotype" w:hAnsi="Palatino Linotype" w:cs="Palatino Linotype"/>
          <w:sz w:val="22"/>
        </w:rPr>
        <w:t xml:space="preserve"> </w:t>
      </w:r>
      <w:r w:rsidR="00B43BB2" w:rsidRPr="00572A69">
        <w:rPr>
          <w:rFonts w:ascii="Palatino Linotype" w:hAnsi="Palatino Linotype" w:cs="Arial"/>
          <w:b/>
          <w:sz w:val="22"/>
          <w:lang w:val="es-ES_tradnl"/>
        </w:rPr>
        <w:t>EL</w:t>
      </w:r>
      <w:r w:rsidRPr="00887E2C">
        <w:rPr>
          <w:rFonts w:ascii="Palatino Linotype" w:eastAsia="Palatino Linotype" w:hAnsi="Palatino Linotype" w:cs="Palatino Linotype"/>
          <w:sz w:val="22"/>
        </w:rPr>
        <w:t xml:space="preserve"> </w:t>
      </w:r>
      <w:r w:rsidRPr="00887E2C">
        <w:rPr>
          <w:rFonts w:ascii="Palatino Linotype" w:eastAsia="Palatino Linotype" w:hAnsi="Palatino Linotype" w:cs="Palatino Linotype"/>
          <w:b/>
          <w:sz w:val="22"/>
        </w:rPr>
        <w:t>RECURRENTE</w:t>
      </w:r>
      <w:r w:rsidRPr="00887E2C">
        <w:rPr>
          <w:rFonts w:ascii="Palatino Linotype" w:eastAsia="Palatino Linotype" w:hAnsi="Palatino Linotype" w:cs="Palatino Linotype"/>
          <w:sz w:val="22"/>
        </w:rPr>
        <w:t xml:space="preserve"> en fecha treinta y uno de enero de dos mil veintidós a través de</w:t>
      </w:r>
      <w:r w:rsidR="00B43BB2">
        <w:rPr>
          <w:rFonts w:ascii="Palatino Linotype" w:eastAsia="Palatino Linotype" w:hAnsi="Palatino Linotype" w:cs="Palatino Linotype"/>
          <w:sz w:val="22"/>
        </w:rPr>
        <w:t xml:space="preserve"> </w:t>
      </w:r>
      <w:r w:rsidR="00B43BB2" w:rsidRPr="00572A69">
        <w:rPr>
          <w:rFonts w:ascii="Palatino Linotype" w:hAnsi="Palatino Linotype" w:cs="Arial"/>
          <w:b/>
          <w:sz w:val="22"/>
          <w:lang w:val="es-ES_tradnl"/>
        </w:rPr>
        <w:t>EL</w:t>
      </w:r>
      <w:r w:rsidRPr="00887E2C">
        <w:rPr>
          <w:rFonts w:ascii="Palatino Linotype" w:eastAsia="Palatino Linotype" w:hAnsi="Palatino Linotype" w:cs="Palatino Linotype"/>
          <w:sz w:val="22"/>
        </w:rPr>
        <w:t xml:space="preserve"> </w:t>
      </w:r>
      <w:r w:rsidRPr="00887E2C">
        <w:rPr>
          <w:rFonts w:ascii="Palatino Linotype" w:eastAsia="Palatino Linotype" w:hAnsi="Palatino Linotype" w:cs="Palatino Linotype"/>
          <w:b/>
          <w:sz w:val="22"/>
        </w:rPr>
        <w:t>SAIMEX</w:t>
      </w:r>
      <w:r w:rsidRPr="00887E2C">
        <w:rPr>
          <w:rFonts w:ascii="Palatino Linotype" w:eastAsia="Palatino Linotype" w:hAnsi="Palatino Linotype" w:cs="Palatino Linotype"/>
          <w:sz w:val="22"/>
        </w:rPr>
        <w:t>.</w:t>
      </w:r>
    </w:p>
    <w:p w14:paraId="797B68B6" w14:textId="77777777" w:rsidR="00B43BB2" w:rsidRDefault="007A6821" w:rsidP="00624F14">
      <w:pPr>
        <w:spacing w:line="360" w:lineRule="auto"/>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lastRenderedPageBreak/>
        <w:t xml:space="preserve">Por su parte </w:t>
      </w:r>
      <w:r w:rsidRPr="00887E2C">
        <w:rPr>
          <w:rFonts w:ascii="Palatino Linotype" w:eastAsia="Palatino Linotype" w:hAnsi="Palatino Linotype" w:cs="Palatino Linotype"/>
          <w:b/>
          <w:sz w:val="22"/>
        </w:rPr>
        <w:t>EL RECURRENTE</w:t>
      </w:r>
      <w:r w:rsidRPr="00887E2C">
        <w:rPr>
          <w:rFonts w:ascii="Palatino Linotype" w:eastAsia="Palatino Linotype" w:hAnsi="Palatino Linotype" w:cs="Palatino Linotype"/>
          <w:sz w:val="22"/>
        </w:rPr>
        <w:t xml:space="preserve"> no presentó pruebas ni realizó manifestaciones que a su derecho convinieran</w:t>
      </w:r>
      <w:r w:rsidR="00B43BB2">
        <w:rPr>
          <w:rFonts w:ascii="Palatino Linotype" w:eastAsia="Palatino Linotype" w:hAnsi="Palatino Linotype" w:cs="Palatino Linotype"/>
          <w:sz w:val="22"/>
        </w:rPr>
        <w:t>.</w:t>
      </w:r>
    </w:p>
    <w:p w14:paraId="083B7801" w14:textId="77777777" w:rsidR="00B43BB2" w:rsidRDefault="00B43BB2" w:rsidP="00624F14">
      <w:pPr>
        <w:spacing w:line="360" w:lineRule="auto"/>
        <w:jc w:val="both"/>
        <w:rPr>
          <w:rFonts w:ascii="Palatino Linotype" w:eastAsia="Palatino Linotype" w:hAnsi="Palatino Linotype" w:cs="Palatino Linotype"/>
          <w:sz w:val="22"/>
        </w:rPr>
      </w:pPr>
    </w:p>
    <w:p w14:paraId="68C651D8" w14:textId="77777777" w:rsidR="007A6821" w:rsidRDefault="007A6821" w:rsidP="00624F14">
      <w:pPr>
        <w:spacing w:line="360" w:lineRule="auto"/>
        <w:jc w:val="both"/>
        <w:rPr>
          <w:rFonts w:ascii="Palatino Linotype" w:hAnsi="Palatino Linotype" w:cs="Arial"/>
          <w:color w:val="000000"/>
          <w:sz w:val="22"/>
          <w:lang w:eastAsia="es-MX"/>
        </w:rPr>
      </w:pPr>
      <w:r w:rsidRPr="00887E2C">
        <w:rPr>
          <w:rFonts w:ascii="Palatino Linotype" w:hAnsi="Palatino Linotype" w:cs="Arial"/>
          <w:b/>
        </w:rPr>
        <w:t xml:space="preserve">VII. </w:t>
      </w:r>
      <w:r w:rsidRPr="00887E2C">
        <w:rPr>
          <w:rFonts w:ascii="Palatino Linotype" w:hAnsi="Palatino Linotype" w:cs="Arial"/>
          <w:sz w:val="22"/>
        </w:rPr>
        <w:t xml:space="preserve">Una vez analizado el estado procesal que guardaba el expediente, en fecha cuatro de febrero de dos mil veintidós, el </w:t>
      </w:r>
      <w:r w:rsidRPr="00887E2C">
        <w:rPr>
          <w:rFonts w:ascii="Palatino Linotype" w:eastAsia="MS Mincho" w:hAnsi="Palatino Linotype"/>
          <w:bCs/>
          <w:sz w:val="22"/>
          <w:lang w:val="es-ES_tradnl"/>
        </w:rPr>
        <w:t>Comisionado Ponente</w:t>
      </w:r>
      <w:r w:rsidRPr="00887E2C">
        <w:rPr>
          <w:rFonts w:ascii="Palatino Linotype" w:hAnsi="Palatino Linotype" w:cs="Arial"/>
          <w:sz w:val="22"/>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887E2C">
        <w:rPr>
          <w:rFonts w:ascii="Palatino Linotype" w:hAnsi="Palatino Linotype" w:cs="Arial"/>
          <w:color w:val="000000"/>
          <w:sz w:val="22"/>
          <w:lang w:eastAsia="es-MX"/>
        </w:rPr>
        <w:t>; y,</w:t>
      </w:r>
    </w:p>
    <w:p w14:paraId="55DBA41A" w14:textId="77777777" w:rsidR="00BB26CE" w:rsidRPr="00887E2C" w:rsidRDefault="00BB26CE" w:rsidP="00624F14">
      <w:pPr>
        <w:spacing w:line="360" w:lineRule="auto"/>
        <w:jc w:val="both"/>
        <w:rPr>
          <w:rFonts w:ascii="Palatino Linotype" w:hAnsi="Palatino Linotype" w:cs="Arial"/>
          <w:sz w:val="22"/>
        </w:rPr>
      </w:pPr>
    </w:p>
    <w:p w14:paraId="1B3EB01A" w14:textId="77777777" w:rsidR="007A6821" w:rsidRDefault="007A6821" w:rsidP="00624F14">
      <w:pPr>
        <w:spacing w:line="360" w:lineRule="auto"/>
        <w:jc w:val="center"/>
        <w:rPr>
          <w:rFonts w:ascii="Palatino Linotype" w:hAnsi="Palatino Linotype" w:cs="Arial"/>
          <w:b/>
          <w:bCs/>
          <w:spacing w:val="60"/>
        </w:rPr>
      </w:pPr>
      <w:r w:rsidRPr="00887E2C">
        <w:rPr>
          <w:rFonts w:ascii="Palatino Linotype" w:hAnsi="Palatino Linotype" w:cs="Arial"/>
          <w:b/>
          <w:bCs/>
          <w:spacing w:val="60"/>
        </w:rPr>
        <w:t>CONSIDERANDO</w:t>
      </w:r>
    </w:p>
    <w:p w14:paraId="663358C1" w14:textId="77777777" w:rsidR="00BB26CE" w:rsidRPr="00887E2C" w:rsidRDefault="00BB26CE" w:rsidP="00624F14">
      <w:pPr>
        <w:spacing w:line="360" w:lineRule="auto"/>
        <w:jc w:val="center"/>
        <w:rPr>
          <w:rFonts w:ascii="Palatino Linotype" w:hAnsi="Palatino Linotype" w:cs="Arial"/>
          <w:b/>
          <w:bCs/>
          <w:spacing w:val="60"/>
        </w:rPr>
      </w:pPr>
    </w:p>
    <w:p w14:paraId="4EF686BF" w14:textId="77777777" w:rsidR="007A6821" w:rsidRPr="00624F14" w:rsidRDefault="007A6821" w:rsidP="00624F14">
      <w:pPr>
        <w:widowControl w:val="0"/>
        <w:numPr>
          <w:ilvl w:val="0"/>
          <w:numId w:val="1"/>
        </w:numPr>
        <w:tabs>
          <w:tab w:val="left" w:pos="1701"/>
        </w:tabs>
        <w:autoSpaceDE w:val="0"/>
        <w:autoSpaceDN w:val="0"/>
        <w:adjustRightInd w:val="0"/>
        <w:spacing w:line="360" w:lineRule="auto"/>
        <w:ind w:left="0" w:firstLine="0"/>
        <w:jc w:val="both"/>
        <w:rPr>
          <w:rFonts w:ascii="Palatino Linotype" w:hAnsi="Palatino Linotype" w:cs="Arial"/>
          <w:sz w:val="22"/>
        </w:rPr>
      </w:pPr>
      <w:r w:rsidRPr="00887E2C">
        <w:rPr>
          <w:rFonts w:ascii="Palatino Linotype" w:hAnsi="Palatino Linotype"/>
          <w:b/>
          <w:sz w:val="22"/>
        </w:rPr>
        <w:t>Competencia</w:t>
      </w:r>
      <w:r w:rsidRPr="00887E2C">
        <w:rPr>
          <w:rFonts w:ascii="Palatino Linotype" w:hAnsi="Palatino Linotype"/>
          <w:sz w:val="22"/>
        </w:rPr>
        <w:t>.</w:t>
      </w:r>
      <w:r w:rsidRPr="00887E2C">
        <w:rPr>
          <w:rFonts w:ascii="Palatino Linotype" w:hAnsi="Palatino Linotype"/>
          <w:b/>
          <w:sz w:val="22"/>
        </w:rPr>
        <w:t xml:space="preserve"> </w:t>
      </w:r>
    </w:p>
    <w:p w14:paraId="5AE0BFC0" w14:textId="77777777" w:rsidR="00BB26CE" w:rsidRPr="00887E2C" w:rsidRDefault="00BB26CE" w:rsidP="00624F14">
      <w:pPr>
        <w:widowControl w:val="0"/>
        <w:tabs>
          <w:tab w:val="left" w:pos="1701"/>
        </w:tabs>
        <w:autoSpaceDE w:val="0"/>
        <w:autoSpaceDN w:val="0"/>
        <w:adjustRightInd w:val="0"/>
        <w:spacing w:line="360" w:lineRule="auto"/>
        <w:jc w:val="both"/>
        <w:rPr>
          <w:rFonts w:ascii="Palatino Linotype" w:hAnsi="Palatino Linotype" w:cs="Arial"/>
          <w:sz w:val="22"/>
        </w:rPr>
      </w:pPr>
    </w:p>
    <w:p w14:paraId="629C3B28" w14:textId="77777777" w:rsidR="007A6821" w:rsidRDefault="007A6821" w:rsidP="00624F14">
      <w:pPr>
        <w:widowControl w:val="0"/>
        <w:tabs>
          <w:tab w:val="left" w:pos="1701"/>
        </w:tabs>
        <w:autoSpaceDE w:val="0"/>
        <w:autoSpaceDN w:val="0"/>
        <w:adjustRightInd w:val="0"/>
        <w:spacing w:line="360" w:lineRule="auto"/>
        <w:jc w:val="both"/>
        <w:rPr>
          <w:rFonts w:ascii="Palatino Linotype" w:hAnsi="Palatino Linotype" w:cs="Arial"/>
          <w:sz w:val="22"/>
        </w:rPr>
      </w:pPr>
      <w:r w:rsidRPr="00887E2C">
        <w:rPr>
          <w:rFonts w:ascii="Palatino Linotype" w:hAnsi="Palatino Linotype"/>
          <w:sz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9" w:name="_Hlk77183116"/>
      <w:r w:rsidRPr="00887E2C">
        <w:rPr>
          <w:rFonts w:ascii="Palatino Linotype" w:eastAsia="Calibri" w:hAnsi="Palatino Linotype" w:cs="Arial"/>
          <w:sz w:val="22"/>
          <w:lang w:val="es-ES_tradnl"/>
        </w:rPr>
        <w:t>trigésimo, trigésimo primero y trigésimo segundo</w:t>
      </w:r>
      <w:bookmarkEnd w:id="9"/>
      <w:r w:rsidRPr="00887E2C">
        <w:rPr>
          <w:rFonts w:ascii="Palatino Linotype" w:hAnsi="Palatino Linotype"/>
          <w:sz w:val="22"/>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87E2C">
        <w:rPr>
          <w:rFonts w:ascii="Palatino Linotype" w:hAnsi="Palatino Linotype" w:cs="Arial"/>
          <w:sz w:val="22"/>
        </w:rPr>
        <w:t>; y 9, fracciones I y XXIV y 11 del Reglamento Interior del Instituto de Transparencia, Acceso a la Información Pública y Protección de Datos Personales del Estado de México y Municipios.</w:t>
      </w:r>
    </w:p>
    <w:p w14:paraId="7B290835" w14:textId="77777777" w:rsidR="00BB26CE" w:rsidRPr="00887E2C" w:rsidRDefault="00BB26CE" w:rsidP="00624F14">
      <w:pPr>
        <w:widowControl w:val="0"/>
        <w:tabs>
          <w:tab w:val="left" w:pos="1701"/>
        </w:tabs>
        <w:autoSpaceDE w:val="0"/>
        <w:autoSpaceDN w:val="0"/>
        <w:adjustRightInd w:val="0"/>
        <w:spacing w:line="360" w:lineRule="auto"/>
        <w:jc w:val="both"/>
        <w:rPr>
          <w:rFonts w:ascii="Palatino Linotype" w:hAnsi="Palatino Linotype" w:cs="Arial"/>
          <w:sz w:val="22"/>
        </w:rPr>
      </w:pPr>
    </w:p>
    <w:p w14:paraId="1E964B58" w14:textId="77777777" w:rsidR="007A6821" w:rsidRPr="00887E2C" w:rsidRDefault="007A6821" w:rsidP="00624F14">
      <w:pPr>
        <w:spacing w:line="360" w:lineRule="auto"/>
        <w:jc w:val="both"/>
        <w:rPr>
          <w:rFonts w:ascii="Palatino Linotype" w:hAnsi="Palatino Linotype" w:cs="Arial"/>
          <w:b/>
          <w:sz w:val="22"/>
        </w:rPr>
      </w:pPr>
      <w:r w:rsidRPr="00887E2C">
        <w:rPr>
          <w:rFonts w:ascii="Palatino Linotype" w:hAnsi="Palatino Linotype" w:cs="Arial"/>
          <w:b/>
        </w:rPr>
        <w:t>SEGUNDO</w:t>
      </w:r>
      <w:r w:rsidRPr="00887E2C">
        <w:rPr>
          <w:rFonts w:ascii="Palatino Linotype" w:hAnsi="Palatino Linotype" w:cs="Arial"/>
          <w:b/>
          <w:sz w:val="22"/>
        </w:rPr>
        <w:t xml:space="preserve">. Interés. </w:t>
      </w:r>
    </w:p>
    <w:p w14:paraId="06D53255" w14:textId="52A28F69" w:rsidR="007A6821" w:rsidRDefault="007A6821" w:rsidP="00624F14">
      <w:pPr>
        <w:spacing w:line="360" w:lineRule="auto"/>
        <w:jc w:val="both"/>
        <w:rPr>
          <w:rFonts w:ascii="Palatino Linotype" w:hAnsi="Palatino Linotype" w:cs="Arial"/>
          <w:b/>
          <w:bCs/>
          <w:sz w:val="22"/>
        </w:rPr>
      </w:pPr>
      <w:r w:rsidRPr="00887E2C">
        <w:rPr>
          <w:rFonts w:ascii="Palatino Linotype" w:hAnsi="Palatino Linotype" w:cs="Arial"/>
          <w:bCs/>
          <w:sz w:val="22"/>
        </w:rPr>
        <w:lastRenderedPageBreak/>
        <w:t xml:space="preserve">El </w:t>
      </w:r>
      <w:r w:rsidR="00BB26CE" w:rsidRPr="00887E2C">
        <w:rPr>
          <w:rFonts w:ascii="Palatino Linotype" w:hAnsi="Palatino Linotype" w:cs="Arial"/>
          <w:bCs/>
          <w:sz w:val="22"/>
        </w:rPr>
        <w:t xml:space="preserve">Recurso </w:t>
      </w:r>
      <w:r w:rsidRPr="00887E2C">
        <w:rPr>
          <w:rFonts w:ascii="Palatino Linotype" w:hAnsi="Palatino Linotype" w:cs="Arial"/>
          <w:bCs/>
          <w:sz w:val="22"/>
        </w:rPr>
        <w:t xml:space="preserve">de </w:t>
      </w:r>
      <w:r w:rsidR="00BB26CE" w:rsidRPr="00887E2C">
        <w:rPr>
          <w:rFonts w:ascii="Palatino Linotype" w:hAnsi="Palatino Linotype" w:cs="Arial"/>
          <w:bCs/>
          <w:sz w:val="22"/>
        </w:rPr>
        <w:t xml:space="preserve">Revisión </w:t>
      </w:r>
      <w:r w:rsidRPr="00887E2C">
        <w:rPr>
          <w:rFonts w:ascii="Palatino Linotype" w:hAnsi="Palatino Linotype" w:cs="Arial"/>
          <w:bCs/>
          <w:sz w:val="22"/>
        </w:rPr>
        <w:t xml:space="preserve">fue interpuesto por parte legítima, en atención a que se presentó por </w:t>
      </w:r>
      <w:r w:rsidRPr="00887E2C">
        <w:rPr>
          <w:rFonts w:ascii="Palatino Linotype" w:hAnsi="Palatino Linotype" w:cs="Arial"/>
          <w:b/>
          <w:bCs/>
          <w:sz w:val="22"/>
        </w:rPr>
        <w:t>EL RECURRENTE,</w:t>
      </w:r>
      <w:r w:rsidRPr="00887E2C">
        <w:rPr>
          <w:rFonts w:ascii="Palatino Linotype" w:hAnsi="Palatino Linotype" w:cs="Arial"/>
          <w:bCs/>
          <w:sz w:val="22"/>
        </w:rPr>
        <w:t xml:space="preserve"> quien es la misma persona que formuló la solicitud de acceso a la información pública al </w:t>
      </w:r>
      <w:r w:rsidRPr="00887E2C">
        <w:rPr>
          <w:rFonts w:ascii="Palatino Linotype" w:hAnsi="Palatino Linotype" w:cs="Arial"/>
          <w:b/>
          <w:bCs/>
          <w:sz w:val="22"/>
        </w:rPr>
        <w:t>SUJETO OBLIGADO.</w:t>
      </w:r>
    </w:p>
    <w:p w14:paraId="4164A143" w14:textId="77777777" w:rsidR="00BB26CE" w:rsidRPr="00887E2C" w:rsidRDefault="00BB26CE" w:rsidP="00624F14">
      <w:pPr>
        <w:spacing w:line="360" w:lineRule="auto"/>
        <w:jc w:val="both"/>
        <w:rPr>
          <w:rFonts w:ascii="Palatino Linotype" w:hAnsi="Palatino Linotype" w:cs="Arial"/>
          <w:b/>
          <w:bCs/>
          <w:sz w:val="22"/>
        </w:rPr>
      </w:pPr>
    </w:p>
    <w:p w14:paraId="3BF8A5AB" w14:textId="77777777" w:rsidR="007A6821" w:rsidRDefault="007A6821" w:rsidP="00887E2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r w:rsidRPr="00887E2C">
        <w:rPr>
          <w:rFonts w:ascii="Palatino Linotype" w:hAnsi="Palatino Linotype" w:cs="Arial"/>
          <w:b/>
          <w:szCs w:val="28"/>
          <w:lang w:val="es-ES"/>
        </w:rPr>
        <w:t>TERCERO.</w:t>
      </w:r>
      <w:r w:rsidRPr="00887E2C">
        <w:rPr>
          <w:rFonts w:ascii="Palatino Linotype" w:eastAsiaTheme="minorEastAsia" w:hAnsi="Palatino Linotype" w:cs="Arial"/>
          <w:sz w:val="22"/>
          <w:lang w:val="es-ES"/>
        </w:rPr>
        <w:t xml:space="preserve"> </w:t>
      </w:r>
      <w:r w:rsidRPr="00887E2C">
        <w:rPr>
          <w:rFonts w:ascii="Palatino Linotype" w:hAnsi="Palatino Linotype" w:cs="Arial"/>
          <w:b/>
          <w:sz w:val="22"/>
          <w:lang w:val="es-ES"/>
        </w:rPr>
        <w:t>Oportunidad</w:t>
      </w:r>
      <w:r w:rsidRPr="00887E2C">
        <w:rPr>
          <w:rFonts w:ascii="Palatino Linotype" w:hAnsi="Palatino Linotype" w:cs="Arial"/>
          <w:sz w:val="22"/>
        </w:rPr>
        <w:t xml:space="preserve">. </w:t>
      </w:r>
    </w:p>
    <w:p w14:paraId="4C8B5351" w14:textId="77777777" w:rsidR="00BB26CE" w:rsidRPr="00887E2C" w:rsidRDefault="00BB26CE" w:rsidP="00887E2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2"/>
        </w:rPr>
      </w:pPr>
    </w:p>
    <w:p w14:paraId="4CF87334" w14:textId="14A9B304" w:rsidR="007A6821" w:rsidRPr="00887E2C" w:rsidRDefault="007A682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2"/>
        </w:rPr>
      </w:pPr>
      <w:r w:rsidRPr="00887E2C">
        <w:rPr>
          <w:rFonts w:ascii="Palatino Linotype" w:hAnsi="Palatino Linotype" w:cs="Arial"/>
          <w:sz w:val="22"/>
        </w:rPr>
        <w:t xml:space="preserve">El </w:t>
      </w:r>
      <w:r w:rsidR="00BB26CE" w:rsidRPr="00887E2C">
        <w:rPr>
          <w:rFonts w:ascii="Palatino Linotype" w:hAnsi="Palatino Linotype" w:cs="Arial"/>
          <w:sz w:val="22"/>
        </w:rPr>
        <w:t xml:space="preserve">Recurso </w:t>
      </w:r>
      <w:r w:rsidRPr="00887E2C">
        <w:rPr>
          <w:rFonts w:ascii="Palatino Linotype" w:hAnsi="Palatino Linotype" w:cs="Arial"/>
          <w:sz w:val="22"/>
        </w:rPr>
        <w:t xml:space="preserve">de </w:t>
      </w:r>
      <w:r w:rsidR="00BB26CE" w:rsidRPr="00887E2C">
        <w:rPr>
          <w:rFonts w:ascii="Palatino Linotype" w:hAnsi="Palatino Linotype" w:cs="Arial"/>
          <w:sz w:val="22"/>
        </w:rPr>
        <w:t xml:space="preserve">Revisión </w:t>
      </w:r>
      <w:r w:rsidRPr="00887E2C">
        <w:rPr>
          <w:rFonts w:ascii="Palatino Linotype" w:hAnsi="Palatino Linotype" w:cs="Arial"/>
          <w:sz w:val="22"/>
        </w:rPr>
        <w:t xml:space="preserve">fue interpuesto dentro del plazo de quince días hábiles, contados a partir del día siguiente al que </w:t>
      </w:r>
      <w:r w:rsidRPr="00887E2C">
        <w:rPr>
          <w:rFonts w:ascii="Palatino Linotype" w:hAnsi="Palatino Linotype" w:cs="Arial"/>
          <w:b/>
          <w:sz w:val="22"/>
        </w:rPr>
        <w:t xml:space="preserve">EL RECURRENTE </w:t>
      </w:r>
      <w:r w:rsidRPr="00887E2C">
        <w:rPr>
          <w:rFonts w:ascii="Palatino Linotype" w:hAnsi="Palatino Linotype" w:cs="Arial"/>
          <w:sz w:val="22"/>
        </w:rPr>
        <w:t>tuvo conocimiento de la respuesta impugnada; tal y como, lo prevé el artículo 178 de la Ley de Transparencia y Acceso a la Información Pública del Estado de México y Municipios</w:t>
      </w:r>
      <w:r w:rsidR="00BB26CE">
        <w:rPr>
          <w:rFonts w:ascii="Palatino Linotype" w:hAnsi="Palatino Linotype" w:cs="Arial"/>
          <w:sz w:val="22"/>
        </w:rPr>
        <w:t>.</w:t>
      </w:r>
    </w:p>
    <w:p w14:paraId="726862CF" w14:textId="77777777" w:rsidR="007A6821" w:rsidRPr="00887E2C" w:rsidRDefault="007A6821" w:rsidP="00624F14">
      <w:pPr>
        <w:spacing w:line="360" w:lineRule="auto"/>
        <w:ind w:left="720" w:right="709"/>
        <w:contextualSpacing/>
        <w:jc w:val="both"/>
        <w:rPr>
          <w:rFonts w:ascii="Palatino Linotype" w:hAnsi="Palatino Linotype" w:cs="Arial"/>
          <w:i/>
          <w:sz w:val="20"/>
        </w:rPr>
      </w:pPr>
    </w:p>
    <w:p w14:paraId="7BB0027E" w14:textId="0204A525" w:rsidR="007A6821" w:rsidRDefault="007A6821" w:rsidP="00624F14">
      <w:pPr>
        <w:spacing w:line="360" w:lineRule="auto"/>
        <w:jc w:val="both"/>
        <w:rPr>
          <w:rFonts w:ascii="Palatino Linotype" w:eastAsiaTheme="minorEastAsia" w:hAnsi="Palatino Linotype" w:cs="Arial"/>
          <w:sz w:val="22"/>
          <w:lang w:val="es-ES_tradnl"/>
        </w:rPr>
      </w:pPr>
      <w:r w:rsidRPr="00887E2C">
        <w:rPr>
          <w:rFonts w:ascii="Palatino Linotype" w:hAnsi="Palatino Linotype" w:cs="Arial"/>
          <w:sz w:val="22"/>
        </w:rPr>
        <w:t>En esa tesitura, aten</w:t>
      </w:r>
      <w:r w:rsidR="00BB26CE">
        <w:rPr>
          <w:rFonts w:ascii="Palatino Linotype" w:hAnsi="Palatino Linotype" w:cs="Arial"/>
          <w:sz w:val="22"/>
        </w:rPr>
        <w:t>tos</w:t>
      </w:r>
      <w:r w:rsidRPr="00887E2C">
        <w:rPr>
          <w:rFonts w:ascii="Palatino Linotype" w:hAnsi="Palatino Linotype" w:cs="Arial"/>
          <w:sz w:val="22"/>
        </w:rPr>
        <w:t xml:space="preserve"> a que </w:t>
      </w:r>
      <w:r w:rsidRPr="00887E2C">
        <w:rPr>
          <w:rFonts w:ascii="Palatino Linotype" w:hAnsi="Palatino Linotype" w:cs="Arial"/>
          <w:b/>
          <w:sz w:val="22"/>
        </w:rPr>
        <w:t>EL SUJETO OBLIGADO</w:t>
      </w:r>
      <w:r w:rsidRPr="00887E2C">
        <w:rPr>
          <w:rFonts w:ascii="Palatino Linotype" w:hAnsi="Palatino Linotype" w:cs="Arial"/>
          <w:sz w:val="22"/>
        </w:rPr>
        <w:t xml:space="preserve"> notificó la respuesta a la solicitud de acceso a la información pública el día</w:t>
      </w:r>
      <w:r w:rsidRPr="00887E2C">
        <w:rPr>
          <w:rFonts w:ascii="Palatino Linotype" w:hAnsi="Palatino Linotype" w:cs="Arial"/>
          <w:b/>
          <w:sz w:val="22"/>
        </w:rPr>
        <w:t xml:space="preserve"> veintidós de diciembre de dos mil veintiuno</w:t>
      </w:r>
      <w:r w:rsidRPr="00887E2C">
        <w:rPr>
          <w:rFonts w:ascii="Palatino Linotype" w:hAnsi="Palatino Linotype" w:cs="Arial"/>
          <w:sz w:val="22"/>
        </w:rPr>
        <w:t>; el plazo de quince días hábiles que el artículo 178 de la Ley de la materia otorga a</w:t>
      </w:r>
      <w:r w:rsidR="00BB26CE">
        <w:rPr>
          <w:rFonts w:ascii="Palatino Linotype" w:hAnsi="Palatino Linotype" w:cs="Arial"/>
          <w:sz w:val="22"/>
        </w:rPr>
        <w:t xml:space="preserve"> </w:t>
      </w:r>
      <w:r w:rsidR="00BB26CE" w:rsidRPr="00624F14">
        <w:rPr>
          <w:rFonts w:ascii="Palatino Linotype" w:hAnsi="Palatino Linotype" w:cs="Arial"/>
          <w:b/>
          <w:sz w:val="22"/>
        </w:rPr>
        <w:t>EL</w:t>
      </w:r>
      <w:r w:rsidRPr="00887E2C">
        <w:rPr>
          <w:rFonts w:ascii="Palatino Linotype" w:hAnsi="Palatino Linotype" w:cs="Arial"/>
          <w:sz w:val="22"/>
        </w:rPr>
        <w:t xml:space="preserve"> </w:t>
      </w:r>
      <w:r w:rsidRPr="00887E2C">
        <w:rPr>
          <w:rFonts w:ascii="Palatino Linotype" w:hAnsi="Palatino Linotype" w:cs="Arial"/>
          <w:b/>
          <w:sz w:val="22"/>
        </w:rPr>
        <w:t>RECURRENTE</w:t>
      </w:r>
      <w:r w:rsidRPr="00887E2C">
        <w:rPr>
          <w:rFonts w:ascii="Palatino Linotype" w:hAnsi="Palatino Linotype" w:cs="Arial"/>
          <w:sz w:val="22"/>
        </w:rPr>
        <w:t xml:space="preserve"> para presentar el respectivo recurso de revisión, transcurrió del </w:t>
      </w:r>
      <w:r w:rsidRPr="00887E2C">
        <w:rPr>
          <w:rFonts w:ascii="Palatino Linotype" w:hAnsi="Palatino Linotype" w:cs="Arial"/>
          <w:b/>
          <w:sz w:val="22"/>
        </w:rPr>
        <w:t xml:space="preserve">diez al veintiocho de enero de dos mil veintidós, </w:t>
      </w:r>
      <w:r w:rsidRPr="00887E2C">
        <w:rPr>
          <w:rFonts w:ascii="Palatino Linotype" w:eastAsiaTheme="minorEastAsia" w:hAnsi="Palatino Linotype" w:cs="Arial"/>
          <w:sz w:val="22"/>
          <w:lang w:val="es-ES_tradnl"/>
        </w:rPr>
        <w:t>sin contemplar en el cómputo los días veinticinco y veintiséis de diciembre de dos mil veintiuno, uno, dos, ocho y nueve de enero de dos mil veintid</w:t>
      </w:r>
      <w:bookmarkStart w:id="10" w:name="_Hlk62134391"/>
      <w:r w:rsidRPr="00887E2C">
        <w:rPr>
          <w:rFonts w:ascii="Palatino Linotype" w:eastAsiaTheme="minorEastAsia" w:hAnsi="Palatino Linotype" w:cs="Arial"/>
          <w:sz w:val="22"/>
          <w:lang w:val="es-ES_tradnl"/>
        </w:rPr>
        <w:t>ós, por corresponder a sábados y domingos, considerados como días inhábiles, en términos del artículo 3</w:t>
      </w:r>
      <w:r w:rsidR="00BB26CE">
        <w:rPr>
          <w:rFonts w:ascii="Palatino Linotype" w:eastAsiaTheme="minorEastAsia" w:hAnsi="Palatino Linotype" w:cs="Arial"/>
          <w:sz w:val="22"/>
          <w:lang w:val="es-ES_tradnl"/>
        </w:rPr>
        <w:t>°</w:t>
      </w:r>
      <w:r w:rsidRPr="00887E2C">
        <w:rPr>
          <w:rFonts w:ascii="Palatino Linotype" w:eastAsiaTheme="minorEastAsia" w:hAnsi="Palatino Linotype" w:cs="Arial"/>
          <w:sz w:val="22"/>
          <w:lang w:val="es-ES_tradnl"/>
        </w:rPr>
        <w:t>, fracción X</w:t>
      </w:r>
      <w:r w:rsidR="00BB26CE">
        <w:rPr>
          <w:rFonts w:ascii="Palatino Linotype" w:eastAsiaTheme="minorEastAsia" w:hAnsi="Palatino Linotype" w:cs="Arial"/>
          <w:sz w:val="22"/>
          <w:lang w:val="es-ES_tradnl"/>
        </w:rPr>
        <w:t>,</w:t>
      </w:r>
      <w:r w:rsidRPr="00887E2C">
        <w:rPr>
          <w:rFonts w:ascii="Palatino Linotype" w:eastAsiaTheme="minorEastAsia" w:hAnsi="Palatino Linotype" w:cs="Arial"/>
          <w:sz w:val="22"/>
          <w:lang w:val="es-ES_tradnl"/>
        </w:rPr>
        <w:t xml:space="preserve"> de la Ley de Transparencia y Acceso a la Información Pública del Estado de México y Municipios; así como, 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ser días inhábiles</w:t>
      </w:r>
      <w:r w:rsidR="00BB26CE">
        <w:rPr>
          <w:rFonts w:ascii="Palatino Linotype" w:eastAsiaTheme="minorEastAsia" w:hAnsi="Palatino Linotype" w:cs="Arial"/>
          <w:sz w:val="22"/>
          <w:lang w:val="es-ES_tradnl"/>
        </w:rPr>
        <w:t xml:space="preserve"> </w:t>
      </w:r>
      <w:r w:rsidRPr="00887E2C">
        <w:rPr>
          <w:rFonts w:ascii="Palatino Linotype" w:eastAsiaTheme="minorEastAsia" w:hAnsi="Palatino Linotype" w:cs="Arial"/>
          <w:sz w:val="22"/>
          <w:lang w:val="es-ES_tradnl"/>
        </w:rPr>
        <w:t xml:space="preserve">en términos del Calendario Oficial en Materia de Transparencia, Acceso a la Información Pública y Protección de Datos Personales del Estado de México y Municipios, así como de labores del Instituto para el año dos mil veintidós y enero </w:t>
      </w:r>
      <w:r w:rsidRPr="00887E2C">
        <w:rPr>
          <w:rFonts w:ascii="Palatino Linotype" w:eastAsiaTheme="minorEastAsia" w:hAnsi="Palatino Linotype" w:cs="Arial"/>
          <w:sz w:val="22"/>
          <w:lang w:val="es-ES_tradnl"/>
        </w:rPr>
        <w:lastRenderedPageBreak/>
        <w:t>de dos mil veintitrés, aprobado por el Pleno del Instituto en fecha quince de diciembre de dos mil veintiuno.</w:t>
      </w:r>
    </w:p>
    <w:p w14:paraId="2D82A19A" w14:textId="77777777" w:rsidR="00BB26CE" w:rsidRPr="00887E2C" w:rsidRDefault="00BB26CE" w:rsidP="00624F14">
      <w:pPr>
        <w:spacing w:line="360" w:lineRule="auto"/>
        <w:jc w:val="both"/>
        <w:rPr>
          <w:rFonts w:ascii="Palatino Linotype" w:eastAsiaTheme="minorEastAsia" w:hAnsi="Palatino Linotype" w:cs="Arial"/>
          <w:sz w:val="22"/>
          <w:lang w:val="es-ES_tradnl"/>
        </w:rPr>
      </w:pPr>
    </w:p>
    <w:bookmarkEnd w:id="10"/>
    <w:p w14:paraId="2A5C99CE" w14:textId="555E0C9C" w:rsidR="007A6821" w:rsidRDefault="007A6821" w:rsidP="00624F14">
      <w:pPr>
        <w:spacing w:line="360" w:lineRule="auto"/>
        <w:ind w:left="-5" w:hanging="10"/>
        <w:jc w:val="both"/>
        <w:rPr>
          <w:rFonts w:ascii="Palatino Linotype" w:eastAsia="Palatino Linotype" w:hAnsi="Palatino Linotype" w:cs="Palatino Linotype"/>
          <w:sz w:val="22"/>
        </w:rPr>
      </w:pPr>
      <w:r w:rsidRPr="00887E2C">
        <w:rPr>
          <w:rFonts w:ascii="Palatino Linotype" w:eastAsia="Palatino Linotype" w:hAnsi="Palatino Linotype" w:cs="Palatino Linotype"/>
          <w:sz w:val="22"/>
        </w:rPr>
        <w:t>En ese tenor, si el recurso de revisión que nos ocupa, se interpuso el</w:t>
      </w:r>
      <w:r w:rsidRPr="00887E2C">
        <w:rPr>
          <w:rFonts w:ascii="Palatino Linotype" w:eastAsia="Palatino Linotype" w:hAnsi="Palatino Linotype" w:cs="Palatino Linotype"/>
          <w:b/>
          <w:sz w:val="22"/>
        </w:rPr>
        <w:t xml:space="preserve"> diez de enero de dos mil veintidós,</w:t>
      </w:r>
      <w:r w:rsidRPr="00887E2C">
        <w:rPr>
          <w:rFonts w:ascii="Palatino Linotype" w:eastAsia="Palatino Linotype" w:hAnsi="Palatino Linotype" w:cs="Palatino Linotype"/>
          <w:sz w:val="22"/>
        </w:rPr>
        <w:t xml:space="preserve"> </w:t>
      </w:r>
      <w:r w:rsidR="00BB26CE">
        <w:rPr>
          <w:rFonts w:ascii="Palatino Linotype" w:eastAsia="Palatino Linotype" w:hAnsi="Palatino Linotype" w:cs="Palatino Linotype"/>
          <w:sz w:val="22"/>
        </w:rPr>
        <w:t>e</w:t>
      </w:r>
      <w:r w:rsidRPr="00887E2C">
        <w:rPr>
          <w:rFonts w:ascii="Palatino Linotype" w:eastAsia="Palatino Linotype" w:hAnsi="Palatino Linotype" w:cs="Palatino Linotype"/>
          <w:sz w:val="22"/>
        </w:rPr>
        <w:t>ste se encuentra dentro de los márgenes temporales previstos en el citado precepto legal y, por tanto, se considera oportuno.</w:t>
      </w:r>
    </w:p>
    <w:p w14:paraId="7E8269BD" w14:textId="77777777" w:rsidR="00BB26CE" w:rsidRPr="00887E2C" w:rsidRDefault="00BB26CE" w:rsidP="00624F14">
      <w:pPr>
        <w:spacing w:line="360" w:lineRule="auto"/>
        <w:ind w:left="-5" w:hanging="10"/>
        <w:jc w:val="both"/>
        <w:rPr>
          <w:rFonts w:ascii="Palatino Linotype" w:eastAsia="Palatino Linotype" w:hAnsi="Palatino Linotype" w:cs="Palatino Linotype"/>
          <w:sz w:val="22"/>
        </w:rPr>
      </w:pPr>
    </w:p>
    <w:p w14:paraId="3D853B65" w14:textId="77C58B52" w:rsidR="007A6821" w:rsidRDefault="007A6821" w:rsidP="00624F14">
      <w:pPr>
        <w:autoSpaceDE w:val="0"/>
        <w:autoSpaceDN w:val="0"/>
        <w:adjustRightInd w:val="0"/>
        <w:spacing w:line="360" w:lineRule="auto"/>
        <w:ind w:right="51"/>
        <w:jc w:val="both"/>
        <w:rPr>
          <w:rFonts w:ascii="Palatino Linotype" w:hAnsi="Palatino Linotype"/>
          <w:b/>
          <w:sz w:val="22"/>
        </w:rPr>
      </w:pPr>
      <w:r w:rsidRPr="00887E2C">
        <w:rPr>
          <w:rFonts w:ascii="Palatino Linotype" w:hAnsi="Palatino Linotype" w:cs="Arial"/>
          <w:b/>
        </w:rPr>
        <w:t>CUARTO</w:t>
      </w:r>
      <w:r w:rsidRPr="00887E2C">
        <w:rPr>
          <w:rFonts w:ascii="Palatino Linotype" w:hAnsi="Palatino Linotype" w:cs="Arial"/>
          <w:b/>
          <w:sz w:val="22"/>
        </w:rPr>
        <w:t xml:space="preserve">. </w:t>
      </w:r>
      <w:r w:rsidRPr="00887E2C">
        <w:rPr>
          <w:rFonts w:ascii="Palatino Linotype" w:hAnsi="Palatino Linotype"/>
          <w:b/>
          <w:sz w:val="22"/>
        </w:rPr>
        <w:t xml:space="preserve">Procedibilidad. </w:t>
      </w:r>
    </w:p>
    <w:p w14:paraId="707EB090" w14:textId="77777777" w:rsidR="00D67391" w:rsidRPr="00887E2C" w:rsidRDefault="00D67391" w:rsidP="00624F14">
      <w:pPr>
        <w:autoSpaceDE w:val="0"/>
        <w:autoSpaceDN w:val="0"/>
        <w:adjustRightInd w:val="0"/>
        <w:spacing w:line="360" w:lineRule="auto"/>
        <w:ind w:right="51"/>
        <w:jc w:val="both"/>
        <w:rPr>
          <w:rFonts w:ascii="Palatino Linotype" w:hAnsi="Palatino Linotype"/>
          <w:b/>
          <w:sz w:val="22"/>
        </w:rPr>
      </w:pPr>
    </w:p>
    <w:p w14:paraId="3621946F" w14:textId="77777777" w:rsidR="00D67391" w:rsidRDefault="00D67391" w:rsidP="00D67391">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C938B6">
        <w:rPr>
          <w:rFonts w:ascii="Palatino Linotype" w:hAnsi="Palatino Linotype"/>
          <w:i/>
          <w:color w:val="000000"/>
          <w:sz w:val="22"/>
          <w:szCs w:val="22"/>
          <w:lang w:val="es-ES"/>
        </w:rPr>
        <w:t>litis</w:t>
      </w:r>
      <w:r w:rsidRPr="00C938B6">
        <w:rPr>
          <w:rFonts w:ascii="Palatino Linotype" w:hAnsi="Palatino Linotype"/>
          <w:color w:val="000000"/>
          <w:sz w:val="22"/>
          <w:szCs w:val="22"/>
          <w:lang w:val="es-ES"/>
        </w:rPr>
        <w:t>, es necesario estudiar las causales de improcedencia y sobreseimiento que se adviertan, para determinar lo que en Derecho proceda.</w:t>
      </w:r>
    </w:p>
    <w:p w14:paraId="4148312E" w14:textId="77777777" w:rsidR="00D67391" w:rsidRPr="001B04D6" w:rsidRDefault="00D67391" w:rsidP="00D67391">
      <w:pPr>
        <w:spacing w:line="360" w:lineRule="auto"/>
        <w:jc w:val="both"/>
        <w:rPr>
          <w:rFonts w:ascii="Palatino Linotype" w:hAnsi="Palatino Linotype"/>
          <w:color w:val="222222"/>
          <w:lang w:val="es-ES"/>
        </w:rPr>
      </w:pPr>
    </w:p>
    <w:p w14:paraId="099376CC" w14:textId="77777777" w:rsidR="00D67391" w:rsidRPr="00C938B6" w:rsidRDefault="00D67391" w:rsidP="00D67391">
      <w:pPr>
        <w:shd w:val="clear" w:color="auto" w:fill="FFFFFF"/>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Causales de improcedencia.</w:t>
      </w:r>
    </w:p>
    <w:p w14:paraId="794135B7" w14:textId="77777777" w:rsidR="00D67391" w:rsidRPr="00C938B6" w:rsidRDefault="00D67391" w:rsidP="00D67391">
      <w:pPr>
        <w:shd w:val="clear" w:color="auto" w:fill="FFFFFF"/>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55B6A3DE" w14:textId="77777777" w:rsidR="00D67391" w:rsidRDefault="00D67391" w:rsidP="00D67391">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AB95530" w14:textId="77777777" w:rsidR="00D67391" w:rsidRPr="00C938B6" w:rsidRDefault="00D67391" w:rsidP="00D67391">
      <w:pPr>
        <w:spacing w:line="360" w:lineRule="auto"/>
        <w:jc w:val="both"/>
        <w:rPr>
          <w:rFonts w:ascii="Palatino Linotype" w:hAnsi="Palatino Linotype" w:cs="Tahoma"/>
          <w:bCs/>
          <w:color w:val="000000"/>
          <w:sz w:val="22"/>
          <w:szCs w:val="22"/>
        </w:rPr>
      </w:pPr>
    </w:p>
    <w:p w14:paraId="1305EE9A" w14:textId="77777777" w:rsidR="00D67391" w:rsidRDefault="00D67391" w:rsidP="00D67391">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w:t>
      </w:r>
      <w:r w:rsidRPr="00C938B6">
        <w:rPr>
          <w:rFonts w:ascii="Palatino Linotype" w:hAnsi="Palatino Linotype" w:cs="Tahoma"/>
          <w:bCs/>
          <w:color w:val="000000"/>
          <w:sz w:val="22"/>
          <w:szCs w:val="22"/>
        </w:rPr>
        <w:lastRenderedPageBreak/>
        <w:t>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659F4D74" w14:textId="77777777" w:rsidR="00D67391" w:rsidRPr="00C938B6" w:rsidRDefault="00D67391" w:rsidP="00D67391">
      <w:pPr>
        <w:spacing w:line="360" w:lineRule="auto"/>
        <w:jc w:val="both"/>
        <w:rPr>
          <w:rFonts w:ascii="Palatino Linotype" w:hAnsi="Palatino Linotype" w:cs="Tahoma"/>
          <w:bCs/>
          <w:color w:val="000000"/>
          <w:sz w:val="22"/>
          <w:szCs w:val="22"/>
        </w:rPr>
      </w:pPr>
    </w:p>
    <w:p w14:paraId="2B6B4E3B" w14:textId="77777777" w:rsidR="00D67391" w:rsidRDefault="00D67391" w:rsidP="00D67391">
      <w:pPr>
        <w:spacing w:line="360" w:lineRule="auto"/>
        <w:jc w:val="both"/>
        <w:rPr>
          <w:rFonts w:ascii="Palatino Linotype" w:hAnsi="Palatino Linotype" w:cs="Tahoma"/>
          <w:sz w:val="22"/>
          <w:szCs w:val="22"/>
          <w:lang w:val="es-ES"/>
        </w:rPr>
      </w:pPr>
      <w:r w:rsidRPr="003066DC">
        <w:rPr>
          <w:rFonts w:ascii="Palatino Linotype" w:hAnsi="Palatino Linotype" w:cs="Tahoma"/>
          <w:sz w:val="22"/>
          <w:szCs w:val="22"/>
        </w:rPr>
        <w:t>Asimismo, se actualiza la</w:t>
      </w:r>
      <w:r>
        <w:rPr>
          <w:rFonts w:ascii="Palatino Linotype" w:hAnsi="Palatino Linotype" w:cs="Tahoma"/>
          <w:sz w:val="22"/>
          <w:szCs w:val="22"/>
        </w:rPr>
        <w:t>s</w:t>
      </w:r>
      <w:r w:rsidRPr="003066DC">
        <w:rPr>
          <w:rFonts w:ascii="Palatino Linotype" w:hAnsi="Palatino Linotype" w:cs="Tahoma"/>
          <w:sz w:val="22"/>
          <w:szCs w:val="22"/>
        </w:rPr>
        <w:t xml:space="preserve"> causal</w:t>
      </w:r>
      <w:r>
        <w:rPr>
          <w:rFonts w:ascii="Palatino Linotype" w:hAnsi="Palatino Linotype" w:cs="Tahoma"/>
          <w:sz w:val="22"/>
          <w:szCs w:val="22"/>
        </w:rPr>
        <w:t>es</w:t>
      </w:r>
      <w:r w:rsidRPr="003066DC">
        <w:rPr>
          <w:rFonts w:ascii="Palatino Linotype" w:hAnsi="Palatino Linotype" w:cs="Tahoma"/>
          <w:sz w:val="22"/>
          <w:szCs w:val="22"/>
        </w:rPr>
        <w:t xml:space="preserve"> de procedencia del Recurso de Revisión señalada</w:t>
      </w:r>
      <w:r>
        <w:rPr>
          <w:rFonts w:ascii="Palatino Linotype" w:hAnsi="Palatino Linotype" w:cs="Tahoma"/>
          <w:sz w:val="22"/>
          <w:szCs w:val="22"/>
        </w:rPr>
        <w:t>s</w:t>
      </w:r>
      <w:r w:rsidRPr="003066DC">
        <w:rPr>
          <w:rFonts w:ascii="Palatino Linotype" w:hAnsi="Palatino Linotype" w:cs="Tahoma"/>
          <w:sz w:val="22"/>
          <w:szCs w:val="22"/>
        </w:rPr>
        <w:t xml:space="preserve"> en el artículo 179, </w:t>
      </w:r>
      <w:r>
        <w:rPr>
          <w:rFonts w:ascii="Palatino Linotype" w:hAnsi="Palatino Linotype" w:cs="Tahoma"/>
          <w:sz w:val="22"/>
          <w:szCs w:val="22"/>
        </w:rPr>
        <w:t>fracciones IX</w:t>
      </w:r>
      <w:r w:rsidRPr="003066DC">
        <w:rPr>
          <w:rFonts w:ascii="Palatino Linotype" w:hAnsi="Palatino Linotype" w:cs="Tahoma"/>
          <w:sz w:val="22"/>
          <w:szCs w:val="22"/>
        </w:rPr>
        <w:t xml:space="preserve"> de la Ley de Transparencia y Acceso a la Información Pública del Estado de México y Municipios, </w:t>
      </w:r>
      <w:r w:rsidRPr="003066DC">
        <w:rPr>
          <w:rFonts w:ascii="Palatino Linotype" w:eastAsia="Calibri" w:hAnsi="Palatino Linotype" w:cs="Tahoma"/>
          <w:color w:val="000000"/>
          <w:sz w:val="22"/>
          <w:szCs w:val="22"/>
          <w:lang w:eastAsia="es-MX"/>
        </w:rPr>
        <w:t xml:space="preserve">pues el Recurrente se inconformó </w:t>
      </w:r>
      <w:r w:rsidRPr="003066DC">
        <w:rPr>
          <w:rFonts w:ascii="Palatino Linotype" w:hAnsi="Palatino Linotype" w:cs="Tahoma"/>
          <w:sz w:val="22"/>
          <w:szCs w:val="22"/>
          <w:lang w:val="es-ES"/>
        </w:rPr>
        <w:t>por</w:t>
      </w:r>
      <w:r>
        <w:rPr>
          <w:rFonts w:ascii="Palatino Linotype" w:hAnsi="Palatino Linotype" w:cs="Tahoma"/>
          <w:sz w:val="22"/>
          <w:szCs w:val="22"/>
          <w:lang w:val="es-ES"/>
        </w:rPr>
        <w:t xml:space="preserve">que el Sujeto Obligado precisó que los documentos enviados no eran legibles. </w:t>
      </w:r>
    </w:p>
    <w:p w14:paraId="4EA50746" w14:textId="77777777" w:rsidR="00D67391" w:rsidRPr="001B04D6" w:rsidRDefault="00D67391" w:rsidP="00D67391">
      <w:pPr>
        <w:spacing w:line="360" w:lineRule="auto"/>
        <w:jc w:val="both"/>
        <w:rPr>
          <w:rFonts w:ascii="Palatino Linotype" w:hAnsi="Palatino Linotype" w:cs="Tahoma"/>
          <w:sz w:val="22"/>
          <w:szCs w:val="22"/>
          <w:lang w:val="es-ES"/>
        </w:rPr>
      </w:pPr>
    </w:p>
    <w:p w14:paraId="2C14DA1A" w14:textId="77777777" w:rsidR="00D67391" w:rsidRPr="00C938B6" w:rsidRDefault="00D67391" w:rsidP="00D67391">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
          <w:bCs/>
          <w:color w:val="0D0D0D" w:themeColor="text1" w:themeTint="F2"/>
          <w:sz w:val="22"/>
          <w:szCs w:val="22"/>
        </w:rPr>
        <w:t>Causales de sobreseimiento.</w:t>
      </w:r>
    </w:p>
    <w:p w14:paraId="36FFF0D6" w14:textId="77777777" w:rsidR="00D67391" w:rsidRPr="00C938B6" w:rsidRDefault="00D67391" w:rsidP="00D67391">
      <w:pPr>
        <w:spacing w:line="360" w:lineRule="auto"/>
        <w:jc w:val="both"/>
        <w:rPr>
          <w:rFonts w:ascii="Palatino Linotype" w:hAnsi="Palatino Linotype" w:cs="Tahoma"/>
          <w:bCs/>
          <w:color w:val="0D0D0D" w:themeColor="text1" w:themeTint="F2"/>
          <w:sz w:val="22"/>
          <w:szCs w:val="22"/>
        </w:rPr>
      </w:pPr>
    </w:p>
    <w:p w14:paraId="13C70FF8" w14:textId="77777777" w:rsidR="00D67391" w:rsidRPr="00C938B6" w:rsidRDefault="00D67391" w:rsidP="00D67391">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56BC68D8" w14:textId="77777777" w:rsidR="00D67391" w:rsidRPr="00C938B6" w:rsidRDefault="00D67391" w:rsidP="00D67391">
      <w:pPr>
        <w:spacing w:line="360" w:lineRule="auto"/>
        <w:jc w:val="both"/>
        <w:rPr>
          <w:rFonts w:ascii="Palatino Linotype" w:hAnsi="Palatino Linotype" w:cs="Tahoma"/>
          <w:bCs/>
          <w:color w:val="0D0D0D" w:themeColor="text1" w:themeTint="F2"/>
          <w:sz w:val="22"/>
          <w:szCs w:val="22"/>
        </w:rPr>
      </w:pPr>
    </w:p>
    <w:p w14:paraId="150F18D0" w14:textId="77777777" w:rsidR="00D67391" w:rsidRPr="00C938B6" w:rsidRDefault="00D67391" w:rsidP="00D67391">
      <w:pPr>
        <w:spacing w:line="360" w:lineRule="auto"/>
        <w:jc w:val="both"/>
        <w:rPr>
          <w:rFonts w:ascii="Palatino Linotype" w:hAnsi="Palatino Linotype" w:cs="Tahoma"/>
          <w:sz w:val="22"/>
        </w:rPr>
      </w:pPr>
      <w:r w:rsidRPr="00C938B6">
        <w:rPr>
          <w:rFonts w:ascii="Palatino Linotype" w:hAnsi="Palatino Linotype" w:cs="Tahoma"/>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F379E14" w14:textId="77777777" w:rsidR="00D67391" w:rsidRDefault="00D67391" w:rsidP="00D67391">
      <w:pPr>
        <w:spacing w:line="360" w:lineRule="auto"/>
        <w:jc w:val="both"/>
        <w:rPr>
          <w:rFonts w:ascii="Palatino Linotype" w:hAnsi="Palatino Linotype" w:cs="Tahoma"/>
          <w:bCs/>
          <w:color w:val="0D0D0D" w:themeColor="text1" w:themeTint="F2"/>
          <w:sz w:val="22"/>
          <w:szCs w:val="22"/>
        </w:rPr>
      </w:pPr>
    </w:p>
    <w:p w14:paraId="13B86027" w14:textId="77777777" w:rsidR="00D67391" w:rsidRDefault="00D67391" w:rsidP="00D67391">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 xml:space="preserve">Por tales motivos, se considera procedente entrar al fondo del presente asunto. </w:t>
      </w:r>
    </w:p>
    <w:p w14:paraId="234D6773" w14:textId="77777777" w:rsidR="00D67391" w:rsidRPr="003066DC" w:rsidRDefault="00D67391" w:rsidP="00D67391">
      <w:pPr>
        <w:spacing w:line="360" w:lineRule="auto"/>
        <w:jc w:val="both"/>
        <w:rPr>
          <w:rFonts w:ascii="Palatino Linotype" w:hAnsi="Palatino Linotype" w:cs="Tahoma"/>
          <w:bCs/>
          <w:color w:val="0D0D0D" w:themeColor="text1" w:themeTint="F2"/>
          <w:sz w:val="22"/>
          <w:szCs w:val="22"/>
        </w:rPr>
      </w:pPr>
    </w:p>
    <w:p w14:paraId="47CD5562" w14:textId="3F16B28B" w:rsidR="007A6821" w:rsidRDefault="007A6821" w:rsidP="00624F14">
      <w:pPr>
        <w:autoSpaceDE w:val="0"/>
        <w:autoSpaceDN w:val="0"/>
        <w:adjustRightInd w:val="0"/>
        <w:spacing w:line="360" w:lineRule="auto"/>
        <w:ind w:right="51"/>
        <w:jc w:val="both"/>
        <w:rPr>
          <w:rFonts w:ascii="Palatino Linotype" w:hAnsi="Palatino Linotype" w:cs="Arial"/>
          <w:b/>
          <w:sz w:val="22"/>
          <w:lang w:val="es-ES"/>
        </w:rPr>
      </w:pPr>
      <w:r w:rsidRPr="00887E2C">
        <w:rPr>
          <w:rFonts w:ascii="Palatino Linotype" w:hAnsi="Palatino Linotype" w:cs="Arial"/>
          <w:b/>
        </w:rPr>
        <w:lastRenderedPageBreak/>
        <w:t>QUINTO</w:t>
      </w:r>
      <w:r w:rsidRPr="00887E2C">
        <w:rPr>
          <w:rFonts w:ascii="Palatino Linotype" w:hAnsi="Palatino Linotype"/>
          <w:b/>
          <w:sz w:val="22"/>
        </w:rPr>
        <w:t xml:space="preserve">. </w:t>
      </w:r>
      <w:r w:rsidRPr="00887E2C">
        <w:rPr>
          <w:rFonts w:ascii="Palatino Linotype" w:hAnsi="Palatino Linotype" w:cs="Arial"/>
          <w:b/>
          <w:sz w:val="22"/>
          <w:lang w:val="es-ES"/>
        </w:rPr>
        <w:t xml:space="preserve">Estudio y resolución del asunto. </w:t>
      </w:r>
    </w:p>
    <w:p w14:paraId="64CC569C" w14:textId="77777777" w:rsidR="00D67391" w:rsidRPr="00887E2C" w:rsidRDefault="00D67391" w:rsidP="00624F14">
      <w:pPr>
        <w:autoSpaceDE w:val="0"/>
        <w:autoSpaceDN w:val="0"/>
        <w:adjustRightInd w:val="0"/>
        <w:spacing w:line="360" w:lineRule="auto"/>
        <w:ind w:right="51"/>
        <w:jc w:val="both"/>
        <w:rPr>
          <w:rFonts w:ascii="Palatino Linotype" w:hAnsi="Palatino Linotype"/>
          <w:b/>
          <w:sz w:val="22"/>
        </w:rPr>
      </w:pPr>
    </w:p>
    <w:p w14:paraId="2B517681" w14:textId="3F655DEA"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 xml:space="preserve">El presente análisis y la emisión de la resolución se fundan en el contenido íntegro de las actuaciones que obran en el expediente electrónico del </w:t>
      </w:r>
      <w:r w:rsidRPr="00887E2C">
        <w:rPr>
          <w:rFonts w:ascii="Palatino Linotype" w:hAnsi="Palatino Linotype"/>
          <w:b/>
          <w:sz w:val="22"/>
        </w:rPr>
        <w:t>SAIMEX</w:t>
      </w:r>
      <w:r w:rsidRPr="00887E2C">
        <w:rPr>
          <w:rFonts w:ascii="Palatino Linotype" w:hAnsi="Palatino Linotype"/>
          <w:sz w:val="22"/>
        </w:rPr>
        <w:t xml:space="preserve">,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w:t>
      </w:r>
      <w:r w:rsidR="00CF3C11" w:rsidRPr="00887E2C">
        <w:rPr>
          <w:rFonts w:ascii="Palatino Linotype" w:hAnsi="Palatino Linotype"/>
          <w:sz w:val="22"/>
        </w:rPr>
        <w:t>mexicana</w:t>
      </w:r>
      <w:r w:rsidRPr="00887E2C">
        <w:rPr>
          <w:rFonts w:ascii="Palatino Linotype" w:hAnsi="Palatino Linotype"/>
          <w:sz w:val="22"/>
        </w:rPr>
        <w:t>.</w:t>
      </w:r>
    </w:p>
    <w:p w14:paraId="6BA1F7E4" w14:textId="77777777" w:rsidR="00CF3C11" w:rsidRPr="00887E2C" w:rsidRDefault="00CF3C11" w:rsidP="00624F14">
      <w:pPr>
        <w:autoSpaceDE w:val="0"/>
        <w:autoSpaceDN w:val="0"/>
        <w:adjustRightInd w:val="0"/>
        <w:spacing w:line="360" w:lineRule="auto"/>
        <w:ind w:right="49"/>
        <w:jc w:val="both"/>
        <w:rPr>
          <w:rFonts w:ascii="Palatino Linotype" w:hAnsi="Palatino Linotype"/>
          <w:sz w:val="22"/>
        </w:rPr>
      </w:pPr>
    </w:p>
    <w:p w14:paraId="6F3C0DE6" w14:textId="0E238FE4"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 xml:space="preserve">En ese tenor, para un mejor estudio y comprensión del asunto que se resuelve, es preciso recordar que </w:t>
      </w:r>
      <w:r w:rsidRPr="00887E2C">
        <w:rPr>
          <w:rFonts w:ascii="Palatino Linotype" w:hAnsi="Palatino Linotype"/>
          <w:b/>
          <w:sz w:val="22"/>
        </w:rPr>
        <w:t>EL RECURRENTE</w:t>
      </w:r>
      <w:r w:rsidRPr="00887E2C">
        <w:rPr>
          <w:rFonts w:ascii="Palatino Linotype" w:hAnsi="Palatino Linotype"/>
          <w:sz w:val="22"/>
        </w:rPr>
        <w:t xml:space="preserve"> solicitó al </w:t>
      </w:r>
      <w:r w:rsidRPr="00887E2C">
        <w:rPr>
          <w:rFonts w:ascii="Palatino Linotype" w:hAnsi="Palatino Linotype"/>
          <w:b/>
          <w:sz w:val="22"/>
        </w:rPr>
        <w:t>SUJETO OBLIGADO</w:t>
      </w:r>
      <w:r w:rsidRPr="00887E2C">
        <w:rPr>
          <w:rFonts w:ascii="Palatino Linotype" w:hAnsi="Palatino Linotype"/>
          <w:sz w:val="22"/>
        </w:rPr>
        <w:t xml:space="preserve"> le informara el nombre de la unidad encargada de las enajenaciones de bienes muebles y el nombre de la dirección general de la que dicha área administrativa depende.</w:t>
      </w:r>
    </w:p>
    <w:p w14:paraId="0553E2EA" w14:textId="77777777" w:rsidR="00D67391" w:rsidRPr="00887E2C" w:rsidRDefault="00D67391" w:rsidP="00624F14">
      <w:pPr>
        <w:autoSpaceDE w:val="0"/>
        <w:autoSpaceDN w:val="0"/>
        <w:adjustRightInd w:val="0"/>
        <w:spacing w:line="360" w:lineRule="auto"/>
        <w:ind w:right="49"/>
        <w:jc w:val="both"/>
        <w:rPr>
          <w:rFonts w:ascii="Palatino Linotype" w:hAnsi="Palatino Linotype"/>
          <w:sz w:val="22"/>
        </w:rPr>
      </w:pPr>
    </w:p>
    <w:p w14:paraId="6DEE24FE" w14:textId="182CC7F9"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 xml:space="preserve">Así, en respuesta </w:t>
      </w:r>
      <w:r w:rsidRPr="00887E2C">
        <w:rPr>
          <w:rFonts w:ascii="Palatino Linotype" w:hAnsi="Palatino Linotype"/>
          <w:b/>
          <w:sz w:val="22"/>
        </w:rPr>
        <w:t>EL SUJETO OBLIGADO</w:t>
      </w:r>
      <w:r w:rsidRPr="00887E2C">
        <w:rPr>
          <w:rFonts w:ascii="Palatino Linotype" w:hAnsi="Palatino Linotype"/>
          <w:sz w:val="22"/>
        </w:rPr>
        <w:t xml:space="preserve"> le indicó al particular que el órgano al interior del Ayuntamiento que se encuentra encargado de la enajenación de bienes muebles es el </w:t>
      </w:r>
      <w:r w:rsidRPr="00887E2C">
        <w:rPr>
          <w:rFonts w:ascii="Palatino Linotype" w:hAnsi="Palatino Linotype"/>
          <w:b/>
          <w:sz w:val="22"/>
        </w:rPr>
        <w:t>Comité de Bienes Muebles e Inmuebles</w:t>
      </w:r>
      <w:r w:rsidRPr="00887E2C">
        <w:rPr>
          <w:rFonts w:ascii="Palatino Linotype" w:hAnsi="Palatino Linotype"/>
          <w:sz w:val="22"/>
        </w:rPr>
        <w:t xml:space="preserve"> y se encuentra integrado por el Secretario de Ayuntamiento, el Contralor Interno Municipal, el Síndico, Tesorero y el Coordinador Jurídico.</w:t>
      </w:r>
    </w:p>
    <w:p w14:paraId="09005F6C" w14:textId="77777777" w:rsidR="00CF3C11" w:rsidRPr="00887E2C" w:rsidRDefault="00CF3C11" w:rsidP="00624F14">
      <w:pPr>
        <w:autoSpaceDE w:val="0"/>
        <w:autoSpaceDN w:val="0"/>
        <w:adjustRightInd w:val="0"/>
        <w:spacing w:line="360" w:lineRule="auto"/>
        <w:ind w:right="49"/>
        <w:jc w:val="both"/>
        <w:rPr>
          <w:rFonts w:ascii="Palatino Linotype" w:hAnsi="Palatino Linotype"/>
          <w:sz w:val="22"/>
        </w:rPr>
      </w:pPr>
    </w:p>
    <w:p w14:paraId="640E089A" w14:textId="2B29A8E6"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Inconforme con dicha respuesta, el particular presentó el medio de impugnación en estudio en el que se duele que no se le proporcionara el nombre de la unidad administrativa que lleva a cabo el procedimiento de enajenación; es decir quien ejecuta ese procedimiento.</w:t>
      </w:r>
    </w:p>
    <w:p w14:paraId="78414336" w14:textId="77777777" w:rsidR="00CF3C11" w:rsidRPr="00887E2C" w:rsidRDefault="00CF3C11" w:rsidP="00624F14">
      <w:pPr>
        <w:autoSpaceDE w:val="0"/>
        <w:autoSpaceDN w:val="0"/>
        <w:adjustRightInd w:val="0"/>
        <w:spacing w:line="360" w:lineRule="auto"/>
        <w:ind w:right="49"/>
        <w:jc w:val="both"/>
        <w:rPr>
          <w:rFonts w:ascii="Palatino Linotype" w:hAnsi="Palatino Linotype"/>
          <w:sz w:val="22"/>
        </w:rPr>
      </w:pPr>
    </w:p>
    <w:p w14:paraId="096CDE2E" w14:textId="72FFA2EE"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 xml:space="preserve">Mediante informe justificado </w:t>
      </w:r>
      <w:r w:rsidRPr="00887E2C">
        <w:rPr>
          <w:rFonts w:ascii="Palatino Linotype" w:hAnsi="Palatino Linotype"/>
          <w:b/>
          <w:sz w:val="22"/>
        </w:rPr>
        <w:t>EL SUJETO OBLIGADO</w:t>
      </w:r>
      <w:r w:rsidRPr="00887E2C">
        <w:rPr>
          <w:rFonts w:ascii="Palatino Linotype" w:hAnsi="Palatino Linotype"/>
          <w:sz w:val="22"/>
        </w:rPr>
        <w:t xml:space="preserve"> refiere haber otorgado respuesta de manera completa y correcta al </w:t>
      </w:r>
      <w:r w:rsidRPr="00887E2C">
        <w:rPr>
          <w:rFonts w:ascii="Palatino Linotype" w:hAnsi="Palatino Linotype"/>
          <w:b/>
          <w:sz w:val="22"/>
        </w:rPr>
        <w:t>RECURRENTE</w:t>
      </w:r>
      <w:r w:rsidRPr="00887E2C">
        <w:rPr>
          <w:rFonts w:ascii="Palatino Linotype" w:hAnsi="Palatino Linotype"/>
          <w:sz w:val="22"/>
        </w:rPr>
        <w:t xml:space="preserve"> agregando que la Ley Orgánica Municipal del Estado de México, no establece facultad alguna a una Dirección o Unidad Administrativa; sin </w:t>
      </w:r>
      <w:r w:rsidRPr="00887E2C">
        <w:rPr>
          <w:rFonts w:ascii="Palatino Linotype" w:hAnsi="Palatino Linotype"/>
          <w:sz w:val="22"/>
        </w:rPr>
        <w:lastRenderedPageBreak/>
        <w:t>embargo, el artículo 2 de la Ley en cita dispone que las autoridades municipales tienen las atribuciones que les señalen otros ordenamientos; tal y como lo prevé la Ley de Bienes del Estado de México y Municipios que en su artículo 57 establece que para la realización de actos de adquisición y arrendamiento de bienes inmuebles, así como de enajenación de bienes muebles e inmuebles deberán integrar el Comité respectivo.</w:t>
      </w:r>
    </w:p>
    <w:p w14:paraId="541A82CA" w14:textId="77777777" w:rsidR="00CF3C11" w:rsidRPr="00887E2C" w:rsidRDefault="00CF3C11" w:rsidP="00624F14">
      <w:pPr>
        <w:autoSpaceDE w:val="0"/>
        <w:autoSpaceDN w:val="0"/>
        <w:adjustRightInd w:val="0"/>
        <w:spacing w:line="360" w:lineRule="auto"/>
        <w:ind w:right="49"/>
        <w:jc w:val="both"/>
        <w:rPr>
          <w:rFonts w:ascii="Palatino Linotype" w:hAnsi="Palatino Linotype"/>
          <w:sz w:val="22"/>
        </w:rPr>
      </w:pPr>
    </w:p>
    <w:p w14:paraId="15A4C2F1" w14:textId="2CA43D29" w:rsidR="00CF3C11" w:rsidRDefault="00CF3C11" w:rsidP="00CF3C11">
      <w:pPr>
        <w:autoSpaceDE w:val="0"/>
        <w:autoSpaceDN w:val="0"/>
        <w:adjustRightInd w:val="0"/>
        <w:spacing w:line="360" w:lineRule="auto"/>
        <w:ind w:right="49"/>
        <w:jc w:val="both"/>
        <w:rPr>
          <w:rFonts w:ascii="Palatino Linotype" w:hAnsi="Palatino Linotype"/>
          <w:sz w:val="22"/>
        </w:rPr>
      </w:pPr>
      <w:bookmarkStart w:id="11" w:name="_GoBack"/>
      <w:bookmarkEnd w:id="11"/>
      <w:r w:rsidRPr="001B21B9">
        <w:rPr>
          <w:rFonts w:ascii="Palatino Linotype" w:hAnsi="Palatino Linotype"/>
          <w:sz w:val="22"/>
        </w:rPr>
        <w:t>Hechas las</w:t>
      </w:r>
      <w:r w:rsidR="007A6821" w:rsidRPr="001B21B9">
        <w:rPr>
          <w:rFonts w:ascii="Palatino Linotype" w:hAnsi="Palatino Linotype"/>
          <w:sz w:val="22"/>
        </w:rPr>
        <w:t xml:space="preserve"> manifestaciones que anteceden, </w:t>
      </w:r>
      <w:r w:rsidRPr="001B21B9">
        <w:rPr>
          <w:rFonts w:ascii="Palatino Linotype" w:hAnsi="Palatino Linotype"/>
          <w:sz w:val="22"/>
        </w:rPr>
        <w:t>conviene señalar que el derecho de acceso a la información pública se encuentra sustentado en los artículos 4 y 12 de la Ley de Transparencia y Acceso a la Información Pública del Estado de México y Municipios, pues toda la información generada, obtenida, adquirida, transmitida, administrada o en posesión de los Sujetos Obligados, será accesible de manera permanente a cualquier persona, privilegiando el principio de máxima publicidad de la información.</w:t>
      </w:r>
    </w:p>
    <w:p w14:paraId="7C553AEA" w14:textId="77777777" w:rsidR="005418D4" w:rsidRPr="00CF3C11" w:rsidRDefault="005418D4" w:rsidP="00CF3C11">
      <w:pPr>
        <w:autoSpaceDE w:val="0"/>
        <w:autoSpaceDN w:val="0"/>
        <w:adjustRightInd w:val="0"/>
        <w:spacing w:line="360" w:lineRule="auto"/>
        <w:ind w:right="49"/>
        <w:jc w:val="both"/>
        <w:rPr>
          <w:rFonts w:ascii="Palatino Linotype" w:hAnsi="Palatino Linotype"/>
          <w:sz w:val="22"/>
        </w:rPr>
      </w:pPr>
    </w:p>
    <w:p w14:paraId="6CD749E6" w14:textId="33CB27BC"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Por otra parte,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3C028F9" w14:textId="77777777" w:rsidR="00D67391" w:rsidRPr="005418D4" w:rsidRDefault="00D67391" w:rsidP="005418D4">
      <w:pPr>
        <w:autoSpaceDE w:val="0"/>
        <w:autoSpaceDN w:val="0"/>
        <w:adjustRightInd w:val="0"/>
        <w:spacing w:line="360" w:lineRule="auto"/>
        <w:ind w:right="49"/>
        <w:jc w:val="both"/>
        <w:rPr>
          <w:rFonts w:ascii="Palatino Linotype" w:hAnsi="Palatino Linotype"/>
          <w:sz w:val="22"/>
        </w:rPr>
      </w:pPr>
    </w:p>
    <w:p w14:paraId="1A3AFF28"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“Artículo 12. Quienes generen, recopilen, administren, manejen, procesen, archiven o conserven información pública serán responsables de la misma en los términos de las disposiciones jurídicas aplicables. </w:t>
      </w:r>
    </w:p>
    <w:p w14:paraId="645B6C15"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 </w:t>
      </w:r>
    </w:p>
    <w:p w14:paraId="224E5791"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5418D4">
        <w:rPr>
          <w:rFonts w:ascii="Palatino Linotype" w:eastAsia="Palatino Linotype" w:hAnsi="Palatino Linotype" w:cs="Palatino Linotype"/>
          <w:i/>
          <w:sz w:val="20"/>
          <w:szCs w:val="22"/>
        </w:rPr>
        <w:lastRenderedPageBreak/>
        <w:t>del solicitante; no estarán obligados a generarla, resumirla, efectuar cálculos o practicar investigaciones.”</w:t>
      </w:r>
    </w:p>
    <w:p w14:paraId="4A0BE244" w14:textId="77777777" w:rsidR="00863025" w:rsidRDefault="00863025" w:rsidP="005418D4">
      <w:pPr>
        <w:autoSpaceDE w:val="0"/>
        <w:autoSpaceDN w:val="0"/>
        <w:adjustRightInd w:val="0"/>
        <w:spacing w:line="360" w:lineRule="auto"/>
        <w:ind w:right="49"/>
        <w:jc w:val="both"/>
        <w:rPr>
          <w:rFonts w:ascii="Palatino Linotype" w:hAnsi="Palatino Linotype"/>
          <w:sz w:val="22"/>
        </w:rPr>
      </w:pPr>
    </w:p>
    <w:p w14:paraId="32822BC5" w14:textId="1CD24774"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En síntesis, el Derecho de Acceso a la Información Pública se satisface en aquellos casos en que se entregue a los particulares que lo soliciten el soporte documental en que conste la información pública, toda vez que, los Sujetos Obligados no tienen el deber de generar, poseer o administrar la información pública con el grado de detalle solicitado; esto es, que no tienen el deber de generar un documento </w:t>
      </w:r>
      <w:r w:rsidRPr="005418D4">
        <w:rPr>
          <w:rFonts w:ascii="Palatino Linotype" w:hAnsi="Palatino Linotype"/>
          <w:i/>
          <w:sz w:val="22"/>
        </w:rPr>
        <w:t>ad hoc</w:t>
      </w:r>
      <w:r w:rsidRPr="005418D4">
        <w:rPr>
          <w:rFonts w:ascii="Palatino Linotype" w:hAnsi="Palatino Linotype"/>
          <w:sz w:val="22"/>
        </w:rPr>
        <w:t>, para satisfacer el Derecho de Acceso a la Información Pública.</w:t>
      </w:r>
    </w:p>
    <w:p w14:paraId="16DF6E72" w14:textId="77777777" w:rsidR="005418D4" w:rsidRPr="005418D4" w:rsidRDefault="005418D4" w:rsidP="005418D4">
      <w:pPr>
        <w:autoSpaceDE w:val="0"/>
        <w:autoSpaceDN w:val="0"/>
        <w:adjustRightInd w:val="0"/>
        <w:spacing w:line="360" w:lineRule="auto"/>
        <w:ind w:right="49"/>
        <w:jc w:val="both"/>
        <w:rPr>
          <w:rFonts w:ascii="Palatino Linotype" w:hAnsi="Palatino Linotype"/>
          <w:sz w:val="22"/>
        </w:rPr>
      </w:pPr>
    </w:p>
    <w:p w14:paraId="46D5F317" w14:textId="68111DEE"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Como apoyo a lo anterior, es aplicable el Criterio 03-17, emitido por el Instituto Nacional de Transparencia, Acceso a la Información y Protección de Datos Personales (INAI), que dice: </w:t>
      </w:r>
    </w:p>
    <w:p w14:paraId="73B626FF" w14:textId="77777777" w:rsidR="005418D4" w:rsidRPr="005418D4" w:rsidRDefault="005418D4" w:rsidP="005418D4">
      <w:pPr>
        <w:autoSpaceDE w:val="0"/>
        <w:autoSpaceDN w:val="0"/>
        <w:adjustRightInd w:val="0"/>
        <w:spacing w:line="360" w:lineRule="auto"/>
        <w:ind w:right="49"/>
        <w:jc w:val="both"/>
        <w:rPr>
          <w:rFonts w:ascii="Palatino Linotype" w:hAnsi="Palatino Linotype"/>
          <w:sz w:val="22"/>
        </w:rPr>
      </w:pPr>
    </w:p>
    <w:p w14:paraId="18DBA0FC"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No existe obligación de elaborar documentos ad hoc para atender las solicitudes de acceso a la información</w:t>
      </w:r>
      <w:r w:rsidRPr="005418D4">
        <w:rPr>
          <w:rFonts w:ascii="Palatino Linotype" w:eastAsia="Palatino Linotype" w:hAnsi="Palatino Linotype" w:cs="Palatino Linotype"/>
          <w:i/>
          <w:sz w:val="20"/>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C24F84" w14:textId="77777777" w:rsidR="005418D4" w:rsidRDefault="005418D4" w:rsidP="005418D4">
      <w:pPr>
        <w:autoSpaceDE w:val="0"/>
        <w:autoSpaceDN w:val="0"/>
        <w:adjustRightInd w:val="0"/>
        <w:spacing w:line="360" w:lineRule="auto"/>
        <w:ind w:right="49"/>
        <w:jc w:val="both"/>
        <w:rPr>
          <w:rFonts w:ascii="Palatino Linotype" w:hAnsi="Palatino Linotype"/>
          <w:sz w:val="22"/>
        </w:rPr>
      </w:pPr>
    </w:p>
    <w:p w14:paraId="3CBB9F0A" w14:textId="3311301D"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 xml:space="preserve">En esta misma tesitura, y sin que suene contradictorio, el Derecho de Acceso a la Información Pública subsiste solo si la información solicitada consta en un soporte documental en cualquiera de sus formas, a saber: expedientes, reportes, estudios, actas, resoluciones, oficios, </w:t>
      </w:r>
      <w:r w:rsidRPr="005418D4">
        <w:rPr>
          <w:rFonts w:ascii="Palatino Linotype" w:hAnsi="Palatino Linotype"/>
          <w:sz w:val="22"/>
        </w:rPr>
        <w:lastRenderedPageBreak/>
        <w:t xml:space="preserve">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56F97BC" w14:textId="77777777" w:rsidR="005418D4" w:rsidRPr="005418D4" w:rsidRDefault="005418D4" w:rsidP="005418D4">
      <w:pPr>
        <w:autoSpaceDE w:val="0"/>
        <w:autoSpaceDN w:val="0"/>
        <w:adjustRightInd w:val="0"/>
        <w:spacing w:line="360" w:lineRule="auto"/>
        <w:ind w:right="49"/>
        <w:jc w:val="both"/>
        <w:rPr>
          <w:rFonts w:ascii="Palatino Linotype" w:hAnsi="Palatino Linotype"/>
          <w:sz w:val="22"/>
        </w:rPr>
      </w:pPr>
    </w:p>
    <w:p w14:paraId="04D12505"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3.</w:t>
      </w:r>
      <w:r w:rsidRPr="005418D4">
        <w:rPr>
          <w:rFonts w:ascii="Palatino Linotype" w:eastAsia="Palatino Linotype" w:hAnsi="Palatino Linotype" w:cs="Palatino Linotype"/>
          <w:i/>
          <w:sz w:val="20"/>
          <w:szCs w:val="22"/>
        </w:rPr>
        <w:t xml:space="preserve"> Para los efectos de la presente Ley se entenderá por:</w:t>
      </w:r>
    </w:p>
    <w:p w14:paraId="6685D0E2"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p>
    <w:p w14:paraId="36AB646A"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b/>
          <w:i/>
          <w:sz w:val="20"/>
          <w:szCs w:val="22"/>
        </w:rPr>
        <w:t>XI. Documento</w:t>
      </w:r>
      <w:r w:rsidRPr="005418D4">
        <w:rPr>
          <w:rFonts w:ascii="Palatino Linotype" w:eastAsia="Palatino Linotype" w:hAnsi="Palatino Linotype" w:cs="Palatino Linotype"/>
          <w:i/>
          <w:sz w:val="20"/>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380914" w14:textId="25C2724D" w:rsidR="00CF3C11"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p>
    <w:p w14:paraId="2FA7AC8B" w14:textId="77777777" w:rsidR="00E34441" w:rsidRPr="005418D4" w:rsidRDefault="00E34441" w:rsidP="005418D4">
      <w:pPr>
        <w:tabs>
          <w:tab w:val="left" w:pos="851"/>
        </w:tabs>
        <w:spacing w:line="360" w:lineRule="auto"/>
        <w:ind w:left="851" w:right="901"/>
        <w:jc w:val="both"/>
        <w:rPr>
          <w:rFonts w:ascii="Palatino Linotype" w:eastAsia="Palatino Linotype" w:hAnsi="Palatino Linotype" w:cs="Palatino Linotype"/>
          <w:i/>
          <w:sz w:val="20"/>
          <w:szCs w:val="22"/>
        </w:rPr>
      </w:pPr>
    </w:p>
    <w:p w14:paraId="34A3F85C" w14:textId="4DF08B7C"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023E246" w14:textId="77777777" w:rsidR="00D67391" w:rsidRPr="005418D4" w:rsidRDefault="00D67391" w:rsidP="005418D4">
      <w:pPr>
        <w:autoSpaceDE w:val="0"/>
        <w:autoSpaceDN w:val="0"/>
        <w:adjustRightInd w:val="0"/>
        <w:spacing w:line="360" w:lineRule="auto"/>
        <w:ind w:right="49"/>
        <w:jc w:val="both"/>
        <w:rPr>
          <w:rFonts w:ascii="Palatino Linotype" w:hAnsi="Palatino Linotype"/>
          <w:sz w:val="22"/>
        </w:rPr>
      </w:pPr>
    </w:p>
    <w:p w14:paraId="117BB1AC"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b/>
          <w:i/>
          <w:sz w:val="20"/>
          <w:szCs w:val="22"/>
        </w:rPr>
      </w:pPr>
      <w:r w:rsidRPr="005418D4">
        <w:rPr>
          <w:rFonts w:ascii="Palatino Linotype" w:hAnsi="Palatino Linotype" w:cs="Arial"/>
          <w:b/>
          <w:sz w:val="22"/>
          <w:szCs w:val="22"/>
          <w:lang w:eastAsia="es-MX"/>
        </w:rPr>
        <w:t>“</w:t>
      </w:r>
      <w:r w:rsidRPr="005418D4">
        <w:rPr>
          <w:rFonts w:ascii="Palatino Linotype" w:eastAsia="Palatino Linotype" w:hAnsi="Palatino Linotype" w:cs="Palatino Linotype"/>
          <w:b/>
          <w:i/>
          <w:sz w:val="20"/>
          <w:szCs w:val="22"/>
        </w:rPr>
        <w:t>CRITERIO 0002-11</w:t>
      </w:r>
    </w:p>
    <w:p w14:paraId="515BDB91"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b/>
          <w:i/>
          <w:sz w:val="20"/>
          <w:szCs w:val="22"/>
        </w:rPr>
        <w:t xml:space="preserve">INFORMACIÓN PÚBLICA, CONCEPTO DE, EN MATERIA DE TRANSPARENCIA. INTERPRETACIÓN SISTEMÁTICA DE LOS ARTÍCULOS 2°, </w:t>
      </w:r>
      <w:r w:rsidRPr="005418D4">
        <w:rPr>
          <w:rFonts w:ascii="Palatino Linotype" w:eastAsia="Palatino Linotype" w:hAnsi="Palatino Linotype" w:cs="Palatino Linotype"/>
          <w:b/>
          <w:i/>
          <w:sz w:val="20"/>
          <w:szCs w:val="22"/>
        </w:rPr>
        <w:lastRenderedPageBreak/>
        <w:t xml:space="preserve">FRACCIÓN V, XV, Y XVI, 3°, 4°, 11 Y 41. </w:t>
      </w:r>
      <w:r w:rsidRPr="005418D4">
        <w:rPr>
          <w:rFonts w:ascii="Palatino Linotype" w:eastAsia="Palatino Linotype" w:hAnsi="Palatino Linotype" w:cs="Palatino Linotype"/>
          <w:i/>
          <w:sz w:val="20"/>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031979"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En consecuencia el acceso a la información se refiere a que se cumplan cualquiera de los siguientes tres supuestos:</w:t>
      </w:r>
    </w:p>
    <w:p w14:paraId="2DF521F5"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1) Que se trate de información registrada en cualquier soporte documental, que en ejercicio de las atribuciones conferidas, sea generada por los Sujetos Obligados;</w:t>
      </w:r>
    </w:p>
    <w:p w14:paraId="3024762B" w14:textId="3E45727E"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specVanish/>
        </w:rPr>
      </w:pPr>
      <w:r w:rsidRPr="005418D4">
        <w:rPr>
          <w:rFonts w:ascii="Palatino Linotype" w:eastAsia="Palatino Linotype" w:hAnsi="Palatino Linotype" w:cs="Palatino Linotype"/>
          <w:i/>
          <w:sz w:val="20"/>
          <w:szCs w:val="22"/>
        </w:rPr>
        <w:t>2) Que se trate de información registrada en cualquier soporte documental, que en ejercicio de las atribuciones conferidas, sea administrada por los Sujetos Obligados, y</w:t>
      </w:r>
    </w:p>
    <w:p w14:paraId="01D61203"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 xml:space="preserve"> 3) Que se trate de información registrada en cualquier soporte documental, que en ejercicio de las atribuciones conferidas, se encuentre en posesión de los Sujetos Obligados.” (SIC)</w:t>
      </w:r>
    </w:p>
    <w:p w14:paraId="77F62241" w14:textId="77777777" w:rsidR="005418D4" w:rsidRDefault="005418D4" w:rsidP="005418D4">
      <w:pPr>
        <w:autoSpaceDE w:val="0"/>
        <w:autoSpaceDN w:val="0"/>
        <w:adjustRightInd w:val="0"/>
        <w:spacing w:line="360" w:lineRule="auto"/>
        <w:ind w:right="49"/>
        <w:jc w:val="both"/>
        <w:rPr>
          <w:rFonts w:ascii="Palatino Linotype" w:hAnsi="Palatino Linotype"/>
          <w:sz w:val="22"/>
        </w:rPr>
      </w:pPr>
    </w:p>
    <w:p w14:paraId="0C7DAE06" w14:textId="0D509E74"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14:paraId="68DB8F2C" w14:textId="77777777" w:rsidR="00863025" w:rsidRPr="005418D4" w:rsidRDefault="00863025" w:rsidP="005418D4">
      <w:pPr>
        <w:autoSpaceDE w:val="0"/>
        <w:autoSpaceDN w:val="0"/>
        <w:adjustRightInd w:val="0"/>
        <w:spacing w:line="360" w:lineRule="auto"/>
        <w:ind w:right="49"/>
        <w:jc w:val="both"/>
        <w:rPr>
          <w:rFonts w:ascii="Palatino Linotype" w:hAnsi="Palatino Linotype"/>
          <w:sz w:val="22"/>
        </w:rPr>
      </w:pPr>
    </w:p>
    <w:p w14:paraId="4C89C0BF"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18.</w:t>
      </w:r>
      <w:r w:rsidRPr="005418D4">
        <w:rPr>
          <w:rFonts w:ascii="Palatino Linotype" w:eastAsia="Palatino Linotype" w:hAnsi="Palatino Linotype" w:cs="Palatino Linotype"/>
          <w:i/>
          <w:sz w:val="20"/>
          <w:szCs w:val="22"/>
        </w:rPr>
        <w:t xml:space="preserve"> Los sujetos obligados deberán documentar todo acto que derive del ejercicio de sus facultades, competencias o funciones, considerando desde su origen la eventual publicidad y reutilización de la información que generen.” (Sic)</w:t>
      </w:r>
    </w:p>
    <w:p w14:paraId="528F0914" w14:textId="77777777" w:rsidR="005418D4" w:rsidRDefault="005418D4" w:rsidP="005418D4">
      <w:pPr>
        <w:autoSpaceDE w:val="0"/>
        <w:autoSpaceDN w:val="0"/>
        <w:adjustRightInd w:val="0"/>
        <w:spacing w:line="360" w:lineRule="auto"/>
        <w:ind w:right="49"/>
        <w:jc w:val="both"/>
        <w:rPr>
          <w:rFonts w:ascii="Palatino Linotype" w:hAnsi="Palatino Linotype"/>
          <w:sz w:val="22"/>
        </w:rPr>
      </w:pPr>
    </w:p>
    <w:p w14:paraId="5BB4426E" w14:textId="393A375F" w:rsidR="00CF3C11" w:rsidRDefault="00CF3C11" w:rsidP="005418D4">
      <w:pPr>
        <w:autoSpaceDE w:val="0"/>
        <w:autoSpaceDN w:val="0"/>
        <w:adjustRightInd w:val="0"/>
        <w:spacing w:line="360" w:lineRule="auto"/>
        <w:ind w:right="49"/>
        <w:jc w:val="both"/>
        <w:rPr>
          <w:rFonts w:ascii="Palatino Linotype" w:hAnsi="Palatino Linotype"/>
          <w:sz w:val="22"/>
        </w:rPr>
      </w:pPr>
      <w:r w:rsidRPr="005418D4">
        <w:rPr>
          <w:rFonts w:ascii="Palatino Linotype" w:hAnsi="Palatino Linotype"/>
          <w:sz w:val="22"/>
        </w:rPr>
        <w:t>De la misma forma, se cita el contenido del artículo 160 de la Ley General de Transparencia y Acceso a la Información Pública que a la letra dispone:</w:t>
      </w:r>
    </w:p>
    <w:p w14:paraId="096B0B5C" w14:textId="77777777" w:rsidR="005418D4" w:rsidRPr="005418D4" w:rsidRDefault="005418D4" w:rsidP="005418D4">
      <w:pPr>
        <w:autoSpaceDE w:val="0"/>
        <w:autoSpaceDN w:val="0"/>
        <w:adjustRightInd w:val="0"/>
        <w:spacing w:line="360" w:lineRule="auto"/>
        <w:ind w:right="49"/>
        <w:jc w:val="both"/>
        <w:rPr>
          <w:rFonts w:ascii="Palatino Linotype" w:hAnsi="Palatino Linotype"/>
          <w:sz w:val="22"/>
        </w:rPr>
      </w:pPr>
    </w:p>
    <w:p w14:paraId="2D656BD3" w14:textId="77777777" w:rsidR="00CF3C11" w:rsidRPr="005418D4" w:rsidRDefault="00CF3C11" w:rsidP="005418D4">
      <w:pPr>
        <w:tabs>
          <w:tab w:val="left" w:pos="851"/>
        </w:tabs>
        <w:spacing w:line="360" w:lineRule="auto"/>
        <w:ind w:left="851" w:right="901"/>
        <w:jc w:val="both"/>
        <w:rPr>
          <w:rFonts w:ascii="Palatino Linotype" w:eastAsia="Palatino Linotype" w:hAnsi="Palatino Linotype" w:cs="Palatino Linotype"/>
          <w:i/>
          <w:sz w:val="20"/>
          <w:szCs w:val="22"/>
        </w:rPr>
      </w:pPr>
      <w:r w:rsidRPr="005418D4">
        <w:rPr>
          <w:rFonts w:ascii="Palatino Linotype" w:eastAsia="Palatino Linotype" w:hAnsi="Palatino Linotype" w:cs="Palatino Linotype"/>
          <w:i/>
          <w:sz w:val="20"/>
          <w:szCs w:val="22"/>
        </w:rPr>
        <w:t>“</w:t>
      </w:r>
      <w:r w:rsidRPr="005418D4">
        <w:rPr>
          <w:rFonts w:ascii="Palatino Linotype" w:eastAsia="Palatino Linotype" w:hAnsi="Palatino Linotype" w:cs="Palatino Linotype"/>
          <w:b/>
          <w:i/>
          <w:sz w:val="20"/>
          <w:szCs w:val="22"/>
        </w:rPr>
        <w:t>Artículo 160.</w:t>
      </w:r>
      <w:r w:rsidRPr="005418D4">
        <w:rPr>
          <w:rFonts w:ascii="Palatino Linotype" w:eastAsia="Palatino Linotype" w:hAnsi="Palatino Linotype" w:cs="Palatino Linotype"/>
          <w:i/>
          <w:sz w:val="20"/>
          <w:szCs w:val="22"/>
        </w:rPr>
        <w:t xml:space="preserve"> Los sujetos obligados deberán otorgar acceso a los documentos que se encuentren en sus archivos o que estén obligados a documentar de acuerdo con sus facultades, </w:t>
      </w:r>
      <w:r w:rsidRPr="005418D4">
        <w:rPr>
          <w:rFonts w:ascii="Palatino Linotype" w:eastAsia="Palatino Linotype" w:hAnsi="Palatino Linotype" w:cs="Palatino Linotype"/>
          <w:i/>
          <w:sz w:val="20"/>
          <w:szCs w:val="22"/>
        </w:rPr>
        <w:lastRenderedPageBreak/>
        <w:t>competencias o funciones en el formato que el solicitante manifieste, de entre aquellos formatos existentes, conforme a las características físicas de la información o del lugar donde se encuentre así lo permita” (Sic)</w:t>
      </w:r>
    </w:p>
    <w:p w14:paraId="6EB744A8" w14:textId="77777777" w:rsidR="00CF3C11" w:rsidRPr="00887E2C" w:rsidRDefault="00CF3C11" w:rsidP="00624F14">
      <w:pPr>
        <w:autoSpaceDE w:val="0"/>
        <w:autoSpaceDN w:val="0"/>
        <w:adjustRightInd w:val="0"/>
        <w:spacing w:line="360" w:lineRule="auto"/>
        <w:ind w:right="49"/>
        <w:jc w:val="both"/>
        <w:rPr>
          <w:rFonts w:ascii="Palatino Linotype" w:hAnsi="Palatino Linotype"/>
          <w:sz w:val="22"/>
        </w:rPr>
      </w:pPr>
    </w:p>
    <w:p w14:paraId="22382506" w14:textId="10DF3067" w:rsidR="007A6821" w:rsidRDefault="007A6821" w:rsidP="00624F14">
      <w:pPr>
        <w:autoSpaceDE w:val="0"/>
        <w:autoSpaceDN w:val="0"/>
        <w:adjustRightInd w:val="0"/>
        <w:spacing w:line="360" w:lineRule="auto"/>
        <w:ind w:right="49"/>
        <w:jc w:val="both"/>
        <w:rPr>
          <w:rFonts w:ascii="Palatino Linotype" w:hAnsi="Palatino Linotype"/>
          <w:sz w:val="22"/>
        </w:rPr>
      </w:pPr>
      <w:r w:rsidRPr="00887E2C">
        <w:rPr>
          <w:rFonts w:ascii="Palatino Linotype" w:hAnsi="Palatino Linotype"/>
          <w:sz w:val="22"/>
        </w:rPr>
        <w:t xml:space="preserve">Bajo ese orden de ideas, conviene traer a contexto lo establecido en los artículos 1, fracción III, 20, 24 y </w:t>
      </w:r>
      <w:r w:rsidR="005418D4" w:rsidRPr="00887E2C">
        <w:rPr>
          <w:rFonts w:ascii="Palatino Linotype" w:hAnsi="Palatino Linotype"/>
          <w:sz w:val="22"/>
        </w:rPr>
        <w:t>54, de</w:t>
      </w:r>
      <w:r w:rsidRPr="00887E2C">
        <w:rPr>
          <w:rFonts w:ascii="Palatino Linotype" w:hAnsi="Palatino Linotype"/>
          <w:sz w:val="22"/>
        </w:rPr>
        <w:t xml:space="preserve"> la Ley de Contratación Pública del Estado de México y Municipios, los cuales se transcriben a continuación:</w:t>
      </w:r>
    </w:p>
    <w:p w14:paraId="1DB5814B" w14:textId="77777777" w:rsidR="005418D4" w:rsidRPr="00887E2C" w:rsidRDefault="005418D4" w:rsidP="00624F14">
      <w:pPr>
        <w:autoSpaceDE w:val="0"/>
        <w:autoSpaceDN w:val="0"/>
        <w:adjustRightInd w:val="0"/>
        <w:spacing w:line="360" w:lineRule="auto"/>
        <w:ind w:right="49"/>
        <w:jc w:val="both"/>
        <w:rPr>
          <w:rFonts w:ascii="Palatino Linotype" w:hAnsi="Palatino Linotype"/>
          <w:sz w:val="22"/>
        </w:rPr>
      </w:pPr>
    </w:p>
    <w:p w14:paraId="5EF12CF9"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w:t>
      </w:r>
      <w:r w:rsidRPr="00887E2C">
        <w:rPr>
          <w:rFonts w:ascii="Palatino Linotype" w:hAnsi="Palatino Linotype" w:cs="Arial"/>
          <w:b/>
          <w:i/>
          <w:sz w:val="20"/>
          <w:szCs w:val="22"/>
        </w:rPr>
        <w:t>Artículo 1.-</w:t>
      </w:r>
      <w:r w:rsidRPr="00887E2C">
        <w:rPr>
          <w:rFonts w:ascii="Palatino Linotype" w:hAnsi="Palatino Linotype" w:cs="Arial"/>
          <w:i/>
          <w:sz w:val="20"/>
          <w:szCs w:val="22"/>
        </w:rPr>
        <w:t xml:space="preserve"> Esta Ley tiene por objeto </w:t>
      </w:r>
      <w:r w:rsidRPr="00887E2C">
        <w:rPr>
          <w:rFonts w:ascii="Palatino Linotype" w:hAnsi="Palatino Linotype" w:cs="Arial"/>
          <w:b/>
          <w:i/>
          <w:sz w:val="20"/>
          <w:szCs w:val="22"/>
        </w:rPr>
        <w:t>regular los actos relativos a</w:t>
      </w:r>
      <w:r w:rsidRPr="00887E2C">
        <w:rPr>
          <w:rFonts w:ascii="Palatino Linotype" w:hAnsi="Palatino Linotype" w:cs="Arial"/>
          <w:i/>
          <w:sz w:val="20"/>
          <w:szCs w:val="22"/>
        </w:rPr>
        <w:t xml:space="preserve"> la planeación, programación, presupuestación, ejecución y </w:t>
      </w:r>
      <w:r w:rsidRPr="00887E2C">
        <w:rPr>
          <w:rFonts w:ascii="Palatino Linotype" w:hAnsi="Palatino Linotype" w:cs="Arial"/>
          <w:b/>
          <w:i/>
          <w:sz w:val="20"/>
          <w:szCs w:val="22"/>
        </w:rPr>
        <w:t>control de la adquisición, enajenación y arrendamiento de bienes</w:t>
      </w:r>
      <w:r w:rsidRPr="00887E2C">
        <w:rPr>
          <w:rFonts w:ascii="Palatino Linotype" w:hAnsi="Palatino Linotype" w:cs="Arial"/>
          <w:i/>
          <w:sz w:val="20"/>
          <w:szCs w:val="22"/>
        </w:rPr>
        <w:t>, y la contratación de servicios de cualquier naturaleza, que realicen:</w:t>
      </w:r>
    </w:p>
    <w:p w14:paraId="65572578"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w:t>
      </w:r>
    </w:p>
    <w:p w14:paraId="5B4564B4" w14:textId="77777777" w:rsidR="007A6821" w:rsidRPr="00887E2C" w:rsidRDefault="007A6821" w:rsidP="00624F14">
      <w:pPr>
        <w:spacing w:line="360" w:lineRule="auto"/>
        <w:ind w:left="851" w:right="902"/>
        <w:jc w:val="both"/>
        <w:rPr>
          <w:rFonts w:ascii="Palatino Linotype" w:hAnsi="Palatino Linotype" w:cs="Arial"/>
          <w:b/>
          <w:i/>
          <w:sz w:val="20"/>
          <w:szCs w:val="22"/>
        </w:rPr>
      </w:pPr>
      <w:r w:rsidRPr="00887E2C">
        <w:rPr>
          <w:rFonts w:ascii="Palatino Linotype" w:hAnsi="Palatino Linotype" w:cs="Arial"/>
          <w:b/>
          <w:i/>
          <w:sz w:val="20"/>
          <w:szCs w:val="22"/>
        </w:rPr>
        <w:t>III. Los ayuntamientos de los municipios del Estado.</w:t>
      </w:r>
    </w:p>
    <w:p w14:paraId="10352DC0" w14:textId="77777777" w:rsidR="007A6821" w:rsidRPr="00887E2C" w:rsidRDefault="007A6821" w:rsidP="00624F14">
      <w:pPr>
        <w:spacing w:line="360" w:lineRule="auto"/>
        <w:ind w:left="851" w:right="902"/>
        <w:jc w:val="both"/>
        <w:rPr>
          <w:rFonts w:ascii="Palatino Linotype" w:hAnsi="Palatino Linotype" w:cs="Arial"/>
          <w:i/>
          <w:sz w:val="20"/>
          <w:szCs w:val="22"/>
        </w:rPr>
      </w:pPr>
    </w:p>
    <w:p w14:paraId="6328E8DA"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b/>
          <w:i/>
          <w:sz w:val="20"/>
          <w:szCs w:val="22"/>
        </w:rPr>
        <w:t>Artículo 20.-</w:t>
      </w:r>
      <w:r w:rsidRPr="00887E2C">
        <w:rPr>
          <w:rFonts w:ascii="Palatino Linotype" w:hAnsi="Palatino Linotype" w:cs="Arial"/>
          <w:i/>
          <w:sz w:val="20"/>
          <w:szCs w:val="22"/>
        </w:rPr>
        <w:t xml:space="preserve"> La Secretaría y </w:t>
      </w:r>
      <w:r w:rsidRPr="00887E2C">
        <w:rPr>
          <w:rFonts w:ascii="Palatino Linotype" w:hAnsi="Palatino Linotype" w:cs="Arial"/>
          <w:b/>
          <w:i/>
          <w:sz w:val="20"/>
          <w:szCs w:val="22"/>
        </w:rPr>
        <w:t>los ayuntamientos establecerán y operarán el catálogo de bienes</w:t>
      </w:r>
      <w:r w:rsidRPr="00887E2C">
        <w:rPr>
          <w:rFonts w:ascii="Palatino Linotype" w:hAnsi="Palatino Linotype" w:cs="Arial"/>
          <w:i/>
          <w:sz w:val="20"/>
          <w:szCs w:val="22"/>
        </w:rPr>
        <w:t xml:space="preserve"> y servicios, de acuerdo con la reglamentación respectiva. Establecerán y operarán también el catálogo de bienes y servicios específicos que sean susceptibles de ser adquiridos o contratados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3379E5B0" w14:textId="77777777" w:rsidR="007A6821" w:rsidRPr="00887E2C" w:rsidRDefault="007A6821" w:rsidP="00624F14">
      <w:pPr>
        <w:spacing w:line="360" w:lineRule="auto"/>
        <w:ind w:left="851" w:right="902"/>
        <w:jc w:val="both"/>
        <w:rPr>
          <w:rFonts w:ascii="Palatino Linotype" w:hAnsi="Palatino Linotype" w:cs="Arial"/>
          <w:i/>
          <w:sz w:val="20"/>
          <w:szCs w:val="22"/>
        </w:rPr>
      </w:pPr>
    </w:p>
    <w:p w14:paraId="666D5964" w14:textId="77777777" w:rsidR="007A6821" w:rsidRPr="00887E2C" w:rsidRDefault="007A6821" w:rsidP="00624F14">
      <w:pPr>
        <w:spacing w:line="360" w:lineRule="auto"/>
        <w:ind w:left="851" w:right="902"/>
        <w:jc w:val="both"/>
        <w:rPr>
          <w:rFonts w:ascii="Palatino Linotype" w:hAnsi="Palatino Linotype" w:cs="Arial"/>
          <w:b/>
          <w:i/>
          <w:sz w:val="20"/>
          <w:szCs w:val="22"/>
        </w:rPr>
      </w:pPr>
      <w:r w:rsidRPr="00887E2C">
        <w:rPr>
          <w:rFonts w:ascii="Palatino Linotype" w:hAnsi="Palatino Linotype" w:cs="Arial"/>
          <w:b/>
          <w:i/>
          <w:sz w:val="20"/>
          <w:szCs w:val="22"/>
        </w:rPr>
        <w:t>Artículo 24.- El comité de arrendamientos, adquisiciones de inmuebles y enajenaciones tendrá las funciones siguientes:</w:t>
      </w:r>
    </w:p>
    <w:p w14:paraId="0C0B43F9"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I. Dictaminar sobre la procedencia de los casos de excepción al procedimiento de licitación pública, tratándose de adquisición de inmuebles y arrendamientos.</w:t>
      </w:r>
    </w:p>
    <w:p w14:paraId="273B577D"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lastRenderedPageBreak/>
        <w:t>II. Participar en los procedimientos de licitación, invitación restringida y adjudicación directa, hasta dejarlos en estado de dictar el fallo correspondiente, tratándose de adquisición de inmuebles y arrendamientos.</w:t>
      </w:r>
    </w:p>
    <w:p w14:paraId="2A981A72"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III. Emitir los dictámenes de adjudicación, tratándose de adquisiciones de inmuebles y arrendamientos.</w:t>
      </w:r>
    </w:p>
    <w:p w14:paraId="283B5E8F" w14:textId="77777777" w:rsidR="007A6821" w:rsidRPr="00887E2C" w:rsidRDefault="007A6821" w:rsidP="00624F14">
      <w:pPr>
        <w:spacing w:line="360" w:lineRule="auto"/>
        <w:ind w:left="851" w:right="902"/>
        <w:jc w:val="both"/>
        <w:rPr>
          <w:rFonts w:ascii="Palatino Linotype" w:hAnsi="Palatino Linotype" w:cs="Arial"/>
          <w:b/>
          <w:i/>
          <w:sz w:val="20"/>
          <w:szCs w:val="22"/>
        </w:rPr>
      </w:pPr>
      <w:r w:rsidRPr="00887E2C">
        <w:rPr>
          <w:rFonts w:ascii="Palatino Linotype" w:hAnsi="Palatino Linotype" w:cs="Arial"/>
          <w:b/>
          <w:i/>
          <w:sz w:val="20"/>
          <w:szCs w:val="22"/>
        </w:rPr>
        <w:t>IV. Participar en los procedimientos de subasta pública, hasta dejarlos en estado de dictar el fallo de adjudicación.</w:t>
      </w:r>
    </w:p>
    <w:p w14:paraId="08A750F2"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V. Las demás que establezca el reglamento de esta Ley.</w:t>
      </w:r>
    </w:p>
    <w:p w14:paraId="15D901D9" w14:textId="77777777" w:rsidR="007A6821" w:rsidRPr="00887E2C" w:rsidRDefault="007A6821" w:rsidP="00624F14">
      <w:pPr>
        <w:spacing w:line="360" w:lineRule="auto"/>
        <w:ind w:left="851" w:right="902"/>
        <w:jc w:val="both"/>
        <w:rPr>
          <w:rFonts w:ascii="Palatino Linotype" w:hAnsi="Palatino Linotype" w:cs="Arial"/>
          <w:b/>
          <w:i/>
          <w:sz w:val="20"/>
          <w:szCs w:val="22"/>
        </w:rPr>
      </w:pPr>
    </w:p>
    <w:p w14:paraId="4128A292" w14:textId="77777777" w:rsidR="007A6821" w:rsidRPr="00887E2C" w:rsidRDefault="007A6821" w:rsidP="00624F14">
      <w:pPr>
        <w:spacing w:line="360" w:lineRule="auto"/>
        <w:ind w:left="851" w:right="902"/>
        <w:jc w:val="both"/>
        <w:rPr>
          <w:rFonts w:ascii="Palatino Linotype" w:hAnsi="Palatino Linotype" w:cs="Arial"/>
          <w:b/>
          <w:i/>
          <w:sz w:val="20"/>
          <w:szCs w:val="22"/>
          <w:u w:val="single"/>
        </w:rPr>
      </w:pPr>
      <w:r w:rsidRPr="00887E2C">
        <w:rPr>
          <w:rFonts w:ascii="Palatino Linotype" w:hAnsi="Palatino Linotype" w:cs="Arial"/>
          <w:b/>
          <w:i/>
          <w:sz w:val="20"/>
          <w:szCs w:val="22"/>
          <w:u w:val="single"/>
        </w:rPr>
        <w:t>Artículo 54.- Las enajenaciones de bienes muebles e inmuebles del Estado y de los municipios se realizarán a través de subasta pública.</w:t>
      </w:r>
    </w:p>
    <w:p w14:paraId="4EF1927B" w14:textId="77777777" w:rsidR="007A6821" w:rsidRPr="00887E2C" w:rsidRDefault="007A6821" w:rsidP="00624F14">
      <w:pPr>
        <w:spacing w:line="360" w:lineRule="auto"/>
        <w:ind w:left="851" w:right="902"/>
        <w:jc w:val="both"/>
        <w:rPr>
          <w:rFonts w:ascii="Palatino Linotype" w:hAnsi="Palatino Linotype" w:cs="Arial"/>
          <w:i/>
          <w:sz w:val="20"/>
          <w:szCs w:val="22"/>
        </w:rPr>
      </w:pPr>
      <w:r w:rsidRPr="00887E2C">
        <w:rPr>
          <w:rFonts w:ascii="Palatino Linotype" w:hAnsi="Palatino Linotype" w:cs="Arial"/>
          <w:i/>
          <w:sz w:val="20"/>
          <w:szCs w:val="22"/>
        </w:rPr>
        <w:t>(Énfasis añadido)</w:t>
      </w:r>
    </w:p>
    <w:p w14:paraId="5A0C10F4" w14:textId="0585374B" w:rsidR="00A6080D" w:rsidRDefault="00A6080D" w:rsidP="00624F14">
      <w:pPr>
        <w:autoSpaceDE w:val="0"/>
        <w:autoSpaceDN w:val="0"/>
        <w:adjustRightInd w:val="0"/>
        <w:spacing w:line="360" w:lineRule="auto"/>
        <w:ind w:right="50"/>
        <w:jc w:val="both"/>
        <w:rPr>
          <w:rFonts w:ascii="Palatino Linotype" w:hAnsi="Palatino Linotype" w:cs="Arial"/>
          <w:sz w:val="22"/>
        </w:rPr>
      </w:pPr>
    </w:p>
    <w:p w14:paraId="62A6EEF1" w14:textId="77EF4318" w:rsidR="00E34441" w:rsidRDefault="00E34441" w:rsidP="00624F14">
      <w:pPr>
        <w:autoSpaceDE w:val="0"/>
        <w:autoSpaceDN w:val="0"/>
        <w:adjustRightInd w:val="0"/>
        <w:spacing w:line="360" w:lineRule="auto"/>
        <w:ind w:right="50"/>
        <w:jc w:val="both"/>
        <w:rPr>
          <w:rFonts w:ascii="Palatino Linotype" w:hAnsi="Palatino Linotype" w:cs="Arial"/>
          <w:sz w:val="22"/>
        </w:rPr>
      </w:pPr>
      <w:r>
        <w:rPr>
          <w:rFonts w:ascii="Palatino Linotype" w:hAnsi="Palatino Linotype" w:cs="Arial"/>
          <w:sz w:val="22"/>
        </w:rPr>
        <w:t xml:space="preserve">Por su parte el Reglamento de la Ley de Contratación Pública del Estado de México y Municipios, </w:t>
      </w:r>
      <w:r w:rsidR="00970565">
        <w:rPr>
          <w:rFonts w:ascii="Palatino Linotype" w:hAnsi="Palatino Linotype" w:cs="Arial"/>
          <w:sz w:val="22"/>
        </w:rPr>
        <w:t>respecto el Comité de Arrendamientos, Adquisiciones de inmuebles y enajenaciones establece lo siguiente:</w:t>
      </w:r>
    </w:p>
    <w:p w14:paraId="30EDE0F0" w14:textId="4CB94F0A" w:rsidR="00970565" w:rsidRDefault="00970565" w:rsidP="00624F14">
      <w:pPr>
        <w:autoSpaceDE w:val="0"/>
        <w:autoSpaceDN w:val="0"/>
        <w:adjustRightInd w:val="0"/>
        <w:spacing w:line="360" w:lineRule="auto"/>
        <w:ind w:right="50"/>
        <w:jc w:val="both"/>
        <w:rPr>
          <w:rFonts w:ascii="Palatino Linotype" w:hAnsi="Palatino Linotype" w:cs="Arial"/>
          <w:sz w:val="22"/>
        </w:rPr>
      </w:pPr>
    </w:p>
    <w:p w14:paraId="7C1A1828" w14:textId="044ED8C0" w:rsid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b/>
          <w:i/>
          <w:sz w:val="20"/>
          <w:szCs w:val="22"/>
        </w:rPr>
        <w:t>Artículo 51.-</w:t>
      </w:r>
      <w:r w:rsidRPr="00970565">
        <w:rPr>
          <w:rFonts w:ascii="Palatino Linotype" w:hAnsi="Palatino Linotype" w:cs="Arial"/>
          <w:i/>
          <w:sz w:val="20"/>
          <w:szCs w:val="22"/>
        </w:rPr>
        <w:t xml:space="preserve"> La Secretaría, organismos auxiliares, tribunales administrativos y municipios, se auxiliarán de un Comité de Arrendamientos, Adquisiciones de Inmuebles y Enajenaciones, para el desahogo de sus procedimientos, con arreglo a lo establecido en la Ley.</w:t>
      </w:r>
    </w:p>
    <w:p w14:paraId="5FDDF5F2" w14:textId="0EAB0ABD" w:rsidR="00970565" w:rsidRDefault="00970565" w:rsidP="00970565">
      <w:pPr>
        <w:spacing w:line="360" w:lineRule="auto"/>
        <w:ind w:left="851" w:right="902"/>
        <w:jc w:val="both"/>
        <w:rPr>
          <w:rFonts w:ascii="Palatino Linotype" w:hAnsi="Palatino Linotype" w:cs="Arial"/>
          <w:i/>
          <w:sz w:val="20"/>
          <w:szCs w:val="22"/>
        </w:rPr>
      </w:pPr>
    </w:p>
    <w:p w14:paraId="3C17F0E6" w14:textId="47AEF2AC"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b/>
          <w:i/>
          <w:sz w:val="20"/>
          <w:szCs w:val="22"/>
        </w:rPr>
        <w:t>Artículo 52</w:t>
      </w:r>
      <w:r w:rsidRPr="00970565">
        <w:rPr>
          <w:rFonts w:ascii="Palatino Linotype" w:hAnsi="Palatino Linotype" w:cs="Arial"/>
          <w:i/>
          <w:sz w:val="20"/>
          <w:szCs w:val="22"/>
        </w:rPr>
        <w:t>.- El Comité de Arrendamientos, Adquisiciones de Inmuebles y Enajenaciones, se</w:t>
      </w:r>
      <w:r>
        <w:rPr>
          <w:rFonts w:ascii="Palatino Linotype" w:hAnsi="Palatino Linotype" w:cs="Arial"/>
          <w:i/>
          <w:sz w:val="20"/>
          <w:szCs w:val="22"/>
        </w:rPr>
        <w:t xml:space="preserve"> </w:t>
      </w:r>
      <w:r w:rsidRPr="00970565">
        <w:rPr>
          <w:rFonts w:ascii="Palatino Linotype" w:hAnsi="Palatino Linotype" w:cs="Arial"/>
          <w:i/>
          <w:sz w:val="20"/>
          <w:szCs w:val="22"/>
        </w:rPr>
        <w:t>integrará por:</w:t>
      </w:r>
    </w:p>
    <w:p w14:paraId="7EFB46AF" w14:textId="3E1575AB"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I. El titular del área encargada del control patrimonial de la Secretaría, en el caso de las</w:t>
      </w:r>
      <w:r>
        <w:rPr>
          <w:rFonts w:ascii="Palatino Linotype" w:hAnsi="Palatino Linotype" w:cs="Arial"/>
          <w:i/>
          <w:sz w:val="20"/>
          <w:szCs w:val="22"/>
        </w:rPr>
        <w:t xml:space="preserve"> </w:t>
      </w:r>
      <w:r w:rsidRPr="00970565">
        <w:rPr>
          <w:rFonts w:ascii="Palatino Linotype" w:hAnsi="Palatino Linotype" w:cs="Arial"/>
          <w:i/>
          <w:sz w:val="20"/>
          <w:szCs w:val="22"/>
        </w:rPr>
        <w:t>organismos auxiliares, tribunales administrativos o municipios, el encargado del control</w:t>
      </w:r>
      <w:r>
        <w:rPr>
          <w:rFonts w:ascii="Palatino Linotype" w:hAnsi="Palatino Linotype" w:cs="Arial"/>
          <w:i/>
          <w:sz w:val="20"/>
          <w:szCs w:val="22"/>
        </w:rPr>
        <w:t xml:space="preserve"> </w:t>
      </w:r>
      <w:r w:rsidRPr="00970565">
        <w:rPr>
          <w:rFonts w:ascii="Palatino Linotype" w:hAnsi="Palatino Linotype" w:cs="Arial"/>
          <w:i/>
          <w:sz w:val="20"/>
          <w:szCs w:val="22"/>
        </w:rPr>
        <w:t>patrimonial, quien fungirá como presidente;</w:t>
      </w:r>
    </w:p>
    <w:p w14:paraId="114DEF5A" w14:textId="0DB18400"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lastRenderedPageBreak/>
        <w:t>II. Un representante de la Consejería Jurídica o del área jurídica respectiva, de la entidad,</w:t>
      </w:r>
      <w:r>
        <w:rPr>
          <w:rFonts w:ascii="Palatino Linotype" w:hAnsi="Palatino Linotype" w:cs="Arial"/>
          <w:i/>
          <w:sz w:val="20"/>
          <w:szCs w:val="22"/>
        </w:rPr>
        <w:t xml:space="preserve"> </w:t>
      </w:r>
      <w:r w:rsidRPr="00970565">
        <w:rPr>
          <w:rFonts w:ascii="Palatino Linotype" w:hAnsi="Palatino Linotype" w:cs="Arial"/>
          <w:i/>
          <w:sz w:val="20"/>
          <w:szCs w:val="22"/>
        </w:rPr>
        <w:t>tribunal administrativo o municipio o quién lleve a cabo las funciones de esta naturaleza, con</w:t>
      </w:r>
      <w:r>
        <w:rPr>
          <w:rFonts w:ascii="Palatino Linotype" w:hAnsi="Palatino Linotype" w:cs="Arial"/>
          <w:i/>
          <w:sz w:val="20"/>
          <w:szCs w:val="22"/>
        </w:rPr>
        <w:t xml:space="preserve"> </w:t>
      </w:r>
      <w:r w:rsidRPr="00970565">
        <w:rPr>
          <w:rFonts w:ascii="Palatino Linotype" w:hAnsi="Palatino Linotype" w:cs="Arial"/>
          <w:i/>
          <w:sz w:val="20"/>
          <w:szCs w:val="22"/>
        </w:rPr>
        <w:t>funciones de vocal;</w:t>
      </w:r>
    </w:p>
    <w:p w14:paraId="49432AAC" w14:textId="4F71AFE8"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III. Un representante del área financiera de la Secretaría, entidad, tribunal administrativo o</w:t>
      </w:r>
      <w:r>
        <w:rPr>
          <w:rFonts w:ascii="Palatino Linotype" w:hAnsi="Palatino Linotype" w:cs="Arial"/>
          <w:i/>
          <w:sz w:val="20"/>
          <w:szCs w:val="22"/>
        </w:rPr>
        <w:t xml:space="preserve"> </w:t>
      </w:r>
      <w:r w:rsidRPr="00970565">
        <w:rPr>
          <w:rFonts w:ascii="Palatino Linotype" w:hAnsi="Palatino Linotype" w:cs="Arial"/>
          <w:i/>
          <w:sz w:val="20"/>
          <w:szCs w:val="22"/>
        </w:rPr>
        <w:t>municipio con funciones de vocal;</w:t>
      </w:r>
    </w:p>
    <w:p w14:paraId="1F109E5A" w14:textId="0962F386"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IV. Un representante de la Coordinación Administrativa o su equivalente de la dependencia,</w:t>
      </w:r>
      <w:r>
        <w:rPr>
          <w:rFonts w:ascii="Palatino Linotype" w:hAnsi="Palatino Linotype" w:cs="Arial"/>
          <w:i/>
          <w:sz w:val="20"/>
          <w:szCs w:val="22"/>
        </w:rPr>
        <w:t xml:space="preserve"> </w:t>
      </w:r>
      <w:r w:rsidRPr="00970565">
        <w:rPr>
          <w:rFonts w:ascii="Palatino Linotype" w:hAnsi="Palatino Linotype" w:cs="Arial"/>
          <w:i/>
          <w:sz w:val="20"/>
          <w:szCs w:val="22"/>
        </w:rPr>
        <w:t>entidad o tribunal administrativo o del área de administración del municipio, interesada en el</w:t>
      </w:r>
      <w:r>
        <w:rPr>
          <w:rFonts w:ascii="Palatino Linotype" w:hAnsi="Palatino Linotype" w:cs="Arial"/>
          <w:i/>
          <w:sz w:val="20"/>
          <w:szCs w:val="22"/>
        </w:rPr>
        <w:t xml:space="preserve"> </w:t>
      </w:r>
      <w:r w:rsidRPr="00970565">
        <w:rPr>
          <w:rFonts w:ascii="Palatino Linotype" w:hAnsi="Palatino Linotype" w:cs="Arial"/>
          <w:i/>
          <w:sz w:val="20"/>
          <w:szCs w:val="22"/>
        </w:rPr>
        <w:t>arrendamiento, adquisición, o enajenación, con funciones de vocal;</w:t>
      </w:r>
    </w:p>
    <w:p w14:paraId="634EB1CC" w14:textId="3EBA315C"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V. Un representante del Órgano de Control de la Secretaría, entidad, tribunal administrativo o</w:t>
      </w:r>
      <w:r>
        <w:rPr>
          <w:rFonts w:ascii="Palatino Linotype" w:hAnsi="Palatino Linotype" w:cs="Arial"/>
          <w:i/>
          <w:sz w:val="20"/>
          <w:szCs w:val="22"/>
        </w:rPr>
        <w:t xml:space="preserve"> </w:t>
      </w:r>
      <w:r w:rsidRPr="00970565">
        <w:rPr>
          <w:rFonts w:ascii="Palatino Linotype" w:hAnsi="Palatino Linotype" w:cs="Arial"/>
          <w:i/>
          <w:sz w:val="20"/>
          <w:szCs w:val="22"/>
        </w:rPr>
        <w:t>municipio, con funciones de vocal; y</w:t>
      </w:r>
    </w:p>
    <w:p w14:paraId="52C7B5FF" w14:textId="604B1EBC" w:rsid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VI. Un Secretario Ejecutivo, quien será designado por el presidente.</w:t>
      </w:r>
      <w:r w:rsidRPr="00970565">
        <w:rPr>
          <w:rFonts w:ascii="Palatino Linotype" w:hAnsi="Palatino Linotype" w:cs="Arial"/>
          <w:i/>
          <w:sz w:val="20"/>
          <w:szCs w:val="22"/>
        </w:rPr>
        <w:cr/>
      </w:r>
      <w:r>
        <w:rPr>
          <w:rFonts w:ascii="Palatino Linotype" w:hAnsi="Palatino Linotype" w:cs="Arial"/>
          <w:i/>
          <w:sz w:val="20"/>
          <w:szCs w:val="22"/>
        </w:rPr>
        <w:t>…</w:t>
      </w:r>
    </w:p>
    <w:p w14:paraId="1799C961" w14:textId="6EDE1586" w:rsidR="00970565" w:rsidRDefault="00970565" w:rsidP="00970565">
      <w:pPr>
        <w:spacing w:line="360" w:lineRule="auto"/>
        <w:ind w:left="851" w:right="902"/>
        <w:jc w:val="both"/>
        <w:rPr>
          <w:rFonts w:ascii="Palatino Linotype" w:hAnsi="Palatino Linotype" w:cs="Arial"/>
          <w:i/>
          <w:sz w:val="20"/>
          <w:szCs w:val="22"/>
        </w:rPr>
      </w:pPr>
    </w:p>
    <w:p w14:paraId="58ECABFE" w14:textId="598713DD" w:rsid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b/>
          <w:i/>
          <w:sz w:val="20"/>
          <w:szCs w:val="22"/>
        </w:rPr>
        <w:t>Artículo 54.-</w:t>
      </w:r>
      <w:r w:rsidRPr="00970565">
        <w:rPr>
          <w:rFonts w:ascii="Palatino Linotype" w:hAnsi="Palatino Linotype" w:cs="Arial"/>
          <w:i/>
          <w:sz w:val="20"/>
          <w:szCs w:val="22"/>
        </w:rPr>
        <w:t xml:space="preserve"> Además de las establecidas en la Ley, el Comité de Arrendamientos, Adquisiciones de Inmuebles y Enajenaciones tendrá las siguientes funciones:</w:t>
      </w:r>
    </w:p>
    <w:p w14:paraId="2E11F920" w14:textId="1ABAD274" w:rsidR="00970565" w:rsidRDefault="00970565" w:rsidP="00970565">
      <w:pPr>
        <w:spacing w:line="360" w:lineRule="auto"/>
        <w:ind w:left="851" w:right="902"/>
        <w:jc w:val="both"/>
        <w:rPr>
          <w:rFonts w:ascii="Palatino Linotype" w:hAnsi="Palatino Linotype" w:cs="Arial"/>
          <w:i/>
          <w:sz w:val="20"/>
          <w:szCs w:val="22"/>
        </w:rPr>
      </w:pPr>
      <w:r>
        <w:rPr>
          <w:rFonts w:ascii="Palatino Linotype" w:hAnsi="Palatino Linotype" w:cs="Arial"/>
          <w:b/>
          <w:i/>
          <w:sz w:val="20"/>
          <w:szCs w:val="22"/>
        </w:rPr>
        <w:t>I a IV…</w:t>
      </w:r>
    </w:p>
    <w:p w14:paraId="0C285E1F" w14:textId="030EA138" w:rsidR="00970565" w:rsidRDefault="00970565" w:rsidP="00970565">
      <w:pPr>
        <w:spacing w:line="360" w:lineRule="auto"/>
        <w:ind w:left="851" w:right="902"/>
        <w:jc w:val="both"/>
        <w:rPr>
          <w:rFonts w:ascii="Palatino Linotype" w:hAnsi="Palatino Linotype" w:cs="Arial"/>
          <w:i/>
          <w:sz w:val="20"/>
          <w:szCs w:val="22"/>
        </w:rPr>
      </w:pPr>
      <w:r>
        <w:rPr>
          <w:rFonts w:ascii="Palatino Linotype" w:hAnsi="Palatino Linotype" w:cs="Arial"/>
          <w:i/>
          <w:sz w:val="20"/>
          <w:szCs w:val="22"/>
        </w:rPr>
        <w:t xml:space="preserve">V </w:t>
      </w:r>
      <w:r w:rsidRPr="00970565">
        <w:rPr>
          <w:rFonts w:ascii="Palatino Linotype" w:hAnsi="Palatino Linotype" w:cs="Arial"/>
          <w:i/>
          <w:sz w:val="20"/>
          <w:szCs w:val="22"/>
        </w:rPr>
        <w:t>Dictaminar sobre las propuestas de enajenación de bienes muebles e inmuebles;</w:t>
      </w:r>
    </w:p>
    <w:p w14:paraId="4CB0C1C8" w14:textId="7095BEEE" w:rsidR="00970565" w:rsidRDefault="00970565" w:rsidP="00970565">
      <w:pPr>
        <w:spacing w:line="360" w:lineRule="auto"/>
        <w:ind w:left="851" w:right="902"/>
        <w:jc w:val="both"/>
        <w:rPr>
          <w:rFonts w:ascii="Palatino Linotype" w:hAnsi="Palatino Linotype" w:cs="Arial"/>
          <w:i/>
          <w:sz w:val="20"/>
          <w:szCs w:val="22"/>
        </w:rPr>
      </w:pPr>
      <w:r>
        <w:rPr>
          <w:rFonts w:ascii="Palatino Linotype" w:hAnsi="Palatino Linotype" w:cs="Arial"/>
          <w:i/>
          <w:sz w:val="20"/>
          <w:szCs w:val="22"/>
        </w:rPr>
        <w:t>VI a VIII…</w:t>
      </w:r>
    </w:p>
    <w:p w14:paraId="2FF3B0AC" w14:textId="7FFFEF71" w:rsidR="00970565" w:rsidRPr="00970565" w:rsidRDefault="00970565" w:rsidP="00970565">
      <w:pPr>
        <w:spacing w:line="360" w:lineRule="auto"/>
        <w:ind w:left="851" w:right="902"/>
        <w:jc w:val="both"/>
        <w:rPr>
          <w:rFonts w:ascii="Palatino Linotype" w:hAnsi="Palatino Linotype" w:cs="Arial"/>
          <w:i/>
          <w:sz w:val="20"/>
          <w:szCs w:val="22"/>
        </w:rPr>
      </w:pPr>
      <w:r w:rsidRPr="00970565">
        <w:rPr>
          <w:rFonts w:ascii="Palatino Linotype" w:hAnsi="Palatino Linotype" w:cs="Arial"/>
          <w:i/>
          <w:sz w:val="20"/>
          <w:szCs w:val="22"/>
        </w:rPr>
        <w:t xml:space="preserve">IX. </w:t>
      </w:r>
      <w:r w:rsidRPr="00970565">
        <w:rPr>
          <w:rFonts w:ascii="Palatino Linotype" w:hAnsi="Palatino Linotype" w:cs="Arial"/>
          <w:b/>
          <w:i/>
          <w:sz w:val="20"/>
          <w:szCs w:val="22"/>
          <w:u w:val="single"/>
        </w:rPr>
        <w:t>Emitir los dictámenes de adjudicación, que servirán para la emisión del fallo en los arrendamientos, adquisiciones de inmuebles y enajenaciones</w:t>
      </w:r>
      <w:r w:rsidRPr="00970565">
        <w:rPr>
          <w:rFonts w:ascii="Palatino Linotype" w:hAnsi="Palatino Linotype" w:cs="Arial"/>
          <w:i/>
          <w:sz w:val="20"/>
          <w:szCs w:val="22"/>
        </w:rPr>
        <w:t>;</w:t>
      </w:r>
    </w:p>
    <w:p w14:paraId="634B866E" w14:textId="5EDC8EEA" w:rsidR="00970565" w:rsidRPr="00970565" w:rsidRDefault="00970565" w:rsidP="00970565">
      <w:pPr>
        <w:spacing w:line="360" w:lineRule="auto"/>
        <w:ind w:left="851" w:right="902"/>
        <w:jc w:val="both"/>
        <w:rPr>
          <w:rFonts w:ascii="Palatino Linotype" w:hAnsi="Palatino Linotype" w:cs="Arial"/>
          <w:i/>
          <w:sz w:val="20"/>
          <w:szCs w:val="22"/>
        </w:rPr>
      </w:pPr>
      <w:r>
        <w:rPr>
          <w:rFonts w:ascii="Palatino Linotype" w:hAnsi="Palatino Linotype" w:cs="Arial"/>
          <w:i/>
          <w:sz w:val="20"/>
          <w:szCs w:val="22"/>
        </w:rPr>
        <w:t>X y XI…</w:t>
      </w:r>
    </w:p>
    <w:p w14:paraId="689F8B58" w14:textId="41C0EC11" w:rsidR="00E34441" w:rsidRDefault="00E34441" w:rsidP="00624F14">
      <w:pPr>
        <w:autoSpaceDE w:val="0"/>
        <w:autoSpaceDN w:val="0"/>
        <w:adjustRightInd w:val="0"/>
        <w:spacing w:line="360" w:lineRule="auto"/>
        <w:ind w:right="50"/>
        <w:jc w:val="both"/>
        <w:rPr>
          <w:rFonts w:ascii="Palatino Linotype" w:hAnsi="Palatino Linotype" w:cs="Arial"/>
          <w:sz w:val="22"/>
        </w:rPr>
      </w:pPr>
    </w:p>
    <w:p w14:paraId="39C6D636" w14:textId="3BA1DB4F" w:rsidR="007A6821" w:rsidRDefault="003D5378" w:rsidP="00624F14">
      <w:pPr>
        <w:autoSpaceDE w:val="0"/>
        <w:autoSpaceDN w:val="0"/>
        <w:adjustRightInd w:val="0"/>
        <w:spacing w:line="360" w:lineRule="auto"/>
        <w:ind w:right="50"/>
        <w:jc w:val="both"/>
        <w:rPr>
          <w:rFonts w:ascii="Palatino Linotype" w:hAnsi="Palatino Linotype" w:cs="Arial"/>
          <w:sz w:val="22"/>
        </w:rPr>
      </w:pPr>
      <w:r>
        <w:rPr>
          <w:rFonts w:ascii="Palatino Linotype" w:hAnsi="Palatino Linotype" w:cs="Arial"/>
          <w:sz w:val="22"/>
        </w:rPr>
        <w:t xml:space="preserve">De la normatividad anteriormente citada, se desprende que, dentro de las funciones del </w:t>
      </w:r>
      <w:r w:rsidRPr="003D5378">
        <w:rPr>
          <w:rFonts w:ascii="Palatino Linotype" w:hAnsi="Palatino Linotype" w:cs="Arial"/>
          <w:sz w:val="22"/>
        </w:rPr>
        <w:t>Comité de Arrendamientos, Adquisiciones de Inmuebles y Enajenaciones</w:t>
      </w:r>
      <w:r w:rsidR="006620BE">
        <w:rPr>
          <w:rFonts w:ascii="Palatino Linotype" w:hAnsi="Palatino Linotype" w:cs="Arial"/>
          <w:sz w:val="22"/>
        </w:rPr>
        <w:t xml:space="preserve">, se encuentra </w:t>
      </w:r>
      <w:r>
        <w:rPr>
          <w:rFonts w:ascii="Palatino Linotype" w:hAnsi="Palatino Linotype" w:cs="Arial"/>
          <w:sz w:val="22"/>
        </w:rPr>
        <w:t xml:space="preserve">la de dictaminar sobre las propuestas, así como emitir los fallos de las enajenaciones, por lo que derivado de la respuesta proporcionada por el Ayuntamiento se localizó la liga electrónica </w:t>
      </w:r>
      <w:hyperlink r:id="rId15" w:history="1">
        <w:r w:rsidRPr="00412BC2">
          <w:rPr>
            <w:rStyle w:val="Hipervnculo"/>
            <w:rFonts w:ascii="Palatino Linotype" w:hAnsi="Palatino Linotype" w:cs="Arial"/>
            <w:sz w:val="22"/>
          </w:rPr>
          <w:t>https://www.ipomex.org.mx/recursos/ipo/files_ipo3/2019/43044/9/ac8e85aa254e8f81b82ac6319ef0aaa1.pdf</w:t>
        </w:r>
      </w:hyperlink>
      <w:r>
        <w:rPr>
          <w:rFonts w:ascii="Palatino Linotype" w:hAnsi="Palatino Linotype" w:cs="Arial"/>
          <w:sz w:val="22"/>
        </w:rPr>
        <w:t xml:space="preserve"> en la cual se puede consultar</w:t>
      </w:r>
      <w:r w:rsidR="007A6821" w:rsidRPr="00887E2C">
        <w:rPr>
          <w:rFonts w:ascii="Palatino Linotype" w:hAnsi="Palatino Linotype" w:cs="Arial"/>
          <w:sz w:val="22"/>
        </w:rPr>
        <w:t xml:space="preserve"> la Primera Sesión Ordinaria de Cabildo el </w:t>
      </w:r>
      <w:r w:rsidR="007A6821" w:rsidRPr="00887E2C">
        <w:rPr>
          <w:rFonts w:ascii="Palatino Linotype" w:hAnsi="Palatino Linotype" w:cs="Arial"/>
          <w:sz w:val="22"/>
        </w:rPr>
        <w:lastRenderedPageBreak/>
        <w:t>Ayuntamiento de Apaxco de fecha nueve de enero de dos mil diecinueve,</w:t>
      </w:r>
      <w:r>
        <w:rPr>
          <w:rFonts w:ascii="Palatino Linotype" w:hAnsi="Palatino Linotype" w:cs="Arial"/>
          <w:sz w:val="22"/>
        </w:rPr>
        <w:t xml:space="preserve"> dentro de la cual se</w:t>
      </w:r>
      <w:r w:rsidR="007A6821" w:rsidRPr="00887E2C">
        <w:rPr>
          <w:rFonts w:ascii="Palatino Linotype" w:hAnsi="Palatino Linotype" w:cs="Arial"/>
          <w:sz w:val="22"/>
        </w:rPr>
        <w:t xml:space="preserve"> aprobó la integración de diversos comités entre ellos al que hemos hecho referencia</w:t>
      </w:r>
      <w:r w:rsidR="00994A74">
        <w:rPr>
          <w:rFonts w:ascii="Palatino Linotype" w:hAnsi="Palatino Linotype" w:cs="Arial"/>
          <w:sz w:val="22"/>
        </w:rPr>
        <w:t xml:space="preserve"> </w:t>
      </w:r>
      <w:r w:rsidR="007A6821" w:rsidRPr="00887E2C">
        <w:rPr>
          <w:rFonts w:ascii="Palatino Linotype" w:hAnsi="Palatino Linotype" w:cs="Arial"/>
          <w:sz w:val="22"/>
        </w:rPr>
        <w:t>listándolo</w:t>
      </w:r>
      <w:r w:rsidR="00994A74">
        <w:rPr>
          <w:rFonts w:ascii="Palatino Linotype" w:hAnsi="Palatino Linotype" w:cs="Arial"/>
          <w:sz w:val="22"/>
        </w:rPr>
        <w:t>s</w:t>
      </w:r>
      <w:r w:rsidR="007A6821" w:rsidRPr="00887E2C">
        <w:rPr>
          <w:rFonts w:ascii="Palatino Linotype" w:hAnsi="Palatino Linotype" w:cs="Arial"/>
          <w:sz w:val="22"/>
        </w:rPr>
        <w:t xml:space="preserve"> en el orden del día de la siguiente manera:</w:t>
      </w:r>
    </w:p>
    <w:p w14:paraId="65EE3CB9" w14:textId="619B645D" w:rsidR="005418D4" w:rsidRPr="00887E2C" w:rsidRDefault="005418D4" w:rsidP="00624F14">
      <w:pPr>
        <w:autoSpaceDE w:val="0"/>
        <w:autoSpaceDN w:val="0"/>
        <w:adjustRightInd w:val="0"/>
        <w:spacing w:line="360" w:lineRule="auto"/>
        <w:ind w:right="50"/>
        <w:jc w:val="both"/>
        <w:rPr>
          <w:rFonts w:ascii="Palatino Linotype" w:hAnsi="Palatino Linotype" w:cs="Arial"/>
          <w:sz w:val="22"/>
        </w:rPr>
      </w:pPr>
    </w:p>
    <w:p w14:paraId="1C149D53" w14:textId="014947C7" w:rsidR="007A6821" w:rsidRDefault="00D37444" w:rsidP="00624F14">
      <w:pPr>
        <w:autoSpaceDE w:val="0"/>
        <w:autoSpaceDN w:val="0"/>
        <w:adjustRightInd w:val="0"/>
        <w:spacing w:line="360" w:lineRule="auto"/>
        <w:ind w:right="50"/>
        <w:jc w:val="center"/>
        <w:rPr>
          <w:rFonts w:ascii="Palatino Linotype" w:hAnsi="Palatino Linotype" w:cs="Arial"/>
          <w:sz w:val="22"/>
        </w:rPr>
      </w:pPr>
      <w:r w:rsidRPr="00887E2C">
        <w:rPr>
          <w:noProof/>
          <w:sz w:val="22"/>
          <w:lang w:eastAsia="es-MX"/>
        </w:rPr>
        <w:drawing>
          <wp:inline distT="0" distB="0" distL="0" distR="0" wp14:anchorId="1CDEF491" wp14:editId="3178EEA3">
            <wp:extent cx="4717415" cy="42481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34" t="16185" r="23474" b="28822"/>
                    <a:stretch/>
                  </pic:blipFill>
                  <pic:spPr bwMode="auto">
                    <a:xfrm>
                      <a:off x="0" y="0"/>
                      <a:ext cx="4717415" cy="4248150"/>
                    </a:xfrm>
                    <a:prstGeom prst="rect">
                      <a:avLst/>
                    </a:prstGeom>
                    <a:ln>
                      <a:noFill/>
                    </a:ln>
                    <a:extLst>
                      <a:ext uri="{53640926-AAD7-44D8-BBD7-CCE9431645EC}">
                        <a14:shadowObscured xmlns:a14="http://schemas.microsoft.com/office/drawing/2010/main"/>
                      </a:ext>
                    </a:extLst>
                  </pic:spPr>
                </pic:pic>
              </a:graphicData>
            </a:graphic>
          </wp:inline>
        </w:drawing>
      </w:r>
    </w:p>
    <w:p w14:paraId="08E6CB75" w14:textId="735359C2" w:rsidR="00994A74" w:rsidRDefault="00636D0C" w:rsidP="00624F14">
      <w:pPr>
        <w:autoSpaceDE w:val="0"/>
        <w:autoSpaceDN w:val="0"/>
        <w:adjustRightInd w:val="0"/>
        <w:spacing w:line="360" w:lineRule="auto"/>
        <w:ind w:right="50"/>
        <w:jc w:val="center"/>
        <w:rPr>
          <w:rFonts w:ascii="Palatino Linotype" w:hAnsi="Palatino Linotype" w:cs="Arial"/>
          <w:sz w:val="22"/>
        </w:rPr>
      </w:pPr>
      <w:r>
        <w:rPr>
          <w:rFonts w:ascii="Palatino Linotype" w:hAnsi="Palatino Linotype" w:cs="Arial"/>
          <w:noProof/>
          <w:sz w:val="22"/>
          <w:lang w:eastAsia="es-MX"/>
        </w:rPr>
        <mc:AlternateContent>
          <mc:Choice Requires="wps">
            <w:drawing>
              <wp:anchor distT="0" distB="0" distL="114300" distR="114300" simplePos="0" relativeHeight="251659264" behindDoc="0" locked="0" layoutInCell="1" allowOverlap="1" wp14:anchorId="337F9255" wp14:editId="0A64C38C">
                <wp:simplePos x="0" y="0"/>
                <wp:positionH relativeFrom="column">
                  <wp:posOffset>212090</wp:posOffset>
                </wp:positionH>
                <wp:positionV relativeFrom="paragraph">
                  <wp:posOffset>69850</wp:posOffset>
                </wp:positionV>
                <wp:extent cx="5588000" cy="1631950"/>
                <wp:effectExtent l="0" t="0" r="31750" b="25400"/>
                <wp:wrapNone/>
                <wp:docPr id="5" name="Conector recto 5"/>
                <wp:cNvGraphicFramePr/>
                <a:graphic xmlns:a="http://schemas.openxmlformats.org/drawingml/2006/main">
                  <a:graphicData uri="http://schemas.microsoft.com/office/word/2010/wordprocessingShape">
                    <wps:wsp>
                      <wps:cNvCnPr/>
                      <wps:spPr>
                        <a:xfrm flipV="1">
                          <a:off x="0" y="0"/>
                          <a:ext cx="5588000" cy="163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5"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16.7pt,5.5pt" to="456.7pt,134pt" w14:anchorId="3D81D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">
                <v:stroke joinstyle="miter"/>
              </v:line>
            </w:pict>
          </mc:Fallback>
        </mc:AlternateContent>
      </w:r>
    </w:p>
    <w:p w14:paraId="08F5C5CE" w14:textId="24CBA087" w:rsidR="00994A74" w:rsidRDefault="00994A74" w:rsidP="00624F14">
      <w:pPr>
        <w:autoSpaceDE w:val="0"/>
        <w:autoSpaceDN w:val="0"/>
        <w:adjustRightInd w:val="0"/>
        <w:spacing w:line="360" w:lineRule="auto"/>
        <w:ind w:right="50"/>
        <w:jc w:val="center"/>
        <w:rPr>
          <w:rFonts w:ascii="Palatino Linotype" w:hAnsi="Palatino Linotype" w:cs="Arial"/>
          <w:sz w:val="22"/>
        </w:rPr>
      </w:pPr>
      <w:r>
        <w:rPr>
          <w:noProof/>
          <w:lang w:eastAsia="es-MX"/>
        </w:rPr>
        <w:lastRenderedPageBreak/>
        <w:drawing>
          <wp:inline distT="0" distB="0" distL="0" distR="0" wp14:anchorId="25EC2041" wp14:editId="0887D767">
            <wp:extent cx="4743450" cy="1993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99" t="44462" r="13277" b="26677"/>
                    <a:stretch/>
                  </pic:blipFill>
                  <pic:spPr bwMode="auto">
                    <a:xfrm>
                      <a:off x="0" y="0"/>
                      <a:ext cx="4749381" cy="1996393"/>
                    </a:xfrm>
                    <a:prstGeom prst="rect">
                      <a:avLst/>
                    </a:prstGeom>
                    <a:ln>
                      <a:noFill/>
                    </a:ln>
                    <a:extLst>
                      <a:ext uri="{53640926-AAD7-44D8-BBD7-CCE9431645EC}">
                        <a14:shadowObscured xmlns:a14="http://schemas.microsoft.com/office/drawing/2010/main"/>
                      </a:ext>
                    </a:extLst>
                  </pic:spPr>
                </pic:pic>
              </a:graphicData>
            </a:graphic>
          </wp:inline>
        </w:drawing>
      </w:r>
    </w:p>
    <w:p w14:paraId="0476CD81" w14:textId="39A9A281" w:rsidR="00994A74" w:rsidRDefault="00994A74" w:rsidP="00624F14">
      <w:pPr>
        <w:autoSpaceDE w:val="0"/>
        <w:autoSpaceDN w:val="0"/>
        <w:adjustRightInd w:val="0"/>
        <w:spacing w:line="360" w:lineRule="auto"/>
        <w:ind w:right="50"/>
        <w:jc w:val="center"/>
        <w:rPr>
          <w:rFonts w:ascii="Palatino Linotype" w:hAnsi="Palatino Linotype" w:cs="Arial"/>
          <w:sz w:val="22"/>
        </w:rPr>
      </w:pPr>
      <w:r>
        <w:rPr>
          <w:noProof/>
          <w:lang w:eastAsia="es-MX"/>
        </w:rPr>
        <w:drawing>
          <wp:inline distT="0" distB="0" distL="0" distR="0" wp14:anchorId="6E9C4ED8" wp14:editId="4787D915">
            <wp:extent cx="4924425" cy="31750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31" t="24571" r="14593" b="15757"/>
                    <a:stretch/>
                  </pic:blipFill>
                  <pic:spPr bwMode="auto">
                    <a:xfrm>
                      <a:off x="0" y="0"/>
                      <a:ext cx="4935882" cy="3182387"/>
                    </a:xfrm>
                    <a:prstGeom prst="rect">
                      <a:avLst/>
                    </a:prstGeom>
                    <a:ln>
                      <a:noFill/>
                    </a:ln>
                    <a:extLst>
                      <a:ext uri="{53640926-AAD7-44D8-BBD7-CCE9431645EC}">
                        <a14:shadowObscured xmlns:a14="http://schemas.microsoft.com/office/drawing/2010/main"/>
                      </a:ext>
                    </a:extLst>
                  </pic:spPr>
                </pic:pic>
              </a:graphicData>
            </a:graphic>
          </wp:inline>
        </w:drawing>
      </w:r>
    </w:p>
    <w:p w14:paraId="74208E44" w14:textId="3BCC1331" w:rsidR="00994A74" w:rsidRPr="00887E2C" w:rsidRDefault="00636D0C" w:rsidP="00624F14">
      <w:pPr>
        <w:autoSpaceDE w:val="0"/>
        <w:autoSpaceDN w:val="0"/>
        <w:adjustRightInd w:val="0"/>
        <w:spacing w:line="360" w:lineRule="auto"/>
        <w:ind w:right="50"/>
        <w:jc w:val="center"/>
        <w:rPr>
          <w:rFonts w:ascii="Palatino Linotype" w:hAnsi="Palatino Linotype" w:cs="Arial"/>
          <w:sz w:val="22"/>
        </w:rPr>
      </w:pPr>
      <w:r>
        <w:rPr>
          <w:noProof/>
          <w:lang w:eastAsia="es-MX"/>
        </w:rPr>
        <mc:AlternateContent>
          <mc:Choice Requires="wps">
            <w:drawing>
              <wp:anchor distT="0" distB="0" distL="114300" distR="114300" simplePos="0" relativeHeight="251660288" behindDoc="0" locked="0" layoutInCell="1" allowOverlap="1" wp14:anchorId="3B555EB3" wp14:editId="6854EAD7">
                <wp:simplePos x="0" y="0"/>
                <wp:positionH relativeFrom="margin">
                  <wp:posOffset>520065</wp:posOffset>
                </wp:positionH>
                <wp:positionV relativeFrom="paragraph">
                  <wp:posOffset>539115</wp:posOffset>
                </wp:positionV>
                <wp:extent cx="4927600" cy="1035050"/>
                <wp:effectExtent l="0" t="0" r="25400" b="31750"/>
                <wp:wrapNone/>
                <wp:docPr id="6" name="Conector recto 6"/>
                <wp:cNvGraphicFramePr/>
                <a:graphic xmlns:a="http://schemas.openxmlformats.org/drawingml/2006/main">
                  <a:graphicData uri="http://schemas.microsoft.com/office/word/2010/wordprocessingShape">
                    <wps:wsp>
                      <wps:cNvCnPr/>
                      <wps:spPr>
                        <a:xfrm flipV="1">
                          <a:off x="0" y="0"/>
                          <a:ext cx="4927600" cy="1035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b9bd5 [3204]" strokeweight=".5pt" from="40.95pt,42.45pt" to="428.95pt,123.95pt" w14:anchorId="749A6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">
                <v:stroke joinstyle="miter"/>
                <w10:wrap anchorx="margin"/>
              </v:line>
            </w:pict>
          </mc:Fallback>
        </mc:AlternateContent>
      </w:r>
    </w:p>
    <w:p w14:paraId="5DE44C79" w14:textId="77777777" w:rsidR="00D37444" w:rsidRPr="00887E2C" w:rsidRDefault="00D37444" w:rsidP="00624F14">
      <w:pPr>
        <w:autoSpaceDE w:val="0"/>
        <w:autoSpaceDN w:val="0"/>
        <w:adjustRightInd w:val="0"/>
        <w:spacing w:line="360" w:lineRule="auto"/>
        <w:ind w:right="50"/>
        <w:jc w:val="center"/>
        <w:rPr>
          <w:rFonts w:ascii="Palatino Linotype" w:hAnsi="Palatino Linotype" w:cs="Arial"/>
          <w:sz w:val="22"/>
        </w:rPr>
      </w:pPr>
      <w:r w:rsidRPr="00887E2C">
        <w:rPr>
          <w:noProof/>
          <w:sz w:val="22"/>
          <w:lang w:eastAsia="es-MX"/>
        </w:rPr>
        <w:lastRenderedPageBreak/>
        <w:drawing>
          <wp:inline distT="0" distB="0" distL="0" distR="0" wp14:anchorId="65EBDEE3" wp14:editId="24D29AC9">
            <wp:extent cx="5372735" cy="3200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323" t="17941" r="23473" b="26677"/>
                    <a:stretch/>
                  </pic:blipFill>
                  <pic:spPr bwMode="auto">
                    <a:xfrm>
                      <a:off x="0" y="0"/>
                      <a:ext cx="5376638" cy="3202725"/>
                    </a:xfrm>
                    <a:prstGeom prst="rect">
                      <a:avLst/>
                    </a:prstGeom>
                    <a:ln>
                      <a:noFill/>
                    </a:ln>
                    <a:extLst>
                      <a:ext uri="{53640926-AAD7-44D8-BBD7-CCE9431645EC}">
                        <a14:shadowObscured xmlns:a14="http://schemas.microsoft.com/office/drawing/2010/main"/>
                      </a:ext>
                    </a:extLst>
                  </pic:spPr>
                </pic:pic>
              </a:graphicData>
            </a:graphic>
          </wp:inline>
        </w:drawing>
      </w:r>
    </w:p>
    <w:p w14:paraId="1A569733" w14:textId="77777777" w:rsidR="007A6821" w:rsidRPr="00887E2C" w:rsidRDefault="000D16B3" w:rsidP="00624F14">
      <w:pPr>
        <w:autoSpaceDE w:val="0"/>
        <w:autoSpaceDN w:val="0"/>
        <w:adjustRightInd w:val="0"/>
        <w:spacing w:line="360" w:lineRule="auto"/>
        <w:ind w:right="50"/>
        <w:jc w:val="center"/>
        <w:rPr>
          <w:rFonts w:ascii="Palatino Linotype" w:hAnsi="Palatino Linotype" w:cs="Arial"/>
          <w:sz w:val="22"/>
        </w:rPr>
      </w:pPr>
      <w:r w:rsidRPr="00887E2C">
        <w:rPr>
          <w:noProof/>
          <w:sz w:val="22"/>
          <w:lang w:eastAsia="es-MX"/>
        </w:rPr>
        <w:drawing>
          <wp:inline distT="0" distB="0" distL="0" distR="0" wp14:anchorId="3E88CF36" wp14:editId="21821B51">
            <wp:extent cx="5212715" cy="23114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02" t="33736" r="23583" b="26288"/>
                    <a:stretch/>
                  </pic:blipFill>
                  <pic:spPr bwMode="auto">
                    <a:xfrm>
                      <a:off x="0" y="0"/>
                      <a:ext cx="5216614" cy="2313129"/>
                    </a:xfrm>
                    <a:prstGeom prst="rect">
                      <a:avLst/>
                    </a:prstGeom>
                    <a:ln>
                      <a:noFill/>
                    </a:ln>
                    <a:extLst>
                      <a:ext uri="{53640926-AAD7-44D8-BBD7-CCE9431645EC}">
                        <a14:shadowObscured xmlns:a14="http://schemas.microsoft.com/office/drawing/2010/main"/>
                      </a:ext>
                    </a:extLst>
                  </pic:spPr>
                </pic:pic>
              </a:graphicData>
            </a:graphic>
          </wp:inline>
        </w:drawing>
      </w:r>
    </w:p>
    <w:p w14:paraId="277BD352" w14:textId="77777777" w:rsidR="005418D4" w:rsidRDefault="005418D4" w:rsidP="00887E2C">
      <w:pPr>
        <w:spacing w:line="360" w:lineRule="auto"/>
        <w:jc w:val="both"/>
        <w:rPr>
          <w:rFonts w:ascii="Palatino Linotype" w:eastAsia="Palatino Linotype" w:hAnsi="Palatino Linotype" w:cs="Palatino Linotype"/>
          <w:sz w:val="22"/>
        </w:rPr>
      </w:pPr>
    </w:p>
    <w:p w14:paraId="20512CE0" w14:textId="2D714757" w:rsidR="005D218C" w:rsidRDefault="007A6821" w:rsidP="00624F14">
      <w:pPr>
        <w:spacing w:line="360" w:lineRule="auto"/>
        <w:jc w:val="both"/>
        <w:rPr>
          <w:rFonts w:ascii="Palatino Linotype" w:eastAsia="Palatino Linotype" w:hAnsi="Palatino Linotype" w:cs="Palatino Linotype"/>
          <w:sz w:val="22"/>
        </w:rPr>
      </w:pPr>
      <w:r w:rsidRPr="00636D0C">
        <w:rPr>
          <w:rFonts w:ascii="Palatino Linotype" w:eastAsia="Palatino Linotype" w:hAnsi="Palatino Linotype" w:cs="Palatino Linotype"/>
          <w:sz w:val="22"/>
        </w:rPr>
        <w:t>Como se afirmó antes, ellos son</w:t>
      </w:r>
      <w:r w:rsidR="000D16B3" w:rsidRPr="00636D0C">
        <w:rPr>
          <w:rFonts w:ascii="Palatino Linotype" w:eastAsia="Palatino Linotype" w:hAnsi="Palatino Linotype" w:cs="Palatino Linotype"/>
          <w:sz w:val="22"/>
        </w:rPr>
        <w:t xml:space="preserve"> los servidores públicos que </w:t>
      </w:r>
      <w:r w:rsidRPr="00636D0C">
        <w:rPr>
          <w:rFonts w:ascii="Palatino Linotype" w:eastAsia="Palatino Linotype" w:hAnsi="Palatino Linotype" w:cs="Palatino Linotype"/>
          <w:sz w:val="22"/>
        </w:rPr>
        <w:t xml:space="preserve">integran el Comité de Adquisiciones, Arrendamientos y Enajenaciones y el </w:t>
      </w:r>
      <w:r w:rsidR="00994A74" w:rsidRPr="00636D0C">
        <w:rPr>
          <w:rFonts w:ascii="Palatino Linotype" w:eastAsia="Palatino Linotype" w:hAnsi="Palatino Linotype" w:cs="Palatino Linotype"/>
          <w:sz w:val="22"/>
        </w:rPr>
        <w:t xml:space="preserve">Comité de Bienes Muebles e Inmuebles del Municipio en consecuencia son conformados por </w:t>
      </w:r>
      <w:r w:rsidR="004A1860" w:rsidRPr="00636D0C">
        <w:rPr>
          <w:rFonts w:ascii="Palatino Linotype" w:eastAsia="Palatino Linotype" w:hAnsi="Palatino Linotype" w:cs="Palatino Linotype"/>
          <w:sz w:val="22"/>
        </w:rPr>
        <w:t xml:space="preserve">los titulares de diferentes áreas administrativas que forman parte de la misma administración pública del Ayuntamiento; </w:t>
      </w:r>
      <w:r w:rsidR="004A1860" w:rsidRPr="00636D0C">
        <w:rPr>
          <w:rFonts w:ascii="Palatino Linotype" w:eastAsia="Palatino Linotype" w:hAnsi="Palatino Linotype" w:cs="Palatino Linotype"/>
          <w:sz w:val="22"/>
        </w:rPr>
        <w:lastRenderedPageBreak/>
        <w:t xml:space="preserve">destacando en este punto que </w:t>
      </w:r>
      <w:r w:rsidR="004A1860" w:rsidRPr="00636D0C">
        <w:rPr>
          <w:rFonts w:ascii="Palatino Linotype" w:eastAsia="Palatino Linotype" w:hAnsi="Palatino Linotype" w:cs="Palatino Linotype"/>
          <w:b/>
          <w:sz w:val="22"/>
        </w:rPr>
        <w:t xml:space="preserve">EL SUJETO OBLIGADO </w:t>
      </w:r>
      <w:r w:rsidR="004A1860" w:rsidRPr="00636D0C">
        <w:rPr>
          <w:rFonts w:ascii="Palatino Linotype" w:eastAsia="Palatino Linotype" w:hAnsi="Palatino Linotype" w:cs="Palatino Linotype"/>
          <w:sz w:val="22"/>
        </w:rPr>
        <w:t>indicó el nombre de las áreas que integran el Comité</w:t>
      </w:r>
      <w:r w:rsidR="00451572" w:rsidRPr="00636D0C">
        <w:rPr>
          <w:rFonts w:ascii="Palatino Linotype" w:eastAsia="Palatino Linotype" w:hAnsi="Palatino Linotype" w:cs="Palatino Linotype"/>
          <w:sz w:val="22"/>
        </w:rPr>
        <w:t xml:space="preserve"> de Bienes Muebles e I</w:t>
      </w:r>
      <w:r w:rsidR="004A1860" w:rsidRPr="00636D0C">
        <w:rPr>
          <w:rFonts w:ascii="Palatino Linotype" w:eastAsia="Palatino Linotype" w:hAnsi="Palatino Linotype" w:cs="Palatino Linotype"/>
          <w:sz w:val="22"/>
        </w:rPr>
        <w:t>nmuebles.</w:t>
      </w:r>
    </w:p>
    <w:p w14:paraId="681C7F59" w14:textId="77777777" w:rsidR="005B2C1E" w:rsidRPr="00887E2C" w:rsidRDefault="005B2C1E" w:rsidP="00624F14">
      <w:pPr>
        <w:spacing w:line="360" w:lineRule="auto"/>
        <w:jc w:val="both"/>
        <w:rPr>
          <w:rFonts w:ascii="Palatino Linotype" w:eastAsia="Palatino Linotype" w:hAnsi="Palatino Linotype" w:cs="Palatino Linotype"/>
          <w:sz w:val="22"/>
        </w:rPr>
      </w:pPr>
    </w:p>
    <w:p w14:paraId="7DE2C5F3" w14:textId="26B9912E" w:rsidR="00451572" w:rsidRDefault="00451572" w:rsidP="00451572">
      <w:pPr>
        <w:spacing w:line="360" w:lineRule="auto"/>
        <w:jc w:val="both"/>
        <w:rPr>
          <w:rFonts w:ascii="Palatino Linotype" w:eastAsia="Palatino Linotype" w:hAnsi="Palatino Linotype" w:cs="Palatino Linotype"/>
          <w:sz w:val="22"/>
        </w:rPr>
      </w:pPr>
      <w:bookmarkStart w:id="12" w:name="_heading=h.gjdgxs" w:colFirst="0" w:colLast="0"/>
      <w:bookmarkEnd w:id="12"/>
      <w:r w:rsidRPr="00451572">
        <w:rPr>
          <w:rFonts w:ascii="Palatino Linotype" w:eastAsia="Palatino Linotype" w:hAnsi="Palatino Linotype" w:cs="Palatino Linotype"/>
          <w:sz w:val="22"/>
        </w:rPr>
        <w:t xml:space="preserve">Aunado a lo anterior, es importante señalar que este Instituto considera que, al haber existido un pronunciamiento por parte del </w:t>
      </w:r>
      <w:r w:rsidRPr="00451572">
        <w:rPr>
          <w:rFonts w:ascii="Palatino Linotype" w:eastAsia="Palatino Linotype" w:hAnsi="Palatino Linotype" w:cs="Palatino Linotype"/>
          <w:b/>
          <w:sz w:val="22"/>
        </w:rPr>
        <w:t>SUJETO OBLIGADO</w:t>
      </w:r>
      <w:r w:rsidRPr="00451572">
        <w:rPr>
          <w:rFonts w:ascii="Palatino Linotype" w:eastAsia="Palatino Linotype" w:hAnsi="Palatino Linotype" w:cs="Palatino Linotype"/>
          <w:sz w:val="22"/>
        </w:rPr>
        <w:t xml:space="preserve">, a fin de dar respuesta a la solicitud planteada, no está facultado para manifestarse sobre la veracidad de la misma, pues no existe precepto legal alguno en la Ley de la materia que lo faculte para que vía recurso de revisión pueda pronunciarse al respecto. </w:t>
      </w:r>
    </w:p>
    <w:p w14:paraId="38035440" w14:textId="3190591E" w:rsidR="00451572" w:rsidRDefault="00451572" w:rsidP="00451572">
      <w:pPr>
        <w:spacing w:line="360" w:lineRule="auto"/>
        <w:jc w:val="both"/>
        <w:rPr>
          <w:rFonts w:ascii="Palatino Linotype" w:eastAsia="Palatino Linotype" w:hAnsi="Palatino Linotype" w:cs="Palatino Linotype"/>
          <w:sz w:val="22"/>
        </w:rPr>
      </w:pPr>
    </w:p>
    <w:p w14:paraId="3B83C4C2" w14:textId="77777777" w:rsidR="00451572" w:rsidRPr="00451572" w:rsidRDefault="00451572" w:rsidP="00451572">
      <w:pPr>
        <w:spacing w:line="360" w:lineRule="auto"/>
        <w:jc w:val="both"/>
        <w:rPr>
          <w:rFonts w:ascii="Palatino Linotype" w:eastAsia="Palatino Linotype" w:hAnsi="Palatino Linotype" w:cs="Palatino Linotype"/>
          <w:sz w:val="22"/>
        </w:rPr>
      </w:pPr>
      <w:r w:rsidRPr="00451572">
        <w:rPr>
          <w:rFonts w:ascii="Palatino Linotype" w:eastAsia="Palatino Linotype" w:hAnsi="Palatino Linotype" w:cs="Palatino Linotype"/>
          <w:sz w:val="22"/>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4920232A" w14:textId="0962BE52" w:rsidR="00451572" w:rsidRPr="00F50745" w:rsidRDefault="00451572" w:rsidP="00451572">
      <w:pPr>
        <w:tabs>
          <w:tab w:val="left" w:pos="1140"/>
        </w:tabs>
        <w:jc w:val="both"/>
        <w:rPr>
          <w:rFonts w:ascii="Palatino Linotype" w:hAnsi="Palatino Linotype" w:cs="Arial"/>
          <w:bCs/>
          <w:szCs w:val="22"/>
          <w:lang w:val="es-ES"/>
        </w:rPr>
      </w:pPr>
    </w:p>
    <w:p w14:paraId="70F1D02E" w14:textId="77777777" w:rsidR="00451572" w:rsidRPr="00451572" w:rsidRDefault="00451572" w:rsidP="00451572">
      <w:pPr>
        <w:tabs>
          <w:tab w:val="left" w:pos="709"/>
        </w:tabs>
        <w:spacing w:line="360" w:lineRule="auto"/>
        <w:ind w:left="851" w:right="902"/>
        <w:jc w:val="both"/>
        <w:rPr>
          <w:rFonts w:ascii="Palatino Linotype" w:hAnsi="Palatino Linotype" w:cs="Arial"/>
          <w:b/>
          <w:bCs/>
          <w:i/>
          <w:sz w:val="20"/>
          <w:szCs w:val="20"/>
          <w:lang w:val="es-ES"/>
        </w:rPr>
      </w:pPr>
      <w:r w:rsidRPr="00451572">
        <w:rPr>
          <w:rFonts w:ascii="Palatino Linotype" w:hAnsi="Palatino Linotype" w:cs="Arial"/>
          <w:b/>
          <w:bCs/>
          <w:i/>
          <w:sz w:val="20"/>
          <w:szCs w:val="20"/>
          <w:lang w:val="es-ES"/>
        </w:rPr>
        <w:t>“El Instituto Federal de Acceso a la Información y Protección de Datos no cuenta con facultades para pronunciarse respecto de la veracidad de los documentos proporcionados por los sujetos obligados</w:t>
      </w:r>
      <w:r w:rsidRPr="00451572">
        <w:rPr>
          <w:rFonts w:ascii="Palatino Linotype" w:hAnsi="Palatino Linotype" w:cs="Arial"/>
          <w:bCs/>
          <w:i/>
          <w:sz w:val="20"/>
          <w:szCs w:val="20"/>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51572">
        <w:rPr>
          <w:rFonts w:ascii="Palatino Linotype" w:hAnsi="Palatino Linotype" w:cs="Arial"/>
          <w:b/>
          <w:bCs/>
          <w:i/>
          <w:sz w:val="20"/>
          <w:szCs w:val="20"/>
          <w:lang w:val="es-ES"/>
        </w:rPr>
        <w:t>”</w:t>
      </w:r>
    </w:p>
    <w:p w14:paraId="07CC7152" w14:textId="77777777" w:rsidR="00451572" w:rsidRPr="00F50745" w:rsidRDefault="00451572" w:rsidP="00451572">
      <w:pPr>
        <w:tabs>
          <w:tab w:val="left" w:pos="1140"/>
        </w:tabs>
        <w:jc w:val="both"/>
        <w:rPr>
          <w:rFonts w:ascii="Palatino Linotype" w:hAnsi="Palatino Linotype" w:cs="Arial"/>
          <w:bCs/>
          <w:szCs w:val="22"/>
          <w:lang w:val="es-ES"/>
        </w:rPr>
      </w:pPr>
    </w:p>
    <w:p w14:paraId="77FF6D2E" w14:textId="6DCA8DEC" w:rsidR="00451572" w:rsidRDefault="00451572" w:rsidP="00451572">
      <w:pPr>
        <w:spacing w:line="360" w:lineRule="auto"/>
        <w:jc w:val="both"/>
        <w:rPr>
          <w:rFonts w:ascii="Palatino Linotype" w:eastAsia="Palatino Linotype" w:hAnsi="Palatino Linotype" w:cs="Palatino Linotype"/>
          <w:b/>
          <w:sz w:val="22"/>
        </w:rPr>
      </w:pPr>
      <w:r w:rsidRPr="00CE3D9C">
        <w:rPr>
          <w:rFonts w:ascii="Palatino Linotype" w:eastAsia="Palatino Linotype" w:hAnsi="Palatino Linotype" w:cs="Palatino Linotype"/>
          <w:sz w:val="22"/>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resultando </w:t>
      </w:r>
      <w:r w:rsidRPr="00CE3D9C">
        <w:rPr>
          <w:rFonts w:ascii="Palatino Linotype" w:eastAsia="Palatino Linotype" w:hAnsi="Palatino Linotype" w:cs="Palatino Linotype"/>
          <w:b/>
          <w:sz w:val="22"/>
        </w:rPr>
        <w:t xml:space="preserve">infundadas </w:t>
      </w:r>
      <w:r w:rsidRPr="00CE3D9C">
        <w:rPr>
          <w:rFonts w:ascii="Palatino Linotype" w:eastAsia="Palatino Linotype" w:hAnsi="Palatino Linotype" w:cs="Palatino Linotype"/>
          <w:sz w:val="22"/>
        </w:rPr>
        <w:t xml:space="preserve">las razones o motivos de inconformidad expuestas por </w:t>
      </w:r>
      <w:r w:rsidRPr="00CE3D9C">
        <w:rPr>
          <w:rFonts w:ascii="Palatino Linotype" w:eastAsia="Palatino Linotype" w:hAnsi="Palatino Linotype" w:cs="Palatino Linotype"/>
          <w:b/>
          <w:sz w:val="22"/>
        </w:rPr>
        <w:t xml:space="preserve">EL RECURRENTE </w:t>
      </w:r>
      <w:r w:rsidRPr="00CE3D9C">
        <w:rPr>
          <w:rFonts w:ascii="Palatino Linotype" w:eastAsia="Palatino Linotype" w:hAnsi="Palatino Linotype" w:cs="Palatino Linotype"/>
          <w:sz w:val="22"/>
        </w:rPr>
        <w:t xml:space="preserve">y en consecuencia resulta este Órgano Garante determina </w:t>
      </w:r>
      <w:r w:rsidRPr="00CE3D9C">
        <w:rPr>
          <w:rFonts w:ascii="Palatino Linotype" w:eastAsia="Palatino Linotype" w:hAnsi="Palatino Linotype" w:cs="Palatino Linotype"/>
          <w:b/>
          <w:sz w:val="22"/>
        </w:rPr>
        <w:t>CONFIRMAR</w:t>
      </w:r>
      <w:r w:rsidRPr="00CE3D9C">
        <w:rPr>
          <w:rFonts w:ascii="Palatino Linotype" w:eastAsia="Palatino Linotype" w:hAnsi="Palatino Linotype" w:cs="Palatino Linotype"/>
          <w:sz w:val="22"/>
        </w:rPr>
        <w:t xml:space="preserve"> la respuesta otorgada por el </w:t>
      </w:r>
      <w:r w:rsidRPr="00CE3D9C">
        <w:rPr>
          <w:rFonts w:ascii="Palatino Linotype" w:eastAsia="Palatino Linotype" w:hAnsi="Palatino Linotype" w:cs="Palatino Linotype"/>
          <w:b/>
          <w:sz w:val="22"/>
        </w:rPr>
        <w:t>SUJETO OBLIGADO</w:t>
      </w:r>
      <w:r w:rsidRPr="00CE3D9C">
        <w:rPr>
          <w:rFonts w:ascii="Palatino Linotype" w:eastAsia="Palatino Linotype" w:hAnsi="Palatino Linotype" w:cs="Palatino Linotype"/>
          <w:sz w:val="22"/>
        </w:rPr>
        <w:t xml:space="preserve"> en la solicitud </w:t>
      </w:r>
      <w:r w:rsidR="0002406F" w:rsidRPr="00CE3D9C">
        <w:rPr>
          <w:rFonts w:ascii="Palatino Linotype" w:eastAsia="Palatino Linotype" w:hAnsi="Palatino Linotype" w:cs="Palatino Linotype"/>
          <w:b/>
          <w:sz w:val="22"/>
        </w:rPr>
        <w:t>00119</w:t>
      </w:r>
      <w:r w:rsidRPr="00CE3D9C">
        <w:rPr>
          <w:rFonts w:ascii="Palatino Linotype" w:eastAsia="Palatino Linotype" w:hAnsi="Palatino Linotype" w:cs="Palatino Linotype"/>
          <w:b/>
          <w:sz w:val="22"/>
        </w:rPr>
        <w:t>/</w:t>
      </w:r>
      <w:r w:rsidR="0002406F" w:rsidRPr="00CE3D9C">
        <w:rPr>
          <w:rFonts w:ascii="Palatino Linotype" w:eastAsia="Palatino Linotype" w:hAnsi="Palatino Linotype" w:cs="Palatino Linotype"/>
          <w:b/>
          <w:sz w:val="22"/>
        </w:rPr>
        <w:t>APAXCO</w:t>
      </w:r>
      <w:r w:rsidRPr="00CE3D9C">
        <w:rPr>
          <w:rFonts w:ascii="Palatino Linotype" w:eastAsia="Palatino Linotype" w:hAnsi="Palatino Linotype" w:cs="Palatino Linotype"/>
          <w:b/>
          <w:sz w:val="22"/>
        </w:rPr>
        <w:t>/IP/2021.</w:t>
      </w:r>
    </w:p>
    <w:p w14:paraId="0EB39537" w14:textId="77777777" w:rsidR="00D67391" w:rsidRPr="0002406F" w:rsidRDefault="00D67391" w:rsidP="00451572">
      <w:pPr>
        <w:spacing w:line="360" w:lineRule="auto"/>
        <w:jc w:val="both"/>
        <w:rPr>
          <w:rFonts w:ascii="Palatino Linotype" w:eastAsia="Palatino Linotype" w:hAnsi="Palatino Linotype" w:cs="Palatino Linotype"/>
          <w:b/>
          <w:sz w:val="22"/>
        </w:rPr>
      </w:pPr>
    </w:p>
    <w:p w14:paraId="7BC6D7F0" w14:textId="5E62A41A" w:rsidR="007A6821" w:rsidRPr="00887E2C" w:rsidRDefault="007A6821" w:rsidP="00887E2C">
      <w:pPr>
        <w:spacing w:line="360" w:lineRule="auto"/>
        <w:jc w:val="both"/>
        <w:rPr>
          <w:rFonts w:ascii="Palatino Linotype" w:eastAsia="Palatino Linotype" w:hAnsi="Palatino Linotype" w:cs="Palatino Linotype"/>
          <w:color w:val="000000"/>
          <w:sz w:val="22"/>
        </w:rPr>
      </w:pPr>
      <w:r w:rsidRPr="00887E2C">
        <w:rPr>
          <w:rFonts w:ascii="Palatino Linotype" w:eastAsia="Palatino Linotype" w:hAnsi="Palatino Linotype" w:cs="Palatino Linotype"/>
          <w:color w:val="000000"/>
          <w:sz w:val="22"/>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6570F19" w14:textId="266AFAEE" w:rsidR="007A6821" w:rsidRDefault="007A6821">
      <w:pPr>
        <w:spacing w:line="360" w:lineRule="auto"/>
        <w:jc w:val="center"/>
        <w:rPr>
          <w:rFonts w:ascii="Palatino Linotype" w:eastAsia="Palatino Linotype" w:hAnsi="Palatino Linotype" w:cs="Palatino Linotype"/>
          <w:b/>
          <w:color w:val="000000"/>
          <w:spacing w:val="20"/>
          <w:szCs w:val="28"/>
        </w:rPr>
      </w:pPr>
      <w:r w:rsidRPr="00887E2C">
        <w:rPr>
          <w:rFonts w:ascii="Palatino Linotype" w:eastAsia="Palatino Linotype" w:hAnsi="Palatino Linotype" w:cs="Palatino Linotype"/>
          <w:b/>
          <w:color w:val="000000"/>
          <w:spacing w:val="20"/>
          <w:szCs w:val="28"/>
        </w:rPr>
        <w:t>RESUELVE</w:t>
      </w:r>
    </w:p>
    <w:p w14:paraId="7129521A" w14:textId="77777777" w:rsidR="007A758B" w:rsidRPr="00887E2C" w:rsidRDefault="007A758B">
      <w:pPr>
        <w:spacing w:line="360" w:lineRule="auto"/>
        <w:jc w:val="center"/>
        <w:rPr>
          <w:rFonts w:ascii="Palatino Linotype" w:eastAsia="Palatino Linotype" w:hAnsi="Palatino Linotype" w:cs="Palatino Linotype"/>
          <w:b/>
          <w:color w:val="000000"/>
          <w:spacing w:val="20"/>
          <w:szCs w:val="28"/>
        </w:rPr>
      </w:pPr>
    </w:p>
    <w:p w14:paraId="67BEE535" w14:textId="77777777" w:rsidR="0002406F" w:rsidRPr="00CE3D9C" w:rsidRDefault="0002406F" w:rsidP="0002406F">
      <w:pPr>
        <w:widowControl w:val="0"/>
        <w:autoSpaceDE w:val="0"/>
        <w:autoSpaceDN w:val="0"/>
        <w:adjustRightInd w:val="0"/>
        <w:spacing w:line="360" w:lineRule="auto"/>
        <w:jc w:val="both"/>
        <w:rPr>
          <w:rFonts w:ascii="Palatino Linotype" w:hAnsi="Palatino Linotype" w:cs="Arial"/>
          <w:color w:val="000000" w:themeColor="text1"/>
          <w:sz w:val="22"/>
          <w:szCs w:val="22"/>
        </w:rPr>
      </w:pPr>
      <w:r w:rsidRPr="00CE3D9C">
        <w:rPr>
          <w:rFonts w:ascii="Palatino Linotype" w:hAnsi="Palatino Linotype" w:cs="Arial"/>
          <w:b/>
          <w:color w:val="000000" w:themeColor="text1"/>
        </w:rPr>
        <w:t>PRIMERO</w:t>
      </w:r>
      <w:r w:rsidRPr="00CE3D9C">
        <w:rPr>
          <w:rFonts w:ascii="Palatino Linotype" w:hAnsi="Palatino Linotype" w:cs="Arial"/>
          <w:b/>
          <w:color w:val="000000" w:themeColor="text1"/>
          <w:sz w:val="22"/>
          <w:szCs w:val="22"/>
        </w:rPr>
        <w:t>.</w:t>
      </w:r>
      <w:r w:rsidRPr="00CE3D9C">
        <w:rPr>
          <w:rFonts w:ascii="Palatino Linotype" w:hAnsi="Palatino Linotype" w:cs="Arial"/>
          <w:color w:val="000000" w:themeColor="text1"/>
          <w:sz w:val="22"/>
          <w:szCs w:val="22"/>
        </w:rPr>
        <w:t xml:space="preserve"> Resultan </w:t>
      </w:r>
      <w:r w:rsidRPr="00CE3D9C">
        <w:rPr>
          <w:rFonts w:ascii="Palatino Linotype" w:hAnsi="Palatino Linotype" w:cs="Arial"/>
          <w:b/>
          <w:bCs/>
          <w:color w:val="000000" w:themeColor="text1"/>
          <w:sz w:val="22"/>
          <w:szCs w:val="22"/>
        </w:rPr>
        <w:t>infundadas</w:t>
      </w:r>
      <w:r w:rsidRPr="00CE3D9C">
        <w:rPr>
          <w:rFonts w:ascii="Palatino Linotype" w:hAnsi="Palatino Linotype" w:cs="Arial"/>
          <w:color w:val="000000" w:themeColor="text1"/>
          <w:sz w:val="22"/>
          <w:szCs w:val="22"/>
        </w:rPr>
        <w:t xml:space="preserve"> las razones o motivos de inconformidad planteadas por </w:t>
      </w:r>
      <w:r w:rsidRPr="00CE3D9C">
        <w:rPr>
          <w:rFonts w:ascii="Palatino Linotype" w:hAnsi="Palatino Linotype" w:cs="Arial"/>
          <w:b/>
          <w:color w:val="000000"/>
          <w:sz w:val="22"/>
          <w:szCs w:val="22"/>
          <w:lang w:eastAsia="es-MX"/>
        </w:rPr>
        <w:t>EL RECURRENTE</w:t>
      </w:r>
      <w:r w:rsidRPr="00CE3D9C">
        <w:rPr>
          <w:rFonts w:ascii="Palatino Linotype" w:hAnsi="Palatino Linotype" w:cs="Arial"/>
          <w:color w:val="000000" w:themeColor="text1"/>
          <w:sz w:val="22"/>
          <w:szCs w:val="22"/>
        </w:rPr>
        <w:t xml:space="preserve"> y analizadas en el Considerando </w:t>
      </w:r>
      <w:r w:rsidRPr="00CE3D9C">
        <w:rPr>
          <w:rFonts w:ascii="Palatino Linotype" w:hAnsi="Palatino Linotype" w:cs="Arial"/>
          <w:b/>
          <w:color w:val="000000" w:themeColor="text1"/>
          <w:sz w:val="22"/>
          <w:szCs w:val="22"/>
        </w:rPr>
        <w:t>QUINTO</w:t>
      </w:r>
      <w:r w:rsidRPr="00CE3D9C">
        <w:rPr>
          <w:rFonts w:ascii="Palatino Linotype" w:hAnsi="Palatino Linotype" w:cs="Arial"/>
          <w:color w:val="000000" w:themeColor="text1"/>
          <w:sz w:val="22"/>
          <w:szCs w:val="22"/>
        </w:rPr>
        <w:t xml:space="preserve"> de esta resolución.</w:t>
      </w:r>
    </w:p>
    <w:p w14:paraId="216C22D5" w14:textId="77777777" w:rsidR="0002406F" w:rsidRPr="00CE3D9C" w:rsidRDefault="0002406F" w:rsidP="0002406F">
      <w:pPr>
        <w:widowControl w:val="0"/>
        <w:autoSpaceDE w:val="0"/>
        <w:autoSpaceDN w:val="0"/>
        <w:adjustRightInd w:val="0"/>
        <w:spacing w:line="360" w:lineRule="auto"/>
        <w:jc w:val="both"/>
        <w:rPr>
          <w:rFonts w:ascii="Palatino Linotype" w:hAnsi="Palatino Linotype" w:cs="Arial"/>
          <w:color w:val="000000" w:themeColor="text1"/>
          <w:sz w:val="22"/>
          <w:szCs w:val="22"/>
        </w:rPr>
      </w:pPr>
    </w:p>
    <w:p w14:paraId="4C811387" w14:textId="046D06FB" w:rsidR="0002406F" w:rsidRPr="00CE3D9C" w:rsidRDefault="0002406F" w:rsidP="0002406F">
      <w:pPr>
        <w:spacing w:line="360" w:lineRule="auto"/>
        <w:jc w:val="both"/>
        <w:rPr>
          <w:rFonts w:ascii="Palatino Linotype" w:hAnsi="Palatino Linotype"/>
          <w:b/>
          <w:sz w:val="22"/>
          <w:szCs w:val="22"/>
        </w:rPr>
      </w:pPr>
      <w:r w:rsidRPr="00CE3D9C">
        <w:rPr>
          <w:rFonts w:ascii="Palatino Linotype" w:hAnsi="Palatino Linotype" w:cs="Arial"/>
          <w:b/>
          <w:color w:val="000000" w:themeColor="text1"/>
        </w:rPr>
        <w:t>SEGUNDO</w:t>
      </w:r>
      <w:r w:rsidRPr="00CE3D9C">
        <w:rPr>
          <w:rFonts w:ascii="Palatino Linotype" w:hAnsi="Palatino Linotype" w:cs="Arial"/>
          <w:b/>
          <w:color w:val="000000" w:themeColor="text1"/>
          <w:sz w:val="22"/>
          <w:szCs w:val="22"/>
        </w:rPr>
        <w:t xml:space="preserve">. </w:t>
      </w:r>
      <w:r w:rsidRPr="00CE3D9C">
        <w:rPr>
          <w:rFonts w:ascii="Palatino Linotype" w:hAnsi="Palatino Linotype" w:cs="Arial"/>
          <w:color w:val="000000" w:themeColor="text1"/>
          <w:sz w:val="22"/>
          <w:szCs w:val="22"/>
        </w:rPr>
        <w:t>Se</w:t>
      </w:r>
      <w:r w:rsidRPr="00CE3D9C">
        <w:rPr>
          <w:rFonts w:ascii="Palatino Linotype" w:hAnsi="Palatino Linotype" w:cs="Arial"/>
          <w:b/>
          <w:color w:val="000000" w:themeColor="text1"/>
          <w:sz w:val="22"/>
          <w:szCs w:val="22"/>
        </w:rPr>
        <w:t xml:space="preserve"> CONFIRMA </w:t>
      </w:r>
      <w:r w:rsidRPr="00CE3D9C">
        <w:rPr>
          <w:rFonts w:ascii="Palatino Linotype" w:hAnsi="Palatino Linotype" w:cs="Arial"/>
          <w:color w:val="000000" w:themeColor="text1"/>
          <w:sz w:val="22"/>
          <w:szCs w:val="22"/>
        </w:rPr>
        <w:t xml:space="preserve">la respuesta del </w:t>
      </w:r>
      <w:r w:rsidRPr="00CE3D9C">
        <w:rPr>
          <w:rFonts w:ascii="Palatino Linotype" w:hAnsi="Palatino Linotype" w:cs="Arial"/>
          <w:b/>
          <w:color w:val="000000" w:themeColor="text1"/>
          <w:sz w:val="22"/>
          <w:szCs w:val="22"/>
        </w:rPr>
        <w:t xml:space="preserve">SUJETO OBLIGADO </w:t>
      </w:r>
      <w:r w:rsidRPr="00CE3D9C">
        <w:rPr>
          <w:rFonts w:ascii="Palatino Linotype" w:hAnsi="Palatino Linotype" w:cs="Arial"/>
          <w:color w:val="000000" w:themeColor="text1"/>
          <w:sz w:val="22"/>
          <w:szCs w:val="22"/>
        </w:rPr>
        <w:t xml:space="preserve">otorgada a la solicitud de información número </w:t>
      </w:r>
      <w:r w:rsidRPr="00CE3D9C">
        <w:rPr>
          <w:rFonts w:ascii="Palatino Linotype" w:eastAsia="Palatino Linotype" w:hAnsi="Palatino Linotype" w:cs="Palatino Linotype"/>
          <w:b/>
          <w:sz w:val="22"/>
          <w:szCs w:val="22"/>
        </w:rPr>
        <w:t>00119/APAXCO/IP/2021</w:t>
      </w:r>
      <w:r w:rsidRPr="00CE3D9C">
        <w:rPr>
          <w:rFonts w:ascii="Palatino Linotype" w:hAnsi="Palatino Linotype" w:cs="Arial"/>
          <w:color w:val="000000" w:themeColor="text1"/>
          <w:sz w:val="22"/>
          <w:szCs w:val="22"/>
        </w:rPr>
        <w:t xml:space="preserve">, en términos del Considerando </w:t>
      </w:r>
      <w:r w:rsidRPr="00CE3D9C">
        <w:rPr>
          <w:rFonts w:ascii="Palatino Linotype" w:hAnsi="Palatino Linotype" w:cs="Arial"/>
          <w:b/>
          <w:color w:val="000000" w:themeColor="text1"/>
          <w:sz w:val="22"/>
          <w:szCs w:val="22"/>
        </w:rPr>
        <w:t>QUINTO</w:t>
      </w:r>
      <w:r w:rsidRPr="00CE3D9C">
        <w:rPr>
          <w:rFonts w:ascii="Palatino Linotype" w:hAnsi="Palatino Linotype" w:cs="Arial"/>
          <w:color w:val="000000" w:themeColor="text1"/>
          <w:sz w:val="22"/>
          <w:szCs w:val="22"/>
        </w:rPr>
        <w:t>.</w:t>
      </w:r>
    </w:p>
    <w:p w14:paraId="0ED70D32" w14:textId="77777777" w:rsidR="0002406F" w:rsidRPr="00CE3D9C" w:rsidRDefault="0002406F" w:rsidP="0002406F">
      <w:pPr>
        <w:pStyle w:val="Prrafodelista"/>
        <w:spacing w:line="360" w:lineRule="auto"/>
        <w:rPr>
          <w:rFonts w:ascii="Palatino Linotype" w:hAnsi="Palatino Linotype" w:cs="Arial"/>
          <w:b/>
          <w:color w:val="000000" w:themeColor="text1"/>
          <w:sz w:val="22"/>
          <w:szCs w:val="22"/>
        </w:rPr>
      </w:pPr>
    </w:p>
    <w:p w14:paraId="6B21E0E6" w14:textId="77777777" w:rsidR="0002406F" w:rsidRPr="00CE3D9C" w:rsidRDefault="0002406F" w:rsidP="0002406F">
      <w:pPr>
        <w:widowControl w:val="0"/>
        <w:autoSpaceDE w:val="0"/>
        <w:autoSpaceDN w:val="0"/>
        <w:adjustRightInd w:val="0"/>
        <w:spacing w:line="360" w:lineRule="auto"/>
        <w:jc w:val="both"/>
        <w:rPr>
          <w:rFonts w:ascii="Palatino Linotype" w:eastAsiaTheme="minorEastAsia" w:hAnsi="Palatino Linotype"/>
          <w:b/>
          <w:color w:val="222222"/>
          <w:sz w:val="22"/>
          <w:szCs w:val="22"/>
          <w:lang w:eastAsia="es-ES_tradnl"/>
        </w:rPr>
      </w:pPr>
      <w:r w:rsidRPr="00CE3D9C">
        <w:rPr>
          <w:rFonts w:ascii="Palatino Linotype" w:hAnsi="Palatino Linotype" w:cs="Arial"/>
          <w:b/>
          <w:color w:val="000000" w:themeColor="text1"/>
        </w:rPr>
        <w:t>TERCERO</w:t>
      </w:r>
      <w:r w:rsidRPr="00CE3D9C">
        <w:rPr>
          <w:rFonts w:ascii="Palatino Linotype" w:hAnsi="Palatino Linotype" w:cs="Arial"/>
          <w:b/>
          <w:color w:val="000000" w:themeColor="text1"/>
          <w:sz w:val="22"/>
          <w:szCs w:val="22"/>
        </w:rPr>
        <w:t xml:space="preserve">. </w:t>
      </w:r>
      <w:r w:rsidRPr="00CE3D9C">
        <w:rPr>
          <w:rFonts w:ascii="Palatino Linotype" w:hAnsi="Palatino Linotype" w:cs="Arial"/>
          <w:b/>
          <w:sz w:val="22"/>
          <w:szCs w:val="22"/>
          <w:lang w:val="es-ES_tradnl"/>
        </w:rPr>
        <w:t xml:space="preserve">Notifíquese </w:t>
      </w:r>
      <w:r w:rsidRPr="00CE3D9C">
        <w:rPr>
          <w:rFonts w:ascii="Palatino Linotype" w:hAnsi="Palatino Linotype" w:cs="Arial"/>
          <w:sz w:val="22"/>
          <w:szCs w:val="22"/>
          <w:lang w:val="es-ES_tradnl"/>
        </w:rPr>
        <w:t xml:space="preserve">la presente resolución al Titular de la Unidad de Transparencia del </w:t>
      </w:r>
      <w:r w:rsidRPr="00CE3D9C">
        <w:rPr>
          <w:rFonts w:ascii="Palatino Linotype" w:hAnsi="Palatino Linotype" w:cs="Arial"/>
          <w:b/>
          <w:sz w:val="22"/>
          <w:szCs w:val="22"/>
          <w:lang w:val="es-ES_tradnl"/>
        </w:rPr>
        <w:t>SUJETO OBLIGADO</w:t>
      </w:r>
      <w:r w:rsidRPr="00CE3D9C">
        <w:rPr>
          <w:rFonts w:ascii="Palatino Linotype" w:hAnsi="Palatino Linotype" w:cs="Arial"/>
          <w:sz w:val="22"/>
          <w:szCs w:val="22"/>
          <w:lang w:val="es-ES_tradnl"/>
        </w:rPr>
        <w:t>, para su conocimiento, a través del Sistema de Acceso a la Información Mexiquense (SAIMEX).</w:t>
      </w:r>
    </w:p>
    <w:p w14:paraId="0DBDB811" w14:textId="77777777" w:rsidR="0002406F" w:rsidRPr="00CE3D9C" w:rsidRDefault="0002406F" w:rsidP="0002406F">
      <w:pPr>
        <w:widowControl w:val="0"/>
        <w:autoSpaceDE w:val="0"/>
        <w:autoSpaceDN w:val="0"/>
        <w:adjustRightInd w:val="0"/>
        <w:spacing w:line="360" w:lineRule="auto"/>
        <w:jc w:val="both"/>
        <w:rPr>
          <w:rFonts w:ascii="Palatino Linotype" w:eastAsiaTheme="minorEastAsia" w:hAnsi="Palatino Linotype"/>
          <w:b/>
          <w:color w:val="222222"/>
          <w:sz w:val="22"/>
          <w:szCs w:val="22"/>
          <w:lang w:eastAsia="es-ES_tradnl"/>
        </w:rPr>
      </w:pPr>
    </w:p>
    <w:p w14:paraId="424B15DA" w14:textId="77777777" w:rsidR="0002406F" w:rsidRPr="00CE3D9C" w:rsidRDefault="0002406F" w:rsidP="0002406F">
      <w:pPr>
        <w:spacing w:line="360" w:lineRule="auto"/>
        <w:jc w:val="both"/>
        <w:rPr>
          <w:rFonts w:ascii="Palatino Linotype" w:hAnsi="Palatino Linotype"/>
          <w:sz w:val="22"/>
          <w:szCs w:val="22"/>
          <w:lang w:eastAsia="es-ES_tradnl"/>
        </w:rPr>
      </w:pPr>
      <w:r w:rsidRPr="00CE3D9C">
        <w:rPr>
          <w:rFonts w:ascii="Palatino Linotype" w:hAnsi="Palatino Linotype"/>
          <w:b/>
          <w:shd w:val="clear" w:color="auto" w:fill="FFFFFF"/>
        </w:rPr>
        <w:lastRenderedPageBreak/>
        <w:t>CUARTO</w:t>
      </w:r>
      <w:r w:rsidRPr="00CE3D9C">
        <w:rPr>
          <w:rFonts w:ascii="Palatino Linotype" w:hAnsi="Palatino Linotype" w:cs="Arial"/>
          <w:b/>
          <w:bCs/>
          <w:sz w:val="22"/>
          <w:szCs w:val="22"/>
          <w:lang w:eastAsia="es-MX"/>
        </w:rPr>
        <w:t xml:space="preserve">. </w:t>
      </w:r>
      <w:r w:rsidRPr="00CE3D9C">
        <w:rPr>
          <w:rFonts w:ascii="Palatino Linotype" w:hAnsi="Palatino Linotype"/>
          <w:b/>
          <w:sz w:val="22"/>
          <w:szCs w:val="22"/>
          <w:lang w:eastAsia="es-ES_tradnl"/>
        </w:rPr>
        <w:t>Notifíquese</w:t>
      </w:r>
      <w:r w:rsidRPr="00CE3D9C">
        <w:rPr>
          <w:rFonts w:ascii="Palatino Linotype" w:hAnsi="Palatino Linotype"/>
          <w:sz w:val="22"/>
          <w:szCs w:val="22"/>
          <w:lang w:eastAsia="es-ES_tradnl"/>
        </w:rPr>
        <w:t xml:space="preserve"> al</w:t>
      </w:r>
      <w:r w:rsidRPr="00CE3D9C">
        <w:rPr>
          <w:rFonts w:ascii="Palatino Linotype" w:hAnsi="Palatino Linotype"/>
          <w:b/>
          <w:bCs/>
          <w:sz w:val="22"/>
          <w:szCs w:val="22"/>
          <w:lang w:eastAsia="es-ES_tradnl"/>
        </w:rPr>
        <w:t xml:space="preserve"> </w:t>
      </w:r>
      <w:r w:rsidRPr="00CE3D9C">
        <w:rPr>
          <w:rFonts w:ascii="Palatino Linotype" w:hAnsi="Palatino Linotype"/>
          <w:b/>
          <w:sz w:val="22"/>
          <w:szCs w:val="22"/>
          <w:lang w:eastAsia="es-ES_tradnl"/>
        </w:rPr>
        <w:t>RECURRENTE</w:t>
      </w:r>
      <w:r w:rsidRPr="00CE3D9C">
        <w:rPr>
          <w:rFonts w:ascii="Palatino Linotype" w:hAnsi="Palatino Linotype"/>
          <w:sz w:val="22"/>
          <w:szCs w:val="22"/>
          <w:lang w:eastAsia="es-ES_tradnl"/>
        </w:rPr>
        <w:t xml:space="preserve"> la presente resolución vía Sistema de Acceso a la Información Mexiquense (</w:t>
      </w:r>
      <w:r w:rsidRPr="00CE3D9C">
        <w:rPr>
          <w:rFonts w:ascii="Palatino Linotype" w:hAnsi="Palatino Linotype"/>
          <w:b/>
          <w:bCs/>
          <w:sz w:val="22"/>
          <w:szCs w:val="22"/>
          <w:lang w:eastAsia="es-ES_tradnl"/>
        </w:rPr>
        <w:t>SAIMEX</w:t>
      </w:r>
      <w:r w:rsidRPr="00CE3D9C">
        <w:rPr>
          <w:rFonts w:ascii="Palatino Linotype" w:hAnsi="Palatino Linotype"/>
          <w:sz w:val="22"/>
          <w:szCs w:val="22"/>
          <w:lang w:eastAsia="es-ES_tradnl"/>
        </w:rPr>
        <w:t>).</w:t>
      </w:r>
    </w:p>
    <w:p w14:paraId="55923671" w14:textId="77777777" w:rsidR="0002406F" w:rsidRPr="00CE3D9C" w:rsidRDefault="0002406F" w:rsidP="0002406F">
      <w:pPr>
        <w:widowControl w:val="0"/>
        <w:autoSpaceDE w:val="0"/>
        <w:autoSpaceDN w:val="0"/>
        <w:adjustRightInd w:val="0"/>
        <w:spacing w:line="360" w:lineRule="auto"/>
        <w:jc w:val="both"/>
        <w:rPr>
          <w:rFonts w:ascii="Palatino Linotype" w:hAnsi="Palatino Linotype"/>
          <w:b/>
          <w:sz w:val="22"/>
          <w:szCs w:val="22"/>
        </w:rPr>
      </w:pPr>
    </w:p>
    <w:p w14:paraId="653F7C9E" w14:textId="342241FB" w:rsidR="0002406F" w:rsidRPr="00CE3D9C" w:rsidRDefault="0002406F" w:rsidP="0002406F">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r w:rsidRPr="00CE3D9C">
        <w:rPr>
          <w:rFonts w:ascii="Palatino Linotype" w:hAnsi="Palatino Linotype" w:cs="Arial"/>
          <w:b/>
          <w:color w:val="000000" w:themeColor="text1"/>
        </w:rPr>
        <w:t>QUINTO</w:t>
      </w:r>
      <w:r w:rsidRPr="00CE3D9C">
        <w:rPr>
          <w:rFonts w:ascii="Palatino Linotype" w:hAnsi="Palatino Linotype" w:cs="Arial"/>
          <w:b/>
          <w:color w:val="000000" w:themeColor="text1"/>
          <w:sz w:val="22"/>
          <w:szCs w:val="22"/>
        </w:rPr>
        <w:t>.</w:t>
      </w:r>
      <w:r w:rsidRPr="00CE3D9C">
        <w:rPr>
          <w:rFonts w:ascii="Palatino Linotype" w:hAnsi="Palatino Linotype"/>
          <w:b/>
          <w:sz w:val="22"/>
          <w:szCs w:val="22"/>
          <w:lang w:eastAsia="es-ES_tradnl"/>
        </w:rPr>
        <w:t xml:space="preserve"> </w:t>
      </w:r>
      <w:r w:rsidRPr="00CE3D9C">
        <w:rPr>
          <w:rFonts w:ascii="Palatino Linotype" w:hAnsi="Palatino Linotype"/>
          <w:b/>
          <w:color w:val="000000" w:themeColor="text1"/>
          <w:sz w:val="22"/>
          <w:szCs w:val="22"/>
          <w:lang w:eastAsia="es-ES_tradnl"/>
        </w:rPr>
        <w:t>Hágase del conocimiento</w:t>
      </w:r>
      <w:r w:rsidRPr="00CE3D9C">
        <w:rPr>
          <w:rFonts w:ascii="Palatino Linotype" w:hAnsi="Palatino Linotype"/>
          <w:color w:val="000000" w:themeColor="text1"/>
          <w:sz w:val="22"/>
          <w:szCs w:val="22"/>
          <w:lang w:eastAsia="es-ES_tradnl"/>
        </w:rPr>
        <w:t xml:space="preserve"> al </w:t>
      </w:r>
      <w:r w:rsidRPr="00CE3D9C">
        <w:rPr>
          <w:rFonts w:ascii="Palatino Linotype" w:eastAsiaTheme="minorEastAsia" w:hAnsi="Palatino Linotype"/>
          <w:b/>
          <w:color w:val="222222"/>
          <w:sz w:val="22"/>
          <w:szCs w:val="22"/>
          <w:lang w:eastAsia="es-ES_tradnl"/>
        </w:rPr>
        <w:t>RECURRENTE</w:t>
      </w:r>
      <w:r w:rsidRPr="00CE3D9C">
        <w:rPr>
          <w:rFonts w:ascii="Palatino Linotype" w:eastAsiaTheme="minorEastAsia" w:hAnsi="Palatino Linotype"/>
          <w:color w:val="222222"/>
          <w:sz w:val="22"/>
          <w:szCs w:val="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14A1A9E" w14:textId="77777777" w:rsidR="0002406F" w:rsidRPr="00CE3D9C" w:rsidRDefault="0002406F" w:rsidP="000240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5B970B84" w14:textId="30299641" w:rsidR="007A6821" w:rsidRPr="0065266D" w:rsidRDefault="007A6821" w:rsidP="0065266D">
      <w:pPr>
        <w:spacing w:line="360" w:lineRule="auto"/>
        <w:jc w:val="both"/>
        <w:rPr>
          <w:rFonts w:ascii="Palatino Linotype" w:hAnsi="Palatino Linotype" w:cs="Arial"/>
          <w:sz w:val="22"/>
        </w:rPr>
      </w:pPr>
      <w:r w:rsidRPr="00CE3D9C">
        <w:rPr>
          <w:rFonts w:ascii="Palatino Linotype" w:hAnsi="Palatino Linotype"/>
          <w:sz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w:t>
      </w:r>
      <w:r w:rsidRPr="00887E2C">
        <w:rPr>
          <w:rFonts w:ascii="Palatino Linotype" w:hAnsi="Palatino Linotype"/>
          <w:sz w:val="22"/>
        </w:rPr>
        <w:t xml:space="preserve"> RAMÍREZ PEÑA; EN LA </w:t>
      </w:r>
      <w:r w:rsidR="0002406F">
        <w:rPr>
          <w:rFonts w:ascii="Palatino Linotype" w:hAnsi="Palatino Linotype"/>
          <w:sz w:val="22"/>
        </w:rPr>
        <w:t>SÉPTIMA</w:t>
      </w:r>
      <w:r w:rsidRPr="00887E2C">
        <w:rPr>
          <w:rFonts w:ascii="Palatino Linotype" w:hAnsi="Palatino Linotype"/>
          <w:sz w:val="22"/>
        </w:rPr>
        <w:t xml:space="preserve"> SESIÓN ORDINARIA CELEBRADA EL </w:t>
      </w:r>
      <w:r w:rsidR="0002406F">
        <w:rPr>
          <w:rFonts w:ascii="Palatino Linotype" w:hAnsi="Palatino Linotype"/>
          <w:sz w:val="22"/>
        </w:rPr>
        <w:t xml:space="preserve">VEINTITRÉS </w:t>
      </w:r>
      <w:r w:rsidRPr="00887E2C">
        <w:rPr>
          <w:rFonts w:ascii="Palatino Linotype" w:hAnsi="Palatino Linotype"/>
          <w:sz w:val="22"/>
        </w:rPr>
        <w:t xml:space="preserve">DE FEBRERO DE </w:t>
      </w:r>
      <w:r w:rsidR="00F76C65" w:rsidRPr="00887E2C">
        <w:rPr>
          <w:rFonts w:ascii="Palatino Linotype" w:hAnsi="Palatino Linotype"/>
          <w:sz w:val="22"/>
        </w:rPr>
        <w:t>DOS MIL VEINTIDÓ</w:t>
      </w:r>
      <w:r w:rsidRPr="00887E2C">
        <w:rPr>
          <w:rFonts w:ascii="Palatino Linotype" w:hAnsi="Palatino Linotype"/>
          <w:sz w:val="22"/>
        </w:rPr>
        <w:t>S, ANTE EL SECRETARIO TÉCNICO DEL PLENO, ALEXIS TAPIA RAMÍREZ.</w:t>
      </w:r>
      <w:r w:rsidRPr="00887E2C">
        <w:rPr>
          <w:rFonts w:ascii="Palatino Linotype" w:hAnsi="Palatino Linotype"/>
          <w:sz w:val="22"/>
        </w:rPr>
        <w:br w:type="page"/>
      </w:r>
    </w:p>
    <w:p w14:paraId="17CF4D64" w14:textId="77777777" w:rsidR="00887E2C" w:rsidRPr="00887E2C" w:rsidRDefault="00887E2C" w:rsidP="00624F14">
      <w:pPr>
        <w:spacing w:line="360" w:lineRule="auto"/>
        <w:rPr>
          <w:sz w:val="22"/>
        </w:rPr>
      </w:pPr>
    </w:p>
    <w:sectPr w:rsidR="00887E2C" w:rsidRPr="00887E2C" w:rsidSect="000B1A5E">
      <w:headerReference w:type="even" r:id="rId21"/>
      <w:headerReference w:type="default" r:id="rId22"/>
      <w:footerReference w:type="default" r:id="rId23"/>
      <w:headerReference w:type="first" r:id="rId24"/>
      <w:footerReference w:type="first" r:id="rId25"/>
      <w:pgSz w:w="12240" w:h="15840"/>
      <w:pgMar w:top="124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AB649" w14:textId="77777777" w:rsidR="0098323C" w:rsidRDefault="0098323C" w:rsidP="007A6821">
      <w:r>
        <w:separator/>
      </w:r>
    </w:p>
  </w:endnote>
  <w:endnote w:type="continuationSeparator" w:id="0">
    <w:p w14:paraId="4604BEB7" w14:textId="77777777" w:rsidR="0098323C" w:rsidRDefault="0098323C" w:rsidP="007A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C30C7" w14:textId="7F4B07C8" w:rsidR="000B1A5E" w:rsidRPr="0010196A" w:rsidRDefault="008700D1" w:rsidP="000B1A5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21B9">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21B9">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9A1FA" w14:textId="44E0D35B" w:rsidR="000B1A5E" w:rsidRPr="0010196A" w:rsidRDefault="008700D1" w:rsidP="000B1A5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21B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21B9">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C8F02" w14:textId="77777777" w:rsidR="0098323C" w:rsidRDefault="0098323C" w:rsidP="007A6821">
      <w:r>
        <w:separator/>
      </w:r>
    </w:p>
  </w:footnote>
  <w:footnote w:type="continuationSeparator" w:id="0">
    <w:p w14:paraId="6521474C" w14:textId="77777777" w:rsidR="0098323C" w:rsidRDefault="0098323C" w:rsidP="007A6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D91D9" w14:textId="77777777" w:rsidR="000B1A5E" w:rsidRDefault="0098323C">
    <w:pPr>
      <w:pStyle w:val="Encabezado"/>
    </w:pPr>
    <w:r>
      <w:rPr>
        <w:noProof/>
        <w:lang w:val="es-MX" w:eastAsia="es-MX"/>
      </w:rPr>
      <w:pict w14:anchorId="6CBBC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7E1B4" w14:textId="77777777" w:rsidR="000B1A5E" w:rsidRPr="0010196A" w:rsidRDefault="0098323C" w:rsidP="000B1A5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B816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B1A5E" w:rsidRPr="008F2CCC" w14:paraId="10921706" w14:textId="77777777" w:rsidTr="000B1A5E">
      <w:tc>
        <w:tcPr>
          <w:tcW w:w="3261" w:type="dxa"/>
          <w:vMerge w:val="restart"/>
        </w:tcPr>
        <w:p w14:paraId="218A9CE5" w14:textId="77777777" w:rsidR="000B1A5E" w:rsidRPr="008F2CCC" w:rsidRDefault="008700D1" w:rsidP="000B1A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F82EA42" wp14:editId="4C61C177">
                <wp:extent cx="1663440" cy="83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DB1C33F" w14:textId="77777777" w:rsidR="000B1A5E" w:rsidRPr="00664658" w:rsidRDefault="008700D1" w:rsidP="000B1A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079C41B9" w14:textId="77777777" w:rsidR="000B1A5E" w:rsidRPr="00664658" w:rsidRDefault="007A6821" w:rsidP="007A6821">
          <w:pPr>
            <w:jc w:val="both"/>
            <w:rPr>
              <w:rFonts w:ascii="Palatino Linotype" w:hAnsi="Palatino Linotype"/>
              <w:b/>
              <w:sz w:val="22"/>
              <w:szCs w:val="22"/>
              <w:lang w:val="es-ES_tradnl"/>
            </w:rPr>
          </w:pPr>
          <w:bookmarkStart w:id="13" w:name="_Hlk92389047"/>
          <w:r>
            <w:rPr>
              <w:rFonts w:ascii="Palatino Linotype" w:hAnsi="Palatino Linotype"/>
              <w:b/>
              <w:bCs/>
              <w:sz w:val="22"/>
              <w:szCs w:val="22"/>
            </w:rPr>
            <w:t>00052</w:t>
          </w:r>
          <w:r w:rsidR="008700D1" w:rsidRPr="004B29B3">
            <w:rPr>
              <w:rFonts w:ascii="Palatino Linotype" w:hAnsi="Palatino Linotype"/>
              <w:b/>
              <w:bCs/>
              <w:sz w:val="22"/>
              <w:szCs w:val="22"/>
            </w:rPr>
            <w:t>/INFOEM/IP/RR/</w:t>
          </w:r>
          <w:bookmarkEnd w:id="13"/>
          <w:r w:rsidR="008700D1">
            <w:rPr>
              <w:rFonts w:ascii="Palatino Linotype" w:hAnsi="Palatino Linotype"/>
              <w:b/>
              <w:bCs/>
              <w:sz w:val="22"/>
              <w:szCs w:val="22"/>
            </w:rPr>
            <w:t>202</w:t>
          </w:r>
          <w:r>
            <w:rPr>
              <w:rFonts w:ascii="Palatino Linotype" w:hAnsi="Palatino Linotype"/>
              <w:b/>
              <w:bCs/>
              <w:sz w:val="22"/>
              <w:szCs w:val="22"/>
            </w:rPr>
            <w:t>2</w:t>
          </w:r>
        </w:p>
      </w:tc>
    </w:tr>
    <w:tr w:rsidR="000B1A5E" w:rsidRPr="008F2CCC" w14:paraId="7AA95F66" w14:textId="77777777" w:rsidTr="000B1A5E">
      <w:tc>
        <w:tcPr>
          <w:tcW w:w="3261" w:type="dxa"/>
          <w:vMerge/>
        </w:tcPr>
        <w:p w14:paraId="4F89F93A" w14:textId="77777777" w:rsidR="000B1A5E" w:rsidRPr="008F2CCC" w:rsidRDefault="0098323C" w:rsidP="000B1A5E">
          <w:pPr>
            <w:rPr>
              <w:rFonts w:ascii="Palatino Linotype" w:hAnsi="Palatino Linotype"/>
              <w:b/>
              <w:sz w:val="22"/>
              <w:szCs w:val="22"/>
              <w:lang w:val="es-ES_tradnl"/>
            </w:rPr>
          </w:pPr>
        </w:p>
      </w:tc>
      <w:tc>
        <w:tcPr>
          <w:tcW w:w="2551" w:type="dxa"/>
          <w:shd w:val="clear" w:color="auto" w:fill="auto"/>
        </w:tcPr>
        <w:p w14:paraId="7B2AFAD0" w14:textId="77777777" w:rsidR="000B1A5E" w:rsidRPr="00664658" w:rsidRDefault="008700D1" w:rsidP="000B1A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AE4E81C" w14:textId="77777777" w:rsidR="000B1A5E" w:rsidRPr="00D41D47" w:rsidRDefault="007A6821" w:rsidP="000B1A5E">
          <w:pPr>
            <w:jc w:val="both"/>
            <w:rPr>
              <w:rFonts w:ascii="Palatino Linotype" w:hAnsi="Palatino Linotype"/>
              <w:b/>
              <w:sz w:val="22"/>
              <w:szCs w:val="22"/>
              <w:lang w:val="es-ES_tradnl"/>
            </w:rPr>
          </w:pPr>
          <w:r>
            <w:rPr>
              <w:rFonts w:ascii="Palatino Linotype" w:eastAsia="Palatino Linotype" w:hAnsi="Palatino Linotype" w:cs="Palatino Linotype"/>
              <w:b/>
              <w:sz w:val="22"/>
              <w:szCs w:val="22"/>
            </w:rPr>
            <w:t>Ayuntamiento de Apaxco</w:t>
          </w:r>
        </w:p>
      </w:tc>
    </w:tr>
    <w:tr w:rsidR="000B1A5E" w:rsidRPr="008F2CCC" w14:paraId="7B4BCE03" w14:textId="77777777" w:rsidTr="000B1A5E">
      <w:trPr>
        <w:trHeight w:val="228"/>
      </w:trPr>
      <w:tc>
        <w:tcPr>
          <w:tcW w:w="3261" w:type="dxa"/>
          <w:vMerge/>
        </w:tcPr>
        <w:p w14:paraId="4EBDB51B" w14:textId="77777777" w:rsidR="000B1A5E" w:rsidRPr="008F2CCC" w:rsidRDefault="0098323C" w:rsidP="000B1A5E">
          <w:pPr>
            <w:rPr>
              <w:rFonts w:ascii="Palatino Linotype" w:hAnsi="Palatino Linotype"/>
              <w:b/>
              <w:sz w:val="22"/>
              <w:szCs w:val="22"/>
              <w:lang w:val="es-ES_tradnl"/>
            </w:rPr>
          </w:pPr>
        </w:p>
      </w:tc>
      <w:tc>
        <w:tcPr>
          <w:tcW w:w="2551" w:type="dxa"/>
          <w:shd w:val="clear" w:color="auto" w:fill="auto"/>
        </w:tcPr>
        <w:p w14:paraId="5ED999C2" w14:textId="77777777" w:rsidR="000B1A5E" w:rsidRPr="00BC450B" w:rsidRDefault="008700D1" w:rsidP="000B1A5E">
          <w:pPr>
            <w:rPr>
              <w:rFonts w:ascii="Palatino Linotype" w:hAnsi="Palatino Linotype"/>
              <w:b/>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722" w:type="dxa"/>
          <w:shd w:val="clear" w:color="auto" w:fill="auto"/>
        </w:tcPr>
        <w:p w14:paraId="5CEC9638" w14:textId="77777777" w:rsidR="000B1A5E" w:rsidRPr="00BC450B" w:rsidRDefault="007A6821" w:rsidP="000B1A5E">
          <w:pPr>
            <w:jc w:val="both"/>
            <w:rPr>
              <w:rFonts w:ascii="Palatino Linotype" w:hAnsi="Palatino Linotype"/>
              <w:b/>
              <w:sz w:val="22"/>
              <w:szCs w:val="22"/>
              <w:lang w:val="es-ES_tradnl"/>
            </w:rPr>
          </w:pPr>
          <w:r>
            <w:rPr>
              <w:rFonts w:ascii="Palatino Linotype" w:hAnsi="Palatino Linotype"/>
              <w:b/>
              <w:bCs/>
              <w:sz w:val="22"/>
              <w:szCs w:val="22"/>
            </w:rPr>
            <w:t>Luis Gustavo Parra Noriega</w:t>
          </w:r>
        </w:p>
      </w:tc>
    </w:tr>
  </w:tbl>
  <w:p w14:paraId="262B49F8" w14:textId="77777777" w:rsidR="000B1A5E" w:rsidRPr="0010196A" w:rsidRDefault="0098323C" w:rsidP="000B1A5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E440" w14:textId="77777777" w:rsidR="000B1A5E" w:rsidRPr="0010196A" w:rsidRDefault="0098323C">
    <w:pPr>
      <w:rPr>
        <w:rFonts w:ascii="Palatino Linotype" w:hAnsi="Palatino Linotype"/>
        <w:sz w:val="28"/>
        <w:szCs w:val="28"/>
      </w:rPr>
    </w:pPr>
    <w:r>
      <w:rPr>
        <w:rFonts w:ascii="Palatino Linotype" w:hAnsi="Palatino Linotype"/>
        <w:noProof/>
        <w:sz w:val="28"/>
        <w:szCs w:val="28"/>
        <w:lang w:eastAsia="es-MX"/>
      </w:rPr>
      <w:pict w14:anchorId="5D47C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B1A5E" w:rsidRPr="008F2CCC" w14:paraId="607238C5" w14:textId="77777777" w:rsidTr="1BB75220">
      <w:tc>
        <w:tcPr>
          <w:tcW w:w="3805" w:type="dxa"/>
          <w:vMerge w:val="restart"/>
          <w:shd w:val="clear" w:color="auto" w:fill="auto"/>
        </w:tcPr>
        <w:p w14:paraId="64D43D98" w14:textId="77777777" w:rsidR="000B1A5E" w:rsidRPr="008F2CCC" w:rsidRDefault="008700D1" w:rsidP="000B1A5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52D8E91" wp14:editId="5FC32724">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3D4BE1F6" w14:textId="77777777" w:rsidR="000B1A5E" w:rsidRPr="008F2CCC" w:rsidRDefault="008700D1"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232869DE" w14:textId="77777777" w:rsidR="000B1A5E" w:rsidRPr="008F2CCC" w:rsidRDefault="007A6821" w:rsidP="007A6821">
          <w:pPr>
            <w:jc w:val="both"/>
            <w:rPr>
              <w:rFonts w:ascii="Palatino Linotype" w:hAnsi="Palatino Linotype"/>
              <w:b/>
              <w:sz w:val="22"/>
              <w:szCs w:val="22"/>
              <w:lang w:val="es-ES_tradnl"/>
            </w:rPr>
          </w:pPr>
          <w:r>
            <w:rPr>
              <w:rFonts w:ascii="Palatino Linotype" w:hAnsi="Palatino Linotype"/>
              <w:b/>
              <w:bCs/>
              <w:sz w:val="22"/>
              <w:szCs w:val="22"/>
            </w:rPr>
            <w:t>00052</w:t>
          </w:r>
          <w:r w:rsidR="008700D1" w:rsidRPr="000A27E2">
            <w:rPr>
              <w:rFonts w:ascii="Palatino Linotype" w:hAnsi="Palatino Linotype"/>
              <w:b/>
              <w:bCs/>
              <w:sz w:val="22"/>
              <w:szCs w:val="22"/>
            </w:rPr>
            <w:t>/INFOEM/IP/RR/202</w:t>
          </w:r>
          <w:r>
            <w:rPr>
              <w:rFonts w:ascii="Palatino Linotype" w:hAnsi="Palatino Linotype"/>
              <w:b/>
              <w:bCs/>
              <w:sz w:val="22"/>
              <w:szCs w:val="22"/>
            </w:rPr>
            <w:t>2</w:t>
          </w:r>
          <w:r w:rsidR="008700D1">
            <w:rPr>
              <w:rFonts w:ascii="Palatino Linotype" w:hAnsi="Palatino Linotype"/>
              <w:b/>
              <w:bCs/>
              <w:sz w:val="22"/>
              <w:szCs w:val="22"/>
            </w:rPr>
            <w:t xml:space="preserve"> </w:t>
          </w:r>
        </w:p>
      </w:tc>
    </w:tr>
    <w:tr w:rsidR="000B1A5E" w:rsidRPr="008F2CCC" w14:paraId="090C64FC" w14:textId="77777777" w:rsidTr="1BB75220">
      <w:tc>
        <w:tcPr>
          <w:tcW w:w="3805" w:type="dxa"/>
          <w:vMerge/>
        </w:tcPr>
        <w:p w14:paraId="18F8D694" w14:textId="77777777" w:rsidR="000B1A5E" w:rsidRPr="008F2CCC" w:rsidRDefault="0098323C" w:rsidP="000B1A5E">
          <w:pPr>
            <w:rPr>
              <w:rFonts w:ascii="Palatino Linotype" w:hAnsi="Palatino Linotype"/>
              <w:b/>
              <w:sz w:val="22"/>
              <w:szCs w:val="22"/>
              <w:lang w:val="es-ES_tradnl"/>
            </w:rPr>
          </w:pPr>
          <w:bookmarkStart w:id="14" w:name="_Hlk80706940"/>
        </w:p>
      </w:tc>
      <w:tc>
        <w:tcPr>
          <w:tcW w:w="3000" w:type="dxa"/>
          <w:shd w:val="clear" w:color="auto" w:fill="auto"/>
        </w:tcPr>
        <w:p w14:paraId="1D4CACA8" w14:textId="77777777" w:rsidR="000B1A5E" w:rsidRPr="008F2CCC" w:rsidRDefault="008700D1" w:rsidP="000B1A5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2188680C" w14:textId="1BA4282F" w:rsidR="000B1A5E" w:rsidRPr="008F2CCC" w:rsidRDefault="1BB75220" w:rsidP="1BB75220">
          <w:pPr>
            <w:jc w:val="both"/>
            <w:rPr>
              <w:rFonts w:ascii="Palatino Linotype" w:eastAsia="Palatino Linotype" w:hAnsi="Palatino Linotype" w:cs="Palatino Linotype"/>
              <w:b/>
              <w:bCs/>
              <w:sz w:val="22"/>
              <w:szCs w:val="22"/>
              <w:lang w:val="es-ES_tradnl"/>
            </w:rPr>
          </w:pPr>
          <w:r w:rsidRPr="1BB75220">
            <w:rPr>
              <w:rFonts w:ascii="Palatino Linotype" w:eastAsia="Palatino Linotype" w:hAnsi="Palatino Linotype" w:cs="Palatino Linotype"/>
              <w:sz w:val="22"/>
              <w:szCs w:val="22"/>
              <w:highlight w:val="black"/>
            </w:rPr>
            <w:t>XXXXXXXXXXXXXXXXXXXXXXXXX</w:t>
          </w:r>
        </w:p>
      </w:tc>
    </w:tr>
    <w:bookmarkEnd w:id="14"/>
    <w:tr w:rsidR="000B1A5E" w:rsidRPr="008F2CCC" w14:paraId="7C6950F2" w14:textId="77777777" w:rsidTr="1BB75220">
      <w:trPr>
        <w:trHeight w:val="228"/>
      </w:trPr>
      <w:tc>
        <w:tcPr>
          <w:tcW w:w="3805" w:type="dxa"/>
          <w:vMerge/>
        </w:tcPr>
        <w:p w14:paraId="3B8ADC1B" w14:textId="77777777" w:rsidR="000B1A5E" w:rsidRPr="008F2CCC" w:rsidRDefault="0098323C" w:rsidP="000B1A5E">
          <w:pPr>
            <w:rPr>
              <w:rFonts w:ascii="Palatino Linotype" w:hAnsi="Palatino Linotype"/>
              <w:b/>
              <w:sz w:val="22"/>
              <w:szCs w:val="22"/>
              <w:lang w:val="es-ES_tradnl"/>
            </w:rPr>
          </w:pPr>
        </w:p>
      </w:tc>
      <w:tc>
        <w:tcPr>
          <w:tcW w:w="3000" w:type="dxa"/>
          <w:shd w:val="clear" w:color="auto" w:fill="auto"/>
        </w:tcPr>
        <w:p w14:paraId="592AD95D" w14:textId="77777777" w:rsidR="000B1A5E" w:rsidRPr="008F2CCC" w:rsidRDefault="008700D1" w:rsidP="000B1A5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5BE1B1A8" w14:textId="77777777" w:rsidR="000B1A5E" w:rsidRPr="00DC41C8" w:rsidRDefault="007A6821" w:rsidP="000B1A5E">
          <w:pPr>
            <w:jc w:val="both"/>
            <w:rPr>
              <w:rFonts w:ascii="Palatino Linotype" w:hAnsi="Palatino Linotype"/>
              <w:b/>
              <w:sz w:val="22"/>
              <w:szCs w:val="22"/>
            </w:rPr>
          </w:pPr>
          <w:r>
            <w:rPr>
              <w:rFonts w:ascii="Palatino Linotype" w:eastAsia="Palatino Linotype" w:hAnsi="Palatino Linotype" w:cs="Palatino Linotype"/>
              <w:b/>
              <w:sz w:val="22"/>
              <w:szCs w:val="22"/>
            </w:rPr>
            <w:t>Ayuntamiento de Apaxco</w:t>
          </w:r>
        </w:p>
      </w:tc>
    </w:tr>
    <w:tr w:rsidR="000B1A5E" w:rsidRPr="008F2CCC" w14:paraId="5238FB20" w14:textId="77777777" w:rsidTr="1BB75220">
      <w:tc>
        <w:tcPr>
          <w:tcW w:w="3805" w:type="dxa"/>
          <w:vMerge/>
        </w:tcPr>
        <w:p w14:paraId="6F5348BA" w14:textId="77777777" w:rsidR="000B1A5E" w:rsidRPr="008F2CCC" w:rsidRDefault="0098323C" w:rsidP="000B1A5E">
          <w:pPr>
            <w:rPr>
              <w:rFonts w:ascii="Palatino Linotype" w:hAnsi="Palatino Linotype"/>
              <w:b/>
              <w:sz w:val="22"/>
              <w:szCs w:val="22"/>
              <w:lang w:val="es-ES_tradnl"/>
            </w:rPr>
          </w:pPr>
        </w:p>
      </w:tc>
      <w:tc>
        <w:tcPr>
          <w:tcW w:w="3000" w:type="dxa"/>
          <w:shd w:val="clear" w:color="auto" w:fill="auto"/>
        </w:tcPr>
        <w:p w14:paraId="6919E84D" w14:textId="77777777" w:rsidR="000B1A5E" w:rsidRPr="00BC450B" w:rsidRDefault="008700D1" w:rsidP="000B1A5E">
          <w:pPr>
            <w:rPr>
              <w:rFonts w:ascii="Palatino Linotype" w:hAnsi="Palatino Linotype"/>
              <w:b/>
              <w:bCs/>
              <w:sz w:val="22"/>
              <w:szCs w:val="22"/>
              <w:lang w:val="es-ES_tradnl"/>
            </w:rPr>
          </w:pPr>
          <w:r>
            <w:rPr>
              <w:rFonts w:ascii="Palatino Linotype" w:hAnsi="Palatino Linotype"/>
              <w:b/>
              <w:bCs/>
              <w:sz w:val="22"/>
              <w:szCs w:val="22"/>
            </w:rPr>
            <w:t>Comisionado</w:t>
          </w:r>
          <w:r w:rsidRPr="00BC450B">
            <w:rPr>
              <w:rFonts w:ascii="Palatino Linotype" w:hAnsi="Palatino Linotype"/>
              <w:b/>
              <w:bCs/>
              <w:sz w:val="22"/>
              <w:szCs w:val="22"/>
            </w:rPr>
            <w:t xml:space="preserve"> Ponente:</w:t>
          </w:r>
        </w:p>
      </w:tc>
      <w:tc>
        <w:tcPr>
          <w:tcW w:w="3095" w:type="dxa"/>
          <w:shd w:val="clear" w:color="auto" w:fill="auto"/>
        </w:tcPr>
        <w:p w14:paraId="21F1BEFF" w14:textId="77777777" w:rsidR="000B1A5E" w:rsidRPr="00BC450B" w:rsidRDefault="007A6821" w:rsidP="000B1A5E">
          <w:pPr>
            <w:jc w:val="both"/>
            <w:rPr>
              <w:rFonts w:ascii="Palatino Linotype" w:hAnsi="Palatino Linotype"/>
              <w:b/>
              <w:bCs/>
              <w:sz w:val="22"/>
              <w:szCs w:val="22"/>
              <w:lang w:val="es-ES_tradnl"/>
            </w:rPr>
          </w:pPr>
          <w:r>
            <w:rPr>
              <w:rFonts w:ascii="Palatino Linotype" w:eastAsia="Palatino Linotype" w:hAnsi="Palatino Linotype" w:cs="Palatino Linotype"/>
              <w:b/>
              <w:sz w:val="22"/>
              <w:szCs w:val="22"/>
            </w:rPr>
            <w:t>Luis Gustavo Parra Noriega</w:t>
          </w:r>
        </w:p>
      </w:tc>
    </w:tr>
  </w:tbl>
  <w:p w14:paraId="6F06E732" w14:textId="77777777" w:rsidR="000B1A5E" w:rsidRPr="0010196A" w:rsidRDefault="0098323C" w:rsidP="000B1A5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0324D"/>
    <w:multiLevelType w:val="hybridMultilevel"/>
    <w:tmpl w:val="F3B4F854"/>
    <w:lvl w:ilvl="0" w:tplc="080A0001">
      <w:start w:val="1"/>
      <w:numFmt w:val="bullet"/>
      <w:lvlText w:val=""/>
      <w:lvlJc w:val="left"/>
      <w:pPr>
        <w:ind w:left="720" w:hanging="360"/>
      </w:pPr>
      <w:rPr>
        <w:rFonts w:ascii="Symbol" w:hAnsi="Symbol" w:hint="default"/>
      </w:rPr>
    </w:lvl>
    <w:lvl w:ilvl="1" w:tplc="72360D02">
      <w:numFmt w:val="bullet"/>
      <w:lvlText w:val="-"/>
      <w:lvlJc w:val="left"/>
      <w:pPr>
        <w:ind w:left="1440" w:hanging="36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7F1948"/>
    <w:multiLevelType w:val="hybridMultilevel"/>
    <w:tmpl w:val="143CC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21"/>
    <w:rsid w:val="0002406F"/>
    <w:rsid w:val="0007650C"/>
    <w:rsid w:val="000D16B3"/>
    <w:rsid w:val="001B21B9"/>
    <w:rsid w:val="00332ED1"/>
    <w:rsid w:val="00371464"/>
    <w:rsid w:val="003B334A"/>
    <w:rsid w:val="003D5378"/>
    <w:rsid w:val="00451572"/>
    <w:rsid w:val="004A1860"/>
    <w:rsid w:val="00512034"/>
    <w:rsid w:val="005418D4"/>
    <w:rsid w:val="00546645"/>
    <w:rsid w:val="005A7E0E"/>
    <w:rsid w:val="005B2C1E"/>
    <w:rsid w:val="005D218C"/>
    <w:rsid w:val="00624F14"/>
    <w:rsid w:val="00636D0C"/>
    <w:rsid w:val="0065266D"/>
    <w:rsid w:val="006620BE"/>
    <w:rsid w:val="006D7140"/>
    <w:rsid w:val="007A6821"/>
    <w:rsid w:val="007A758B"/>
    <w:rsid w:val="00862DEB"/>
    <w:rsid w:val="00863025"/>
    <w:rsid w:val="008700D1"/>
    <w:rsid w:val="00887E2C"/>
    <w:rsid w:val="008A2BFE"/>
    <w:rsid w:val="00970565"/>
    <w:rsid w:val="0098323C"/>
    <w:rsid w:val="00994A74"/>
    <w:rsid w:val="009A117D"/>
    <w:rsid w:val="009E249B"/>
    <w:rsid w:val="00A6080D"/>
    <w:rsid w:val="00AA0366"/>
    <w:rsid w:val="00AA09F8"/>
    <w:rsid w:val="00AB5095"/>
    <w:rsid w:val="00B0152F"/>
    <w:rsid w:val="00B43BB2"/>
    <w:rsid w:val="00BB26CE"/>
    <w:rsid w:val="00CE3D9C"/>
    <w:rsid w:val="00CF3C11"/>
    <w:rsid w:val="00D37444"/>
    <w:rsid w:val="00D37CC6"/>
    <w:rsid w:val="00D67391"/>
    <w:rsid w:val="00DB01E0"/>
    <w:rsid w:val="00DD1A26"/>
    <w:rsid w:val="00E34441"/>
    <w:rsid w:val="00F204CC"/>
    <w:rsid w:val="00F76C65"/>
    <w:rsid w:val="1BB752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5000B2"/>
  <w15:chartTrackingRefBased/>
  <w15:docId w15:val="{074CE9C2-C7E3-4231-9685-08D8D447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82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68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A6821"/>
    <w:rPr>
      <w:rFonts w:eastAsiaTheme="minorEastAsia"/>
      <w:sz w:val="24"/>
      <w:szCs w:val="24"/>
      <w:lang w:val="es-ES_tradnl" w:eastAsia="es-ES"/>
    </w:rPr>
  </w:style>
  <w:style w:type="paragraph" w:styleId="Piedepgina">
    <w:name w:val="footer"/>
    <w:basedOn w:val="Normal"/>
    <w:link w:val="PiedepginaCar"/>
    <w:uiPriority w:val="99"/>
    <w:unhideWhenUsed/>
    <w:rsid w:val="007A68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A682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A682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A6821"/>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7A6821"/>
    <w:rPr>
      <w:sz w:val="20"/>
      <w:szCs w:val="20"/>
      <w:lang w:eastAsia="es-MX"/>
    </w:rPr>
  </w:style>
  <w:style w:type="character" w:customStyle="1" w:styleId="TextonotapieCar">
    <w:name w:val="Texto nota pie Car"/>
    <w:basedOn w:val="Fuentedeprrafopredeter"/>
    <w:link w:val="Textonotapie"/>
    <w:uiPriority w:val="99"/>
    <w:semiHidden/>
    <w:rsid w:val="007A6821"/>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7A6821"/>
    <w:rPr>
      <w:vertAlign w:val="superscript"/>
    </w:rPr>
  </w:style>
  <w:style w:type="paragraph" w:styleId="Textodeglobo">
    <w:name w:val="Balloon Text"/>
    <w:basedOn w:val="Normal"/>
    <w:link w:val="TextodegloboCar"/>
    <w:uiPriority w:val="99"/>
    <w:semiHidden/>
    <w:unhideWhenUsed/>
    <w:rsid w:val="00887E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7E2C"/>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D67391"/>
    <w:rPr>
      <w:color w:val="0563C1" w:themeColor="hyperlink"/>
      <w:u w:val="single"/>
    </w:rPr>
  </w:style>
  <w:style w:type="character" w:customStyle="1" w:styleId="Mencinsinresolver1">
    <w:name w:val="Mención sin resolver1"/>
    <w:basedOn w:val="Fuentedeprrafopredeter"/>
    <w:uiPriority w:val="99"/>
    <w:semiHidden/>
    <w:unhideWhenUsed/>
    <w:rsid w:val="00D67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9736.page" TargetMode="External"/><Relationship Id="rId13" Type="http://schemas.openxmlformats.org/officeDocument/2006/relationships/hyperlink" Target="https://www.saimex.org.mx/saimex/solicitud/downloadAttach/1307024.pag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307023.page"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07022.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pomex.org.mx/recursos/ipo/files_ipo3/2019/43044/9/ac8e85aa254e8f81b82ac6319ef0aaa1.pdf" TargetMode="External"/><Relationship Id="rId23" Type="http://schemas.openxmlformats.org/officeDocument/2006/relationships/footer" Target="footer1.xml"/><Relationship Id="rId10" Type="http://schemas.openxmlformats.org/officeDocument/2006/relationships/hyperlink" Target="https://www.saimex.org.mx/saimex/solicitud/downloadAttach/1307021.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299737.page" TargetMode="External"/><Relationship Id="rId14" Type="http://schemas.openxmlformats.org/officeDocument/2006/relationships/hyperlink" Target="https://www.saimex.org.mx/saimex/solicitud/downloadAttach/1307025.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A365C-BB1B-4C9D-9F8D-ED9B2F1B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4970</Words>
  <Characters>27336</Characters>
  <Application>Microsoft Office Word</Application>
  <DocSecurity>0</DocSecurity>
  <Lines>227</Lines>
  <Paragraphs>64</Paragraphs>
  <ScaleCrop>false</ScaleCrop>
  <Company/>
  <LinksUpToDate>false</LinksUpToDate>
  <CharactersWithSpaces>32242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5</cp:revision>
  <dcterms:created xsi:type="dcterms:W3CDTF">2022-02-18T00:51:00Z</dcterms:created>
  <dcterms:modified xsi:type="dcterms:W3CDTF">2022-05-06T19:38:00Z</dcterms:modified>
</cp:coreProperties>
</file>