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Palatino Linotype" w:hAnsi="Palatino Linotype" w:cs="Palatino Linotype"/>
          <w:b/>
        </w:rPr>
        <w:t>quince de junio de dos mil veintidós</w:t>
      </w:r>
      <w:r>
        <w:rPr>
          <w:rFonts w:ascii="Palatino Linotype" w:eastAsia="Palatino Linotype" w:hAnsi="Palatino Linotype" w:cs="Palatino Linotype"/>
        </w:rPr>
        <w:t xml:space="preserve">. </w:t>
      </w:r>
    </w:p>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Vistos</w:t>
      </w:r>
      <w:r>
        <w:rPr>
          <w:rFonts w:ascii="Palatino Linotype" w:eastAsia="Palatino Linotype" w:hAnsi="Palatino Linotype" w:cs="Palatino Linotype"/>
        </w:rPr>
        <w:t xml:space="preserve"> los expedientes formados con motivo de los recursos de revisión </w:t>
      </w:r>
      <w:r>
        <w:rPr>
          <w:rFonts w:ascii="Palatino Linotype" w:eastAsia="Palatino Linotype" w:hAnsi="Palatino Linotype" w:cs="Palatino Linotype"/>
          <w:b/>
        </w:rPr>
        <w:t xml:space="preserve">02834/INFOEM/IP/RR/2022, 02835/INFOEM/IP/RR/2022, 02900/INFOEM/IP/RR/2022, 02911/INFOEM/IP/RR/2022, 02912/INFOEM/IP/RR/2022, 02918/INFOEM/IP/RR/2022, 02950/INFOEM/IP/RR/2022, 02954/INFOEM/IP/RR/2022 y 02955/INFOEM/IP/RR/2022 acumulados, </w:t>
      </w:r>
      <w:r>
        <w:rPr>
          <w:rFonts w:ascii="Palatino Linotype" w:eastAsia="Palatino Linotype" w:hAnsi="Palatino Linotype" w:cs="Palatino Linotype"/>
        </w:rPr>
        <w:t>interpuestos por</w:t>
      </w:r>
      <w:r>
        <w:rPr>
          <w:rFonts w:ascii="Palatino Linotype" w:eastAsia="Palatino Linotype" w:hAnsi="Palatino Linotype" w:cs="Palatino Linotype"/>
          <w:b/>
        </w:rPr>
        <w:t xml:space="preserve"> un particular de manera anónima, </w:t>
      </w:r>
      <w:r>
        <w:rPr>
          <w:rFonts w:ascii="Palatino Linotype" w:eastAsia="Palatino Linotype" w:hAnsi="Palatino Linotype" w:cs="Palatino Linotype"/>
        </w:rPr>
        <w:t>quien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será identificado como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contra de las respuestas en las solicitudes de información con número de folio </w:t>
      </w:r>
      <w:r>
        <w:rPr>
          <w:rFonts w:ascii="Palatino Linotype" w:eastAsia="Palatino Linotype" w:hAnsi="Palatino Linotype" w:cs="Palatino Linotype"/>
          <w:b/>
        </w:rPr>
        <w:t xml:space="preserve">00567/DIFMETEPEC/IP/2022, 00568/DIFMETEPEC/IP/2022, 00534/DIFMETEPEC/IP/2022, 00499/DIFMETEPEC/IP/2022, 00500/DIFMETEPEC/IP/2022, 00473/DIFMETEPEC/IP/2022, 00472/DIFMETEPEC/IP/2022, 00447/DIFMETEPEC/IP/2022,  y 00448/DIFMETEPEC/IP/2022, </w:t>
      </w:r>
      <w:r>
        <w:rPr>
          <w:rFonts w:ascii="Palatino Linotype" w:eastAsia="Palatino Linotype" w:hAnsi="Palatino Linotype" w:cs="Palatino Linotype"/>
        </w:rPr>
        <w:t>por parte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del </w:t>
      </w:r>
      <w:r>
        <w:rPr>
          <w:rFonts w:ascii="Palatino Linotype" w:eastAsia="Palatino Linotype" w:hAnsi="Palatino Linotype" w:cs="Palatino Linotype"/>
          <w:b/>
        </w:rPr>
        <w:t xml:space="preserve">Sistema Municipal Para el Desarrollo Integral de la Familia de Metepec,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C514A1" w:rsidRDefault="008B7725">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rsidR="00C514A1" w:rsidRDefault="008B7725">
      <w:pPr>
        <w:spacing w:before="240" w:after="240" w:line="360" w:lineRule="auto"/>
        <w:jc w:val="both"/>
        <w:rPr>
          <w:rFonts w:ascii="Palatino Linotype" w:eastAsia="Palatino Linotype" w:hAnsi="Palatino Linotype" w:cs="Palatino Linotype"/>
        </w:rPr>
      </w:pPr>
      <w:bookmarkStart w:id="0" w:name="_heading=h.gjdgxs" w:colFirst="0" w:colLast="0"/>
      <w:bookmarkEnd w:id="0"/>
      <w:r>
        <w:rPr>
          <w:rFonts w:ascii="Palatino Linotype" w:eastAsia="Palatino Linotype" w:hAnsi="Palatino Linotype" w:cs="Palatino Linotype"/>
          <w:b/>
        </w:rPr>
        <w:lastRenderedPageBreak/>
        <w:t>1. Solicitudes de acceso a la información.</w:t>
      </w:r>
      <w:r>
        <w:rPr>
          <w:rFonts w:ascii="Palatino Linotype" w:eastAsia="Palatino Linotype" w:hAnsi="Palatino Linotype" w:cs="Palatino Linotype"/>
        </w:rPr>
        <w:t xml:space="preserve"> En fechas, </w:t>
      </w:r>
      <w:r>
        <w:rPr>
          <w:rFonts w:ascii="Palatino Linotype" w:eastAsia="Palatino Linotype" w:hAnsi="Palatino Linotype" w:cs="Palatino Linotype"/>
          <w:b/>
        </w:rPr>
        <w:t>cuatro, ocho y nueve de febrero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formuló solicitudes de acceso a información pública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en las que requirió lo siguiente:</w:t>
      </w:r>
    </w:p>
    <w:tbl>
      <w:tblPr>
        <w:tblStyle w:val="af6"/>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C514A1">
        <w:tc>
          <w:tcPr>
            <w:tcW w:w="4460" w:type="dxa"/>
            <w:shd w:val="clear" w:color="auto" w:fill="2F5496"/>
          </w:tcPr>
          <w:p w:rsidR="00C514A1" w:rsidRDefault="008B7725">
            <w:pPr>
              <w:spacing w:before="240" w:after="240" w:line="360" w:lineRule="auto"/>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Número de solicitud</w:t>
            </w:r>
          </w:p>
        </w:tc>
        <w:tc>
          <w:tcPr>
            <w:tcW w:w="4461" w:type="dxa"/>
            <w:shd w:val="clear" w:color="auto" w:fill="2F5496"/>
          </w:tcPr>
          <w:p w:rsidR="00C514A1" w:rsidRDefault="008B7725">
            <w:pPr>
              <w:spacing w:before="240" w:after="240" w:line="360" w:lineRule="auto"/>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Requerimientos</w:t>
            </w:r>
          </w:p>
        </w:tc>
      </w:tr>
      <w:tr w:rsidR="00C514A1">
        <w:tc>
          <w:tcPr>
            <w:tcW w:w="4460" w:type="dxa"/>
          </w:tcPr>
          <w:p w:rsidR="00C514A1" w:rsidRDefault="008B7725">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00567/DIFMETEPEC/IP/2022,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02834/INFOEM/IP/RR/2022</w:t>
            </w:r>
          </w:p>
        </w:tc>
        <w:tc>
          <w:tcPr>
            <w:tcW w:w="4461" w:type="dxa"/>
          </w:tcPr>
          <w:p w:rsidR="00C514A1" w:rsidRDefault="008B7725">
            <w:pPr>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de forma digitalizada la </w:t>
            </w:r>
            <w:r>
              <w:rPr>
                <w:rFonts w:ascii="Palatino Linotype" w:eastAsia="Palatino Linotype" w:hAnsi="Palatino Linotype" w:cs="Palatino Linotype"/>
                <w:b/>
                <w:i/>
                <w:sz w:val="20"/>
                <w:szCs w:val="20"/>
              </w:rPr>
              <w:t>copia de la bitácora de registro que se encuentra a la entrada del edificio central del dif metepec del día 9 de febrero de 2022</w:t>
            </w:r>
            <w:r>
              <w:rPr>
                <w:rFonts w:ascii="Palatino Linotype" w:eastAsia="Palatino Linotype" w:hAnsi="Palatino Linotype" w:cs="Palatino Linotype"/>
                <w:i/>
                <w:sz w:val="20"/>
                <w:szCs w:val="20"/>
              </w:rPr>
              <w:t>” (Sic)</w:t>
            </w:r>
          </w:p>
        </w:tc>
      </w:tr>
      <w:tr w:rsidR="00C514A1">
        <w:tc>
          <w:tcPr>
            <w:tcW w:w="4460" w:type="dxa"/>
          </w:tcPr>
          <w:p w:rsidR="00C514A1" w:rsidRDefault="008B7725">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 xml:space="preserve">00568/DIFMETEPEC/IP/2022,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02835/INFOEM/IP/RR/2022</w:t>
            </w:r>
          </w:p>
        </w:tc>
        <w:tc>
          <w:tcPr>
            <w:tcW w:w="4461" w:type="dxa"/>
          </w:tcPr>
          <w:p w:rsidR="00C514A1" w:rsidRDefault="008B7725">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de forma digitalizada la </w:t>
            </w:r>
            <w:r>
              <w:rPr>
                <w:rFonts w:ascii="Palatino Linotype" w:eastAsia="Palatino Linotype" w:hAnsi="Palatino Linotype" w:cs="Palatino Linotype"/>
                <w:b/>
                <w:i/>
                <w:sz w:val="20"/>
                <w:szCs w:val="20"/>
              </w:rPr>
              <w:t>copia de la bitácora de registro que se encuentra en la recepción del edificio central del dif metepec del día 9 de febrero de 2022</w:t>
            </w:r>
            <w:r>
              <w:rPr>
                <w:rFonts w:ascii="Palatino Linotype" w:eastAsia="Palatino Linotype" w:hAnsi="Palatino Linotype" w:cs="Palatino Linotype"/>
                <w:i/>
                <w:sz w:val="20"/>
                <w:szCs w:val="20"/>
              </w:rPr>
              <w:t>” (Sic)</w:t>
            </w:r>
          </w:p>
        </w:tc>
      </w:tr>
      <w:tr w:rsidR="00C514A1">
        <w:tc>
          <w:tcPr>
            <w:tcW w:w="4460" w:type="dxa"/>
          </w:tcPr>
          <w:p w:rsidR="00C514A1" w:rsidRDefault="008B7725">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 xml:space="preserve">00534/DIFMETEPEC/IP/2022,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02900/INFOEM/IP/RR/2022</w:t>
            </w:r>
          </w:p>
        </w:tc>
        <w:tc>
          <w:tcPr>
            <w:tcW w:w="4461" w:type="dxa"/>
          </w:tcPr>
          <w:p w:rsidR="00C514A1" w:rsidRDefault="008B7725">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una </w:t>
            </w:r>
            <w:r>
              <w:rPr>
                <w:rFonts w:ascii="Palatino Linotype" w:eastAsia="Palatino Linotype" w:hAnsi="Palatino Linotype" w:cs="Palatino Linotype"/>
                <w:b/>
                <w:i/>
                <w:sz w:val="20"/>
                <w:szCs w:val="20"/>
              </w:rPr>
              <w:t>copia en versión publica en pdf de las bitacoras de asistencia de pacientes en la uris durante enero, febrero y marzo de 2018</w:t>
            </w:r>
            <w:r>
              <w:rPr>
                <w:rFonts w:ascii="Palatino Linotype" w:eastAsia="Palatino Linotype" w:hAnsi="Palatino Linotype" w:cs="Palatino Linotype"/>
                <w:i/>
                <w:sz w:val="20"/>
                <w:szCs w:val="20"/>
              </w:rPr>
              <w:t>” (Sic)</w:t>
            </w:r>
          </w:p>
        </w:tc>
      </w:tr>
      <w:tr w:rsidR="00C514A1">
        <w:tc>
          <w:tcPr>
            <w:tcW w:w="4460" w:type="dxa"/>
          </w:tcPr>
          <w:p w:rsidR="00C514A1" w:rsidRDefault="008B7725">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 xml:space="preserve">00499/DIFMETEPEC/IP/2022,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02911/INFOEM/IP/RR/2022</w:t>
            </w:r>
          </w:p>
        </w:tc>
        <w:tc>
          <w:tcPr>
            <w:tcW w:w="4461" w:type="dxa"/>
          </w:tcPr>
          <w:p w:rsidR="00C514A1" w:rsidRDefault="008B7725">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de forma digitalizada la </w:t>
            </w:r>
            <w:r>
              <w:rPr>
                <w:rFonts w:ascii="Palatino Linotype" w:eastAsia="Palatino Linotype" w:hAnsi="Palatino Linotype" w:cs="Palatino Linotype"/>
                <w:b/>
                <w:i/>
                <w:sz w:val="20"/>
                <w:szCs w:val="20"/>
              </w:rPr>
              <w:t>copia de la bitácora de registro que se encuentra a la entrada del edificio central del dif metepec del día 8 de febrero de 2022</w:t>
            </w:r>
            <w:r>
              <w:rPr>
                <w:rFonts w:ascii="Palatino Linotype" w:eastAsia="Palatino Linotype" w:hAnsi="Palatino Linotype" w:cs="Palatino Linotype"/>
                <w:i/>
                <w:sz w:val="20"/>
                <w:szCs w:val="20"/>
              </w:rPr>
              <w:t>” (Sic)</w:t>
            </w:r>
          </w:p>
        </w:tc>
      </w:tr>
      <w:tr w:rsidR="00C514A1">
        <w:tc>
          <w:tcPr>
            <w:tcW w:w="4460" w:type="dxa"/>
          </w:tcPr>
          <w:p w:rsidR="00C514A1" w:rsidRDefault="008B7725">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 xml:space="preserve">00500/DIFMETEPEC/IP/2022,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02912/INFOEM/IP/RR/2022</w:t>
            </w:r>
          </w:p>
        </w:tc>
        <w:tc>
          <w:tcPr>
            <w:tcW w:w="4461" w:type="dxa"/>
          </w:tcPr>
          <w:p w:rsidR="00C514A1" w:rsidRDefault="008B7725">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de forma digitalizada la </w:t>
            </w:r>
            <w:r>
              <w:rPr>
                <w:rFonts w:ascii="Palatino Linotype" w:eastAsia="Palatino Linotype" w:hAnsi="Palatino Linotype" w:cs="Palatino Linotype"/>
                <w:b/>
                <w:i/>
                <w:sz w:val="20"/>
                <w:szCs w:val="20"/>
              </w:rPr>
              <w:t>copia de la bitácora de registro que se encuentra en la recepción del edificio central del dif metepec del día 8 de febrero de 2022</w:t>
            </w:r>
            <w:r>
              <w:rPr>
                <w:rFonts w:ascii="Palatino Linotype" w:eastAsia="Palatino Linotype" w:hAnsi="Palatino Linotype" w:cs="Palatino Linotype"/>
                <w:i/>
                <w:sz w:val="20"/>
                <w:szCs w:val="20"/>
              </w:rPr>
              <w:t>” (Sic)</w:t>
            </w:r>
          </w:p>
        </w:tc>
      </w:tr>
      <w:tr w:rsidR="00C514A1">
        <w:tc>
          <w:tcPr>
            <w:tcW w:w="4460" w:type="dxa"/>
          </w:tcPr>
          <w:p w:rsidR="00C514A1" w:rsidRDefault="008B7725">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lastRenderedPageBreak/>
              <w:t xml:space="preserve">00473/DIFMETEPEC/IP/2022,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02918/INFOEM/IP/RR/2022</w:t>
            </w:r>
          </w:p>
        </w:tc>
        <w:tc>
          <w:tcPr>
            <w:tcW w:w="4461" w:type="dxa"/>
          </w:tcPr>
          <w:p w:rsidR="00C514A1" w:rsidRDefault="008B7725">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de forma digitalizada la </w:t>
            </w:r>
            <w:r>
              <w:rPr>
                <w:rFonts w:ascii="Palatino Linotype" w:eastAsia="Palatino Linotype" w:hAnsi="Palatino Linotype" w:cs="Palatino Linotype"/>
                <w:b/>
                <w:i/>
                <w:sz w:val="20"/>
                <w:szCs w:val="20"/>
              </w:rPr>
              <w:t>copia de la bitácora de registro que se encuentra en la recepción del edificio central del dif metepec del día 3 de febrero de 2022</w:t>
            </w:r>
            <w:r>
              <w:rPr>
                <w:rFonts w:ascii="Palatino Linotype" w:eastAsia="Palatino Linotype" w:hAnsi="Palatino Linotype" w:cs="Palatino Linotype"/>
                <w:i/>
                <w:sz w:val="20"/>
                <w:szCs w:val="20"/>
              </w:rPr>
              <w:t>” (Sic)</w:t>
            </w:r>
          </w:p>
        </w:tc>
      </w:tr>
      <w:tr w:rsidR="00C514A1">
        <w:tc>
          <w:tcPr>
            <w:tcW w:w="4460" w:type="dxa"/>
          </w:tcPr>
          <w:p w:rsidR="00C514A1" w:rsidRDefault="008B7725">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 xml:space="preserve">00472/DIFMETEPEC/IP/2022,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02950/INFOEM/IP/RR/2022</w:t>
            </w:r>
          </w:p>
        </w:tc>
        <w:tc>
          <w:tcPr>
            <w:tcW w:w="4461" w:type="dxa"/>
          </w:tcPr>
          <w:p w:rsidR="00C514A1" w:rsidRDefault="008B7725">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de forma digitalizada la </w:t>
            </w:r>
            <w:r>
              <w:rPr>
                <w:rFonts w:ascii="Palatino Linotype" w:eastAsia="Palatino Linotype" w:hAnsi="Palatino Linotype" w:cs="Palatino Linotype"/>
                <w:b/>
                <w:i/>
                <w:sz w:val="20"/>
                <w:szCs w:val="20"/>
              </w:rPr>
              <w:t>copia de la bitácora de registro que se encuentra a la entrada del edificio central del dif metepec del día 3 de febrero de 2022</w:t>
            </w:r>
            <w:r>
              <w:rPr>
                <w:rFonts w:ascii="Palatino Linotype" w:eastAsia="Palatino Linotype" w:hAnsi="Palatino Linotype" w:cs="Palatino Linotype"/>
                <w:i/>
                <w:sz w:val="20"/>
                <w:szCs w:val="20"/>
              </w:rPr>
              <w:t>” (Sic)</w:t>
            </w:r>
          </w:p>
        </w:tc>
      </w:tr>
      <w:tr w:rsidR="00C514A1">
        <w:tc>
          <w:tcPr>
            <w:tcW w:w="4460" w:type="dxa"/>
          </w:tcPr>
          <w:p w:rsidR="00C514A1" w:rsidRDefault="008B7725">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 xml:space="preserve">00447/DIFMETEPEC/IP/2022,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02954/INFOEM/IP/RR/2022</w:t>
            </w:r>
          </w:p>
        </w:tc>
        <w:tc>
          <w:tcPr>
            <w:tcW w:w="4461" w:type="dxa"/>
          </w:tcPr>
          <w:p w:rsidR="00C514A1" w:rsidRDefault="008B7725">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de forma digitalizada la </w:t>
            </w:r>
            <w:r>
              <w:rPr>
                <w:rFonts w:ascii="Palatino Linotype" w:eastAsia="Palatino Linotype" w:hAnsi="Palatino Linotype" w:cs="Palatino Linotype"/>
                <w:b/>
                <w:i/>
                <w:sz w:val="20"/>
                <w:szCs w:val="20"/>
              </w:rPr>
              <w:t>copia de la bitácora de registro que se encuentra a la entrada del edificio central del dif metepec del día 4 de febrero de 2022</w:t>
            </w:r>
            <w:r>
              <w:rPr>
                <w:rFonts w:ascii="Palatino Linotype" w:eastAsia="Palatino Linotype" w:hAnsi="Palatino Linotype" w:cs="Palatino Linotype"/>
                <w:i/>
                <w:sz w:val="20"/>
                <w:szCs w:val="20"/>
              </w:rPr>
              <w:t>” (Sic)</w:t>
            </w:r>
          </w:p>
        </w:tc>
      </w:tr>
      <w:tr w:rsidR="00C514A1">
        <w:tc>
          <w:tcPr>
            <w:tcW w:w="4460" w:type="dxa"/>
          </w:tcPr>
          <w:p w:rsidR="00C514A1" w:rsidRDefault="008B7725">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 xml:space="preserve">00448/DIFMETEPEC/IP/2022,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02955/INFOEM/IP/RR/2022</w:t>
            </w:r>
          </w:p>
        </w:tc>
        <w:tc>
          <w:tcPr>
            <w:tcW w:w="4461" w:type="dxa"/>
          </w:tcPr>
          <w:p w:rsidR="00C514A1" w:rsidRDefault="008B7725">
            <w:pPr>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de forma digitalizada la </w:t>
            </w:r>
            <w:r>
              <w:rPr>
                <w:rFonts w:ascii="Palatino Linotype" w:eastAsia="Palatino Linotype" w:hAnsi="Palatino Linotype" w:cs="Palatino Linotype"/>
                <w:b/>
                <w:i/>
                <w:sz w:val="20"/>
                <w:szCs w:val="20"/>
              </w:rPr>
              <w:t>copia de la bitácora de registro que se encuentra en la recepción del edificio central del dif metepec del día 4 de febrero de 2022</w:t>
            </w:r>
            <w:r>
              <w:rPr>
                <w:rFonts w:ascii="Palatino Linotype" w:eastAsia="Palatino Linotype" w:hAnsi="Palatino Linotype" w:cs="Palatino Linotype"/>
                <w:i/>
                <w:sz w:val="20"/>
                <w:szCs w:val="20"/>
              </w:rPr>
              <w:t>” (Sic)</w:t>
            </w:r>
          </w:p>
        </w:tc>
      </w:tr>
    </w:tbl>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Requerimiento de aclaración.  En fechas diez, once y catorce de febrero de dos mil veintidós, el Sujeto Obligado </w:t>
      </w:r>
      <w:r>
        <w:rPr>
          <w:rFonts w:ascii="Palatino Linotype" w:eastAsia="Palatino Linotype" w:hAnsi="Palatino Linotype" w:cs="Palatino Linotype"/>
        </w:rPr>
        <w:t xml:space="preserve">requirió la aclaración en la totalidad de las solicitudes de información en los siguientes términos: </w:t>
      </w:r>
    </w:p>
    <w:p w:rsidR="00C514A1" w:rsidRDefault="008B7725">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fundamento en el articulo 159 de la Ley de Transparencia y Acceso a la Información Pública del Estado de México y Municipios, se le requiere para que dentro del plazo de diez días hábiles realice lo siguiente:</w:t>
      </w:r>
    </w:p>
    <w:p w:rsidR="00C514A1" w:rsidRDefault="008B7725">
      <w:pPr>
        <w:spacing w:before="240" w:after="240" w:line="276" w:lineRule="auto"/>
        <w:ind w:left="567" w:right="900"/>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la solicitud es imprecisa, se solicita se haga la aclaracion de la información solicitada</w:t>
      </w:r>
    </w:p>
    <w:p w:rsidR="00C514A1" w:rsidRDefault="008B7725">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C514A1" w:rsidRDefault="008B7725">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C514A1" w:rsidRDefault="008B7725">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Licenciado FERNANDO OSCAR ZAPATA NAVARRETE” (Sic) (Énfasis añadido)</w:t>
      </w:r>
    </w:p>
    <w:p w:rsidR="00C514A1" w:rsidRDefault="008B7725">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Mismas que fueron  desahogadas por el particular en</w:t>
      </w:r>
      <w:r>
        <w:rPr>
          <w:rFonts w:ascii="Palatino Linotype" w:eastAsia="Palatino Linotype" w:hAnsi="Palatino Linotype" w:cs="Palatino Linotype"/>
          <w:b/>
        </w:rPr>
        <w:t xml:space="preserve"> </w:t>
      </w:r>
      <w:r>
        <w:rPr>
          <w:rFonts w:ascii="Palatino Linotype" w:eastAsia="Palatino Linotype" w:hAnsi="Palatino Linotype" w:cs="Palatino Linotype"/>
        </w:rPr>
        <w:t>fecha</w:t>
      </w:r>
      <w:r>
        <w:rPr>
          <w:rFonts w:ascii="Palatino Linotype" w:eastAsia="Palatino Linotype" w:hAnsi="Palatino Linotype" w:cs="Palatino Linotype"/>
          <w:b/>
        </w:rPr>
        <w:t xml:space="preserve"> quince de febrero de dos mil veintidós, </w:t>
      </w:r>
      <w:r>
        <w:rPr>
          <w:rFonts w:ascii="Palatino Linotype" w:eastAsia="Palatino Linotype" w:hAnsi="Palatino Linotype" w:cs="Palatino Linotype"/>
        </w:rPr>
        <w:t>reiterando las solicitudes de información.</w:t>
      </w:r>
      <w:r>
        <w:rPr>
          <w:rFonts w:ascii="Palatino Linotype" w:eastAsia="Palatino Linotype" w:hAnsi="Palatino Linotype" w:cs="Palatino Linotype"/>
          <w:b/>
        </w:rPr>
        <w:t xml:space="preserve"> </w:t>
      </w:r>
    </w:p>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Respuestas. </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uno de marzo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notificó al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en la totalidad de los expedientes, las respuestas a sus solicitudes en los términos siguientes: </w:t>
      </w:r>
    </w:p>
    <w:p w:rsidR="00C514A1" w:rsidRDefault="008B7725">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514A1" w:rsidRDefault="008B7725">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w:t>
      </w:r>
      <w:r>
        <w:rPr>
          <w:rFonts w:ascii="Palatino Linotype" w:eastAsia="Palatino Linotype" w:hAnsi="Palatino Linotype" w:cs="Palatino Linotype"/>
          <w:b/>
          <w:i/>
          <w:sz w:val="22"/>
          <w:szCs w:val="22"/>
          <w:u w:val="single"/>
        </w:rPr>
        <w:t>al presente se servirá encontrar el Acuerdo de la Primer Sesión Extraordinaria del Comité de Transparencia, de fecha 25 de Enero de 2022, por medio de la cual el Comité de Transparencia aprobó el cambio de modalidad de entrega mediante consulta directa (in situ)</w:t>
      </w:r>
      <w:r>
        <w:rPr>
          <w:rFonts w:ascii="Palatino Linotype" w:eastAsia="Palatino Linotype" w:hAnsi="Palatino Linotype" w:cs="Palatino Linotype"/>
          <w:i/>
          <w:sz w:val="22"/>
          <w:szCs w:val="22"/>
        </w:rPr>
        <w:t xml:space="preserve">, en términos de los artículos 1, 2, 4, 7, 8, 10, 11, primer párrafo, 12, 14, 15, 21, 22, 49 fracción XII, 158, </w:t>
      </w:r>
      <w:r>
        <w:rPr>
          <w:rFonts w:ascii="Palatino Linotype" w:eastAsia="Palatino Linotype" w:hAnsi="Palatino Linotype" w:cs="Palatino Linotype"/>
          <w:i/>
          <w:sz w:val="22"/>
          <w:szCs w:val="22"/>
        </w:rPr>
        <w:lastRenderedPageBreak/>
        <w:t>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rsidR="00C514A1" w:rsidRDefault="008B7725">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C514A1" w:rsidRDefault="008B7725">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Licenciado FERNANDO OSCAR ZAPATA NAVARRETE” (Sic) (Énfasis añadido)</w:t>
      </w:r>
    </w:p>
    <w:p w:rsidR="00C514A1" w:rsidRDefault="008B7725">
      <w:pPr>
        <w:spacing w:before="240" w:after="240"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Archivo adjunto: </w:t>
      </w:r>
      <w:r>
        <w:rPr>
          <w:rFonts w:ascii="Palatino Linotype" w:eastAsia="Palatino Linotype" w:hAnsi="Palatino Linotype" w:cs="Palatino Linotype"/>
          <w:b/>
          <w:i/>
          <w:sz w:val="22"/>
          <w:szCs w:val="22"/>
        </w:rPr>
        <w:t xml:space="preserve">“acta primer sesión extraordinaria Comité de transparencia.pdf”: </w:t>
      </w:r>
      <w:r>
        <w:rPr>
          <w:rFonts w:ascii="Palatino Linotype" w:eastAsia="Palatino Linotype" w:hAnsi="Palatino Linotype" w:cs="Palatino Linotype"/>
          <w:sz w:val="22"/>
          <w:szCs w:val="22"/>
        </w:rPr>
        <w:t xml:space="preserve">Documento de cuatro fojas que consiste en el Acta de la Primera Sesión Extraordinaria del Comité de Transparencia, la cual se celebró el veinticinco de febrero de dos mil veintidós y en ella se aprobó el cambio de modalidad de entrega de la información a consulta directa, de los soportes documentales que se otorgarán para dar respuesta a las solicitudes de información.  </w:t>
      </w:r>
    </w:p>
    <w:p w:rsidR="00C514A1" w:rsidRDefault="008B7725">
      <w:pPr>
        <w:ind w:right="900"/>
        <w:jc w:val="both"/>
      </w:pPr>
      <w:r>
        <w:object w:dxaOrig="7080" w:dyaOrig="10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pt;height:515.25pt" o:ole="">
            <v:imagedata r:id="rId8" o:title=""/>
          </v:shape>
          <o:OLEObject Type="Embed" ProgID="Paint.Picture" ShapeID="_x0000_i1025" DrawAspect="Content" ObjectID="_1716827912" r:id="rId9"/>
        </w:object>
      </w:r>
    </w:p>
    <w:p w:rsidR="00C514A1" w:rsidRDefault="008B7725">
      <w:pPr>
        <w:ind w:right="900"/>
        <w:jc w:val="both"/>
      </w:pPr>
      <w:r>
        <w:object w:dxaOrig="7665" w:dyaOrig="10695">
          <v:shape id="_x0000_i1026" type="#_x0000_t75" style="width:383.25pt;height:534.75pt" o:ole="">
            <v:imagedata r:id="rId10" o:title=""/>
          </v:shape>
          <o:OLEObject Type="Embed" ProgID="Paint.Picture" ShapeID="_x0000_i1026" DrawAspect="Content" ObjectID="_1716827913" r:id="rId11"/>
        </w:object>
      </w:r>
    </w:p>
    <w:p w:rsidR="00C514A1" w:rsidRDefault="008B7725">
      <w:pPr>
        <w:ind w:right="900"/>
        <w:jc w:val="both"/>
        <w:rPr>
          <w:rFonts w:ascii="Palatino Linotype" w:eastAsia="Palatino Linotype" w:hAnsi="Palatino Linotype" w:cs="Palatino Linotype"/>
          <w:i/>
          <w:sz w:val="22"/>
          <w:szCs w:val="22"/>
        </w:rPr>
      </w:pPr>
      <w:r>
        <w:object w:dxaOrig="7335" w:dyaOrig="10980">
          <v:shape id="_x0000_i1027" type="#_x0000_t75" style="width:366.75pt;height:549pt" o:ole="">
            <v:imagedata r:id="rId12" o:title=""/>
          </v:shape>
          <o:OLEObject Type="Embed" ProgID="Paint.Picture" ShapeID="_x0000_i1027" DrawAspect="Content" ObjectID="_1716827914" r:id="rId13"/>
        </w:object>
      </w:r>
      <w:r>
        <w:t xml:space="preserve"> </w:t>
      </w:r>
      <w:r>
        <w:object w:dxaOrig="7890" w:dyaOrig="11355">
          <v:shape id="_x0000_i1028" type="#_x0000_t75" style="width:394.5pt;height:567.75pt" o:ole="">
            <v:imagedata r:id="rId14" o:title=""/>
          </v:shape>
          <o:OLEObject Type="Embed" ProgID="Paint.Picture" ShapeID="_x0000_i1028" DrawAspect="Content" ObjectID="_1716827915" r:id="rId15"/>
        </w:object>
      </w:r>
    </w:p>
    <w:p w:rsidR="00C514A1" w:rsidRDefault="008B7725">
      <w:pPr>
        <w:spacing w:before="240" w:after="240" w:line="360" w:lineRule="auto"/>
        <w:ind w:right="49"/>
        <w:jc w:val="both"/>
        <w:rPr>
          <w:rFonts w:ascii="Palatino Linotype" w:eastAsia="Palatino Linotype" w:hAnsi="Palatino Linotype" w:cs="Palatino Linotype"/>
          <w:i/>
          <w:sz w:val="2"/>
          <w:szCs w:val="2"/>
        </w:rPr>
      </w:pPr>
      <w:r>
        <w:rPr>
          <w:rFonts w:ascii="Palatino Linotype" w:eastAsia="Palatino Linotype" w:hAnsi="Palatino Linotype" w:cs="Palatino Linotype"/>
          <w:b/>
        </w:rPr>
        <w:t xml:space="preserve">4. Interposición del recurso de revisión.  </w:t>
      </w:r>
      <w:r>
        <w:rPr>
          <w:rFonts w:ascii="Palatino Linotype" w:eastAsia="Palatino Linotype" w:hAnsi="Palatino Linotype" w:cs="Palatino Linotype"/>
        </w:rPr>
        <w:t>En fecha tres</w:t>
      </w:r>
      <w:r>
        <w:rPr>
          <w:rFonts w:ascii="Palatino Linotype" w:eastAsia="Palatino Linotype" w:hAnsi="Palatino Linotype" w:cs="Palatino Linotype"/>
          <w:b/>
        </w:rPr>
        <w:t xml:space="preserve"> de marzo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de dos mil veintidós, la parte Recurrente, </w:t>
      </w:r>
      <w:r>
        <w:rPr>
          <w:rFonts w:ascii="Palatino Linotype" w:eastAsia="Palatino Linotype" w:hAnsi="Palatino Linotype" w:cs="Palatino Linotype"/>
        </w:rPr>
        <w:t>inconforme con las respuestas, interpuso los recursos de revisión que nos ocupan, expresando en la totalidad de los expedientes, las siguientes manifestaciones:</w:t>
      </w:r>
    </w:p>
    <w:p w:rsidR="00C514A1" w:rsidRDefault="008B7725">
      <w:pPr>
        <w:spacing w:line="360" w:lineRule="auto"/>
        <w:ind w:left="567"/>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C514A1" w:rsidRDefault="008B7725">
      <w:pPr>
        <w:spacing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respuesta proporcionada por el Sujeto Obligado.” (Sic)</w:t>
      </w:r>
    </w:p>
    <w:p w:rsidR="00C514A1" w:rsidRDefault="008B7725">
      <w:pPr>
        <w:spacing w:line="360" w:lineRule="auto"/>
        <w:ind w:left="567"/>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C514A1" w:rsidRDefault="008B7725">
      <w:pPr>
        <w:spacing w:line="276" w:lineRule="auto"/>
        <w:ind w:left="567" w:right="900"/>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 xml:space="preserve"> “La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w:t>
      </w:r>
      <w:r>
        <w:rPr>
          <w:rFonts w:ascii="Palatino Linotype" w:eastAsia="Palatino Linotype" w:hAnsi="Palatino Linotype" w:cs="Palatino Linotype"/>
          <w:b/>
          <w:i/>
          <w:sz w:val="22"/>
          <w:szCs w:val="22"/>
          <w:u w:val="single"/>
        </w:rPr>
        <w:t>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w:t>
      </w:r>
      <w:r>
        <w:rPr>
          <w:rFonts w:ascii="Palatino Linotype" w:eastAsia="Palatino Linotype" w:hAnsi="Palatino Linotype" w:cs="Palatino Linotype"/>
          <w:i/>
          <w:sz w:val="22"/>
          <w:szCs w:val="22"/>
        </w:rPr>
        <w:t xml:space="preserve">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w:t>
      </w:r>
      <w:r>
        <w:rPr>
          <w:rFonts w:ascii="Palatino Linotype" w:eastAsia="Palatino Linotype" w:hAnsi="Palatino Linotype" w:cs="Palatino Linotype"/>
          <w:b/>
          <w:i/>
          <w:sz w:val="22"/>
          <w:szCs w:val="22"/>
          <w:u w:val="single"/>
        </w:rPr>
        <w:t>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w:t>
      </w:r>
      <w:r>
        <w:rPr>
          <w:rFonts w:ascii="Palatino Linotype" w:eastAsia="Palatino Linotype" w:hAnsi="Palatino Linotype" w:cs="Palatino Linotype"/>
          <w:i/>
          <w:sz w:val="22"/>
          <w:szCs w:val="22"/>
        </w:rPr>
        <w:t>.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 (Sic)</w:t>
      </w:r>
    </w:p>
    <w:p w:rsidR="00C514A1" w:rsidRDefault="00C514A1">
      <w:pPr>
        <w:spacing w:line="360" w:lineRule="auto"/>
        <w:jc w:val="both"/>
        <w:rPr>
          <w:rFonts w:ascii="Palatino Linotype" w:eastAsia="Palatino Linotype" w:hAnsi="Palatino Linotype" w:cs="Palatino Linotype"/>
          <w:sz w:val="2"/>
          <w:szCs w:val="2"/>
        </w:rPr>
      </w:pPr>
    </w:p>
    <w:p w:rsidR="00C514A1" w:rsidRDefault="00C514A1">
      <w:pPr>
        <w:spacing w:line="360" w:lineRule="auto"/>
        <w:jc w:val="both"/>
        <w:rPr>
          <w:rFonts w:ascii="Palatino Linotype" w:eastAsia="Palatino Linotype" w:hAnsi="Palatino Linotype" w:cs="Palatino Linotype"/>
          <w:sz w:val="2"/>
          <w:szCs w:val="2"/>
        </w:rPr>
      </w:pPr>
    </w:p>
    <w:p w:rsidR="00C514A1" w:rsidRDefault="00C514A1">
      <w:pPr>
        <w:spacing w:line="360" w:lineRule="auto"/>
        <w:jc w:val="both"/>
        <w:rPr>
          <w:rFonts w:ascii="Palatino Linotype" w:eastAsia="Palatino Linotype" w:hAnsi="Palatino Linotype" w:cs="Palatino Linotype"/>
          <w:sz w:val="2"/>
          <w:szCs w:val="2"/>
        </w:rPr>
      </w:pPr>
    </w:p>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Turno. </w:t>
      </w:r>
      <w:r>
        <w:rPr>
          <w:rFonts w:ascii="Palatino Linotype" w:eastAsia="Palatino Linotype" w:hAnsi="Palatino Linotype" w:cs="Palatino Linotype"/>
        </w:rPr>
        <w:t>De conformidad con el artículo 185 fracción I de la Ley Transparencia y Acceso a la Información Pública, los recursos de revisión fueron</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turnados de la siguiente manera a efecto de presentar al Pleno los proyectos de resolución correspondientes: </w:t>
      </w:r>
    </w:p>
    <w:p w:rsidR="00C514A1" w:rsidRDefault="00C514A1">
      <w:pPr>
        <w:spacing w:before="240" w:after="240" w:line="360" w:lineRule="auto"/>
        <w:jc w:val="both"/>
        <w:rPr>
          <w:rFonts w:ascii="Palatino Linotype" w:eastAsia="Palatino Linotype" w:hAnsi="Palatino Linotype" w:cs="Palatino Linotype"/>
        </w:rPr>
      </w:pPr>
    </w:p>
    <w:p w:rsidR="00C514A1" w:rsidRDefault="00C514A1">
      <w:pPr>
        <w:spacing w:before="240" w:after="240" w:line="360" w:lineRule="auto"/>
        <w:jc w:val="both"/>
        <w:rPr>
          <w:rFonts w:ascii="Palatino Linotype" w:eastAsia="Palatino Linotype" w:hAnsi="Palatino Linotype" w:cs="Palatino Linotype"/>
        </w:rPr>
      </w:pPr>
    </w:p>
    <w:tbl>
      <w:tblPr>
        <w:tblStyle w:val="af7"/>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C514A1">
        <w:tc>
          <w:tcPr>
            <w:tcW w:w="4460" w:type="dxa"/>
            <w:shd w:val="clear" w:color="auto" w:fill="2F5496"/>
          </w:tcPr>
          <w:p w:rsidR="00C514A1" w:rsidRDefault="008B7725">
            <w:pPr>
              <w:spacing w:before="240" w:after="240" w:line="360" w:lineRule="auto"/>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Recurso de Revisión</w:t>
            </w:r>
          </w:p>
        </w:tc>
        <w:tc>
          <w:tcPr>
            <w:tcW w:w="4461" w:type="dxa"/>
            <w:shd w:val="clear" w:color="auto" w:fill="2F5496"/>
          </w:tcPr>
          <w:p w:rsidR="00C514A1" w:rsidRDefault="008B7725">
            <w:pPr>
              <w:spacing w:before="240" w:after="240" w:line="360" w:lineRule="auto"/>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Comisionada/o</w:t>
            </w:r>
          </w:p>
        </w:tc>
      </w:tr>
      <w:tr w:rsidR="00C514A1">
        <w:tc>
          <w:tcPr>
            <w:tcW w:w="4460" w:type="dxa"/>
          </w:tcPr>
          <w:p w:rsidR="00C514A1" w:rsidRDefault="008B7725">
            <w:pPr>
              <w:spacing w:before="240" w:after="240" w:line="276" w:lineRule="auto"/>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 xml:space="preserve">02834/INFOEM/IP/RR/2022 y 02954/INFOEM/IP/RR/2022  </w:t>
            </w:r>
          </w:p>
        </w:tc>
        <w:tc>
          <w:tcPr>
            <w:tcW w:w="4461" w:type="dxa"/>
          </w:tcPr>
          <w:p w:rsidR="00C514A1" w:rsidRDefault="008B7725">
            <w:pPr>
              <w:spacing w:before="240" w:after="240"/>
              <w:jc w:val="center"/>
              <w:rPr>
                <w:rFonts w:ascii="Palatino Linotype" w:eastAsia="Palatino Linotype" w:hAnsi="Palatino Linotype" w:cs="Palatino Linotype"/>
              </w:rPr>
            </w:pPr>
            <w:r>
              <w:rPr>
                <w:rFonts w:ascii="Palatino Linotype" w:eastAsia="Palatino Linotype" w:hAnsi="Palatino Linotype" w:cs="Palatino Linotype"/>
              </w:rPr>
              <w:t>Comisionada Guadalupe Ramírez Peña</w:t>
            </w:r>
          </w:p>
        </w:tc>
      </w:tr>
      <w:tr w:rsidR="00C514A1">
        <w:tc>
          <w:tcPr>
            <w:tcW w:w="4460" w:type="dxa"/>
          </w:tcPr>
          <w:p w:rsidR="00C514A1" w:rsidRDefault="008B7725">
            <w:pPr>
              <w:spacing w:before="240" w:after="240" w:line="276"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02835/INFOEM/IP/RR/2022, 02900/INFOEM/IP/RR/2022, 02950/INFOEM/IP/RR/2022 y  02955/INFOEM/IP/RR/2022</w:t>
            </w:r>
          </w:p>
        </w:tc>
        <w:tc>
          <w:tcPr>
            <w:tcW w:w="4461" w:type="dxa"/>
          </w:tcPr>
          <w:p w:rsidR="00C514A1" w:rsidRDefault="008B7725">
            <w:pPr>
              <w:spacing w:before="240" w:after="240"/>
              <w:jc w:val="center"/>
              <w:rPr>
                <w:rFonts w:ascii="Palatino Linotype" w:eastAsia="Palatino Linotype" w:hAnsi="Palatino Linotype" w:cs="Palatino Linotype"/>
              </w:rPr>
            </w:pPr>
            <w:r>
              <w:rPr>
                <w:rFonts w:ascii="Palatino Linotype" w:eastAsia="Palatino Linotype" w:hAnsi="Palatino Linotype" w:cs="Palatino Linotype"/>
              </w:rPr>
              <w:t>Comisionado Presidente José Martínez Vilchis</w:t>
            </w:r>
          </w:p>
        </w:tc>
      </w:tr>
      <w:tr w:rsidR="00C514A1">
        <w:tc>
          <w:tcPr>
            <w:tcW w:w="4460" w:type="dxa"/>
          </w:tcPr>
          <w:p w:rsidR="00C514A1" w:rsidRDefault="008B7725">
            <w:pPr>
              <w:spacing w:before="240" w:after="240" w:line="276" w:lineRule="auto"/>
              <w:jc w:val="center"/>
              <w:rPr>
                <w:rFonts w:ascii="Palatino Linotype" w:eastAsia="Palatino Linotype" w:hAnsi="Palatino Linotype" w:cs="Palatino Linotype"/>
                <w:b/>
                <w:sz w:val="20"/>
                <w:szCs w:val="20"/>
                <w:highlight w:val="red"/>
              </w:rPr>
            </w:pPr>
            <w:r>
              <w:rPr>
                <w:rFonts w:ascii="Palatino Linotype" w:eastAsia="Palatino Linotype" w:hAnsi="Palatino Linotype" w:cs="Palatino Linotype"/>
                <w:b/>
                <w:sz w:val="20"/>
                <w:szCs w:val="20"/>
              </w:rPr>
              <w:t xml:space="preserve">02911/INFOEM/IP/RR/2022 y 02912/INFOEM/IP/RR/2022 </w:t>
            </w:r>
          </w:p>
        </w:tc>
        <w:tc>
          <w:tcPr>
            <w:tcW w:w="4461" w:type="dxa"/>
          </w:tcPr>
          <w:p w:rsidR="00C514A1" w:rsidRDefault="008B7725">
            <w:pPr>
              <w:spacing w:before="240" w:after="240"/>
              <w:jc w:val="center"/>
              <w:rPr>
                <w:rFonts w:ascii="Palatino Linotype" w:eastAsia="Palatino Linotype" w:hAnsi="Palatino Linotype" w:cs="Palatino Linotype"/>
              </w:rPr>
            </w:pPr>
            <w:r>
              <w:rPr>
                <w:rFonts w:ascii="Palatino Linotype" w:eastAsia="Palatino Linotype" w:hAnsi="Palatino Linotype" w:cs="Palatino Linotype"/>
              </w:rPr>
              <w:t>Comisionado Luis Gustavo Parra Noriega</w:t>
            </w:r>
          </w:p>
        </w:tc>
      </w:tr>
      <w:tr w:rsidR="00C514A1">
        <w:tc>
          <w:tcPr>
            <w:tcW w:w="4460" w:type="dxa"/>
          </w:tcPr>
          <w:p w:rsidR="00C514A1" w:rsidRDefault="008B7725">
            <w:pPr>
              <w:spacing w:before="240" w:after="240" w:line="276" w:lineRule="auto"/>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02918/INFOEM/IP/RR/2022</w:t>
            </w:r>
          </w:p>
        </w:tc>
        <w:tc>
          <w:tcPr>
            <w:tcW w:w="4461" w:type="dxa"/>
          </w:tcPr>
          <w:p w:rsidR="00C514A1" w:rsidRDefault="008B7725">
            <w:pPr>
              <w:spacing w:before="240" w:after="240"/>
              <w:jc w:val="center"/>
              <w:rPr>
                <w:rFonts w:ascii="Palatino Linotype" w:eastAsia="Palatino Linotype" w:hAnsi="Palatino Linotype" w:cs="Palatino Linotype"/>
              </w:rPr>
            </w:pPr>
            <w:r>
              <w:rPr>
                <w:rFonts w:ascii="Palatino Linotype" w:eastAsia="Palatino Linotype" w:hAnsi="Palatino Linotype" w:cs="Palatino Linotype"/>
              </w:rPr>
              <w:t>Comisionada María del Rosario Mejía Ayala</w:t>
            </w:r>
          </w:p>
        </w:tc>
      </w:tr>
    </w:tbl>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6. Admisión. </w:t>
      </w:r>
      <w:r>
        <w:rPr>
          <w:rFonts w:ascii="Palatino Linotype" w:eastAsia="Palatino Linotype" w:hAnsi="Palatino Linotype" w:cs="Palatino Linotype"/>
        </w:rPr>
        <w:t xml:space="preserve">En fechas, </w:t>
      </w:r>
      <w:r>
        <w:rPr>
          <w:rFonts w:ascii="Palatino Linotype" w:eastAsia="Palatino Linotype" w:hAnsi="Palatino Linotype" w:cs="Palatino Linotype"/>
          <w:b/>
        </w:rPr>
        <w:t>cuatro, siete, ocho y nueve de marzo de dos mil veintidós,</w:t>
      </w:r>
      <w:r>
        <w:rPr>
          <w:rFonts w:ascii="Palatino Linotype" w:eastAsia="Palatino Linotype" w:hAnsi="Palatino Linotype" w:cs="Palatino Linotype"/>
        </w:rPr>
        <w:t xml:space="preserve"> en términos de lo dispuesto en el artículo 185 fracciones I, II y IV de la Ley de Transparencia y Acceso a la Información Pública del Estado de México y Municipios, se admitieron a trámite los recursos de revisión.</w:t>
      </w:r>
    </w:p>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Acumulación. </w:t>
      </w:r>
      <w:r>
        <w:rPr>
          <w:rFonts w:ascii="Palatino Linotype" w:eastAsia="Palatino Linotype" w:hAnsi="Palatino Linotype" w:cs="Palatino Linotype"/>
        </w:rPr>
        <w:t xml:space="preserve">En la </w:t>
      </w:r>
      <w:r>
        <w:rPr>
          <w:rFonts w:ascii="Palatino Linotype" w:eastAsia="Palatino Linotype" w:hAnsi="Palatino Linotype" w:cs="Palatino Linotype"/>
          <w:b/>
        </w:rPr>
        <w:t>Décima Sesión Ordinaria</w:t>
      </w:r>
      <w:r>
        <w:rPr>
          <w:rFonts w:ascii="Palatino Linotype" w:eastAsia="Palatino Linotype" w:hAnsi="Palatino Linotype" w:cs="Palatino Linotype"/>
        </w:rPr>
        <w:t xml:space="preserve"> celebrada el </w:t>
      </w:r>
      <w:r>
        <w:rPr>
          <w:rFonts w:ascii="Palatino Linotype" w:eastAsia="Palatino Linotype" w:hAnsi="Palatino Linotype" w:cs="Palatino Linotype"/>
          <w:b/>
        </w:rPr>
        <w:t>dieciséis de marzo de dos mil veintidós</w:t>
      </w:r>
      <w:r>
        <w:rPr>
          <w:rFonts w:ascii="Palatino Linotype" w:eastAsia="Palatino Linotype" w:hAnsi="Palatino Linotype" w:cs="Palatino Linotype"/>
        </w:rPr>
        <w:t xml:space="preserve">,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Guadalupe Ramírez Peña</w:t>
      </w:r>
      <w:r>
        <w:rPr>
          <w:rFonts w:ascii="Palatino Linotype" w:eastAsia="Palatino Linotype" w:hAnsi="Palatino Linotype" w:cs="Palatino Linotype"/>
        </w:rPr>
        <w:t>.</w:t>
      </w:r>
    </w:p>
    <w:p w:rsidR="00C514A1" w:rsidRDefault="008B7725">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8. Manifestaciones. </w:t>
      </w:r>
      <w:r>
        <w:rPr>
          <w:rFonts w:ascii="Palatino Linotype" w:eastAsia="Palatino Linotype" w:hAnsi="Palatino Linotype" w:cs="Palatino Linotype"/>
        </w:rPr>
        <w:t xml:space="preserve">De las constancias que obran en los expedientes electrónicos del SAIMEX se desprende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rendir informes justificados, asimismo resulta pertinente apuntar que por su parte, </w:t>
      </w:r>
      <w:r>
        <w:rPr>
          <w:rFonts w:ascii="Palatino Linotype" w:eastAsia="Palatino Linotype" w:hAnsi="Palatino Linotype" w:cs="Palatino Linotype"/>
          <w:b/>
        </w:rPr>
        <w:t>la</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parte Recurrente </w:t>
      </w:r>
      <w:r>
        <w:rPr>
          <w:rFonts w:ascii="Palatino Linotype" w:eastAsia="Palatino Linotype" w:hAnsi="Palatino Linotype" w:cs="Palatino Linotype"/>
        </w:rPr>
        <w:t xml:space="preserve">omitió realizar manifestaciones, formular alegatos y ofrecer algún medio de prueba. </w:t>
      </w:r>
    </w:p>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9.- Ampliación del plazo para emitir resolución.</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diecisiete de mayo de dos mil veintidós</w:t>
      </w:r>
      <w:r>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10.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Pr>
          <w:rFonts w:ascii="Palatino Linotype" w:eastAsia="Palatino Linotype" w:hAnsi="Palatino Linotype" w:cs="Palatino Linotype"/>
          <w:b/>
          <w:color w:val="000000"/>
        </w:rPr>
        <w:t xml:space="preserve">ocho de junio </w:t>
      </w:r>
      <w:r>
        <w:rPr>
          <w:rFonts w:ascii="Palatino Linotype" w:eastAsia="Palatino Linotype" w:hAnsi="Palatino Linotype" w:cs="Palatino Linotype"/>
          <w:b/>
        </w:rPr>
        <w:t>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fueron debidamente sustanciados los expedientes electrónicos y no existe diligencia pendiente de desahogo, se emite la Resolución que conforme a Derecho proceda, de acuerdo con los siguientes: </w:t>
      </w:r>
    </w:p>
    <w:p w:rsidR="00C514A1" w:rsidRDefault="008B7725">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w:t>
      </w:r>
    </w:p>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C514A1" w:rsidRDefault="008B7725">
      <w:pPr>
        <w:spacing w:before="240" w:after="240" w:line="360" w:lineRule="auto"/>
        <w:jc w:val="both"/>
        <w:rPr>
          <w:rFonts w:ascii="Palatino Linotype" w:eastAsia="Palatino Linotype" w:hAnsi="Palatino Linotype" w:cs="Palatino Linotype"/>
        </w:rPr>
      </w:pPr>
      <w:bookmarkStart w:id="1" w:name="_heading=h.30j0zll" w:colFirst="0" w:colLast="0"/>
      <w:bookmarkEnd w:id="1"/>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las solicitudes de información el día </w:t>
      </w:r>
      <w:r>
        <w:rPr>
          <w:rFonts w:ascii="Palatino Linotype" w:eastAsia="Palatino Linotype" w:hAnsi="Palatino Linotype" w:cs="Palatino Linotype"/>
          <w:b/>
        </w:rPr>
        <w:t>uno de marzo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de dos mil veintidós</w:t>
      </w:r>
      <w:r>
        <w:rPr>
          <w:rFonts w:ascii="Palatino Linotype" w:eastAsia="Palatino Linotype" w:hAnsi="Palatino Linotype" w:cs="Palatino Linotype"/>
        </w:rPr>
        <w:t xml:space="preserve">, sin embargo, los recursos de revisión se interpusieron el día </w:t>
      </w:r>
      <w:r>
        <w:rPr>
          <w:rFonts w:ascii="Palatino Linotype" w:eastAsia="Palatino Linotype" w:hAnsi="Palatino Linotype" w:cs="Palatino Linotype"/>
          <w:b/>
        </w:rPr>
        <w:t>tres de marzo de dos mil veintidós</w:t>
      </w:r>
      <w:r>
        <w:rPr>
          <w:rFonts w:ascii="Palatino Linotype" w:eastAsia="Palatino Linotype" w:hAnsi="Palatino Linotype" w:cs="Palatino Linotype"/>
        </w:rPr>
        <w:t xml:space="preserve">, esto es al </w:t>
      </w:r>
      <w:r>
        <w:rPr>
          <w:rFonts w:ascii="Palatino Linotype" w:eastAsia="Palatino Linotype" w:hAnsi="Palatino Linotype" w:cs="Palatino Linotype"/>
          <w:b/>
        </w:rPr>
        <w:t>primer día hábil después de conocerse la respuesta</w:t>
      </w:r>
      <w:r>
        <w:rPr>
          <w:rFonts w:ascii="Palatino Linotype" w:eastAsia="Palatino Linotype" w:hAnsi="Palatino Linotype" w:cs="Palatino Linotype"/>
        </w:rPr>
        <w:t xml:space="preserve"> por lo que se encuentra dentro de los márgenes temporales establecidos por la Ley en la materia.</w:t>
      </w:r>
    </w:p>
    <w:p w:rsidR="00C514A1" w:rsidRDefault="008B7725">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por cuanto hace a la procedibilidad de los recursos de revisión, es de suma importancia señalar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C514A1" w:rsidRDefault="008B7725">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 los recursos, según lo manifestado por el recurrente en sus motivos de inconformidad, de acuerdo al artículo 179, fracción VIII del ordenamiento legal citado, que a la letra dice: </w:t>
      </w:r>
    </w:p>
    <w:p w:rsidR="00C514A1" w:rsidRDefault="008B7725">
      <w:pPr>
        <w:tabs>
          <w:tab w:val="left" w:pos="7088"/>
        </w:tabs>
        <w:spacing w:before="120"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C514A1" w:rsidRDefault="008B7725">
      <w:pPr>
        <w:tabs>
          <w:tab w:val="left" w:pos="7088"/>
        </w:tabs>
        <w:spacing w:before="120"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514A1" w:rsidRDefault="008B7725">
      <w:pPr>
        <w:tabs>
          <w:tab w:val="left" w:pos="7088"/>
        </w:tabs>
        <w:spacing w:before="120" w:after="120"/>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VIII. La notificación, entrega o puesta a disposición de información en una modalidad o formato distinto al solicitado;</w:t>
      </w:r>
      <w:r>
        <w:rPr>
          <w:rFonts w:ascii="Palatino Linotype" w:eastAsia="Palatino Linotype" w:hAnsi="Palatino Linotype" w:cs="Palatino Linotype"/>
          <w:i/>
          <w:sz w:val="22"/>
          <w:szCs w:val="22"/>
        </w:rPr>
        <w:t>”</w:t>
      </w:r>
    </w:p>
    <w:p w:rsidR="00C514A1" w:rsidRDefault="008B7725">
      <w:pPr>
        <w:tabs>
          <w:tab w:val="left" w:pos="7088"/>
        </w:tabs>
        <w:spacing w:before="120"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C514A1" w:rsidRDefault="008B7725">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los expedientes electrónicos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las respuestas otorgadas por el Sujeto Obligado son adecuadas y suficientes para satisfacer el derecho de acceso a la información pública </w:t>
      </w:r>
      <w:r>
        <w:rPr>
          <w:rFonts w:ascii="Palatino Linotype" w:eastAsia="Palatino Linotype" w:hAnsi="Palatino Linotype" w:cs="Palatino Linotype"/>
        </w:rPr>
        <w:t xml:space="preserve">de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C514A1" w:rsidRDefault="008B7725">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C514A1" w:rsidRDefault="008B7725">
      <w:pPr>
        <w:tabs>
          <w:tab w:val="left" w:pos="709"/>
        </w:tabs>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C514A1" w:rsidRDefault="008B7725">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C514A1" w:rsidRDefault="008B7725">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514A1" w:rsidRDefault="008B7725">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rsidR="00C514A1" w:rsidRDefault="008B7725">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C514A1" w:rsidRDefault="008B7725">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C514A1" w:rsidRDefault="00C514A1">
      <w:pPr>
        <w:ind w:left="851" w:right="851"/>
        <w:jc w:val="both"/>
        <w:rPr>
          <w:rFonts w:ascii="Palatino Linotype" w:eastAsia="Palatino Linotype" w:hAnsi="Palatino Linotype" w:cs="Palatino Linotype"/>
          <w:i/>
          <w:sz w:val="22"/>
          <w:szCs w:val="22"/>
        </w:rPr>
      </w:pPr>
    </w:p>
    <w:p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C514A1" w:rsidRDefault="00C514A1">
      <w:pPr>
        <w:ind w:right="851"/>
        <w:jc w:val="both"/>
        <w:rPr>
          <w:rFonts w:ascii="Palatino Linotype" w:eastAsia="Palatino Linotype" w:hAnsi="Palatino Linotype" w:cs="Palatino Linotype"/>
          <w:i/>
          <w:sz w:val="22"/>
          <w:szCs w:val="22"/>
        </w:rPr>
      </w:pPr>
    </w:p>
    <w:p w:rsidR="00C514A1" w:rsidRDefault="008B7725">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dichos dispositivos legales.</w:t>
      </w:r>
    </w:p>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C514A1" w:rsidRDefault="008B7725">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C514A1" w:rsidRDefault="008B7725">
      <w:pPr>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C514A1" w:rsidRDefault="008B7725">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rsidR="00C514A1" w:rsidRDefault="008B772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Pr>
          <w:rFonts w:ascii="Palatino Linotype" w:eastAsia="Palatino Linotype" w:hAnsi="Palatino Linotype" w:cs="Palatino Linotype"/>
          <w:b/>
        </w:rPr>
        <w:t>artículo 12</w:t>
      </w:r>
      <w:r>
        <w:rPr>
          <w:rFonts w:ascii="Palatino Linotype" w:eastAsia="Palatino Linotype" w:hAnsi="Palatino Linotype" w:cs="Palatino Linotype"/>
        </w:rPr>
        <w:t xml:space="preserve"> de la Ley de Transparencia y Acceso a la Información Pública del Estado de México y Municipios, el cual a la letra dice:</w:t>
      </w:r>
    </w:p>
    <w:p w:rsidR="00C514A1" w:rsidRDefault="00C514A1">
      <w:pPr>
        <w:spacing w:line="360" w:lineRule="auto"/>
        <w:jc w:val="both"/>
        <w:rPr>
          <w:rFonts w:ascii="Palatino Linotype" w:eastAsia="Palatino Linotype" w:hAnsi="Palatino Linotype" w:cs="Palatino Linotype"/>
        </w:rPr>
      </w:pPr>
    </w:p>
    <w:p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C514A1" w:rsidRDefault="00C514A1">
      <w:pPr>
        <w:ind w:left="851" w:right="851"/>
        <w:jc w:val="both"/>
        <w:rPr>
          <w:rFonts w:ascii="Palatino Linotype" w:eastAsia="Palatino Linotype" w:hAnsi="Palatino Linotype" w:cs="Palatino Linotype"/>
          <w:i/>
          <w:sz w:val="22"/>
          <w:szCs w:val="22"/>
        </w:rPr>
      </w:pPr>
    </w:p>
    <w:p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C514A1" w:rsidRDefault="00C514A1">
      <w:pPr>
        <w:spacing w:line="360" w:lineRule="auto"/>
        <w:jc w:val="both"/>
        <w:rPr>
          <w:rFonts w:ascii="Palatino Linotype" w:eastAsia="Palatino Linotype" w:hAnsi="Palatino Linotype" w:cs="Palatino Linotype"/>
        </w:rPr>
      </w:pPr>
    </w:p>
    <w:p w:rsidR="00C514A1" w:rsidRDefault="008B772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rPr>
        <w:t>ad hoc</w:t>
      </w:r>
      <w:r>
        <w:rPr>
          <w:rFonts w:ascii="Palatino Linotype" w:eastAsia="Palatino Linotype" w:hAnsi="Palatino Linotype" w:cs="Palatino Linotype"/>
        </w:rPr>
        <w:t>, para satisfacer el derecho de acceso a la información pública, como así lo establece el criterio 03/17 emitidos por el Instituto Nacional de Transparencia, Acceso a la Información Pública y Protección de Datos Personales, los cuales señalan lo siguiente:</w:t>
      </w:r>
    </w:p>
    <w:p w:rsidR="00C514A1" w:rsidRDefault="00C514A1">
      <w:pPr>
        <w:ind w:left="851" w:right="851"/>
        <w:jc w:val="both"/>
        <w:rPr>
          <w:rFonts w:ascii="Palatino Linotype" w:eastAsia="Palatino Linotype" w:hAnsi="Palatino Linotype" w:cs="Palatino Linotype"/>
          <w:b/>
          <w:i/>
          <w:sz w:val="22"/>
          <w:szCs w:val="22"/>
        </w:rPr>
      </w:pPr>
    </w:p>
    <w:p w:rsidR="00C514A1" w:rsidRDefault="008B7725">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rsidR="00C514A1" w:rsidRDefault="008B7725">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“NO EXISTE OBLIGACIÓN DE ELABORAR DOCUMENTOS AD HOC PARA ATENDER LAS SOLICITUDES DE ACCESO A LA INFORM ACIÓN.</w:t>
      </w:r>
    </w:p>
    <w:p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C514A1" w:rsidRDefault="00C514A1">
      <w:pPr>
        <w:spacing w:line="360" w:lineRule="auto"/>
        <w:jc w:val="both"/>
        <w:rPr>
          <w:rFonts w:ascii="Palatino Linotype" w:eastAsia="Palatino Linotype" w:hAnsi="Palatino Linotype" w:cs="Palatino Linotype"/>
        </w:rPr>
      </w:pPr>
    </w:p>
    <w:p w:rsidR="00C514A1" w:rsidRDefault="008B772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conviene mencionar que la Ley de Transparencia vigente en el Estado de México refiere: </w:t>
      </w:r>
    </w:p>
    <w:p w:rsidR="00C514A1" w:rsidRDefault="00C514A1">
      <w:pPr>
        <w:spacing w:line="360" w:lineRule="auto"/>
        <w:jc w:val="both"/>
        <w:rPr>
          <w:rFonts w:ascii="Palatino Linotype" w:eastAsia="Palatino Linotype" w:hAnsi="Palatino Linotype" w:cs="Palatino Linotype"/>
        </w:rPr>
      </w:pPr>
    </w:p>
    <w:p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Pr>
          <w:rFonts w:ascii="Palatino Linotype" w:eastAsia="Palatino Linotype" w:hAnsi="Palatino Linotype" w:cs="Palatino Linotype"/>
          <w:i/>
          <w:sz w:val="22"/>
          <w:szCs w:val="22"/>
        </w:rPr>
        <w:t xml:space="preserve"> y reutilización de la información que generen.</w:t>
      </w:r>
    </w:p>
    <w:p w:rsidR="00C514A1" w:rsidRDefault="00C514A1">
      <w:pPr>
        <w:ind w:left="851" w:right="851"/>
        <w:jc w:val="both"/>
        <w:rPr>
          <w:rFonts w:ascii="Palatino Linotype" w:eastAsia="Palatino Linotype" w:hAnsi="Palatino Linotype" w:cs="Palatino Linotype"/>
          <w:b/>
          <w:i/>
          <w:sz w:val="22"/>
          <w:szCs w:val="22"/>
        </w:rPr>
      </w:pPr>
    </w:p>
    <w:p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 </w:t>
      </w:r>
      <w:r>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sz w:val="22"/>
          <w:szCs w:val="22"/>
        </w:rPr>
        <w:t>.</w:t>
      </w:r>
    </w:p>
    <w:p w:rsidR="00C514A1" w:rsidRDefault="00C514A1">
      <w:pPr>
        <w:ind w:left="851" w:right="851"/>
        <w:jc w:val="both"/>
        <w:rPr>
          <w:rFonts w:ascii="Palatino Linotype" w:eastAsia="Palatino Linotype" w:hAnsi="Palatino Linotype" w:cs="Palatino Linotype"/>
          <w:i/>
          <w:sz w:val="22"/>
          <w:szCs w:val="22"/>
        </w:rPr>
      </w:pPr>
    </w:p>
    <w:p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rsidR="00C514A1" w:rsidRDefault="00C514A1">
      <w:pPr>
        <w:ind w:left="851" w:right="851"/>
        <w:jc w:val="both"/>
        <w:rPr>
          <w:rFonts w:ascii="Palatino Linotype" w:eastAsia="Palatino Linotype" w:hAnsi="Palatino Linotype" w:cs="Palatino Linotype"/>
          <w:i/>
          <w:sz w:val="22"/>
          <w:szCs w:val="22"/>
        </w:rPr>
      </w:pPr>
    </w:p>
    <w:p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C514A1" w:rsidRDefault="00C514A1">
      <w:pPr>
        <w:ind w:left="851" w:right="851"/>
        <w:jc w:val="both"/>
        <w:rPr>
          <w:rFonts w:ascii="Palatino Linotype" w:eastAsia="Palatino Linotype" w:hAnsi="Palatino Linotype" w:cs="Palatino Linotype"/>
          <w:i/>
          <w:sz w:val="22"/>
          <w:szCs w:val="22"/>
        </w:rPr>
      </w:pPr>
    </w:p>
    <w:p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b/>
        </w:rPr>
        <w:t>cualquier otro registro que documente el ejercicio de las facultades, funciones, obligaciones y competencias de los Sujetos Obligados</w:t>
      </w:r>
      <w:r>
        <w:rPr>
          <w:rFonts w:ascii="Palatino Linotype" w:eastAsia="Palatino Linotype" w:hAnsi="Palatino Linotype" w:cs="Palatino Linotype"/>
        </w:rPr>
        <w:t xml:space="preserve">; </w:t>
      </w:r>
      <w:r>
        <w:rPr>
          <w:rFonts w:ascii="Palatino Linotype" w:eastAsia="Palatino Linotype" w:hAnsi="Palatino Linotype" w:cs="Palatino Linotype"/>
          <w:b/>
        </w:rPr>
        <w:t>los que, podrán estar en cualquier medio</w:t>
      </w:r>
      <w:r>
        <w:rPr>
          <w:rFonts w:ascii="Palatino Linotype" w:eastAsia="Palatino Linotype" w:hAnsi="Palatino Linotype" w:cs="Palatino Linotype"/>
        </w:rPr>
        <w:t xml:space="preserve">, sea escrito, impreso, sonoro, visual, </w:t>
      </w:r>
      <w:r>
        <w:rPr>
          <w:rFonts w:ascii="Palatino Linotype" w:eastAsia="Palatino Linotype" w:hAnsi="Palatino Linotype" w:cs="Palatino Linotype"/>
          <w:b/>
        </w:rPr>
        <w:t>electrónico</w:t>
      </w:r>
      <w:r>
        <w:rPr>
          <w:rFonts w:ascii="Palatino Linotype" w:eastAsia="Palatino Linotype" w:hAnsi="Palatino Linotype" w:cs="Palatino Linotype"/>
        </w:rPr>
        <w:t xml:space="preserve">, informático u holográfico, esto es, </w:t>
      </w:r>
      <w:r>
        <w:rPr>
          <w:rFonts w:ascii="Palatino Linotype" w:eastAsia="Palatino Linotype" w:hAnsi="Palatino Linotype" w:cs="Palatino Linotype"/>
          <w:b/>
        </w:rPr>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514A1" w:rsidRDefault="008B7725">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como pudiera tratarse de aquella relacionada con las obligaciones de transparencia señaladas en los artículos 92 y 100 de la Ley de la Materia.</w:t>
      </w:r>
    </w:p>
    <w:p w:rsidR="00C514A1" w:rsidRDefault="008B7725">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cabe reiterar que el particular solicitó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lo siguiente: </w:t>
      </w:r>
    </w:p>
    <w:p w:rsidR="00C514A1" w:rsidRDefault="008B7725">
      <w:pPr>
        <w:numPr>
          <w:ilvl w:val="0"/>
          <w:numId w:val="8"/>
        </w:numPr>
        <w:pBdr>
          <w:top w:val="nil"/>
          <w:left w:val="nil"/>
          <w:bottom w:val="nil"/>
          <w:right w:val="nil"/>
          <w:between w:val="nil"/>
        </w:pBdr>
        <w:tabs>
          <w:tab w:val="left" w:pos="709"/>
        </w:tabs>
        <w:spacing w:before="240" w:line="360" w:lineRule="auto"/>
        <w:ind w:left="567" w:right="900" w:hanging="14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Copia de la bitácora de registro que se encuentra a la entrada del edificio central del DIF Metepec de los días 3, 4, 8 y 9 de febrero de 2022 </w:t>
      </w:r>
    </w:p>
    <w:p w:rsidR="00C514A1" w:rsidRDefault="008B7725">
      <w:pPr>
        <w:numPr>
          <w:ilvl w:val="0"/>
          <w:numId w:val="8"/>
        </w:numPr>
        <w:pBdr>
          <w:top w:val="nil"/>
          <w:left w:val="nil"/>
          <w:bottom w:val="nil"/>
          <w:right w:val="nil"/>
          <w:between w:val="nil"/>
        </w:pBdr>
        <w:tabs>
          <w:tab w:val="left" w:pos="709"/>
        </w:tabs>
        <w:spacing w:line="360" w:lineRule="auto"/>
        <w:ind w:left="567" w:right="900" w:hanging="14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Copia de la bitácora de registro que se encuentra en la recepción del edificio central del DIF Metepec de los días 3, 4, 8 y 9 de febrero de 2022 </w:t>
      </w:r>
    </w:p>
    <w:p w:rsidR="00C514A1" w:rsidRDefault="008B7725">
      <w:pPr>
        <w:numPr>
          <w:ilvl w:val="0"/>
          <w:numId w:val="8"/>
        </w:numPr>
        <w:pBdr>
          <w:top w:val="nil"/>
          <w:left w:val="nil"/>
          <w:bottom w:val="nil"/>
          <w:right w:val="nil"/>
          <w:between w:val="nil"/>
        </w:pBdr>
        <w:tabs>
          <w:tab w:val="left" w:pos="709"/>
        </w:tabs>
        <w:spacing w:after="240" w:line="360" w:lineRule="auto"/>
        <w:ind w:left="567" w:right="900" w:hanging="14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Copia en versión </w:t>
      </w:r>
      <w:r>
        <w:rPr>
          <w:rFonts w:ascii="Palatino Linotype" w:eastAsia="Palatino Linotype" w:hAnsi="Palatino Linotype" w:cs="Palatino Linotype"/>
        </w:rPr>
        <w:t>pública</w:t>
      </w:r>
      <w:r>
        <w:rPr>
          <w:rFonts w:ascii="Palatino Linotype" w:eastAsia="Palatino Linotype" w:hAnsi="Palatino Linotype" w:cs="Palatino Linotype"/>
          <w:color w:val="000000"/>
        </w:rPr>
        <w:t xml:space="preserve"> en PDF de las bitácoras de asistencia de pacientes en la URIS durante enero, febrero y marzo de 2018. </w:t>
      </w:r>
    </w:p>
    <w:p w:rsidR="00C514A1" w:rsidRDefault="008B7725">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su respuesta,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notificó el documento electrónico denominado </w:t>
      </w:r>
      <w:r>
        <w:rPr>
          <w:rFonts w:ascii="Palatino Linotype" w:eastAsia="Palatino Linotype" w:hAnsi="Palatino Linotype" w:cs="Palatino Linotype"/>
          <w:b/>
          <w:i/>
        </w:rPr>
        <w:t>“acta primer sesión extraordinaria Comité de transparencia.pdf”</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el cual consiste en el Acta de la Primera Sesión Extraordinaria del Comité de Transparencia, la cual se celebró el veinticinco de febrero de dos mil veintidós y </w:t>
      </w:r>
      <w:r>
        <w:rPr>
          <w:rFonts w:ascii="Palatino Linotype" w:eastAsia="Palatino Linotype" w:hAnsi="Palatino Linotype" w:cs="Palatino Linotype"/>
          <w:b/>
        </w:rPr>
        <w:t xml:space="preserve">en ella </w:t>
      </w:r>
      <w:r>
        <w:rPr>
          <w:rFonts w:ascii="Palatino Linotype" w:eastAsia="Palatino Linotype" w:hAnsi="Palatino Linotype" w:cs="Palatino Linotype"/>
          <w:b/>
          <w:u w:val="single"/>
        </w:rPr>
        <w:t xml:space="preserve">se aprobó el cambio de modalidad de entrega de la información a consulta directa, de los soportes documentales que se otorgarán para dar respuesta a las solicitudes de información, </w:t>
      </w:r>
      <w:r>
        <w:rPr>
          <w:rFonts w:ascii="Palatino Linotype" w:eastAsia="Palatino Linotype" w:hAnsi="Palatino Linotype" w:cs="Palatino Linotype"/>
        </w:rPr>
        <w:t xml:space="preserve">ello en virtud de que en el primer bimestre de la presente anualidad, el Sistema Municipal DIF Metepec ha recibido un número inusual de solicitudes de información, motivo por el cual, diversas áreas de adscripción se pronunciaron en el sentido de que la atención a cada una de las solicitudes que se les turnan requieren de realizar la búsqueda exhaustiva y razonable de lo solicitado, así como realizar una serie de procedimientos como análisis, estudio y procesamiento de la información, y la verificación de la misma para evaluar si se encuentra en los supuestos de clasificación de reserva o confidencial, y que esas circunstancias exceden las capacidades humanas de las unidades administrativas adscritas al Sujeto Obligado, mencionando que los servidores públicos encargados de la atención a las solicitudes también cuentan con diversas funciones y atribuciones señaladas en el Reglamento Interior, por lo que no se cuenta con una estructura humana y material para dar atención exclusivamente a dichas solicitudes. </w:t>
      </w:r>
    </w:p>
    <w:p w:rsidR="00C514A1" w:rsidRDefault="008B772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orden de ideas, se estima importante referir, que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al momento de presentar las solicitudes de información que dieron origen a los recursos de revisión que nos ocupan, eligió como modalidad de entrega </w:t>
      </w:r>
      <w:r>
        <w:rPr>
          <w:rFonts w:ascii="Palatino Linotype" w:eastAsia="Palatino Linotype" w:hAnsi="Palatino Linotype" w:cs="Palatino Linotype"/>
          <w:b/>
        </w:rPr>
        <w:t>vía SAIMEX</w:t>
      </w:r>
      <w:r>
        <w:rPr>
          <w:rFonts w:ascii="Palatino Linotype" w:eastAsia="Palatino Linotype" w:hAnsi="Palatino Linotype" w:cs="Palatino Linotype"/>
        </w:rPr>
        <w:t>.</w:t>
      </w:r>
    </w:p>
    <w:p w:rsidR="00C514A1" w:rsidRDefault="00C514A1">
      <w:pPr>
        <w:spacing w:line="360" w:lineRule="auto"/>
        <w:jc w:val="both"/>
        <w:rPr>
          <w:rFonts w:ascii="Palatino Linotype" w:eastAsia="Palatino Linotype" w:hAnsi="Palatino Linotype" w:cs="Palatino Linotype"/>
        </w:rPr>
      </w:pPr>
    </w:p>
    <w:p w:rsidR="00C514A1" w:rsidRDefault="008B772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se debe tener en cuenta que el artículo 155, fracción V, de la Ley de Transparencia y Acceso a la Información Pública del Estado de México y Municipios, se precisa que para presentar una solicitud, el particular podrá señalar la modalidad en la que prefiere que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rsidR="00C514A1" w:rsidRDefault="00C514A1">
      <w:pPr>
        <w:spacing w:line="360" w:lineRule="auto"/>
        <w:jc w:val="both"/>
        <w:rPr>
          <w:rFonts w:ascii="Palatino Linotype" w:eastAsia="Palatino Linotype" w:hAnsi="Palatino Linotype" w:cs="Palatino Linotype"/>
        </w:rPr>
      </w:pPr>
    </w:p>
    <w:p w:rsidR="00C514A1" w:rsidRDefault="008B772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artículo 158, dispone que de manera excepcional, cuando de manera fundada y motivada lo determine el Sujeto Obligado, en los casos en que la entrega de la información que se encuentre a su disposición, </w:t>
      </w:r>
      <w:r>
        <w:rPr>
          <w:rFonts w:ascii="Palatino Linotype" w:eastAsia="Palatino Linotype" w:hAnsi="Palatino Linotype" w:cs="Palatino Linotype"/>
          <w:b/>
        </w:rPr>
        <w:t xml:space="preserve">sobrepase las capacidades técnicas del Sujeto Obligado </w:t>
      </w:r>
      <w:r>
        <w:rPr>
          <w:rFonts w:ascii="Palatino Linotype" w:eastAsia="Palatino Linotype" w:hAnsi="Palatino Linotype" w:cs="Palatino Linotype"/>
        </w:rPr>
        <w:t>para cumplir con la solicitud, se podrá poner a disposición del solicitante la información en consulta directa.</w:t>
      </w:r>
    </w:p>
    <w:p w:rsidR="00C514A1" w:rsidRDefault="00C514A1">
      <w:pPr>
        <w:spacing w:line="360" w:lineRule="auto"/>
        <w:jc w:val="both"/>
        <w:rPr>
          <w:rFonts w:ascii="Palatino Linotype" w:eastAsia="Palatino Linotype" w:hAnsi="Palatino Linotype" w:cs="Palatino Linotype"/>
        </w:rPr>
      </w:pPr>
    </w:p>
    <w:p w:rsidR="00C514A1" w:rsidRDefault="008B772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resulta importante mencionar que el artículo 164 de dicho ordenamiento jurídico, prevé que el acceso se dará en la modalidad de entrega y, en su caso, de envío elegidos por el solicitante. Cuando la información no pueda entregarse o enviarse en la modalidad elegida, el sujeto obligado deberá ofrecer otra u otras modalidades de entrega. En cualquier caso, se deberá fundar y motivar la necesidad de ofrecer otras modalidades.</w:t>
      </w:r>
    </w:p>
    <w:p w:rsidR="00C514A1" w:rsidRDefault="00C514A1">
      <w:pPr>
        <w:spacing w:line="360" w:lineRule="auto"/>
        <w:jc w:val="both"/>
        <w:rPr>
          <w:rFonts w:ascii="Palatino Linotype" w:eastAsia="Palatino Linotype" w:hAnsi="Palatino Linotype" w:cs="Palatino Linotype"/>
        </w:rPr>
      </w:pPr>
    </w:p>
    <w:p w:rsidR="00C514A1" w:rsidRDefault="008B772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el solicitante de manera previa a la entrega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tales consideraciones, la entrega deberá hacerse, </w:t>
      </w:r>
      <w:r>
        <w:rPr>
          <w:rFonts w:ascii="Palatino Linotype" w:eastAsia="Palatino Linotype" w:hAnsi="Palatino Linotype" w:cs="Palatino Linotype"/>
          <w:b/>
        </w:rPr>
        <w:t>en la medida de lo posible, en la forma solicitada por el interesado, salvo que exista un impedimento justificado para atenderla</w:t>
      </w:r>
      <w:r>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información en una modalidad distinta a la elegida por la particular </w:t>
      </w:r>
      <w:r>
        <w:rPr>
          <w:rFonts w:ascii="Palatino Linotype" w:eastAsia="Palatino Linotype" w:hAnsi="Palatino Linotype" w:cs="Palatino Linotype"/>
          <w:b/>
        </w:rPr>
        <w:t>sólo procede, en caso de que se acredite la imposibilidad de atenderla.</w:t>
      </w:r>
      <w:r>
        <w:rPr>
          <w:rFonts w:ascii="Palatino Linotype" w:eastAsia="Palatino Linotype" w:hAnsi="Palatino Linotype" w:cs="Palatino Linotype"/>
        </w:rPr>
        <w:t xml:space="preserve"> </w:t>
      </w:r>
    </w:p>
    <w:p w:rsidR="00C514A1" w:rsidRDefault="00C514A1">
      <w:pPr>
        <w:spacing w:line="360" w:lineRule="auto"/>
        <w:jc w:val="both"/>
        <w:rPr>
          <w:rFonts w:ascii="Palatino Linotype" w:eastAsia="Palatino Linotype" w:hAnsi="Palatino Linotype" w:cs="Palatino Linotype"/>
        </w:rPr>
      </w:pPr>
    </w:p>
    <w:p w:rsidR="00C514A1" w:rsidRDefault="008B772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cuando se justifique el impedimento, </w:t>
      </w:r>
      <w:r>
        <w:rPr>
          <w:rFonts w:ascii="Palatino Linotype" w:eastAsia="Palatino Linotype" w:hAnsi="Palatino Linotype" w:cs="Palatino Linotype"/>
          <w:b/>
        </w:rPr>
        <w:t>los Sujetos Obligados deberán ofrecer al particular otras modalidades de entrega que permita la información</w:t>
      </w:r>
      <w:r>
        <w:rPr>
          <w:rFonts w:ascii="Palatino Linotype" w:eastAsia="Palatino Linotype" w:hAnsi="Palatino Linotype" w:cs="Palatino Linotype"/>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rsidR="00C514A1" w:rsidRDefault="00C514A1">
      <w:pPr>
        <w:spacing w:line="360" w:lineRule="auto"/>
        <w:jc w:val="both"/>
        <w:rPr>
          <w:rFonts w:ascii="Palatino Linotype" w:eastAsia="Palatino Linotype" w:hAnsi="Palatino Linotype" w:cs="Palatino Linotype"/>
        </w:rPr>
      </w:pPr>
    </w:p>
    <w:p w:rsidR="00C514A1" w:rsidRDefault="008B7725">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rsidR="00C514A1" w:rsidRDefault="00C514A1">
      <w:pPr>
        <w:spacing w:line="360" w:lineRule="auto"/>
        <w:jc w:val="both"/>
        <w:rPr>
          <w:rFonts w:ascii="Palatino Linotype" w:eastAsia="Palatino Linotype" w:hAnsi="Palatino Linotype" w:cs="Palatino Linotype"/>
          <w:sz w:val="22"/>
          <w:szCs w:val="22"/>
        </w:rPr>
      </w:pPr>
    </w:p>
    <w:p w:rsidR="00C514A1" w:rsidRDefault="008B7725">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Del citado criterio, se desprende que cuando no sea posible atender la modalidad elegida por los solicitantes, la obligación de acceso a la información se tendrá por cumplida cuando el Sujeto Obligado justifique el impedimento para atender la misma y se notifique al particular la puesta a disposición de la </w:t>
      </w:r>
      <w:r>
        <w:rPr>
          <w:rFonts w:ascii="Palatino Linotype" w:eastAsia="Palatino Linotype" w:hAnsi="Palatino Linotype" w:cs="Palatino Linotype"/>
          <w:b/>
        </w:rPr>
        <w:t>información en todas las modalidades que lo permitan, procurando reducir los costos de entrega.</w:t>
      </w:r>
    </w:p>
    <w:p w:rsidR="00C514A1" w:rsidRDefault="008B7725">
      <w:pPr>
        <w:spacing w:line="360" w:lineRule="auto"/>
        <w:jc w:val="both"/>
        <w:rPr>
          <w:rFonts w:ascii="Palatino Linotype" w:eastAsia="Palatino Linotype" w:hAnsi="Palatino Linotype" w:cs="Palatino Linotype"/>
          <w:color w:val="FF0000"/>
        </w:rPr>
      </w:pPr>
      <w:r>
        <w:rPr>
          <w:rFonts w:ascii="Palatino Linotype" w:eastAsia="Palatino Linotype" w:hAnsi="Palatino Linotype" w:cs="Palatino Linotype"/>
        </w:rPr>
        <w:t xml:space="preserve">Así las cosas, debe resaltarse que en el presente asunto, </w:t>
      </w:r>
      <w:r>
        <w:rPr>
          <w:rFonts w:ascii="Palatino Linotype" w:eastAsia="Palatino Linotype" w:hAnsi="Palatino Linotype" w:cs="Palatino Linotype"/>
          <w:color w:val="000000"/>
        </w:rPr>
        <w:t>se aludieron imposibilidades materiales y humanas, sin aportar mayores elementos que permitan a este organismo determinar que efectivamente, existen impedimentos de carácter humano, administrativo o material para entregar la información requerida.</w:t>
      </w:r>
    </w:p>
    <w:p w:rsidR="00C514A1" w:rsidRDefault="00C514A1">
      <w:pPr>
        <w:spacing w:line="360" w:lineRule="auto"/>
        <w:jc w:val="both"/>
        <w:rPr>
          <w:rFonts w:ascii="Palatino Linotype" w:eastAsia="Palatino Linotype" w:hAnsi="Palatino Linotype" w:cs="Palatino Linotype"/>
          <w:b/>
        </w:rPr>
      </w:pPr>
    </w:p>
    <w:p w:rsidR="00C514A1" w:rsidRDefault="008B7725">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Aunado a lo anterior,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rsidR="00C514A1" w:rsidRDefault="00C514A1">
      <w:pPr>
        <w:spacing w:line="360" w:lineRule="auto"/>
        <w:jc w:val="both"/>
        <w:rPr>
          <w:rFonts w:ascii="Palatino Linotype" w:eastAsia="Palatino Linotype" w:hAnsi="Palatino Linotype" w:cs="Palatino Linotype"/>
        </w:rPr>
      </w:pPr>
    </w:p>
    <w:p w:rsidR="00C514A1" w:rsidRDefault="008B7725">
      <w:pPr>
        <w:numPr>
          <w:ilvl w:val="0"/>
          <w:numId w:val="7"/>
        </w:numPr>
        <w:spacing w:line="360" w:lineRule="auto"/>
        <w:ind w:left="567" w:right="900" w:hanging="283"/>
        <w:jc w:val="both"/>
        <w:rPr>
          <w:rFonts w:ascii="Palatino Linotype" w:eastAsia="Palatino Linotype" w:hAnsi="Palatino Linotype" w:cs="Palatino Linotype"/>
        </w:rPr>
      </w:pPr>
      <w:r>
        <w:rPr>
          <w:rFonts w:ascii="Palatino Linotype" w:eastAsia="Palatino Linotype" w:hAnsi="Palatino Linotype" w:cs="Palatino Linotype"/>
        </w:rPr>
        <w:t>Las razones por las cuales la información implicaba un análisis, estudio o procesamiento de datos;</w:t>
      </w:r>
    </w:p>
    <w:p w:rsidR="00C514A1" w:rsidRDefault="00C514A1">
      <w:pPr>
        <w:spacing w:line="360" w:lineRule="auto"/>
        <w:ind w:left="567" w:right="900" w:hanging="283"/>
        <w:jc w:val="both"/>
        <w:rPr>
          <w:rFonts w:ascii="Palatino Linotype" w:eastAsia="Palatino Linotype" w:hAnsi="Palatino Linotype" w:cs="Palatino Linotype"/>
        </w:rPr>
      </w:pPr>
    </w:p>
    <w:p w:rsidR="00C514A1" w:rsidRDefault="008B7725">
      <w:pPr>
        <w:numPr>
          <w:ilvl w:val="0"/>
          <w:numId w:val="7"/>
        </w:numPr>
        <w:spacing w:line="360" w:lineRule="auto"/>
        <w:ind w:left="567" w:right="900" w:hanging="283"/>
        <w:jc w:val="both"/>
        <w:rPr>
          <w:rFonts w:ascii="Palatino Linotype" w:eastAsia="Palatino Linotype" w:hAnsi="Palatino Linotype" w:cs="Palatino Linotype"/>
        </w:rPr>
      </w:pPr>
      <w:r>
        <w:rPr>
          <w:rFonts w:ascii="Palatino Linotype" w:eastAsia="Palatino Linotype" w:hAnsi="Palatino Linotype" w:cs="Palatino Linotype"/>
        </w:rPr>
        <w:t>Por qué motivo el tiempo, que se le otorga al Sujeto Obligado para dar respuesta, en la modalidad elegida a la solicitud de información, no le es suficiente, y</w:t>
      </w:r>
    </w:p>
    <w:p w:rsidR="00C514A1" w:rsidRDefault="00C514A1">
      <w:pPr>
        <w:spacing w:line="360" w:lineRule="auto"/>
        <w:ind w:left="567" w:right="900" w:hanging="283"/>
        <w:rPr>
          <w:rFonts w:ascii="Palatino Linotype" w:eastAsia="Palatino Linotype" w:hAnsi="Palatino Linotype" w:cs="Palatino Linotype"/>
        </w:rPr>
      </w:pPr>
    </w:p>
    <w:p w:rsidR="00C514A1" w:rsidRDefault="008B7725">
      <w:pPr>
        <w:numPr>
          <w:ilvl w:val="0"/>
          <w:numId w:val="7"/>
        </w:numPr>
        <w:spacing w:line="360" w:lineRule="auto"/>
        <w:ind w:left="567" w:right="900" w:hanging="283"/>
        <w:jc w:val="both"/>
        <w:rPr>
          <w:rFonts w:ascii="Palatino Linotype" w:eastAsia="Palatino Linotype" w:hAnsi="Palatino Linotype" w:cs="Palatino Linotype"/>
        </w:rPr>
      </w:pPr>
      <w:r>
        <w:rPr>
          <w:rFonts w:ascii="Palatino Linotype" w:eastAsia="Palatino Linotype" w:hAnsi="Palatino Linotype" w:cs="Palatino Linotype"/>
        </w:rPr>
        <w:t>La cantidad de recursos humanos y materiales con los que cuenta el Sujeto Obligado son insuficientes.</w:t>
      </w:r>
    </w:p>
    <w:p w:rsidR="00C514A1" w:rsidRDefault="00C514A1">
      <w:pPr>
        <w:spacing w:line="360" w:lineRule="auto"/>
        <w:ind w:right="-28"/>
        <w:jc w:val="both"/>
        <w:rPr>
          <w:rFonts w:ascii="Palatino Linotype" w:eastAsia="Palatino Linotype" w:hAnsi="Palatino Linotype" w:cs="Palatino Linotype"/>
          <w:color w:val="000000"/>
        </w:rPr>
      </w:pPr>
    </w:p>
    <w:p w:rsidR="00C514A1" w:rsidRDefault="008B7725">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contexto, este Instituto reitera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no señaló de manera puntual</w:t>
      </w:r>
      <w:r>
        <w:t xml:space="preserve"> las </w:t>
      </w:r>
      <w:r>
        <w:rPr>
          <w:rFonts w:ascii="Palatino Linotype" w:eastAsia="Palatino Linotype" w:hAnsi="Palatino Linotype" w:cs="Palatino Linotype"/>
          <w:color w:val="000000"/>
        </w:rPr>
        <w:t>imposibilidades técnicas, administrativas y humanas, esto en observancia a las siguientes circunstancias:</w:t>
      </w:r>
    </w:p>
    <w:p w:rsidR="00C514A1" w:rsidRDefault="00C514A1">
      <w:pPr>
        <w:spacing w:line="360" w:lineRule="auto"/>
        <w:ind w:right="900"/>
        <w:jc w:val="both"/>
        <w:rPr>
          <w:rFonts w:ascii="Palatino Linotype" w:eastAsia="Palatino Linotype" w:hAnsi="Palatino Linotype" w:cs="Palatino Linotype"/>
          <w:color w:val="000000"/>
        </w:rPr>
      </w:pPr>
    </w:p>
    <w:p w:rsidR="00C514A1" w:rsidRDefault="008B7725">
      <w:pPr>
        <w:numPr>
          <w:ilvl w:val="0"/>
          <w:numId w:val="9"/>
        </w:numPr>
        <w:spacing w:line="360"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formato, en que se encontraba la información, es decir, de manera digital o física, y</w:t>
      </w:r>
    </w:p>
    <w:p w:rsidR="00C514A1" w:rsidRDefault="00C514A1">
      <w:pPr>
        <w:spacing w:line="360" w:lineRule="auto"/>
        <w:ind w:left="780" w:right="900"/>
        <w:jc w:val="both"/>
        <w:rPr>
          <w:rFonts w:ascii="Palatino Linotype" w:eastAsia="Palatino Linotype" w:hAnsi="Palatino Linotype" w:cs="Palatino Linotype"/>
          <w:color w:val="000000"/>
        </w:rPr>
      </w:pPr>
    </w:p>
    <w:p w:rsidR="00C514A1" w:rsidRDefault="008B7725">
      <w:pPr>
        <w:numPr>
          <w:ilvl w:val="0"/>
          <w:numId w:val="9"/>
        </w:numPr>
        <w:spacing w:line="360"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número de hojas o peso aproximado de la información, </w:t>
      </w:r>
      <w:r>
        <w:rPr>
          <w:rFonts w:ascii="Palatino Linotype" w:eastAsia="Palatino Linotype" w:hAnsi="Palatino Linotype" w:cs="Palatino Linotype"/>
        </w:rPr>
        <w:t>solicitada</w:t>
      </w:r>
      <w:r>
        <w:rPr>
          <w:rFonts w:ascii="Palatino Linotype" w:eastAsia="Palatino Linotype" w:hAnsi="Palatino Linotype" w:cs="Palatino Linotype"/>
          <w:color w:val="000000"/>
        </w:rPr>
        <w:t>, del cual se pudiera conocer cuántos documentos había generado y recibido las áreas, o bien, cuando menos un aproximado, y</w:t>
      </w:r>
    </w:p>
    <w:p w:rsidR="00C514A1" w:rsidRDefault="00C514A1">
      <w:pPr>
        <w:spacing w:line="360" w:lineRule="auto"/>
        <w:ind w:left="708"/>
        <w:rPr>
          <w:rFonts w:ascii="Palatino Linotype" w:eastAsia="Palatino Linotype" w:hAnsi="Palatino Linotype" w:cs="Palatino Linotype"/>
          <w:color w:val="000000"/>
        </w:rPr>
      </w:pPr>
    </w:p>
    <w:p w:rsidR="00C514A1" w:rsidRDefault="008B7725">
      <w:pPr>
        <w:spacing w:line="360" w:lineRule="auto"/>
        <w:jc w:val="both"/>
        <w:rPr>
          <w:rFonts w:ascii="Palatino Linotype" w:eastAsia="Palatino Linotype" w:hAnsi="Palatino Linotype" w:cs="Palatino Linotype"/>
          <w:b/>
          <w:u w:val="single"/>
        </w:rPr>
      </w:pPr>
      <w:r>
        <w:rPr>
          <w:rFonts w:ascii="Palatino Linotype" w:eastAsia="Palatino Linotype" w:hAnsi="Palatino Linotype" w:cs="Palatino Linotype"/>
        </w:rPr>
        <w:t xml:space="preserve">Además, tampoco acreditó que lo peticionado implicaba un análisis, procesamiento o estudio de documentos cuya reproducción sobrepasará las capacidades técnicas, administrativas y humanas del Sujeto Obligado, pues como se refirió, no se precisó el número de personas que se encontraban en las áreas, ni el formato, ni número de hojas aproximadas de lo solicitado, o bien, si lo peticionado, se encontraba en uno o varios expedientes; esto es, no proporcionó los elementos necesarios para acreditar el cambio de modalidad, pues la justificación </w:t>
      </w:r>
      <w:r>
        <w:rPr>
          <w:rFonts w:ascii="Palatino Linotype" w:eastAsia="Palatino Linotype" w:hAnsi="Palatino Linotype" w:cs="Palatino Linotype"/>
          <w:b/>
          <w:u w:val="single"/>
        </w:rPr>
        <w:t>se basó únicamente en que sobrepasaba las capacidades, sin acreditar su dicho.</w:t>
      </w:r>
    </w:p>
    <w:p w:rsidR="00C514A1" w:rsidRDefault="00C514A1">
      <w:pPr>
        <w:spacing w:line="360" w:lineRule="auto"/>
        <w:jc w:val="both"/>
        <w:rPr>
          <w:rFonts w:ascii="Palatino Linotype" w:eastAsia="Palatino Linotype" w:hAnsi="Palatino Linotype" w:cs="Palatino Linotype"/>
        </w:rPr>
      </w:pPr>
    </w:p>
    <w:p w:rsidR="00C514A1" w:rsidRDefault="008B772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rsidR="00C514A1" w:rsidRDefault="00C514A1">
      <w:pPr>
        <w:spacing w:line="360" w:lineRule="auto"/>
        <w:jc w:val="both"/>
        <w:rPr>
          <w:rFonts w:ascii="Palatino Linotype" w:eastAsia="Palatino Linotype" w:hAnsi="Palatino Linotype" w:cs="Palatino Linotype"/>
        </w:rPr>
      </w:pPr>
    </w:p>
    <w:p w:rsidR="00C514A1" w:rsidRDefault="008B7725">
      <w:pPr>
        <w:widowControl w:val="0"/>
        <w:spacing w:line="360" w:lineRule="auto"/>
        <w:jc w:val="both"/>
        <w:rPr>
          <w:rFonts w:ascii="Palatino Linotype" w:eastAsia="Palatino Linotype" w:hAnsi="Palatino Linotype" w:cs="Palatino Linotype"/>
          <w:b/>
          <w:u w:val="single"/>
        </w:rPr>
      </w:pPr>
      <w:bookmarkStart w:id="2" w:name="_heading=h.2et92p0" w:colFirst="0" w:colLast="0"/>
      <w:bookmarkEnd w:id="2"/>
      <w:r>
        <w:rPr>
          <w:rFonts w:ascii="Palatino Linotype" w:eastAsia="Palatino Linotype" w:hAnsi="Palatino Linotype" w:cs="Palatino Linotype"/>
        </w:rPr>
        <w:t xml:space="preserve">Conforme a lo expuesto, este Instituto no tiene certeza que la información solicitada implicará un análisis, procesamiento y estudio, pues </w:t>
      </w:r>
      <w:r>
        <w:rPr>
          <w:rFonts w:ascii="Palatino Linotype" w:eastAsia="Palatino Linotype" w:hAnsi="Palatino Linotype" w:cs="Palatino Linotype"/>
          <w:b/>
          <w:u w:val="single"/>
        </w:rPr>
        <w:t>se desconoce si la misma obra en un solo expediente o en varios, o bien, la cantidad de la documentación excede las capacidades de las unidades administrativas en cuestión, para atender la solicitud, dentro del plazo establecido en la normatividad aplicable.</w:t>
      </w:r>
    </w:p>
    <w:p w:rsidR="00C514A1" w:rsidRDefault="00C514A1">
      <w:pPr>
        <w:spacing w:line="360" w:lineRule="auto"/>
        <w:jc w:val="both"/>
        <w:rPr>
          <w:rFonts w:ascii="Palatino Linotype" w:eastAsia="Palatino Linotype" w:hAnsi="Palatino Linotype" w:cs="Palatino Linotype"/>
        </w:rPr>
      </w:pPr>
    </w:p>
    <w:p w:rsidR="00C514A1" w:rsidRDefault="008B7725">
      <w:pPr>
        <w:spacing w:line="360" w:lineRule="auto"/>
        <w:jc w:val="both"/>
        <w:rPr>
          <w:rFonts w:ascii="Palatino Linotype" w:eastAsia="Palatino Linotype" w:hAnsi="Palatino Linotype" w:cs="Palatino Linotype"/>
          <w:b/>
          <w:u w:val="single"/>
        </w:rPr>
      </w:pPr>
      <w:bookmarkStart w:id="3" w:name="_heading=h.tyjcwt" w:colFirst="0" w:colLast="0"/>
      <w:bookmarkEnd w:id="3"/>
      <w:r>
        <w:rPr>
          <w:rFonts w:ascii="Palatino Linotype" w:eastAsia="Palatino Linotype" w:hAnsi="Palatino Linotype" w:cs="Palatino Linotype"/>
        </w:rPr>
        <w:t xml:space="preserve">Por lo anterior, se advierte que </w:t>
      </w:r>
      <w:r>
        <w:rPr>
          <w:rFonts w:ascii="Palatino Linotype" w:eastAsia="Palatino Linotype" w:hAnsi="Palatino Linotype" w:cs="Palatino Linotype"/>
          <w:b/>
          <w:u w:val="single"/>
        </w:rPr>
        <w:t>el Sujeto Obligado, no acreditó la imposibilidad humana, técnica y administrativa, establecida en el artículo 158 de la Ley de Transparencia y Acceso a la Información Pública del Estado de México y Municipios, para validar el cambio de modalidad a consulta directa; situación que se robustece, con el hecho de que tampoco vio la posibilidad de poner a disposición la información, en el resto de modalidades establecidas en la Ley de la materia.</w:t>
      </w:r>
    </w:p>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las cosas así, cabe invocar el contenido del Capítulo X de Lineamientos Generales en Materia de Clasificación y Desclasificación de la Información, así como para la Elaboración de Versiones Públicas, respecto a la consulta directa, que reza así:</w:t>
      </w:r>
    </w:p>
    <w:p w:rsidR="00C514A1" w:rsidRDefault="008B7725">
      <w:pPr>
        <w:spacing w:before="120" w:after="120"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CAPÍTULO X </w:t>
      </w:r>
    </w:p>
    <w:p w:rsidR="00C514A1" w:rsidRDefault="008B7725">
      <w:pPr>
        <w:spacing w:before="120" w:after="120"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DE LA CONSULTA DIRECTA </w:t>
      </w:r>
    </w:p>
    <w:p w:rsidR="00C514A1" w:rsidRDefault="008B7725">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Sexagésimo séptimo</w:t>
      </w:r>
      <w:r>
        <w:rPr>
          <w:rFonts w:ascii="Palatino Linotype" w:eastAsia="Palatino Linotype" w:hAnsi="Palatino Linotype" w:cs="Palatino Linotype"/>
          <w:i/>
          <w:sz w:val="22"/>
          <w:szCs w:val="22"/>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Pr>
          <w:rFonts w:ascii="Palatino Linotype" w:eastAsia="Palatino Linotype" w:hAnsi="Palatino Linotype" w:cs="Palatino Linotype"/>
          <w:b/>
          <w:i/>
          <w:sz w:val="22"/>
          <w:szCs w:val="22"/>
        </w:rPr>
        <w:t>deberá emitir la resolución en la que funde y motive la clasificación</w:t>
      </w:r>
      <w:r>
        <w:rPr>
          <w:rFonts w:ascii="Palatino Linotype" w:eastAsia="Palatino Linotype" w:hAnsi="Palatino Linotype" w:cs="Palatino Linotype"/>
          <w:i/>
          <w:sz w:val="22"/>
          <w:szCs w:val="22"/>
        </w:rPr>
        <w:t xml:space="preserve"> de las partes o secciones que no podrán dejarse a la vista del solicitante. </w:t>
      </w:r>
    </w:p>
    <w:p w:rsidR="00C514A1" w:rsidRDefault="008B7725">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Sexagésimo octavo</w:t>
      </w:r>
      <w:r>
        <w:rPr>
          <w:rFonts w:ascii="Palatino Linotype" w:eastAsia="Palatino Linotype" w:hAnsi="Palatino Linotype" w:cs="Palatino Linotype"/>
          <w:i/>
          <w:sz w:val="22"/>
          <w:szCs w:val="22"/>
        </w:rPr>
        <w:t xml:space="preserve">. En la </w:t>
      </w:r>
      <w:r>
        <w:rPr>
          <w:rFonts w:ascii="Palatino Linotype" w:eastAsia="Palatino Linotype" w:hAnsi="Palatino Linotype" w:cs="Palatino Linotype"/>
          <w:b/>
          <w:i/>
          <w:sz w:val="22"/>
          <w:szCs w:val="22"/>
        </w:rPr>
        <w:t>resolución del Comité de Transparencia</w:t>
      </w:r>
      <w:r>
        <w:rPr>
          <w:rFonts w:ascii="Palatino Linotype" w:eastAsia="Palatino Linotype" w:hAnsi="Palatino Linotype" w:cs="Palatino Linotype"/>
          <w:i/>
          <w:sz w:val="22"/>
          <w:szCs w:val="22"/>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rsidR="00C514A1" w:rsidRDefault="008B7725">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Sexagésimo noveno</w:t>
      </w:r>
      <w:r>
        <w:rPr>
          <w:rFonts w:ascii="Palatino Linotype" w:eastAsia="Palatino Linotype" w:hAnsi="Palatino Linotype" w:cs="Palatino Linotype"/>
          <w:i/>
          <w:sz w:val="22"/>
          <w:szCs w:val="22"/>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rsidR="00C514A1" w:rsidRDefault="008B7725">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Septuagésimo</w:t>
      </w:r>
      <w:r>
        <w:rPr>
          <w:rFonts w:ascii="Palatino Linotype" w:eastAsia="Palatino Linotype" w:hAnsi="Palatino Linotype" w:cs="Palatino Linotype"/>
          <w:i/>
          <w:sz w:val="22"/>
          <w:szCs w:val="22"/>
        </w:rPr>
        <w:t xml:space="preserve">. Para el desahogo de las actuaciones tendientes a permitir la consulta directa, en los casos en que ésta resulte procedente, los sujetos obligados deberán observar lo siguiente: </w:t>
      </w:r>
    </w:p>
    <w:p w:rsidR="00C514A1" w:rsidRDefault="008B7725">
      <w:pPr>
        <w:spacing w:before="120" w:after="12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rsidR="00C514A1" w:rsidRDefault="008B7725">
      <w:pPr>
        <w:spacing w:before="120" w:after="12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En su caso, la procedencia de los ajustes razonables solicitados y/o la procedencia de acceso en la lengua indígena requerida; </w:t>
      </w:r>
    </w:p>
    <w:p w:rsidR="00C514A1" w:rsidRDefault="008B7725">
      <w:pPr>
        <w:spacing w:before="120" w:after="12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rsidR="00C514A1" w:rsidRDefault="008B7725">
      <w:pPr>
        <w:spacing w:before="120" w:after="12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Proporcionar al solicitante las facilidades y asistencia requerida para la consulta de los documentos;</w:t>
      </w:r>
    </w:p>
    <w:p w:rsidR="00C514A1" w:rsidRDefault="008B7725">
      <w:pPr>
        <w:spacing w:before="120" w:after="12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Abstenerse de requerir al solicitante que acredite interés alguno; </w:t>
      </w:r>
    </w:p>
    <w:p w:rsidR="00C514A1" w:rsidRDefault="008B7725">
      <w:pPr>
        <w:spacing w:before="120" w:after="12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w:t>
      </w:r>
      <w:r>
        <w:rPr>
          <w:rFonts w:ascii="Palatino Linotype" w:eastAsia="Palatino Linotype" w:hAnsi="Palatino Linotype" w:cs="Palatino Linotype"/>
          <w:i/>
          <w:sz w:val="22"/>
          <w:szCs w:val="22"/>
        </w:rPr>
        <w:t xml:space="preserve"> Adoptar las medidas técnicas, físicas, administrativas y demás que resulten necesarias para garantizar la integridad de la información a consultar, de conformidad con las características específicas del documento solicitado, tales como: </w:t>
      </w:r>
    </w:p>
    <w:p w:rsidR="00C514A1" w:rsidRDefault="008B7725">
      <w:pPr>
        <w:spacing w:before="120" w:after="12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w:t>
      </w:r>
      <w:r>
        <w:rPr>
          <w:rFonts w:ascii="Palatino Linotype" w:eastAsia="Palatino Linotype" w:hAnsi="Palatino Linotype" w:cs="Palatino Linotype"/>
          <w:i/>
          <w:sz w:val="22"/>
          <w:szCs w:val="22"/>
        </w:rPr>
        <w:t xml:space="preserve"> Contar con instalaciones y mobiliario adecuado para asegurar tanto la integridad del documento consultado, como para proporcionar al solicitante las mejores condiciones para poder llevar a cabo la consulta directa; </w:t>
      </w:r>
    </w:p>
    <w:p w:rsidR="00C514A1" w:rsidRDefault="008B7725">
      <w:pPr>
        <w:spacing w:before="120" w:after="12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b)</w:t>
      </w:r>
      <w:r>
        <w:rPr>
          <w:rFonts w:ascii="Palatino Linotype" w:eastAsia="Palatino Linotype" w:hAnsi="Palatino Linotype" w:cs="Palatino Linotype"/>
          <w:i/>
          <w:sz w:val="22"/>
          <w:szCs w:val="22"/>
        </w:rPr>
        <w:t xml:space="preserve"> Equipo y personal de vigilancia;</w:t>
      </w:r>
    </w:p>
    <w:p w:rsidR="00C514A1" w:rsidRDefault="008B7725">
      <w:pPr>
        <w:spacing w:before="120" w:after="12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w:t>
      </w:r>
      <w:r>
        <w:rPr>
          <w:rFonts w:ascii="Palatino Linotype" w:eastAsia="Palatino Linotype" w:hAnsi="Palatino Linotype" w:cs="Palatino Linotype"/>
          <w:i/>
          <w:sz w:val="22"/>
          <w:szCs w:val="22"/>
        </w:rPr>
        <w:t xml:space="preserve"> Plan de acción contra robo o vandalismo; </w:t>
      </w:r>
    </w:p>
    <w:p w:rsidR="00C514A1" w:rsidRDefault="008B7725">
      <w:pPr>
        <w:spacing w:before="120" w:after="12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w:t>
      </w:r>
      <w:r>
        <w:rPr>
          <w:rFonts w:ascii="Palatino Linotype" w:eastAsia="Palatino Linotype" w:hAnsi="Palatino Linotype" w:cs="Palatino Linotype"/>
          <w:i/>
          <w:sz w:val="22"/>
          <w:szCs w:val="22"/>
        </w:rPr>
        <w:t xml:space="preserve"> Extintores de fuego de gas inocuo; </w:t>
      </w:r>
    </w:p>
    <w:p w:rsidR="00C514A1" w:rsidRDefault="008B7725">
      <w:pPr>
        <w:spacing w:before="120" w:after="12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w:t>
      </w:r>
      <w:r>
        <w:rPr>
          <w:rFonts w:ascii="Palatino Linotype" w:eastAsia="Palatino Linotype" w:hAnsi="Palatino Linotype" w:cs="Palatino Linotype"/>
          <w:i/>
          <w:sz w:val="22"/>
          <w:szCs w:val="22"/>
        </w:rPr>
        <w:t xml:space="preserve"> Registro e identificación del personal autorizado para el tratamiento de los documentos o expedientes a revisar;</w:t>
      </w:r>
    </w:p>
    <w:p w:rsidR="00C514A1" w:rsidRDefault="008B7725">
      <w:pPr>
        <w:spacing w:before="120" w:after="12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f)</w:t>
      </w:r>
      <w:r>
        <w:rPr>
          <w:rFonts w:ascii="Palatino Linotype" w:eastAsia="Palatino Linotype" w:hAnsi="Palatino Linotype" w:cs="Palatino Linotype"/>
          <w:i/>
          <w:sz w:val="22"/>
          <w:szCs w:val="22"/>
        </w:rPr>
        <w:t xml:space="preserve"> Registro e identificación de los particulares autorizados para llevar a cabo la consulta directa, y </w:t>
      </w:r>
    </w:p>
    <w:p w:rsidR="00C514A1" w:rsidRDefault="008B7725">
      <w:pPr>
        <w:spacing w:before="120" w:after="12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g)</w:t>
      </w:r>
      <w:r>
        <w:rPr>
          <w:rFonts w:ascii="Palatino Linotype" w:eastAsia="Palatino Linotype" w:hAnsi="Palatino Linotype" w:cs="Palatino Linotype"/>
          <w:i/>
          <w:sz w:val="22"/>
          <w:szCs w:val="22"/>
        </w:rPr>
        <w:t xml:space="preserve"> Las demás que, a criterio de los sujetos obligados, resulten necesarias. </w:t>
      </w:r>
    </w:p>
    <w:p w:rsidR="00C514A1" w:rsidRDefault="008B7725">
      <w:pPr>
        <w:spacing w:before="120" w:after="12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w:t>
      </w:r>
      <w:r>
        <w:rPr>
          <w:rFonts w:ascii="Palatino Linotype" w:eastAsia="Palatino Linotype" w:hAnsi="Palatino Linotype" w:cs="Palatino Linotype"/>
          <w:i/>
          <w:sz w:val="22"/>
          <w:szCs w:val="22"/>
        </w:rPr>
        <w:t xml:space="preserve"> Hacer del conocimiento del solicitante, previo al acceso a la información, las reglas a que se sujetará la consulta para garantizar la integridad de los documentos, y</w:t>
      </w:r>
    </w:p>
    <w:p w:rsidR="00C514A1" w:rsidRDefault="008B7725">
      <w:pPr>
        <w:spacing w:before="120" w:after="120" w:line="276" w:lineRule="auto"/>
        <w:ind w:left="567"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xml:space="preserve"> Para el caso de documentos que contengan partes o secciones clasificadas como reservadas o confidenciales, el sujeto obligado deberá hacer del conocimiento del solicitante, </w:t>
      </w:r>
      <w:r>
        <w:rPr>
          <w:rFonts w:ascii="Palatino Linotype" w:eastAsia="Palatino Linotype" w:hAnsi="Palatino Linotype" w:cs="Palatino Linotype"/>
          <w:b/>
          <w:i/>
          <w:sz w:val="22"/>
          <w:szCs w:val="22"/>
        </w:rPr>
        <w:t xml:space="preserve">previo al acceso a la información, la resolución debidamente fundada y motivada del Comité de Transparencia, en la que se clasificaron las partes o secciones que no podrán dejarse a la vista del solicitante. </w:t>
      </w:r>
    </w:p>
    <w:p w:rsidR="00C514A1" w:rsidRDefault="008B7725">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Septuagésimo primero. </w:t>
      </w:r>
      <w:r>
        <w:rPr>
          <w:rFonts w:ascii="Palatino Linotype" w:eastAsia="Palatino Linotype" w:hAnsi="Palatino Linotype" w:cs="Palatino Linotype"/>
          <w:i/>
          <w:sz w:val="22"/>
          <w:szCs w:val="22"/>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rsidR="00C514A1" w:rsidRDefault="008B7725">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solicitante deberá observar en todo momento las reglas que el sujeto obligado haya hecho de su conocimiento para efectos de la conservación de los documentos. </w:t>
      </w:r>
    </w:p>
    <w:p w:rsidR="00C514A1" w:rsidRDefault="008B7725">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Septuagésimo segundo.</w:t>
      </w:r>
      <w:r>
        <w:rPr>
          <w:rFonts w:ascii="Palatino Linotype" w:eastAsia="Palatino Linotype" w:hAnsi="Palatino Linotype" w:cs="Palatino Linotype"/>
          <w:i/>
          <w:sz w:val="22"/>
          <w:szCs w:val="22"/>
        </w:rPr>
        <w:t xml:space="preserve"> El solicitante deberá realizar la consulta de los documentos requeridos en el lugar, horarios y con la persona destinada para tal efecto. </w:t>
      </w:r>
    </w:p>
    <w:p w:rsidR="00C514A1" w:rsidRDefault="008B7725">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rsidR="00C514A1" w:rsidRDefault="008B7725">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Septuagésimo tercero</w:t>
      </w:r>
      <w:r>
        <w:rPr>
          <w:rFonts w:ascii="Palatino Linotype" w:eastAsia="Palatino Linotype" w:hAnsi="Palatino Linotype" w:cs="Palatino Linotype"/>
          <w:i/>
          <w:sz w:val="22"/>
          <w:szCs w:val="22"/>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rsidR="00C514A1" w:rsidRDefault="008B7725">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deberá ser entregada sin costo, cuando implique la entrega de no más de veinte hojas simples.”</w:t>
      </w:r>
    </w:p>
    <w:p w:rsidR="00C514A1" w:rsidRDefault="00C514A1">
      <w:pPr>
        <w:spacing w:before="120" w:after="120"/>
        <w:ind w:left="851" w:right="902"/>
        <w:jc w:val="both"/>
        <w:rPr>
          <w:rFonts w:ascii="Palatino Linotype" w:eastAsia="Palatino Linotype" w:hAnsi="Palatino Linotype" w:cs="Palatino Linotype"/>
          <w:i/>
          <w:sz w:val="20"/>
          <w:szCs w:val="20"/>
        </w:rPr>
      </w:pPr>
    </w:p>
    <w:p w:rsidR="00C514A1" w:rsidRDefault="008B772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de lo anterior, se reitera que los argumentos señalados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resultan insuficientes para que tenga lugar un cambio de modalidad, pues no se acreditó la existencia de una imposibilidad técnica que impida la entrega de la información por el medio solicitado; además,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aportó elementos argumentativos que demostraran una imposibilidad técnica y humana para atender la solicitud de información; pues de la misma no se apreció que se trate de una cantidad extraordinaria de información o que se requiera realizar varias versiones públicas o que la información pueda obrar en una gran magnitud de hojas.</w:t>
      </w:r>
    </w:p>
    <w:p w:rsidR="00C514A1" w:rsidRDefault="00C514A1">
      <w:pPr>
        <w:spacing w:line="360" w:lineRule="auto"/>
        <w:jc w:val="both"/>
        <w:rPr>
          <w:rFonts w:ascii="Palatino Linotype" w:eastAsia="Palatino Linotype" w:hAnsi="Palatino Linotype" w:cs="Palatino Linotype"/>
        </w:rPr>
      </w:pPr>
    </w:p>
    <w:p w:rsidR="00C514A1" w:rsidRDefault="008B772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pues, </w:t>
      </w:r>
      <w:r>
        <w:rPr>
          <w:rFonts w:ascii="Palatino Linotype" w:eastAsia="Palatino Linotype" w:hAnsi="Palatino Linotype" w:cs="Palatino Linotype"/>
          <w:b/>
        </w:rPr>
        <w:t>resulta improcedente el cambio de modalidad propuesto por el Sujeto Obligado</w:t>
      </w:r>
      <w:r>
        <w:rPr>
          <w:rFonts w:ascii="Palatino Linotype" w:eastAsia="Palatino Linotype" w:hAnsi="Palatino Linotype" w:cs="Palatino Linotype"/>
        </w:rPr>
        <w:t xml:space="preserve"> y por tanto, se continúa con el análisis de la naturaleza de la información, para determinar su entrega en la modalidad elegida por el Particular. </w:t>
      </w:r>
    </w:p>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teniendo estas premisas en cuenta, debe trasladarse al caso concreto que sobre este requerimiento de información, únicamente se pronunció la </w:t>
      </w:r>
      <w:r>
        <w:rPr>
          <w:rFonts w:ascii="Palatino Linotype" w:eastAsia="Palatino Linotype" w:hAnsi="Palatino Linotype" w:cs="Palatino Linotype"/>
          <w:b/>
        </w:rPr>
        <w:t>Unidad de Transparencia</w:t>
      </w:r>
      <w:r>
        <w:rPr>
          <w:rFonts w:ascii="Palatino Linotype" w:eastAsia="Palatino Linotype" w:hAnsi="Palatino Linotype" w:cs="Palatino Linotype"/>
        </w:rPr>
        <w:t xml:space="preserve">, lo cual no satisfizo el derecho de acceso el derecho de acceso a la información del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al incumplir el principio de exhaustividad, toda vez que no se advierte una correcta búsqueda exhaustiva y razonable de la información solicitada por el Particular, lo anterior es así, en razón de que compete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rsidR="00C514A1" w:rsidRDefault="008B7725">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rsidR="00C514A1" w:rsidRDefault="008B7725">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La respuesta a los requerimientos informativos, deberá notificarse al interesado en el menor tiempo posible, que no podrá exceder de quince días hábiles, contados a partir del día siguiente a la presentación de esta. </w:t>
      </w:r>
    </w:p>
    <w:p w:rsidR="00C514A1" w:rsidRDefault="008B7725">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Excepcionalmente, el plazo referido podrá ampliarse por siete días hábiles más, cuando existan razones fundadas y motivadas, a través del Comité de Transparencia; </w:t>
      </w:r>
    </w:p>
    <w:p w:rsidR="00C514A1" w:rsidRDefault="008B7725">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rsidR="00C514A1" w:rsidRDefault="008B7725">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rsidR="00C514A1" w:rsidRDefault="008B7725">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orden de ideas,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debió turnar la solicitud a las áreas competentes para conocer de la solicitud de información, como en el presente caso se advierte que pudieran contar con la información, la Dirección Municipal de Salud y la Presidencia, ello de conformidad con lo previsto por el Reglamento Interno del Sistema Municipal Para el Desarrollo Integral de la Familia de Metepec, Estado de México, por contar con las facultades de dictar las medidas y acuerdos necesarios para la protección de niños, niñas y adolescentes, personas adultas mayores, personas con discapacidad y para la integración de la familia, así como observar, vigilar y evaluar la operación y funcionamiento de la Unidad de Rehabilitación e Integración Social (URIS).</w:t>
      </w:r>
    </w:p>
    <w:p w:rsidR="00C514A1" w:rsidRDefault="008B772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Bajo esta línea de pensamiento, conviene analizar la naturaleza de la información para determinar si es procedente su entrega. En el presente asunto, se advierte que los requerimientos del particular versan sobre las bitácoras de registro que se encuentran a la entrada del edificio central del DIF Metepec, así como de la recepción del edificio central del DIF Metepec y de asistencia de pacientes en la URIS durante enero, febrero y marzo de 2018, si bien es cierto,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aseveró contar con la información solicitada, pronunciamiento que se refuerza con el cambio de modalidad a consulta directa, no menos cierto es que dicha información no es susceptible de entrega íntegra, por lo tanto, es procedente su entrega en versión pública, esto es, testando los datos personales que pudieran obrar en los registros a entregar, por lo que para mejor proveer, se detallan a continuación los datos que no son del conocimiento público: </w:t>
      </w:r>
    </w:p>
    <w:p w:rsidR="00C514A1" w:rsidRDefault="00C514A1">
      <w:pPr>
        <w:spacing w:line="360" w:lineRule="auto"/>
        <w:jc w:val="both"/>
        <w:rPr>
          <w:rFonts w:ascii="Palatino Linotype" w:eastAsia="Palatino Linotype" w:hAnsi="Palatino Linotype" w:cs="Palatino Linotype"/>
        </w:rPr>
      </w:pPr>
    </w:p>
    <w:p w:rsidR="00C514A1" w:rsidRDefault="008B7725">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Nombres de personas que no son servidores públicos </w:t>
      </w:r>
    </w:p>
    <w:p w:rsidR="00C514A1" w:rsidRDefault="008B7725">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Al respecto, 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Pr>
          <w:rFonts w:ascii="Palatino Linotype" w:eastAsia="Palatino Linotype" w:hAnsi="Palatino Linotype" w:cs="Palatino Linotype"/>
          <w:i/>
        </w:rPr>
        <w:t>per se</w:t>
      </w:r>
      <w:r>
        <w:rPr>
          <w:rFonts w:ascii="Palatino Linotype" w:eastAsia="Palatino Linotype" w:hAnsi="Palatino Linotype" w:cs="Palatino Linotype"/>
        </w:rPr>
        <w:t xml:space="preserve"> es un elemento que hace a una persona física identificada o identificable, por lo que, </w:t>
      </w:r>
      <w:r>
        <w:rPr>
          <w:rFonts w:ascii="Palatino Linotype" w:eastAsia="Palatino Linotype" w:hAnsi="Palatino Linotype" w:cs="Palatino Linotype"/>
          <w:b/>
        </w:rPr>
        <w:t>se considera un dato personal.</w:t>
      </w:r>
    </w:p>
    <w:p w:rsidR="00C514A1" w:rsidRDefault="00C514A1">
      <w:pPr>
        <w:spacing w:line="360" w:lineRule="auto"/>
        <w:jc w:val="both"/>
        <w:rPr>
          <w:rFonts w:ascii="Palatino Linotype" w:eastAsia="Palatino Linotype" w:hAnsi="Palatino Linotype" w:cs="Palatino Linotype"/>
          <w:b/>
        </w:rPr>
      </w:pPr>
    </w:p>
    <w:p w:rsidR="00C514A1" w:rsidRDefault="008B772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sz w:val="22"/>
          <w:szCs w:val="22"/>
        </w:rPr>
        <w:t xml:space="preserve">En efecto, en el caso particular, por la naturaleza de la información que se solicita el nombre de los particulares  constituye un dato personal confidencial, por lo que actualiza el supuesto previsto en el artículo 143 </w:t>
      </w:r>
      <w:r>
        <w:rPr>
          <w:rFonts w:ascii="Palatino Linotype" w:eastAsia="Palatino Linotype" w:hAnsi="Palatino Linotype" w:cs="Palatino Linotype"/>
        </w:rPr>
        <w:t xml:space="preserve">fracción I de la Ley de Transparencia y Acceso a la Información Pública del Estado de México y Municipios y por tanto, procede su eliminación de las versiones públicas. </w:t>
      </w:r>
    </w:p>
    <w:p w:rsidR="00C514A1" w:rsidRDefault="00C514A1">
      <w:pPr>
        <w:spacing w:line="360" w:lineRule="auto"/>
        <w:jc w:val="both"/>
        <w:rPr>
          <w:rFonts w:ascii="Palatino Linotype" w:eastAsia="Palatino Linotype" w:hAnsi="Palatino Linotype" w:cs="Palatino Linotype"/>
        </w:rPr>
      </w:pPr>
    </w:p>
    <w:p w:rsidR="00C514A1" w:rsidRDefault="008B772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pues, el nombre de Particulares debe protegerse en las versiones públicas y eliminarse, pues se trata de un dato personal confidencial. También resulta importante resaltar que el lugar en donde estuvo presente una persona, sí es un dato personal, ya que corresponde a la vida privada de los particulares las actividades diarias de su vida y si bien, se trata del ingreso a instalaciones públicas, esta información no guarda relación con documentos que daban transparentarse pues a diferencia del derecho de acceso a la información en donde aplica el principio de máxima publicidad, en tratándose de datos personales aplica en sentido contrario pues estos se rigen por el principio de finalidad establecido en el artículo 22 de la Ley de Protección de Datos Personales en Posesión de Sujetos Obligados del Estado de México y Municipios, por tal motivo, el simple hecho de entregar el nombre de una persona en una lista de ingreso a instalaciones públicas, lo hace identificado e identificable, por lo que constituye su dato personal y no procede la entrega como información pública.</w:t>
      </w:r>
    </w:p>
    <w:p w:rsidR="00C514A1" w:rsidRDefault="00C514A1">
      <w:pPr>
        <w:spacing w:line="360" w:lineRule="auto"/>
        <w:jc w:val="both"/>
        <w:rPr>
          <w:rFonts w:ascii="Palatino Linotype" w:eastAsia="Palatino Linotype" w:hAnsi="Palatino Linotype" w:cs="Palatino Linotype"/>
        </w:rPr>
      </w:pPr>
    </w:p>
    <w:p w:rsidR="00C514A1" w:rsidRDefault="008B7725">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Edad.</w:t>
      </w:r>
    </w:p>
    <w:p w:rsidR="00C514A1" w:rsidRDefault="00C514A1">
      <w:pPr>
        <w:spacing w:line="360" w:lineRule="auto"/>
        <w:jc w:val="both"/>
        <w:rPr>
          <w:rFonts w:ascii="Palatino Linotype" w:eastAsia="Palatino Linotype" w:hAnsi="Palatino Linotype" w:cs="Palatino Linotype"/>
          <w:b/>
          <w:sz w:val="22"/>
          <w:szCs w:val="22"/>
        </w:rPr>
      </w:pPr>
    </w:p>
    <w:p w:rsidR="00C514A1" w:rsidRDefault="008B772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este Instituto advierte que la edad es información referida a la esfera privada de los particulares, dado que la misma da cuenta de los años cumplidos, el nivel de madurez, las características físicas y de raciocinio de una persona, por lo que resulta procedente clasificar dicho dato en términos del artículo 143, fracción I de la Ley de Transparencia y Acceso a la Información Pública del Estado de México y Municipios</w:t>
      </w:r>
    </w:p>
    <w:p w:rsidR="00C514A1" w:rsidRDefault="00C514A1">
      <w:pPr>
        <w:spacing w:line="360" w:lineRule="auto"/>
        <w:jc w:val="both"/>
        <w:rPr>
          <w:rFonts w:ascii="Palatino Linotype" w:eastAsia="Palatino Linotype" w:hAnsi="Palatino Linotype" w:cs="Palatino Linotype"/>
          <w:sz w:val="22"/>
          <w:szCs w:val="22"/>
        </w:rPr>
      </w:pPr>
    </w:p>
    <w:p w:rsidR="00C514A1" w:rsidRDefault="008B7725">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Domicilio particular </w:t>
      </w:r>
    </w:p>
    <w:p w:rsidR="00C514A1" w:rsidRDefault="00C514A1">
      <w:pPr>
        <w:spacing w:line="360" w:lineRule="auto"/>
        <w:jc w:val="both"/>
        <w:rPr>
          <w:rFonts w:ascii="Palatino Linotype" w:eastAsia="Palatino Linotype" w:hAnsi="Palatino Linotype" w:cs="Palatino Linotype"/>
          <w:sz w:val="22"/>
          <w:szCs w:val="22"/>
        </w:rPr>
      </w:pPr>
    </w:p>
    <w:p w:rsidR="00C514A1" w:rsidRDefault="008B772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rsidR="00C514A1" w:rsidRDefault="00C514A1">
      <w:pPr>
        <w:spacing w:line="360" w:lineRule="auto"/>
        <w:jc w:val="both"/>
        <w:rPr>
          <w:rFonts w:ascii="Palatino Linotype" w:eastAsia="Palatino Linotype" w:hAnsi="Palatino Linotype" w:cs="Palatino Linotype"/>
        </w:rPr>
      </w:pPr>
    </w:p>
    <w:p w:rsidR="00C514A1" w:rsidRDefault="008B772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la misma manera, lo establece el artículo 29 del Código Civil Federal, al precisar que el domicilio de personas físicas</w:t>
      </w:r>
      <w:r>
        <w:rPr>
          <w:rFonts w:ascii="Palatino Linotype" w:eastAsia="Palatino Linotype" w:hAnsi="Palatino Linotype" w:cs="Palatino Linotype"/>
          <w:b/>
        </w:rPr>
        <w:t>, e</w:t>
      </w:r>
      <w:r>
        <w:rPr>
          <w:rFonts w:ascii="Palatino Linotype" w:eastAsia="Palatino Linotype" w:hAnsi="Palatino Linotype" w:cs="Palatino Linotype"/>
        </w:rPr>
        <w:t>s el lugar donde residen habitualmente, el lugar del centro principal de sus negocios, donde residan o el lugar donde se encuentren.</w:t>
      </w:r>
    </w:p>
    <w:p w:rsidR="00C514A1" w:rsidRDefault="00C514A1">
      <w:pPr>
        <w:spacing w:line="360" w:lineRule="auto"/>
        <w:jc w:val="both"/>
        <w:rPr>
          <w:rFonts w:ascii="Palatino Linotype" w:eastAsia="Palatino Linotype" w:hAnsi="Palatino Linotype" w:cs="Palatino Linotype"/>
          <w:b/>
        </w:rPr>
      </w:pPr>
    </w:p>
    <w:p w:rsidR="00C514A1" w:rsidRDefault="008B772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respecto al domicilio particular se presume que corresponde al lugar donde reside habitualmente</w:t>
      </w:r>
      <w:r>
        <w:rPr>
          <w:rFonts w:ascii="Palatino Linotype" w:eastAsia="Palatino Linotype" w:hAnsi="Palatino Linotype" w:cs="Palatino Linotype"/>
          <w:b/>
        </w:rPr>
        <w:t>.</w:t>
      </w:r>
    </w:p>
    <w:p w:rsidR="00C514A1" w:rsidRDefault="00C514A1">
      <w:pPr>
        <w:spacing w:line="360" w:lineRule="auto"/>
        <w:jc w:val="both"/>
        <w:rPr>
          <w:rFonts w:ascii="Palatino Linotype" w:eastAsia="Palatino Linotype" w:hAnsi="Palatino Linotype" w:cs="Palatino Linotype"/>
        </w:rPr>
      </w:pPr>
    </w:p>
    <w:p w:rsidR="00C514A1" w:rsidRDefault="008B772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 conformidad con la fracción I, del artículo 143 de la Ley de Transparencia y Acceso a la Información Pública del Estado de México y Municipios.</w:t>
      </w:r>
    </w:p>
    <w:p w:rsidR="00C514A1" w:rsidRDefault="00C514A1">
      <w:pPr>
        <w:spacing w:line="360" w:lineRule="auto"/>
        <w:jc w:val="both"/>
        <w:rPr>
          <w:rFonts w:ascii="Palatino Linotype" w:eastAsia="Palatino Linotype" w:hAnsi="Palatino Linotype" w:cs="Palatino Linotype"/>
          <w:sz w:val="22"/>
          <w:szCs w:val="22"/>
        </w:rPr>
      </w:pPr>
    </w:p>
    <w:p w:rsidR="00C514A1" w:rsidRDefault="008B7725">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Teléfono particular.</w:t>
      </w:r>
    </w:p>
    <w:p w:rsidR="00C514A1" w:rsidRDefault="00C514A1">
      <w:pPr>
        <w:spacing w:line="360" w:lineRule="auto"/>
        <w:jc w:val="both"/>
        <w:rPr>
          <w:rFonts w:ascii="Palatino Linotype" w:eastAsia="Palatino Linotype" w:hAnsi="Palatino Linotype" w:cs="Palatino Linotype"/>
          <w:sz w:val="22"/>
          <w:szCs w:val="22"/>
        </w:rPr>
      </w:pPr>
    </w:p>
    <w:p w:rsidR="00C514A1" w:rsidRDefault="008B772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número asignado a un teléfono particular permite localizar a una persona física identificada o identificable, ya sea a través de un dispositivo móvil o bien, en un lugar como el domicilio. </w:t>
      </w:r>
    </w:p>
    <w:p w:rsidR="00C514A1" w:rsidRDefault="008B772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sentido, el número contacto, permite localizar de manera privada a las personas físicas o servidores públicos; por lo que, la titularidad corresponde a la persona física en su calidad de particular y no como servidor público.</w:t>
      </w:r>
    </w:p>
    <w:p w:rsidR="00C514A1" w:rsidRDefault="00C514A1">
      <w:pPr>
        <w:spacing w:line="360" w:lineRule="auto"/>
        <w:jc w:val="both"/>
        <w:rPr>
          <w:rFonts w:ascii="Palatino Linotype" w:eastAsia="Palatino Linotype" w:hAnsi="Palatino Linotype" w:cs="Palatino Linotype"/>
        </w:rPr>
      </w:pPr>
    </w:p>
    <w:p w:rsidR="00C514A1" w:rsidRDefault="008B772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tales consideraciones, dicho dato personal es susceptible de ser clasificado como confidencial, con fundamento en el artículo 143, fracción I de la Ley de Transparencia y Acceso a la Información Pública.</w:t>
      </w:r>
    </w:p>
    <w:p w:rsidR="00C514A1" w:rsidRDefault="00C514A1">
      <w:pPr>
        <w:spacing w:line="360" w:lineRule="auto"/>
        <w:jc w:val="both"/>
        <w:rPr>
          <w:rFonts w:ascii="Palatino Linotype" w:eastAsia="Palatino Linotype" w:hAnsi="Palatino Linotype" w:cs="Palatino Linotype"/>
        </w:rPr>
      </w:pPr>
    </w:p>
    <w:p w:rsidR="00C514A1" w:rsidRDefault="008B7725">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Firma de personas que no son servidores públicos</w:t>
      </w:r>
    </w:p>
    <w:p w:rsidR="00C514A1" w:rsidRDefault="00C514A1">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rPr>
      </w:pPr>
    </w:p>
    <w:p w:rsidR="00C514A1" w:rsidRDefault="008B772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Que en las Resoluciones RRA 1774/18 y RRA 1780/18 emitidas por el INAI, se señaló que la firma es considerada como escritura gráfica o grafo manuscrito que representa al nombre</w:t>
      </w:r>
      <w:r>
        <w:t xml:space="preserve"> </w:t>
      </w:r>
      <w:r>
        <w:rPr>
          <w:rFonts w:ascii="Palatino Linotype" w:eastAsia="Palatino Linotype" w:hAnsi="Palatino Linotype" w:cs="Palatino Linotype"/>
        </w:rPr>
        <w:t>y apellido(s), o título, que una persona escribe de su propia mano, que tiene fines de identificación, jurídicos y representativos, a través de los cuales es posible identificar o hacer identificable a su titular, por lo que a través de ésta se puede identificar a una persona, y, en consecuencia, se considera un dato personal susceptible de ser clasificado como confidencial, con fundamento en el artículo 143, fracción I de la Ley de Transparencia y Acceso a la Información Pública.</w:t>
      </w:r>
    </w:p>
    <w:p w:rsidR="00C514A1" w:rsidRDefault="008B772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No se debe perder de vista que en el recurso de revisión </w:t>
      </w:r>
      <w:r>
        <w:rPr>
          <w:rFonts w:ascii="Palatino Linotype" w:eastAsia="Palatino Linotype" w:hAnsi="Palatino Linotype" w:cs="Palatino Linotype"/>
          <w:b/>
          <w:sz w:val="22"/>
          <w:szCs w:val="22"/>
        </w:rPr>
        <w:t>02900/INFOEM/IP/RR/2022</w:t>
      </w:r>
      <w:r>
        <w:rPr>
          <w:rFonts w:ascii="Palatino Linotype" w:eastAsia="Palatino Linotype" w:hAnsi="Palatino Linotype" w:cs="Palatino Linotype"/>
        </w:rPr>
        <w:t xml:space="preserve">, se solicitó la bitácora de asistencia de pacientes de la Unidad de Rehabilitación e Integración Social del Sistema, en la que, además de considerarse como información clasificada como confidencial la señalada anteriormente, deberá tomarse en consideración lo siguiente: </w:t>
      </w:r>
    </w:p>
    <w:p w:rsidR="00C514A1" w:rsidRDefault="008B772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Para el estudio de este punto, debe señalarse que esta Unidad pertenece a la Dirección Municipal de Salud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tal como se visualiza en la siguiente cita: </w:t>
      </w:r>
    </w:p>
    <w:p w:rsidR="00C514A1" w:rsidRDefault="008B7725">
      <w:pPr>
        <w:spacing w:before="240" w:after="240" w:line="360" w:lineRule="auto"/>
        <w:ind w:right="49"/>
        <w:jc w:val="both"/>
      </w:pPr>
      <w:r>
        <w:object w:dxaOrig="8460" w:dyaOrig="1665">
          <v:shape id="_x0000_i1029" type="#_x0000_t75" style="width:423pt;height:83.25pt" o:ole="">
            <v:imagedata r:id="rId16" o:title=""/>
          </v:shape>
          <o:OLEObject Type="Embed" ProgID="Paint.Picture" ShapeID="_x0000_i1029" DrawAspect="Content" ObjectID="_1716827916" r:id="rId17"/>
        </w:object>
      </w:r>
    </w:p>
    <w:p w:rsidR="00C514A1" w:rsidRDefault="008B7725">
      <w:pPr>
        <w:spacing w:before="240" w:after="240" w:line="360" w:lineRule="auto"/>
        <w:ind w:right="49"/>
        <w:jc w:val="center"/>
        <w:rPr>
          <w:rFonts w:ascii="Palatino Linotype" w:eastAsia="Palatino Linotype" w:hAnsi="Palatino Linotype" w:cs="Palatino Linotype"/>
        </w:rPr>
      </w:pPr>
      <w:r>
        <w:object w:dxaOrig="7995" w:dyaOrig="9300">
          <v:shape id="_x0000_i1030" type="#_x0000_t75" style="width:399.75pt;height:465pt" o:ole="">
            <v:imagedata r:id="rId18" o:title=""/>
          </v:shape>
          <o:OLEObject Type="Embed" ProgID="Paint.Picture" ShapeID="_x0000_i1030" DrawAspect="Content" ObjectID="_1716827917" r:id="rId19"/>
        </w:object>
      </w:r>
      <w:r>
        <w:rPr>
          <w:noProof/>
          <w:lang w:val="es-MX"/>
        </w:rPr>
        <mc:AlternateContent>
          <mc:Choice Requires="wpg">
            <w:drawing>
              <wp:anchor distT="0" distB="0" distL="114300" distR="114300" simplePos="0" relativeHeight="251658240" behindDoc="0" locked="0" layoutInCell="1" hidden="0" allowOverlap="1">
                <wp:simplePos x="0" y="0"/>
                <wp:positionH relativeFrom="column">
                  <wp:posOffset>228600</wp:posOffset>
                </wp:positionH>
                <wp:positionV relativeFrom="paragraph">
                  <wp:posOffset>3873500</wp:posOffset>
                </wp:positionV>
                <wp:extent cx="5133975" cy="314325"/>
                <wp:effectExtent l="0" t="0" r="0" b="0"/>
                <wp:wrapNone/>
                <wp:docPr id="30" name="Rectángulo 30"/>
                <wp:cNvGraphicFramePr/>
                <a:graphic xmlns:a="http://schemas.openxmlformats.org/drawingml/2006/main">
                  <a:graphicData uri="http://schemas.microsoft.com/office/word/2010/wordprocessingShape">
                    <wps:wsp>
                      <wps:cNvSpPr/>
                      <wps:spPr>
                        <a:xfrm>
                          <a:off x="2793300" y="3637125"/>
                          <a:ext cx="5105400" cy="285750"/>
                        </a:xfrm>
                        <a:prstGeom prst="rect">
                          <a:avLst/>
                        </a:prstGeom>
                        <a:noFill/>
                        <a:ln w="28575" cap="flat" cmpd="sng">
                          <a:solidFill>
                            <a:srgbClr val="002060"/>
                          </a:solidFill>
                          <a:prstDash val="solid"/>
                          <a:round/>
                          <a:headEnd type="none" w="sm" len="sm"/>
                          <a:tailEnd type="none" w="sm" len="sm"/>
                        </a:ln>
                      </wps:spPr>
                      <wps:txbx>
                        <w:txbxContent>
                          <w:p w:rsidR="00C514A1" w:rsidRDefault="00C514A1">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228600</wp:posOffset>
                </wp:positionH>
                <wp:positionV relativeFrom="paragraph">
                  <wp:posOffset>3873500</wp:posOffset>
                </wp:positionV>
                <wp:extent cx="5133975" cy="314325"/>
                <wp:effectExtent b="0" l="0" r="0" t="0"/>
                <wp:wrapNone/>
                <wp:docPr id="30" name="image9.png"/>
                <a:graphic>
                  <a:graphicData uri="http://schemas.openxmlformats.org/drawingml/2006/picture">
                    <pic:pic>
                      <pic:nvPicPr>
                        <pic:cNvPr id="0" name="image9.png"/>
                        <pic:cNvPicPr preferRelativeResize="0"/>
                      </pic:nvPicPr>
                      <pic:blipFill>
                        <a:blip r:embed="rId20"/>
                        <a:srcRect/>
                        <a:stretch>
                          <a:fillRect/>
                        </a:stretch>
                      </pic:blipFill>
                      <pic:spPr>
                        <a:xfrm>
                          <a:off x="0" y="0"/>
                          <a:ext cx="5133975" cy="314325"/>
                        </a:xfrm>
                        <a:prstGeom prst="rect"/>
                        <a:ln/>
                      </pic:spPr>
                    </pic:pic>
                  </a:graphicData>
                </a:graphic>
              </wp:anchor>
            </w:drawing>
          </mc:Fallback>
        </mc:AlternateContent>
      </w:r>
    </w:p>
    <w:p w:rsidR="00C514A1" w:rsidRDefault="008B772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Las URIS brindarán los siguientes servicios:</w:t>
      </w:r>
    </w:p>
    <w:p w:rsidR="00C514A1" w:rsidRDefault="008B7725">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las Unidades de Rehabilitación e Integración Social se brindan servicios de primer nivel de atención en rehabilitación que, a diferencia de las UBRIS, incluyen áreas de terapia ocupacional y de lenguaje. </w:t>
      </w:r>
      <w:r>
        <w:rPr>
          <w:rFonts w:ascii="Palatino Linotype" w:eastAsia="Palatino Linotype" w:hAnsi="Palatino Linotype" w:cs="Palatino Linotype"/>
          <w:b/>
          <w:i/>
          <w:sz w:val="22"/>
          <w:szCs w:val="22"/>
          <w:u w:val="single"/>
        </w:rPr>
        <w:t>Dichas áreas fortalecen las acciones de salud, prevención de discapacidad, tratamiento de padecimientos generadores de discapacidad y la inclusión de las personas con discapacidad; acortando tiempos de recuperación y mejorando la calidad de vida de los mexiquenses con discapacidad</w:t>
      </w:r>
      <w:r>
        <w:rPr>
          <w:rFonts w:ascii="Palatino Linotype" w:eastAsia="Palatino Linotype" w:hAnsi="Palatino Linotype" w:cs="Palatino Linotype"/>
          <w:b/>
          <w:i/>
          <w:sz w:val="22"/>
          <w:szCs w:val="22"/>
          <w:u w:val="single"/>
          <w:vertAlign w:val="superscript"/>
        </w:rPr>
        <w:footnoteReference w:id="3"/>
      </w:r>
      <w:r>
        <w:rPr>
          <w:rFonts w:ascii="Palatino Linotype" w:eastAsia="Palatino Linotype" w:hAnsi="Palatino Linotype" w:cs="Palatino Linotype"/>
          <w:i/>
          <w:sz w:val="22"/>
          <w:szCs w:val="22"/>
        </w:rPr>
        <w:t>...”</w:t>
      </w:r>
    </w:p>
    <w:p w:rsidR="00C514A1" w:rsidRDefault="008B7725">
      <w:pPr>
        <w:widowControl w:val="0"/>
        <w:tabs>
          <w:tab w:val="left" w:pos="1701"/>
          <w:tab w:val="left" w:pos="1843"/>
        </w:tabs>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anteriormente citado, se colige que este requerimiento versa sobre pacientes que asistieron a esta unidad, como se señala en líneas anteriores, estas instalaciones se encargan del tratamiento de padecimientos y la inclusión de personas con discapacidad, es decir, se trata de información de estado de salud de particulares, por lo que con su entrega, se estaría dando a  conocer la condición física de personas, debe resaltarse que esta información se considera dentro de los datos personales sensibles, en términos del artículo 4, fracción XII de la Ley de Protección de Datos Personales en Posesión de Sujetos Obligados del Estado de México y Municipios.</w:t>
      </w:r>
    </w:p>
    <w:p w:rsidR="00C514A1" w:rsidRDefault="00C514A1">
      <w:pPr>
        <w:widowControl w:val="0"/>
        <w:tabs>
          <w:tab w:val="left" w:pos="1701"/>
          <w:tab w:val="left" w:pos="1843"/>
        </w:tabs>
        <w:spacing w:line="360" w:lineRule="auto"/>
        <w:jc w:val="both"/>
        <w:rPr>
          <w:rFonts w:ascii="Palatino Linotype" w:eastAsia="Palatino Linotype" w:hAnsi="Palatino Linotype" w:cs="Palatino Linotype"/>
        </w:rPr>
      </w:pPr>
    </w:p>
    <w:p w:rsidR="00C514A1" w:rsidRDefault="008B7725">
      <w:pPr>
        <w:widowControl w:val="0"/>
        <w:tabs>
          <w:tab w:val="left" w:pos="1701"/>
          <w:tab w:val="left" w:pos="1843"/>
        </w:tabs>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“XII. </w:t>
      </w:r>
      <w:r>
        <w:rPr>
          <w:rFonts w:ascii="Palatino Linotype" w:eastAsia="Palatino Linotype" w:hAnsi="Palatino Linotype" w:cs="Palatino Linotype"/>
          <w:b/>
          <w:i/>
          <w:sz w:val="22"/>
          <w:szCs w:val="22"/>
        </w:rPr>
        <w:t>Datos personales sensibles</w:t>
      </w:r>
      <w:r>
        <w:rPr>
          <w:rFonts w:ascii="Palatino Linotype" w:eastAsia="Palatino Linotype" w:hAnsi="Palatino Linotype" w:cs="Palatino Linotype"/>
          <w:i/>
          <w:sz w:val="22"/>
          <w:szCs w:val="22"/>
        </w:rPr>
        <w:t xml:space="preserve">: a las referentes de la esfera de su titular cuya utilización indebida pueda dar origen a discriminación o conlleve un riesgo grave para éste. </w:t>
      </w:r>
      <w:r>
        <w:rPr>
          <w:rFonts w:ascii="Palatino Linotype" w:eastAsia="Palatino Linotype" w:hAnsi="Palatino Linotype" w:cs="Palatino Linotype"/>
          <w:b/>
          <w:i/>
          <w:sz w:val="22"/>
          <w:szCs w:val="22"/>
          <w:u w:val="single"/>
        </w:rPr>
        <w:t>De manera enunciativa más no limitativa, se consideran sensibles los datos personales que puedan revelar aspectos como</w:t>
      </w:r>
      <w:r>
        <w:rPr>
          <w:rFonts w:ascii="Palatino Linotype" w:eastAsia="Palatino Linotype" w:hAnsi="Palatino Linotype" w:cs="Palatino Linotype"/>
          <w:i/>
          <w:sz w:val="22"/>
          <w:szCs w:val="22"/>
        </w:rPr>
        <w:t xml:space="preserve"> origen racial o étnico, </w:t>
      </w:r>
      <w:r>
        <w:rPr>
          <w:rFonts w:ascii="Palatino Linotype" w:eastAsia="Palatino Linotype" w:hAnsi="Palatino Linotype" w:cs="Palatino Linotype"/>
          <w:b/>
          <w:i/>
          <w:sz w:val="22"/>
          <w:szCs w:val="22"/>
          <w:u w:val="single"/>
        </w:rPr>
        <w:t>estado de salud física o mental, presente o futura</w:t>
      </w:r>
      <w:r>
        <w:rPr>
          <w:rFonts w:ascii="Palatino Linotype" w:eastAsia="Palatino Linotype" w:hAnsi="Palatino Linotype" w:cs="Palatino Linotype"/>
          <w:i/>
          <w:sz w:val="22"/>
          <w:szCs w:val="22"/>
        </w:rPr>
        <w:t>, información genética, creencias religiosas, filosóficas y morales, opiniones políticas y preferencia sexual.”</w:t>
      </w:r>
    </w:p>
    <w:p w:rsidR="00C514A1" w:rsidRDefault="00C514A1">
      <w:pPr>
        <w:widowControl w:val="0"/>
        <w:tabs>
          <w:tab w:val="left" w:pos="1701"/>
          <w:tab w:val="left" w:pos="1843"/>
        </w:tabs>
        <w:spacing w:line="360" w:lineRule="auto"/>
        <w:jc w:val="both"/>
        <w:rPr>
          <w:rFonts w:ascii="Palatino Linotype" w:eastAsia="Palatino Linotype" w:hAnsi="Palatino Linotype" w:cs="Palatino Linotype"/>
        </w:rPr>
      </w:pPr>
    </w:p>
    <w:p w:rsidR="00C514A1" w:rsidRDefault="008B7725">
      <w:pPr>
        <w:widowControl w:val="0"/>
        <w:tabs>
          <w:tab w:val="left" w:pos="1701"/>
          <w:tab w:val="left" w:pos="1843"/>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además de clasificar los datos personales referidos con antelación, también deberá clasificar aquellos que revelen el estado de salud física o mental de los particulares que acudan ante esta Unidad, lo anterior encuentra sustento en la siguiente cita: </w:t>
      </w:r>
    </w:p>
    <w:p w:rsidR="00C514A1" w:rsidRDefault="00C514A1">
      <w:pPr>
        <w:widowControl w:val="0"/>
        <w:tabs>
          <w:tab w:val="left" w:pos="1701"/>
          <w:tab w:val="left" w:pos="1843"/>
        </w:tabs>
        <w:spacing w:line="360" w:lineRule="auto"/>
        <w:jc w:val="both"/>
        <w:rPr>
          <w:rFonts w:ascii="Palatino Linotype" w:eastAsia="Palatino Linotype" w:hAnsi="Palatino Linotype" w:cs="Palatino Linotype"/>
        </w:rPr>
      </w:pPr>
    </w:p>
    <w:p w:rsidR="00C514A1" w:rsidRDefault="008B7725">
      <w:pPr>
        <w:widowControl w:val="0"/>
        <w:numPr>
          <w:ilvl w:val="0"/>
          <w:numId w:val="3"/>
        </w:numPr>
        <w:tabs>
          <w:tab w:val="left" w:pos="1701"/>
          <w:tab w:val="left" w:pos="1843"/>
        </w:tabs>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Aspectos de salud.</w:t>
      </w:r>
    </w:p>
    <w:p w:rsidR="00C514A1" w:rsidRDefault="00C514A1">
      <w:pPr>
        <w:widowControl w:val="0"/>
        <w:tabs>
          <w:tab w:val="left" w:pos="1701"/>
          <w:tab w:val="left" w:pos="1843"/>
        </w:tabs>
        <w:spacing w:line="360" w:lineRule="auto"/>
        <w:jc w:val="both"/>
        <w:rPr>
          <w:rFonts w:ascii="Palatino Linotype" w:eastAsia="Palatino Linotype" w:hAnsi="Palatino Linotype" w:cs="Palatino Linotype"/>
        </w:rPr>
      </w:pPr>
    </w:p>
    <w:p w:rsidR="00C514A1" w:rsidRDefault="008B7725">
      <w:pPr>
        <w:widowControl w:val="0"/>
        <w:tabs>
          <w:tab w:val="left" w:pos="1701"/>
          <w:tab w:val="left" w:pos="1843"/>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se advierte que las condiciones de salud de las personas atañen a su vida privada, en atención a que son parte del estado físico, psicológico, entre otros, que le involucran y atañen únicamente a la persona; por lo que, identificar a la persona con su estado de salud, no corresponde a información que se relacione con uso de recursos públicos o actos de autoridad que deban ser transparentados, por tanto, se actualiza el supuesto previsto en el artículo 143 fracción I de la Ley de Transparencia y Acceso a la Información Pública del Estado de México y Municipios.</w:t>
      </w:r>
    </w:p>
    <w:p w:rsidR="00C514A1" w:rsidRDefault="00C514A1">
      <w:pPr>
        <w:widowControl w:val="0"/>
        <w:tabs>
          <w:tab w:val="left" w:pos="1701"/>
          <w:tab w:val="left" w:pos="1843"/>
        </w:tabs>
        <w:spacing w:line="360" w:lineRule="auto"/>
        <w:jc w:val="both"/>
        <w:rPr>
          <w:rFonts w:ascii="Palatino Linotype" w:eastAsia="Palatino Linotype" w:hAnsi="Palatino Linotype" w:cs="Palatino Linotype"/>
        </w:rPr>
      </w:pPr>
    </w:p>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mérito de lo anterior, es conveniente señalar los siguientes conceptos de acuerdo a los Lineamientos para la Organización y Conservación de Archivos, emitidos por el Instituto Nacional de Acceso a la Información (INAI), cuyo objeto es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 al tenor de lo siguiente:</w:t>
      </w:r>
    </w:p>
    <w:p w:rsidR="00C514A1" w:rsidRDefault="008B7725">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“Cuarto.</w:t>
      </w:r>
    </w:p>
    <w:p w:rsidR="00C514A1" w:rsidRDefault="008B7725">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514A1" w:rsidRDefault="008B7725">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Archivo: El conjunto orgánico de documentos en cualquier soporte, que son producidos o recibidos por los sujetos obligados o los particulares en el ejercicio de sus atribuciones o en el desarrollo de sus actividades;</w:t>
      </w:r>
    </w:p>
    <w:p w:rsidR="00C514A1" w:rsidRDefault="008B7725">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Archivo de concentración: La unidad de la administración de documentos cuya consulta es esporádica y que permanecen en ella hasta su transferencia secundaria o baja documental;</w:t>
      </w:r>
    </w:p>
    <w:p w:rsidR="00C514A1" w:rsidRDefault="008B7725">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Archivo histórico. La unidad responsable de la administración de los documentos de conservación permanente y que son fuente de acceso público;</w:t>
      </w:r>
    </w:p>
    <w:p w:rsidR="00C514A1" w:rsidRDefault="008B7725">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Archivo de trámite: La unidad responsable de la administración de documentos de uso cotidiano y necesario para el ejercicio de las atribuciones de una unidad administrativa, los cuales permanecen en ella hasta su transferencia primaria;</w:t>
      </w:r>
    </w:p>
    <w:p w:rsidR="00C514A1" w:rsidRDefault="008B7725">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 Baja documental. La eliminación de aquella documentación que haya prescrito en sus valores administrativos, legales, fiscales, contables, y que no contenga valores históricos;</w:t>
      </w:r>
    </w:p>
    <w:p w:rsidR="00C514A1" w:rsidRDefault="008B7725">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514A1" w:rsidRDefault="008B7725">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 Ciclo vital del documento: La etapas de los documentos desde su producción o recepción hasta su baja o transferencia a un archivo histórico;</w:t>
      </w:r>
    </w:p>
    <w:p w:rsidR="00C514A1" w:rsidRDefault="008B7725">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514A1" w:rsidRDefault="008B7725">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XLVIII. Transferencia documental: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rsidR="00C514A1" w:rsidRDefault="00C514A1">
      <w:pPr>
        <w:spacing w:before="240" w:after="240"/>
        <w:ind w:left="567" w:right="616"/>
        <w:jc w:val="both"/>
        <w:rPr>
          <w:rFonts w:ascii="Palatino Linotype" w:eastAsia="Palatino Linotype" w:hAnsi="Palatino Linotype" w:cs="Palatino Linotype"/>
          <w:i/>
          <w:sz w:val="22"/>
          <w:szCs w:val="22"/>
        </w:rPr>
      </w:pPr>
    </w:p>
    <w:p w:rsidR="00C514A1" w:rsidRDefault="008B772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 transferencia secundaria al Archivo Histórico o su baja documental.</w:t>
      </w:r>
    </w:p>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los artículos 30 y 31 de la Ley de Archivos y Administración de Documentos del Estado de México y Municipios, prevén que los sujetos obligados deberán contar con un archivo de trámite y uno de concentración, los cuales atenderán a lo siguiente: </w:t>
      </w:r>
    </w:p>
    <w:p w:rsidR="00C514A1" w:rsidRDefault="008B7725">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 “Artículo 30. </w:t>
      </w:r>
      <w:r>
        <w:rPr>
          <w:rFonts w:ascii="Palatino Linotype" w:eastAsia="Palatino Linotype" w:hAnsi="Palatino Linotype" w:cs="Palatino Linotype"/>
          <w:b/>
          <w:i/>
          <w:sz w:val="22"/>
          <w:szCs w:val="22"/>
        </w:rPr>
        <w:t xml:space="preserve">Cada área o unidad administrativa debe contar con un Archivo de Trámite que tendrá las siguientes funciones: </w:t>
      </w:r>
    </w:p>
    <w:p w:rsidR="00C514A1" w:rsidRDefault="008B7725">
      <w:pPr>
        <w:numPr>
          <w:ilvl w:val="0"/>
          <w:numId w:val="5"/>
        </w:numPr>
        <w:pBdr>
          <w:top w:val="nil"/>
          <w:left w:val="nil"/>
          <w:bottom w:val="nil"/>
          <w:right w:val="nil"/>
          <w:between w:val="nil"/>
        </w:pBdr>
        <w:spacing w:before="240" w:after="240" w:line="276" w:lineRule="auto"/>
        <w:ind w:left="567" w:right="851" w:hanging="283"/>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Integrar y organizar los Expedientes que cada área o unidad, produzca, use y reciba; </w:t>
      </w:r>
    </w:p>
    <w:p w:rsidR="00C514A1" w:rsidRDefault="008B7725">
      <w:pPr>
        <w:numPr>
          <w:ilvl w:val="0"/>
          <w:numId w:val="5"/>
        </w:numPr>
        <w:pBdr>
          <w:top w:val="nil"/>
          <w:left w:val="nil"/>
          <w:bottom w:val="nil"/>
          <w:right w:val="nil"/>
          <w:between w:val="nil"/>
        </w:pBdr>
        <w:spacing w:before="240" w:after="240" w:line="276" w:lineRule="auto"/>
        <w:ind w:left="567" w:right="851"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Asegurar la localización y consulta de los Expedientes mediante la elaboración de los Inventarios Documentales; </w:t>
      </w:r>
    </w:p>
    <w:p w:rsidR="00C514A1" w:rsidRDefault="008B7725">
      <w:pPr>
        <w:numPr>
          <w:ilvl w:val="0"/>
          <w:numId w:val="5"/>
        </w:numPr>
        <w:pBdr>
          <w:top w:val="nil"/>
          <w:left w:val="nil"/>
          <w:bottom w:val="nil"/>
          <w:right w:val="nil"/>
          <w:between w:val="nil"/>
        </w:pBdr>
        <w:spacing w:before="240" w:after="240" w:line="276" w:lineRule="auto"/>
        <w:ind w:left="567" w:right="851"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Resguardar los Archivos y la información que haya sido clasificada de acuerdo con la legislación en materia de transparencia y acceso a la información pública, en tanto conserve tal carácter; </w:t>
      </w:r>
    </w:p>
    <w:p w:rsidR="00C514A1" w:rsidRDefault="008B7725">
      <w:pPr>
        <w:numPr>
          <w:ilvl w:val="0"/>
          <w:numId w:val="5"/>
        </w:numPr>
        <w:pBdr>
          <w:top w:val="nil"/>
          <w:left w:val="nil"/>
          <w:bottom w:val="nil"/>
          <w:right w:val="nil"/>
          <w:between w:val="nil"/>
        </w:pBdr>
        <w:spacing w:before="240" w:after="240" w:line="276" w:lineRule="auto"/>
        <w:ind w:left="567" w:right="851"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Colaborar con el Área Coordinadora de Archivos en la elaboración de los Instrumentos de Control Archivístico previstos en esta Ley y sus disposiciones reglamentarias; </w:t>
      </w:r>
    </w:p>
    <w:p w:rsidR="00C514A1" w:rsidRDefault="008B7725">
      <w:pPr>
        <w:numPr>
          <w:ilvl w:val="0"/>
          <w:numId w:val="5"/>
        </w:numPr>
        <w:pBdr>
          <w:top w:val="nil"/>
          <w:left w:val="nil"/>
          <w:bottom w:val="nil"/>
          <w:right w:val="nil"/>
          <w:between w:val="nil"/>
        </w:pBdr>
        <w:spacing w:before="240" w:after="240" w:line="276" w:lineRule="auto"/>
        <w:ind w:left="567" w:right="851"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Trabajar de acuerdo con los criterios específicos y recomendaciones dictados por el Consejo Estatal y el Área Coordinadora de Archivos; </w:t>
      </w:r>
    </w:p>
    <w:p w:rsidR="00C514A1" w:rsidRDefault="008B7725">
      <w:pPr>
        <w:numPr>
          <w:ilvl w:val="0"/>
          <w:numId w:val="5"/>
        </w:numPr>
        <w:pBdr>
          <w:top w:val="nil"/>
          <w:left w:val="nil"/>
          <w:bottom w:val="nil"/>
          <w:right w:val="nil"/>
          <w:between w:val="nil"/>
        </w:pBdr>
        <w:spacing w:before="240" w:after="240" w:line="276" w:lineRule="auto"/>
        <w:ind w:left="567" w:right="851" w:hanging="283"/>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Realizar las Transferencias Primarias, y </w:t>
      </w:r>
    </w:p>
    <w:p w:rsidR="00C514A1" w:rsidRDefault="008B7725">
      <w:pPr>
        <w:numPr>
          <w:ilvl w:val="0"/>
          <w:numId w:val="5"/>
        </w:numPr>
        <w:pBdr>
          <w:top w:val="nil"/>
          <w:left w:val="nil"/>
          <w:bottom w:val="nil"/>
          <w:right w:val="nil"/>
          <w:between w:val="nil"/>
        </w:pBdr>
        <w:spacing w:before="240" w:after="240" w:line="276" w:lineRule="auto"/>
        <w:ind w:left="567" w:right="851"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Las que establezcan las disposiciones jurídicas aplicables. Las personas responsables de los Archivos de Trámite deben contar con los conocimientos, habilidades, competencias y experiencia archivísticos acordes a su responsabilidad; de no ser así, las y los titulares de las unidades administrativas tienen la obligación de establecer las condiciones que permitan la capacitación de los responsables para el buen funcionamiento de sus Archivos. </w:t>
      </w:r>
    </w:p>
    <w:p w:rsidR="00C514A1" w:rsidRDefault="008B7725">
      <w:pPr>
        <w:pBdr>
          <w:top w:val="nil"/>
          <w:left w:val="nil"/>
          <w:bottom w:val="nil"/>
          <w:right w:val="nil"/>
          <w:between w:val="nil"/>
        </w:pBdr>
        <w:spacing w:before="240" w:after="240" w:line="276" w:lineRule="auto"/>
        <w:ind w:left="567" w:right="85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Artículo 31. Cada Sujeto Obligado debe contar con un Archivo de Concentración, que tendrá las siguientes funciones: </w:t>
      </w:r>
    </w:p>
    <w:p w:rsidR="00C514A1" w:rsidRDefault="008B7725">
      <w:pPr>
        <w:numPr>
          <w:ilvl w:val="0"/>
          <w:numId w:val="6"/>
        </w:numPr>
        <w:pBdr>
          <w:top w:val="nil"/>
          <w:left w:val="nil"/>
          <w:bottom w:val="nil"/>
          <w:right w:val="nil"/>
          <w:between w:val="nil"/>
        </w:pBdr>
        <w:spacing w:before="240" w:after="240" w:line="276" w:lineRule="auto"/>
        <w:ind w:left="567" w:right="851"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Asegurar y describir los Fondos Documentales bajo su resguardo, así como la consulta de los Expedientes; </w:t>
      </w:r>
    </w:p>
    <w:p w:rsidR="00C514A1" w:rsidRDefault="008B7725">
      <w:pPr>
        <w:numPr>
          <w:ilvl w:val="0"/>
          <w:numId w:val="6"/>
        </w:numPr>
        <w:pBdr>
          <w:top w:val="nil"/>
          <w:left w:val="nil"/>
          <w:bottom w:val="nil"/>
          <w:right w:val="nil"/>
          <w:between w:val="nil"/>
        </w:pBdr>
        <w:spacing w:before="240" w:after="240" w:line="276" w:lineRule="auto"/>
        <w:ind w:left="567" w:right="851"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Recibir las Transferencias Primarias y brindar servicios de préstamo y consulta a las unidades o áreas administrativas productoras de la documentación que resguarda; </w:t>
      </w:r>
    </w:p>
    <w:p w:rsidR="00C514A1" w:rsidRDefault="008B7725">
      <w:pPr>
        <w:numPr>
          <w:ilvl w:val="0"/>
          <w:numId w:val="6"/>
        </w:numPr>
        <w:pBdr>
          <w:top w:val="nil"/>
          <w:left w:val="nil"/>
          <w:bottom w:val="nil"/>
          <w:right w:val="nil"/>
          <w:between w:val="nil"/>
        </w:pBdr>
        <w:spacing w:before="240" w:after="240" w:line="276" w:lineRule="auto"/>
        <w:ind w:left="567" w:right="851" w:hanging="425"/>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Conservar los Expedientes hasta cumplir su Vigencia Documental de acuerdo con lo establecido en el Catálogo de Disposición Documental; </w:t>
      </w:r>
    </w:p>
    <w:p w:rsidR="00C514A1" w:rsidRDefault="008B7725">
      <w:pPr>
        <w:numPr>
          <w:ilvl w:val="0"/>
          <w:numId w:val="6"/>
        </w:numPr>
        <w:pBdr>
          <w:top w:val="nil"/>
          <w:left w:val="nil"/>
          <w:bottom w:val="nil"/>
          <w:right w:val="nil"/>
          <w:between w:val="nil"/>
        </w:pBdr>
        <w:spacing w:before="240" w:after="240" w:line="276" w:lineRule="auto"/>
        <w:ind w:left="567" w:right="851"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Colaborar con el Área Coordinadora de Archivos en la elaboración de los Instrumentos de Control Archivístico previstos en esta Ley y en sus disposiciones reglamentarias;” (Sic) (Énfasis añadido)</w:t>
      </w:r>
    </w:p>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anteriormente citado, se desprende que corresponde al Sujeto Obligado la integración y organización de los expedientes, así como la realización de transferencias primarias y posteriormente la conservación de los expedientes hasta cumplir su vigencia documental, para ello deberán observar lo que dispone el Catálogo de Disposición Documental. </w:t>
      </w:r>
    </w:p>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Resulta de vital importancia señalar que para efecto de determinar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aun cuenta con estos soportes documentales dentro de su archivo de trámite o de concentración, este Organismo Garante procedió a consultar el catálogo de disposición documental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tiene publicado en su página oficial, obteniendo así lo siguiente: </w:t>
      </w:r>
      <w:r>
        <w:rPr>
          <w:rFonts w:ascii="Palatino Linotype" w:eastAsia="Palatino Linotype" w:hAnsi="Palatino Linotype" w:cs="Palatino Linotype"/>
          <w:noProof/>
          <w:lang w:val="es-MX"/>
        </w:rPr>
        <w:drawing>
          <wp:inline distT="0" distB="0" distL="0" distR="0">
            <wp:extent cx="5610225" cy="3248025"/>
            <wp:effectExtent l="0" t="0" r="0" b="0"/>
            <wp:docPr id="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5610225" cy="3248025"/>
                    </a:xfrm>
                    <a:prstGeom prst="rect">
                      <a:avLst/>
                    </a:prstGeom>
                    <a:ln/>
                  </pic:spPr>
                </pic:pic>
              </a:graphicData>
            </a:graphic>
          </wp:inline>
        </w:drawing>
      </w:r>
    </w:p>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ilustrado con antelación, se vislumbra que estos documentos concernientes a los expedientes, aún son susceptibles de encontrarse en el archivo de trámite, toda vez que si su generación fue en enero, febrero y marzo de 2018, aun no es susceptible de transferencia primaria, por lo que, el Pleno de este Instituto considera que hizo falta agotar la búsqueda exhaustiva y razonable, ya que, por la antigüedad de la información (2018), se considera que dichos documentos, pudieran obrar en los archivos de la Dirección Municipal de Salud, en razón de sus atribuciones. </w:t>
      </w:r>
    </w:p>
    <w:p w:rsidR="00C514A1" w:rsidRDefault="008B7725">
      <w:pPr>
        <w:spacing w:before="240" w:after="240" w:line="360" w:lineRule="auto"/>
        <w:jc w:val="both"/>
        <w:rPr>
          <w:rFonts w:ascii="Palatino Linotype" w:eastAsia="Palatino Linotype" w:hAnsi="Palatino Linotype" w:cs="Palatino Linotype"/>
        </w:rPr>
      </w:pPr>
      <w:bookmarkStart w:id="4" w:name="_heading=h.1fob9te" w:colFirst="0" w:colLast="0"/>
      <w:bookmarkEnd w:id="4"/>
      <w:r>
        <w:rPr>
          <w:rFonts w:ascii="Palatino Linotype" w:eastAsia="Palatino Linotype" w:hAnsi="Palatino Linotype" w:cs="Palatino Linotype"/>
        </w:rPr>
        <w:t xml:space="preserve">Por último, debe resaltarse que en el recurso de revisión 02900/INFOEM/IP/RR/2022, el particular requirió la información en formato pdf, por lo que resulta procedente la entrega de la misma en términos del artículo 12 de la Ley de Transparencia vigente en nuestra entidad. </w:t>
      </w:r>
    </w:p>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con todo lo anteriormente expuesto,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no garantizó el derecho de acceso a la información del particular, toda vez que, en términos del marco normativo planteado, el </w:t>
      </w:r>
      <w:r>
        <w:rPr>
          <w:rFonts w:ascii="Palatino Linotype" w:eastAsia="Palatino Linotype" w:hAnsi="Palatino Linotype" w:cs="Palatino Linotype"/>
          <w:b/>
        </w:rPr>
        <w:t>Sistema Municipal Para el Desarrollo Integral de la Familia de Metepec</w:t>
      </w:r>
      <w:r>
        <w:rPr>
          <w:rFonts w:ascii="Palatino Linotype" w:eastAsia="Palatino Linotype" w:hAnsi="Palatino Linotype" w:cs="Palatino Linotype"/>
        </w:rPr>
        <w:t xml:space="preserve"> genera, posee y administra las bitácoras de entrada al edificio central, así como a la unidad de rehabilitación e integración social (URIS) y al no justificar debidamente el cambio de modalidad de entrega de la información, vulneró este derecho humano que le asiste al particular, por ello se determina ordenar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entrega de los documentos requeridos por la parte </w:t>
      </w:r>
      <w:r>
        <w:rPr>
          <w:rFonts w:ascii="Palatino Linotype" w:eastAsia="Palatino Linotype" w:hAnsi="Palatino Linotype" w:cs="Palatino Linotype"/>
          <w:b/>
        </w:rPr>
        <w:t>Recurrente</w:t>
      </w:r>
      <w:r>
        <w:rPr>
          <w:rFonts w:ascii="Palatino Linotype" w:eastAsia="Palatino Linotype" w:hAnsi="Palatino Linotype" w:cs="Palatino Linotype"/>
        </w:rPr>
        <w:t>, debe ser en versión pública, tomando en consideración los aspectos antes señalados y lo que se detallará en el considerando quinto.</w:t>
      </w:r>
    </w:p>
    <w:p w:rsidR="00C514A1" w:rsidRDefault="008B772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no escapa de la óptica de este Organismo Garante que en sus motivos de inconformidad el particular solicitó que se diera vista al Órgano Interno de Control, por lo que es necesario señalar que el Recurso de Revisión no es el medio para investigar y en su caso, sancionar a servidores públicos y de las constancias que obran en el expediente no se advierten  motivos suficientes para dar vista a la Contraloría Interna y Órgano de Control y Vigilancia; sin embargo, se dejan a salvo sus derechos para en caso de así considerarlo, acuda ante la instancia competente y realice las denuncias o quejas que considere pertinentes.</w:t>
      </w:r>
    </w:p>
    <w:p w:rsidR="00C514A1" w:rsidRDefault="00C514A1">
      <w:pPr>
        <w:widowControl w:val="0"/>
        <w:tabs>
          <w:tab w:val="left" w:pos="1701"/>
          <w:tab w:val="left" w:pos="1843"/>
        </w:tabs>
        <w:spacing w:line="360" w:lineRule="auto"/>
        <w:jc w:val="both"/>
        <w:rPr>
          <w:rFonts w:ascii="Palatino Linotype" w:eastAsia="Palatino Linotype" w:hAnsi="Palatino Linotype" w:cs="Palatino Linotype"/>
        </w:rPr>
      </w:pPr>
    </w:p>
    <w:p w:rsidR="00C514A1" w:rsidRDefault="008B7725">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 Versión Pública.</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Finalmente, debe señalarse que de ser el caso en que los documentos que vayan a ser entregados por el</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sujeto obligado, para dar cumplimiento a la presente resolución, contengan datos que deban ser clasificados,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hacer la elaboración de la versión pública de tales documentos a fin de satisfacer el derecho de acceso a la información pública del recurrente sin menoscabo al derecho a la protección de los datos personales de terceros.</w:t>
      </w:r>
    </w:p>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rsidR="00C514A1" w:rsidRDefault="008B7725">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Para los efectos de la presente Ley se entenderá por:</w:t>
      </w:r>
    </w:p>
    <w:p w:rsidR="00C514A1" w:rsidRDefault="008B7725">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514A1" w:rsidRDefault="008B7725">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C514A1" w:rsidRDefault="008B7725">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confidencial;</w:t>
      </w:r>
    </w:p>
    <w:p w:rsidR="00C514A1" w:rsidRDefault="008B7725">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XXI. Información confidencial: </w:t>
      </w:r>
      <w:r>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C514A1" w:rsidRDefault="008B7725">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C514A1" w:rsidRDefault="008B7725">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514A1" w:rsidRDefault="008B7725">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91.</w:t>
      </w:r>
      <w:r>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rsidR="00C514A1" w:rsidRDefault="008B7725">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132.</w:t>
      </w:r>
      <w:r>
        <w:rPr>
          <w:rFonts w:ascii="Palatino Linotype" w:eastAsia="Palatino Linotype" w:hAnsi="Palatino Linotype" w:cs="Palatino Linotype"/>
          <w:i/>
          <w:sz w:val="22"/>
          <w:szCs w:val="22"/>
        </w:rPr>
        <w:t xml:space="preserve"> La clasificación de la información se llevará a cabo en el momento en que:</w:t>
      </w:r>
    </w:p>
    <w:p w:rsidR="00C514A1" w:rsidRDefault="008B7725">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Se reciba una solicitud de acceso a la información;</w:t>
      </w:r>
    </w:p>
    <w:p w:rsidR="00C514A1" w:rsidRDefault="008B7725">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C514A1" w:rsidRDefault="008B7725">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rsidR="00C514A1" w:rsidRDefault="008B7725">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514A1" w:rsidRDefault="008B7725">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C514A1" w:rsidRDefault="008B7725">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rsidR="00C514A1" w:rsidRDefault="008B7725">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C514A1" w:rsidRDefault="008B7725">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rsidR="00C514A1" w:rsidRDefault="008B7725">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C514A1" w:rsidRDefault="008B7725">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Entorno a lo que aquí nos interesa, los Lineamientos Quincuagésimo sexto, Quincuagésimo séptimo y Quincuagésimo octavo, establecen lo siguiente:</w:t>
      </w:r>
    </w:p>
    <w:p w:rsidR="00C514A1" w:rsidRDefault="008B7725">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sexto</w:t>
      </w:r>
      <w:r>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C514A1" w:rsidRDefault="008B7725">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séptimo</w:t>
      </w:r>
      <w:r>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rsidR="00C514A1" w:rsidRDefault="008B7725">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rsidR="00C514A1" w:rsidRDefault="008B7725">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rsidR="00C514A1" w:rsidRDefault="008B7725">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C514A1" w:rsidRDefault="008B7725">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rsidR="00C514A1" w:rsidRDefault="008B7725">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octavo</w:t>
      </w:r>
      <w:r>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f8"/>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C514A1">
        <w:tc>
          <w:tcPr>
            <w:tcW w:w="4253" w:type="dxa"/>
            <w:gridSpan w:val="2"/>
            <w:tcBorders>
              <w:top w:val="nil"/>
              <w:left w:val="nil"/>
              <w:right w:val="nil"/>
            </w:tcBorders>
          </w:tcPr>
          <w:p w:rsidR="00C514A1" w:rsidRDefault="008B7725">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rsidR="00C514A1" w:rsidRDefault="008B7725">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Total</w:t>
            </w:r>
          </w:p>
        </w:tc>
      </w:tr>
      <w:tr w:rsidR="00C514A1">
        <w:tc>
          <w:tcPr>
            <w:tcW w:w="1134" w:type="dxa"/>
          </w:tcPr>
          <w:p w:rsidR="00C514A1" w:rsidRDefault="008B7725">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119" w:type="dxa"/>
          </w:tcPr>
          <w:p w:rsidR="00C514A1" w:rsidRDefault="008B7725">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1129" w:type="dxa"/>
          </w:tcPr>
          <w:p w:rsidR="00C514A1" w:rsidRDefault="008B7725">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rsidR="00C514A1" w:rsidRDefault="008B7725">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C514A1">
        <w:tc>
          <w:tcPr>
            <w:tcW w:w="8828" w:type="dxa"/>
            <w:gridSpan w:val="4"/>
          </w:tcPr>
          <w:p w:rsidR="00C514A1" w:rsidRDefault="008B7725">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Sello oficial o logotipo del sujeto obligado</w:t>
            </w:r>
          </w:p>
        </w:tc>
      </w:tr>
      <w:tr w:rsidR="00C514A1">
        <w:tc>
          <w:tcPr>
            <w:tcW w:w="1134" w:type="dxa"/>
          </w:tcPr>
          <w:p w:rsidR="00C514A1" w:rsidRDefault="008B772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119" w:type="dxa"/>
          </w:tcPr>
          <w:p w:rsidR="00C514A1" w:rsidRDefault="008B772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rsidR="00C514A1" w:rsidRDefault="008B772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rsidR="00C514A1" w:rsidRDefault="008B772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C514A1">
        <w:tc>
          <w:tcPr>
            <w:tcW w:w="1134" w:type="dxa"/>
          </w:tcPr>
          <w:p w:rsidR="00C514A1" w:rsidRDefault="008B772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119" w:type="dxa"/>
          </w:tcPr>
          <w:p w:rsidR="00C514A1" w:rsidRDefault="008B772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1129" w:type="dxa"/>
          </w:tcPr>
          <w:p w:rsidR="00C514A1" w:rsidRDefault="008B772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rsidR="00C514A1" w:rsidRDefault="008B772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C514A1">
        <w:tc>
          <w:tcPr>
            <w:tcW w:w="1134" w:type="dxa"/>
          </w:tcPr>
          <w:p w:rsidR="00C514A1" w:rsidRDefault="008B772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Información reservada</w:t>
            </w:r>
          </w:p>
        </w:tc>
        <w:tc>
          <w:tcPr>
            <w:tcW w:w="3119" w:type="dxa"/>
          </w:tcPr>
          <w:p w:rsidR="00C514A1" w:rsidRDefault="008B772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rsidR="00C514A1" w:rsidRDefault="008B772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rsidR="00C514A1" w:rsidRDefault="008B772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C514A1">
        <w:tc>
          <w:tcPr>
            <w:tcW w:w="1134" w:type="dxa"/>
          </w:tcPr>
          <w:p w:rsidR="00C514A1" w:rsidRDefault="008B772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119" w:type="dxa"/>
          </w:tcPr>
          <w:p w:rsidR="00C514A1" w:rsidRDefault="008B772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rsidR="00C514A1" w:rsidRDefault="008B772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rsidR="00C514A1" w:rsidRDefault="008B772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C514A1">
        <w:tc>
          <w:tcPr>
            <w:tcW w:w="1134" w:type="dxa"/>
          </w:tcPr>
          <w:p w:rsidR="00C514A1" w:rsidRDefault="008B772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119" w:type="dxa"/>
          </w:tcPr>
          <w:p w:rsidR="00C514A1" w:rsidRDefault="008B772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rsidR="00C514A1" w:rsidRDefault="008B772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C514A1" w:rsidRDefault="008B772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C514A1">
        <w:tc>
          <w:tcPr>
            <w:tcW w:w="1134" w:type="dxa"/>
          </w:tcPr>
          <w:p w:rsidR="00C514A1" w:rsidRDefault="008B772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119" w:type="dxa"/>
          </w:tcPr>
          <w:p w:rsidR="00C514A1" w:rsidRDefault="008B772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rsidR="00C514A1" w:rsidRDefault="008B772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rsidR="00C514A1" w:rsidRDefault="008B772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C514A1">
        <w:tc>
          <w:tcPr>
            <w:tcW w:w="1134" w:type="dxa"/>
          </w:tcPr>
          <w:p w:rsidR="00C514A1" w:rsidRDefault="008B772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119" w:type="dxa"/>
          </w:tcPr>
          <w:p w:rsidR="00C514A1" w:rsidRDefault="008B772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rsidR="00C514A1" w:rsidRDefault="008B772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rsidR="00C514A1" w:rsidRDefault="008B772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C514A1">
        <w:tc>
          <w:tcPr>
            <w:tcW w:w="1134" w:type="dxa"/>
          </w:tcPr>
          <w:p w:rsidR="00C514A1" w:rsidRDefault="008B772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119" w:type="dxa"/>
          </w:tcPr>
          <w:p w:rsidR="00C514A1" w:rsidRDefault="008B772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1129" w:type="dxa"/>
          </w:tcPr>
          <w:p w:rsidR="00C514A1" w:rsidRDefault="008B772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C514A1" w:rsidRDefault="008B772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C514A1">
        <w:tc>
          <w:tcPr>
            <w:tcW w:w="1134" w:type="dxa"/>
          </w:tcPr>
          <w:p w:rsidR="00C514A1" w:rsidRDefault="008B772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119" w:type="dxa"/>
          </w:tcPr>
          <w:p w:rsidR="00C514A1" w:rsidRDefault="008B772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1129" w:type="dxa"/>
          </w:tcPr>
          <w:p w:rsidR="00C514A1" w:rsidRDefault="008B772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rsidR="00C514A1" w:rsidRDefault="008B772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C514A1">
        <w:tc>
          <w:tcPr>
            <w:tcW w:w="1134" w:type="dxa"/>
          </w:tcPr>
          <w:p w:rsidR="00C514A1" w:rsidRDefault="008B772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119" w:type="dxa"/>
          </w:tcPr>
          <w:p w:rsidR="00C514A1" w:rsidRDefault="008B772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1129" w:type="dxa"/>
          </w:tcPr>
          <w:p w:rsidR="00C514A1" w:rsidRDefault="008B772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rsidR="00C514A1" w:rsidRDefault="008B772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C514A1">
        <w:tc>
          <w:tcPr>
            <w:tcW w:w="1134" w:type="dxa"/>
          </w:tcPr>
          <w:p w:rsidR="00C514A1" w:rsidRDefault="00C514A1">
            <w:pPr>
              <w:jc w:val="both"/>
              <w:rPr>
                <w:rFonts w:ascii="Palatino Linotype" w:eastAsia="Palatino Linotype" w:hAnsi="Palatino Linotype" w:cs="Palatino Linotype"/>
                <w:b/>
                <w:sz w:val="12"/>
                <w:szCs w:val="12"/>
              </w:rPr>
            </w:pPr>
          </w:p>
        </w:tc>
        <w:tc>
          <w:tcPr>
            <w:tcW w:w="3119" w:type="dxa"/>
          </w:tcPr>
          <w:p w:rsidR="00C514A1" w:rsidRDefault="00C514A1">
            <w:pPr>
              <w:jc w:val="both"/>
              <w:rPr>
                <w:rFonts w:ascii="Palatino Linotype" w:eastAsia="Palatino Linotype" w:hAnsi="Palatino Linotype" w:cs="Palatino Linotype"/>
                <w:sz w:val="12"/>
                <w:szCs w:val="12"/>
              </w:rPr>
            </w:pPr>
          </w:p>
        </w:tc>
        <w:tc>
          <w:tcPr>
            <w:tcW w:w="1129" w:type="dxa"/>
          </w:tcPr>
          <w:p w:rsidR="00C514A1" w:rsidRDefault="008B772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rsidR="00C514A1" w:rsidRDefault="008B772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C514A1">
        <w:tc>
          <w:tcPr>
            <w:tcW w:w="1134" w:type="dxa"/>
          </w:tcPr>
          <w:p w:rsidR="00C514A1" w:rsidRDefault="00C514A1">
            <w:pPr>
              <w:jc w:val="both"/>
              <w:rPr>
                <w:rFonts w:ascii="Palatino Linotype" w:eastAsia="Palatino Linotype" w:hAnsi="Palatino Linotype" w:cs="Palatino Linotype"/>
                <w:b/>
                <w:sz w:val="12"/>
                <w:szCs w:val="12"/>
              </w:rPr>
            </w:pPr>
          </w:p>
        </w:tc>
        <w:tc>
          <w:tcPr>
            <w:tcW w:w="3119" w:type="dxa"/>
          </w:tcPr>
          <w:p w:rsidR="00C514A1" w:rsidRDefault="00C514A1">
            <w:pPr>
              <w:jc w:val="both"/>
              <w:rPr>
                <w:rFonts w:ascii="Palatino Linotype" w:eastAsia="Palatino Linotype" w:hAnsi="Palatino Linotype" w:cs="Palatino Linotype"/>
                <w:sz w:val="12"/>
                <w:szCs w:val="12"/>
              </w:rPr>
            </w:pPr>
          </w:p>
        </w:tc>
        <w:tc>
          <w:tcPr>
            <w:tcW w:w="1129" w:type="dxa"/>
          </w:tcPr>
          <w:p w:rsidR="00C514A1" w:rsidRDefault="008B772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rsidR="00C514A1" w:rsidRDefault="008B772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rsidR="00C514A1" w:rsidRDefault="00C514A1">
      <w:pPr>
        <w:widowControl w:val="0"/>
        <w:tabs>
          <w:tab w:val="left" w:pos="1701"/>
          <w:tab w:val="left" w:pos="1843"/>
        </w:tabs>
        <w:spacing w:before="360" w:line="360" w:lineRule="auto"/>
        <w:jc w:val="both"/>
        <w:rPr>
          <w:rFonts w:ascii="Palatino Linotype" w:eastAsia="Palatino Linotype" w:hAnsi="Palatino Linotype" w:cs="Palatino Linotype"/>
        </w:rPr>
      </w:pPr>
    </w:p>
    <w:p w:rsidR="00C514A1" w:rsidRDefault="008B7725">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párrafos </w:t>
      </w:r>
      <w:r>
        <w:rPr>
          <w:rFonts w:ascii="Palatino Linotype" w:eastAsia="Palatino Linotype" w:hAnsi="Palatino Linotype" w:cs="Palatino Linotype"/>
          <w:highlight w:val="white"/>
        </w:rPr>
        <w:t>trigésimo, trigésimo primero y trigésimo segundo</w:t>
      </w:r>
      <w:r>
        <w:rPr>
          <w:rFonts w:ascii="Palatino Linotype" w:eastAsia="Palatino Linotype" w:hAnsi="Palatino Linotype" w:cs="Palatino Linotype"/>
        </w:rPr>
        <w:t xml:space="preserve"> de la Constitución Política del Estado Libre y Soberano de México; 2, fracción II; 29, 36 fracciones I y II; 176, 178, 181, 185 de la Ley de Transparencia y Acceso a la Información Pública del Estado de México y Municipios, este Pleno:</w:t>
      </w:r>
    </w:p>
    <w:p w:rsidR="00C514A1" w:rsidRDefault="008B7725">
      <w:pPr>
        <w:numPr>
          <w:ilvl w:val="0"/>
          <w:numId w:val="4"/>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rsidR="00C514A1" w:rsidRDefault="008B7725">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Resultan parcialmente fundados </w:t>
      </w:r>
      <w:r>
        <w:rPr>
          <w:rFonts w:ascii="Palatino Linotype" w:eastAsia="Palatino Linotype" w:hAnsi="Palatino Linotype" w:cs="Palatino Linotype"/>
        </w:rPr>
        <w:t xml:space="preserve">los motivos de inconformidad hechos valer por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los Recursos de Revisión</w:t>
      </w:r>
      <w:r>
        <w:rPr>
          <w:rFonts w:ascii="Palatino Linotype" w:eastAsia="Palatino Linotype" w:hAnsi="Palatino Linotype" w:cs="Palatino Linotype"/>
          <w:b/>
        </w:rPr>
        <w:t xml:space="preserve"> 02834/INFOEM/IP/RR/2022, 02835/INFOEM/IP/RR/2022, 02900/INFOEM/IP/RR/2022, 02911/INFOEM/IP/RR/2022, 02912/INFOEM/IP/RR/2022, 02918/INFOEM/IP/RR/2022, 02950/INFOEM/IP/RR/2022, 02954/INFOEM/IP/RR/2022 y 02955/INFOEM/IP/RR/2022 acumulados, </w:t>
      </w:r>
      <w:r>
        <w:rPr>
          <w:rFonts w:ascii="Palatino Linotype" w:eastAsia="Palatino Linotype" w:hAnsi="Palatino Linotype" w:cs="Palatino Linotype"/>
        </w:rPr>
        <w:t>por lo que</w:t>
      </w:r>
      <w:r>
        <w:rPr>
          <w:rFonts w:ascii="Palatino Linotype" w:eastAsia="Palatino Linotype" w:hAnsi="Palatino Linotype" w:cs="Palatino Linotype"/>
          <w:b/>
        </w:rPr>
        <w:t xml:space="preserve">, en términos del Considerando Cuarto </w:t>
      </w:r>
      <w:r>
        <w:rPr>
          <w:rFonts w:ascii="Palatino Linotype" w:eastAsia="Palatino Linotype" w:hAnsi="Palatino Linotype" w:cs="Palatino Linotype"/>
        </w:rPr>
        <w:t>de la presente resolución</w:t>
      </w:r>
      <w:r>
        <w:rPr>
          <w:rFonts w:ascii="Palatino Linotype" w:eastAsia="Palatino Linotype" w:hAnsi="Palatino Linotype" w:cs="Palatino Linotype"/>
          <w:b/>
        </w:rPr>
        <w:t xml:space="preserve">, se REVOCAN </w:t>
      </w:r>
      <w:r>
        <w:rPr>
          <w:rFonts w:ascii="Palatino Linotype" w:eastAsia="Palatino Linotype" w:hAnsi="Palatino Linotype" w:cs="Palatino Linotype"/>
        </w:rPr>
        <w:t>las respuestas del</w:t>
      </w:r>
      <w:r>
        <w:rPr>
          <w:rFonts w:ascii="Palatino Linotype" w:eastAsia="Palatino Linotype" w:hAnsi="Palatino Linotype" w:cs="Palatino Linotype"/>
          <w:b/>
        </w:rPr>
        <w:t xml:space="preserve"> Sujeto Obligado.</w:t>
      </w:r>
    </w:p>
    <w:p w:rsidR="00C514A1" w:rsidRDefault="008B7725">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Segundo. Se Ordena al Sujeto Obligado </w:t>
      </w:r>
      <w:r>
        <w:rPr>
          <w:rFonts w:ascii="Palatino Linotype" w:eastAsia="Palatino Linotype" w:hAnsi="Palatino Linotype" w:cs="Palatino Linotype"/>
        </w:rPr>
        <w:t>que en términos de los</w:t>
      </w:r>
      <w:r>
        <w:rPr>
          <w:rFonts w:ascii="Palatino Linotype" w:eastAsia="Palatino Linotype" w:hAnsi="Palatino Linotype" w:cs="Palatino Linotype"/>
          <w:b/>
        </w:rPr>
        <w:t xml:space="preserve"> Considerandos Cuarto y Quinto </w:t>
      </w:r>
      <w:r>
        <w:rPr>
          <w:rFonts w:ascii="Palatino Linotype" w:eastAsia="Palatino Linotype" w:hAnsi="Palatino Linotype" w:cs="Palatino Linotype"/>
        </w:rPr>
        <w:t xml:space="preserve">de esta resolución haga entrega, previa búsqueda exhaustiva y razonable, a </w:t>
      </w:r>
      <w:r>
        <w:rPr>
          <w:rFonts w:ascii="Palatino Linotype" w:eastAsia="Palatino Linotype" w:hAnsi="Palatino Linotype" w:cs="Palatino Linotype"/>
          <w:b/>
        </w:rPr>
        <w:t>la parte Recurrente a través del SAIMEX, en versión pública, de lo siguiente:</w:t>
      </w:r>
    </w:p>
    <w:p w:rsidR="00C514A1" w:rsidRDefault="008B7725">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•Copia de la bitácora de registro que se encuentra a la entrada del edificio central del DIF Metepec de los días 3, 4, 8 y 9 de febrero de 2022. </w:t>
      </w:r>
    </w:p>
    <w:p w:rsidR="00C514A1" w:rsidRDefault="008B7725">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•Copia de la bitácora de registro que se encuentra en la recepción del edificio central del DIF Metepec de los días 3, 4, 8 y 9 de febrero de 2022.</w:t>
      </w:r>
    </w:p>
    <w:p w:rsidR="00C514A1" w:rsidRDefault="008B7725">
      <w:pPr>
        <w:spacing w:before="240" w:after="240" w:line="276" w:lineRule="auto"/>
        <w:ind w:left="567" w:right="900"/>
        <w:jc w:val="both"/>
        <w:rPr>
          <w:rFonts w:ascii="Palatino Linotype" w:eastAsia="Palatino Linotype" w:hAnsi="Palatino Linotype" w:cs="Palatino Linotype"/>
          <w:i/>
          <w:sz w:val="22"/>
          <w:szCs w:val="22"/>
          <w:highlight w:val="green"/>
        </w:rPr>
      </w:pPr>
      <w:bookmarkStart w:id="5" w:name="_heading=h.3dy6vkm" w:colFirst="0" w:colLast="0"/>
      <w:bookmarkEnd w:id="5"/>
      <w:r>
        <w:rPr>
          <w:rFonts w:ascii="Palatino Linotype" w:eastAsia="Palatino Linotype" w:hAnsi="Palatino Linotype" w:cs="Palatino Linotype"/>
          <w:i/>
          <w:sz w:val="22"/>
          <w:szCs w:val="22"/>
        </w:rPr>
        <w:t>•Copia en versión pública en PDF de las bitácoras de asistencia de pacientes en la URIS durante enero, febrero y marzo de 2018.</w:t>
      </w:r>
    </w:p>
    <w:p w:rsidR="00C514A1" w:rsidRDefault="008B7725">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Deberá emitir el Acuerdo del Comité de Transparencia de conformidad con lo dispuesto en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Notifíquese vía Sistema de Acceso a la Información Mexiquense (SAIMEX),</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C514A1" w:rsidRDefault="008B772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C514A1" w:rsidRDefault="008B7725">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Quinto. Notifíquese, al recurrente vía Sistema de Acceso a la Información Mexiquense (SAIMEX), </w:t>
      </w:r>
      <w:r>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r>
        <w:rPr>
          <w:rFonts w:ascii="Palatino Linotype" w:eastAsia="Palatino Linotype" w:hAnsi="Palatino Linotype" w:cs="Palatino Linotype"/>
          <w:b/>
        </w:rPr>
        <w:t>.</w:t>
      </w:r>
    </w:p>
    <w:p w:rsidR="00C514A1" w:rsidRDefault="008B7725">
      <w:pPr>
        <w:spacing w:before="240" w:after="240" w:line="360" w:lineRule="auto"/>
        <w:jc w:val="both"/>
        <w:rPr>
          <w:rFonts w:ascii="Palatino Linotype" w:eastAsia="Palatino Linotype" w:hAnsi="Palatino Linotype" w:cs="Palatino Linotype"/>
          <w:sz w:val="20"/>
          <w:szCs w:val="20"/>
        </w:rPr>
        <w:sectPr w:rsidR="00C514A1">
          <w:headerReference w:type="default" r:id="rId22"/>
          <w:footerReference w:type="default" r:id="rId23"/>
          <w:headerReference w:type="first" r:id="rId24"/>
          <w:footerReference w:type="first" r:id="rId25"/>
          <w:pgSz w:w="12240" w:h="15840"/>
          <w:pgMar w:top="1985" w:right="1701" w:bottom="1701" w:left="1701" w:header="709" w:footer="709" w:gutter="0"/>
          <w:pgNumType w:start="1"/>
          <w:cols w:space="720"/>
          <w:titlePg/>
        </w:sect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SEGUNDA SESIÓN ORDINARIA CELEBRADA EL QUINCE DE JUNIO DE DOS MIL VEINTIDÓS, ANTE EL </w:t>
      </w:r>
      <w:r w:rsidR="00E33AB1">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simplePos x="0" y="0"/>
                <wp:positionH relativeFrom="column">
                  <wp:posOffset>81914</wp:posOffset>
                </wp:positionH>
                <wp:positionV relativeFrom="paragraph">
                  <wp:posOffset>871219</wp:posOffset>
                </wp:positionV>
                <wp:extent cx="5248275" cy="635317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5248275" cy="6353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F274AB"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45pt,68.6pt" to="419.7pt,5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" strokecolor="black [3040]"/>
            </w:pict>
          </mc:Fallback>
        </mc:AlternateContent>
      </w:r>
      <w:r>
        <w:rPr>
          <w:rFonts w:ascii="Palatino Linotype" w:eastAsia="Palatino Linotype" w:hAnsi="Palatino Linotype" w:cs="Palatino Linotype"/>
        </w:rPr>
        <w:t>SECRETARIO TÉCNICO DEL PLENO, ALEXIS TAPIA RAMÍREZ.</w:t>
      </w:r>
      <w:bookmarkStart w:id="6" w:name="_GoBack"/>
      <w:bookmarkEnd w:id="6"/>
    </w:p>
    <w:p w:rsidR="00C514A1" w:rsidRDefault="00C514A1">
      <w:pPr>
        <w:spacing w:before="240" w:after="240"/>
        <w:jc w:val="both"/>
        <w:rPr>
          <w:rFonts w:ascii="Palatino Linotype" w:eastAsia="Palatino Linotype" w:hAnsi="Palatino Linotype" w:cs="Palatino Linotype"/>
          <w:sz w:val="20"/>
          <w:szCs w:val="20"/>
        </w:rPr>
      </w:pPr>
    </w:p>
    <w:p w:rsidR="00C514A1" w:rsidRDefault="00C514A1">
      <w:pPr>
        <w:spacing w:before="240" w:after="240"/>
        <w:jc w:val="both"/>
        <w:rPr>
          <w:rFonts w:ascii="Palatino Linotype" w:eastAsia="Palatino Linotype" w:hAnsi="Palatino Linotype" w:cs="Palatino Linotype"/>
          <w:sz w:val="20"/>
          <w:szCs w:val="20"/>
        </w:rPr>
      </w:pPr>
    </w:p>
    <w:sectPr w:rsidR="00C514A1">
      <w:headerReference w:type="first" r:id="rId26"/>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5B89" w:rsidRDefault="00555B89">
      <w:r>
        <w:separator/>
      </w:r>
    </w:p>
  </w:endnote>
  <w:endnote w:type="continuationSeparator" w:id="0">
    <w:p w:rsidR="00555B89" w:rsidRDefault="00555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Palatino Linotype">
    <w:altName w:val="Noto Serif"/>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4A1" w:rsidRDefault="008B772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33AB1">
      <w:rPr>
        <w:rFonts w:ascii="Palatino Linotype" w:eastAsia="Palatino Linotype" w:hAnsi="Palatino Linotype" w:cs="Palatino Linotype"/>
        <w:b/>
        <w:noProof/>
        <w:color w:val="000000"/>
        <w:sz w:val="20"/>
        <w:szCs w:val="20"/>
      </w:rPr>
      <w:t>57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33AB1">
      <w:rPr>
        <w:rFonts w:ascii="Palatino Linotype" w:eastAsia="Palatino Linotype" w:hAnsi="Palatino Linotype" w:cs="Palatino Linotype"/>
        <w:b/>
        <w:noProof/>
        <w:color w:val="000000"/>
        <w:sz w:val="20"/>
        <w:szCs w:val="20"/>
      </w:rPr>
      <w:t>58</w:t>
    </w:r>
    <w:r>
      <w:rPr>
        <w:rFonts w:ascii="Palatino Linotype" w:eastAsia="Palatino Linotype" w:hAnsi="Palatino Linotype" w:cs="Palatino Linotype"/>
        <w:b/>
        <w:color w:val="000000"/>
        <w:sz w:val="20"/>
        <w:szCs w:val="20"/>
      </w:rPr>
      <w:fldChar w:fldCharType="end"/>
    </w:r>
  </w:p>
  <w:p w:rsidR="00C514A1" w:rsidRDefault="00C514A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4A1" w:rsidRDefault="008B772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33AB1">
      <w:rPr>
        <w:rFonts w:ascii="Palatino Linotype" w:eastAsia="Palatino Linotype" w:hAnsi="Palatino Linotype" w:cs="Palatino Linotype"/>
        <w:b/>
        <w:noProof/>
        <w:color w:val="000000"/>
        <w:sz w:val="20"/>
        <w:szCs w:val="20"/>
      </w:rPr>
      <w:t>58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33AB1">
      <w:rPr>
        <w:rFonts w:ascii="Palatino Linotype" w:eastAsia="Palatino Linotype" w:hAnsi="Palatino Linotype" w:cs="Palatino Linotype"/>
        <w:b/>
        <w:noProof/>
        <w:color w:val="000000"/>
        <w:sz w:val="20"/>
        <w:szCs w:val="20"/>
      </w:rPr>
      <w:t>58</w:t>
    </w:r>
    <w:r>
      <w:rPr>
        <w:rFonts w:ascii="Palatino Linotype" w:eastAsia="Palatino Linotype" w:hAnsi="Palatino Linotype" w:cs="Palatino Linotype"/>
        <w:b/>
        <w:color w:val="000000"/>
        <w:sz w:val="20"/>
        <w:szCs w:val="20"/>
      </w:rPr>
      <w:fldChar w:fldCharType="end"/>
    </w:r>
  </w:p>
  <w:p w:rsidR="00C514A1" w:rsidRDefault="00C514A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5B89" w:rsidRDefault="00555B89">
      <w:r>
        <w:separator/>
      </w:r>
    </w:p>
  </w:footnote>
  <w:footnote w:type="continuationSeparator" w:id="0">
    <w:p w:rsidR="00555B89" w:rsidRDefault="00555B89">
      <w:r>
        <w:continuationSeparator/>
      </w:r>
    </w:p>
  </w:footnote>
  <w:footnote w:id="1">
    <w:p w:rsidR="00C514A1" w:rsidRDefault="008B7725">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C514A1" w:rsidRDefault="008B772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C514A1" w:rsidRDefault="008B7725">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20"/>
          <w:szCs w:val="20"/>
        </w:rPr>
        <w:t>https://difem.edomex.gob.mx/unidades_rehabilitacion_integracion_social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4A1" w:rsidRDefault="008B7725">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-1080131</wp:posOffset>
          </wp:positionH>
          <wp:positionV relativeFrom="paragraph">
            <wp:posOffset>-396398</wp:posOffset>
          </wp:positionV>
          <wp:extent cx="7809865" cy="10165715"/>
          <wp:effectExtent l="0" t="0" r="0" b="0"/>
          <wp:wrapNone/>
          <wp:docPr id="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a"/>
      <w:tblW w:w="5873" w:type="dxa"/>
      <w:tblInd w:w="3261" w:type="dxa"/>
      <w:tblLayout w:type="fixed"/>
      <w:tblLook w:val="0400" w:firstRow="0" w:lastRow="0" w:firstColumn="0" w:lastColumn="0" w:noHBand="0" w:noVBand="1"/>
    </w:tblPr>
    <w:tblGrid>
      <w:gridCol w:w="2409"/>
      <w:gridCol w:w="3464"/>
    </w:tblGrid>
    <w:tr w:rsidR="00C514A1">
      <w:tc>
        <w:tcPr>
          <w:tcW w:w="2409" w:type="dxa"/>
          <w:shd w:val="clear" w:color="auto" w:fill="auto"/>
        </w:tcPr>
        <w:p w:rsidR="00C514A1" w:rsidRDefault="008B7725">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rsidR="00C514A1" w:rsidRDefault="008B7725">
          <w:pPr>
            <w:ind w:right="175"/>
            <w:jc w:val="both"/>
            <w:rPr>
              <w:rFonts w:ascii="Palatino Linotype" w:eastAsia="Palatino Linotype" w:hAnsi="Palatino Linotype" w:cs="Palatino Linotype"/>
              <w:b/>
            </w:rPr>
          </w:pPr>
          <w:r>
            <w:rPr>
              <w:rFonts w:ascii="Palatino Linotype" w:eastAsia="Palatino Linotype" w:hAnsi="Palatino Linotype" w:cs="Palatino Linotype"/>
              <w:b/>
            </w:rPr>
            <w:t>02834/INFOEM/IP/RR/2022 y acumulados</w:t>
          </w:r>
        </w:p>
      </w:tc>
    </w:tr>
    <w:tr w:rsidR="00C514A1">
      <w:trPr>
        <w:trHeight w:val="228"/>
      </w:trPr>
      <w:tc>
        <w:tcPr>
          <w:tcW w:w="2409" w:type="dxa"/>
          <w:shd w:val="clear" w:color="auto" w:fill="auto"/>
          <w:vAlign w:val="center"/>
        </w:tcPr>
        <w:p w:rsidR="00C514A1" w:rsidRDefault="008B7725">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rsidR="00C514A1" w:rsidRDefault="008B7725">
          <w:pPr>
            <w:ind w:left="-45" w:right="662"/>
            <w:jc w:val="both"/>
            <w:rPr>
              <w:rFonts w:ascii="Palatino Linotype" w:eastAsia="Palatino Linotype" w:hAnsi="Palatino Linotype" w:cs="Palatino Linotype"/>
              <w:b/>
            </w:rPr>
          </w:pPr>
          <w:r>
            <w:rPr>
              <w:rFonts w:ascii="Palatino Linotype" w:eastAsia="Palatino Linotype" w:hAnsi="Palatino Linotype" w:cs="Palatino Linotype"/>
              <w:b/>
            </w:rPr>
            <w:t>Sistema Municipal Para el Desarrollo Integral de la Familia de Metepec</w:t>
          </w:r>
        </w:p>
      </w:tc>
    </w:tr>
    <w:tr w:rsidR="00C514A1">
      <w:tc>
        <w:tcPr>
          <w:tcW w:w="2409" w:type="dxa"/>
          <w:shd w:val="clear" w:color="auto" w:fill="auto"/>
          <w:vAlign w:val="center"/>
        </w:tcPr>
        <w:p w:rsidR="00C514A1" w:rsidRDefault="008B7725">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rsidR="00C514A1" w:rsidRDefault="008B7725">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C514A1" w:rsidRDefault="008B7725">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4A1" w:rsidRDefault="008B7725">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simplePos x="0" y="0"/>
          <wp:positionH relativeFrom="column">
            <wp:posOffset>-1041396</wp:posOffset>
          </wp:positionH>
          <wp:positionV relativeFrom="paragraph">
            <wp:posOffset>-447671</wp:posOffset>
          </wp:positionV>
          <wp:extent cx="7809865" cy="10165715"/>
          <wp:effectExtent l="0" t="0" r="0" b="0"/>
          <wp:wrapNone/>
          <wp:docPr id="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9"/>
      <w:tblW w:w="5953" w:type="dxa"/>
      <w:tblInd w:w="3261" w:type="dxa"/>
      <w:tblLayout w:type="fixed"/>
      <w:tblLook w:val="0400" w:firstRow="0" w:lastRow="0" w:firstColumn="0" w:lastColumn="0" w:noHBand="0" w:noVBand="1"/>
    </w:tblPr>
    <w:tblGrid>
      <w:gridCol w:w="2551"/>
      <w:gridCol w:w="3402"/>
    </w:tblGrid>
    <w:tr w:rsidR="00C514A1">
      <w:tc>
        <w:tcPr>
          <w:tcW w:w="2551" w:type="dxa"/>
          <w:shd w:val="clear" w:color="auto" w:fill="auto"/>
          <w:vAlign w:val="center"/>
        </w:tcPr>
        <w:p w:rsidR="00C514A1" w:rsidRDefault="008B7725">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shd w:val="clear" w:color="auto" w:fill="auto"/>
          <w:vAlign w:val="center"/>
        </w:tcPr>
        <w:p w:rsidR="00C514A1" w:rsidRDefault="008B7725">
          <w:pPr>
            <w:tabs>
              <w:tab w:val="left" w:pos="2727"/>
            </w:tabs>
            <w:ind w:left="-45" w:right="317"/>
            <w:jc w:val="both"/>
            <w:rPr>
              <w:rFonts w:ascii="Palatino Linotype" w:eastAsia="Palatino Linotype" w:hAnsi="Palatino Linotype" w:cs="Palatino Linotype"/>
              <w:b/>
            </w:rPr>
          </w:pPr>
          <w:r>
            <w:rPr>
              <w:rFonts w:ascii="Palatino Linotype" w:eastAsia="Palatino Linotype" w:hAnsi="Palatino Linotype" w:cs="Palatino Linotype"/>
              <w:b/>
            </w:rPr>
            <w:t>02834/INFOEM/IP/RR/2022 y acumulados</w:t>
          </w:r>
        </w:p>
      </w:tc>
    </w:tr>
    <w:tr w:rsidR="00C514A1">
      <w:trPr>
        <w:trHeight w:val="130"/>
      </w:trPr>
      <w:tc>
        <w:tcPr>
          <w:tcW w:w="2551" w:type="dxa"/>
          <w:shd w:val="clear" w:color="auto" w:fill="auto"/>
          <w:vAlign w:val="center"/>
        </w:tcPr>
        <w:p w:rsidR="00C514A1" w:rsidRDefault="008B7725">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shd w:val="clear" w:color="auto" w:fill="auto"/>
          <w:vAlign w:val="center"/>
        </w:tcPr>
        <w:p w:rsidR="00C514A1" w:rsidRDefault="00C514A1">
          <w:pPr>
            <w:ind w:left="-45"/>
            <w:jc w:val="both"/>
            <w:rPr>
              <w:rFonts w:ascii="Palatino Linotype" w:eastAsia="Palatino Linotype" w:hAnsi="Palatino Linotype" w:cs="Palatino Linotype"/>
              <w:b/>
            </w:rPr>
          </w:pPr>
        </w:p>
      </w:tc>
    </w:tr>
    <w:tr w:rsidR="00C514A1">
      <w:trPr>
        <w:trHeight w:val="228"/>
      </w:trPr>
      <w:tc>
        <w:tcPr>
          <w:tcW w:w="2551" w:type="dxa"/>
          <w:shd w:val="clear" w:color="auto" w:fill="auto"/>
          <w:vAlign w:val="center"/>
        </w:tcPr>
        <w:p w:rsidR="00C514A1" w:rsidRDefault="008B7725">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shd w:val="clear" w:color="auto" w:fill="auto"/>
          <w:vAlign w:val="center"/>
        </w:tcPr>
        <w:p w:rsidR="00C514A1" w:rsidRDefault="008B7725">
          <w:pPr>
            <w:ind w:left="-45" w:right="601"/>
            <w:jc w:val="both"/>
            <w:rPr>
              <w:rFonts w:ascii="Palatino Linotype" w:eastAsia="Palatino Linotype" w:hAnsi="Palatino Linotype" w:cs="Palatino Linotype"/>
              <w:b/>
            </w:rPr>
          </w:pPr>
          <w:r>
            <w:rPr>
              <w:rFonts w:ascii="Palatino Linotype" w:eastAsia="Palatino Linotype" w:hAnsi="Palatino Linotype" w:cs="Palatino Linotype"/>
              <w:b/>
            </w:rPr>
            <w:t>Sistema Municipal Para el Desarrollo Integral de la Familia de Metepec</w:t>
          </w:r>
        </w:p>
      </w:tc>
    </w:tr>
    <w:tr w:rsidR="00C514A1">
      <w:tc>
        <w:tcPr>
          <w:tcW w:w="2551" w:type="dxa"/>
          <w:shd w:val="clear" w:color="auto" w:fill="auto"/>
          <w:vAlign w:val="center"/>
        </w:tcPr>
        <w:p w:rsidR="00C514A1" w:rsidRDefault="008B7725">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shd w:val="clear" w:color="auto" w:fill="auto"/>
          <w:vAlign w:val="center"/>
        </w:tcPr>
        <w:p w:rsidR="00C514A1" w:rsidRDefault="008B7725">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C514A1" w:rsidRDefault="00C514A1">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4A1" w:rsidRDefault="00C514A1">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6273F"/>
    <w:multiLevelType w:val="multilevel"/>
    <w:tmpl w:val="C7BAA0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0C4F0A"/>
    <w:multiLevelType w:val="multilevel"/>
    <w:tmpl w:val="F72E3DE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1D690A39"/>
    <w:multiLevelType w:val="multilevel"/>
    <w:tmpl w:val="D1D09C5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AF5B29"/>
    <w:multiLevelType w:val="multilevel"/>
    <w:tmpl w:val="05B42F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6046613"/>
    <w:multiLevelType w:val="multilevel"/>
    <w:tmpl w:val="441A1710"/>
    <w:lvl w:ilvl="0">
      <w:start w:val="1"/>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3E9404AC"/>
    <w:multiLevelType w:val="multilevel"/>
    <w:tmpl w:val="C1100B0C"/>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0FD3722"/>
    <w:multiLevelType w:val="multilevel"/>
    <w:tmpl w:val="8504565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7" w15:restartNumberingAfterBreak="0">
    <w:nsid w:val="666D2A6D"/>
    <w:multiLevelType w:val="multilevel"/>
    <w:tmpl w:val="B21A31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EC101B8"/>
    <w:multiLevelType w:val="multilevel"/>
    <w:tmpl w:val="34BECCB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5"/>
  </w:num>
  <w:num w:numId="3">
    <w:abstractNumId w:val="3"/>
  </w:num>
  <w:num w:numId="4">
    <w:abstractNumId w:val="2"/>
  </w:num>
  <w:num w:numId="5">
    <w:abstractNumId w:val="8"/>
  </w:num>
  <w:num w:numId="6">
    <w:abstractNumId w:val="4"/>
  </w:num>
  <w:num w:numId="7">
    <w:abstractNumId w:val="0"/>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4A1"/>
    <w:rsid w:val="00555B89"/>
    <w:rsid w:val="008B7725"/>
    <w:rsid w:val="00C514A1"/>
    <w:rsid w:val="00D17AEF"/>
    <w:rsid w:val="00D33C70"/>
    <w:rsid w:val="00DA1119"/>
    <w:rsid w:val="00E33A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33714DC5-56B7-44D1-86FF-57E44EB6B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06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rPr>
      <w:sz w:val="22"/>
      <w:szCs w:val="22"/>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rPr>
      <w:sz w:val="22"/>
      <w:szCs w:val="22"/>
    </w:rPr>
    <w:tblPr>
      <w:tblStyleRowBandSize w:val="1"/>
      <w:tblStyleColBandSize w:val="1"/>
      <w:tblCellMar>
        <w:left w:w="115" w:type="dxa"/>
        <w:right w:w="115" w:type="dxa"/>
      </w:tblCellMar>
    </w:tblPr>
  </w:style>
  <w:style w:type="table" w:customStyle="1" w:styleId="a8">
    <w:basedOn w:val="TableNormal2"/>
    <w:rPr>
      <w:sz w:val="22"/>
      <w:szCs w:val="22"/>
    </w:rPr>
    <w:tblPr>
      <w:tblStyleRowBandSize w:val="1"/>
      <w:tblStyleColBandSize w:val="1"/>
      <w:tblCellMar>
        <w:left w:w="115" w:type="dxa"/>
        <w:right w:w="115" w:type="dxa"/>
      </w:tblCellMar>
    </w:tblPr>
  </w:style>
  <w:style w:type="table" w:customStyle="1" w:styleId="a9">
    <w:basedOn w:val="TableNormal2"/>
    <w:rPr>
      <w:sz w:val="22"/>
      <w:szCs w:val="22"/>
    </w:rPr>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
    <w:basedOn w:val="TableNormal2"/>
    <w:rPr>
      <w:sz w:val="22"/>
      <w:szCs w:val="22"/>
    </w:rPr>
    <w:tblPr>
      <w:tblStyleRowBandSize w:val="1"/>
      <w:tblStyleColBandSize w:val="1"/>
      <w:tblCellMar>
        <w:left w:w="115" w:type="dxa"/>
        <w:right w:w="115" w:type="dxa"/>
      </w:tblCellMar>
    </w:tblPr>
  </w:style>
  <w:style w:type="table" w:customStyle="1" w:styleId="af0">
    <w:basedOn w:val="TableNormal2"/>
    <w:rPr>
      <w:sz w:val="22"/>
      <w:szCs w:val="22"/>
    </w:rPr>
    <w:tblPr>
      <w:tblStyleRowBandSize w:val="1"/>
      <w:tblStyleColBandSize w:val="1"/>
      <w:tblCellMar>
        <w:left w:w="115" w:type="dxa"/>
        <w:right w:w="115" w:type="dxa"/>
      </w:tblCellMar>
    </w:tblPr>
  </w:style>
  <w:style w:type="table" w:customStyle="1" w:styleId="af1">
    <w:basedOn w:val="TableNormal1"/>
    <w:rPr>
      <w:sz w:val="22"/>
      <w:szCs w:val="22"/>
    </w:rPr>
    <w:tblPr>
      <w:tblStyleRowBandSize w:val="1"/>
      <w:tblStyleColBandSize w:val="1"/>
      <w:tblCellMar>
        <w:left w:w="115" w:type="dxa"/>
        <w:right w:w="115" w:type="dxa"/>
      </w:tblCellMar>
    </w:tblPr>
  </w:style>
  <w:style w:type="table" w:customStyle="1" w:styleId="af2">
    <w:basedOn w:val="TableNormal1"/>
    <w:rPr>
      <w:sz w:val="22"/>
      <w:szCs w:val="22"/>
    </w:rPr>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rPr>
      <w:sz w:val="22"/>
      <w:szCs w:val="22"/>
    </w:rPr>
    <w:tblPr>
      <w:tblStyleRowBandSize w:val="1"/>
      <w:tblStyleColBandSize w:val="1"/>
      <w:tblCellMar>
        <w:left w:w="115" w:type="dxa"/>
        <w:right w:w="115" w:type="dxa"/>
      </w:tblCellMar>
    </w:tblPr>
  </w:style>
  <w:style w:type="table" w:customStyle="1" w:styleId="af5">
    <w:basedOn w:val="TableNormal1"/>
    <w:rPr>
      <w:sz w:val="22"/>
      <w:szCs w:val="22"/>
    </w:rPr>
    <w:tblPr>
      <w:tblStyleRowBandSize w:val="1"/>
      <w:tblStyleColBandSize w:val="1"/>
      <w:tblCellMar>
        <w:left w:w="115" w:type="dxa"/>
        <w:right w:w="115" w:type="dxa"/>
      </w:tblCellMar>
    </w:tblPr>
  </w:style>
  <w:style w:type="table" w:customStyle="1" w:styleId="af6">
    <w:basedOn w:val="TableNormal0"/>
    <w:rPr>
      <w:sz w:val="22"/>
      <w:szCs w:val="22"/>
    </w:rPr>
    <w:tblPr>
      <w:tblStyleRowBandSize w:val="1"/>
      <w:tblStyleColBandSize w:val="1"/>
      <w:tblCellMar>
        <w:left w:w="115" w:type="dxa"/>
        <w:right w:w="115" w:type="dxa"/>
      </w:tblCellMar>
    </w:tblPr>
  </w:style>
  <w:style w:type="table" w:customStyle="1" w:styleId="af7">
    <w:basedOn w:val="TableNormal0"/>
    <w:rPr>
      <w:sz w:val="22"/>
      <w:szCs w:val="22"/>
    </w:rPr>
    <w:tblPr>
      <w:tblStyleRowBandSize w:val="1"/>
      <w:tblStyleColBandSize w:val="1"/>
      <w:tblCellMar>
        <w:left w:w="115" w:type="dxa"/>
        <w:right w:w="115" w:type="dxa"/>
      </w:tblCellMar>
    </w:tblPr>
  </w:style>
  <w:style w:type="table" w:customStyle="1" w:styleId="af8">
    <w:basedOn w:val="TableNormal0"/>
    <w:rPr>
      <w:sz w:val="22"/>
      <w:szCs w:val="22"/>
    </w:rPr>
    <w:tblPr>
      <w:tblStyleRowBandSize w:val="1"/>
      <w:tblStyleColBandSize w:val="1"/>
      <w:tblCellMar>
        <w:left w:w="115" w:type="dxa"/>
        <w:right w:w="115" w:type="dxa"/>
      </w:tblCellMar>
    </w:tblPr>
  </w:style>
  <w:style w:type="table" w:customStyle="1" w:styleId="af9">
    <w:basedOn w:val="TableNormal0"/>
    <w:rPr>
      <w:sz w:val="22"/>
      <w:szCs w:val="22"/>
    </w:rPr>
    <w:tblPr>
      <w:tblStyleRowBandSize w:val="1"/>
      <w:tblStyleColBandSize w:val="1"/>
      <w:tblCellMar>
        <w:left w:w="115" w:type="dxa"/>
        <w:right w:w="115" w:type="dxa"/>
      </w:tblCellMar>
    </w:tblPr>
  </w:style>
  <w:style w:type="table" w:customStyle="1" w:styleId="afa">
    <w:basedOn w:val="TableNormal0"/>
    <w:rPr>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2S1yv83/YyZPwyYNkORoKDD2WQ==">AMUW2mXx72t7mGEQ44GmAaW+CQAeECHKeG5QkTuYgNDp4Sf/kTd2e/UjLEgHGzmSTzIhpoku4J6cLXEljv+ZHjhdBL65Yv5CqwI/jZqAPMbUwVHiejFrJ11EgDQlIoZDnUIEh/R1gIj+BEtYcWaV8d+bYwMQW5FybT9h1GYkfeVMUsZgxSetFWGr/UuDnAEdYVPmePhSUJCY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12417</Words>
  <Characters>68295</Characters>
  <Application>Microsoft Office Word</Application>
  <DocSecurity>0</DocSecurity>
  <Lines>569</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2</cp:revision>
  <dcterms:created xsi:type="dcterms:W3CDTF">2022-06-16T00:51:00Z</dcterms:created>
  <dcterms:modified xsi:type="dcterms:W3CDTF">2022-06-16T00:51:00Z</dcterms:modified>
</cp:coreProperties>
</file>