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doce de enero de dos mil veintidós. </w:t>
      </w:r>
    </w:p>
    <w:p w:rsidR="00AB7A8A" w:rsidRDefault="002A75F8">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03979/INFOEM/IP/RR/2021</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7A45E8">
        <w:rPr>
          <w:rFonts w:ascii="Palatino Linotype" w:eastAsia="Palatino Linotype" w:hAnsi="Palatino Linotype" w:cs="Palatino Linotype"/>
          <w:b/>
        </w:rPr>
        <w:t>XXXXXX XXXXXX</w:t>
      </w:r>
      <w:bookmarkStart w:id="1" w:name="_GoBack"/>
      <w:bookmarkEnd w:id="1"/>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Cuautitlán Izcalli,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AB7A8A" w:rsidRDefault="002A75F8">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cinco de julio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00294/CUAUTIZC/IP/2021, </w:t>
      </w:r>
      <w:r>
        <w:rPr>
          <w:rFonts w:ascii="Palatino Linotype" w:eastAsia="Palatino Linotype" w:hAnsi="Palatino Linotype" w:cs="Palatino Linotype"/>
        </w:rPr>
        <w:t xml:space="preserve">mediante la cual requirió la información siguiente: </w:t>
      </w:r>
    </w:p>
    <w:p w:rsidR="00AB7A8A" w:rsidRDefault="002A75F8">
      <w:pPr>
        <w:spacing w:line="360" w:lineRule="auto"/>
        <w:ind w:left="851" w:right="616"/>
        <w:jc w:val="both"/>
        <w:rPr>
          <w:rFonts w:ascii="Palatino Linotype" w:eastAsia="Palatino Linotype" w:hAnsi="Palatino Linotype" w:cs="Palatino Linotype"/>
          <w:b/>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“SALUDOS NECESITO INFORMACION PUBLICA DE LO SIGUIENTE: ESTADO DE FUERZA DE POLICIAS ADSCRITOS A SEGURIDAD PUBLICA ESTADO DE FUERZA DE POLICIAS ADSCRITOS A TRANSITO MUNICIPAL NUMERO DE PATRULLAS DE SEGURIDAD PUBLICA NUMERO DE PATRULLAS DE TRANSITO MUNICIPAL NUMERO DE MOTOCICLETAS DE AMBAS DIRECCIONES ORGANIGRAMA DE LA COMISARIA Y/O DIRECCION DE SEGURIDAD PUBLICA Y TRANSITO SUELDOS DE LOS MANDOS Y FUNCIONARIOS DE LA COMISARIA DE </w:t>
      </w:r>
      <w:r>
        <w:rPr>
          <w:rFonts w:ascii="Palatino Linotype" w:eastAsia="Palatino Linotype" w:hAnsi="Palatino Linotype" w:cs="Palatino Linotype"/>
          <w:i/>
          <w:sz w:val="22"/>
          <w:szCs w:val="22"/>
        </w:rPr>
        <w:lastRenderedPageBreak/>
        <w:t>SEGURIDAD PUBLICA Y TRANSITO, EN GENERAL DE LOS CARGOS QUE APAREZCAN EN EL ORGANIGRAMA REGLAMENTO INTERNO DE DICHA DEPENDENCIA NUMERO DE ELEMENTOS QUE LABORAN EN C-4 Y SUS SUELDOS ASI MISMO ESPECIFICAR SI LAS UNIDADES SON PROPIEDAD DEL AYUNTAMIENTO O SON ARRENDADAS TODO LO ANTERIOR EN SU VERSION PUBLICA Y POR SER DE DOMINIO PUBLICO E INTERES GENERAL.”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AB7A8A" w:rsidRDefault="00AB7A8A">
      <w:pPr>
        <w:ind w:right="900"/>
        <w:jc w:val="both"/>
        <w:rPr>
          <w:rFonts w:ascii="Palatino Linotype" w:eastAsia="Palatino Linotype" w:hAnsi="Palatino Linotype" w:cs="Palatino Linotype"/>
        </w:rPr>
      </w:pP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nueve de agosto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AB7A8A" w:rsidRDefault="00AB7A8A">
      <w:pPr>
        <w:spacing w:line="360" w:lineRule="auto"/>
        <w:jc w:val="both"/>
        <w:rPr>
          <w:rFonts w:ascii="Palatino Linotype" w:eastAsia="Palatino Linotype" w:hAnsi="Palatino Linotype" w:cs="Palatino Linotype"/>
        </w:rPr>
      </w:pPr>
    </w:p>
    <w:p w:rsidR="00AB7A8A" w:rsidRDefault="002A75F8">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(1)Comisaría General de Seguridad Pública y Tránsito, (2)Dirección General de Administración y (3)Secretaría del Ayuntamiento. (1).- “ Por este medio, me permito enviarle un cordial saludo y atento a lo dispuesto por artículos 6 de la Constitución Política de los Estados Unidos Mexicanos; 5 párrafo décimo </w:t>
      </w:r>
      <w:r>
        <w:rPr>
          <w:rFonts w:ascii="Palatino Linotype" w:eastAsia="Palatino Linotype" w:hAnsi="Palatino Linotype" w:cs="Palatino Linotype"/>
          <w:i/>
          <w:sz w:val="22"/>
          <w:szCs w:val="22"/>
        </w:rPr>
        <w:lastRenderedPageBreak/>
        <w:t xml:space="preserve">séptimo, décimo octavo y décimo noveno de la Constitución Política del Estado Libre y Soberano de México; así como los artículos 1, 4,12 segundo párrafo, 23 fracción IV, 24 tercer párrafo, 53, 59, 88 y 173 todos de la Ley de Transparencia y Acceso a la Información Pública del Estado de México y Municipios; me refiero al diverso de fecha 05 de julio del año dos mil veintiuno, relativo al número de folio 00294/CUAUTIZC/IP/2021, la cual fue turnada a esta Comisaría General de Seguridad Pública y Tránsito de Cuautitlán Izcalli, Estado de México, a través del Sistema SAIMEX, mediante la cual se requiere la siguiente información: Turnada a esta Comisaría General de Seguridad Pública y Tránsito Municipal de Cuautitlán Izcalli, Estado de México, a través del sistema SAIMEX, mediante el cual se requiere la siguiente información: DESCRIPCIÓN DE LA INFORMACIÓN SOLICITADA: “…DESCRIPCIÓN DE LA INFORMACIÓN SOLICITADA: SALUDOS NECESITO INFORMACION PUBLICA DE LO SIGUIENTE: 1.-ESTADO DE FUERZA DE POLICIAS ADSCRITOS A SEGURIDAD PUBLICA…2.- ESTADO DE FUERZA DE POLICIAS ADSCRITOS A TRANSITO MUNICIPAL…3.- NUMERO DE PATRULLAS DE SEGURIDAD PUBLICA…4.- NUMERO DE PATRULLAS DE TRANSITO MUNICIPAL…5.- NUMERO DE MOTOCICLETAS DE AMBAS DIRECCIONES…6.- ORGANIGRAMA DE LA COMISARIA Y/O DIRECCION DE SEGURIDAD PUBLICA Y TRANSITO…7.- SUELDOS DE LOS MANDOS Y FUNCIONARIOS DE LA COMISARIA DE SEGURIDAD PUBLICA Y TRANSITO, EN GENERAL DE LOS CARGOS QUE APAREZCAN EN EL ORGANIGRAMA…8.- REGLAMENTO INTERNO DE DICHA DEPENDENCIA…9.- NUMERO DE ELEMENTOS QUE LABORAN EN C-4 Y SUS SUELDOS …10.-ASI MISMO ESPECIFICAR SI LAS UNIDADES SON PROPIEDAD DEL AYUNTAMIENTO O SON ARRENDADAS TODO LO ANTERIOR EN SU </w:t>
      </w:r>
      <w:r>
        <w:rPr>
          <w:rFonts w:ascii="Palatino Linotype" w:eastAsia="Palatino Linotype" w:hAnsi="Palatino Linotype" w:cs="Palatino Linotype"/>
          <w:i/>
          <w:sz w:val="22"/>
          <w:szCs w:val="22"/>
        </w:rPr>
        <w:lastRenderedPageBreak/>
        <w:t xml:space="preserve">VERSION PUBLICA Y POR SER DE DOMINIO PUBLICO E INTERES GENERAL “SIC Al respecto y encontrándome dentro del término concedido para ello, me permito desahogar en la forma y términos siguientes: 1. La información solicitada respecto de los puntos 1, 2, 3, 4, 5, y 9 se emite acuerdo en versión de RESERVA, el cual se anexa en versión y documento PDF al presente oficio, Número 042/CUAUTIZC/CT/CGSPT/2021 de fecha cuatro de febrero de dos mil veintiuno. Acuerdo que fue debidamente aprobado y firmado por los Integrantes del Comité de Transparencia del Municipio de Cuautitlán Izcalli, Estado de México, mismo que se adjunta al presente, en el que se fundamenta y motiva las razones por las cuales no es posible otorgar dicha información. 2. La información solicitada respecto del punto 6 Organigrama de la Comisaría y/o Dirección de Seguridad Pública y Tránsito, se agrega en versión y documento PDF al presente ocurso, el cual contiene el Organigrama de la Comisaría General de Seguridad Pública y Tránsito Cuautitlán Izcalli, Estado de México. 3. La información solicitada respecto del punto 7 sueldos de los mandos y funcionarios de la Comisaría de Seguridad Pública y Tránsito, en general de los cargos que aparezcan en el Organigrama de la Comisaría y/o Dirección de Seguridad Pública y Tránsito, se agrega en versión y documento PDF al presente ocurso, el cual contiene la información solicitada. 4. La información solicitada respecto del punto 8 Reglamento Interno de la Comisaría General de Seguridad Pública y Tránsito de Cuautitlán Izcalli, Estado de México, se agrega en versión y documento PDF al presente oficio, el cual contiene el “Reglamento Interno” de la Comisaría General de Seguridad Pública y Tránsito Cuautitlán Izcalli, Estado de México. 5. La información solicitada respecto del punto 10 especificar si las unidades (patrullas y motocicletas) son propiedad del H. Ayuntamiento o son arrendadas, se informa que en esta Comisaría General de Seguridad Pública de Cuautitlán Izcalli, Estado de México, NO EXISTE DOCUMENTACIÓN que contenga </w:t>
      </w:r>
      <w:r>
        <w:rPr>
          <w:rFonts w:ascii="Palatino Linotype" w:eastAsia="Palatino Linotype" w:hAnsi="Palatino Linotype" w:cs="Palatino Linotype"/>
          <w:i/>
          <w:sz w:val="22"/>
          <w:szCs w:val="22"/>
        </w:rPr>
        <w:lastRenderedPageBreak/>
        <w:t xml:space="preserve">información que señale el estatus actual (propiedad o arrendamiento) de las </w:t>
      </w:r>
      <w:proofErr w:type="gramStart"/>
      <w:r>
        <w:rPr>
          <w:rFonts w:ascii="Palatino Linotype" w:eastAsia="Palatino Linotype" w:hAnsi="Palatino Linotype" w:cs="Palatino Linotype"/>
          <w:i/>
          <w:sz w:val="22"/>
          <w:szCs w:val="22"/>
        </w:rPr>
        <w:t>unidades(</w:t>
      </w:r>
      <w:proofErr w:type="gramEnd"/>
      <w:r>
        <w:rPr>
          <w:rFonts w:ascii="Palatino Linotype" w:eastAsia="Palatino Linotype" w:hAnsi="Palatino Linotype" w:cs="Palatino Linotype"/>
          <w:i/>
          <w:sz w:val="22"/>
          <w:szCs w:val="22"/>
        </w:rPr>
        <w:t xml:space="preserve">patrullas y motocicletas) pertenecientes al H. Ayuntamiento Cuautitlán Izcalli, Estado de México. “sic (2).- “ Con fundamento en el artículo 6° de la Constitución Política de los Estados Unidos Mexicanos; 5° de la Constitución Política del Estado Libre y Soberano de México; 3 fracción XLV, 12, 23 fracción IV, 24 fracción XI y XXV, 25 y 52 de la Ley de Transparencia y Acceso a la Información Pública del Estado de México y Municipios; y en atención a la Solicitud de Información Pública marcada con el número de folio 00294/CUAUTIZC/IP/2020 turnada a través del Sistema SAIMEX a esta Unidad Administrativa, en la cual se requiere lo siguiente: DESCRIPCIÓN DE LA INFORMACIÓN SOLICITADA: “SALUDOS NECESITO INFORMACION PUBLICA DE LO SIGUIENTE: ESTADO DE FUERZA DE POLICIAS ADSCRITOS A SEGURIDAD PUBLICA ESTADO DE FUERZA DE POLICIAS ADSCRITOS A TRANSITO MUNICIPAL NUMERO DE PATRULLAS DE SEGURIDAD PUBLICA NUMERO DE PATRULLAS DE TRANSITO MUNICIPAL NUMERO DE MOTOCICLETAS DE AMBAS DIRECCIONES ORGANIGRAMA DE LA COMISARIA Y/O DIRECCION DE SEGURIDAD PUBLICA Y TRANSITO SUELDOS DE LOS MANDOS Y FUNCIONARIOS DE LA COMISARIA DE SEGURIDAD PUBLICA Y TRANSITO, EN GENERAL DE LOS CARGOS QUE APAREZCAN EN EL ORGANIGRAMA REGLAMENTO INTERNO DE DICHA DEPENDENCIA NUMERO DE ELEMENTOS QUE LABORAN EN C-4 Y SUS SUELDOS ASI MISMO ESPECIFICAR SI LAS UNIDADES SON PROPIEDAD DEL AYUNTAMIENTO O SON ARRENDADAS TODO LO ANTERIOR EN SU VERSION PUBLICA Y POR SER DE DOMINIO PUBLICO E INTERES GENERAL.” (Sic) Al respecto le comento que, por cuanto hace a la cantidad de vehículos destinados a </w:t>
      </w:r>
      <w:r>
        <w:rPr>
          <w:rFonts w:ascii="Palatino Linotype" w:eastAsia="Palatino Linotype" w:hAnsi="Palatino Linotype" w:cs="Palatino Linotype"/>
          <w:i/>
          <w:sz w:val="22"/>
          <w:szCs w:val="22"/>
        </w:rPr>
        <w:lastRenderedPageBreak/>
        <w:t xml:space="preserve">labores de seguridad pública y tránsito municipal, no corresponde a esta Dependencia el proporcionar tal información, pues el área encargada del registro y actualización del catálogo de los bienes muebles e inmuebles propiedad del Municipio es la Unidad de Control Patrimonial, unidad administrativa adscrita a la Secretaría del Ayuntamiento, ello según lo dispuesto en el artículo 20 fracción I inciso d) del Reglamento Interior de la Administración Pública Municipal de Cuautitlán Izcalli, Estado de México; por otro lado, la solicitud fue turnada al Titular de la Dirección de Recursos Humanos, atendiendo a través de su atento número DRH/0921/2021, se adjunta al presente, a través del cual se pronuncia referente a la información solicitada, por lo que, del análisis minucioso de la información requerida se determinó que esta se ajusta en los supuestos señalados en el artículo 140 fracción I de la Ley de Transparencia Local, pues al proporcionar la información tal y como la requiere el “Particular”, se expondría la capacidad de reacción del estado de fuerza con que se cuenta en este Municipio, lo que podría impactar en las labores de vigilancia y prevención del delito, razón por la cual, a petición del Servidor Público Habilitado de la Comisaría General de Seguridad Pública y Tránsito Municipal, el tema fue puesto a consideración del “Comité de Transparencia” de este Sujeto Obligado, resolviendo la clasificación de la información con carácter de Reservada, según se aprecia en el Acuerdo Número 042/CUAUTIZC/CT/DGSPT/2021, en el que encontrará de manera fundada y motivada las razones de tal determinación, mismo que se anexa al presente. Por último, le informo que podrá consultar la Estructura Orgánica de este Ayuntamiento en el link: https://www.ipomex.org.mx/ipo3/lgt/indice/CUAUTITLANIZCALLI/organigramas.web. Lo anterior, con fundamento en el artículo 6° de la Constitución Política de los Estados Unidos Mexicanos; 5° de la Constitución Política del Estado Libre y Soberano de México; 12, 23 fracción IV, 24 fracción XI y XXV, </w:t>
      </w:r>
      <w:r>
        <w:rPr>
          <w:rFonts w:ascii="Palatino Linotype" w:eastAsia="Palatino Linotype" w:hAnsi="Palatino Linotype" w:cs="Palatino Linotype"/>
          <w:i/>
          <w:sz w:val="22"/>
          <w:szCs w:val="22"/>
        </w:rPr>
        <w:lastRenderedPageBreak/>
        <w:t xml:space="preserve">25, 92 fracción XXI y 140 fracción I de la Ley de Transparencia y Acceso a la Información Pública del Estado de México y Municipios. Sin otro en particular, reciba un saludo cordial. “sic (3).- “ En atención a la solicitud recibida mediante el sistema SAIMEX y turnada a esta Secretaría del bajo el folio 00294/CUAUTIZC/IP/2021, la que a la letra señala: DESCRIPCIÓN DE LA INFORMACIÓN SOLICITADA: “SALUDOS NECESITO INFORMACION PUBLICA DE LO SIGUIENTE: ESTADO DE FUERZA DE POLICIAS ADSCRITOS A SEGURIDAD PUBLICA ESTADO DE FUERZA DE POLICIAS ADSCRITOS A TRANSITO MUNICIPAL NUMERO DE PATRULLAS DE SEGURIDAD PUBLICA NUMERO DE PATRULLAS DE TRANSITO MUNICIPAL NUMERO DE MOTOCICLETAS DE AMBAS DIRECCIONES ORGANIGRAMA DE LA COMISARIA Y/O DIRECCION DE SEGURIDAD PUBLICA Y TRANSITO SUELDOS DE LOS MANDOS Y FUNCIONARIOS DE LA COMISARIA DE SEGURIDAD PUBLICA Y TRANSITO, EN GENERAL DE LOS CARGOS QUE APAREZCAN EN EL ORGANIGRAMA REGLAMENTO INTERNO DE DICHA DEPENDENCIA NUMERO DE ELEMENTOS QUE LABORAN EN C-4 Y SUS SUELDOS ASI MISMO ESPECIFICAR SI LAS UNIDADES SON PROPIEDAD DEL AYUNTAMIENTO O SON ARRENDADAS TODO LO ANTERIOR EN SU VERSION PUBLICA Y POR SER DE DOMINIO PUBLICO E INTERES GENERAL “SIC Por lo anterior y con fundamento en el Artículo 12. De la Ley de Transparencia y Accesos a la Información Pública del Estado de México,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w:t>
      </w:r>
      <w:r>
        <w:rPr>
          <w:rFonts w:ascii="Palatino Linotype" w:eastAsia="Palatino Linotype" w:hAnsi="Palatino Linotype" w:cs="Palatino Linotype"/>
          <w:i/>
          <w:sz w:val="22"/>
          <w:szCs w:val="22"/>
        </w:rPr>
        <w:lastRenderedPageBreak/>
        <w:t>encuentre. La obligación de proporcionar información no comprende el procesamiento de la misma, ni el presentarla conforme al interés del solicitante; no estarán obligados a generarla, resumirla, efectuar cálculos o practicar investigaciones. Hago de su conocimiento que mediante oficio No. SA/UAP/0750/2021, signado por el Lic. Manuel Kuri García, Titular de la Unidad de Administración Patrimonial por el cual informa “...que la información solicitada se encuentra CLASIFICADA COMO RESERVADA, por el Comité de Transparencia de este Municipio, mediante los siguientes acuerdos 030/CUAUTIZC/CT/SA/2019 y 042/CUAUTIZC/CT/CGSPT/2021, motivo por el cual no es procedente proporcionar la información requerida, respecto a la competencia de esta Unidad de Administración Patrimonial.”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 xml:space="preserve">). Se anexan en formato </w:t>
      </w:r>
      <w:proofErr w:type="spellStart"/>
      <w:r>
        <w:rPr>
          <w:rFonts w:ascii="Palatino Linotype" w:eastAsia="Palatino Linotype" w:hAnsi="Palatino Linotype" w:cs="Palatino Linotype"/>
          <w:i/>
          <w:sz w:val="22"/>
          <w:szCs w:val="22"/>
        </w:rPr>
        <w:t>pdf</w:t>
      </w:r>
      <w:proofErr w:type="spellEnd"/>
      <w:r>
        <w:rPr>
          <w:rFonts w:ascii="Palatino Linotype" w:eastAsia="Palatino Linotype" w:hAnsi="Palatino Linotype" w:cs="Palatino Linotype"/>
          <w:i/>
          <w:sz w:val="22"/>
          <w:szCs w:val="22"/>
        </w:rPr>
        <w:t>., los acuerdos mencionados.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AB7A8A" w:rsidRDefault="002A75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Manifestación a la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archivos electrónicos descritos en el orden siguiente: </w:t>
      </w:r>
    </w:p>
    <w:p w:rsidR="00AB7A8A" w:rsidRDefault="002A75F8">
      <w:pPr>
        <w:numPr>
          <w:ilvl w:val="0"/>
          <w:numId w:val="8"/>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“294.pdf”: </w:t>
      </w:r>
      <w:r>
        <w:rPr>
          <w:rFonts w:ascii="Palatino Linotype" w:eastAsia="Palatino Linotype" w:hAnsi="Palatino Linotype" w:cs="Palatino Linotype"/>
          <w:color w:val="000000"/>
        </w:rPr>
        <w:t xml:space="preserve">Oficio DGSPYT/437/2021 de fecha 02 de julio de 2021, suscrito y signado por el Comisario General de Seguridad Pública y Tránsito, por medio del cual respondió a los requerimientos del particular. </w:t>
      </w: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“ACUERDO RESERVA 042 comisaría </w:t>
      </w:r>
      <w:proofErr w:type="spellStart"/>
      <w:r>
        <w:rPr>
          <w:rFonts w:ascii="Palatino Linotype" w:eastAsia="Palatino Linotype" w:hAnsi="Palatino Linotype" w:cs="Palatino Linotype"/>
          <w:b/>
          <w:i/>
          <w:color w:val="000000"/>
        </w:rPr>
        <w:t>edo</w:t>
      </w:r>
      <w:proofErr w:type="spellEnd"/>
      <w:r>
        <w:rPr>
          <w:rFonts w:ascii="Palatino Linotype" w:eastAsia="Palatino Linotype" w:hAnsi="Palatino Linotype" w:cs="Palatino Linotype"/>
          <w:b/>
          <w:i/>
          <w:color w:val="000000"/>
        </w:rPr>
        <w:t xml:space="preserve"> de fuerza y patrullas.</w:t>
      </w:r>
      <w:proofErr w:type="spellStart"/>
      <w:r>
        <w:rPr>
          <w:rFonts w:ascii="Palatino Linotype" w:eastAsia="Palatino Linotype" w:hAnsi="Palatino Linotype" w:cs="Palatino Linotype"/>
          <w:b/>
          <w:i/>
          <w:color w:val="000000"/>
        </w:rPr>
        <w:t>pdf</w:t>
      </w:r>
      <w:proofErr w:type="spellEnd"/>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Se trata del acuerdo número NO:042/CUAUTIZC/CT/CGSPT/2021, mediante el cual, </w:t>
      </w:r>
      <w:r>
        <w:rPr>
          <w:rFonts w:ascii="Palatino Linotype" w:eastAsia="Palatino Linotype" w:hAnsi="Palatino Linotype" w:cs="Palatino Linotype"/>
          <w:color w:val="000000"/>
        </w:rPr>
        <w:lastRenderedPageBreak/>
        <w:t xml:space="preserve">el Comité de Transparencia aprobó la clasificación de la información con carácter de </w:t>
      </w:r>
      <w:r>
        <w:rPr>
          <w:rFonts w:ascii="Palatino Linotype" w:eastAsia="Palatino Linotype" w:hAnsi="Palatino Linotype" w:cs="Palatino Linotype"/>
          <w:b/>
          <w:color w:val="000000"/>
        </w:rPr>
        <w:t xml:space="preserve">RESERVADA </w:t>
      </w:r>
      <w:r>
        <w:rPr>
          <w:rFonts w:ascii="Palatino Linotype" w:eastAsia="Palatino Linotype" w:hAnsi="Palatino Linotype" w:cs="Palatino Linotype"/>
          <w:color w:val="000000"/>
        </w:rPr>
        <w:t xml:space="preserve">consistente en el número de vehículos automotores (patrulla, moto patrullas, y demás vehículos adscritos a la Comisaría General de Seguridad Pública y Tránsito Municipal); así como la marca, modelo, año y equipamiento de las unidades móviles, número de elementos operativos (policías) activos que integran la Comisaria General de Seguridad Pública y Tránsito Municipal, asignados a  las áreas de Seguridad Pública, Servicios Facultativos y Tránsito, así como la fecha de los mismos y el número de policías que cuentan con el certificado único policial. </w:t>
      </w: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“Organigrama.pdf”:</w:t>
      </w:r>
    </w:p>
    <w:p w:rsidR="00AB7A8A" w:rsidRDefault="002A75F8">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drawing>
          <wp:inline distT="0" distB="0" distL="0" distR="0">
            <wp:extent cx="5021580" cy="2552065"/>
            <wp:effectExtent l="12700" t="12700" r="12700" b="1270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32465"/>
                    <a:stretch>
                      <a:fillRect/>
                    </a:stretch>
                  </pic:blipFill>
                  <pic:spPr>
                    <a:xfrm>
                      <a:off x="0" y="0"/>
                      <a:ext cx="5021580" cy="2552065"/>
                    </a:xfrm>
                    <a:prstGeom prst="rect">
                      <a:avLst/>
                    </a:prstGeom>
                    <a:ln w="12700">
                      <a:solidFill>
                        <a:srgbClr val="000000"/>
                      </a:solidFill>
                      <a:prstDash val="solid"/>
                    </a:ln>
                  </pic:spPr>
                </pic:pic>
              </a:graphicData>
            </a:graphic>
          </wp:inline>
        </w:drawing>
      </w: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“reglamento interno GACETA 134 27 JUL. 2018</w:t>
      </w:r>
      <w:proofErr w:type="gramStart"/>
      <w:r>
        <w:rPr>
          <w:rFonts w:ascii="Palatino Linotype" w:eastAsia="Palatino Linotype" w:hAnsi="Palatino Linotype" w:cs="Palatino Linotype"/>
          <w:b/>
          <w:i/>
          <w:color w:val="000000"/>
        </w:rPr>
        <w:t>.pdf</w:t>
      </w:r>
      <w:proofErr w:type="gram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 xml:space="preserve">Se trata del sumario de los siguientes reglamentos internos. </w:t>
      </w:r>
    </w:p>
    <w:p w:rsidR="00AB7A8A" w:rsidRDefault="002A75F8">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noProof/>
          <w:color w:val="000000"/>
          <w:lang w:val="es-MX"/>
        </w:rPr>
        <w:lastRenderedPageBreak/>
        <w:drawing>
          <wp:inline distT="0" distB="0" distL="0" distR="0">
            <wp:extent cx="5098503" cy="6378845"/>
            <wp:effectExtent l="12700" t="12700" r="12700" b="127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98503" cy="6378845"/>
                    </a:xfrm>
                    <a:prstGeom prst="rect">
                      <a:avLst/>
                    </a:prstGeom>
                    <a:ln w="12700">
                      <a:solidFill>
                        <a:srgbClr val="000000"/>
                      </a:solidFill>
                      <a:prstDash val="solid"/>
                    </a:ln>
                  </pic:spPr>
                </pic:pic>
              </a:graphicData>
            </a:graphic>
          </wp:inline>
        </w:drawing>
      </w:r>
      <w:r>
        <w:rPr>
          <w:rFonts w:ascii="Palatino Linotype" w:eastAsia="Palatino Linotype" w:hAnsi="Palatino Linotype" w:cs="Palatino Linotype"/>
          <w:color w:val="000000"/>
        </w:rPr>
        <w:t xml:space="preserve"> </w:t>
      </w:r>
    </w:p>
    <w:p w:rsidR="00AB7A8A" w:rsidRDefault="00AB7A8A">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“Mandos Comisaría Q10.pdf”: </w:t>
      </w:r>
      <w:r>
        <w:rPr>
          <w:rFonts w:ascii="Palatino Linotype" w:eastAsia="Palatino Linotype" w:hAnsi="Palatino Linotype" w:cs="Palatino Linotype"/>
          <w:color w:val="000000"/>
        </w:rPr>
        <w:t xml:space="preserve">Consistente en el listado de mandos medios de la Comisaria, que contiene el número de empleado, nombre, área, puesto, sueldo, total de percepciones, total de deducciones y sueldo neto quincenal. </w:t>
      </w: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“294 ACUERDO RESERVA comisaría </w:t>
      </w:r>
      <w:proofErr w:type="spellStart"/>
      <w:r>
        <w:rPr>
          <w:rFonts w:ascii="Palatino Linotype" w:eastAsia="Palatino Linotype" w:hAnsi="Palatino Linotype" w:cs="Palatino Linotype"/>
          <w:b/>
          <w:i/>
          <w:color w:val="000000"/>
        </w:rPr>
        <w:t>edo</w:t>
      </w:r>
      <w:proofErr w:type="spellEnd"/>
      <w:r>
        <w:rPr>
          <w:rFonts w:ascii="Palatino Linotype" w:eastAsia="Palatino Linotype" w:hAnsi="Palatino Linotype" w:cs="Palatino Linotype"/>
          <w:b/>
          <w:i/>
          <w:color w:val="000000"/>
        </w:rPr>
        <w:t xml:space="preserve"> de fuerza y patrullas.pdf:” </w:t>
      </w:r>
      <w:r>
        <w:rPr>
          <w:rFonts w:ascii="Palatino Linotype" w:eastAsia="Palatino Linotype" w:hAnsi="Palatino Linotype" w:cs="Palatino Linotype"/>
          <w:color w:val="000000"/>
        </w:rPr>
        <w:t xml:space="preserve">Se trata del mismo documento descrito en el </w:t>
      </w:r>
      <w:proofErr w:type="spellStart"/>
      <w:r>
        <w:rPr>
          <w:rFonts w:ascii="Palatino Linotype" w:eastAsia="Palatino Linotype" w:hAnsi="Palatino Linotype" w:cs="Palatino Linotype"/>
          <w:color w:val="000000"/>
        </w:rPr>
        <w:t>archivo</w:t>
      </w:r>
      <w:r>
        <w:rPr>
          <w:rFonts w:ascii="Palatino Linotype" w:eastAsia="Palatino Linotype" w:hAnsi="Palatino Linotype" w:cs="Palatino Linotype"/>
          <w:b/>
          <w:i/>
          <w:color w:val="000000"/>
        </w:rPr>
        <w:t>“ACUERDO</w:t>
      </w:r>
      <w:proofErr w:type="spellEnd"/>
      <w:r>
        <w:rPr>
          <w:rFonts w:ascii="Palatino Linotype" w:eastAsia="Palatino Linotype" w:hAnsi="Palatino Linotype" w:cs="Palatino Linotype"/>
          <w:b/>
          <w:i/>
          <w:color w:val="000000"/>
        </w:rPr>
        <w:t xml:space="preserve"> RESERVA 042 comisaría </w:t>
      </w:r>
      <w:proofErr w:type="spellStart"/>
      <w:r>
        <w:rPr>
          <w:rFonts w:ascii="Palatino Linotype" w:eastAsia="Palatino Linotype" w:hAnsi="Palatino Linotype" w:cs="Palatino Linotype"/>
          <w:b/>
          <w:i/>
          <w:color w:val="000000"/>
        </w:rPr>
        <w:t>edo</w:t>
      </w:r>
      <w:proofErr w:type="spellEnd"/>
      <w:r>
        <w:rPr>
          <w:rFonts w:ascii="Palatino Linotype" w:eastAsia="Palatino Linotype" w:hAnsi="Palatino Linotype" w:cs="Palatino Linotype"/>
          <w:b/>
          <w:i/>
          <w:color w:val="000000"/>
        </w:rPr>
        <w:t xml:space="preserve"> de fuerza y patrullas.pdf”.  </w:t>
      </w: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“DGA_OF_1266_2021 Y ANEXO_001.pdf”: </w:t>
      </w:r>
      <w:r>
        <w:rPr>
          <w:rFonts w:ascii="Palatino Linotype" w:eastAsia="Palatino Linotype" w:hAnsi="Palatino Linotype" w:cs="Palatino Linotype"/>
          <w:color w:val="000000"/>
        </w:rPr>
        <w:t xml:space="preserve">Contiene el oficio DGA/OF/1266/2021 del 04 de agosto de 2021, suscrito por el Director General de Administración del Municipio de Cuautitlán Izcalli, por medio del cual remitió el oficio de respuesta del Titular de la Dirección de Recursos Humanos en el que manifestó que </w:t>
      </w:r>
      <w:r>
        <w:rPr>
          <w:rFonts w:ascii="Palatino Linotype" w:eastAsia="Palatino Linotype" w:hAnsi="Palatino Linotype" w:cs="Palatino Linotype"/>
          <w:i/>
          <w:color w:val="000000"/>
        </w:rPr>
        <w:t xml:space="preserve">“…enviar información del personal adscrito a la Comisaria General de Seguridad Pública y Tránsito, supone un riego a la Seguridad Pública Municipal que participan en la contención y control de la delincuencia dentro de municipio…”; </w:t>
      </w:r>
      <w:r>
        <w:rPr>
          <w:rFonts w:ascii="Palatino Linotype" w:eastAsia="Palatino Linotype" w:hAnsi="Palatino Linotype" w:cs="Palatino Linotype"/>
          <w:color w:val="000000"/>
        </w:rPr>
        <w:t xml:space="preserve">asimismo, refirió el envío del organigrama de la Comisaría General de Seguridad Pública y Tránsito. </w:t>
      </w: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“2021 294.pdf”: </w:t>
      </w:r>
      <w:r>
        <w:rPr>
          <w:rFonts w:ascii="Palatino Linotype" w:eastAsia="Palatino Linotype" w:hAnsi="Palatino Linotype" w:cs="Palatino Linotype"/>
          <w:color w:val="000000"/>
        </w:rPr>
        <w:t>Oficio SA/3740/2021 del 04 de agosto de 2021, suscrito y signado por el Secretario del Ayuntamiento de Cuautitlán Izcalli por medio del cual informó que: “</w:t>
      </w:r>
      <w:r>
        <w:rPr>
          <w:rFonts w:ascii="Palatino Linotype" w:eastAsia="Palatino Linotype" w:hAnsi="Palatino Linotype" w:cs="Palatino Linotype"/>
          <w:i/>
          <w:color w:val="000000"/>
        </w:rPr>
        <w:t xml:space="preserve">mediante oficio No. SA/UAP/0750/2021, signado por el Lic. Manuel Kuri García, Titular de la Unidad de Administración Patrimonial por el cual informa “…que la información solicitada se encuentra </w:t>
      </w:r>
      <w:r>
        <w:rPr>
          <w:rFonts w:ascii="Palatino Linotype" w:eastAsia="Palatino Linotype" w:hAnsi="Palatino Linotype" w:cs="Palatino Linotype"/>
          <w:b/>
          <w:i/>
          <w:color w:val="000000"/>
        </w:rPr>
        <w:t xml:space="preserve">CLASIFICADA COMO RESERVADA, </w:t>
      </w:r>
      <w:r>
        <w:rPr>
          <w:rFonts w:ascii="Palatino Linotype" w:eastAsia="Palatino Linotype" w:hAnsi="Palatino Linotype" w:cs="Palatino Linotype"/>
          <w:i/>
          <w:color w:val="000000"/>
        </w:rPr>
        <w:t xml:space="preserve">por el Comité de Transparencia de este Municipio, mediante los siguiente acuerdos </w:t>
      </w:r>
      <w:r>
        <w:rPr>
          <w:rFonts w:ascii="Palatino Linotype" w:eastAsia="Palatino Linotype" w:hAnsi="Palatino Linotype" w:cs="Palatino Linotype"/>
          <w:b/>
          <w:i/>
          <w:color w:val="000000"/>
        </w:rPr>
        <w:t xml:space="preserve">030/CUAUTIZC/CT/SA/2019 y 042/CUAUTIZC/CT/CGSPT/2021, </w:t>
      </w:r>
      <w:r>
        <w:rPr>
          <w:rFonts w:ascii="Palatino Linotype" w:eastAsia="Palatino Linotype" w:hAnsi="Palatino Linotype" w:cs="Palatino Linotype"/>
          <w:i/>
          <w:color w:val="000000"/>
        </w:rPr>
        <w:t xml:space="preserve">motivo por el cual no es procedente </w:t>
      </w:r>
      <w:r>
        <w:rPr>
          <w:rFonts w:ascii="Palatino Linotype" w:eastAsia="Palatino Linotype" w:hAnsi="Palatino Linotype" w:cs="Palatino Linotype"/>
          <w:i/>
          <w:color w:val="000000"/>
        </w:rPr>
        <w:lastRenderedPageBreak/>
        <w:t>proporcionar la información requerida, respecto a la competencia de esta Unidad de Administración Patrimonial”(sic)”</w:t>
      </w:r>
    </w:p>
    <w:p w:rsidR="00AB7A8A" w:rsidRDefault="002A75F8">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“ACUERDO RESERVA comisaría </w:t>
      </w:r>
      <w:proofErr w:type="spellStart"/>
      <w:r>
        <w:rPr>
          <w:rFonts w:ascii="Palatino Linotype" w:eastAsia="Palatino Linotype" w:hAnsi="Palatino Linotype" w:cs="Palatino Linotype"/>
          <w:b/>
          <w:i/>
          <w:color w:val="000000"/>
        </w:rPr>
        <w:t>edo</w:t>
      </w:r>
      <w:proofErr w:type="spellEnd"/>
      <w:r>
        <w:rPr>
          <w:rFonts w:ascii="Palatino Linotype" w:eastAsia="Palatino Linotype" w:hAnsi="Palatino Linotype" w:cs="Palatino Linotype"/>
          <w:b/>
          <w:i/>
          <w:color w:val="000000"/>
        </w:rPr>
        <w:t xml:space="preserve"> de fuerza y patrullas.pdf:”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trata del acuerdo número 042/CUAUTIZC/CT/CGSPT/2021. </w:t>
      </w:r>
    </w:p>
    <w:p w:rsidR="00AB7A8A" w:rsidRDefault="002A75F8">
      <w:pPr>
        <w:numPr>
          <w:ilvl w:val="0"/>
          <w:numId w:val="8"/>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“ACUERDO RESERVA bienes muebles secretaria y comisaria.pdf”: </w:t>
      </w:r>
      <w:r>
        <w:rPr>
          <w:rFonts w:ascii="Palatino Linotype" w:eastAsia="Palatino Linotype" w:hAnsi="Palatino Linotype" w:cs="Palatino Linotype"/>
          <w:color w:val="000000"/>
        </w:rPr>
        <w:t xml:space="preserve">Contiene el Acuerdo número 030/CUAUTIZC/CT/SA/2019 en el que se clasificó como reservada, la información consistente en los bienes muebles relacionados en el inventario general correspondientes al armamento, equipos de radiocomunicación, cámaras de vigilancia, vehículos automotores (patrullas), que se encuentran bajo resguardo dela Comisaria General de Seguridad Pública y Tránsito Municipal de Cuautitlán Izcalli. </w:t>
      </w:r>
    </w:p>
    <w:p w:rsidR="00AB7A8A" w:rsidRDefault="002A75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diez de agosto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AB7A8A" w:rsidRDefault="002A75F8">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AB7A8A" w:rsidRDefault="00AB7A8A">
      <w:pPr>
        <w:spacing w:line="360" w:lineRule="auto"/>
        <w:ind w:left="851" w:right="900"/>
        <w:jc w:val="both"/>
        <w:rPr>
          <w:rFonts w:ascii="Palatino Linotype" w:eastAsia="Palatino Linotype" w:hAnsi="Palatino Linotype" w:cs="Palatino Linotype"/>
          <w:i/>
          <w:sz w:val="2"/>
          <w:szCs w:val="2"/>
        </w:rPr>
      </w:pPr>
    </w:p>
    <w:p w:rsidR="00AB7A8A" w:rsidRDefault="002A75F8">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PRIMER INSTANCIA SE IMPUGNA LA PRESENTE POR LOS SIGUIENTES MOTIVOS: 1. EL SERVIDOR PUBLICO DE NOMBRE ROJAS ROSAS YEIMI VIRIDIANA CON UN SUELDO DE $10.330 QUINCENALES; NO ESPECIFICA EL CARGO QUE ACTUALMENTE OCUPA, SI ADEMAS YA NO SE ENCUENTRA LABORANDO EN LA COMISARIA, YA NO SE OBSERVA EN NINGUNA PARTE, DONDE SE ENCUENTRA Y BAJO QUE CARGO</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2. LOS SERVIDORES PUBLICOS PERFECTO MARQUEZ KARINA Y GRIS HERNANDEZ MARIA ELENA CON SUELDOS DE $10.532 Y 10.330 RESPECTIVAMENTE, NO ESPECIFICAN QUE CARGO OCUPAN EN LA COMISARIA GENERAL Y QUE FUNCIONES DESEMPEÑAN 3. EL SERVIDOR PUBLICO RUTH MORALES MARTINEZ CON CARGO DE COORDINADOR DE CONTROL OPERATIVO CON SUELDO DE $10.330 Y CARGO DE COORDINADOR, TIENE EL MISMOSUELDO DE LOS SERVIDORES </w:t>
      </w:r>
      <w:r>
        <w:rPr>
          <w:rFonts w:ascii="Palatino Linotype" w:eastAsia="Palatino Linotype" w:hAnsi="Palatino Linotype" w:cs="Palatino Linotype"/>
          <w:i/>
          <w:sz w:val="22"/>
          <w:szCs w:val="22"/>
        </w:rPr>
        <w:lastRenderedPageBreak/>
        <w:t>PUBLCOS ANTERIORES CUANDO ESTAS SON JEFES DE DEPARTAMENTO Y RUTH ES LA QUE SE "ENCARGA DE COORDINAR TODA LA CUESTION OPERATIVA". 4.- EL SERVIDOR PUBLICO AMAYA HERNANDEZ JOSE CON UN SUELDO DE $15.808 Y CARGO DE COORDINADOR DE PREVENCION; ESTA PERSONA SE PRESENTA EN ACTOS PUBLICOS COMO SECRETARIO TECNICO DEL CONSEJO MUNICIPAL DE SEGURIDAD PUBLICA, CUAL ES SU CARGO Y FUNCIONES REALES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Y EN EL MISMO TABULADOR APARECE CHAVELAS VARGAS JOSE DECNINI, IGUAL COMO COORDINADOR DE PREVENCION Y CON UN SUELDO DE $ 10.330, HAY DOS CARGOS IGUALES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O DOS TITULARES DE LA MISMA AREA?? 5. PORQUE EL DIRECTOR HERNANDEZ GARCIA RODRIGO IVAN DIRECTOR DE SEGURIDAD PUBLICA TIENE EL SUELDO DE $22.528 Y EL DIRECTOR DE TRANSITO JOSE DE JESUS RODRIGUEZ </w:t>
      </w:r>
      <w:proofErr w:type="spellStart"/>
      <w:r>
        <w:rPr>
          <w:rFonts w:ascii="Palatino Linotype" w:eastAsia="Palatino Linotype" w:hAnsi="Palatino Linotype" w:cs="Palatino Linotype"/>
          <w:i/>
          <w:sz w:val="22"/>
          <w:szCs w:val="22"/>
        </w:rPr>
        <w:t>RODRIGUEZ</w:t>
      </w:r>
      <w:proofErr w:type="spellEnd"/>
      <w:r>
        <w:rPr>
          <w:rFonts w:ascii="Palatino Linotype" w:eastAsia="Palatino Linotype" w:hAnsi="Palatino Linotype" w:cs="Palatino Linotype"/>
          <w:i/>
          <w:sz w:val="22"/>
          <w:szCs w:val="22"/>
        </w:rPr>
        <w:t xml:space="preserve"> GANA $14.732</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SERA QUE EL PRIMERO POR SER ESPOSO DE LA SECRETARIA PARTICULAR DEL PRESIDENTE RICARDO NUÑEZ? O BIEN QUE EXPLIQUEN ESA VARIACION DE SALARIO, SI LOS DOS SON DIRECTORES DE </w:t>
      </w:r>
      <w:proofErr w:type="gramStart"/>
      <w:r>
        <w:rPr>
          <w:rFonts w:ascii="Palatino Linotype" w:eastAsia="Palatino Linotype" w:hAnsi="Palatino Linotype" w:cs="Palatino Linotype"/>
          <w:i/>
          <w:sz w:val="22"/>
          <w:szCs w:val="22"/>
        </w:rPr>
        <w:t>AREA .</w:t>
      </w:r>
      <w:proofErr w:type="gramEnd"/>
      <w:r>
        <w:rPr>
          <w:rFonts w:ascii="Palatino Linotype" w:eastAsia="Palatino Linotype" w:hAnsi="Palatino Linotype" w:cs="Palatino Linotype"/>
          <w:i/>
          <w:sz w:val="22"/>
          <w:szCs w:val="22"/>
        </w:rPr>
        <w:t xml:space="preserve"> ME INCONFORMO EN CUANTO AL ACUERDO 030/CUAUTIZC/CT/SA/2019 YA QUE SE ACUERDA INFORMACION CLASIFICADA YA QUE EN DICHA SESION SOLO FIRMAN 4 DE 7 INTEGRANTES Y UNA FIRMA ES POR AUSENCIA, ES DECIR FIRMAN 3 Y NO FIRMAN 3, COMO SE HIZO ESE ACUERDO DE INFORMACION CLASIFICADA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 NO ESTABAN COMPLETOS SUS INTEGRANTES EN CUANTO AL ACUERDO 042/CUAUTIZC/CT/CGSPT/2021 ESTA INFORMACION ES LA MSMA QUE SE CLASIFICO CON LA 030/ DEL AÑO 2019, SIENDO LA MISMA INFORMACION QUE SE CLASIFICA COMO CONFIDENCIAL POR DOS ACUERDOS, ES DECIR EN AMBOS CASOS SE NIEGAN A PROPORCIONAR INFORMACION REFERENTE A PATRULLAS, EQUIPO POLICIAL Y ELEMENTOS, EN AMBAS SESIONES DE INORMACION CLASIFICADA, DE IGUAL FORMA FIRMAN CUATRO Y UNO POR AUSENCIA Y NO FIRMAN TRES INTEGRANTES, NO CUENTA CON VALIDEZ AMBAS SESIONES DE CONFIDENCIALIDAD POR AUSENCIA DE SUS INTEGRANTES. MOTIVO DE MI INCONFOMIDAD LO ANTES SEÑALADO."”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AB7A8A" w:rsidRDefault="00AB7A8A">
      <w:pPr>
        <w:spacing w:line="360" w:lineRule="auto"/>
        <w:jc w:val="both"/>
        <w:rPr>
          <w:rFonts w:ascii="Palatino Linotype" w:eastAsia="Palatino Linotype" w:hAnsi="Palatino Linotype" w:cs="Palatino Linotype"/>
          <w:sz w:val="2"/>
          <w:szCs w:val="2"/>
        </w:rPr>
      </w:pPr>
    </w:p>
    <w:p w:rsidR="00AB7A8A" w:rsidRDefault="00AB7A8A">
      <w:pPr>
        <w:spacing w:line="360" w:lineRule="auto"/>
        <w:jc w:val="both"/>
        <w:rPr>
          <w:rFonts w:ascii="Palatino Linotype" w:eastAsia="Palatino Linotype" w:hAnsi="Palatino Linotype" w:cs="Palatino Linotype"/>
          <w:b/>
          <w:sz w:val="14"/>
          <w:szCs w:val="14"/>
        </w:rPr>
      </w:pPr>
    </w:p>
    <w:p w:rsidR="00AB7A8A" w:rsidRDefault="00AB7A8A">
      <w:pPr>
        <w:spacing w:line="360" w:lineRule="auto"/>
        <w:jc w:val="both"/>
        <w:rPr>
          <w:rFonts w:ascii="Palatino Linotype" w:eastAsia="Palatino Linotype" w:hAnsi="Palatino Linotype" w:cs="Palatino Linotype"/>
          <w:b/>
          <w:sz w:val="14"/>
          <w:szCs w:val="14"/>
        </w:rPr>
      </w:pPr>
    </w:p>
    <w:p w:rsidR="00AB7A8A" w:rsidRDefault="00AB7A8A">
      <w:pPr>
        <w:spacing w:line="360" w:lineRule="auto"/>
        <w:jc w:val="both"/>
        <w:rPr>
          <w:rFonts w:ascii="Palatino Linotype" w:eastAsia="Palatino Linotype" w:hAnsi="Palatino Linotype" w:cs="Palatino Linotype"/>
          <w:b/>
          <w:sz w:val="14"/>
          <w:szCs w:val="14"/>
        </w:rPr>
      </w:pPr>
    </w:p>
    <w:p w:rsidR="00AB7A8A" w:rsidRDefault="00AB7A8A">
      <w:pPr>
        <w:spacing w:line="360" w:lineRule="auto"/>
        <w:jc w:val="both"/>
        <w:rPr>
          <w:rFonts w:ascii="Palatino Linotype" w:eastAsia="Palatino Linotype" w:hAnsi="Palatino Linotype" w:cs="Palatino Linotype"/>
          <w:b/>
          <w:sz w:val="14"/>
          <w:szCs w:val="14"/>
        </w:rPr>
      </w:pPr>
    </w:p>
    <w:p w:rsidR="00AB7A8A" w:rsidRDefault="00AB7A8A">
      <w:pPr>
        <w:spacing w:line="360" w:lineRule="auto"/>
        <w:jc w:val="both"/>
        <w:rPr>
          <w:rFonts w:ascii="Palatino Linotype" w:eastAsia="Palatino Linotype" w:hAnsi="Palatino Linotype" w:cs="Palatino Linotype"/>
          <w:b/>
          <w:sz w:val="14"/>
          <w:szCs w:val="14"/>
        </w:rPr>
      </w:pP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Y Razones o motivos de inconformidad</w:t>
      </w:r>
      <w:r>
        <w:rPr>
          <w:rFonts w:ascii="Palatino Linotype" w:eastAsia="Palatino Linotype" w:hAnsi="Palatino Linotype" w:cs="Palatino Linotype"/>
        </w:rPr>
        <w:t>:</w:t>
      </w:r>
    </w:p>
    <w:p w:rsidR="00AB7A8A" w:rsidRDefault="00AB7A8A">
      <w:pPr>
        <w:spacing w:line="360" w:lineRule="auto"/>
        <w:jc w:val="both"/>
        <w:rPr>
          <w:rFonts w:ascii="Palatino Linotype" w:eastAsia="Palatino Linotype" w:hAnsi="Palatino Linotype" w:cs="Palatino Linotype"/>
          <w:sz w:val="2"/>
          <w:szCs w:val="2"/>
        </w:rPr>
      </w:pPr>
    </w:p>
    <w:p w:rsidR="00AB7A8A" w:rsidRDefault="002A75F8">
      <w:pPr>
        <w:ind w:left="851" w:right="900"/>
        <w:jc w:val="both"/>
        <w:rPr>
          <w:rFonts w:ascii="Palatino Linotype" w:eastAsia="Palatino Linotype" w:hAnsi="Palatino Linotype" w:cs="Palatino Linotype"/>
          <w:i/>
          <w:sz w:val="22"/>
          <w:szCs w:val="22"/>
        </w:rPr>
      </w:pPr>
      <w:bookmarkStart w:id="3" w:name="_heading=h.1fob9te" w:colFirst="0" w:colLast="0"/>
      <w:bookmarkEnd w:id="3"/>
      <w:r>
        <w:rPr>
          <w:rFonts w:ascii="Palatino Linotype" w:eastAsia="Palatino Linotype" w:hAnsi="Palatino Linotype" w:cs="Palatino Linotype"/>
          <w:i/>
          <w:sz w:val="22"/>
          <w:szCs w:val="22"/>
        </w:rPr>
        <w:t>“INFORMACION OBSCURA, NO ES CLARA, SE NIENGAN A PROPORCIONAR LA INFORMACION, CON UNAS SECIONES ILEGALES A TODAS LUCES POR FIRMAR TRES Y UNO POR AUSENCIA Y TRES INTEGRANTES NO FIRMAN. NO SEÑALAN QUE CARGOS OCUPAN LOS TITULARES DE AREA, OTROS SERVIDORES PUBLICOS CUENTAN CON EL MISMO CARGO ASI MISMO UNO DE ESTOS SE DESEMPEÑA COMO SECRETARIO TECNICO Y COORDINADOR</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EXISTEN DISCREPANCIAS EN SUS INFORMES, ES EL MOTIVO DE MI INCONFORMIDAD.”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AB7A8A" w:rsidRDefault="00AB7A8A">
      <w:pPr>
        <w:ind w:right="900"/>
        <w:jc w:val="both"/>
        <w:rPr>
          <w:rFonts w:ascii="Palatino Linotype" w:eastAsia="Palatino Linotype" w:hAnsi="Palatino Linotype" w:cs="Palatino Linotype"/>
          <w:i/>
          <w:sz w:val="22"/>
          <w:szCs w:val="22"/>
        </w:rPr>
      </w:pP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al entonces Comisionado </w:t>
      </w:r>
      <w:r>
        <w:rPr>
          <w:rFonts w:ascii="Palatino Linotype" w:eastAsia="Palatino Linotype" w:hAnsi="Palatino Linotype" w:cs="Palatino Linotype"/>
          <w:b/>
        </w:rPr>
        <w:t xml:space="preserve">Javier Martínez Cruz, </w:t>
      </w:r>
      <w:r>
        <w:rPr>
          <w:rFonts w:ascii="Palatino Linotype" w:eastAsia="Palatino Linotype" w:hAnsi="Palatino Linotype" w:cs="Palatino Linotype"/>
        </w:rPr>
        <w:t>a efecto de que analizara sobre su admisión o su desechamiento.</w:t>
      </w:r>
    </w:p>
    <w:p w:rsidR="00AB7A8A" w:rsidRDefault="002A75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trece de agosto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AB7A8A" w:rsidRDefault="002A75F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día </w:t>
      </w:r>
      <w:r>
        <w:rPr>
          <w:rFonts w:ascii="Palatino Linotype" w:eastAsia="Palatino Linotype" w:hAnsi="Palatino Linotype" w:cs="Palatino Linotype"/>
          <w:b/>
        </w:rPr>
        <w:t>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de agosto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 justificado y adjuntó el archivo electrónico </w:t>
      </w:r>
      <w:r>
        <w:rPr>
          <w:rFonts w:ascii="Palatino Linotype" w:eastAsia="Palatino Linotype" w:hAnsi="Palatino Linotype" w:cs="Palatino Linotype"/>
          <w:b/>
          <w:i/>
        </w:rPr>
        <w:t xml:space="preserve">294_3979 INFORME JUSTIFICADO.zip, </w:t>
      </w:r>
      <w:r>
        <w:rPr>
          <w:rFonts w:ascii="Palatino Linotype" w:eastAsia="Palatino Linotype" w:hAnsi="Palatino Linotype" w:cs="Palatino Linotype"/>
        </w:rPr>
        <w:t xml:space="preserve">integrado por los siguientes documentos: </w:t>
      </w:r>
    </w:p>
    <w:p w:rsidR="00AB7A8A" w:rsidRDefault="00AB7A8A">
      <w:pPr>
        <w:widowControl w:val="0"/>
        <w:spacing w:before="240" w:after="240" w:line="360" w:lineRule="auto"/>
        <w:jc w:val="both"/>
        <w:rPr>
          <w:rFonts w:ascii="Palatino Linotype" w:eastAsia="Palatino Linotype" w:hAnsi="Palatino Linotype" w:cs="Palatino Linotype"/>
        </w:rPr>
      </w:pPr>
    </w:p>
    <w:p w:rsidR="00AB7A8A" w:rsidRDefault="002A75F8">
      <w:pPr>
        <w:widowControl w:val="0"/>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“294-3979 ADMON.</w:t>
      </w:r>
      <w:proofErr w:type="spellStart"/>
      <w:r>
        <w:rPr>
          <w:rFonts w:ascii="Palatino Linotype" w:eastAsia="Palatino Linotype" w:hAnsi="Palatino Linotype" w:cs="Palatino Linotype"/>
          <w:b/>
          <w:color w:val="000000"/>
        </w:rPr>
        <w:t>pdf</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Oficio SA-UT/577/2021 del 16 de agosto de 2021, suscrito y signado por </w:t>
      </w:r>
      <w:proofErr w:type="spellStart"/>
      <w:r>
        <w:rPr>
          <w:rFonts w:ascii="Palatino Linotype" w:eastAsia="Palatino Linotype" w:hAnsi="Palatino Linotype" w:cs="Palatino Linotype"/>
          <w:color w:val="000000"/>
        </w:rPr>
        <w:t>e</w:t>
      </w:r>
      <w:proofErr w:type="spellEnd"/>
      <w:r>
        <w:rPr>
          <w:rFonts w:ascii="Palatino Linotype" w:eastAsia="Palatino Linotype" w:hAnsi="Palatino Linotype" w:cs="Palatino Linotype"/>
          <w:color w:val="000000"/>
        </w:rPr>
        <w:t xml:space="preserve"> Titular de la Unidad de Transparencia, dirigido al Director General de Administración, mediante el cual le solicitó formulara sus alegatos y manifestara lo que a sus intereses conviniera para integración del informe justificado. </w:t>
      </w:r>
    </w:p>
    <w:p w:rsidR="00AB7A8A" w:rsidRDefault="002A75F8">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“294-3979.pdf”: </w:t>
      </w:r>
      <w:r>
        <w:rPr>
          <w:rFonts w:ascii="Palatino Linotype" w:eastAsia="Palatino Linotype" w:hAnsi="Palatino Linotype" w:cs="Palatino Linotype"/>
          <w:color w:val="000000"/>
        </w:rPr>
        <w:t xml:space="preserve">Integrado por los siguientes documentos: </w:t>
      </w:r>
    </w:p>
    <w:p w:rsidR="00AB7A8A" w:rsidRDefault="002A75F8">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SA-UT/576/2021 del 16 de agosto de 2021, suscrito y signado por el Titular de la Unidad de Transparencia, dirigido al Comisario General de Seguridad Pública y Tránsito del Municipio de Cuautitlán Izcalli, en el que solicitó que manifestara lo que a sus intereses conviniera para integración del informe justificado. </w:t>
      </w:r>
    </w:p>
    <w:p w:rsidR="00AB7A8A" w:rsidRDefault="002A75F8">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DGSPYT/509/2021 de fecha 20 de agosto de 2021, suscrito y signado por el Comisario General de Seguridad Pública y Tránsito, dirigido al Titular de la Unidad de Transparencia, que en su parte sustantiva señala: </w:t>
      </w:r>
    </w:p>
    <w:p w:rsidR="00AB7A8A" w:rsidRDefault="002A75F8">
      <w:pPr>
        <w:widowControl w:val="0"/>
        <w:pBdr>
          <w:top w:val="nil"/>
          <w:left w:val="nil"/>
          <w:bottom w:val="nil"/>
          <w:right w:val="nil"/>
          <w:between w:val="nil"/>
        </w:pBdr>
        <w:spacing w:line="360" w:lineRule="auto"/>
        <w:ind w:left="144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4617720" cy="203454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617720" cy="2034540"/>
                    </a:xfrm>
                    <a:prstGeom prst="rect">
                      <a:avLst/>
                    </a:prstGeom>
                    <a:ln/>
                  </pic:spPr>
                </pic:pic>
              </a:graphicData>
            </a:graphic>
          </wp:inline>
        </w:drawing>
      </w:r>
    </w:p>
    <w:p w:rsidR="00AB7A8A" w:rsidRDefault="002A75F8">
      <w:pPr>
        <w:widowControl w:val="0"/>
        <w:pBdr>
          <w:top w:val="nil"/>
          <w:left w:val="nil"/>
          <w:bottom w:val="nil"/>
          <w:right w:val="nil"/>
          <w:between w:val="nil"/>
        </w:pBdr>
        <w:spacing w:line="360" w:lineRule="auto"/>
        <w:ind w:left="144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548034" cy="5398882"/>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4548034" cy="5398882"/>
                    </a:xfrm>
                    <a:prstGeom prst="rect">
                      <a:avLst/>
                    </a:prstGeom>
                    <a:ln/>
                  </pic:spPr>
                </pic:pic>
              </a:graphicData>
            </a:graphic>
          </wp:inline>
        </w:drawing>
      </w:r>
    </w:p>
    <w:p w:rsidR="00AB7A8A" w:rsidRDefault="002A75F8">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R10/59/2021 de fecha 17 de agosto de 2021 suscrito y signado por la Décima Regidora del Ayuntamiento de Cuautitlán Izcalli mediante el cual designó al servidor público que en su representación asistió a la Trigésima Octava Sesión Extraordinaria del Comité de Transparencia de Cuautitlán Izcalli celebrada el 04 de febrero de 2021. </w:t>
      </w:r>
    </w:p>
    <w:p w:rsidR="00AB7A8A" w:rsidRDefault="002A75F8">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 “ACUERDO 030CUAUTIZC.pdf”: </w:t>
      </w:r>
      <w:r>
        <w:rPr>
          <w:rFonts w:ascii="Palatino Linotype" w:eastAsia="Palatino Linotype" w:hAnsi="Palatino Linotype" w:cs="Palatino Linotype"/>
          <w:color w:val="000000"/>
        </w:rPr>
        <w:t xml:space="preserve">Acuerdo del Comité de Transparencia número 030/CUAUTIZC/CT/SA/2019; en el que clasificó como información </w:t>
      </w:r>
      <w:r>
        <w:rPr>
          <w:rFonts w:ascii="Palatino Linotype" w:eastAsia="Palatino Linotype" w:hAnsi="Palatino Linotype" w:cs="Palatino Linotype"/>
          <w:color w:val="000000"/>
        </w:rPr>
        <w:lastRenderedPageBreak/>
        <w:t xml:space="preserve">reservada los bienes muebles que se encuentran bajo resguardo de la Comisaría General Seguridad Pública y Tránsito Municipal de Cuautitlán Izcalli. </w:t>
      </w:r>
    </w:p>
    <w:p w:rsidR="00AB7A8A" w:rsidRDefault="002A75F8">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“ACUERDO RESERVA 042 comisaria </w:t>
      </w:r>
      <w:proofErr w:type="spellStart"/>
      <w:r>
        <w:rPr>
          <w:rFonts w:ascii="Palatino Linotype" w:eastAsia="Palatino Linotype" w:hAnsi="Palatino Linotype" w:cs="Palatino Linotype"/>
          <w:b/>
          <w:i/>
          <w:color w:val="000000"/>
        </w:rPr>
        <w:t>edo</w:t>
      </w:r>
      <w:proofErr w:type="spellEnd"/>
      <w:r>
        <w:rPr>
          <w:rFonts w:ascii="Palatino Linotype" w:eastAsia="Palatino Linotype" w:hAnsi="Palatino Linotype" w:cs="Palatino Linotype"/>
          <w:b/>
          <w:i/>
          <w:color w:val="000000"/>
        </w:rPr>
        <w:t xml:space="preserve"> de fuerza y patrullas”: </w:t>
      </w:r>
      <w:r>
        <w:rPr>
          <w:rFonts w:ascii="Palatino Linotype" w:eastAsia="Palatino Linotype" w:hAnsi="Palatino Linotype" w:cs="Palatino Linotype"/>
          <w:color w:val="000000"/>
        </w:rPr>
        <w:t xml:space="preserve">Acuerdo del Comité de Transparencia número NO:042/CUAUTIZC/CT/CGSPT/2021, mediante el cual, el Comité de Transparencia aprobó la clasificación de la información con carácter de </w:t>
      </w:r>
      <w:r>
        <w:rPr>
          <w:rFonts w:ascii="Palatino Linotype" w:eastAsia="Palatino Linotype" w:hAnsi="Palatino Linotype" w:cs="Palatino Linotype"/>
          <w:b/>
          <w:color w:val="000000"/>
        </w:rPr>
        <w:t xml:space="preserve">RESERVADA </w:t>
      </w:r>
      <w:r>
        <w:rPr>
          <w:rFonts w:ascii="Palatino Linotype" w:eastAsia="Palatino Linotype" w:hAnsi="Palatino Linotype" w:cs="Palatino Linotype"/>
          <w:color w:val="000000"/>
        </w:rPr>
        <w:t>consistente en el número de vehículos automotores (patrulla, moto patrullas, y demás vehículos adscritos a la Comisaría General de Seguridad Pública y Tránsito Municipal); así como la marca, modelo, año y equipamiento de las unidades móviles, número de elementos operativos (policías) activos que integran la Comisaria General de Seguridad Pública y Tránsito Municipal, asignados a  las áreas de Seguridad Pública, Servicios Facultativos y Tránsito, así como la fecha de los mismos y el número de policías que cuentan con el certificado único policial.</w:t>
      </w:r>
    </w:p>
    <w:p w:rsidR="00AB7A8A" w:rsidRDefault="002A75F8">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“294-21.pdf”: </w:t>
      </w:r>
      <w:r>
        <w:rPr>
          <w:rFonts w:ascii="Palatino Linotype" w:eastAsia="Palatino Linotype" w:hAnsi="Palatino Linotype" w:cs="Palatino Linotype"/>
          <w:color w:val="000000"/>
        </w:rPr>
        <w:t xml:space="preserve">Archivo electrónico que contiene los siguientes documentos: </w:t>
      </w:r>
    </w:p>
    <w:p w:rsidR="00AB7A8A" w:rsidRDefault="002A75F8">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SA-UT/578/2021 del 16 de agosto de 2021, suscrito y signado por el Titular de la Unidad de Transparencia, dirigido al Secretario del Ayuntamiento, en el que solicitó que manifestara lo que a sus intereses conviniera para integración del informe justificado. </w:t>
      </w:r>
    </w:p>
    <w:p w:rsidR="00AB7A8A" w:rsidRDefault="002A75F8">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SA/4154/2021 de fecha 20 de agosto de 2021, suscrito y signado por el Secretario del Ayuntamiento, que en lo medular señala: </w:t>
      </w:r>
    </w:p>
    <w:p w:rsidR="00AB7A8A" w:rsidRDefault="002A75F8">
      <w:pPr>
        <w:widowControl w:val="0"/>
        <w:pBdr>
          <w:top w:val="nil"/>
          <w:left w:val="nil"/>
          <w:bottom w:val="nil"/>
          <w:right w:val="nil"/>
          <w:between w:val="nil"/>
        </w:pBdr>
        <w:spacing w:line="360" w:lineRule="auto"/>
        <w:ind w:left="144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686300" cy="4701540"/>
            <wp:effectExtent l="0" t="0" r="0" b="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4686300" cy="4701540"/>
                    </a:xfrm>
                    <a:prstGeom prst="rect">
                      <a:avLst/>
                    </a:prstGeom>
                    <a:ln/>
                  </pic:spPr>
                </pic:pic>
              </a:graphicData>
            </a:graphic>
          </wp:inline>
        </w:drawing>
      </w:r>
    </w:p>
    <w:p w:rsidR="00AB7A8A" w:rsidRDefault="002A75F8">
      <w:pPr>
        <w:widowControl w:val="0"/>
        <w:pBdr>
          <w:top w:val="nil"/>
          <w:left w:val="nil"/>
          <w:bottom w:val="nil"/>
          <w:right w:val="nil"/>
          <w:between w:val="nil"/>
        </w:pBdr>
        <w:spacing w:line="360" w:lineRule="auto"/>
        <w:ind w:left="144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671060" cy="5264150"/>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671060" cy="5264150"/>
                    </a:xfrm>
                    <a:prstGeom prst="rect">
                      <a:avLst/>
                    </a:prstGeom>
                    <a:ln/>
                  </pic:spPr>
                </pic:pic>
              </a:graphicData>
            </a:graphic>
          </wp:inline>
        </w:drawing>
      </w:r>
    </w:p>
    <w:p w:rsidR="00AB7A8A" w:rsidRDefault="002A75F8">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CM/1632/2019 de fecha 28 de noviembre de 2019, suscrito y signado por el Contralor Interno Municipal, dirigido al Titular de la Unidad de Transparencia en el que le informa el nombre del servidor público que facultó para que participara como suplente durante la celebración de la Vigésima Sesión Extraordinaria de Comité de Transparencia, celebrada el 29 de noviembre de 2019. </w:t>
      </w:r>
    </w:p>
    <w:p w:rsidR="00AB7A8A" w:rsidRDefault="002A75F8">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Acuerdo del Comité de Transparencia número NO. </w:t>
      </w:r>
      <w:r>
        <w:rPr>
          <w:rFonts w:ascii="Palatino Linotype" w:eastAsia="Palatino Linotype" w:hAnsi="Palatino Linotype" w:cs="Palatino Linotype"/>
          <w:color w:val="000000"/>
        </w:rPr>
        <w:lastRenderedPageBreak/>
        <w:t>042/CUAUTIZC/CT/CGSPT/2021.</w:t>
      </w:r>
    </w:p>
    <w:p w:rsidR="00AB7A8A" w:rsidRDefault="002A75F8">
      <w:pPr>
        <w:widowControl w:val="0"/>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Acuerdo  del Comité de Transparencia número 030/CUAUTIZC/CT/SA/2019. </w:t>
      </w:r>
    </w:p>
    <w:p w:rsidR="00AB7A8A" w:rsidRDefault="002A75F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ni formuló alegatos y tampoco ofreció medios de prueba. </w:t>
      </w:r>
    </w:p>
    <w:p w:rsidR="00AB7A8A" w:rsidRDefault="002A75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7. Returno.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veintitrés de agosto de dos mil veintiuno, </w:t>
      </w:r>
      <w:r>
        <w:rPr>
          <w:rFonts w:ascii="Palatino Linotype" w:eastAsia="Palatino Linotype" w:hAnsi="Palatino Linotype" w:cs="Palatino Linotype"/>
        </w:rPr>
        <w:t xml:space="preserve">en la Segunda Sesión Extraordinaria, el Pleno del Instituto aprobó el </w:t>
      </w:r>
      <w:proofErr w:type="spellStart"/>
      <w:r>
        <w:rPr>
          <w:rFonts w:ascii="Palatino Linotype" w:eastAsia="Palatino Linotype" w:hAnsi="Palatino Linotype" w:cs="Palatino Linotype"/>
        </w:rPr>
        <w:t>returno</w:t>
      </w:r>
      <w:proofErr w:type="spellEnd"/>
      <w:r>
        <w:rPr>
          <w:rFonts w:ascii="Palatino Linotype" w:eastAsia="Palatino Linotype" w:hAnsi="Palatino Linotype" w:cs="Palatino Linotype"/>
        </w:rPr>
        <w:t xml:space="preserve"> del recurso de revisión al rubro indicado a la Ponencia de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para su estudio y resolución.</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veinte de septiembre de dos mil veintiuno</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rsidR="00AB7A8A" w:rsidRDefault="002A75F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catorce de diciembre de dos mil veintiuno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AB7A8A" w:rsidRDefault="002A75F8">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B7A8A" w:rsidRDefault="002A75F8">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nueve de agosto de dos mil veintiuno,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diez de agosto de dos mil veintiuno</w:t>
      </w:r>
      <w:r>
        <w:rPr>
          <w:rFonts w:ascii="Palatino Linotype" w:eastAsia="Palatino Linotype" w:hAnsi="Palatino Linotype" w:cs="Palatino Linotype"/>
        </w:rPr>
        <w:t>, esto es, el primer día hábil posterior en que tuvo conocimiento de la respuesta impugnada.</w:t>
      </w:r>
    </w:p>
    <w:p w:rsidR="00AB7A8A" w:rsidRDefault="002A75F8">
      <w:p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Pr>
          <w:rFonts w:ascii="Palatino Linotype" w:eastAsia="Palatino Linotype" w:hAnsi="Palatino Linotype" w:cs="Palatino Linotype"/>
          <w:b/>
          <w:color w:val="000000"/>
        </w:rPr>
        <w:t xml:space="preserve">no proporciona su nombre completo para que sea </w:t>
      </w:r>
      <w:r>
        <w:rPr>
          <w:rFonts w:ascii="Palatino Linotype" w:eastAsia="Palatino Linotype" w:hAnsi="Palatino Linotype" w:cs="Palatino Linotype"/>
          <w:b/>
          <w:color w:val="000000"/>
          <w:u w:val="single"/>
        </w:rPr>
        <w:t>identificado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así, ya que de conformidad con los artículos 6, Apartado A, fracciones III y IV de la Constitución Política de los Estados Unidos Mexicanos y 5 párrafos </w:t>
      </w:r>
      <w:r>
        <w:rPr>
          <w:rFonts w:ascii="Palatino Linotype" w:eastAsia="Palatino Linotype" w:hAnsi="Palatino Linotype" w:cs="Palatino Linotype"/>
          <w:color w:val="222222"/>
        </w:rPr>
        <w:t xml:space="preserve">vigésimo, vigésimo primero y vigésimo segundo </w:t>
      </w:r>
      <w:r>
        <w:rPr>
          <w:rFonts w:ascii="Palatino Linotype" w:eastAsia="Palatino Linotype" w:hAnsi="Palatino Linotype" w:cs="Palatino Linotype"/>
          <w:color w:val="000000"/>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w:t>
      </w:r>
      <w:r>
        <w:rPr>
          <w:rFonts w:ascii="Palatino Linotype" w:eastAsia="Palatino Linotype" w:hAnsi="Palatino Linotype" w:cs="Palatino Linotype"/>
          <w:color w:val="000000"/>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AB7A8A" w:rsidRDefault="00AB7A8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Pr>
          <w:rFonts w:ascii="Palatino Linotype" w:eastAsia="Palatino Linotype" w:hAnsi="Palatino Linotype" w:cs="Palatino Linotype"/>
          <w:b/>
          <w:color w:val="000000"/>
        </w:rPr>
        <w:t xml:space="preserve">no proporciona su nombre completo para que sea </w:t>
      </w:r>
      <w:r>
        <w:rPr>
          <w:rFonts w:ascii="Palatino Linotype" w:eastAsia="Palatino Linotype" w:hAnsi="Palatino Linotype" w:cs="Palatino Linotype"/>
          <w:b/>
          <w:color w:val="000000"/>
          <w:u w:val="single"/>
        </w:rPr>
        <w:t>identificado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así, ya que de conformidad con los artículos 6, Apartado A, fracciones III y IV de la Constitución Política de los Estados Unidos Mexicanos y 5 párrafos </w:t>
      </w:r>
      <w:r>
        <w:rPr>
          <w:rFonts w:ascii="Palatino Linotype" w:eastAsia="Palatino Linotype" w:hAnsi="Palatino Linotype" w:cs="Palatino Linotype"/>
          <w:color w:val="222222"/>
        </w:rPr>
        <w:t xml:space="preserve">vigésimo, vigésimo primero y vigésimo segundo </w:t>
      </w:r>
      <w:r>
        <w:rPr>
          <w:rFonts w:ascii="Palatino Linotype" w:eastAsia="Palatino Linotype" w:hAnsi="Palatino Linotype" w:cs="Palatino Linotype"/>
          <w:color w:val="000000"/>
        </w:rPr>
        <w:t xml:space="preserve">fracciones IV y V de la Constitución Política del Estado Libre y Soberano de México, se establece que toda persona, sin necesidad de acreditar interés alguno o justificar su utilización, tendrá </w:t>
      </w:r>
      <w:r>
        <w:rPr>
          <w:rFonts w:ascii="Palatino Linotype" w:eastAsia="Palatino Linotype" w:hAnsi="Palatino Linotype" w:cs="Palatino Linotype"/>
          <w:color w:val="000000"/>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el nombre del </w:t>
      </w:r>
      <w:r>
        <w:rPr>
          <w:rFonts w:ascii="Palatino Linotype" w:eastAsia="Palatino Linotype" w:hAnsi="Palatino Linotype" w:cs="Palatino Linotype"/>
        </w:rPr>
        <w:t>solicitante</w:t>
      </w:r>
      <w:r>
        <w:rPr>
          <w:rFonts w:ascii="Palatino Linotype" w:eastAsia="Palatino Linotype" w:hAnsi="Palatino Linotype" w:cs="Palatino Linotype"/>
          <w:color w:val="000000"/>
        </w:rPr>
        <w:t xml:space="preserve"> y recurrente no puede ser considerado un requisito indispensable de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que nos ocupa, ya que el acceso a la información no está condicionado a acreditar algún interés ya sea jurídico o legítimo, máxime que es un elemento subsanable por este Instituto.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fracciones I y XIII del ordenamiento legal citado, que a la letra dice: </w:t>
      </w:r>
    </w:p>
    <w:p w:rsidR="00AB7A8A" w:rsidRDefault="002A75F8">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AB7A8A" w:rsidRDefault="002A75F8">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B7A8A" w:rsidRDefault="002A75F8">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La negativa a la información solicitada;</w:t>
      </w:r>
    </w:p>
    <w:p w:rsidR="00AB7A8A" w:rsidRDefault="002A75F8">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B7A8A" w:rsidRDefault="002A75F8">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XIII. </w:t>
      </w:r>
      <w:r>
        <w:rPr>
          <w:rFonts w:ascii="Palatino Linotype" w:eastAsia="Palatino Linotype" w:hAnsi="Palatino Linotype" w:cs="Palatino Linotype"/>
          <w:i/>
          <w:sz w:val="22"/>
          <w:szCs w:val="22"/>
        </w:rPr>
        <w:t>La falta, deficiencia o insuficiencia de la fundamentación y/o motivación de la respuesta;</w:t>
      </w:r>
    </w:p>
    <w:p w:rsidR="00AB7A8A" w:rsidRDefault="002A75F8">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B7A8A" w:rsidRDefault="002A75F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AB7A8A" w:rsidRDefault="002A75F8">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Es menester precisar que este </w:t>
      </w:r>
      <w:r>
        <w:rPr>
          <w:rFonts w:ascii="Palatino Linotype" w:eastAsia="Palatino Linotype" w:hAnsi="Palatino Linotype" w:cs="Palatino Linotype"/>
          <w:color w:val="000000"/>
        </w:rPr>
        <w:t xml:space="preserve">Órgano Garante parte de que el Derecho de Acceso a la Información Pública, es un derecho humano </w:t>
      </w:r>
      <w:r>
        <w:rPr>
          <w:rFonts w:ascii="Palatino Linotype" w:eastAsia="Palatino Linotype" w:hAnsi="Palatino Linotype" w:cs="Palatino Linotype"/>
          <w:color w:val="000000"/>
        </w:rPr>
        <w:lastRenderedPageBreak/>
        <w:t xml:space="preserve">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ser cuidadoso del debido cumplimiento de las obligaciones constitucionales que se le imponen, que de acuerdo a lo dispuesto en el tercer párrafo del artículo primero de la </w:t>
      </w:r>
      <w:r>
        <w:rPr>
          <w:rFonts w:ascii="Palatino Linotype" w:eastAsia="Palatino Linotype" w:hAnsi="Palatino Linotype" w:cs="Palatino Linotype"/>
          <w:b/>
          <w:color w:val="000000"/>
        </w:rPr>
        <w:t xml:space="preserve">Constitución Política de los Estados Unidos Mexicanos </w:t>
      </w:r>
      <w:r>
        <w:rPr>
          <w:rFonts w:ascii="Palatino Linotype" w:eastAsia="Palatino Linotype" w:hAnsi="Palatino Linotype" w:cs="Palatino Linotype"/>
          <w:color w:val="000000"/>
        </w:rPr>
        <w:t xml:space="preserve">tiene el deber de  “promover, </w:t>
      </w:r>
      <w:r>
        <w:rPr>
          <w:rFonts w:ascii="Palatino Linotype" w:eastAsia="Palatino Linotype" w:hAnsi="Palatino Linotype" w:cs="Palatino Linotype"/>
          <w:b/>
          <w:color w:val="000000"/>
        </w:rPr>
        <w:t>respetar</w:t>
      </w:r>
      <w:r>
        <w:rPr>
          <w:rFonts w:ascii="Palatino Linotype" w:eastAsia="Palatino Linotype" w:hAnsi="Palatino Linotype" w:cs="Palatino Linotype"/>
          <w:color w:val="000000"/>
        </w:rPr>
        <w:t xml:space="preserve">, proteger y </w:t>
      </w:r>
      <w:r>
        <w:rPr>
          <w:rFonts w:ascii="Palatino Linotype" w:eastAsia="Palatino Linotype" w:hAnsi="Palatino Linotype" w:cs="Palatino Linotype"/>
          <w:b/>
          <w:color w:val="000000"/>
        </w:rPr>
        <w:t>garantizar</w:t>
      </w:r>
      <w:r>
        <w:rPr>
          <w:rFonts w:ascii="Palatino Linotype" w:eastAsia="Palatino Linotype" w:hAnsi="Palatino Linotype" w:cs="Palatino Linotype"/>
          <w:color w:val="000000"/>
        </w:rPr>
        <w:t xml:space="preserve"> los derechos humanos”, entre los cuales se encuentra ese derecho. </w:t>
      </w:r>
    </w:p>
    <w:p w:rsidR="00AB7A8A" w:rsidRDefault="00AB7A8A">
      <w:pPr>
        <w:spacing w:line="360" w:lineRule="auto"/>
        <w:jc w:val="both"/>
        <w:rPr>
          <w:rFonts w:ascii="Palatino Linotype" w:eastAsia="Palatino Linotype" w:hAnsi="Palatino Linotype" w:cs="Palatino Linotype"/>
        </w:rPr>
      </w:pP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constitucionalmente reconocido y, por lo tanto, todas las autoridades en el ámbito de sus competencias, funciones y atribuciones tienen la obligación de respetarlo, protegerlo y garantizarlo.</w:t>
      </w:r>
    </w:p>
    <w:p w:rsidR="00AB7A8A" w:rsidRDefault="00AB7A8A">
      <w:pPr>
        <w:spacing w:line="360" w:lineRule="auto"/>
        <w:jc w:val="both"/>
        <w:rPr>
          <w:rFonts w:ascii="Palatino Linotype" w:eastAsia="Palatino Linotype" w:hAnsi="Palatino Linotype" w:cs="Palatino Linotype"/>
        </w:rPr>
      </w:pPr>
    </w:p>
    <w:p w:rsidR="00AB7A8A" w:rsidRDefault="002A75F8">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Asimismo, el artículo primero Constitucional dispone de manera clara  y precisa que, como consecuencia de la obligación que tienen las autoridades de promover, respetar, proteger y garantizar el derecho humano; el Estado deberá </w:t>
      </w:r>
      <w:r>
        <w:rPr>
          <w:rFonts w:ascii="Palatino Linotype" w:eastAsia="Palatino Linotype" w:hAnsi="Palatino Linotype" w:cs="Palatino Linotype"/>
          <w:u w:val="single"/>
        </w:rPr>
        <w:t>prevenir, investigar, sancionar y reparar las violaciones a los derechos humanos</w:t>
      </w:r>
      <w:r>
        <w:rPr>
          <w:rFonts w:ascii="Palatino Linotype" w:eastAsia="Palatino Linotype" w:hAnsi="Palatino Linotype" w:cs="Palatino Linotype"/>
        </w:rPr>
        <w:t xml:space="preserve">. </w:t>
      </w:r>
    </w:p>
    <w:p w:rsidR="00AB7A8A" w:rsidRDefault="00AB7A8A">
      <w:pPr>
        <w:spacing w:line="360" w:lineRule="auto"/>
        <w:ind w:left="360"/>
        <w:jc w:val="both"/>
        <w:rPr>
          <w:rFonts w:ascii="Palatino Linotype" w:eastAsia="Palatino Linotype" w:hAnsi="Palatino Linotype" w:cs="Palatino Linotype"/>
        </w:rPr>
      </w:pP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establece principios, bases generales y procedimientos para tutelar y garantizar la transparencia y el derecho humano de acceso a la información pública en posesión de los sujetos obligados; y para tal </w:t>
      </w:r>
      <w:r>
        <w:rPr>
          <w:rFonts w:ascii="Palatino Linotype" w:eastAsia="Palatino Linotype" w:hAnsi="Palatino Linotype" w:cs="Palatino Linotype"/>
        </w:rPr>
        <w:lastRenderedPageBreak/>
        <w:t>efecto, el artículo 176</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establece que </w:t>
      </w:r>
      <w:r>
        <w:rPr>
          <w:rFonts w:ascii="Palatino Linotype" w:eastAsia="Palatino Linotype" w:hAnsi="Palatino Linotype" w:cs="Palatino Linotype"/>
          <w:b/>
          <w:i/>
          <w:u w:val="single"/>
        </w:rPr>
        <w:t>el recurso de revisión es la garantía secundaria</w:t>
      </w:r>
      <w:r>
        <w:rPr>
          <w:rFonts w:ascii="Palatino Linotype" w:eastAsia="Palatino Linotype" w:hAnsi="Palatino Linotype" w:cs="Palatino Linotype"/>
          <w:b/>
          <w:i/>
        </w:rPr>
        <w:t xml:space="preserve"> mediante la cual se pretende reparar cualquier posible afectación al derecho de acceso a la información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siendo el medio para que este Órgano Garante después de realizar el análisis al procedimiento de acceso a la información, determine la posible afectación y de ser el caso ordene la reparación del derecho en cuestión.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rsidR="00AB7A8A" w:rsidRDefault="002A75F8">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B7A8A" w:rsidRDefault="002A75F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B7A8A" w:rsidRDefault="002A75F8">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AB7A8A" w:rsidRDefault="00AB7A8A">
      <w:pPr>
        <w:ind w:left="709" w:right="760"/>
        <w:jc w:val="both"/>
        <w:rPr>
          <w:rFonts w:ascii="Palatino Linotype" w:eastAsia="Palatino Linotype" w:hAnsi="Palatino Linotype" w:cs="Palatino Linotype"/>
          <w:i/>
        </w:rPr>
      </w:pP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AB7A8A" w:rsidRDefault="002A75F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B7A8A" w:rsidRDefault="002A75F8">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AB7A8A" w:rsidRDefault="00AB7A8A">
      <w:pPr>
        <w:spacing w:line="360" w:lineRule="auto"/>
        <w:ind w:right="-93"/>
        <w:jc w:val="both"/>
        <w:rPr>
          <w:rFonts w:ascii="Palatino Linotype" w:eastAsia="Palatino Linotype" w:hAnsi="Palatino Linotype" w:cs="Palatino Linotype"/>
          <w:color w:val="000000"/>
        </w:rPr>
      </w:pP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B7A8A" w:rsidRDefault="00AB7A8A">
      <w:pPr>
        <w:spacing w:line="360" w:lineRule="auto"/>
        <w:ind w:right="49"/>
        <w:jc w:val="both"/>
        <w:rPr>
          <w:rFonts w:ascii="Palatino Linotype" w:eastAsia="Palatino Linotype" w:hAnsi="Palatino Linotype" w:cs="Palatino Linotype"/>
        </w:rPr>
      </w:pP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B7A8A" w:rsidRDefault="00AB7A8A">
      <w:pPr>
        <w:ind w:left="851" w:right="899"/>
        <w:jc w:val="both"/>
        <w:rPr>
          <w:rFonts w:ascii="Palatino Linotype" w:eastAsia="Palatino Linotype" w:hAnsi="Palatino Linotype" w:cs="Palatino Linotype"/>
          <w:i/>
          <w:sz w:val="22"/>
          <w:szCs w:val="22"/>
        </w:rPr>
      </w:pPr>
    </w:p>
    <w:p w:rsidR="00AB7A8A" w:rsidRDefault="002A75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AB7A8A" w:rsidRDefault="002A75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B7A8A" w:rsidRDefault="002A75F8">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B7A8A" w:rsidRDefault="00AB7A8A">
      <w:pPr>
        <w:ind w:left="851" w:right="899"/>
        <w:jc w:val="both"/>
        <w:rPr>
          <w:rFonts w:ascii="Palatino Linotype" w:eastAsia="Palatino Linotype" w:hAnsi="Palatino Linotype" w:cs="Palatino Linotype"/>
          <w:sz w:val="22"/>
          <w:szCs w:val="22"/>
        </w:rPr>
      </w:pP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B7A8A" w:rsidRDefault="00AB7A8A">
      <w:pPr>
        <w:ind w:left="851" w:right="899"/>
        <w:jc w:val="both"/>
        <w:rPr>
          <w:rFonts w:ascii="Palatino Linotype" w:eastAsia="Palatino Linotype" w:hAnsi="Palatino Linotype" w:cs="Palatino Linotype"/>
        </w:rPr>
      </w:pPr>
    </w:p>
    <w:p w:rsidR="00AB7A8A" w:rsidRDefault="002A75F8">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AB7A8A" w:rsidRDefault="002A75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B7A8A" w:rsidRDefault="002A75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B7A8A" w:rsidRDefault="002A75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AB7A8A" w:rsidRDefault="002A75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AB7A8A" w:rsidRDefault="002A75F8">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AB7A8A" w:rsidRDefault="00AB7A8A">
      <w:pPr>
        <w:spacing w:line="360" w:lineRule="auto"/>
        <w:jc w:val="both"/>
        <w:rPr>
          <w:rFonts w:ascii="Palatino Linotype" w:eastAsia="Palatino Linotype" w:hAnsi="Palatino Linotype" w:cs="Palatino Linotype"/>
        </w:rPr>
      </w:pPr>
    </w:p>
    <w:p w:rsidR="00AB7A8A" w:rsidRDefault="002A75F8">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uno de los principios en materia de Transparencia y Acceso a la Información Pública, consiste en que en la entrega de la información deberá garantizar que sea </w:t>
      </w:r>
      <w:r>
        <w:rPr>
          <w:rFonts w:ascii="Palatino Linotype" w:eastAsia="Palatino Linotype" w:hAnsi="Palatino Linotype" w:cs="Palatino Linotype"/>
          <w:u w:val="single"/>
        </w:rPr>
        <w:t>completa</w:t>
      </w:r>
      <w:r>
        <w:rPr>
          <w:rFonts w:ascii="Palatino Linotype" w:eastAsia="Palatino Linotype" w:hAnsi="Palatino Linotype" w:cs="Palatino Linotype"/>
        </w:rPr>
        <w:t>, tal como lo estipula el artículo 11 de la Ley en la materia que en su texto literal refiere:</w:t>
      </w:r>
    </w:p>
    <w:p w:rsidR="00AB7A8A" w:rsidRDefault="00AB7A8A">
      <w:pPr>
        <w:spacing w:line="360" w:lineRule="auto"/>
        <w:ind w:right="141"/>
        <w:jc w:val="both"/>
        <w:rPr>
          <w:rFonts w:ascii="Palatino Linotype" w:eastAsia="Palatino Linotype" w:hAnsi="Palatino Linotype" w:cs="Palatino Linotype"/>
        </w:rPr>
      </w:pP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 la generación, publicación y entrega de información se deberá</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garantizar que ésta</w:t>
      </w:r>
      <w:r>
        <w:rPr>
          <w:rFonts w:ascii="Palatino Linotype" w:eastAsia="Palatino Linotype" w:hAnsi="Palatino Linotype" w:cs="Palatino Linotype"/>
          <w:i/>
          <w:sz w:val="22"/>
          <w:szCs w:val="22"/>
        </w:rPr>
        <w:t xml:space="preserve"> sea accesible, actualizada, </w:t>
      </w:r>
      <w:r>
        <w:rPr>
          <w:rFonts w:ascii="Palatino Linotype" w:eastAsia="Palatino Linotype" w:hAnsi="Palatino Linotype" w:cs="Palatino Linotype"/>
          <w:b/>
          <w:i/>
          <w:sz w:val="22"/>
          <w:szCs w:val="22"/>
          <w:u w:val="single"/>
        </w:rPr>
        <w:t>completa,</w:t>
      </w:r>
      <w:r>
        <w:rPr>
          <w:rFonts w:ascii="Palatino Linotype" w:eastAsia="Palatino Linotype" w:hAnsi="Palatino Linotype" w:cs="Palatino Linotype"/>
          <w:i/>
          <w:sz w:val="22"/>
          <w:szCs w:val="22"/>
        </w:rPr>
        <w:t xml:space="preserve">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B7A8A" w:rsidRDefault="002A75F8">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análisis en el presente asunto consiste en determinar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momento de atender la solicitud de información, está es completa para satisfacer el derecho de acceso a la información pública del particular; para tal efecto, es necesario reiterar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solicitó la siguiente información: </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Estado de fuerza de policías adscritos a seguridad pública; </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Estado de fuerza de policías adscritos a tránsito municipal;</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Número de patrullas de seguridad pública; </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Número de patrullas de tránsito municipal</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Número de motocicletas de ambas direcciones; </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Organigrama de la Comisaria y/o Dirección de Seguridad Pública y </w:t>
      </w:r>
      <w:r>
        <w:rPr>
          <w:rFonts w:ascii="Palatino Linotype" w:eastAsia="Palatino Linotype" w:hAnsi="Palatino Linotype" w:cs="Palatino Linotype"/>
        </w:rPr>
        <w:t>Tránsito</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Sueldos de mandos medios y funcionarios de la Comisaria de Seguridad Pública y Tránsito, en general de los cargos que aparezcan en el organigrama;</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Reglamento Interno de dicha dependencia; </w:t>
      </w:r>
    </w:p>
    <w:p w:rsidR="00AB7A8A" w:rsidRDefault="002A75F8">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Número de elementos que laboran en C4 y sus sueldos; y,</w:t>
      </w:r>
    </w:p>
    <w:p w:rsidR="00AB7A8A" w:rsidRDefault="002A75F8">
      <w:pPr>
        <w:numPr>
          <w:ilvl w:val="0"/>
          <w:numId w:val="6"/>
        </w:num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Especificar si las unidades son propiedad del Ayuntamiento o arrendadas.</w:t>
      </w:r>
    </w:p>
    <w:p w:rsidR="00AB7A8A" w:rsidRDefault="002A75F8">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manifestó que en relación a los puntos 1, 2, 3, 4, 5 y 9 el Comité de Transparencia aprobó la clasificación de </w:t>
      </w:r>
      <w:r>
        <w:rPr>
          <w:rFonts w:ascii="Palatino Linotype" w:eastAsia="Palatino Linotype" w:hAnsi="Palatino Linotype" w:cs="Palatino Linotype"/>
        </w:rPr>
        <w:lastRenderedPageBreak/>
        <w:t xml:space="preserve">información como reservada, mediante el acuerdo 042/CUAUTIZC/CT/CGSPT/2021, de fecha 04 de febrero de 2021. </w:t>
      </w:r>
    </w:p>
    <w:p w:rsidR="00AB7A8A" w:rsidRDefault="00AB7A8A">
      <w:pPr>
        <w:spacing w:line="360" w:lineRule="auto"/>
        <w:ind w:right="141"/>
        <w:jc w:val="both"/>
        <w:rPr>
          <w:rFonts w:ascii="Palatino Linotype" w:eastAsia="Palatino Linotype" w:hAnsi="Palatino Linotype" w:cs="Palatino Linotype"/>
        </w:rPr>
      </w:pPr>
    </w:p>
    <w:p w:rsidR="00AB7A8A" w:rsidRDefault="002A75F8">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a la información requerida en el numeral 6,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el </w:t>
      </w:r>
      <w:r>
        <w:rPr>
          <w:rFonts w:ascii="Palatino Linotype" w:eastAsia="Palatino Linotype" w:hAnsi="Palatino Linotype" w:cs="Palatino Linotype"/>
          <w:b/>
          <w:u w:val="single"/>
        </w:rPr>
        <w:t>Organigrama de la Comisaría General de Seguridad Pública y Tránsito de Cuautitlán Izcalli</w:t>
      </w:r>
      <w:r>
        <w:rPr>
          <w:rFonts w:ascii="Palatino Linotype" w:eastAsia="Palatino Linotype" w:hAnsi="Palatino Linotype" w:cs="Palatino Linotype"/>
        </w:rPr>
        <w:t xml:space="preserve">. </w:t>
      </w:r>
    </w:p>
    <w:p w:rsidR="00AB7A8A" w:rsidRDefault="00AB7A8A">
      <w:pPr>
        <w:spacing w:line="360" w:lineRule="auto"/>
        <w:ind w:right="141"/>
        <w:jc w:val="both"/>
        <w:rPr>
          <w:rFonts w:ascii="Palatino Linotype" w:eastAsia="Palatino Linotype" w:hAnsi="Palatino Linotype" w:cs="Palatino Linotype"/>
        </w:rPr>
      </w:pPr>
    </w:p>
    <w:p w:rsidR="00AB7A8A" w:rsidRDefault="002A75F8">
      <w:pPr>
        <w:spacing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Asimismo, por cuanto hace a la documentación requerida en el numeral 7 “</w:t>
      </w:r>
      <w:r>
        <w:rPr>
          <w:rFonts w:ascii="Palatino Linotype" w:eastAsia="Palatino Linotype" w:hAnsi="Palatino Linotype" w:cs="Palatino Linotype"/>
          <w:i/>
        </w:rPr>
        <w:t xml:space="preserve">sueldos de los mandos medios y funcionarios de la Comisaría de Seguridad Pública y Tránsito, en general de los cargos que aparezca en el Organigrama de la Comisaría y/o Dirección de Seguridad Pública y Tránsito”,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proporcionó un listado que, contiene el número de empleado, nombre, área, puesto, sueldo, total de percepciones, total de deducciones y sueldo neto quincenal.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por cuanto hace al número de empleado, se advierte que su conformación no revela datos personales, aunado a que es un elemento que requiere de una contraseña para poder acceder a sistemas de datos, además de que al ser información analizada y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presume que la misma se encuentra dentro de estos supuestos y por tanto no reviste el carácter de confidencial, ya que por sí solo no permite el acceso a los datos personales de los servidores públicos.</w:t>
      </w:r>
    </w:p>
    <w:p w:rsidR="00AB7A8A" w:rsidRDefault="002A75F8">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highlight w:val="white"/>
        </w:rPr>
        <w:t xml:space="preserve">Sirve de apoyo a lo anterior por analogía, el criterio </w:t>
      </w:r>
      <w:r>
        <w:rPr>
          <w:rFonts w:ascii="Palatino Linotype" w:eastAsia="Palatino Linotype" w:hAnsi="Palatino Linotype" w:cs="Palatino Linotype"/>
          <w:b/>
          <w:color w:val="000000"/>
          <w:highlight w:val="white"/>
        </w:rPr>
        <w:t>06/19</w:t>
      </w:r>
      <w:r>
        <w:rPr>
          <w:rFonts w:ascii="Palatino Linotype" w:eastAsia="Palatino Linotype" w:hAnsi="Palatino Linotype" w:cs="Palatino Linotype"/>
          <w:color w:val="000000"/>
          <w:highlight w:val="white"/>
        </w:rPr>
        <w:t xml:space="preserve"> emitido por el Pleno del Instituto Nacional de Transparencia, Acceso a la Información y Protección de Datos Personales que a continuación se cita: </w:t>
      </w:r>
    </w:p>
    <w:p w:rsidR="00AB7A8A" w:rsidRDefault="002A75F8">
      <w:pPr>
        <w:spacing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“Número de empleado</w:t>
      </w:r>
      <w:r>
        <w:rPr>
          <w:rFonts w:ascii="Palatino Linotype" w:eastAsia="Palatino Linotype" w:hAnsi="Palatino Linotype" w:cs="Palatino Linotype"/>
          <w:i/>
          <w:sz w:val="22"/>
          <w:szCs w:val="22"/>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p>
    <w:p w:rsidR="00AB7A8A" w:rsidRDefault="002A75F8">
      <w:pPr>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rsidR="00AB7A8A" w:rsidRDefault="002A75F8">
      <w:pPr>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RRA 2541/17. Lotería Nacional para la Asistencia Pública. 14 de junio de 2017. Por unanimidad, con voto particular de los Comisionados Areli Cano Guadiana y Oscar Mauricio Guerra Ford. Comisionado Ponente Joel Salas Suárez.</w:t>
      </w:r>
    </w:p>
    <w:p w:rsidR="00AB7A8A" w:rsidRDefault="002A75F8">
      <w:pPr>
        <w:spacing w:before="240" w:after="240"/>
        <w:ind w:left="851" w:right="616"/>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o</w:t>
      </w:r>
      <w:proofErr w:type="gramEnd"/>
      <w:r>
        <w:rPr>
          <w:rFonts w:ascii="Palatino Linotype" w:eastAsia="Palatino Linotype" w:hAnsi="Palatino Linotype" w:cs="Palatino Linotype"/>
          <w:i/>
          <w:sz w:val="22"/>
          <w:szCs w:val="22"/>
        </w:rPr>
        <w:tab/>
        <w:t xml:space="preserve">http://consultas.ifai.org.mx/descargar.php?r=./pdf/resoluciones/2017/&amp;a=RRA%202541.pdf </w:t>
      </w:r>
    </w:p>
    <w:p w:rsidR="00AB7A8A" w:rsidRDefault="002A75F8">
      <w:pPr>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RRA 4674/17. Secretaría de Comunicaciones y Transportes. 11 de octubre del 2017. Por unanimidad, con voto particular de los Comisionados Areli Cano Guadiana, Joel Salas Suárez. Comisionado Ponente </w:t>
      </w:r>
      <w:proofErr w:type="spellStart"/>
      <w:r>
        <w:rPr>
          <w:rFonts w:ascii="Palatino Linotype" w:eastAsia="Palatino Linotype" w:hAnsi="Palatino Linotype" w:cs="Palatino Linotype"/>
          <w:i/>
          <w:sz w:val="22"/>
          <w:szCs w:val="22"/>
        </w:rPr>
        <w:t>Rosendoevgueni</w:t>
      </w:r>
      <w:proofErr w:type="spellEnd"/>
      <w:r>
        <w:rPr>
          <w:rFonts w:ascii="Palatino Linotype" w:eastAsia="Palatino Linotype" w:hAnsi="Palatino Linotype" w:cs="Palatino Linotype"/>
          <w:i/>
          <w:sz w:val="22"/>
          <w:szCs w:val="22"/>
        </w:rPr>
        <w:t xml:space="preserve"> Monterrey </w:t>
      </w:r>
      <w:proofErr w:type="spellStart"/>
      <w:r>
        <w:rPr>
          <w:rFonts w:ascii="Palatino Linotype" w:eastAsia="Palatino Linotype" w:hAnsi="Palatino Linotype" w:cs="Palatino Linotype"/>
          <w:i/>
          <w:sz w:val="22"/>
          <w:szCs w:val="22"/>
        </w:rPr>
        <w:t>Chepov</w:t>
      </w:r>
      <w:proofErr w:type="spellEnd"/>
      <w:r>
        <w:rPr>
          <w:rFonts w:ascii="Palatino Linotype" w:eastAsia="Palatino Linotype" w:hAnsi="Palatino Linotype" w:cs="Palatino Linotype"/>
          <w:i/>
          <w:sz w:val="22"/>
          <w:szCs w:val="22"/>
        </w:rPr>
        <w:t>.</w:t>
      </w:r>
    </w:p>
    <w:p w:rsidR="00AB7A8A" w:rsidRDefault="002A75F8">
      <w:pPr>
        <w:spacing w:before="240" w:after="240"/>
        <w:ind w:left="851" w:right="616"/>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o</w:t>
      </w:r>
      <w:proofErr w:type="gramEnd"/>
      <w:r>
        <w:rPr>
          <w:rFonts w:ascii="Palatino Linotype" w:eastAsia="Palatino Linotype" w:hAnsi="Palatino Linotype" w:cs="Palatino Linotype"/>
          <w:i/>
          <w:sz w:val="22"/>
          <w:szCs w:val="22"/>
        </w:rPr>
        <w:tab/>
        <w:t xml:space="preserve">http://consultas.ifai.org.mx/descargar.php?r=./pdf/resoluciones/2017/&amp;a=RRA%204674.pdf </w:t>
      </w:r>
    </w:p>
    <w:p w:rsidR="00AB7A8A" w:rsidRDefault="002A75F8">
      <w:pPr>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RRA 5239/17. Universidad Autónoma Chapingo. 18 de octubre de 2017. Por unanimidad. Comisionado Ponente Oscar Mauricio Guerra Ford.</w:t>
      </w:r>
    </w:p>
    <w:p w:rsidR="00AB7A8A" w:rsidRDefault="002A75F8">
      <w:pPr>
        <w:spacing w:before="240" w:after="240"/>
        <w:ind w:left="851" w:right="616"/>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o</w:t>
      </w:r>
      <w:proofErr w:type="gramEnd"/>
      <w:r>
        <w:rPr>
          <w:rFonts w:ascii="Palatino Linotype" w:eastAsia="Palatino Linotype" w:hAnsi="Palatino Linotype" w:cs="Palatino Linotype"/>
          <w:i/>
          <w:sz w:val="22"/>
          <w:szCs w:val="22"/>
        </w:rPr>
        <w:tab/>
        <w:t>http://consultas.ifai.org.mx/descargar.php?r=./pdf/resoluciones/2017/&amp;a=RRA%205239.pdf “</w:t>
      </w:r>
    </w:p>
    <w:p w:rsidR="00AB7A8A" w:rsidRDefault="00AB7A8A">
      <w:pPr>
        <w:spacing w:before="240" w:after="240" w:line="360" w:lineRule="auto"/>
        <w:ind w:left="851" w:right="616"/>
        <w:jc w:val="both"/>
        <w:rPr>
          <w:rFonts w:ascii="Palatino Linotype" w:eastAsia="Palatino Linotype" w:hAnsi="Palatino Linotype" w:cs="Palatino Linotype"/>
        </w:rPr>
      </w:pP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en atención al planteamiento formulado en el numeral 8, en el que solicitó el “</w:t>
      </w:r>
      <w:r>
        <w:rPr>
          <w:rFonts w:ascii="Palatino Linotype" w:eastAsia="Palatino Linotype" w:hAnsi="Palatino Linotype" w:cs="Palatino Linotype"/>
          <w:i/>
          <w:color w:val="000000"/>
        </w:rPr>
        <w:t>Reglamento Interno de dicha dependencia”</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la Gaceta Municipal, número 134, del 27 de julio de 2018 en la que se publicó el sumario de Reglamentos Internos del Ayuntamiento de Cuautitlán Izcalli, que en su </w:t>
      </w:r>
      <w:r>
        <w:rPr>
          <w:rFonts w:ascii="Palatino Linotype" w:eastAsia="Palatino Linotype" w:hAnsi="Palatino Linotype" w:cs="Palatino Linotype"/>
        </w:rPr>
        <w:lastRenderedPageBreak/>
        <w:t>página 69 se observa el Reglamento Interno de la Comisaría General de Seguridad Pública y Tránsito, tal como se muestra en la imagen que se inserta.</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22736" cy="5153982"/>
            <wp:effectExtent l="12700" t="12700" r="12700" b="127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22736" cy="5153982"/>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1143000</wp:posOffset>
                </wp:positionH>
                <wp:positionV relativeFrom="paragraph">
                  <wp:posOffset>2641600</wp:posOffset>
                </wp:positionV>
                <wp:extent cx="3394710" cy="422910"/>
                <wp:effectExtent l="0" t="0" r="0" b="0"/>
                <wp:wrapNone/>
                <wp:docPr id="29" name="Rectángulo 29"/>
                <wp:cNvGraphicFramePr/>
                <a:graphic xmlns:a="http://schemas.openxmlformats.org/drawingml/2006/main">
                  <a:graphicData uri="http://schemas.microsoft.com/office/word/2010/wordprocessingShape">
                    <wps:wsp>
                      <wps:cNvSpPr/>
                      <wps:spPr>
                        <a:xfrm>
                          <a:off x="3658170" y="3578070"/>
                          <a:ext cx="3375660" cy="403860"/>
                        </a:xfrm>
                        <a:prstGeom prst="rect">
                          <a:avLst/>
                        </a:prstGeom>
                        <a:noFill/>
                        <a:ln w="19050" cap="flat" cmpd="sng">
                          <a:solidFill>
                            <a:srgbClr val="FF0000"/>
                          </a:solidFill>
                          <a:prstDash val="solid"/>
                          <a:round/>
                          <a:headEnd type="none" w="sm" len="sm"/>
                          <a:tailEnd type="none" w="sm" len="sm"/>
                        </a:ln>
                      </wps:spPr>
                      <wps:txbx>
                        <w:txbxContent>
                          <w:p w:rsidR="00AB7A8A" w:rsidRDefault="00AB7A8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2641600</wp:posOffset>
                </wp:positionV>
                <wp:extent cx="3394710" cy="422910"/>
                <wp:effectExtent b="0" l="0" r="0" t="0"/>
                <wp:wrapNone/>
                <wp:docPr id="29"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3394710" cy="422910"/>
                        </a:xfrm>
                        <a:prstGeom prst="rect"/>
                        <a:ln/>
                      </pic:spPr>
                    </pic:pic>
                  </a:graphicData>
                </a:graphic>
              </wp:anchor>
            </w:drawing>
          </mc:Fallback>
        </mc:AlternateConten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por cuanto hace a la información requerida en el numeral 10, consistente en e</w:t>
      </w:r>
      <w:r>
        <w:rPr>
          <w:rFonts w:ascii="Palatino Linotype" w:eastAsia="Palatino Linotype" w:hAnsi="Palatino Linotype" w:cs="Palatino Linotype"/>
          <w:color w:val="000000"/>
        </w:rPr>
        <w:t xml:space="preserve">specificar si las unidades son propiedad del Ayuntamiento o arrendadas,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entregó el Acuerdo del Comité de Transparencia número 030/CUAUTIZC/CT/SA/2019 en el que clasificó como reservada la información </w:t>
      </w:r>
      <w:r>
        <w:rPr>
          <w:rFonts w:ascii="Palatino Linotype" w:eastAsia="Palatino Linotype" w:hAnsi="Palatino Linotype" w:cs="Palatino Linotype"/>
          <w:color w:val="000000"/>
        </w:rPr>
        <w:lastRenderedPageBreak/>
        <w:t xml:space="preserve">relacionada con los bienes muebles integrados en el inventario general correspondientes al armamento, equipos de radiocomunicación, cámaras de vigilancia, vehículos automotores (patrullas), que se encuentran bajo resguardo de la Comisaría General de Seguridad Pública y Tránsito Municipal de Cuautitlán Izcalli.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Acto seguido,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interpuso el recurso de revisión en el que manifestó su inconformidad en relación a los cargos y remuneraciones de los servidores públicos proporcionados en respuesta y sobre la falta de firmas en los acuerdos </w:t>
      </w:r>
      <w:r>
        <w:rPr>
          <w:rFonts w:ascii="Palatino Linotype" w:eastAsia="Palatino Linotype" w:hAnsi="Palatino Linotype" w:cs="Palatino Linotype"/>
          <w:color w:val="000000"/>
        </w:rPr>
        <w:t xml:space="preserve">030/CUAUTIZC/CT/SA/2019 y 042/CUAUTIZC/CT/CGSPT/2021.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es de resaltar que si bien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cierto es que no expresó razón o motivo de inconformidad en contra de la respuesta emitida relacionada con el </w:t>
      </w:r>
      <w:r>
        <w:rPr>
          <w:rFonts w:ascii="Palatino Linotype" w:eastAsia="Palatino Linotype" w:hAnsi="Palatino Linotype" w:cs="Palatino Linotype"/>
          <w:u w:val="single"/>
        </w:rPr>
        <w:t xml:space="preserve">Organigrama y el Reglamento Interno de la </w:t>
      </w:r>
      <w:r>
        <w:rPr>
          <w:rFonts w:ascii="Palatino Linotype" w:eastAsia="Palatino Linotype" w:hAnsi="Palatino Linotype" w:cs="Palatino Linotype"/>
          <w:color w:val="000000"/>
          <w:u w:val="single"/>
        </w:rPr>
        <w:t>Comisaría General de Seguridad Pública y Tránsito Municipal de Cuautitlán Izcalli</w:t>
      </w:r>
      <w:r>
        <w:rPr>
          <w:rFonts w:ascii="Palatino Linotype" w:eastAsia="Palatino Linotype" w:hAnsi="Palatino Linotype" w:cs="Palatino Linotype"/>
          <w:color w:val="000000"/>
        </w:rPr>
        <w:t>;</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por consiguiente, los requerimientos en comento deben declararse atendidos, ya que se entiende que el particular está conforme con la información entregada al no contravenirla. </w:t>
      </w:r>
    </w:p>
    <w:p w:rsidR="00AB7A8A" w:rsidRDefault="002A75F8">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la respuesta relativa a los rubros no combatidos queda intocada, ya que se advierte que se dan por satisfechos los requerimientos de información, quedando firme ante la falta de impugnación en específico, pues se entiende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ésta conforme con la información al no contravenir la misma.</w:t>
      </w:r>
    </w:p>
    <w:p w:rsidR="00AB7A8A" w:rsidRDefault="002A75F8">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sustento por analogía la tesis jurisprudencial número VI.3o.C. J/60, publicada en el Semanario Judicial de la Federación y su Gaceta bajo el número de registro 176,608 que a la letra dice:</w:t>
      </w:r>
    </w:p>
    <w:p w:rsidR="00AB7A8A" w:rsidRDefault="002A75F8">
      <w:pPr>
        <w:shd w:val="clear" w:color="auto" w:fill="FFFFFF"/>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“ACTOS CONSENTIDOS. SON LOS QUE NO SE IMPUGNAN MEDIANTE EL RECURSO IDÓNEO. </w:t>
      </w:r>
      <w:r>
        <w:rPr>
          <w:rFonts w:ascii="Palatino Linotype" w:eastAsia="Palatino Linotype" w:hAnsi="Palatino Linotype" w:cs="Palatino Linotype"/>
          <w:i/>
          <w:sz w:val="22"/>
          <w:szCs w:val="22"/>
        </w:rPr>
        <w:t xml:space="preserve">Debe reputarse como consentido el acto que no se impugnó por el medio establecido por la ley, ya </w:t>
      </w:r>
    </w:p>
    <w:p w:rsidR="00AB7A8A" w:rsidRDefault="002A75F8">
      <w:pPr>
        <w:shd w:val="clear" w:color="auto" w:fill="FFFFFF"/>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B7A8A" w:rsidRDefault="002A75F8">
      <w:pPr>
        <w:shd w:val="clear" w:color="auto" w:fill="FFFFFF"/>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expresó razón o motivo de inconformidad en contra de todos los rubros solicitados; por lo que, deben declararse atendidos pues se entiende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al no contravenir la misma.</w:t>
      </w:r>
    </w:p>
    <w:p w:rsidR="00AB7A8A" w:rsidRDefault="002A75F8">
      <w:pPr>
        <w:shd w:val="clear" w:color="auto" w:fill="FFFFFF"/>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la parte de la respuesta que no fue impugnada debe declararse consentida, toda vez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rsidR="00AB7A8A" w:rsidRDefault="002A75F8">
      <w:pPr>
        <w:shd w:val="clear" w:color="auto" w:fill="FFFFFF"/>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rsidR="00AB7A8A" w:rsidRDefault="002A75F8">
      <w:pPr>
        <w:shd w:val="clear" w:color="auto" w:fill="FFFFFF"/>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 xml:space="preserve">Cuando algún resolutivo de la sentencia </w:t>
      </w:r>
      <w:r>
        <w:rPr>
          <w:rFonts w:ascii="Palatino Linotype" w:eastAsia="Palatino Linotype" w:hAnsi="Palatino Linotype" w:cs="Palatino Linotype"/>
          <w:i/>
          <w:sz w:val="22"/>
          <w:szCs w:val="22"/>
        </w:rPr>
        <w:lastRenderedPageBreak/>
        <w:t xml:space="preserve">impugnada afecta a la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deben declararse firmes aquéllos en contra de los cuales no se formuló agravio y dicha declaración de firmeza debe reflejarse en la parte considerativa y en los resolutivos debe confirmarse la sentencia recurrida en la parte correspondiente.”</w:t>
      </w:r>
    </w:p>
    <w:p w:rsidR="00AB7A8A" w:rsidRDefault="00AB7A8A">
      <w:pPr>
        <w:spacing w:line="360" w:lineRule="auto"/>
        <w:jc w:val="both"/>
        <w:rPr>
          <w:rFonts w:ascii="Palatino Linotype" w:eastAsia="Palatino Linotype" w:hAnsi="Palatino Linotype" w:cs="Palatino Linotype"/>
          <w:sz w:val="22"/>
          <w:szCs w:val="22"/>
        </w:rPr>
      </w:pPr>
    </w:p>
    <w:p w:rsidR="00AB7A8A" w:rsidRDefault="002A75F8">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otro lado, en relación a la información requerida en los numerales 1, 2, 3, 4, 5, y 9 relativos a: </w:t>
      </w:r>
    </w:p>
    <w:p w:rsidR="00AB7A8A" w:rsidRDefault="002A75F8">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Estado de fuerza de policías adscritos a seguridad pública; </w:t>
      </w:r>
    </w:p>
    <w:p w:rsidR="00AB7A8A" w:rsidRDefault="002A75F8">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Estado de fuerza de policías adscritos a tránsito municipal;</w:t>
      </w:r>
    </w:p>
    <w:p w:rsidR="00AB7A8A" w:rsidRDefault="002A75F8">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Número de patrullas de seguridad pública; </w:t>
      </w:r>
    </w:p>
    <w:p w:rsidR="00AB7A8A" w:rsidRDefault="002A75F8">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Número de patrullas de tránsito municipal</w:t>
      </w:r>
    </w:p>
    <w:p w:rsidR="00AB7A8A" w:rsidRDefault="002A75F8">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Número de motocicletas de ambas direcciones; y </w:t>
      </w:r>
    </w:p>
    <w:p w:rsidR="00AB7A8A" w:rsidRDefault="002A75F8">
      <w:pPr>
        <w:numPr>
          <w:ilvl w:val="0"/>
          <w:numId w:val="1"/>
        </w:num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Número de elementos que laboran en C4 y sus sueldos.</w:t>
      </w:r>
    </w:p>
    <w:p w:rsidR="00AB7A8A" w:rsidRDefault="002A75F8">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remitió los Acuerdos 030/CUAUTIZC/CT/SA/2019 y 042/CUAUTIZC/CT/CGSPT/2021 mediante los cuales el Comité de Transparencia aprobó la clasificación como información reservada por un periodo de tres años el número de vehículos automotores  (patrullas, moto patrullas, y demás vehículos adscritos a la Comisaria); así como la marca, modelo, año y equipamiento de las unidades vehiculares; número de elementos operativos activos que integran la Comisaría; así como los asignados a las áreas de seguridad pública, servicios facultativos y tránsito.</w:t>
      </w:r>
    </w:p>
    <w:p w:rsidR="00AB7A8A" w:rsidRDefault="002A75F8">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Sobre este rubro, es de señalar que el particular se inconformó por la falta de firmas y la firma por ausencia de uno de los servidores públicos que intervinieron en la </w:t>
      </w:r>
      <w:r>
        <w:rPr>
          <w:rFonts w:ascii="Palatino Linotype" w:eastAsia="Palatino Linotype" w:hAnsi="Palatino Linotype" w:cs="Palatino Linotype"/>
          <w:color w:val="000000"/>
        </w:rPr>
        <w:lastRenderedPageBreak/>
        <w:t xml:space="preserve">celebración de los Acuerdos del Comité de Transparencia; motivo por el cual, es necesario referir que el Comité cuenta con las facultades para aprobar, modificar o revocar la clasificación de la información que el o los servidores públicos habilitados  hayan propuesto. Por lo tanto, el Comité aprueba modifica o revoca la clasificación; de conformidad con lo dispuesto en el artículo 128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color w:val="000000"/>
        </w:rPr>
        <w:t xml:space="preserve"> y la fracción III del numeral Segundo de los Lineamientos generales en materia de clasificación y desclasificación de la información, así como para la elaboración de versiones públicas, en adelante los Lineamientos Generales; que en su texto literal refieren: </w:t>
      </w:r>
    </w:p>
    <w:p w:rsidR="00AB7A8A" w:rsidRDefault="002A75F8">
      <w:pPr>
        <w:pBdr>
          <w:top w:val="nil"/>
          <w:left w:val="nil"/>
          <w:bottom w:val="nil"/>
          <w:right w:val="nil"/>
          <w:between w:val="nil"/>
        </w:pBdr>
        <w:tabs>
          <w:tab w:val="left" w:pos="426"/>
        </w:tabs>
        <w:spacing w:after="240"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sz w:val="22"/>
          <w:szCs w:val="22"/>
        </w:rPr>
        <w:t>“Artículo 128</w:t>
      </w:r>
      <w:r>
        <w:rPr>
          <w:rFonts w:ascii="Palatino Linotype" w:eastAsia="Palatino Linotype" w:hAnsi="Palatino Linotype" w:cs="Palatino Linotype"/>
          <w:i/>
          <w:sz w:val="22"/>
          <w:szCs w:val="22"/>
        </w:rPr>
        <w:t xml:space="preserve">. En los casos en que se niegue el acceso a la información, por actualizarse alguno de los supuestos de clasificación, el </w:t>
      </w:r>
      <w:r>
        <w:rPr>
          <w:rFonts w:ascii="Palatino Linotype" w:eastAsia="Palatino Linotype" w:hAnsi="Palatino Linotype" w:cs="Palatino Linotype"/>
          <w:b/>
          <w:i/>
          <w:sz w:val="22"/>
          <w:szCs w:val="22"/>
          <w:u w:val="single"/>
        </w:rPr>
        <w:t>Comité de Transparencia deberá confirmar, modificar o revocar la decisión</w:t>
      </w:r>
      <w:r>
        <w:rPr>
          <w:rFonts w:ascii="Palatino Linotype" w:eastAsia="Palatino Linotype" w:hAnsi="Palatino Linotype" w:cs="Palatino Linotype"/>
          <w:i/>
          <w:sz w:val="22"/>
          <w:szCs w:val="22"/>
        </w:rPr>
        <w:t>.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Tratándose de aquélla información que actualice los supuestos de clasificación, deberá señalarse el plazo al que estará sujeto la reserva.</w:t>
      </w:r>
    </w:p>
    <w:p w:rsidR="00AB7A8A" w:rsidRDefault="002A75F8">
      <w:pPr>
        <w:spacing w:line="360" w:lineRule="auto"/>
        <w:ind w:left="851" w:right="616"/>
        <w:jc w:val="both"/>
        <w:rPr>
          <w:rFonts w:ascii="Palatino Linotype" w:eastAsia="Palatino Linotype" w:hAnsi="Palatino Linotype" w:cs="Palatino Linotype"/>
          <w:i/>
          <w:color w:val="2F2F2F"/>
          <w:sz w:val="22"/>
          <w:szCs w:val="22"/>
          <w:highlight w:val="white"/>
        </w:rPr>
      </w:pPr>
      <w:r>
        <w:rPr>
          <w:rFonts w:ascii="Palatino Linotype" w:eastAsia="Palatino Linotype" w:hAnsi="Palatino Linotype" w:cs="Palatino Linotype"/>
          <w:b/>
          <w:i/>
          <w:color w:val="2F2F2F"/>
          <w:sz w:val="22"/>
          <w:szCs w:val="22"/>
          <w:highlight w:val="white"/>
        </w:rPr>
        <w:t>Segundo. </w:t>
      </w:r>
      <w:r>
        <w:rPr>
          <w:rFonts w:ascii="Palatino Linotype" w:eastAsia="Palatino Linotype" w:hAnsi="Palatino Linotype" w:cs="Palatino Linotype"/>
          <w:i/>
          <w:color w:val="2F2F2F"/>
          <w:sz w:val="22"/>
          <w:szCs w:val="22"/>
          <w:highlight w:val="white"/>
        </w:rPr>
        <w:t xml:space="preserve">Para efectos de los presentes </w:t>
      </w:r>
      <w:r>
        <w:rPr>
          <w:rFonts w:ascii="Palatino Linotype" w:eastAsia="Palatino Linotype" w:hAnsi="Palatino Linotype" w:cs="Palatino Linotype"/>
          <w:b/>
          <w:i/>
          <w:color w:val="2F2F2F"/>
          <w:sz w:val="22"/>
          <w:szCs w:val="22"/>
          <w:highlight w:val="white"/>
          <w:u w:val="single"/>
        </w:rPr>
        <w:t>Lineamientos Generales</w:t>
      </w:r>
      <w:r>
        <w:rPr>
          <w:rFonts w:ascii="Palatino Linotype" w:eastAsia="Palatino Linotype" w:hAnsi="Palatino Linotype" w:cs="Palatino Linotype"/>
          <w:i/>
          <w:color w:val="2F2F2F"/>
          <w:sz w:val="22"/>
          <w:szCs w:val="22"/>
          <w:highlight w:val="white"/>
        </w:rPr>
        <w:t>, se entenderá por:</w:t>
      </w:r>
    </w:p>
    <w:p w:rsidR="00AB7A8A" w:rsidRDefault="002A75F8">
      <w:pPr>
        <w:spacing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2F2F2F"/>
          <w:sz w:val="22"/>
          <w:szCs w:val="22"/>
          <w:highlight w:val="white"/>
        </w:rPr>
        <w:t>III</w:t>
      </w:r>
      <w:r>
        <w:rPr>
          <w:rFonts w:ascii="Palatino Linotype" w:eastAsia="Palatino Linotype" w:hAnsi="Palatino Linotype" w:cs="Palatino Linotype"/>
          <w:i/>
          <w:color w:val="2F2F2F"/>
          <w:sz w:val="22"/>
          <w:szCs w:val="22"/>
          <w:highlight w:val="white"/>
        </w:rPr>
        <w:t xml:space="preserve">. </w:t>
      </w:r>
      <w:r>
        <w:rPr>
          <w:rFonts w:ascii="Palatino Linotype" w:eastAsia="Palatino Linotype" w:hAnsi="Palatino Linotype" w:cs="Palatino Linotype"/>
          <w:b/>
          <w:i/>
          <w:color w:val="2F2F2F"/>
          <w:sz w:val="22"/>
          <w:szCs w:val="22"/>
          <w:highlight w:val="white"/>
        </w:rPr>
        <w:t>Comité de Transparencia:</w:t>
      </w:r>
      <w:r>
        <w:rPr>
          <w:rFonts w:ascii="Palatino Linotype" w:eastAsia="Palatino Linotype" w:hAnsi="Palatino Linotype" w:cs="Palatino Linotype"/>
          <w:i/>
          <w:color w:val="2F2F2F"/>
          <w:sz w:val="22"/>
          <w:szCs w:val="22"/>
          <w:highlight w:val="white"/>
        </w:rPr>
        <w:t xml:space="preserve"> La instancia a la que hace referencia el artículo 43 de la Ley General de Transparencia y Acceso a la Información Pública, así como la referida en la Ley Federal y en las legislaciones locales, que tiene entre sus funciones </w:t>
      </w:r>
      <w:r>
        <w:rPr>
          <w:rFonts w:ascii="Palatino Linotype" w:eastAsia="Palatino Linotype" w:hAnsi="Palatino Linotype" w:cs="Palatino Linotype"/>
          <w:b/>
          <w:i/>
          <w:color w:val="2F2F2F"/>
          <w:sz w:val="22"/>
          <w:szCs w:val="22"/>
          <w:highlight w:val="white"/>
          <w:u w:val="single"/>
        </w:rPr>
        <w:t>las de confirmar, modificar o revocar las determinaciones en materia de clasificación de la información que realicen los titulares de las áreas de los sujetos obligados</w:t>
      </w:r>
      <w:r>
        <w:rPr>
          <w:rFonts w:ascii="Palatino Linotype" w:eastAsia="Palatino Linotype" w:hAnsi="Palatino Linotype" w:cs="Palatino Linotype"/>
          <w:i/>
          <w:color w:val="2F2F2F"/>
          <w:sz w:val="22"/>
          <w:szCs w:val="22"/>
          <w:highlight w:val="white"/>
        </w:rPr>
        <w:t>;</w:t>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Evidentemente, esta decisión implica una restricción a un derecho humano, por lo tanto, puede generar un agravio al particular y, en consecuencia, es necesario que </w:t>
      </w:r>
      <w:r>
        <w:rPr>
          <w:rFonts w:ascii="Palatino Linotype" w:eastAsia="Palatino Linotype" w:hAnsi="Palatino Linotype" w:cs="Palatino Linotype"/>
          <w:b/>
          <w:color w:val="000000"/>
          <w:u w:val="single"/>
        </w:rPr>
        <w:t>el acto reúna los requisitos elementales</w:t>
      </w:r>
      <w:r>
        <w:rPr>
          <w:rFonts w:ascii="Palatino Linotype" w:eastAsia="Palatino Linotype" w:hAnsi="Palatino Linotype" w:cs="Palatino Linotype"/>
          <w:color w:val="000000"/>
        </w:rPr>
        <w:t>, entre ellos, que la autoridad que va a emitir el acto de autoridad sea la legalmente facultada para ello,  por lo que no está demás señalar que los artículos 45 y 46 de la Ley Estatal establecen:</w:t>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sz w:val="22"/>
          <w:szCs w:val="22"/>
        </w:rPr>
        <w:t>“Artículo 45</w:t>
      </w:r>
      <w:r>
        <w:rPr>
          <w:rFonts w:ascii="Palatino Linotype" w:eastAsia="Palatino Linotype" w:hAnsi="Palatino Linotype" w:cs="Palatino Linotype"/>
          <w:i/>
          <w:sz w:val="22"/>
          <w:szCs w:val="22"/>
        </w:rPr>
        <w:t>. Cada sujeto obligado establecerá un Comité de Transparencia, colegiado e integrado por lo menos por tres miembros, debiendo de ser siempre un número impar.</w:t>
      </w: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w:t>
      </w: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46.</w:t>
      </w:r>
      <w:r>
        <w:rPr>
          <w:rFonts w:ascii="Palatino Linotype" w:eastAsia="Palatino Linotype" w:hAnsi="Palatino Linotype" w:cs="Palatino Linotype"/>
          <w:i/>
          <w:sz w:val="22"/>
          <w:szCs w:val="22"/>
        </w:rPr>
        <w:t xml:space="preserve"> Los sujetos obligados integrarán sus Comités de Transparencia de la siguiente forma: </w:t>
      </w:r>
    </w:p>
    <w:p w:rsidR="00AB7A8A" w:rsidRDefault="002A75F8">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 El titular de la unidad de transparencia; </w:t>
      </w:r>
    </w:p>
    <w:p w:rsidR="00AB7A8A" w:rsidRDefault="002A75F8">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responsable del área coordinadora de archivos o equivalente; y </w:t>
      </w: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III. El titular del órgano de control interno o equivalente</w:t>
      </w:r>
      <w:r>
        <w:rPr>
          <w:rFonts w:ascii="Palatino Linotype" w:eastAsia="Palatino Linotype" w:hAnsi="Palatino Linotype" w:cs="Palatino Linotype"/>
          <w:i/>
          <w:sz w:val="22"/>
          <w:szCs w:val="22"/>
        </w:rPr>
        <w:t xml:space="preserve">. </w:t>
      </w:r>
    </w:p>
    <w:p w:rsidR="00AB7A8A" w:rsidRDefault="002A75F8">
      <w:pPr>
        <w:spacing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También estará integrado por el servidor público encargado de la protección de los datos personales cuando sesione para cuestiones relacionadas con esta materia. Todos los Comités de Transparencia deberán registrarse ante el Instituto.</w:t>
      </w:r>
    </w:p>
    <w:p w:rsidR="00AB7A8A" w:rsidRDefault="00AB7A8A">
      <w:pPr>
        <w:spacing w:line="360" w:lineRule="auto"/>
        <w:ind w:left="708" w:hanging="708"/>
        <w:jc w:val="both"/>
        <w:rPr>
          <w:rFonts w:ascii="Palatino Linotype" w:eastAsia="Palatino Linotype" w:hAnsi="Palatino Linotype" w:cs="Palatino Linotype"/>
          <w:i/>
          <w:color w:val="000000"/>
          <w:sz w:val="22"/>
          <w:szCs w:val="22"/>
        </w:rPr>
      </w:pP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consecuencia, el Comité de Transparencia, legalmente facultado para emitir el acuerdo de clasificación, se integra por el </w:t>
      </w:r>
      <w:r>
        <w:rPr>
          <w:rFonts w:ascii="Palatino Linotype" w:eastAsia="Palatino Linotype" w:hAnsi="Palatino Linotype" w:cs="Palatino Linotype"/>
          <w:color w:val="000000"/>
          <w:u w:val="single"/>
        </w:rPr>
        <w:t>Titular de la Unidad de Transparencia, el responsable del área coordinadora de archivos y el titular del órgano interno de control y, en su caso, el servidor público encargado de la protección de datos personales</w:t>
      </w:r>
      <w:r>
        <w:rPr>
          <w:rFonts w:ascii="Palatino Linotype" w:eastAsia="Palatino Linotype" w:hAnsi="Palatino Linotype" w:cs="Palatino Linotype"/>
          <w:color w:val="000000"/>
        </w:rPr>
        <w:t>; integrado siempre por un número impar y que no debe de existir dependencia jerárquica entre sus integrantes.</w:t>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del Comité de Transparencia; siendo importante citar lo dispuesto por  el artículo 47 de la Ley local, que a la letra dice: </w:t>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 </w:t>
      </w: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Comité de Transparencia </w:t>
      </w:r>
      <w:r>
        <w:rPr>
          <w:rFonts w:ascii="Palatino Linotype" w:eastAsia="Palatino Linotype" w:hAnsi="Palatino Linotype" w:cs="Palatino Linotype"/>
          <w:b/>
          <w:i/>
          <w:sz w:val="22"/>
          <w:szCs w:val="22"/>
          <w:u w:val="single"/>
        </w:rPr>
        <w:t>adoptará sus resoluciones por mayoría de votos</w:t>
      </w:r>
      <w:r>
        <w:rPr>
          <w:rFonts w:ascii="Palatino Linotype" w:eastAsia="Palatino Linotype" w:hAnsi="Palatino Linotype" w:cs="Palatino Linotype"/>
          <w:i/>
          <w:sz w:val="22"/>
          <w:szCs w:val="22"/>
        </w:rPr>
        <w:t xml:space="preserve">. En caso de empate, la o el Presidente tendrá voto de calidad. A sus sesiones </w:t>
      </w:r>
      <w:r>
        <w:rPr>
          <w:rFonts w:ascii="Palatino Linotype" w:eastAsia="Palatino Linotype" w:hAnsi="Palatino Linotype" w:cs="Palatino Linotype"/>
          <w:i/>
          <w:sz w:val="22"/>
          <w:szCs w:val="22"/>
          <w:u w:val="single"/>
        </w:rPr>
        <w:t xml:space="preserve">podrán </w:t>
      </w:r>
      <w:r>
        <w:rPr>
          <w:rFonts w:ascii="Palatino Linotype" w:eastAsia="Palatino Linotype" w:hAnsi="Palatino Linotype" w:cs="Palatino Linotype"/>
          <w:b/>
          <w:i/>
          <w:sz w:val="22"/>
          <w:szCs w:val="22"/>
          <w:u w:val="single"/>
        </w:rPr>
        <w:t>asistir como invitados</w:t>
      </w:r>
      <w:r>
        <w:rPr>
          <w:rFonts w:ascii="Palatino Linotype" w:eastAsia="Palatino Linotype" w:hAnsi="Palatino Linotype" w:cs="Palatino Linotype"/>
          <w:i/>
          <w:sz w:val="22"/>
          <w:szCs w:val="22"/>
          <w:u w:val="single"/>
        </w:rPr>
        <w:t xml:space="preserve"> aquellos que sus integrantes consideren necesarios, quienes tendrán voz pero no voto</w:t>
      </w:r>
      <w:r>
        <w:rPr>
          <w:rFonts w:ascii="Palatino Linotype" w:eastAsia="Palatino Linotype" w:hAnsi="Palatino Linotype" w:cs="Palatino Linotype"/>
          <w:i/>
          <w:sz w:val="22"/>
          <w:szCs w:val="22"/>
        </w:rPr>
        <w:t xml:space="preserve">. </w:t>
      </w: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Comité se reunirá en sesión ordinaria o extraordinaria las veces que estime necesario. El tipo de sesión se precisará en la convocatoria emitida. </w:t>
      </w:r>
    </w:p>
    <w:p w:rsidR="00AB7A8A" w:rsidRDefault="002A75F8">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rsidR="00AB7A8A" w:rsidRDefault="002A75F8">
      <w:pPr>
        <w:spacing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 xml:space="preserve">En las sesiones y trabajos del Comité, </w:t>
      </w:r>
      <w:r>
        <w:rPr>
          <w:rFonts w:ascii="Palatino Linotype" w:eastAsia="Palatino Linotype" w:hAnsi="Palatino Linotype" w:cs="Palatino Linotype"/>
          <w:i/>
          <w:sz w:val="22"/>
          <w:szCs w:val="22"/>
          <w:u w:val="single"/>
        </w:rPr>
        <w:t xml:space="preserve">podrán </w:t>
      </w:r>
      <w:r>
        <w:rPr>
          <w:rFonts w:ascii="Palatino Linotype" w:eastAsia="Palatino Linotype" w:hAnsi="Palatino Linotype" w:cs="Palatino Linotype"/>
          <w:b/>
          <w:i/>
          <w:sz w:val="22"/>
          <w:szCs w:val="22"/>
          <w:u w:val="single"/>
        </w:rPr>
        <w:t>participar como invitados permanentes</w:t>
      </w:r>
      <w:r>
        <w:rPr>
          <w:rFonts w:ascii="Palatino Linotype" w:eastAsia="Palatino Linotype" w:hAnsi="Palatino Linotype" w:cs="Palatino Linotype"/>
          <w:i/>
          <w:sz w:val="22"/>
          <w:szCs w:val="22"/>
          <w:u w:val="single"/>
        </w:rPr>
        <w:t>, los representantes de las áreas que decida el Comité, y contará con derecho de voz, pero no voto. Lo</w:t>
      </w:r>
      <w:r>
        <w:rPr>
          <w:rFonts w:ascii="Palatino Linotype" w:eastAsia="Palatino Linotype" w:hAnsi="Palatino Linotype" w:cs="Palatino Linotype"/>
          <w:i/>
          <w:sz w:val="22"/>
          <w:szCs w:val="22"/>
        </w:rPr>
        <w:t>s titulares de las unidades administrativas que propongan la reserva, confidencialidad o declaren la inexistencia de información, acudirán a las sesiones de dicho Comité donde se discuta la propuesta correspondiente.</w:t>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mayor abundamiento, es necesario referir el criterio orientador 04/17 emitido por el Instituto Nacional de Transparencia, Acceso a la Información y Protección de Datos Personales (INAI) que es del rubro y texto literal siguiente: </w:t>
      </w:r>
    </w:p>
    <w:p w:rsidR="00AB7A8A" w:rsidRDefault="00AB7A8A">
      <w:pPr>
        <w:rPr>
          <w:rFonts w:ascii="Arial" w:eastAsia="Arial" w:hAnsi="Arial" w:cs="Arial"/>
          <w:color w:val="000000"/>
        </w:rPr>
      </w:pPr>
    </w:p>
    <w:p w:rsidR="00AB7A8A" w:rsidRDefault="002A75F8">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Resoluciones del Comité de Transparencia, gozan de validez siempre que contengan la firma de quien los emite. </w:t>
      </w:r>
      <w:r>
        <w:rPr>
          <w:rFonts w:ascii="Palatino Linotype" w:eastAsia="Palatino Linotype" w:hAnsi="Palatino Linotype" w:cs="Palatino Linotype"/>
          <w:i/>
          <w:color w:val="000000"/>
          <w:sz w:val="22"/>
          <w:szCs w:val="22"/>
        </w:rPr>
        <w:t xml:space="preserve">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w:t>
      </w:r>
      <w:r>
        <w:rPr>
          <w:rFonts w:ascii="Palatino Linotype" w:eastAsia="Palatino Linotype" w:hAnsi="Palatino Linotype" w:cs="Palatino Linotype"/>
          <w:b/>
          <w:i/>
          <w:color w:val="000000"/>
          <w:sz w:val="22"/>
          <w:szCs w:val="22"/>
          <w:u w:val="single"/>
        </w:rPr>
        <w:t>deberán contener la firma autógrafa de los integrantes que la emitan</w:t>
      </w:r>
      <w:r>
        <w:rPr>
          <w:rFonts w:ascii="Palatino Linotype" w:eastAsia="Palatino Linotype" w:hAnsi="Palatino Linotype" w:cs="Palatino Linotype"/>
          <w:i/>
          <w:color w:val="000000"/>
          <w:sz w:val="22"/>
          <w:szCs w:val="22"/>
        </w:rPr>
        <w:t xml:space="preserve">, ya que dicho signo gráfico otorga validez a la resolución decretada y, al mismo tiempo, constituye la forma en que el particular tiene la certeza de que fue emitida por la autoridad respectiva y su contenido representa la voluntad manifestada por ésta. </w:t>
      </w:r>
    </w:p>
    <w:p w:rsidR="00AB7A8A" w:rsidRDefault="002A75F8">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Resoluciones: </w:t>
      </w:r>
    </w:p>
    <w:p w:rsidR="00AB7A8A" w:rsidRDefault="002A75F8">
      <w:pPr>
        <w:numPr>
          <w:ilvl w:val="0"/>
          <w:numId w:val="2"/>
        </w:numPr>
        <w:spacing w:after="157"/>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RRA 1588/16. </w:t>
      </w:r>
      <w:r>
        <w:rPr>
          <w:rFonts w:ascii="Palatino Linotype" w:eastAsia="Palatino Linotype" w:hAnsi="Palatino Linotype" w:cs="Palatino Linotype"/>
          <w:i/>
          <w:color w:val="000000"/>
          <w:sz w:val="22"/>
          <w:szCs w:val="22"/>
        </w:rPr>
        <w:t xml:space="preserve">Comisión Nacional de Áreas Naturales Protegidas. 27 de septiembre de 2016. Por unanimidad. Comisionada Ponente Ximena Puente de la Mora. </w:t>
      </w:r>
    </w:p>
    <w:p w:rsidR="00AB7A8A" w:rsidRDefault="002A75F8">
      <w:pPr>
        <w:numPr>
          <w:ilvl w:val="0"/>
          <w:numId w:val="2"/>
        </w:numPr>
        <w:spacing w:after="157"/>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RRA 2410/16. </w:t>
      </w:r>
      <w:r>
        <w:rPr>
          <w:rFonts w:ascii="Palatino Linotype" w:eastAsia="Palatino Linotype" w:hAnsi="Palatino Linotype" w:cs="Palatino Linotype"/>
          <w:i/>
          <w:color w:val="000000"/>
          <w:sz w:val="22"/>
          <w:szCs w:val="22"/>
        </w:rPr>
        <w:t xml:space="preserve">Instituto Nacional de Migración. 25 de octubre de 2016. Por unanimidad. Comisionada Ponente Areli Cano Guadiana. </w:t>
      </w:r>
    </w:p>
    <w:p w:rsidR="00AB7A8A" w:rsidRDefault="002A75F8">
      <w:pPr>
        <w:numPr>
          <w:ilvl w:val="0"/>
          <w:numId w:val="2"/>
        </w:num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 </w:t>
      </w:r>
      <w:r>
        <w:rPr>
          <w:rFonts w:ascii="Palatino Linotype" w:eastAsia="Palatino Linotype" w:hAnsi="Palatino Linotype" w:cs="Palatino Linotype"/>
          <w:b/>
          <w:i/>
          <w:color w:val="000000"/>
          <w:sz w:val="22"/>
          <w:szCs w:val="22"/>
        </w:rPr>
        <w:t xml:space="preserve">RRA 3763/16. </w:t>
      </w:r>
      <w:r>
        <w:rPr>
          <w:rFonts w:ascii="Palatino Linotype" w:eastAsia="Palatino Linotype" w:hAnsi="Palatino Linotype" w:cs="Palatino Linotype"/>
          <w:i/>
          <w:color w:val="000000"/>
          <w:sz w:val="22"/>
          <w:szCs w:val="22"/>
        </w:rPr>
        <w:t xml:space="preserve">Secretaría de Relaciones Exteriores. 07 de diciembre de 2016. Por unanimidad. Comisionada Ponente María Patricia </w:t>
      </w:r>
      <w:proofErr w:type="spellStart"/>
      <w:r>
        <w:rPr>
          <w:rFonts w:ascii="Palatino Linotype" w:eastAsia="Palatino Linotype" w:hAnsi="Palatino Linotype" w:cs="Palatino Linotype"/>
          <w:i/>
          <w:color w:val="000000"/>
          <w:sz w:val="22"/>
          <w:szCs w:val="22"/>
        </w:rPr>
        <w:t>Kurczyn</w:t>
      </w:r>
      <w:proofErr w:type="spellEnd"/>
      <w:r>
        <w:rPr>
          <w:rFonts w:ascii="Palatino Linotype" w:eastAsia="Palatino Linotype" w:hAnsi="Palatino Linotype" w:cs="Palatino Linotype"/>
          <w:i/>
          <w:color w:val="000000"/>
          <w:sz w:val="22"/>
          <w:szCs w:val="22"/>
        </w:rPr>
        <w:t xml:space="preserve"> Villalobos. </w:t>
      </w:r>
    </w:p>
    <w:p w:rsidR="00AB7A8A" w:rsidRDefault="00AB7A8A">
      <w:pPr>
        <w:spacing w:line="360" w:lineRule="auto"/>
        <w:jc w:val="both"/>
        <w:rPr>
          <w:rFonts w:ascii="Palatino Linotype" w:eastAsia="Palatino Linotype" w:hAnsi="Palatino Linotype" w:cs="Palatino Linotype"/>
          <w:i/>
          <w:color w:val="000000"/>
          <w:sz w:val="22"/>
          <w:szCs w:val="22"/>
        </w:rPr>
      </w:pP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de los preceptos normativos citados, se desprende que el Comité de Transparencia, deberá estar integrado por el Titular de la Unidad de Transparencia, el Responsable del área coordinadora de archivos o equivalente; y el órgano de control interno o equivalente, siendo este cuerpo colegiado, la máxima autoridad en materia de transparencia, que entre otras facultades  le comete emitir resoluciones por mayoría de votos de </w:t>
      </w:r>
      <w:r>
        <w:rPr>
          <w:rFonts w:ascii="Palatino Linotype" w:eastAsia="Palatino Linotype" w:hAnsi="Palatino Linotype" w:cs="Palatino Linotype"/>
          <w:b/>
          <w:color w:val="000000"/>
          <w:u w:val="single"/>
        </w:rPr>
        <w:t>sus integrantes</w:t>
      </w:r>
      <w:r>
        <w:rPr>
          <w:rFonts w:ascii="Palatino Linotype" w:eastAsia="Palatino Linotype" w:hAnsi="Palatino Linotype" w:cs="Palatino Linotype"/>
          <w:color w:val="000000"/>
        </w:rPr>
        <w:t xml:space="preserve">; y en este sentido la Ley en la materia, claramente establece, que a las sesiones podrán asistir invitados que de acuerdo al asunto se considere necesaria su presencia y/o invitados permanentes, que en ambos casos podrán contar con voz pero no con voto. </w:t>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asunto que nos ocupa analizar,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entregó los acuerdos que el Comité de Transparencia emitió y en los que aprobó la clasificación de información como reservada, propuesta por los Servidores Públicos Habilitados, en los que se observa la firma de los integrantes que la Ley exige para su validez, tal como se observa en las imágenes, que se insertan:</w:t>
      </w: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26295" cy="2044011"/>
            <wp:effectExtent l="9525" t="9525" r="9525" b="9525"/>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26295" cy="2044011"/>
                    </a:xfrm>
                    <a:prstGeom prst="rect">
                      <a:avLst/>
                    </a:prstGeom>
                    <a:ln w="9525">
                      <a:solidFill>
                        <a:srgbClr val="000000"/>
                      </a:solidFill>
                      <a:prstDash val="solid"/>
                    </a:ln>
                  </pic:spPr>
                </pic:pic>
              </a:graphicData>
            </a:graphic>
          </wp:inline>
        </w:drawing>
      </w: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w:t>
      </w:r>
      <w:r>
        <w:rPr>
          <w:rFonts w:ascii="Palatino Linotype" w:eastAsia="Palatino Linotype" w:hAnsi="Palatino Linotype" w:cs="Palatino Linotype"/>
          <w:noProof/>
          <w:color w:val="000000"/>
          <w:lang w:val="es-MX"/>
        </w:rPr>
        <w:drawing>
          <wp:inline distT="0" distB="0" distL="0" distR="0">
            <wp:extent cx="5615076" cy="6590238"/>
            <wp:effectExtent l="9525" t="9525" r="9525" b="9525"/>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5076" cy="6590238"/>
                    </a:xfrm>
                    <a:prstGeom prst="rect">
                      <a:avLst/>
                    </a:prstGeom>
                    <a:ln w="9525">
                      <a:solidFill>
                        <a:srgbClr val="000000"/>
                      </a:solidFill>
                      <a:prstDash val="solid"/>
                    </a:ln>
                  </pic:spPr>
                </pic:pic>
              </a:graphicData>
            </a:graphic>
          </wp:inline>
        </w:drawing>
      </w: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612130" cy="2819400"/>
            <wp:effectExtent l="9525" t="9525" r="9525" b="9525"/>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2819400"/>
                    </a:xfrm>
                    <a:prstGeom prst="rect">
                      <a:avLst/>
                    </a:prstGeom>
                    <a:ln w="9525">
                      <a:solidFill>
                        <a:srgbClr val="000000"/>
                      </a:solidFill>
                      <a:prstDash val="solid"/>
                    </a:ln>
                  </pic:spPr>
                </pic:pic>
              </a:graphicData>
            </a:graphic>
          </wp:inline>
        </w:drawing>
      </w:r>
    </w:p>
    <w:p w:rsidR="00AB7A8A" w:rsidRDefault="002A75F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2130" cy="4130040"/>
            <wp:effectExtent l="9525" t="9525" r="9525" b="9525"/>
            <wp:docPr id="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b="12439"/>
                    <a:stretch>
                      <a:fillRect/>
                    </a:stretch>
                  </pic:blipFill>
                  <pic:spPr>
                    <a:xfrm>
                      <a:off x="0" y="0"/>
                      <a:ext cx="5612130" cy="4130040"/>
                    </a:xfrm>
                    <a:prstGeom prst="rect">
                      <a:avLst/>
                    </a:prstGeom>
                    <a:ln w="9525">
                      <a:solidFill>
                        <a:srgbClr val="000000"/>
                      </a:solidFill>
                      <a:prstDash val="solid"/>
                    </a:ln>
                  </pic:spPr>
                </pic:pic>
              </a:graphicData>
            </a:graphic>
          </wp:inline>
        </w:drawing>
      </w:r>
    </w:p>
    <w:p w:rsidR="00AB7A8A" w:rsidRDefault="00AB7A8A">
      <w:pPr>
        <w:spacing w:line="360" w:lineRule="auto"/>
        <w:jc w:val="both"/>
        <w:rPr>
          <w:rFonts w:ascii="Palatino Linotype" w:eastAsia="Palatino Linotype" w:hAnsi="Palatino Linotype" w:cs="Palatino Linotype"/>
          <w:color w:val="000000"/>
        </w:rPr>
      </w:pPr>
    </w:p>
    <w:p w:rsidR="00AB7A8A" w:rsidRDefault="002A75F8">
      <w:pPr>
        <w:spacing w:after="12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Para mayor certeza, este Instituto procedió a la consulta de la Fracción VII “El directorio de todos los servidores públicos” en el portal de Información Pública de Oficio Mexiquense (IPOMEX)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con el objeto de verificar que los servidores públicos integrantes del Comité de Transparencia ostentan los cargos exigibles por la Ley en la materia,  funcionarios que, de acuerdo a lo dispuesto por la Ley de Transparencia, y se comprobó lo siguiente: </w:t>
      </w:r>
    </w:p>
    <w:p w:rsidR="00AB7A8A" w:rsidRDefault="00AB7A8A">
      <w:pPr>
        <w:spacing w:before="120" w:after="240" w:line="360" w:lineRule="auto"/>
        <w:jc w:val="both"/>
        <w:rPr>
          <w:rFonts w:ascii="Palatino Linotype" w:eastAsia="Palatino Linotype" w:hAnsi="Palatino Linotype" w:cs="Palatino Linotype"/>
        </w:rPr>
      </w:pP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100070"/>
            <wp:effectExtent l="12700" t="12700" r="12700" b="1270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612130" cy="3100070"/>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292100</wp:posOffset>
                </wp:positionH>
                <wp:positionV relativeFrom="paragraph">
                  <wp:posOffset>2336800</wp:posOffset>
                </wp:positionV>
                <wp:extent cx="3265170" cy="712470"/>
                <wp:effectExtent l="0" t="0" r="0" b="0"/>
                <wp:wrapNone/>
                <wp:docPr id="30" name="Rectángulo 30"/>
                <wp:cNvGraphicFramePr/>
                <a:graphic xmlns:a="http://schemas.openxmlformats.org/drawingml/2006/main">
                  <a:graphicData uri="http://schemas.microsoft.com/office/word/2010/wordprocessingShape">
                    <wps:wsp>
                      <wps:cNvSpPr/>
                      <wps:spPr>
                        <a:xfrm>
                          <a:off x="3722940" y="3433290"/>
                          <a:ext cx="3246120" cy="693420"/>
                        </a:xfrm>
                        <a:prstGeom prst="rect">
                          <a:avLst/>
                        </a:prstGeom>
                        <a:noFill/>
                        <a:ln w="19050" cap="flat" cmpd="sng">
                          <a:solidFill>
                            <a:srgbClr val="FF0000"/>
                          </a:solidFill>
                          <a:prstDash val="solid"/>
                          <a:round/>
                          <a:headEnd type="none" w="sm" len="sm"/>
                          <a:tailEnd type="none" w="sm" len="sm"/>
                        </a:ln>
                      </wps:spPr>
                      <wps:txbx>
                        <w:txbxContent>
                          <w:p w:rsidR="00AB7A8A" w:rsidRDefault="00AB7A8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2336800</wp:posOffset>
                </wp:positionV>
                <wp:extent cx="3265170" cy="712470"/>
                <wp:effectExtent b="0" l="0" r="0" t="0"/>
                <wp:wrapNone/>
                <wp:docPr id="30"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3265170" cy="712470"/>
                        </a:xfrm>
                        <a:prstGeom prst="rect"/>
                        <a:ln/>
                      </pic:spPr>
                    </pic:pic>
                  </a:graphicData>
                </a:graphic>
              </wp:anchor>
            </w:drawing>
          </mc:Fallback>
        </mc:AlternateConten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3373120"/>
            <wp:effectExtent l="12700" t="12700" r="12700" b="1270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612130" cy="3373120"/>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177800</wp:posOffset>
                </wp:positionH>
                <wp:positionV relativeFrom="paragraph">
                  <wp:posOffset>2654300</wp:posOffset>
                </wp:positionV>
                <wp:extent cx="3265170" cy="740410"/>
                <wp:effectExtent l="0" t="0" r="0" b="0"/>
                <wp:wrapNone/>
                <wp:docPr id="28" name="Rectángulo 28"/>
                <wp:cNvGraphicFramePr/>
                <a:graphic xmlns:a="http://schemas.openxmlformats.org/drawingml/2006/main">
                  <a:graphicData uri="http://schemas.microsoft.com/office/word/2010/wordprocessingShape">
                    <wps:wsp>
                      <wps:cNvSpPr/>
                      <wps:spPr>
                        <a:xfrm>
                          <a:off x="3722940" y="3419320"/>
                          <a:ext cx="3246120" cy="721360"/>
                        </a:xfrm>
                        <a:prstGeom prst="rect">
                          <a:avLst/>
                        </a:prstGeom>
                        <a:noFill/>
                        <a:ln w="19050" cap="flat" cmpd="sng">
                          <a:solidFill>
                            <a:srgbClr val="FF0000"/>
                          </a:solidFill>
                          <a:prstDash val="solid"/>
                          <a:round/>
                          <a:headEnd type="none" w="sm" len="sm"/>
                          <a:tailEnd type="none" w="sm" len="sm"/>
                        </a:ln>
                      </wps:spPr>
                      <wps:txbx>
                        <w:txbxContent>
                          <w:p w:rsidR="00AB7A8A" w:rsidRDefault="00AB7A8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2654300</wp:posOffset>
                </wp:positionV>
                <wp:extent cx="3265170" cy="740410"/>
                <wp:effectExtent b="0" l="0" r="0" t="0"/>
                <wp:wrapNone/>
                <wp:docPr id="28"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3265170" cy="740410"/>
                        </a:xfrm>
                        <a:prstGeom prst="rect"/>
                        <a:ln/>
                      </pic:spPr>
                    </pic:pic>
                  </a:graphicData>
                </a:graphic>
              </wp:anchor>
            </w:drawing>
          </mc:Fallback>
        </mc:AlternateConten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405505"/>
            <wp:effectExtent l="12700" t="12700" r="12700" b="1270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612130" cy="3405505"/>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292100</wp:posOffset>
                </wp:positionH>
                <wp:positionV relativeFrom="paragraph">
                  <wp:posOffset>2349500</wp:posOffset>
                </wp:positionV>
                <wp:extent cx="3562350" cy="902970"/>
                <wp:effectExtent l="0" t="0" r="0" b="0"/>
                <wp:wrapNone/>
                <wp:docPr id="27" name="Rectángulo 27"/>
                <wp:cNvGraphicFramePr/>
                <a:graphic xmlns:a="http://schemas.openxmlformats.org/drawingml/2006/main">
                  <a:graphicData uri="http://schemas.microsoft.com/office/word/2010/wordprocessingShape">
                    <wps:wsp>
                      <wps:cNvSpPr/>
                      <wps:spPr>
                        <a:xfrm>
                          <a:off x="3574350" y="3338040"/>
                          <a:ext cx="3543300" cy="883920"/>
                        </a:xfrm>
                        <a:prstGeom prst="rect">
                          <a:avLst/>
                        </a:prstGeom>
                        <a:noFill/>
                        <a:ln w="19050" cap="flat" cmpd="sng">
                          <a:solidFill>
                            <a:srgbClr val="FF0000"/>
                          </a:solidFill>
                          <a:prstDash val="solid"/>
                          <a:round/>
                          <a:headEnd type="none" w="sm" len="sm"/>
                          <a:tailEnd type="none" w="sm" len="sm"/>
                        </a:ln>
                      </wps:spPr>
                      <wps:txbx>
                        <w:txbxContent>
                          <w:p w:rsidR="00AB7A8A" w:rsidRDefault="00AB7A8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2349500</wp:posOffset>
                </wp:positionV>
                <wp:extent cx="3562350" cy="902970"/>
                <wp:effectExtent b="0" l="0" r="0" t="0"/>
                <wp:wrapNone/>
                <wp:docPr id="27"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3562350" cy="902970"/>
                        </a:xfrm>
                        <a:prstGeom prst="rect"/>
                        <a:ln/>
                      </pic:spPr>
                    </pic:pic>
                  </a:graphicData>
                </a:graphic>
              </wp:anchor>
            </w:drawing>
          </mc:Fallback>
        </mc:AlternateConten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tanto, de las imágenes insertas se colige, que si bien es cierto falta la firma autógrafa de servidores públicos invitados a las sesiones que el Comité de Transparencia emitió para clasificar la información como reservada, también lo es que contienen la mayoría de las firmas y sobre todo, se encuentran firmados por los integrantes mínimos que exige la Ley; es decir, del Titular de la Unidad de Transparencia, el Jefe del Departamento de Archivo Municipal y del Contralor Municipal.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en relación al motivo de inconformidad manifestado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consistente en las firmas por ausencia; mediante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los oficios mediante los cuales los vocales autorizaron  a los servidores públicos para asistir a las sesiones en su representación y suplencia, motivo por el cual firmaron por ausencia justificada.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el Pleno de este Instituto considera que los acuerdos que emitió el Comité de Transparencia, mediante el cual restringe el derecho de acceso a la información, cumple con los requisitos elementales, ya que fue aprobado por la autoridad legalmente facultada para ello, por lo que se determinan atendidos los planteamientos formulados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su solicitud de información descritos en los numerales </w:t>
      </w:r>
      <w:r>
        <w:rPr>
          <w:rFonts w:ascii="Palatino Linotype" w:eastAsia="Palatino Linotype" w:hAnsi="Palatino Linotype" w:cs="Palatino Linotype"/>
          <w:sz w:val="22"/>
          <w:szCs w:val="22"/>
        </w:rPr>
        <w:t xml:space="preserve">1, 2, 3, 4, 5, y 9. </w:t>
      </w: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por cuanto hace a la información entregada para atender el requerimiento señalado en el numeral 7 “</w:t>
      </w:r>
      <w:r>
        <w:rPr>
          <w:rFonts w:ascii="Palatino Linotype" w:eastAsia="Palatino Linotype" w:hAnsi="Palatino Linotype" w:cs="Palatino Linotype"/>
          <w:i/>
        </w:rPr>
        <w:t xml:space="preserve">sueldos de los mandos medios y funcionarios de la Comisaría de Seguridad Pública y Tránsito, en general de los cargos que aparezca en el Organigrama de la Comisaría y/o Dirección de Seguridad Pública y Tránsito”, </w:t>
      </w:r>
      <w:r>
        <w:rPr>
          <w:rFonts w:ascii="Palatino Linotype" w:eastAsia="Palatino Linotype" w:hAnsi="Palatino Linotype" w:cs="Palatino Linotype"/>
        </w:rPr>
        <w:t xml:space="preserve">es de insistir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un  listado titulado </w:t>
      </w:r>
      <w:r>
        <w:rPr>
          <w:rFonts w:ascii="Palatino Linotype" w:eastAsia="Palatino Linotype" w:hAnsi="Palatino Linotype" w:cs="Palatino Linotype"/>
          <w:i/>
        </w:rPr>
        <w:t xml:space="preserve">“Mandos Medios Comisaria </w:t>
      </w:r>
      <w:r>
        <w:rPr>
          <w:rFonts w:ascii="Palatino Linotype" w:eastAsia="Palatino Linotype" w:hAnsi="Palatino Linotype" w:cs="Palatino Linotype"/>
          <w:i/>
        </w:rPr>
        <w:lastRenderedPageBreak/>
        <w:t>Q10”</w:t>
      </w:r>
      <w:r>
        <w:rPr>
          <w:rFonts w:ascii="Palatino Linotype" w:eastAsia="Palatino Linotype" w:hAnsi="Palatino Linotype" w:cs="Palatino Linotype"/>
        </w:rPr>
        <w:t xml:space="preserve"> en el que se observan veinte servidores públicos con el nombre, área de adscripción, cargo, sueldo, total de percepciones, total de deducciones y neto quincenal; registros que coinciden con el organigrama entregado en respuesta. </w:t>
      </w:r>
    </w:p>
    <w:p w:rsidR="00AB7A8A" w:rsidRDefault="002A75F8">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AB7A8A" w:rsidRDefault="00AB7A8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rsidR="00AB7A8A" w:rsidRDefault="002A75F8">
      <w:pPr>
        <w:spacing w:before="240" w:after="360"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Pr>
          <w:rFonts w:ascii="Palatino Linotype" w:eastAsia="Palatino Linotype" w:hAnsi="Palatino Linotype" w:cs="Palatino Linotype"/>
          <w:i/>
          <w:sz w:val="22"/>
          <w:szCs w:val="22"/>
        </w:rPr>
        <w:lastRenderedPageBreak/>
        <w:t>que permita al Instituto Federal de Acceso a la Información y Protección de Datos conocer, vía recurso revisión, al respecto.</w:t>
      </w:r>
    </w:p>
    <w:p w:rsidR="00AB7A8A" w:rsidRDefault="002A75F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relación a los argumentos vertidos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como acto impugnado referentes a: “…</w:t>
      </w:r>
      <w:r>
        <w:rPr>
          <w:rFonts w:ascii="Palatino Linotype" w:eastAsia="Palatino Linotype" w:hAnsi="Palatino Linotype" w:cs="Palatino Linotype"/>
          <w:i/>
          <w:sz w:val="22"/>
          <w:szCs w:val="22"/>
        </w:rPr>
        <w:t xml:space="preserve">1. EL SERVIDOR PUBLICO DE NOMBRE ROJAS ROSAS YEIMI VIRIDIANA CON UN SUELDO DE $10.330 QUINCENALES; </w:t>
      </w:r>
      <w:r w:rsidRPr="0056736E">
        <w:rPr>
          <w:rFonts w:ascii="Palatino Linotype" w:eastAsia="Palatino Linotype" w:hAnsi="Palatino Linotype" w:cs="Palatino Linotype"/>
          <w:i/>
          <w:sz w:val="22"/>
          <w:szCs w:val="22"/>
          <w:u w:val="single"/>
        </w:rPr>
        <w:t>NO ESPECIFICA EL CARGO QUE ACTUALMENTE OCUPA</w:t>
      </w:r>
      <w:r>
        <w:rPr>
          <w:rFonts w:ascii="Palatino Linotype" w:eastAsia="Palatino Linotype" w:hAnsi="Palatino Linotype" w:cs="Palatino Linotype"/>
          <w:i/>
          <w:sz w:val="22"/>
          <w:szCs w:val="22"/>
        </w:rPr>
        <w:t xml:space="preserve">, SI ADEMAS YA NO SE ENCUENTRA LABORANDO EN LA COMISARIA, YA NO SE OBSERVA EN NINGUNA PARTE, </w:t>
      </w:r>
      <w:r w:rsidRPr="0056736E">
        <w:rPr>
          <w:rFonts w:ascii="Palatino Linotype" w:eastAsia="Palatino Linotype" w:hAnsi="Palatino Linotype" w:cs="Palatino Linotype"/>
          <w:i/>
          <w:sz w:val="22"/>
          <w:szCs w:val="22"/>
          <w:u w:val="single"/>
        </w:rPr>
        <w:t>DONDE SE ENCUENTRA Y BAJO QUE CARGO</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2. LOS SERVIDORES PUBLICOS PERFECTO MARQUEZ KARINA Y GRIS HERNANDEZ MARIA ELENA CON SUELDOS DE $10.532 Y 10.330 RESPECTIVAMENTE, NO ESPECIFICAN </w:t>
      </w:r>
      <w:r w:rsidRPr="0056736E">
        <w:rPr>
          <w:rFonts w:ascii="Palatino Linotype" w:eastAsia="Palatino Linotype" w:hAnsi="Palatino Linotype" w:cs="Palatino Linotype"/>
          <w:i/>
          <w:sz w:val="22"/>
          <w:szCs w:val="22"/>
          <w:u w:val="single"/>
        </w:rPr>
        <w:t>QUE CARGO OCUPAN EN LA COMISARIA GENERAL Y QUE FUNCIONES DESEMPEÑAN</w:t>
      </w:r>
      <w:r>
        <w:rPr>
          <w:rFonts w:ascii="Palatino Linotype" w:eastAsia="Palatino Linotype" w:hAnsi="Palatino Linotype" w:cs="Palatino Linotype"/>
          <w:i/>
          <w:sz w:val="22"/>
          <w:szCs w:val="22"/>
        </w:rPr>
        <w:t xml:space="preserve">…4.- EL SERVIDOR PUBLICO AMAYA HERNANDEZ JOSE… </w:t>
      </w:r>
      <w:r w:rsidRPr="0056736E">
        <w:rPr>
          <w:rFonts w:ascii="Palatino Linotype" w:eastAsia="Palatino Linotype" w:hAnsi="Palatino Linotype" w:cs="Palatino Linotype"/>
          <w:i/>
          <w:sz w:val="22"/>
          <w:szCs w:val="22"/>
          <w:u w:val="single"/>
        </w:rPr>
        <w:t>CUAL ES SU CARGO Y FUNCIONES REALES</w:t>
      </w:r>
      <w:proofErr w:type="gramStart"/>
      <w:r w:rsidRPr="0056736E">
        <w:rPr>
          <w:rFonts w:ascii="Palatino Linotype" w:eastAsia="Palatino Linotype" w:hAnsi="Palatino Linotype" w:cs="Palatino Linotype"/>
          <w:i/>
          <w:sz w:val="22"/>
          <w:szCs w:val="22"/>
          <w:u w:val="single"/>
        </w:rPr>
        <w:t>?</w:t>
      </w:r>
      <w:proofErr w:type="gramEnd"/>
      <w:r>
        <w:rPr>
          <w:rFonts w:ascii="Palatino Linotype" w:eastAsia="Palatino Linotype" w:hAnsi="Palatino Linotype" w:cs="Palatino Linotype"/>
          <w:i/>
          <w:sz w:val="22"/>
          <w:szCs w:val="22"/>
        </w:rPr>
        <w:t>...”</w:t>
      </w:r>
      <w:r>
        <w:rPr>
          <w:rFonts w:ascii="Palatino Linotype" w:eastAsia="Palatino Linotype" w:hAnsi="Palatino Linotype" w:cs="Palatino Linotype"/>
        </w:rPr>
        <w:t xml:space="preserve">resulta ser una ampliación a lo que inicialmente solicitó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 solicitud de información primigenia;</w:t>
      </w:r>
      <w:r w:rsidR="0056736E">
        <w:rPr>
          <w:rFonts w:ascii="Palatino Linotype" w:eastAsia="Palatino Linotype" w:hAnsi="Palatino Linotype" w:cs="Palatino Linotype"/>
        </w:rPr>
        <w:t xml:space="preserve"> ya que de diversos servidores públicos, requiere el cargo actual y funciones que desempeñan; pronunciamientos que constituyen </w:t>
      </w:r>
      <w:r>
        <w:rPr>
          <w:rFonts w:ascii="Palatino Linotype" w:eastAsia="Palatino Linotype" w:hAnsi="Palatino Linotype" w:cs="Palatino Linotype"/>
        </w:rPr>
        <w:t xml:space="preserve">una </w:t>
      </w:r>
      <w:r>
        <w:rPr>
          <w:rFonts w:ascii="Palatino Linotype" w:eastAsia="Palatino Linotype" w:hAnsi="Palatino Linotype" w:cs="Palatino Linotype"/>
          <w:b/>
          <w:i/>
        </w:rPr>
        <w:t xml:space="preserve">Plus </w:t>
      </w:r>
      <w:proofErr w:type="spellStart"/>
      <w:r>
        <w:rPr>
          <w:rFonts w:ascii="Palatino Linotype" w:eastAsia="Palatino Linotype" w:hAnsi="Palatino Linotype" w:cs="Palatino Linotype"/>
          <w:b/>
          <w:i/>
        </w:rPr>
        <w:t>Petitio</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a su solicitud inicial que no puede</w:t>
      </w:r>
      <w:r w:rsidR="0056736E">
        <w:rPr>
          <w:rFonts w:ascii="Palatino Linotype" w:eastAsia="Palatino Linotype" w:hAnsi="Palatino Linotype" w:cs="Palatino Linotype"/>
        </w:rPr>
        <w:t>n</w:t>
      </w:r>
      <w:r>
        <w:rPr>
          <w:rFonts w:ascii="Palatino Linotype" w:eastAsia="Palatino Linotype" w:hAnsi="Palatino Linotype" w:cs="Palatino Linotype"/>
        </w:rPr>
        <w:t xml:space="preserve"> abordarse</w:t>
      </w:r>
      <w:r>
        <w:rPr>
          <w:rFonts w:ascii="Palatino Linotype" w:eastAsia="Palatino Linotype" w:hAnsi="Palatino Linotype" w:cs="Palatino Linotype"/>
          <w:i/>
        </w:rPr>
        <w:t xml:space="preserve">. </w:t>
      </w: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Sustenta lo anterior, por analogía, la tesis aislada número I.8o.A.136 A, de la Novena Época, publicada en el Semanario Oficial de la Federación y su Gaceta Tomo XXIX, Marzo de 2009, página 2887, con número de registro 167607, que lleva por rubro y texto los siguientes:</w:t>
      </w:r>
    </w:p>
    <w:p w:rsidR="00AB7A8A" w:rsidRDefault="00AB7A8A">
      <w:pPr>
        <w:spacing w:line="360" w:lineRule="auto"/>
        <w:jc w:val="both"/>
        <w:rPr>
          <w:rFonts w:ascii="Palatino Linotype" w:eastAsia="Palatino Linotype" w:hAnsi="Palatino Linotype" w:cs="Palatino Linotype"/>
        </w:rPr>
      </w:pPr>
    </w:p>
    <w:p w:rsidR="00AB7A8A" w:rsidRDefault="002A75F8">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TRANSPARENCIA Y ACCESO A LA INFORMACIÓN PÚBLICA GUBERNAMENTAL. LOS ARTÍCULOS 1, 2 Y 6 DE LA LEY FEDERAL RELATIVA, NO DEBEN INTERPRETARSE EN EL SENTIDO DE </w:t>
      </w:r>
      <w:r>
        <w:rPr>
          <w:rFonts w:ascii="Palatino Linotype" w:eastAsia="Palatino Linotype" w:hAnsi="Palatino Linotype" w:cs="Palatino Linotype"/>
          <w:b/>
          <w:i/>
          <w:color w:val="000000"/>
          <w:sz w:val="22"/>
          <w:szCs w:val="22"/>
        </w:rPr>
        <w:lastRenderedPageBreak/>
        <w:t>PERMITIR AL GOBERNADO QUE A SU ARBITRIO SOLICITE COPIA DE DOCUMENTOS QUE NO OBREN EN LOS EXPEDIENTES DE LOS SUJETOS OBLIGADOS, O SEAN DISTINTOS A LOS DE SU PETICIÓN INICIAL.</w:t>
      </w:r>
      <w:r>
        <w:rPr>
          <w:rFonts w:ascii="Palatino Linotype" w:eastAsia="Palatino Linotype" w:hAnsi="Palatino Linotype" w:cs="Palatino Linotype"/>
          <w:i/>
          <w:color w:val="000000"/>
          <w:sz w:val="22"/>
          <w:szCs w:val="22"/>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AB7A8A" w:rsidRDefault="00AB7A8A">
      <w:pPr>
        <w:spacing w:line="360" w:lineRule="auto"/>
        <w:jc w:val="both"/>
        <w:rPr>
          <w:rFonts w:ascii="Palatino Linotype" w:eastAsia="Palatino Linotype" w:hAnsi="Palatino Linotype" w:cs="Palatino Linotype"/>
          <w:sz w:val="22"/>
          <w:szCs w:val="22"/>
        </w:rPr>
      </w:pP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ha sido criterio del Instituto Nacional de Transparencia, Acceso a la Información y Protección de Datos Personales bajo el número 27/10 que </w:t>
      </w:r>
      <w:r>
        <w:rPr>
          <w:rFonts w:ascii="Palatino Linotype" w:eastAsia="Palatino Linotype" w:hAnsi="Palatino Linotype" w:cs="Palatino Linotype"/>
          <w:u w:val="single"/>
        </w:rPr>
        <w:t>resulta improcedente ampliar las solicitudes de información pública o de datos personales a través de la interposición del recurso de revisión</w:t>
      </w:r>
      <w:r>
        <w:rPr>
          <w:rFonts w:ascii="Palatino Linotype" w:eastAsia="Palatino Linotype" w:hAnsi="Palatino Linotype" w:cs="Palatino Linotype"/>
        </w:rPr>
        <w:t xml:space="preserve">, como se estima acontece en el presente asunto, al aumentar datos a la solicitud inicial, </w:t>
      </w:r>
      <w:r>
        <w:rPr>
          <w:rFonts w:ascii="Palatino Linotype" w:eastAsia="Palatino Linotype" w:hAnsi="Palatino Linotype" w:cs="Palatino Linotype"/>
          <w:b/>
        </w:rPr>
        <w:t>por lo que se insiste no se puede entrar al estudio de la información novedosa</w:t>
      </w:r>
      <w:r>
        <w:rPr>
          <w:rFonts w:ascii="Palatino Linotype" w:eastAsia="Palatino Linotype" w:hAnsi="Palatino Linotype" w:cs="Palatino Linotype"/>
        </w:rPr>
        <w:t>, criterio que es de la literalidad siguiente:</w:t>
      </w:r>
    </w:p>
    <w:p w:rsidR="00AB7A8A" w:rsidRDefault="00AB7A8A">
      <w:pPr>
        <w:spacing w:line="360" w:lineRule="auto"/>
        <w:jc w:val="both"/>
        <w:rPr>
          <w:rFonts w:ascii="Palatino Linotype" w:eastAsia="Palatino Linotype" w:hAnsi="Palatino Linotype" w:cs="Palatino Linotype"/>
          <w:sz w:val="22"/>
          <w:szCs w:val="22"/>
        </w:rPr>
      </w:pPr>
    </w:p>
    <w:p w:rsidR="00AB7A8A" w:rsidRDefault="002A75F8">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w:t>
      </w:r>
      <w:r>
        <w:rPr>
          <w:rFonts w:ascii="Palatino Linotype" w:eastAsia="Palatino Linotype" w:hAnsi="Palatino Linotype" w:cs="Palatino Linotype"/>
          <w:i/>
          <w:color w:val="000000"/>
          <w:sz w:val="22"/>
          <w:szCs w:val="22"/>
        </w:rPr>
        <w:lastRenderedPageBreak/>
        <w:t>a la Información y Protección de Datos. Lo anterior, sin perjuicio de que los recurrentes puedan ejercer su derecho a realizar una nueva solicitud en términos de la Ley de la materia.”</w:t>
      </w:r>
    </w:p>
    <w:p w:rsidR="00AB7A8A" w:rsidRDefault="00AB7A8A">
      <w:pPr>
        <w:spacing w:line="360" w:lineRule="auto"/>
        <w:jc w:val="both"/>
        <w:rPr>
          <w:rFonts w:ascii="Palatino Linotype" w:eastAsia="Palatino Linotype" w:hAnsi="Palatino Linotype" w:cs="Palatino Linotype"/>
          <w:sz w:val="22"/>
          <w:szCs w:val="22"/>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rPr>
        <w:t xml:space="preserve">Finalmente,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al momento de interponer el recurso de revisión manifestó como acto </w:t>
      </w:r>
      <w:proofErr w:type="spellStart"/>
      <w:r>
        <w:rPr>
          <w:rFonts w:ascii="Palatino Linotype" w:eastAsia="Palatino Linotype" w:hAnsi="Palatino Linotype" w:cs="Palatino Linotype"/>
        </w:rPr>
        <w:t>impugando</w:t>
      </w:r>
      <w:proofErr w:type="spellEnd"/>
      <w:r>
        <w:rPr>
          <w:rFonts w:ascii="Palatino Linotype" w:eastAsia="Palatino Linotype" w:hAnsi="Palatino Linotype" w:cs="Palatino Linotype"/>
        </w:rPr>
        <w:t>: “</w:t>
      </w:r>
      <w:r>
        <w:rPr>
          <w:rFonts w:ascii="Palatino Linotype" w:eastAsia="Palatino Linotype" w:hAnsi="Palatino Linotype" w:cs="Palatino Linotype"/>
          <w:i/>
        </w:rPr>
        <w:t>…</w:t>
      </w:r>
      <w:r>
        <w:rPr>
          <w:rFonts w:ascii="Palatino Linotype" w:eastAsia="Palatino Linotype" w:hAnsi="Palatino Linotype" w:cs="Palatino Linotype"/>
          <w:i/>
          <w:sz w:val="22"/>
          <w:szCs w:val="22"/>
        </w:rPr>
        <w:t>3. EL SERVIDOR PUBLICO RUTH MORALES MARTINEZ CON CARGO DE COORDINADOR DE CONTROL OPERATIVO CON SUELDO DE $10.330 Y CARGO DE COORDINADOR, TIENE EL MISMOSUELDO DE LOS SERVIDORES PUBLCOS ANTERIORES CUANDO ESTAS SON JEFES DE DEPARTAMENTO Y RUTH ES LA QUE SE "ENCARGA DE COORDINAR TODA LA CUESTION OPERATIVA". 4.- EL SERVIDOR PUBLICO AMAYA HERNANDEZ JOSE CON UN SUELDO DE $15.808 Y CARGO DE COORDINADOR DE PREVENCION; ESTA PERSONA SE PRESENTA EN ACTOS PUBLICOS COMO SECRETARIO TECNICO DEL CONSEJO MUNICIPAL DE SEGURIDAD PUBLICA, CUAL ES SU CARGO Y FUNCIONES REALES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Y EN EL MISMO TABULADOR APARECE CHAVELAS VARGAS JOSE DECNINI, IGUAL COMO COORDINADOR DE PREVENCION Y CON UN SUELDO DE $ 10.330, HAY DOS CARGOS IGUALES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O DOS TITULARES DE LA MISMA AREA?? 5. PORQUE EL DIRECTOR HERNANDEZ GARCIA RODRIGO IVAN DIRECTOR DE SEGURIDAD PUBLICA TIENE EL SUELDO DE $22.528 Y EL DIRECTOR DE TRANSITO JOSE DE JESUS RODRIGUEZ </w:t>
      </w:r>
      <w:proofErr w:type="spellStart"/>
      <w:r>
        <w:rPr>
          <w:rFonts w:ascii="Palatino Linotype" w:eastAsia="Palatino Linotype" w:hAnsi="Palatino Linotype" w:cs="Palatino Linotype"/>
          <w:i/>
          <w:sz w:val="22"/>
          <w:szCs w:val="22"/>
        </w:rPr>
        <w:t>RODRIGUEZ</w:t>
      </w:r>
      <w:proofErr w:type="spellEnd"/>
      <w:r>
        <w:rPr>
          <w:rFonts w:ascii="Palatino Linotype" w:eastAsia="Palatino Linotype" w:hAnsi="Palatino Linotype" w:cs="Palatino Linotype"/>
          <w:i/>
          <w:sz w:val="22"/>
          <w:szCs w:val="22"/>
        </w:rPr>
        <w:t xml:space="preserve"> GANA $14.732</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SERA QUE EL PRIMERO POR SER ESPOSO DE LA SECRETARIA PARTICULAR DEL PRESIDENTE RICARDO NUÑEZ? O BIEN QUE EXPLIQUEN ESA VARIACION DE SALARIO, SI LOS DOS SON DIRECTORES DE AREA…</w:t>
      </w:r>
      <w:r>
        <w:rPr>
          <w:rFonts w:ascii="Palatino Linotype" w:eastAsia="Palatino Linotype" w:hAnsi="Palatino Linotype" w:cs="Palatino Linotype"/>
          <w:i/>
        </w:rPr>
        <w:t xml:space="preserve">”; </w:t>
      </w:r>
      <w:r>
        <w:rPr>
          <w:rFonts w:ascii="Palatino Linotype" w:eastAsia="Palatino Linotype" w:hAnsi="Palatino Linotype" w:cs="Palatino Linotype"/>
          <w:color w:val="000000"/>
        </w:rPr>
        <w:t xml:space="preserve">se advierte que se trata de cuestionamientos y manifestaciones subjetivas, no atendibles mediante el ejercicio del derecho de acceso a la información; por lo que,  la entrega de una razón o un razonamiento por parte del Sujeto Obligado no es algo que la ley establezca como atribución, derecho, o facultad; pues ello implicaría un juicio de valor referente a </w:t>
      </w:r>
      <w:r>
        <w:rPr>
          <w:rFonts w:ascii="Palatino Linotype" w:eastAsia="Palatino Linotype" w:hAnsi="Palatino Linotype" w:cs="Palatino Linotype"/>
          <w:b/>
          <w:color w:val="000000"/>
          <w:u w:val="single"/>
        </w:rPr>
        <w:t>un cuestionamiento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realizado, los cuales, </w:t>
      </w:r>
      <w:r>
        <w:rPr>
          <w:rFonts w:ascii="Palatino Linotype" w:eastAsia="Palatino Linotype" w:hAnsi="Palatino Linotype" w:cs="Palatino Linotype"/>
          <w:b/>
          <w:color w:val="000000"/>
          <w:u w:val="single"/>
        </w:rPr>
        <w:t>al constituir interrogantes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inquietudes</w:t>
      </w:r>
      <w:r>
        <w:rPr>
          <w:rFonts w:ascii="Palatino Linotype" w:eastAsia="Palatino Linotype" w:hAnsi="Palatino Linotype" w:cs="Palatino Linotype"/>
          <w:color w:val="000000"/>
        </w:rPr>
        <w:t xml:space="preserve"> y manifestaciones se satisfacen vía derecho de petición. </w:t>
      </w:r>
    </w:p>
    <w:p w:rsidR="00AB7A8A" w:rsidRDefault="00AB7A8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es </w:t>
      </w:r>
      <w:r>
        <w:rPr>
          <w:rFonts w:ascii="Palatino Linotype" w:eastAsia="Palatino Linotype" w:hAnsi="Palatino Linotype" w:cs="Palatino Linotype"/>
        </w:rPr>
        <w:t>trascendental</w:t>
      </w:r>
      <w:r>
        <w:rPr>
          <w:rFonts w:ascii="Palatino Linotype" w:eastAsia="Palatino Linotype" w:hAnsi="Palatino Linotype" w:cs="Palatino Linotype"/>
          <w:color w:val="000000"/>
        </w:rPr>
        <w:t xml:space="preserve"> dejar en claro lo que debe entenderse por derecho de petición y por derecho de acceso a la información pública.</w:t>
      </w:r>
    </w:p>
    <w:p w:rsidR="00AB7A8A" w:rsidRDefault="00AB7A8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Por lo que respecta a la definición de derecho de petición, el Maestro Ignacio Burgoa Orihuela refiere: “…</w:t>
      </w:r>
      <w:r>
        <w:rPr>
          <w:rFonts w:ascii="Palatino Linotype" w:eastAsia="Palatino Linotype" w:hAnsi="Palatino Linotype" w:cs="Palatino Linotype"/>
          <w:i/>
          <w:color w:val="000000"/>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w:t>
      </w:r>
    </w:p>
    <w:p w:rsidR="00AB7A8A" w:rsidRDefault="00AB7A8A">
      <w:pPr>
        <w:pBdr>
          <w:top w:val="nil"/>
          <w:left w:val="nil"/>
          <w:bottom w:val="nil"/>
          <w:right w:val="nil"/>
          <w:between w:val="nil"/>
        </w:pBdr>
        <w:ind w:left="720"/>
        <w:rPr>
          <w:rFonts w:ascii="Palatino Linotype" w:eastAsia="Palatino Linotype" w:hAnsi="Palatino Linotype" w:cs="Palatino Linotype"/>
          <w:i/>
          <w:color w:val="000000"/>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su parte, David Cienfuegos Salgado, concibe al derecho de petición como </w:t>
      </w:r>
      <w:r>
        <w:rPr>
          <w:rFonts w:ascii="Palatino Linotype" w:eastAsia="Palatino Linotype" w:hAnsi="Palatino Linotype" w:cs="Palatino Linotype"/>
          <w:i/>
          <w:color w:val="000000"/>
        </w:rPr>
        <w:t>“el derecho de toda persona a ser escuchado por quienes ejercen el poder público</w:t>
      </w:r>
      <w:proofErr w:type="gramStart"/>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vertAlign w:val="superscript"/>
        </w:rPr>
        <w:t xml:space="preserve"> </w:t>
      </w:r>
      <w:proofErr w:type="gramEnd"/>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i/>
          <w:color w:val="000000"/>
        </w:rPr>
        <w:t>” .</w:t>
      </w:r>
    </w:p>
    <w:p w:rsidR="00AB7A8A" w:rsidRDefault="00AB7A8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 este respecto, y para diferenciar el derecho de petición al derecho de acceso a la información, resulta conducente señalar que José Guadalupe Robles, conceptualiza el derecho a la información como </w:t>
      </w:r>
      <w:r>
        <w:rPr>
          <w:rFonts w:ascii="Palatino Linotype" w:eastAsia="Palatino Linotype" w:hAnsi="Palatino Linotype" w:cs="Palatino Linotype"/>
          <w:i/>
          <w:color w:val="000000"/>
        </w:rPr>
        <w:t xml:space="preserve">“un derecho fundamental tanto de carácter individual como colectivo, cuyas limitaciones deben estar establecida en la ley, así como una garantía de que la información sea transmitida con claridad y objetividad, por cuanto a que es un bien </w:t>
      </w:r>
      <w:r>
        <w:rPr>
          <w:rFonts w:ascii="Palatino Linotype" w:eastAsia="Palatino Linotype" w:hAnsi="Palatino Linotype" w:cs="Palatino Linotype"/>
          <w:i/>
          <w:color w:val="000000"/>
        </w:rPr>
        <w:lastRenderedPageBreak/>
        <w:t>jurídico que coadyuva al desarrollo de las personas y a la formación de opinión pública de calidad para poder participar y luego influir en la vida pública.</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i/>
          <w:color w:val="000000"/>
        </w:rPr>
        <w:t>“.</w:t>
      </w:r>
    </w:p>
    <w:p w:rsidR="00AB7A8A" w:rsidRDefault="00AB7A8A">
      <w:pPr>
        <w:pBdr>
          <w:top w:val="nil"/>
          <w:left w:val="nil"/>
          <w:bottom w:val="nil"/>
          <w:right w:val="nil"/>
          <w:between w:val="nil"/>
        </w:pBdr>
        <w:ind w:left="720"/>
        <w:rPr>
          <w:rFonts w:ascii="Palatino Linotype" w:eastAsia="Palatino Linotype" w:hAnsi="Palatino Linotype" w:cs="Palatino Linotype"/>
          <w:i/>
          <w:color w:val="000000"/>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el derecho a la información constituye una prerrogativa de acceder a documentación en poder de los Sujetos Obligados, </w:t>
      </w:r>
      <w:r>
        <w:rPr>
          <w:rFonts w:ascii="Palatino Linotype" w:eastAsia="Palatino Linotype" w:hAnsi="Palatino Linotype" w:cs="Palatino Linotype"/>
          <w:b/>
          <w:color w:val="000000"/>
          <w:u w:val="single"/>
        </w:rPr>
        <w:t>NO ASÍ A REALIZAR CUESTIONAMIENTOS</w:t>
      </w:r>
      <w:r>
        <w:rPr>
          <w:rFonts w:ascii="Palatino Linotype" w:eastAsia="Palatino Linotype" w:hAnsi="Palatino Linotype" w:cs="Palatino Linotype"/>
          <w:color w:val="000000"/>
        </w:rPr>
        <w:t xml:space="preserve">. Sirve de apoyo a lo anterior la definición de derecho a la información de Ernesto Villanueva </w:t>
      </w:r>
      <w:proofErr w:type="spellStart"/>
      <w:r>
        <w:rPr>
          <w:rFonts w:ascii="Palatino Linotype" w:eastAsia="Palatino Linotype" w:hAnsi="Palatino Linotype" w:cs="Palatino Linotype"/>
          <w:color w:val="000000"/>
        </w:rPr>
        <w:t>Villanueva</w:t>
      </w:r>
      <w:proofErr w:type="spellEnd"/>
      <w:r>
        <w:rPr>
          <w:rFonts w:ascii="Palatino Linotype" w:eastAsia="Palatino Linotype" w:hAnsi="Palatino Linotype" w:cs="Palatino Linotype"/>
          <w:color w:val="000000"/>
        </w:rPr>
        <w:t xml:space="preserve"> que dice: “</w:t>
      </w:r>
      <w:r>
        <w:rPr>
          <w:rFonts w:ascii="Palatino Linotype" w:eastAsia="Palatino Linotype" w:hAnsi="Palatino Linotype" w:cs="Palatino Linotype"/>
          <w:i/>
          <w:color w:val="000000"/>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Pr>
          <w:rFonts w:ascii="Palatino Linotype" w:eastAsia="Palatino Linotype" w:hAnsi="Palatino Linotype" w:cs="Palatino Linotype"/>
          <w:i/>
          <w:color w:val="000000"/>
        </w:rPr>
        <w:t xml:space="preserve">” </w:t>
      </w:r>
      <w:proofErr w:type="gramEnd"/>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i/>
          <w:color w:val="000000"/>
        </w:rPr>
        <w:t>.</w:t>
      </w:r>
    </w:p>
    <w:p w:rsidR="00AB7A8A" w:rsidRDefault="00AB7A8A">
      <w:pPr>
        <w:pBdr>
          <w:top w:val="nil"/>
          <w:left w:val="nil"/>
          <w:bottom w:val="nil"/>
          <w:right w:val="nil"/>
          <w:between w:val="nil"/>
        </w:pBdr>
        <w:ind w:left="720"/>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w:t>
      </w:r>
      <w:r>
        <w:rPr>
          <w:rFonts w:ascii="Palatino Linotype" w:eastAsia="Palatino Linotype" w:hAnsi="Palatino Linotype" w:cs="Palatino Linotype"/>
          <w:b/>
          <w:color w:val="000000"/>
        </w:rPr>
        <w:t>que conste en documentos</w:t>
      </w:r>
      <w:r>
        <w:rPr>
          <w:rFonts w:ascii="Palatino Linotype" w:eastAsia="Palatino Linotype" w:hAnsi="Palatino Linotype" w:cs="Palatino Linotype"/>
          <w:color w:val="000000"/>
        </w:rPr>
        <w:t>, sea generada o se encuentre en posesión de la autoridad.</w:t>
      </w:r>
    </w:p>
    <w:p w:rsidR="00AB7A8A" w:rsidRDefault="00AB7A8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B7A8A" w:rsidRDefault="002A75F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En ese sentido, se debe tomar en cuenta lo dispuesto en el artículos 12, de la Ley de Transparencia y Acceso a la Información Pública del Estado de México y Municipios  y referir que el derecho de acceso a la información pública se satisface en aquellos </w:t>
      </w:r>
      <w:r>
        <w:rPr>
          <w:rFonts w:ascii="Palatino Linotype" w:eastAsia="Palatino Linotype" w:hAnsi="Palatino Linotype" w:cs="Palatino Linotype"/>
          <w:color w:val="000000"/>
        </w:rPr>
        <w:lastRenderedPageBreak/>
        <w:t xml:space="preserve">casos en que se entregue el soporte documental en que conste o se advierta la información pública, toda vez que no se tiene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las inquietudes específicas de los solicitantes.</w:t>
      </w:r>
    </w:p>
    <w:p w:rsidR="00AB7A8A" w:rsidRDefault="002A75F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este Órgano Garante en distintas oportunidades ha señalado que </w:t>
      </w:r>
      <w:r>
        <w:rPr>
          <w:rFonts w:ascii="Palatino Linotype" w:eastAsia="Palatino Linotype" w:hAnsi="Palatino Linotype" w:cs="Palatino Linotype"/>
          <w:b/>
          <w:color w:val="000000"/>
        </w:rPr>
        <w:t>responder a solicitudes de información, formularios o cuestionarios requeridos por las personas</w:t>
      </w:r>
      <w:r>
        <w:rPr>
          <w:rFonts w:ascii="Palatino Linotype" w:eastAsia="Palatino Linotype" w:hAnsi="Palatino Linotype" w:cs="Palatino Linotype"/>
          <w:color w:val="000000"/>
        </w:rPr>
        <w:t xml:space="preserve">, a través de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xml:space="preserve"> Sistemáticamente se ha señalado, y así lo entienden tanto otros Órganos Garantes</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xml:space="preserve"> como Órganos Internacionales Especializados,</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que el derecho de acceso a la información pública </w:t>
      </w:r>
      <w:r>
        <w:rPr>
          <w:rFonts w:ascii="Palatino Linotype" w:eastAsia="Palatino Linotype" w:hAnsi="Palatino Linotype" w:cs="Palatino Linotype"/>
          <w:color w:val="000000"/>
        </w:rPr>
        <w:lastRenderedPageBreak/>
        <w:t xml:space="preserve">consiste en el acceso a documentos generados por la autoridad con antelación a que fuera presentada la solicitud de acceso a la información pública. </w:t>
      </w:r>
    </w:p>
    <w:p w:rsidR="00AB7A8A" w:rsidRDefault="002A75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lo anterior, se dejan a salvo los derechos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de considerarlo oportuno, presente una nueva solicitud de información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la que formule los requerimientos atendiendo las consideraciones señaladas en este rubro. </w:t>
      </w:r>
    </w:p>
    <w:p w:rsidR="00AB7A8A" w:rsidRDefault="00AB7A8A">
      <w:pPr>
        <w:spacing w:line="360" w:lineRule="auto"/>
        <w:jc w:val="both"/>
        <w:rPr>
          <w:rFonts w:ascii="Palatino Linotype" w:eastAsia="Palatino Linotype" w:hAnsi="Palatino Linotype" w:cs="Palatino Linotype"/>
          <w:sz w:val="22"/>
          <w:szCs w:val="22"/>
        </w:rPr>
      </w:pPr>
    </w:p>
    <w:p w:rsidR="00AB7A8A" w:rsidRDefault="002A75F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resultan infundadas las razones o motivos de inconformidad hechos valer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toda vez que no se actualiza la hipótesis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222222"/>
        </w:rPr>
        <w:t xml:space="preserve">contenida en el artículo 179 fracciones I y XIII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222222"/>
        </w:rPr>
        <w:t>, por lo que este Órgano Garante emite los siguientes</w:t>
      </w:r>
      <w:r>
        <w:rPr>
          <w:rFonts w:ascii="Palatino Linotype" w:eastAsia="Palatino Linotype" w:hAnsi="Palatino Linotype" w:cs="Palatino Linotype"/>
          <w:color w:val="000000"/>
        </w:rPr>
        <w:t xml:space="preserve">: </w:t>
      </w:r>
    </w:p>
    <w:p w:rsidR="00AB7A8A" w:rsidRDefault="002A75F8">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B33A8B" w:rsidRDefault="00B33A8B">
      <w:pPr>
        <w:tabs>
          <w:tab w:val="left" w:pos="709"/>
        </w:tabs>
        <w:spacing w:before="240" w:after="240" w:line="360" w:lineRule="auto"/>
        <w:jc w:val="both"/>
        <w:rPr>
          <w:rFonts w:ascii="Palatino Linotype" w:eastAsia="Palatino Linotype" w:hAnsi="Palatino Linotype" w:cs="Palatino Linotype"/>
        </w:rPr>
      </w:pPr>
    </w:p>
    <w:p w:rsidR="00B33A8B" w:rsidRDefault="00B33A8B">
      <w:pPr>
        <w:tabs>
          <w:tab w:val="left" w:pos="709"/>
        </w:tabs>
        <w:spacing w:before="240" w:after="240" w:line="360" w:lineRule="auto"/>
        <w:jc w:val="both"/>
        <w:rPr>
          <w:rFonts w:ascii="Palatino Linotype" w:eastAsia="Palatino Linotype" w:hAnsi="Palatino Linotype" w:cs="Palatino Linotype"/>
        </w:rPr>
      </w:pPr>
    </w:p>
    <w:p w:rsidR="00AB7A8A" w:rsidRDefault="002A75F8">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 E S U E L V E:</w:t>
      </w:r>
    </w:p>
    <w:p w:rsidR="00AB7A8A" w:rsidRDefault="002A75F8">
      <w:pPr>
        <w:tabs>
          <w:tab w:val="left" w:pos="709"/>
        </w:tabs>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rPr>
        <w:t xml:space="preserve">Resultan infundadas las razones y motivos de inconformidad hechos valer en el recurso de revisión </w:t>
      </w:r>
      <w:r>
        <w:rPr>
          <w:rFonts w:ascii="Palatino Linotype" w:eastAsia="Palatino Linotype" w:hAnsi="Palatino Linotype" w:cs="Palatino Linotype"/>
          <w:b/>
        </w:rPr>
        <w:t>03979/INFOEM/IP/RR/2021</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la presente resolución.</w:t>
      </w:r>
    </w:p>
    <w:p w:rsidR="00AB7A8A" w:rsidRDefault="002A75F8">
      <w:pPr>
        <w:tabs>
          <w:tab w:val="left" w:pos="709"/>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SEGUNDO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Ayuntamiento de Cuautitlán Izcalli</w:t>
      </w:r>
      <w:r>
        <w:rPr>
          <w:rFonts w:ascii="Palatino Linotype" w:eastAsia="Palatino Linotype" w:hAnsi="Palatino Linotype" w:cs="Palatino Linotype"/>
        </w:rPr>
        <w:t xml:space="preserve"> a la solicitud </w:t>
      </w:r>
      <w:r>
        <w:rPr>
          <w:rFonts w:ascii="Palatino Linotype" w:eastAsia="Palatino Linotype" w:hAnsi="Palatino Linotype" w:cs="Palatino Linotype"/>
          <w:b/>
        </w:rPr>
        <w:t>00294/CUAUTIZC/IP/2021.</w:t>
      </w:r>
    </w:p>
    <w:p w:rsidR="00AB7A8A" w:rsidRDefault="002A75F8">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Sistema de Acceso a la Información Mexiquense (SAIMEX), 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AB7A8A" w:rsidRDefault="002A75F8">
      <w:pPr>
        <w:tabs>
          <w:tab w:val="left" w:pos="709"/>
        </w:tabs>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vía Sistema de Acceso a la Información Mexiquense (SAIMEX) la presente</w:t>
      </w:r>
      <w:r>
        <w:rPr>
          <w:rFonts w:ascii="Palatino Linotype" w:eastAsia="Palatino Linotype" w:hAnsi="Palatino Linotype" w:cs="Palatino Linotype"/>
          <w:color w:val="222222"/>
        </w:rPr>
        <w:t xml:space="preserve"> resolución. </w:t>
      </w:r>
    </w:p>
    <w:p w:rsidR="00AB7A8A" w:rsidRDefault="002A75F8">
      <w:pP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222222"/>
        </w:rPr>
        <w:t xml:space="preserve">QUINTO.-  Notifíquese </w:t>
      </w:r>
      <w:r>
        <w:rPr>
          <w:rFonts w:ascii="Palatino Linotype" w:eastAsia="Palatino Linotype" w:hAnsi="Palatino Linotype" w:cs="Palatino Linotype"/>
          <w:color w:val="222222"/>
        </w:rPr>
        <w:t xml:space="preserve">al  </w:t>
      </w:r>
      <w:r>
        <w:rPr>
          <w:rFonts w:ascii="Palatino Linotype" w:eastAsia="Palatino Linotype" w:hAnsi="Palatino Linotype" w:cs="Palatino Linotype"/>
          <w:b/>
          <w:color w:val="222222"/>
        </w:rPr>
        <w:t xml:space="preserve">RECURRENTE </w:t>
      </w:r>
      <w:r>
        <w:rPr>
          <w:rFonts w:ascii="Palatino Linotype" w:eastAsia="Palatino Linotype" w:hAnsi="Palatino Linotype" w:cs="Palatino Linotype"/>
          <w:color w:val="222222"/>
        </w:rPr>
        <w:t xml:space="preserve">por la misma vía, que </w:t>
      </w:r>
      <w:r>
        <w:rPr>
          <w:rFonts w:ascii="Palatino Linotype" w:eastAsia="Palatino Linotype" w:hAnsi="Palatino Linotype" w:cs="Palatino Linotype"/>
        </w:rPr>
        <w:t xml:space="preserve">de conformidad con lo establecido en el artículo 196 de la Ley de Transparencia y Acceso a la Información Pública del Estado de México y Municipios </w:t>
      </w:r>
      <w:r>
        <w:rPr>
          <w:rFonts w:ascii="Palatino Linotype" w:eastAsia="Palatino Linotype" w:hAnsi="Palatino Linotype" w:cs="Palatino Linotype"/>
          <w:color w:val="000000"/>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B33A8B" w:rsidRDefault="00B33A8B">
      <w:pPr>
        <w:spacing w:before="240" w:after="240" w:line="360" w:lineRule="auto"/>
        <w:jc w:val="both"/>
        <w:rPr>
          <w:rFonts w:ascii="Palatino Linotype" w:eastAsia="Palatino Linotype" w:hAnsi="Palatino Linotype" w:cs="Palatino Linotype"/>
        </w:rPr>
      </w:pPr>
    </w:p>
    <w:p w:rsidR="00AB7A8A" w:rsidRDefault="002A75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LO RESUELVE, POR </w:t>
      </w:r>
      <w:r w:rsidR="00B33A8B">
        <w:rPr>
          <w:rFonts w:ascii="Palatino Linotype" w:eastAsia="Palatino Linotype" w:hAnsi="Palatino Linotype" w:cs="Palatino Linotype"/>
        </w:rPr>
        <w:t>MAYORIA</w:t>
      </w:r>
      <w:r>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B33A8B">
        <w:rPr>
          <w:rFonts w:ascii="Palatino Linotype" w:eastAsia="Palatino Linotype" w:hAnsi="Palatino Linotype" w:cs="Palatino Linotype"/>
        </w:rPr>
        <w:t xml:space="preserve"> EMITIENDO VOTO EN CONTRA CON VOTO DISIDENTE</w:t>
      </w:r>
      <w:r>
        <w:rPr>
          <w:rFonts w:ascii="Palatino Linotype" w:eastAsia="Palatino Linotype" w:hAnsi="Palatino Linotype" w:cs="Palatino Linotype"/>
        </w:rPr>
        <w:t xml:space="preserve"> Y GUADALUPE RAMÍREZ PEÑA; EN LA PRIMERA SESIÓN ORDINARIA CELEBRADA EL DOCE DE ENERO DE DOS MIL VEINTIDOS, ANTE EL SECRETARIO TÉCNICO DEL PLENO, ALEXIS TAPIA RAMÍREZ.</w:t>
      </w:r>
    </w:p>
    <w:p w:rsidR="00F174B9" w:rsidRDefault="00F174B9">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2336" behindDoc="0" locked="0" layoutInCell="1" allowOverlap="1">
                <wp:simplePos x="0" y="0"/>
                <wp:positionH relativeFrom="column">
                  <wp:posOffset>248934</wp:posOffset>
                </wp:positionH>
                <wp:positionV relativeFrom="paragraph">
                  <wp:posOffset>61019</wp:posOffset>
                </wp:positionV>
                <wp:extent cx="5284381" cy="4104168"/>
                <wp:effectExtent l="0" t="0" r="31115" b="29845"/>
                <wp:wrapNone/>
                <wp:docPr id="1" name="Conector recto 1"/>
                <wp:cNvGraphicFramePr/>
                <a:graphic xmlns:a="http://schemas.openxmlformats.org/drawingml/2006/main">
                  <a:graphicData uri="http://schemas.microsoft.com/office/word/2010/wordprocessingShape">
                    <wps:wsp>
                      <wps:cNvCnPr/>
                      <wps:spPr>
                        <a:xfrm>
                          <a:off x="0" y="0"/>
                          <a:ext cx="5284381" cy="41041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06A856"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6pt,4.8pt" to="435.7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" strokecolor="black [3040]"/>
            </w:pict>
          </mc:Fallback>
        </mc:AlternateContent>
      </w: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B33A8B" w:rsidRDefault="00B33A8B">
      <w:pPr>
        <w:spacing w:before="240" w:after="240"/>
        <w:jc w:val="both"/>
        <w:rPr>
          <w:rFonts w:ascii="Palatino Linotype" w:eastAsia="Palatino Linotype" w:hAnsi="Palatino Linotype" w:cs="Palatino Linotype"/>
          <w:sz w:val="20"/>
          <w:szCs w:val="20"/>
        </w:rPr>
      </w:pPr>
    </w:p>
    <w:p w:rsidR="00B33A8B" w:rsidRDefault="00B33A8B">
      <w:pPr>
        <w:spacing w:before="240" w:after="240"/>
        <w:jc w:val="both"/>
        <w:rPr>
          <w:rFonts w:ascii="Palatino Linotype" w:eastAsia="Palatino Linotype" w:hAnsi="Palatino Linotype" w:cs="Palatino Linotype"/>
          <w:sz w:val="20"/>
          <w:szCs w:val="20"/>
        </w:rPr>
      </w:pPr>
    </w:p>
    <w:p w:rsidR="00B33A8B" w:rsidRDefault="00B33A8B">
      <w:pPr>
        <w:spacing w:before="240" w:after="240"/>
        <w:jc w:val="both"/>
        <w:rPr>
          <w:rFonts w:ascii="Palatino Linotype" w:eastAsia="Palatino Linotype" w:hAnsi="Palatino Linotype" w:cs="Palatino Linotype"/>
          <w:sz w:val="20"/>
          <w:szCs w:val="20"/>
        </w:rPr>
      </w:pPr>
    </w:p>
    <w:p w:rsidR="00B33A8B" w:rsidRDefault="00B33A8B">
      <w:pPr>
        <w:spacing w:before="240" w:after="240"/>
        <w:jc w:val="both"/>
        <w:rPr>
          <w:rFonts w:ascii="Palatino Linotype" w:eastAsia="Palatino Linotype" w:hAnsi="Palatino Linotype" w:cs="Palatino Linotype"/>
          <w:sz w:val="20"/>
          <w:szCs w:val="20"/>
        </w:rPr>
      </w:pPr>
    </w:p>
    <w:p w:rsidR="00B33A8B" w:rsidRDefault="00B33A8B">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p w:rsidR="00AB7A8A" w:rsidRDefault="00AB7A8A">
      <w:pPr>
        <w:spacing w:before="240" w:after="240"/>
        <w:jc w:val="both"/>
        <w:rPr>
          <w:rFonts w:ascii="Palatino Linotype" w:eastAsia="Palatino Linotype" w:hAnsi="Palatino Linotype" w:cs="Palatino Linotype"/>
          <w:sz w:val="20"/>
          <w:szCs w:val="20"/>
        </w:rPr>
      </w:pPr>
    </w:p>
    <w:sectPr w:rsidR="00AB7A8A">
      <w:headerReference w:type="default" r:id="rId26"/>
      <w:footerReference w:type="default" r:id="rId27"/>
      <w:headerReference w:type="first" r:id="rId28"/>
      <w:footerReference w:type="first" r:id="rId29"/>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EED" w:rsidRDefault="006F5EED">
      <w:r>
        <w:separator/>
      </w:r>
    </w:p>
  </w:endnote>
  <w:endnote w:type="continuationSeparator" w:id="0">
    <w:p w:rsidR="006F5EED" w:rsidRDefault="006F5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A8A" w:rsidRDefault="002A75F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45E8">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45E8">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rsidR="00AB7A8A" w:rsidRDefault="00AB7A8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A8A" w:rsidRDefault="002A75F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45E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45E8">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rsidR="00AB7A8A" w:rsidRDefault="00AB7A8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EED" w:rsidRDefault="006F5EED">
      <w:r>
        <w:separator/>
      </w:r>
    </w:p>
  </w:footnote>
  <w:footnote w:type="continuationSeparator" w:id="0">
    <w:p w:rsidR="006F5EED" w:rsidRDefault="006F5EED">
      <w:r>
        <w:continuationSeparator/>
      </w:r>
    </w:p>
  </w:footnote>
  <w:footnote w:id="1">
    <w:p w:rsidR="00AB7A8A" w:rsidRDefault="002A75F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rsidR="00AB7A8A" w:rsidRDefault="002A75F8">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rsidR="00AB7A8A" w:rsidRDefault="002A75F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rsidR="00AB7A8A" w:rsidRDefault="002A75F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proofErr w:type="spellStart"/>
      <w:r>
        <w:rPr>
          <w:rFonts w:ascii="Palatino Linotype" w:eastAsia="Palatino Linotype" w:hAnsi="Palatino Linotype" w:cs="Palatino Linotype"/>
          <w:sz w:val="16"/>
          <w:szCs w:val="16"/>
        </w:rPr>
        <w:t>VILLANUEVA</w:t>
      </w:r>
      <w:proofErr w:type="spellEnd"/>
      <w:r>
        <w:rPr>
          <w:rFonts w:ascii="Palatino Linotype" w:eastAsia="Palatino Linotype" w:hAnsi="Palatino Linotype" w:cs="Palatino Linotype"/>
          <w:sz w:val="16"/>
          <w:szCs w:val="16"/>
        </w:rPr>
        <w:t xml:space="preserve"> Ernesto. Derecho de la Información, Ed. Porrúa. S.A., México. 2006. p. 270.</w:t>
      </w:r>
      <w:r>
        <w:rPr>
          <w:rFonts w:ascii="Palatino Linotype" w:eastAsia="Palatino Linotype" w:hAnsi="Palatino Linotype" w:cs="Palatino Linotype"/>
          <w:sz w:val="16"/>
          <w:szCs w:val="16"/>
        </w:rPr>
        <w:tab/>
      </w:r>
    </w:p>
    <w:p w:rsidR="00AB7A8A" w:rsidRDefault="00AB7A8A">
      <w:pPr>
        <w:pBdr>
          <w:top w:val="nil"/>
          <w:left w:val="nil"/>
          <w:bottom w:val="nil"/>
          <w:right w:val="nil"/>
          <w:between w:val="nil"/>
        </w:pBdr>
        <w:jc w:val="both"/>
        <w:rPr>
          <w:rFonts w:ascii="Arial" w:eastAsia="Arial" w:hAnsi="Arial" w:cs="Arial"/>
          <w:color w:val="000000"/>
          <w:sz w:val="16"/>
          <w:szCs w:val="16"/>
        </w:rPr>
      </w:pPr>
    </w:p>
  </w:footnote>
  <w:footnote w:id="5">
    <w:p w:rsidR="00AB7A8A" w:rsidRDefault="002A75F8">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01653/INFOEM/IP/RR/2016 aprobada por Unanimidad de votos en la vigésima quinta sesión ordinaria celebrada el día cuatro (4) de julio de 2016.</w:t>
      </w:r>
    </w:p>
  </w:footnote>
  <w:footnote w:id="6">
    <w:p w:rsidR="00AB7A8A" w:rsidRDefault="002A75F8">
      <w:pPr>
        <w:jc w:val="both"/>
        <w:rPr>
          <w:rFonts w:ascii="Palatino Linotype" w:eastAsia="Palatino Linotype" w:hAnsi="Palatino Linotype" w:cs="Palatino Linotype"/>
          <w:sz w:val="18"/>
          <w:szCs w:val="18"/>
        </w:rPr>
      </w:pPr>
      <w:r>
        <w:rPr>
          <w:vertAlign w:val="superscript"/>
        </w:rPr>
        <w:footnoteRef/>
      </w:r>
      <w:r>
        <w:rPr>
          <w:rFonts w:ascii="Palatino Linotype" w:eastAsia="Palatino Linotype" w:hAnsi="Palatino Linotype" w:cs="Palatino Linotype"/>
          <w:sz w:val="18"/>
          <w:szCs w:val="18"/>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rsidR="00AB7A8A" w:rsidRDefault="002A75F8">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Expedientes: 0438/08 Pemex Exploración y Producción – Alonso Lujambio Irazábal 1751/09 Laboratorios de Biológicos y Reactivos de México S.A. de C.V. – María </w:t>
      </w:r>
      <w:proofErr w:type="spellStart"/>
      <w:r>
        <w:rPr>
          <w:rFonts w:ascii="Palatino Linotype" w:eastAsia="Palatino Linotype" w:hAnsi="Palatino Linotype" w:cs="Palatino Linotype"/>
          <w:i/>
          <w:sz w:val="18"/>
          <w:szCs w:val="18"/>
        </w:rPr>
        <w:t>Marván</w:t>
      </w:r>
      <w:proofErr w:type="spellEnd"/>
      <w:r>
        <w:rPr>
          <w:rFonts w:ascii="Palatino Linotype" w:eastAsia="Palatino Linotype" w:hAnsi="Palatino Linotype" w:cs="Palatino Linotype"/>
          <w:i/>
          <w:sz w:val="18"/>
          <w:szCs w:val="18"/>
        </w:rPr>
        <w:t xml:space="preserve"> Laborde 2868/09 Consejo Nacional de Ciencia y Tecnología – Jacqueline </w:t>
      </w:r>
      <w:proofErr w:type="spellStart"/>
      <w:r>
        <w:rPr>
          <w:rFonts w:ascii="Palatino Linotype" w:eastAsia="Palatino Linotype" w:hAnsi="Palatino Linotype" w:cs="Palatino Linotype"/>
          <w:i/>
          <w:sz w:val="18"/>
          <w:szCs w:val="18"/>
        </w:rPr>
        <w:t>Peschard</w:t>
      </w:r>
      <w:proofErr w:type="spellEnd"/>
      <w:r>
        <w:rPr>
          <w:rFonts w:ascii="Palatino Linotype" w:eastAsia="Palatino Linotype" w:hAnsi="Palatino Linotype" w:cs="Palatino Linotype"/>
          <w:i/>
          <w:sz w:val="18"/>
          <w:szCs w:val="18"/>
        </w:rPr>
        <w:t xml:space="preserve"> Mariscal 5160/09 Secretaría de Hacienda y Crédito Público – Ángel Trinidad Zaldívar 0304/10 Instituto Nacional de Cancerología – Jacqueline </w:t>
      </w:r>
      <w:proofErr w:type="spellStart"/>
      <w:r>
        <w:rPr>
          <w:rFonts w:ascii="Palatino Linotype" w:eastAsia="Palatino Linotype" w:hAnsi="Palatino Linotype" w:cs="Palatino Linotype"/>
          <w:i/>
          <w:sz w:val="18"/>
          <w:szCs w:val="18"/>
        </w:rPr>
        <w:t>Peschard</w:t>
      </w:r>
      <w:proofErr w:type="spellEnd"/>
      <w:r>
        <w:rPr>
          <w:rFonts w:ascii="Palatino Linotype" w:eastAsia="Palatino Linotype" w:hAnsi="Palatino Linotype" w:cs="Palatino Linotype"/>
          <w:i/>
          <w:sz w:val="18"/>
          <w:szCs w:val="18"/>
        </w:rPr>
        <w:t xml:space="preserve"> Mariscal</w:t>
      </w:r>
    </w:p>
  </w:footnote>
  <w:footnote w:id="7">
    <w:p w:rsidR="00AB7A8A" w:rsidRDefault="002A75F8">
      <w:pPr>
        <w:pBdr>
          <w:top w:val="nil"/>
          <w:left w:val="nil"/>
          <w:bottom w:val="nil"/>
          <w:right w:val="nil"/>
          <w:between w:val="nil"/>
        </w:pBdr>
        <w:jc w:val="both"/>
        <w:rPr>
          <w:rFonts w:ascii="Calibri" w:eastAsia="Calibri" w:hAnsi="Calibri" w:cs="Calibri"/>
          <w:i/>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eastAsia="Palatino Linotype" w:hAnsi="Palatino Linotype" w:cs="Palatino Linotype"/>
          <w:i/>
          <w:color w:val="000000"/>
          <w:sz w:val="18"/>
          <w:szCs w:val="18"/>
        </w:rPr>
        <w:t>El derecho de acceso a la información en el marco jurídico interamericano.</w:t>
      </w:r>
      <w:r>
        <w:rPr>
          <w:rFonts w:ascii="Palatino Linotype" w:eastAsia="Palatino Linotype" w:hAnsi="Palatino Linotype" w:cs="Palatino Linotype"/>
          <w:color w:val="000000"/>
          <w:sz w:val="18"/>
          <w:szCs w:val="18"/>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A8A" w:rsidRDefault="002A75F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-396401</wp:posOffset>
          </wp:positionV>
          <wp:extent cx="7809865" cy="10165715"/>
          <wp:effectExtent l="0" t="0" r="0" b="0"/>
          <wp:wrapNone/>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AB7A8A">
      <w:tc>
        <w:tcPr>
          <w:tcW w:w="2489" w:type="dxa"/>
          <w:shd w:val="clear" w:color="auto" w:fill="auto"/>
        </w:tcPr>
        <w:p w:rsidR="00AB7A8A" w:rsidRDefault="002A75F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AB7A8A" w:rsidRDefault="002A75F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03979/INFOEM/IP/RR/2021</w:t>
          </w:r>
        </w:p>
      </w:tc>
    </w:tr>
    <w:tr w:rsidR="00AB7A8A">
      <w:trPr>
        <w:trHeight w:val="228"/>
      </w:trPr>
      <w:tc>
        <w:tcPr>
          <w:tcW w:w="2489" w:type="dxa"/>
          <w:shd w:val="clear" w:color="auto" w:fill="auto"/>
          <w:vAlign w:val="center"/>
        </w:tcPr>
        <w:p w:rsidR="00AB7A8A" w:rsidRDefault="002A75F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AB7A8A" w:rsidRDefault="002A75F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AB7A8A">
      <w:tc>
        <w:tcPr>
          <w:tcW w:w="2489" w:type="dxa"/>
          <w:shd w:val="clear" w:color="auto" w:fill="auto"/>
          <w:vAlign w:val="center"/>
        </w:tcPr>
        <w:p w:rsidR="00AB7A8A" w:rsidRDefault="002A75F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AB7A8A" w:rsidRDefault="002A75F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B7A8A" w:rsidRDefault="002A75F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A8A" w:rsidRDefault="00AB7A8A">
    <w:pPr>
      <w:widowControl w:val="0"/>
      <w:pBdr>
        <w:top w:val="nil"/>
        <w:left w:val="nil"/>
        <w:bottom w:val="nil"/>
        <w:right w:val="nil"/>
        <w:between w:val="nil"/>
      </w:pBdr>
      <w:spacing w:line="276" w:lineRule="auto"/>
      <w:rPr>
        <w:rFonts w:ascii="Calibri" w:eastAsia="Calibri" w:hAnsi="Calibri" w:cs="Calibri"/>
        <w:i/>
        <w:color w:val="000000"/>
        <w:sz w:val="20"/>
        <w:szCs w:val="20"/>
      </w:rPr>
    </w:pPr>
  </w:p>
  <w:tbl>
    <w:tblPr>
      <w:tblStyle w:val="a"/>
      <w:tblW w:w="5953" w:type="dxa"/>
      <w:tblInd w:w="3261" w:type="dxa"/>
      <w:tblLayout w:type="fixed"/>
      <w:tblLook w:val="0400" w:firstRow="0" w:lastRow="0" w:firstColumn="0" w:lastColumn="0" w:noHBand="0" w:noVBand="1"/>
    </w:tblPr>
    <w:tblGrid>
      <w:gridCol w:w="2551"/>
      <w:gridCol w:w="3402"/>
    </w:tblGrid>
    <w:tr w:rsidR="00AB7A8A">
      <w:tc>
        <w:tcPr>
          <w:tcW w:w="2551" w:type="dxa"/>
          <w:shd w:val="clear" w:color="auto" w:fill="auto"/>
          <w:vAlign w:val="center"/>
        </w:tcPr>
        <w:p w:rsidR="00AB7A8A" w:rsidRDefault="002A75F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AB7A8A" w:rsidRDefault="002A75F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03979/INFOEM/IP/RR/2021</w:t>
          </w:r>
        </w:p>
      </w:tc>
    </w:tr>
    <w:tr w:rsidR="00AB7A8A">
      <w:trPr>
        <w:trHeight w:val="130"/>
      </w:trPr>
      <w:tc>
        <w:tcPr>
          <w:tcW w:w="2551" w:type="dxa"/>
          <w:shd w:val="clear" w:color="auto" w:fill="auto"/>
          <w:vAlign w:val="center"/>
        </w:tcPr>
        <w:p w:rsidR="00AB7A8A" w:rsidRDefault="002A75F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AB7A8A" w:rsidRDefault="007A45E8">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p>
      </w:tc>
    </w:tr>
    <w:tr w:rsidR="00AB7A8A">
      <w:trPr>
        <w:trHeight w:val="228"/>
      </w:trPr>
      <w:tc>
        <w:tcPr>
          <w:tcW w:w="2551" w:type="dxa"/>
          <w:shd w:val="clear" w:color="auto" w:fill="auto"/>
          <w:vAlign w:val="center"/>
        </w:tcPr>
        <w:p w:rsidR="00AB7A8A" w:rsidRDefault="002A75F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AB7A8A" w:rsidRDefault="002A75F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AB7A8A">
      <w:tc>
        <w:tcPr>
          <w:tcW w:w="2551" w:type="dxa"/>
          <w:shd w:val="clear" w:color="auto" w:fill="auto"/>
          <w:vAlign w:val="center"/>
        </w:tcPr>
        <w:p w:rsidR="00AB7A8A" w:rsidRDefault="002A75F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AB7A8A" w:rsidRDefault="002A75F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B7A8A" w:rsidRDefault="002A75F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0</wp:posOffset>
          </wp:positionH>
          <wp:positionV relativeFrom="paragraph">
            <wp:posOffset>-1170939</wp:posOffset>
          </wp:positionV>
          <wp:extent cx="7809865" cy="10165715"/>
          <wp:effectExtent l="0" t="0" r="0" b="0"/>
          <wp:wrapNone/>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87EC6"/>
    <w:multiLevelType w:val="multilevel"/>
    <w:tmpl w:val="76181668"/>
    <w:lvl w:ilvl="0">
      <w:start w:val="1"/>
      <w:numFmt w:val="bullet"/>
      <w:pStyle w:val="Listaconvietas3"/>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E15379"/>
    <w:multiLevelType w:val="multilevel"/>
    <w:tmpl w:val="34B8EDC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E20F2A"/>
    <w:multiLevelType w:val="multilevel"/>
    <w:tmpl w:val="DE005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F93E22"/>
    <w:multiLevelType w:val="multilevel"/>
    <w:tmpl w:val="BCA6DC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4F738C"/>
    <w:multiLevelType w:val="multilevel"/>
    <w:tmpl w:val="46A23A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B941564"/>
    <w:multiLevelType w:val="multilevel"/>
    <w:tmpl w:val="98709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A11B9B"/>
    <w:multiLevelType w:val="multilevel"/>
    <w:tmpl w:val="640EF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59030E"/>
    <w:multiLevelType w:val="multilevel"/>
    <w:tmpl w:val="B4CC76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0"/>
  </w:num>
  <w:num w:numId="3">
    <w:abstractNumId w:val="6"/>
  </w:num>
  <w:num w:numId="4">
    <w:abstractNumId w:val="4"/>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A8A"/>
    <w:rsid w:val="002A75F8"/>
    <w:rsid w:val="00306FCC"/>
    <w:rsid w:val="003322BA"/>
    <w:rsid w:val="0056736E"/>
    <w:rsid w:val="006F5EED"/>
    <w:rsid w:val="007A45E8"/>
    <w:rsid w:val="007D5EE2"/>
    <w:rsid w:val="009A27C6"/>
    <w:rsid w:val="00AB7A8A"/>
    <w:rsid w:val="00B33A8B"/>
    <w:rsid w:val="00C5335F"/>
    <w:rsid w:val="00F174B9"/>
    <w:rsid w:val="00FE5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97739-AD1D-403D-A431-7F6ADAFF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ufmsdQ2OsOJdnS2eaQohi1Ct2g==">AMUW2mWc4rdQ72ExEELQimU++Hcr0w89XkQy/qFl7vXVi4qk/GBBDKDDzlJptcI+aKhO6cbv1+tkA1Z02kWyhJQuARxlB0A2uyHPxIOdGGEf+Xyn88jVJpTHeQQT9+zdVf7U7YMLWuZSuLrP1+orpAgeZXQVUB1WcLbjLw77jgJkklDVceFIidF9sFNPa8Ev3tuaCUwIIPpk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12075</Words>
  <Characters>66415</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dcterms:created xsi:type="dcterms:W3CDTF">2022-01-21T17:40:00Z</dcterms:created>
  <dcterms:modified xsi:type="dcterms:W3CDTF">2022-01-21T17:58:00Z</dcterms:modified>
</cp:coreProperties>
</file>