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C59" w:rsidRPr="00653CB3" w:rsidRDefault="007274B6">
      <w:pPr>
        <w:spacing w:before="240" w:after="240"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rPr>
        <w:t xml:space="preserve"> </w:t>
      </w:r>
      <w:r w:rsidR="004D78AD" w:rsidRPr="00653CB3">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5C53FA" w:rsidRPr="00653CB3">
        <w:rPr>
          <w:rFonts w:ascii="Palatino Linotype" w:eastAsia="Palatino Linotype" w:hAnsi="Palatino Linotype" w:cs="Palatino Linotype"/>
        </w:rPr>
        <w:t>etepec, E</w:t>
      </w:r>
      <w:r w:rsidRPr="00653CB3">
        <w:rPr>
          <w:rFonts w:ascii="Palatino Linotype" w:eastAsia="Palatino Linotype" w:hAnsi="Palatino Linotype" w:cs="Palatino Linotype"/>
        </w:rPr>
        <w:t>stado de México, a treinta</w:t>
      </w:r>
      <w:r w:rsidR="00037839" w:rsidRPr="00653CB3">
        <w:rPr>
          <w:rFonts w:ascii="Palatino Linotype" w:eastAsia="Palatino Linotype" w:hAnsi="Palatino Linotype" w:cs="Palatino Linotype"/>
        </w:rPr>
        <w:t xml:space="preserve"> de noviembre</w:t>
      </w:r>
      <w:r w:rsidR="004D78AD" w:rsidRPr="00653CB3">
        <w:rPr>
          <w:rFonts w:ascii="Palatino Linotype" w:eastAsia="Palatino Linotype" w:hAnsi="Palatino Linotype" w:cs="Palatino Linotype"/>
        </w:rPr>
        <w:t xml:space="preserve"> de dos mil veintidós. </w:t>
      </w:r>
    </w:p>
    <w:p w:rsidR="004C6C59" w:rsidRPr="00653CB3" w:rsidRDefault="004D78AD">
      <w:pPr>
        <w:spacing w:before="240" w:after="240"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b/>
        </w:rPr>
        <w:t>VISTO</w:t>
      </w:r>
      <w:r w:rsidRPr="00653CB3">
        <w:rPr>
          <w:rFonts w:ascii="Palatino Linotype" w:eastAsia="Palatino Linotype" w:hAnsi="Palatino Linotype" w:cs="Palatino Linotype"/>
        </w:rPr>
        <w:t xml:space="preserve"> el expediente formado con motivo del recurso de revisión </w:t>
      </w:r>
      <w:r w:rsidR="007274B6" w:rsidRPr="00653CB3">
        <w:rPr>
          <w:rFonts w:ascii="Palatino Linotype" w:eastAsia="Palatino Linotype" w:hAnsi="Palatino Linotype" w:cs="Palatino Linotype"/>
          <w:b/>
        </w:rPr>
        <w:t>12399</w:t>
      </w:r>
      <w:r w:rsidRPr="00653CB3">
        <w:rPr>
          <w:rFonts w:ascii="Palatino Linotype" w:eastAsia="Palatino Linotype" w:hAnsi="Palatino Linotype" w:cs="Palatino Linotype"/>
          <w:b/>
        </w:rPr>
        <w:t>/INFOEM/IP/RR/2022</w:t>
      </w:r>
      <w:r w:rsidRPr="00653CB3">
        <w:rPr>
          <w:rFonts w:ascii="Palatino Linotype" w:eastAsia="Palatino Linotype" w:hAnsi="Palatino Linotype" w:cs="Palatino Linotype"/>
        </w:rPr>
        <w:t xml:space="preserve">, interpuesto por </w:t>
      </w:r>
      <w:r w:rsidR="00937F6E">
        <w:rPr>
          <w:rFonts w:ascii="Palatino Linotype" w:eastAsia="Palatino Linotype" w:hAnsi="Palatino Linotype" w:cs="Palatino Linotype"/>
          <w:b/>
          <w:sz w:val="22"/>
          <w:szCs w:val="22"/>
        </w:rPr>
        <w:t>XXXXX</w:t>
      </w:r>
      <w:bookmarkStart w:id="0" w:name="_GoBack"/>
      <w:bookmarkEnd w:id="0"/>
      <w:r w:rsidRPr="00653CB3">
        <w:rPr>
          <w:rFonts w:ascii="Palatino Linotype" w:eastAsia="Palatino Linotype" w:hAnsi="Palatino Linotype" w:cs="Palatino Linotype"/>
          <w:b/>
        </w:rPr>
        <w:t>,</w:t>
      </w:r>
      <w:r w:rsidRPr="00653CB3">
        <w:rPr>
          <w:rFonts w:ascii="Palatino Linotype" w:eastAsia="Palatino Linotype" w:hAnsi="Palatino Linotype" w:cs="Palatino Linotype"/>
        </w:rPr>
        <w:t xml:space="preserve"> en lo sucesivo </w:t>
      </w:r>
      <w:r w:rsidR="005C53FA" w:rsidRPr="00653CB3">
        <w:rPr>
          <w:rFonts w:ascii="Palatino Linotype" w:eastAsia="Palatino Linotype" w:hAnsi="Palatino Linotype" w:cs="Palatino Linotype"/>
        </w:rPr>
        <w:t xml:space="preserve">la </w:t>
      </w:r>
      <w:r w:rsidR="005C53FA" w:rsidRPr="00653CB3">
        <w:rPr>
          <w:rFonts w:ascii="Palatino Linotype" w:eastAsia="Palatino Linotype" w:hAnsi="Palatino Linotype" w:cs="Palatino Linotype"/>
          <w:b/>
        </w:rPr>
        <w:t>RECURRENTE</w:t>
      </w:r>
      <w:r w:rsidRPr="00653CB3">
        <w:rPr>
          <w:rFonts w:ascii="Palatino Linotype" w:eastAsia="Palatino Linotype" w:hAnsi="Palatino Linotype" w:cs="Palatino Linotype"/>
          <w:b/>
        </w:rPr>
        <w:t>,</w:t>
      </w:r>
      <w:r w:rsidRPr="00653CB3">
        <w:rPr>
          <w:rFonts w:ascii="Palatino Linotype" w:eastAsia="Palatino Linotype" w:hAnsi="Palatino Linotype" w:cs="Palatino Linotype"/>
        </w:rPr>
        <w:t xml:space="preserve"> en contra de la </w:t>
      </w:r>
      <w:r w:rsidR="007274B6" w:rsidRPr="00653CB3">
        <w:rPr>
          <w:rFonts w:ascii="Palatino Linotype" w:eastAsia="Palatino Linotype" w:hAnsi="Palatino Linotype" w:cs="Palatino Linotype"/>
        </w:rPr>
        <w:t xml:space="preserve">falta </w:t>
      </w:r>
      <w:r w:rsidRPr="00653CB3">
        <w:rPr>
          <w:rFonts w:ascii="Palatino Linotype" w:eastAsia="Palatino Linotype" w:hAnsi="Palatino Linotype" w:cs="Palatino Linotype"/>
        </w:rPr>
        <w:t>respue</w:t>
      </w:r>
      <w:r w:rsidR="007274B6" w:rsidRPr="00653CB3">
        <w:rPr>
          <w:rFonts w:ascii="Palatino Linotype" w:eastAsia="Palatino Linotype" w:hAnsi="Palatino Linotype" w:cs="Palatino Linotype"/>
        </w:rPr>
        <w:t>sta a su solicitud por parte del</w:t>
      </w:r>
      <w:r w:rsidRPr="00653CB3">
        <w:rPr>
          <w:rFonts w:ascii="Palatino Linotype" w:eastAsia="Palatino Linotype" w:hAnsi="Palatino Linotype" w:cs="Palatino Linotype"/>
        </w:rPr>
        <w:t xml:space="preserve"> </w:t>
      </w:r>
      <w:r w:rsidR="007274B6" w:rsidRPr="00653CB3">
        <w:rPr>
          <w:rFonts w:ascii="Palatino Linotype" w:eastAsia="Palatino Linotype" w:hAnsi="Palatino Linotype" w:cs="Palatino Linotype"/>
          <w:b/>
        </w:rPr>
        <w:t>Ayuntamiento de Ecatepec de Morelos</w:t>
      </w:r>
      <w:r w:rsidRPr="00653CB3">
        <w:rPr>
          <w:rFonts w:ascii="Palatino Linotype" w:eastAsia="Palatino Linotype" w:hAnsi="Palatino Linotype" w:cs="Palatino Linotype"/>
          <w:b/>
        </w:rPr>
        <w:t xml:space="preserve">, </w:t>
      </w:r>
      <w:r w:rsidRPr="00653CB3">
        <w:rPr>
          <w:rFonts w:ascii="Palatino Linotype" w:eastAsia="Palatino Linotype" w:hAnsi="Palatino Linotype" w:cs="Palatino Linotype"/>
        </w:rPr>
        <w:t xml:space="preserve">en lo sucesivo el </w:t>
      </w:r>
      <w:r w:rsidRPr="00653CB3">
        <w:rPr>
          <w:rFonts w:ascii="Palatino Linotype" w:eastAsia="Palatino Linotype" w:hAnsi="Palatino Linotype" w:cs="Palatino Linotype"/>
          <w:b/>
        </w:rPr>
        <w:t xml:space="preserve">SUJETO OBLIGADO, </w:t>
      </w:r>
      <w:r w:rsidRPr="00653CB3">
        <w:rPr>
          <w:rFonts w:ascii="Palatino Linotype" w:eastAsia="Palatino Linotype" w:hAnsi="Palatino Linotype" w:cs="Palatino Linotype"/>
        </w:rPr>
        <w:t xml:space="preserve">se procede a dictar la presente resolución con base en los siguientes: </w:t>
      </w:r>
    </w:p>
    <w:p w:rsidR="004C6C59" w:rsidRPr="00653CB3" w:rsidRDefault="004D78AD">
      <w:pPr>
        <w:spacing w:before="240" w:after="240" w:line="360" w:lineRule="auto"/>
        <w:jc w:val="center"/>
        <w:rPr>
          <w:rFonts w:ascii="Palatino Linotype" w:eastAsia="Palatino Linotype" w:hAnsi="Palatino Linotype" w:cs="Palatino Linotype"/>
          <w:b/>
        </w:rPr>
      </w:pPr>
      <w:r w:rsidRPr="00653CB3">
        <w:rPr>
          <w:rFonts w:ascii="Palatino Linotype" w:eastAsia="Palatino Linotype" w:hAnsi="Palatino Linotype" w:cs="Palatino Linotype"/>
          <w:b/>
        </w:rPr>
        <w:t>I. A N T E C E D E N T E S</w:t>
      </w:r>
    </w:p>
    <w:p w:rsidR="004C6C59" w:rsidRPr="00653CB3" w:rsidRDefault="004D78AD">
      <w:pPr>
        <w:spacing w:before="240" w:after="240"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b/>
        </w:rPr>
        <w:t>1. Solicitud de acceso a la información.</w:t>
      </w:r>
      <w:r w:rsidRPr="00653CB3">
        <w:rPr>
          <w:rFonts w:ascii="Palatino Linotype" w:eastAsia="Palatino Linotype" w:hAnsi="Palatino Linotype" w:cs="Palatino Linotype"/>
        </w:rPr>
        <w:t xml:space="preserve"> Con fecha </w:t>
      </w:r>
      <w:r w:rsidR="007274B6" w:rsidRPr="00653CB3">
        <w:rPr>
          <w:rFonts w:ascii="Palatino Linotype" w:eastAsia="Palatino Linotype" w:hAnsi="Palatino Linotype" w:cs="Palatino Linotype"/>
          <w:b/>
        </w:rPr>
        <w:t>nueve de junio</w:t>
      </w:r>
      <w:r w:rsidRPr="00653CB3">
        <w:rPr>
          <w:rFonts w:ascii="Palatino Linotype" w:eastAsia="Palatino Linotype" w:hAnsi="Palatino Linotype" w:cs="Palatino Linotype"/>
          <w:b/>
        </w:rPr>
        <w:t xml:space="preserve"> de dos mil veintidós,</w:t>
      </w:r>
      <w:r w:rsidRPr="00653CB3">
        <w:rPr>
          <w:rFonts w:ascii="Palatino Linotype" w:eastAsia="Palatino Linotype" w:hAnsi="Palatino Linotype" w:cs="Palatino Linotype"/>
        </w:rPr>
        <w:t xml:space="preserve"> la parte </w:t>
      </w:r>
      <w:r w:rsidRPr="00653CB3">
        <w:rPr>
          <w:rFonts w:ascii="Palatino Linotype" w:eastAsia="Palatino Linotype" w:hAnsi="Palatino Linotype" w:cs="Palatino Linotype"/>
          <w:b/>
        </w:rPr>
        <w:t xml:space="preserve">RECURRENTE </w:t>
      </w:r>
      <w:r w:rsidRPr="00653CB3">
        <w:rPr>
          <w:rFonts w:ascii="Palatino Linotype" w:eastAsia="Palatino Linotype" w:hAnsi="Palatino Linotype" w:cs="Palatino Linotype"/>
        </w:rPr>
        <w:t>presentó,</w:t>
      </w:r>
      <w:r w:rsidR="005C53FA" w:rsidRPr="00653CB3">
        <w:rPr>
          <w:rFonts w:ascii="Palatino Linotype" w:eastAsia="Palatino Linotype" w:hAnsi="Palatino Linotype" w:cs="Palatino Linotype"/>
        </w:rPr>
        <w:t xml:space="preserve"> a </w:t>
      </w:r>
      <w:r w:rsidRPr="00653CB3">
        <w:rPr>
          <w:rFonts w:ascii="Palatino Linotype" w:eastAsia="Palatino Linotype" w:hAnsi="Palatino Linotype" w:cs="Palatino Linotype"/>
        </w:rPr>
        <w:t xml:space="preserve">través del Sistema de Acceso a la Información Mexiquense, en lo subsecuente el </w:t>
      </w:r>
      <w:r w:rsidRPr="00653CB3">
        <w:rPr>
          <w:rFonts w:ascii="Palatino Linotype" w:eastAsia="Palatino Linotype" w:hAnsi="Palatino Linotype" w:cs="Palatino Linotype"/>
          <w:b/>
        </w:rPr>
        <w:t>SAIMEX,</w:t>
      </w:r>
      <w:r w:rsidRPr="00653CB3">
        <w:rPr>
          <w:rFonts w:ascii="Palatino Linotype" w:eastAsia="Palatino Linotype" w:hAnsi="Palatino Linotype" w:cs="Palatino Linotype"/>
        </w:rPr>
        <w:t xml:space="preserve"> ante el </w:t>
      </w:r>
      <w:r w:rsidRPr="00653CB3">
        <w:rPr>
          <w:rFonts w:ascii="Palatino Linotype" w:eastAsia="Palatino Linotype" w:hAnsi="Palatino Linotype" w:cs="Palatino Linotype"/>
          <w:b/>
        </w:rPr>
        <w:t>SUJETO OBLIGADO</w:t>
      </w:r>
      <w:r w:rsidRPr="00653CB3">
        <w:rPr>
          <w:rFonts w:ascii="Palatino Linotype" w:eastAsia="Palatino Linotype" w:hAnsi="Palatino Linotype" w:cs="Palatino Linotype"/>
        </w:rPr>
        <w:t>, la solicitud de acceso a la información pública, a la que se le asignó el número</w:t>
      </w:r>
      <w:r w:rsidRPr="00653CB3">
        <w:rPr>
          <w:rFonts w:ascii="Palatino Linotype" w:eastAsia="Palatino Linotype" w:hAnsi="Palatino Linotype" w:cs="Palatino Linotype"/>
          <w:b/>
        </w:rPr>
        <w:t xml:space="preserve"> </w:t>
      </w:r>
      <w:r w:rsidR="007274B6" w:rsidRPr="00653CB3">
        <w:rPr>
          <w:rFonts w:ascii="Palatino Linotype" w:eastAsia="Palatino Linotype" w:hAnsi="Palatino Linotype" w:cs="Palatino Linotype"/>
          <w:b/>
        </w:rPr>
        <w:t>00633/ECATEPEC/IP/2022</w:t>
      </w:r>
      <w:r w:rsidRPr="00653CB3">
        <w:rPr>
          <w:rFonts w:ascii="Palatino Linotype" w:eastAsia="Palatino Linotype" w:hAnsi="Palatino Linotype" w:cs="Palatino Linotype"/>
          <w:b/>
        </w:rPr>
        <w:t xml:space="preserve">, </w:t>
      </w:r>
      <w:r w:rsidRPr="00653CB3">
        <w:rPr>
          <w:rFonts w:ascii="Palatino Linotype" w:eastAsia="Palatino Linotype" w:hAnsi="Palatino Linotype" w:cs="Palatino Linotype"/>
        </w:rPr>
        <w:t xml:space="preserve">mediante la cual requirió la información siguiente: </w:t>
      </w:r>
    </w:p>
    <w:p w:rsidR="004C6C59" w:rsidRPr="00653CB3" w:rsidRDefault="004D78AD">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653CB3">
        <w:rPr>
          <w:rFonts w:ascii="Palatino Linotype" w:eastAsia="Palatino Linotype" w:hAnsi="Palatino Linotype" w:cs="Palatino Linotype"/>
          <w:i/>
          <w:sz w:val="22"/>
          <w:szCs w:val="22"/>
        </w:rPr>
        <w:t>“</w:t>
      </w:r>
      <w:r w:rsidR="007274B6" w:rsidRPr="00653CB3">
        <w:rPr>
          <w:rFonts w:ascii="Palatino Linotype" w:eastAsia="Palatino Linotype" w:hAnsi="Palatino Linotype" w:cs="Palatino Linotype"/>
          <w:i/>
          <w:sz w:val="22"/>
          <w:szCs w:val="22"/>
        </w:rPr>
        <w:t>Solicito información del número de servidores Públicos Sindicalizados que laboran en cada una de las Regidurías y Sindicaturas que conforman el Ayuntamiento de Ecatepec a la fecha, y Asimismo, el número de Servidores Públicos de Confianza que laboran en cada una de las Regidurías y Sindicaturas que conforman el Ayuntamiento de Ecatepec a la fecha</w:t>
      </w:r>
      <w:r w:rsidRPr="00653CB3">
        <w:rPr>
          <w:rFonts w:ascii="Palatino Linotype" w:eastAsia="Palatino Linotype" w:hAnsi="Palatino Linotype" w:cs="Palatino Linotype"/>
          <w:i/>
          <w:sz w:val="22"/>
          <w:szCs w:val="22"/>
        </w:rPr>
        <w:t>” (Sic)</w:t>
      </w:r>
    </w:p>
    <w:p w:rsidR="004C6C59" w:rsidRPr="00653CB3" w:rsidRDefault="004C6C59" w:rsidP="005C53FA">
      <w:pPr>
        <w:spacing w:before="240"/>
        <w:ind w:left="851" w:right="902"/>
        <w:jc w:val="both"/>
        <w:rPr>
          <w:rFonts w:ascii="Palatino Linotype" w:eastAsia="Palatino Linotype" w:hAnsi="Palatino Linotype" w:cs="Palatino Linotype"/>
          <w:i/>
          <w:sz w:val="22"/>
          <w:szCs w:val="22"/>
        </w:rPr>
      </w:pPr>
    </w:p>
    <w:p w:rsidR="004C6C59" w:rsidRPr="00653CB3" w:rsidRDefault="004D78AD">
      <w:pPr>
        <w:spacing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b/>
        </w:rPr>
        <w:t>Modalidad de Entrega:</w:t>
      </w:r>
      <w:r w:rsidRPr="00653CB3">
        <w:rPr>
          <w:rFonts w:ascii="Palatino Linotype" w:eastAsia="Palatino Linotype" w:hAnsi="Palatino Linotype" w:cs="Palatino Linotype"/>
        </w:rPr>
        <w:t xml:space="preserve"> A través de SAIMEX.</w:t>
      </w:r>
    </w:p>
    <w:p w:rsidR="00037839" w:rsidRPr="00653CB3" w:rsidRDefault="004D78AD" w:rsidP="007274B6">
      <w:pPr>
        <w:spacing w:after="240"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b/>
        </w:rPr>
        <w:lastRenderedPageBreak/>
        <w:t xml:space="preserve">2. Respuesta. </w:t>
      </w:r>
      <w:r w:rsidR="007274B6" w:rsidRPr="00653CB3">
        <w:rPr>
          <w:rFonts w:ascii="Palatino Linotype" w:hAnsi="Palatino Linotype" w:cs="Arial"/>
          <w:lang w:val="es-ES_tradnl"/>
        </w:rPr>
        <w:t xml:space="preserve">Del expediente electrónico se advierte que el </w:t>
      </w:r>
      <w:r w:rsidR="007274B6" w:rsidRPr="00653CB3">
        <w:rPr>
          <w:rFonts w:ascii="Palatino Linotype" w:hAnsi="Palatino Linotype" w:cs="Arial"/>
          <w:b/>
          <w:lang w:val="es-ES_tradnl"/>
        </w:rPr>
        <w:t>SUJETO OBLIGADO</w:t>
      </w:r>
      <w:r w:rsidR="007274B6" w:rsidRPr="00653CB3">
        <w:rPr>
          <w:rFonts w:ascii="Palatino Linotype" w:hAnsi="Palatino Linotype" w:cs="Arial"/>
          <w:lang w:val="es-ES_tradnl"/>
        </w:rPr>
        <w:t xml:space="preserve"> fue omiso en emitir respuesta a la solicitud de acceso a la información pública, dentro del plazo de quince días otorgado por el artículo 163 de la Ley de Transparencia y Acceso a la Información Pública de la entidad.</w:t>
      </w:r>
    </w:p>
    <w:p w:rsidR="004C6C59" w:rsidRPr="00653CB3" w:rsidRDefault="002C1EDF">
      <w:pPr>
        <w:spacing w:before="240" w:after="240" w:line="360" w:lineRule="auto"/>
        <w:ind w:right="49"/>
        <w:jc w:val="both"/>
        <w:rPr>
          <w:rFonts w:ascii="Palatino Linotype" w:eastAsia="Palatino Linotype" w:hAnsi="Palatino Linotype" w:cs="Palatino Linotype"/>
        </w:rPr>
      </w:pPr>
      <w:r w:rsidRPr="00653CB3">
        <w:rPr>
          <w:rFonts w:ascii="Palatino Linotype" w:eastAsia="Palatino Linotype" w:hAnsi="Palatino Linotype" w:cs="Palatino Linotype"/>
          <w:b/>
        </w:rPr>
        <w:t>3</w:t>
      </w:r>
      <w:r w:rsidR="004D78AD" w:rsidRPr="00653CB3">
        <w:rPr>
          <w:rFonts w:ascii="Palatino Linotype" w:eastAsia="Palatino Linotype" w:hAnsi="Palatino Linotype" w:cs="Palatino Linotype"/>
          <w:b/>
        </w:rPr>
        <w:t xml:space="preserve">. Interposición del recurso de revisión. </w:t>
      </w:r>
      <w:r w:rsidR="004D78AD" w:rsidRPr="00653CB3">
        <w:rPr>
          <w:rFonts w:ascii="Palatino Linotype" w:eastAsia="Palatino Linotype" w:hAnsi="Palatino Linotype" w:cs="Palatino Linotype"/>
        </w:rPr>
        <w:t xml:space="preserve">Inconforme con los términos de la respuesta emitida por parte del </w:t>
      </w:r>
      <w:r w:rsidR="004D78AD" w:rsidRPr="00653CB3">
        <w:rPr>
          <w:rFonts w:ascii="Palatino Linotype" w:eastAsia="Palatino Linotype" w:hAnsi="Palatino Linotype" w:cs="Palatino Linotype"/>
          <w:b/>
        </w:rPr>
        <w:t>SUJETO OBLIGADO</w:t>
      </w:r>
      <w:r w:rsidR="004D78AD" w:rsidRPr="00653CB3">
        <w:rPr>
          <w:rFonts w:ascii="Palatino Linotype" w:eastAsia="Palatino Linotype" w:hAnsi="Palatino Linotype" w:cs="Palatino Linotype"/>
        </w:rPr>
        <w:t xml:space="preserve">, el </w:t>
      </w:r>
      <w:r w:rsidR="007274B6" w:rsidRPr="00653CB3">
        <w:rPr>
          <w:rFonts w:ascii="Palatino Linotype" w:eastAsia="Palatino Linotype" w:hAnsi="Palatino Linotype" w:cs="Palatino Linotype"/>
          <w:b/>
        </w:rPr>
        <w:t>cuatro de jul</w:t>
      </w:r>
      <w:r w:rsidRPr="00653CB3">
        <w:rPr>
          <w:rFonts w:ascii="Palatino Linotype" w:eastAsia="Palatino Linotype" w:hAnsi="Palatino Linotype" w:cs="Palatino Linotype"/>
          <w:b/>
        </w:rPr>
        <w:t>io</w:t>
      </w:r>
      <w:r w:rsidR="004D78AD" w:rsidRPr="00653CB3">
        <w:rPr>
          <w:rFonts w:ascii="Palatino Linotype" w:eastAsia="Palatino Linotype" w:hAnsi="Palatino Linotype" w:cs="Palatino Linotype"/>
          <w:b/>
        </w:rPr>
        <w:t xml:space="preserve"> de</w:t>
      </w:r>
      <w:r w:rsidR="008F49C6" w:rsidRPr="00653CB3">
        <w:rPr>
          <w:rFonts w:ascii="Palatino Linotype" w:eastAsia="Palatino Linotype" w:hAnsi="Palatino Linotype" w:cs="Palatino Linotype"/>
          <w:b/>
        </w:rPr>
        <w:t>l</w:t>
      </w:r>
      <w:r w:rsidR="004D78AD" w:rsidRPr="00653CB3">
        <w:rPr>
          <w:rFonts w:ascii="Palatino Linotype" w:eastAsia="Palatino Linotype" w:hAnsi="Palatino Linotype" w:cs="Palatino Linotype"/>
          <w:b/>
        </w:rPr>
        <w:t xml:space="preserve"> dos mil veintidós,</w:t>
      </w:r>
      <w:r w:rsidR="004D78AD" w:rsidRPr="00653CB3">
        <w:rPr>
          <w:rFonts w:ascii="Palatino Linotype" w:eastAsia="Palatino Linotype" w:hAnsi="Palatino Linotype" w:cs="Palatino Linotype"/>
        </w:rPr>
        <w:t xml:space="preserve"> la parte </w:t>
      </w:r>
      <w:r w:rsidRPr="00653CB3">
        <w:rPr>
          <w:rFonts w:ascii="Palatino Linotype" w:eastAsia="Palatino Linotype" w:hAnsi="Palatino Linotype" w:cs="Palatino Linotype"/>
          <w:b/>
        </w:rPr>
        <w:t>RECURRENTE</w:t>
      </w:r>
      <w:r w:rsidR="004D78AD" w:rsidRPr="00653CB3">
        <w:rPr>
          <w:rFonts w:ascii="Palatino Linotype" w:eastAsia="Palatino Linotype" w:hAnsi="Palatino Linotype" w:cs="Palatino Linotype"/>
        </w:rPr>
        <w:t xml:space="preserve"> interpuso el recurso de revisión a través de </w:t>
      </w:r>
      <w:r w:rsidR="004D78AD" w:rsidRPr="00653CB3">
        <w:rPr>
          <w:rFonts w:ascii="Palatino Linotype" w:eastAsia="Palatino Linotype" w:hAnsi="Palatino Linotype" w:cs="Palatino Linotype"/>
          <w:b/>
        </w:rPr>
        <w:t xml:space="preserve">SAIMEX, </w:t>
      </w:r>
      <w:r w:rsidR="004D78AD" w:rsidRPr="00653CB3">
        <w:rPr>
          <w:rFonts w:ascii="Palatino Linotype" w:eastAsia="Palatino Linotype" w:hAnsi="Palatino Linotype" w:cs="Palatino Linotype"/>
        </w:rPr>
        <w:t>en donde se manifestó de la siguiente manera:</w:t>
      </w:r>
    </w:p>
    <w:p w:rsidR="004C6C59" w:rsidRPr="00653CB3" w:rsidRDefault="004D78AD">
      <w:pPr>
        <w:tabs>
          <w:tab w:val="left" w:pos="2745"/>
        </w:tabs>
        <w:spacing w:before="240" w:after="240" w:line="360" w:lineRule="auto"/>
        <w:jc w:val="both"/>
        <w:rPr>
          <w:rFonts w:ascii="Palatino Linotype" w:eastAsia="Palatino Linotype" w:hAnsi="Palatino Linotype" w:cs="Palatino Linotype"/>
          <w:b/>
        </w:rPr>
      </w:pPr>
      <w:r w:rsidRPr="00653CB3">
        <w:rPr>
          <w:rFonts w:ascii="Palatino Linotype" w:eastAsia="Palatino Linotype" w:hAnsi="Palatino Linotype" w:cs="Palatino Linotype"/>
          <w:b/>
        </w:rPr>
        <w:t xml:space="preserve">Acto impugnado: </w:t>
      </w:r>
      <w:r w:rsidRPr="00653CB3">
        <w:rPr>
          <w:rFonts w:ascii="Palatino Linotype" w:eastAsia="Palatino Linotype" w:hAnsi="Palatino Linotype" w:cs="Palatino Linotype"/>
          <w:b/>
        </w:rPr>
        <w:tab/>
      </w:r>
    </w:p>
    <w:p w:rsidR="004C6C59" w:rsidRPr="00653CB3" w:rsidRDefault="004D78AD">
      <w:pPr>
        <w:spacing w:line="360" w:lineRule="auto"/>
        <w:ind w:left="851" w:right="900"/>
        <w:jc w:val="both"/>
        <w:rPr>
          <w:rFonts w:ascii="Palatino Linotype" w:eastAsia="Palatino Linotype" w:hAnsi="Palatino Linotype" w:cs="Palatino Linotype"/>
          <w:i/>
          <w:sz w:val="22"/>
          <w:szCs w:val="22"/>
        </w:rPr>
      </w:pPr>
      <w:r w:rsidRPr="00653CB3">
        <w:rPr>
          <w:rFonts w:ascii="Palatino Linotype" w:eastAsia="Palatino Linotype" w:hAnsi="Palatino Linotype" w:cs="Palatino Linotype"/>
          <w:i/>
          <w:sz w:val="22"/>
          <w:szCs w:val="22"/>
        </w:rPr>
        <w:t>“</w:t>
      </w:r>
      <w:r w:rsidR="007274B6" w:rsidRPr="00653CB3">
        <w:rPr>
          <w:rFonts w:ascii="Palatino Linotype" w:eastAsia="Palatino Linotype" w:hAnsi="Palatino Linotype" w:cs="Palatino Linotype"/>
          <w:i/>
          <w:sz w:val="22"/>
          <w:szCs w:val="22"/>
        </w:rPr>
        <w:t>no ha entregado ninguna información hasta la fecha</w:t>
      </w:r>
      <w:r w:rsidRPr="00653CB3">
        <w:rPr>
          <w:rFonts w:ascii="Palatino Linotype" w:eastAsia="Palatino Linotype" w:hAnsi="Palatino Linotype" w:cs="Palatino Linotype"/>
          <w:i/>
          <w:sz w:val="22"/>
          <w:szCs w:val="22"/>
        </w:rPr>
        <w:t>” (Sic)</w:t>
      </w:r>
    </w:p>
    <w:p w:rsidR="004C6C59" w:rsidRPr="00653CB3" w:rsidRDefault="004D78AD">
      <w:pPr>
        <w:spacing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b/>
        </w:rPr>
        <w:t>Y Razones o motivos de inconformidad</w:t>
      </w:r>
      <w:r w:rsidRPr="00653CB3">
        <w:rPr>
          <w:rFonts w:ascii="Palatino Linotype" w:eastAsia="Palatino Linotype" w:hAnsi="Palatino Linotype" w:cs="Palatino Linotype"/>
        </w:rPr>
        <w:t>:</w:t>
      </w:r>
    </w:p>
    <w:p w:rsidR="004C6C59" w:rsidRPr="00653CB3" w:rsidRDefault="004D78AD" w:rsidP="007274B6">
      <w:pPr>
        <w:spacing w:line="360" w:lineRule="auto"/>
        <w:ind w:left="851" w:right="900"/>
        <w:jc w:val="both"/>
        <w:rPr>
          <w:rFonts w:ascii="Palatino Linotype" w:eastAsia="Palatino Linotype" w:hAnsi="Palatino Linotype" w:cs="Palatino Linotype"/>
          <w:i/>
          <w:sz w:val="22"/>
          <w:szCs w:val="22"/>
        </w:rPr>
      </w:pPr>
      <w:bookmarkStart w:id="2" w:name="_heading=h.30j0zll" w:colFirst="0" w:colLast="0"/>
      <w:bookmarkEnd w:id="2"/>
      <w:r w:rsidRPr="00653CB3">
        <w:rPr>
          <w:rFonts w:ascii="Palatino Linotype" w:eastAsia="Palatino Linotype" w:hAnsi="Palatino Linotype" w:cs="Palatino Linotype"/>
          <w:i/>
          <w:sz w:val="22"/>
          <w:szCs w:val="22"/>
        </w:rPr>
        <w:t xml:space="preserve"> “</w:t>
      </w:r>
      <w:r w:rsidR="007274B6" w:rsidRPr="00653CB3">
        <w:rPr>
          <w:rFonts w:ascii="Palatino Linotype" w:eastAsia="Palatino Linotype" w:hAnsi="Palatino Linotype" w:cs="Palatino Linotype"/>
          <w:i/>
          <w:sz w:val="22"/>
          <w:szCs w:val="22"/>
        </w:rPr>
        <w:t>ya se excedió del termino del plazo para entregar la información</w:t>
      </w:r>
      <w:r w:rsidRPr="00653CB3">
        <w:rPr>
          <w:rFonts w:ascii="Palatino Linotype" w:eastAsia="Palatino Linotype" w:hAnsi="Palatino Linotype" w:cs="Palatino Linotype"/>
          <w:i/>
          <w:sz w:val="22"/>
          <w:szCs w:val="22"/>
        </w:rPr>
        <w:t>” (Sic)</w:t>
      </w:r>
    </w:p>
    <w:p w:rsidR="004C6C59" w:rsidRPr="00653CB3" w:rsidRDefault="004C6C59">
      <w:pPr>
        <w:spacing w:line="360" w:lineRule="auto"/>
        <w:ind w:right="51"/>
        <w:jc w:val="both"/>
        <w:rPr>
          <w:rFonts w:ascii="Palatino Linotype" w:eastAsia="Palatino Linotype" w:hAnsi="Palatino Linotype" w:cs="Palatino Linotype"/>
          <w:b/>
        </w:rPr>
      </w:pPr>
    </w:p>
    <w:p w:rsidR="004C6C59" w:rsidRPr="00653CB3" w:rsidRDefault="002C1EDF">
      <w:pPr>
        <w:spacing w:line="360" w:lineRule="auto"/>
        <w:ind w:right="51"/>
        <w:jc w:val="both"/>
        <w:rPr>
          <w:rFonts w:ascii="Palatino Linotype" w:eastAsia="Palatino Linotype" w:hAnsi="Palatino Linotype" w:cs="Palatino Linotype"/>
        </w:rPr>
      </w:pPr>
      <w:r w:rsidRPr="00653CB3">
        <w:rPr>
          <w:rFonts w:ascii="Palatino Linotype" w:eastAsia="Palatino Linotype" w:hAnsi="Palatino Linotype" w:cs="Palatino Linotype"/>
          <w:b/>
        </w:rPr>
        <w:t>4</w:t>
      </w:r>
      <w:r w:rsidR="004D78AD" w:rsidRPr="00653CB3">
        <w:rPr>
          <w:rFonts w:ascii="Palatino Linotype" w:eastAsia="Palatino Linotype" w:hAnsi="Palatino Linotype" w:cs="Palatino Linotype"/>
          <w:b/>
        </w:rPr>
        <w:t xml:space="preserve">. Turno. </w:t>
      </w:r>
      <w:r w:rsidR="004D78AD" w:rsidRPr="00653CB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4D78AD" w:rsidRPr="00653CB3">
        <w:rPr>
          <w:rFonts w:ascii="Palatino Linotype" w:eastAsia="Palatino Linotype" w:hAnsi="Palatino Linotype" w:cs="Palatino Linotype"/>
          <w:b/>
        </w:rPr>
        <w:t xml:space="preserve">Guadalupe Ramírez Peña, </w:t>
      </w:r>
      <w:r w:rsidR="004D78AD" w:rsidRPr="00653CB3">
        <w:rPr>
          <w:rFonts w:ascii="Palatino Linotype" w:eastAsia="Palatino Linotype" w:hAnsi="Palatino Linotype" w:cs="Palatino Linotype"/>
        </w:rPr>
        <w:t>a efecto de que analizara sobre su admisión o su desechamiento.</w:t>
      </w:r>
    </w:p>
    <w:p w:rsidR="004C6C59" w:rsidRPr="00653CB3" w:rsidRDefault="004C6C59">
      <w:pPr>
        <w:spacing w:line="360" w:lineRule="auto"/>
        <w:ind w:right="51"/>
        <w:jc w:val="both"/>
        <w:rPr>
          <w:rFonts w:ascii="Palatino Linotype" w:eastAsia="Palatino Linotype" w:hAnsi="Palatino Linotype" w:cs="Palatino Linotype"/>
        </w:rPr>
      </w:pPr>
    </w:p>
    <w:p w:rsidR="004C6C59" w:rsidRPr="00653CB3" w:rsidRDefault="002C1EDF">
      <w:pPr>
        <w:spacing w:after="240"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b/>
        </w:rPr>
        <w:t>5</w:t>
      </w:r>
      <w:r w:rsidR="004D78AD" w:rsidRPr="00653CB3">
        <w:rPr>
          <w:rFonts w:ascii="Palatino Linotype" w:eastAsia="Palatino Linotype" w:hAnsi="Palatino Linotype" w:cs="Palatino Linotype"/>
          <w:b/>
        </w:rPr>
        <w:t>. Admisión del Recurso de revisión.</w:t>
      </w:r>
      <w:r w:rsidR="004D78AD" w:rsidRPr="00653CB3">
        <w:rPr>
          <w:rFonts w:ascii="Palatino Linotype" w:eastAsia="Palatino Linotype" w:hAnsi="Palatino Linotype" w:cs="Palatino Linotype"/>
        </w:rPr>
        <w:t xml:space="preserve"> Con fecha</w:t>
      </w:r>
      <w:r w:rsidR="007274B6" w:rsidRPr="00653CB3">
        <w:rPr>
          <w:rFonts w:ascii="Palatino Linotype" w:eastAsia="Palatino Linotype" w:hAnsi="Palatino Linotype" w:cs="Palatino Linotype"/>
          <w:b/>
        </w:rPr>
        <w:t xml:space="preserve"> siete de julio</w:t>
      </w:r>
      <w:r w:rsidR="004D78AD" w:rsidRPr="00653CB3">
        <w:rPr>
          <w:rFonts w:ascii="Palatino Linotype" w:eastAsia="Palatino Linotype" w:hAnsi="Palatino Linotype" w:cs="Palatino Linotype"/>
          <w:b/>
        </w:rPr>
        <w:t xml:space="preserve"> de dos mil veintidós, </w:t>
      </w:r>
      <w:r w:rsidR="004D78AD" w:rsidRPr="00653CB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w:t>
      </w:r>
      <w:r w:rsidR="004D78AD" w:rsidRPr="00653CB3">
        <w:rPr>
          <w:rFonts w:ascii="Palatino Linotype" w:eastAsia="Palatino Linotype" w:hAnsi="Palatino Linotype" w:cs="Palatino Linotype"/>
        </w:rPr>
        <w:lastRenderedPageBreak/>
        <w:t xml:space="preserve">de revisión que ahora se resuelve, dando un plazo máximo de siete días hábiles para que las partes manifestaran lo que a su derecho resultara conveniente, ofrecieran pruebas, formularan alegatos y el </w:t>
      </w:r>
      <w:r w:rsidR="004D78AD" w:rsidRPr="00653CB3">
        <w:rPr>
          <w:rFonts w:ascii="Palatino Linotype" w:eastAsia="Palatino Linotype" w:hAnsi="Palatino Linotype" w:cs="Palatino Linotype"/>
          <w:b/>
        </w:rPr>
        <w:t xml:space="preserve">SUJETO OBLIGADO </w:t>
      </w:r>
      <w:r w:rsidR="004D78AD" w:rsidRPr="00653CB3">
        <w:rPr>
          <w:rFonts w:ascii="Palatino Linotype" w:eastAsia="Palatino Linotype" w:hAnsi="Palatino Linotype" w:cs="Palatino Linotype"/>
        </w:rPr>
        <w:t>presentara su informe justificado.</w:t>
      </w:r>
    </w:p>
    <w:p w:rsidR="004C6C59" w:rsidRPr="00653CB3" w:rsidRDefault="002C1EDF">
      <w:pPr>
        <w:widowControl w:val="0"/>
        <w:spacing w:line="360" w:lineRule="auto"/>
        <w:ind w:right="49"/>
        <w:jc w:val="both"/>
        <w:rPr>
          <w:rFonts w:ascii="Palatino Linotype" w:eastAsia="Palatino Linotype" w:hAnsi="Palatino Linotype" w:cs="Palatino Linotype"/>
        </w:rPr>
      </w:pPr>
      <w:r w:rsidRPr="00653CB3">
        <w:rPr>
          <w:rFonts w:ascii="Palatino Linotype" w:eastAsia="Palatino Linotype" w:hAnsi="Palatino Linotype" w:cs="Palatino Linotype"/>
          <w:b/>
        </w:rPr>
        <w:t>6</w:t>
      </w:r>
      <w:r w:rsidR="004D78AD" w:rsidRPr="00653CB3">
        <w:rPr>
          <w:rFonts w:ascii="Palatino Linotype" w:eastAsia="Palatino Linotype" w:hAnsi="Palatino Linotype" w:cs="Palatino Linotype"/>
          <w:b/>
        </w:rPr>
        <w:t>. Manifestaciones</w:t>
      </w:r>
      <w:r w:rsidR="004D78AD" w:rsidRPr="00653CB3">
        <w:rPr>
          <w:rFonts w:ascii="Palatino Linotype" w:eastAsia="Palatino Linotype" w:hAnsi="Palatino Linotype" w:cs="Palatino Linotype"/>
        </w:rPr>
        <w:t xml:space="preserve">. De constancias del expediente electrónico del SAIMEX, se observa que </w:t>
      </w:r>
      <w:r w:rsidR="004D78AD" w:rsidRPr="00653CB3">
        <w:rPr>
          <w:rFonts w:ascii="Palatino Linotype" w:eastAsia="Palatino Linotype" w:hAnsi="Palatino Linotype" w:cs="Palatino Linotype"/>
          <w:b/>
        </w:rPr>
        <w:t xml:space="preserve">la parte </w:t>
      </w:r>
      <w:r w:rsidRPr="00653CB3">
        <w:rPr>
          <w:rFonts w:ascii="Palatino Linotype" w:eastAsia="Palatino Linotype" w:hAnsi="Palatino Linotype" w:cs="Palatino Linotype"/>
          <w:b/>
        </w:rPr>
        <w:t>RECURRENTE</w:t>
      </w:r>
      <w:r w:rsidR="004D78AD" w:rsidRPr="00653CB3">
        <w:rPr>
          <w:rFonts w:ascii="Palatino Linotype" w:eastAsia="Palatino Linotype" w:hAnsi="Palatino Linotype" w:cs="Palatino Linotype"/>
        </w:rPr>
        <w:t xml:space="preserve"> fue omisa en emitir pronunciamientos, ofrecer pruebas o alegatos, por lo que se tiene por precluido su derecho.</w:t>
      </w:r>
    </w:p>
    <w:p w:rsidR="00022AD4" w:rsidRPr="00653CB3" w:rsidRDefault="00022AD4">
      <w:pPr>
        <w:widowControl w:val="0"/>
        <w:spacing w:line="360" w:lineRule="auto"/>
        <w:ind w:right="49"/>
        <w:jc w:val="both"/>
        <w:rPr>
          <w:rFonts w:ascii="Palatino Linotype" w:eastAsia="Palatino Linotype" w:hAnsi="Palatino Linotype" w:cs="Palatino Linotype"/>
        </w:rPr>
      </w:pPr>
    </w:p>
    <w:p w:rsidR="008F49C6" w:rsidRPr="00653CB3" w:rsidRDefault="002C1EDF" w:rsidP="00022AD4">
      <w:pPr>
        <w:widowControl w:val="0"/>
        <w:spacing w:line="360" w:lineRule="auto"/>
        <w:ind w:right="49"/>
        <w:jc w:val="both"/>
        <w:rPr>
          <w:rFonts w:ascii="Palatino Linotype" w:eastAsia="Palatino Linotype" w:hAnsi="Palatino Linotype" w:cs="Palatino Linotype"/>
        </w:rPr>
      </w:pPr>
      <w:r w:rsidRPr="00653CB3">
        <w:rPr>
          <w:rFonts w:ascii="Palatino Linotype" w:eastAsia="Palatino Linotype" w:hAnsi="Palatino Linotype" w:cs="Palatino Linotype"/>
        </w:rPr>
        <w:t xml:space="preserve">El </w:t>
      </w:r>
      <w:r w:rsidR="00FB44A1" w:rsidRPr="00653CB3">
        <w:rPr>
          <w:rFonts w:ascii="Palatino Linotype" w:eastAsia="Palatino Linotype" w:hAnsi="Palatino Linotype" w:cs="Palatino Linotype"/>
        </w:rPr>
        <w:t>doce de jul</w:t>
      </w:r>
      <w:r w:rsidRPr="00653CB3">
        <w:rPr>
          <w:rFonts w:ascii="Palatino Linotype" w:eastAsia="Palatino Linotype" w:hAnsi="Palatino Linotype" w:cs="Palatino Linotype"/>
        </w:rPr>
        <w:t>io</w:t>
      </w:r>
      <w:r w:rsidR="008F49C6" w:rsidRPr="00653CB3">
        <w:rPr>
          <w:rFonts w:ascii="Palatino Linotype" w:eastAsia="Palatino Linotype" w:hAnsi="Palatino Linotype" w:cs="Palatino Linotype"/>
        </w:rPr>
        <w:t xml:space="preserve"> de dos mil veintidós, se recibió, a través del Sistema de Acceso a la Información Mexiquense (SAIMEX), el Informe Justificado del SUJETO OBLIGADO, </w:t>
      </w:r>
      <w:r w:rsidRPr="00653CB3">
        <w:rPr>
          <w:rFonts w:ascii="Palatino Linotype" w:eastAsia="Palatino Linotype" w:hAnsi="Palatino Linotype" w:cs="Palatino Linotype"/>
        </w:rPr>
        <w:t>a través de</w:t>
      </w:r>
      <w:r w:rsidR="00FB44A1" w:rsidRPr="00653CB3">
        <w:rPr>
          <w:rFonts w:ascii="Palatino Linotype" w:eastAsia="Palatino Linotype" w:hAnsi="Palatino Linotype" w:cs="Palatino Linotype"/>
        </w:rPr>
        <w:t>l cual su Dirección de Administración, informó lo</w:t>
      </w:r>
      <w:r w:rsidRPr="00653CB3">
        <w:rPr>
          <w:rFonts w:ascii="Palatino Linotype" w:eastAsia="Palatino Linotype" w:hAnsi="Palatino Linotype" w:cs="Palatino Linotype"/>
        </w:rPr>
        <w:t xml:space="preserve"> </w:t>
      </w:r>
      <w:r w:rsidR="008F49C6" w:rsidRPr="00653CB3">
        <w:rPr>
          <w:rFonts w:ascii="Palatino Linotype" w:eastAsia="Palatino Linotype" w:hAnsi="Palatino Linotype" w:cs="Palatino Linotype"/>
        </w:rPr>
        <w:t xml:space="preserve">siguiente: </w:t>
      </w:r>
    </w:p>
    <w:p w:rsidR="00FB44A1" w:rsidRPr="00653CB3" w:rsidRDefault="00FB44A1" w:rsidP="008F49C6">
      <w:pPr>
        <w:spacing w:line="360" w:lineRule="auto"/>
        <w:jc w:val="both"/>
        <w:rPr>
          <w:noProof/>
          <w:lang w:val="es-MX"/>
        </w:rPr>
      </w:pPr>
    </w:p>
    <w:p w:rsidR="00022AD4" w:rsidRPr="00653CB3" w:rsidRDefault="00FB44A1" w:rsidP="008F49C6">
      <w:pPr>
        <w:spacing w:line="360" w:lineRule="auto"/>
        <w:jc w:val="both"/>
        <w:rPr>
          <w:rFonts w:ascii="Palatino Linotype" w:eastAsia="Palatino Linotype" w:hAnsi="Palatino Linotype" w:cs="Palatino Linotype"/>
        </w:rPr>
      </w:pPr>
      <w:r w:rsidRPr="00653CB3">
        <w:rPr>
          <w:noProof/>
          <w:lang w:val="es-MX"/>
        </w:rPr>
        <w:drawing>
          <wp:inline distT="0" distB="0" distL="0" distR="0" wp14:anchorId="0E474AF8" wp14:editId="0FE7A508">
            <wp:extent cx="5452110" cy="359618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460" t="12755" r="21070" b="4194"/>
                    <a:stretch/>
                  </pic:blipFill>
                  <pic:spPr bwMode="auto">
                    <a:xfrm>
                      <a:off x="0" y="0"/>
                      <a:ext cx="5464098" cy="3604092"/>
                    </a:xfrm>
                    <a:prstGeom prst="rect">
                      <a:avLst/>
                    </a:prstGeom>
                    <a:ln>
                      <a:noFill/>
                    </a:ln>
                    <a:extLst>
                      <a:ext uri="{53640926-AAD7-44D8-BBD7-CCE9431645EC}">
                        <a14:shadowObscured xmlns:a14="http://schemas.microsoft.com/office/drawing/2010/main"/>
                      </a:ext>
                    </a:extLst>
                  </pic:spPr>
                </pic:pic>
              </a:graphicData>
            </a:graphic>
          </wp:inline>
        </w:drawing>
      </w:r>
    </w:p>
    <w:p w:rsidR="008F49C6" w:rsidRPr="00653CB3" w:rsidRDefault="00D64845" w:rsidP="008F49C6">
      <w:pPr>
        <w:spacing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rPr>
        <w:lastRenderedPageBreak/>
        <w:t>A</w:t>
      </w:r>
      <w:r w:rsidR="008F49C6" w:rsidRPr="00653CB3">
        <w:rPr>
          <w:rFonts w:ascii="Palatino Linotype" w:eastAsia="Palatino Linotype" w:hAnsi="Palatino Linotype" w:cs="Palatino Linotype"/>
        </w:rPr>
        <w:t>rchivo</w:t>
      </w:r>
      <w:r w:rsidR="00FB44A1" w:rsidRPr="00653CB3">
        <w:rPr>
          <w:rFonts w:ascii="Palatino Linotype" w:eastAsia="Palatino Linotype" w:hAnsi="Palatino Linotype" w:cs="Palatino Linotype"/>
        </w:rPr>
        <w:t xml:space="preserve"> que se puso</w:t>
      </w:r>
      <w:r w:rsidR="008F49C6" w:rsidRPr="00653CB3">
        <w:rPr>
          <w:rFonts w:ascii="Palatino Linotype" w:eastAsia="Palatino Linotype" w:hAnsi="Palatino Linotype" w:cs="Palatino Linotype"/>
        </w:rPr>
        <w:t xml:space="preserve"> a la vista de la </w:t>
      </w:r>
      <w:r w:rsidR="008F49C6" w:rsidRPr="00653CB3">
        <w:rPr>
          <w:rFonts w:ascii="Palatino Linotype" w:eastAsia="Palatino Linotype" w:hAnsi="Palatino Linotype" w:cs="Palatino Linotype"/>
          <w:b/>
        </w:rPr>
        <w:t>RECURRENTE</w:t>
      </w:r>
      <w:r w:rsidR="008F49C6" w:rsidRPr="00653CB3">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la </w:t>
      </w:r>
      <w:r w:rsidR="008F49C6" w:rsidRPr="00653CB3">
        <w:rPr>
          <w:rFonts w:ascii="Palatino Linotype" w:eastAsia="Palatino Linotype" w:hAnsi="Palatino Linotype" w:cs="Palatino Linotype"/>
          <w:b/>
        </w:rPr>
        <w:t>RECURRENTE</w:t>
      </w:r>
      <w:r w:rsidR="008F49C6" w:rsidRPr="00653CB3">
        <w:rPr>
          <w:rFonts w:ascii="Palatino Linotype" w:eastAsia="Palatino Linotype" w:hAnsi="Palatino Linotype" w:cs="Palatino Linotype"/>
        </w:rPr>
        <w:t xml:space="preserve"> hiciera manifestación alguna.</w:t>
      </w:r>
    </w:p>
    <w:p w:rsidR="008F49C6" w:rsidRPr="00653CB3" w:rsidRDefault="008F49C6">
      <w:pPr>
        <w:widowControl w:val="0"/>
        <w:spacing w:line="360" w:lineRule="auto"/>
        <w:ind w:right="49"/>
        <w:jc w:val="both"/>
        <w:rPr>
          <w:rFonts w:ascii="Palatino Linotype" w:eastAsia="Palatino Linotype" w:hAnsi="Palatino Linotype" w:cs="Palatino Linotype"/>
        </w:rPr>
      </w:pPr>
    </w:p>
    <w:p w:rsidR="008F49C6" w:rsidRPr="00653CB3" w:rsidRDefault="002C1EDF" w:rsidP="008F49C6">
      <w:pPr>
        <w:widowControl w:val="0"/>
        <w:spacing w:after="240"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rPr>
        <w:t>7</w:t>
      </w:r>
      <w:r w:rsidR="008F49C6" w:rsidRPr="00653CB3">
        <w:rPr>
          <w:rFonts w:ascii="Palatino Linotype" w:eastAsia="Palatino Linotype" w:hAnsi="Palatino Linotype" w:cs="Palatino Linotype"/>
        </w:rPr>
        <w:t xml:space="preserve">. </w:t>
      </w:r>
      <w:r w:rsidR="008F49C6" w:rsidRPr="00653CB3">
        <w:rPr>
          <w:rFonts w:ascii="Palatino Linotype" w:eastAsia="Palatino Linotype" w:hAnsi="Palatino Linotype" w:cs="Palatino Linotype"/>
          <w:b/>
        </w:rPr>
        <w:t>Ampliación del plazo.</w:t>
      </w:r>
      <w:r w:rsidR="00FB44A1" w:rsidRPr="00653CB3">
        <w:rPr>
          <w:rFonts w:ascii="Palatino Linotype" w:eastAsia="Palatino Linotype" w:hAnsi="Palatino Linotype" w:cs="Palatino Linotype"/>
        </w:rPr>
        <w:t xml:space="preserve"> En fecha catorce de noviembre</w:t>
      </w:r>
      <w:r w:rsidR="008F49C6" w:rsidRPr="00653CB3">
        <w:rPr>
          <w:rFonts w:ascii="Palatino Linotype" w:eastAsia="Palatino Linotype" w:hAnsi="Palatino Linotype" w:cs="Palatino Linotype"/>
        </w:rPr>
        <w:t xml:space="preserve"> del año dos mil veintidós, con fundamento en el artículo 181, párrafo tercero de la Ley de Transparencia y Acceso a la Información Pública del Estado de México y Municipios, se acordó la ampliación del plazo para su resolución.</w:t>
      </w:r>
    </w:p>
    <w:p w:rsidR="008F49C6" w:rsidRPr="00653CB3" w:rsidRDefault="008F49C6" w:rsidP="008F49C6">
      <w:pPr>
        <w:spacing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8F49C6" w:rsidRPr="00653CB3" w:rsidRDefault="008F49C6" w:rsidP="008F49C6">
      <w:pPr>
        <w:spacing w:line="360" w:lineRule="auto"/>
        <w:jc w:val="both"/>
        <w:rPr>
          <w:rFonts w:ascii="Palatino Linotype" w:eastAsia="Palatino Linotype" w:hAnsi="Palatino Linotype" w:cs="Palatino Linotype"/>
        </w:rPr>
      </w:pPr>
    </w:p>
    <w:p w:rsidR="008F49C6" w:rsidRPr="00653CB3" w:rsidRDefault="008F49C6" w:rsidP="008F49C6">
      <w:pPr>
        <w:spacing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8F49C6" w:rsidRPr="00653CB3" w:rsidRDefault="008F49C6" w:rsidP="008F49C6">
      <w:pPr>
        <w:spacing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F49C6" w:rsidRPr="00653CB3" w:rsidRDefault="008F49C6" w:rsidP="008F49C6">
      <w:pPr>
        <w:spacing w:line="360" w:lineRule="auto"/>
        <w:jc w:val="both"/>
        <w:rPr>
          <w:rFonts w:ascii="Palatino Linotype" w:eastAsia="Palatino Linotype" w:hAnsi="Palatino Linotype" w:cs="Palatino Linotype"/>
        </w:rPr>
      </w:pPr>
    </w:p>
    <w:p w:rsidR="008F49C6" w:rsidRPr="00653CB3" w:rsidRDefault="008F49C6" w:rsidP="008F49C6">
      <w:pPr>
        <w:spacing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8F49C6" w:rsidRPr="00653CB3" w:rsidRDefault="008F49C6" w:rsidP="008F49C6">
      <w:pPr>
        <w:spacing w:line="360" w:lineRule="auto"/>
        <w:jc w:val="both"/>
        <w:rPr>
          <w:rFonts w:ascii="Palatino Linotype" w:eastAsia="Palatino Linotype" w:hAnsi="Palatino Linotype" w:cs="Palatino Linotype"/>
        </w:rPr>
      </w:pPr>
    </w:p>
    <w:p w:rsidR="008F49C6" w:rsidRPr="00653CB3" w:rsidRDefault="008F49C6" w:rsidP="008F49C6">
      <w:pPr>
        <w:spacing w:line="360" w:lineRule="auto"/>
        <w:jc w:val="both"/>
        <w:rPr>
          <w:rFonts w:ascii="Palatino Linotype" w:eastAsia="Palatino Linotype" w:hAnsi="Palatino Linotype" w:cs="Palatino Linotype"/>
          <w:strike/>
        </w:rPr>
      </w:pPr>
      <w:r w:rsidRPr="00653CB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8F49C6" w:rsidRPr="00653CB3" w:rsidRDefault="008F49C6" w:rsidP="008F49C6">
      <w:pPr>
        <w:spacing w:line="360" w:lineRule="auto"/>
        <w:jc w:val="both"/>
        <w:rPr>
          <w:rFonts w:ascii="Palatino Linotype" w:eastAsia="Palatino Linotype" w:hAnsi="Palatino Linotype" w:cs="Palatino Linotype"/>
        </w:rPr>
      </w:pPr>
    </w:p>
    <w:p w:rsidR="008F49C6" w:rsidRPr="00653CB3" w:rsidRDefault="008F49C6" w:rsidP="008F49C6">
      <w:pPr>
        <w:numPr>
          <w:ilvl w:val="0"/>
          <w:numId w:val="4"/>
        </w:numPr>
        <w:spacing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8F49C6" w:rsidRPr="00653CB3" w:rsidRDefault="008F49C6" w:rsidP="008F49C6">
      <w:pPr>
        <w:spacing w:line="360" w:lineRule="auto"/>
        <w:ind w:left="927"/>
        <w:jc w:val="both"/>
        <w:rPr>
          <w:rFonts w:ascii="Palatino Linotype" w:eastAsia="Palatino Linotype" w:hAnsi="Palatino Linotype" w:cs="Palatino Linotype"/>
        </w:rPr>
      </w:pPr>
    </w:p>
    <w:p w:rsidR="008F49C6" w:rsidRPr="00653CB3" w:rsidRDefault="008F49C6" w:rsidP="008F49C6">
      <w:pPr>
        <w:numPr>
          <w:ilvl w:val="0"/>
          <w:numId w:val="4"/>
        </w:numPr>
        <w:spacing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rPr>
        <w:t>Actividad Procesal del interesado. Acciones u omisiones del interesado.</w:t>
      </w:r>
    </w:p>
    <w:p w:rsidR="008F49C6" w:rsidRPr="00653CB3" w:rsidRDefault="008F49C6" w:rsidP="008F49C6">
      <w:pPr>
        <w:spacing w:line="360" w:lineRule="auto"/>
        <w:jc w:val="both"/>
        <w:rPr>
          <w:rFonts w:ascii="Palatino Linotype" w:eastAsia="Palatino Linotype" w:hAnsi="Palatino Linotype" w:cs="Palatino Linotype"/>
        </w:rPr>
      </w:pPr>
    </w:p>
    <w:p w:rsidR="008F49C6" w:rsidRPr="00653CB3" w:rsidRDefault="008F49C6" w:rsidP="008F49C6">
      <w:pPr>
        <w:numPr>
          <w:ilvl w:val="0"/>
          <w:numId w:val="4"/>
        </w:numPr>
        <w:spacing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rPr>
        <w:t>Conducta de la Autoridad: Las Acciones u omisiones realizadas en el procedimiento. Así como si la autoridad actuó con la debida diligencia.</w:t>
      </w:r>
    </w:p>
    <w:p w:rsidR="008F49C6" w:rsidRPr="00653CB3" w:rsidRDefault="008F49C6" w:rsidP="008F49C6">
      <w:pPr>
        <w:spacing w:line="360" w:lineRule="auto"/>
        <w:ind w:left="708"/>
        <w:rPr>
          <w:rFonts w:ascii="Palatino Linotype" w:eastAsia="Palatino Linotype" w:hAnsi="Palatino Linotype" w:cs="Palatino Linotype"/>
        </w:rPr>
      </w:pPr>
    </w:p>
    <w:p w:rsidR="008F49C6" w:rsidRPr="00653CB3" w:rsidRDefault="008F49C6" w:rsidP="008F49C6">
      <w:pPr>
        <w:spacing w:line="360" w:lineRule="auto"/>
        <w:ind w:left="567"/>
        <w:jc w:val="both"/>
        <w:rPr>
          <w:rFonts w:ascii="Palatino Linotype" w:eastAsia="Palatino Linotype" w:hAnsi="Palatino Linotype" w:cs="Palatino Linotype"/>
        </w:rPr>
      </w:pPr>
      <w:r w:rsidRPr="00653CB3">
        <w:rPr>
          <w:rFonts w:ascii="Palatino Linotype" w:eastAsia="Palatino Linotype" w:hAnsi="Palatino Linotype" w:cs="Palatino Linotype"/>
        </w:rPr>
        <w:t>d) La afectación generada en la situación jurídica de la persona involucrada en el proceso: Violación a sus derechos humanos.</w:t>
      </w:r>
    </w:p>
    <w:p w:rsidR="008F49C6" w:rsidRPr="00653CB3" w:rsidRDefault="008F49C6" w:rsidP="008F49C6">
      <w:pPr>
        <w:spacing w:line="360" w:lineRule="auto"/>
        <w:jc w:val="both"/>
        <w:rPr>
          <w:rFonts w:ascii="Palatino Linotype" w:eastAsia="Palatino Linotype" w:hAnsi="Palatino Linotype" w:cs="Palatino Linotype"/>
        </w:rPr>
      </w:pPr>
    </w:p>
    <w:p w:rsidR="008F49C6" w:rsidRPr="00653CB3" w:rsidRDefault="008F49C6" w:rsidP="008F49C6">
      <w:pPr>
        <w:spacing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F49C6" w:rsidRPr="00653CB3" w:rsidRDefault="008F49C6" w:rsidP="008F49C6">
      <w:pPr>
        <w:spacing w:line="360" w:lineRule="auto"/>
        <w:jc w:val="both"/>
        <w:rPr>
          <w:rFonts w:ascii="Palatino Linotype" w:eastAsia="Palatino Linotype" w:hAnsi="Palatino Linotype" w:cs="Palatino Linotype"/>
        </w:rPr>
      </w:pPr>
    </w:p>
    <w:p w:rsidR="008F49C6" w:rsidRPr="00653CB3" w:rsidRDefault="008F49C6" w:rsidP="008F49C6">
      <w:pPr>
        <w:spacing w:line="360" w:lineRule="auto"/>
        <w:jc w:val="both"/>
        <w:rPr>
          <w:rFonts w:ascii="Palatino Linotype" w:eastAsia="Palatino Linotype" w:hAnsi="Palatino Linotype" w:cs="Palatino Linotype"/>
          <w:b/>
        </w:rPr>
      </w:pPr>
      <w:r w:rsidRPr="00653CB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653CB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53CB3">
        <w:rPr>
          <w:rFonts w:ascii="Palatino Linotype" w:eastAsia="Palatino Linotype" w:hAnsi="Palatino Linotype" w:cs="Palatino Linotype"/>
        </w:rPr>
        <w:t>, visible en la Gaceta del Seminario Judicial de la Federación con el registro digital 205635.</w:t>
      </w:r>
    </w:p>
    <w:p w:rsidR="008F49C6" w:rsidRPr="00653CB3" w:rsidRDefault="008F49C6" w:rsidP="008F49C6">
      <w:pPr>
        <w:spacing w:line="360" w:lineRule="auto"/>
        <w:jc w:val="both"/>
        <w:rPr>
          <w:rFonts w:ascii="Palatino Linotype" w:eastAsia="Palatino Linotype" w:hAnsi="Palatino Linotype" w:cs="Palatino Linotype"/>
        </w:rPr>
      </w:pPr>
    </w:p>
    <w:p w:rsidR="008F49C6" w:rsidRPr="00653CB3" w:rsidRDefault="008F49C6" w:rsidP="008F49C6">
      <w:pPr>
        <w:spacing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F49C6" w:rsidRPr="00653CB3" w:rsidRDefault="008F49C6" w:rsidP="008F49C6">
      <w:pPr>
        <w:spacing w:line="360" w:lineRule="auto"/>
        <w:jc w:val="both"/>
        <w:rPr>
          <w:rFonts w:ascii="Palatino Linotype" w:eastAsia="Palatino Linotype" w:hAnsi="Palatino Linotype" w:cs="Palatino Linotype"/>
        </w:rPr>
      </w:pPr>
    </w:p>
    <w:p w:rsidR="008F49C6" w:rsidRPr="00653CB3" w:rsidRDefault="008F49C6" w:rsidP="008F49C6">
      <w:pPr>
        <w:spacing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8F49C6" w:rsidRPr="00653CB3" w:rsidRDefault="008F49C6" w:rsidP="008F49C6">
      <w:pPr>
        <w:spacing w:line="360" w:lineRule="auto"/>
        <w:jc w:val="both"/>
        <w:rPr>
          <w:rFonts w:ascii="Palatino Linotype" w:eastAsia="Palatino Linotype" w:hAnsi="Palatino Linotype" w:cs="Palatino Linotype"/>
        </w:rPr>
      </w:pPr>
    </w:p>
    <w:p w:rsidR="008F49C6" w:rsidRPr="00653CB3" w:rsidRDefault="008F49C6" w:rsidP="008F49C6">
      <w:pPr>
        <w:spacing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rPr>
        <w:t xml:space="preserve"> </w:t>
      </w:r>
      <w:r w:rsidRPr="00653CB3">
        <w:rPr>
          <w:rFonts w:ascii="Palatino Linotype" w:eastAsia="Palatino Linotype" w:hAnsi="Palatino Linotype" w:cs="Palatino Linotype"/>
          <w:i/>
        </w:rPr>
        <w:t>“PLAZO RAZONABLE PARA RESOLVER. DIMENSIÓN Y EFECTOS DE ESTE CONCEPTO CUANDO SE ADUCE EXCESIVA CARGA DE TRABAJO.”</w:t>
      </w:r>
      <w:r w:rsidRPr="00653CB3">
        <w:rPr>
          <w:rFonts w:ascii="Palatino Linotype" w:eastAsia="Palatino Linotype" w:hAnsi="Palatino Linotype" w:cs="Palatino Linotype"/>
        </w:rPr>
        <w:t xml:space="preserve"> consultable en el Seminario Judicial de la Federación y su gaceta, con el registro digital 2002351.</w:t>
      </w:r>
    </w:p>
    <w:p w:rsidR="008F49C6" w:rsidRPr="00653CB3" w:rsidRDefault="008F49C6" w:rsidP="008F49C6">
      <w:pPr>
        <w:spacing w:line="360" w:lineRule="auto"/>
        <w:jc w:val="both"/>
        <w:rPr>
          <w:rFonts w:ascii="Palatino Linotype" w:eastAsia="Palatino Linotype" w:hAnsi="Palatino Linotype" w:cs="Palatino Linotype"/>
          <w:b/>
        </w:rPr>
      </w:pPr>
    </w:p>
    <w:p w:rsidR="008F49C6" w:rsidRPr="00653CB3" w:rsidRDefault="008F49C6" w:rsidP="008F49C6">
      <w:pPr>
        <w:spacing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i/>
        </w:rPr>
        <w:t>“PLAZO RAZONABLE PARA RESOLVER. CONCEPTO Y ELEMENTOS QUE LO INTEGRAN A LA LUZ DEL DERECHO INTERNACIONAL DE LOS DERECHOS HUMANOS.”</w:t>
      </w:r>
      <w:r w:rsidRPr="00653CB3">
        <w:rPr>
          <w:rFonts w:ascii="Palatino Linotype" w:eastAsia="Palatino Linotype" w:hAnsi="Palatino Linotype" w:cs="Palatino Linotype"/>
        </w:rPr>
        <w:t>, visible en el Seminario Judicial de la Federación y su gaceta, con el registro digital 2002350.</w:t>
      </w:r>
    </w:p>
    <w:p w:rsidR="008F49C6" w:rsidRPr="00653CB3" w:rsidRDefault="008F49C6" w:rsidP="008F49C6">
      <w:pPr>
        <w:spacing w:line="360" w:lineRule="auto"/>
        <w:jc w:val="both"/>
        <w:rPr>
          <w:rFonts w:ascii="Palatino Linotype" w:eastAsia="Palatino Linotype" w:hAnsi="Palatino Linotype" w:cs="Palatino Linotype"/>
        </w:rPr>
      </w:pPr>
    </w:p>
    <w:p w:rsidR="008F49C6" w:rsidRPr="00653CB3" w:rsidRDefault="008F49C6" w:rsidP="008F49C6">
      <w:pPr>
        <w:spacing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4C6C59" w:rsidRPr="00653CB3" w:rsidRDefault="00525880">
      <w:pPr>
        <w:spacing w:before="240" w:after="240"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b/>
        </w:rPr>
        <w:t>9</w:t>
      </w:r>
      <w:r w:rsidR="004D78AD" w:rsidRPr="00653CB3">
        <w:rPr>
          <w:rFonts w:ascii="Palatino Linotype" w:eastAsia="Palatino Linotype" w:hAnsi="Palatino Linotype" w:cs="Palatino Linotype"/>
          <w:b/>
        </w:rPr>
        <w:t xml:space="preserve">. Cierre de instrucción. </w:t>
      </w:r>
      <w:r w:rsidR="004D78AD" w:rsidRPr="00653CB3">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5D3557" w:rsidRPr="00653CB3">
        <w:rPr>
          <w:rFonts w:ascii="Palatino Linotype" w:eastAsia="Palatino Linotype" w:hAnsi="Palatino Linotype" w:cs="Palatino Linotype"/>
          <w:b/>
        </w:rPr>
        <w:t>diecisiete de noviembre</w:t>
      </w:r>
      <w:r w:rsidR="00203811" w:rsidRPr="00653CB3">
        <w:rPr>
          <w:rFonts w:ascii="Palatino Linotype" w:eastAsia="Palatino Linotype" w:hAnsi="Palatino Linotype" w:cs="Palatino Linotype"/>
          <w:b/>
        </w:rPr>
        <w:t xml:space="preserve"> </w:t>
      </w:r>
      <w:r w:rsidR="004D78AD" w:rsidRPr="00653CB3">
        <w:rPr>
          <w:rFonts w:ascii="Palatino Linotype" w:eastAsia="Palatino Linotype" w:hAnsi="Palatino Linotype" w:cs="Palatino Linotype"/>
          <w:b/>
        </w:rPr>
        <w:t>de dos mil veintidós</w:t>
      </w:r>
      <w:r w:rsidR="004D78AD" w:rsidRPr="00653CB3">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4C6C59" w:rsidRPr="00653CB3" w:rsidRDefault="004D78AD">
      <w:pPr>
        <w:spacing w:before="240" w:after="240"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4C6C59" w:rsidRPr="00653CB3" w:rsidRDefault="004D78AD">
      <w:pPr>
        <w:widowControl w:val="0"/>
        <w:spacing w:line="360" w:lineRule="auto"/>
        <w:jc w:val="center"/>
        <w:rPr>
          <w:rFonts w:ascii="Palatino Linotype" w:eastAsia="Palatino Linotype" w:hAnsi="Palatino Linotype" w:cs="Palatino Linotype"/>
          <w:b/>
        </w:rPr>
      </w:pPr>
      <w:r w:rsidRPr="00653CB3">
        <w:rPr>
          <w:rFonts w:ascii="Palatino Linotype" w:eastAsia="Palatino Linotype" w:hAnsi="Palatino Linotype" w:cs="Palatino Linotype"/>
          <w:b/>
        </w:rPr>
        <w:t>II. C O N S I D E R A N D O S</w:t>
      </w:r>
    </w:p>
    <w:p w:rsidR="004C6C59" w:rsidRPr="00653CB3" w:rsidRDefault="004C6C59">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rsidR="00EB7502" w:rsidRPr="00653CB3" w:rsidRDefault="00EB7502" w:rsidP="00EB7502">
      <w:pPr>
        <w:spacing w:before="240" w:after="240" w:line="360" w:lineRule="auto"/>
        <w:jc w:val="both"/>
        <w:rPr>
          <w:rFonts w:ascii="Palatino Linotype" w:hAnsi="Palatino Linotype"/>
          <w:shd w:val="clear" w:color="auto" w:fill="FFFFFF"/>
        </w:rPr>
      </w:pPr>
      <w:r w:rsidRPr="00653CB3">
        <w:rPr>
          <w:rFonts w:ascii="Palatino Linotype" w:hAnsi="Palatino Linotype" w:cs="Arial"/>
          <w:b/>
        </w:rPr>
        <w:t xml:space="preserve">Primero. Competencia. </w:t>
      </w:r>
      <w:r w:rsidRPr="00653CB3">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w:t>
      </w:r>
      <w:r w:rsidR="00085FB0" w:rsidRPr="00653CB3">
        <w:rPr>
          <w:rFonts w:ascii="Palatino Linotype" w:hAnsi="Palatino Linotype"/>
          <w:shd w:val="clear" w:color="auto" w:fill="FFFFFF"/>
        </w:rPr>
        <w:t>el presente</w:t>
      </w:r>
      <w:r w:rsidRPr="00653CB3">
        <w:rPr>
          <w:rFonts w:ascii="Palatino Linotype" w:hAnsi="Palatino Linotype"/>
          <w:shd w:val="clear" w:color="auto" w:fill="FFFFFF"/>
        </w:rPr>
        <w:t xml:space="preserve"> recurso de revisión interpuest</w:t>
      </w:r>
      <w:r w:rsidR="00085FB0" w:rsidRPr="00653CB3">
        <w:rPr>
          <w:rFonts w:ascii="Palatino Linotype" w:hAnsi="Palatino Linotype"/>
          <w:shd w:val="clear" w:color="auto" w:fill="FFFFFF"/>
        </w:rPr>
        <w:t>o</w:t>
      </w:r>
      <w:r w:rsidR="00203811" w:rsidRPr="00653CB3">
        <w:rPr>
          <w:rFonts w:ascii="Palatino Linotype" w:hAnsi="Palatino Linotype"/>
          <w:shd w:val="clear" w:color="auto" w:fill="FFFFFF"/>
        </w:rPr>
        <w:t xml:space="preserve"> </w:t>
      </w:r>
      <w:r w:rsidRPr="00653CB3">
        <w:rPr>
          <w:rFonts w:ascii="Palatino Linotype" w:hAnsi="Palatino Linotype"/>
          <w:shd w:val="clear" w:color="auto" w:fill="FFFFFF"/>
        </w:rPr>
        <w:t xml:space="preserve">por la parte </w:t>
      </w:r>
      <w:r w:rsidR="00085FB0" w:rsidRPr="00653CB3">
        <w:rPr>
          <w:rFonts w:ascii="Palatino Linotype" w:hAnsi="Palatino Linotype"/>
          <w:b/>
          <w:shd w:val="clear" w:color="auto" w:fill="FFFFFF"/>
        </w:rPr>
        <w:t>RECURRENTE</w:t>
      </w:r>
      <w:r w:rsidRPr="00653CB3">
        <w:rPr>
          <w:rFonts w:ascii="Palatino Linotype" w:hAnsi="Palatino Linotype"/>
          <w:shd w:val="clear" w:color="auto" w:fill="FFFFFF"/>
        </w:rPr>
        <w:t>, conforme a lo dispuesto en los artículos 6, apartado A de la Constitución Política de los Estados Unidos Mexicanos; 5, párrafos trigésimo, trigésimos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B7502" w:rsidRPr="00653CB3" w:rsidRDefault="00EB7502" w:rsidP="00EB7502">
      <w:pPr>
        <w:spacing w:before="240" w:after="240" w:line="360" w:lineRule="auto"/>
        <w:jc w:val="both"/>
        <w:rPr>
          <w:rFonts w:ascii="Palatino Linotype" w:eastAsia="Calibri" w:hAnsi="Palatino Linotype" w:cs="Arial"/>
          <w:lang w:val="es-MX" w:eastAsia="en-US"/>
        </w:rPr>
      </w:pPr>
      <w:r w:rsidRPr="00653CB3">
        <w:rPr>
          <w:rFonts w:ascii="Palatino Linotype" w:hAnsi="Palatino Linotype" w:cs="Arial"/>
          <w:b/>
        </w:rPr>
        <w:t>Segundo. Oportunidad y Procedibilidad de los Recursos de Revisión</w:t>
      </w:r>
      <w:r w:rsidRPr="00653CB3">
        <w:rPr>
          <w:rFonts w:ascii="Palatino Linotype" w:hAnsi="Palatino Linotype" w:cs="Arial"/>
          <w:b/>
          <w:sz w:val="28"/>
          <w:szCs w:val="28"/>
        </w:rPr>
        <w:t>.</w:t>
      </w:r>
      <w:r w:rsidRPr="00653CB3">
        <w:rPr>
          <w:rFonts w:ascii="Palatino Linotype" w:hAnsi="Palatino Linotype" w:cs="Arial"/>
          <w:b/>
        </w:rPr>
        <w:t xml:space="preserve"> </w:t>
      </w:r>
      <w:r w:rsidRPr="00653CB3">
        <w:rPr>
          <w:rFonts w:ascii="Palatino Linotype" w:hAnsi="Palatino Linotype" w:cs="Arial"/>
        </w:rPr>
        <w:t>Por cuanto hace a la oportunidad de los recursos de revisión</w:t>
      </w:r>
      <w:r w:rsidRPr="00653CB3">
        <w:rPr>
          <w:rFonts w:ascii="Palatino Linotype" w:hAnsi="Palatino Linotype" w:cs="Arial"/>
          <w:b/>
        </w:rPr>
        <w:t xml:space="preserve"> </w:t>
      </w:r>
      <w:r w:rsidRPr="00653CB3">
        <w:rPr>
          <w:rFonts w:ascii="Palatino Linotype" w:eastAsia="Calibri" w:hAnsi="Palatino Linotype" w:cs="Arial"/>
          <w:lang w:val="es-MX" w:eastAsia="en-US"/>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 en cualquier momento.</w:t>
      </w:r>
    </w:p>
    <w:p w:rsidR="00EB7502" w:rsidRPr="00653CB3" w:rsidRDefault="00EB7502" w:rsidP="00EB7502">
      <w:pPr>
        <w:spacing w:before="240" w:after="240" w:line="360" w:lineRule="auto"/>
        <w:jc w:val="both"/>
        <w:rPr>
          <w:rFonts w:ascii="Palatino Linotype" w:eastAsia="Calibri" w:hAnsi="Palatino Linotype" w:cs="Arial"/>
          <w:lang w:val="es-MX" w:eastAsia="en-US"/>
        </w:rPr>
      </w:pPr>
      <w:r w:rsidRPr="00653CB3">
        <w:rPr>
          <w:rFonts w:ascii="Palatino Linotype" w:eastAsia="Calibri" w:hAnsi="Palatino Linotype" w:cs="Arial"/>
          <w:lang w:val="es-MX" w:eastAsia="en-US"/>
        </w:rPr>
        <w:t xml:space="preserve">Derivado de lo anterior, se constituye la figura jurídica de la </w:t>
      </w:r>
      <w:r w:rsidRPr="00653CB3">
        <w:rPr>
          <w:rFonts w:ascii="Palatino Linotype" w:eastAsia="Calibri" w:hAnsi="Palatino Linotype" w:cs="Arial"/>
          <w:b/>
          <w:lang w:val="es-MX" w:eastAsia="en-US"/>
        </w:rPr>
        <w:t>NEGATIVA FICTA</w:t>
      </w:r>
      <w:r w:rsidRPr="00653CB3">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rsidR="00EB7502" w:rsidRPr="00653CB3" w:rsidRDefault="00EB7502" w:rsidP="00EB7502">
      <w:pPr>
        <w:spacing w:before="240" w:after="240" w:line="360" w:lineRule="auto"/>
        <w:jc w:val="both"/>
        <w:rPr>
          <w:rFonts w:ascii="Palatino Linotype" w:eastAsia="Calibri" w:hAnsi="Palatino Linotype" w:cs="Arial"/>
          <w:lang w:val="es-MX" w:eastAsia="en-US"/>
        </w:rPr>
      </w:pPr>
      <w:r w:rsidRPr="00653CB3">
        <w:rPr>
          <w:rFonts w:ascii="Palatino Linotype" w:eastAsia="Calibri" w:hAnsi="Palatino Linotype" w:cs="Arial"/>
          <w:lang w:val="es-MX" w:eastAsia="en-US"/>
        </w:rPr>
        <w:t xml:space="preserve">De tal manera, en </w:t>
      </w:r>
      <w:r w:rsidR="00085FB0" w:rsidRPr="00653CB3">
        <w:rPr>
          <w:rFonts w:ascii="Palatino Linotype" w:eastAsia="Calibri" w:hAnsi="Palatino Linotype" w:cs="Arial"/>
          <w:lang w:val="es-MX" w:eastAsia="en-US"/>
        </w:rPr>
        <w:t>el presente</w:t>
      </w:r>
      <w:r w:rsidRPr="00653CB3">
        <w:rPr>
          <w:rFonts w:ascii="Palatino Linotype" w:eastAsia="Calibri" w:hAnsi="Palatino Linotype" w:cs="Arial"/>
          <w:lang w:val="es-MX" w:eastAsia="en-US"/>
        </w:rPr>
        <w:t xml:space="preserve"> recurso de revisión se actualizó la negativa ficta por parte del </w:t>
      </w:r>
      <w:r w:rsidRPr="00653CB3">
        <w:rPr>
          <w:rFonts w:ascii="Palatino Linotype" w:eastAsia="Calibri" w:hAnsi="Palatino Linotype" w:cs="Arial"/>
          <w:b/>
          <w:lang w:val="es-MX" w:eastAsia="en-US"/>
        </w:rPr>
        <w:t>SUJETO OBLIGADO</w:t>
      </w:r>
      <w:r w:rsidRPr="00653CB3">
        <w:rPr>
          <w:rFonts w:ascii="Palatino Linotype" w:eastAsia="Calibri" w:hAnsi="Palatino Linotype" w:cs="Arial"/>
          <w:lang w:val="es-MX" w:eastAsia="en-US"/>
        </w:rPr>
        <w:t xml:space="preserve"> al no haber respondido al </w:t>
      </w:r>
      <w:r w:rsidRPr="00653CB3">
        <w:rPr>
          <w:rFonts w:ascii="Palatino Linotype" w:eastAsia="Calibri" w:hAnsi="Palatino Linotype" w:cs="Arial"/>
          <w:b/>
          <w:lang w:val="es-MX" w:eastAsia="en-US"/>
        </w:rPr>
        <w:t>RECURRENTE</w:t>
      </w:r>
      <w:r w:rsidRPr="00653CB3">
        <w:rPr>
          <w:rFonts w:ascii="Palatino Linotype" w:eastAsia="Calibri" w:hAnsi="Palatino Linotype" w:cs="Arial"/>
          <w:lang w:val="es-MX" w:eastAsia="en-US"/>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EB7502" w:rsidRPr="00653CB3" w:rsidRDefault="00EB7502" w:rsidP="00EB7502">
      <w:pPr>
        <w:spacing w:before="240" w:after="240" w:line="360" w:lineRule="auto"/>
        <w:jc w:val="both"/>
        <w:rPr>
          <w:rFonts w:ascii="Palatino Linotype" w:eastAsia="Calibri" w:hAnsi="Palatino Linotype" w:cs="Arial"/>
          <w:lang w:val="es-MX" w:eastAsia="en-US"/>
        </w:rPr>
      </w:pPr>
      <w:r w:rsidRPr="00653CB3">
        <w:rPr>
          <w:rFonts w:ascii="Palatino Linotype" w:eastAsia="Calibri" w:hAnsi="Palatino Linotype" w:cs="Arial"/>
          <w:lang w:val="es-MX" w:eastAsia="en-US"/>
        </w:rPr>
        <w:t>Si a ello se le suma lo previsto en el párrafo segundo del artículo 178, párrafo segundo</w:t>
      </w:r>
      <w:r w:rsidRPr="00653CB3">
        <w:rPr>
          <w:rStyle w:val="Refdenotaalpie"/>
          <w:rFonts w:ascii="Palatino Linotype" w:eastAsia="Calibri" w:hAnsi="Palatino Linotype" w:cs="Arial"/>
          <w:lang w:val="es-MX" w:eastAsia="en-US"/>
        </w:rPr>
        <w:footnoteReference w:id="1"/>
      </w:r>
      <w:r w:rsidRPr="00653CB3">
        <w:rPr>
          <w:rFonts w:ascii="Palatino Linotype" w:eastAsia="Calibri" w:hAnsi="Palatino Linotype" w:cs="Arial"/>
          <w:lang w:val="es-MX" w:eastAsia="en-US"/>
        </w:rPr>
        <w:t xml:space="preserve"> de la Ley de Transparencia y Acceso a la Información Pública vigente en la entidad.</w:t>
      </w:r>
    </w:p>
    <w:p w:rsidR="00EB7502" w:rsidRPr="00653CB3" w:rsidRDefault="00EB7502" w:rsidP="00EB7502">
      <w:pPr>
        <w:spacing w:before="240" w:after="360" w:line="360" w:lineRule="auto"/>
        <w:jc w:val="both"/>
        <w:rPr>
          <w:rFonts w:eastAsia="Calibri"/>
          <w:i/>
          <w:szCs w:val="22"/>
          <w:lang w:val="es-MX"/>
        </w:rPr>
      </w:pPr>
      <w:r w:rsidRPr="00653CB3">
        <w:rPr>
          <w:rFonts w:ascii="Palatino Linotype" w:eastAsia="Calibri" w:hAnsi="Palatino Linotype" w:cs="Arial"/>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EB7502" w:rsidRPr="00653CB3" w:rsidRDefault="00EB7502" w:rsidP="00EB7502">
      <w:pPr>
        <w:spacing w:before="240" w:after="360"/>
        <w:ind w:left="851" w:right="851"/>
        <w:jc w:val="both"/>
        <w:rPr>
          <w:rFonts w:ascii="Palatino Linotype" w:eastAsia="Calibri" w:hAnsi="Palatino Linotype"/>
          <w:b/>
          <w:i/>
          <w:sz w:val="22"/>
          <w:szCs w:val="22"/>
          <w:lang w:val="es-MX"/>
        </w:rPr>
      </w:pPr>
      <w:r w:rsidRPr="00653CB3">
        <w:rPr>
          <w:rFonts w:ascii="Palatino Linotype" w:eastAsia="Calibri" w:hAnsi="Palatino Linotype"/>
          <w:i/>
          <w:sz w:val="22"/>
          <w:szCs w:val="22"/>
          <w:lang w:val="es-MX"/>
        </w:rPr>
        <w:t>“</w:t>
      </w:r>
      <w:r w:rsidRPr="00653CB3">
        <w:rPr>
          <w:rFonts w:ascii="Palatino Linotype" w:eastAsia="Calibri" w:hAnsi="Palatino Linotype"/>
          <w:b/>
          <w:i/>
          <w:sz w:val="22"/>
          <w:szCs w:val="22"/>
          <w:lang w:val="es-MX"/>
        </w:rPr>
        <w:t xml:space="preserve">CRITERIO 0001-15 </w:t>
      </w:r>
    </w:p>
    <w:p w:rsidR="00EB7502" w:rsidRPr="00653CB3" w:rsidRDefault="00EB7502" w:rsidP="00EB7502">
      <w:pPr>
        <w:spacing w:before="240" w:after="360"/>
        <w:ind w:left="851" w:right="851"/>
        <w:jc w:val="both"/>
        <w:rPr>
          <w:rFonts w:ascii="Palatino Linotype" w:eastAsia="Calibri" w:hAnsi="Palatino Linotype"/>
          <w:i/>
          <w:sz w:val="22"/>
          <w:szCs w:val="22"/>
          <w:lang w:val="es-ES_tradnl"/>
        </w:rPr>
      </w:pPr>
      <w:r w:rsidRPr="00653CB3">
        <w:rPr>
          <w:rFonts w:ascii="Palatino Linotype" w:eastAsia="Calibri" w:hAnsi="Palatino Linotype"/>
          <w:b/>
          <w:i/>
          <w:sz w:val="22"/>
          <w:szCs w:val="22"/>
          <w:lang w:val="es-MX"/>
        </w:rPr>
        <w:t>NEGATIVA FICTA. PLAZO PARA INTERPONER EL RECURSO DE REVISIÓN TRATÁNDOSE DE</w:t>
      </w:r>
      <w:r w:rsidRPr="00653CB3">
        <w:rPr>
          <w:rFonts w:ascii="Palatino Linotype" w:eastAsia="Calibri" w:hAnsi="Palatino Linotype"/>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EB7502" w:rsidRPr="00653CB3" w:rsidRDefault="00EB7502" w:rsidP="00EB7502">
      <w:pPr>
        <w:spacing w:before="240" w:after="240"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rPr>
        <w:t xml:space="preserve">Por cuanto hace a la procedibilidad del recurso de revisión, es de suma importancia señalar que la parte </w:t>
      </w:r>
      <w:r w:rsidRPr="00653CB3">
        <w:rPr>
          <w:rFonts w:ascii="Palatino Linotype" w:eastAsia="Palatino Linotype" w:hAnsi="Palatino Linotype" w:cs="Palatino Linotype"/>
          <w:b/>
        </w:rPr>
        <w:t>RECURRENTE</w:t>
      </w:r>
      <w:r w:rsidRPr="00653CB3">
        <w:rPr>
          <w:rFonts w:ascii="Palatino Linotype" w:eastAsia="Palatino Linotype" w:hAnsi="Palatino Linotype" w:cs="Palatino Linotype"/>
        </w:rPr>
        <w:t>, no señaló su nombre completo,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B7502" w:rsidRPr="00653CB3" w:rsidRDefault="00EB7502" w:rsidP="00EB7502">
      <w:pPr>
        <w:spacing w:before="240" w:after="240" w:line="276" w:lineRule="auto"/>
        <w:ind w:left="851" w:right="902"/>
        <w:jc w:val="both"/>
        <w:rPr>
          <w:rFonts w:ascii="Palatino Linotype" w:eastAsia="Palatino Linotype" w:hAnsi="Palatino Linotype" w:cs="Palatino Linotype"/>
          <w:i/>
          <w:sz w:val="22"/>
          <w:szCs w:val="22"/>
        </w:rPr>
      </w:pPr>
      <w:r w:rsidRPr="00653CB3">
        <w:rPr>
          <w:rFonts w:ascii="Palatino Linotype" w:eastAsia="Palatino Linotype" w:hAnsi="Palatino Linotype" w:cs="Palatino Linotype"/>
          <w:i/>
          <w:sz w:val="22"/>
          <w:szCs w:val="22"/>
        </w:rPr>
        <w:t>"</w:t>
      </w:r>
      <w:r w:rsidRPr="00653CB3">
        <w:rPr>
          <w:rFonts w:ascii="Palatino Linotype" w:eastAsia="Palatino Linotype" w:hAnsi="Palatino Linotype" w:cs="Palatino Linotype"/>
          <w:b/>
          <w:i/>
          <w:sz w:val="22"/>
          <w:szCs w:val="22"/>
        </w:rPr>
        <w:t>Las solicitudes anónimas</w:t>
      </w:r>
      <w:r w:rsidRPr="00653CB3">
        <w:rPr>
          <w:rFonts w:ascii="Palatino Linotype" w:eastAsia="Palatino Linotype" w:hAnsi="Palatino Linotype" w:cs="Palatino Linotype"/>
          <w:i/>
          <w:sz w:val="22"/>
          <w:szCs w:val="22"/>
        </w:rPr>
        <w:t xml:space="preserve">, con nombre incompleto o seudónimo </w:t>
      </w:r>
      <w:r w:rsidRPr="00653CB3">
        <w:rPr>
          <w:rFonts w:ascii="Palatino Linotype" w:eastAsia="Palatino Linotype" w:hAnsi="Palatino Linotype" w:cs="Palatino Linotype"/>
          <w:b/>
          <w:i/>
          <w:sz w:val="22"/>
          <w:szCs w:val="22"/>
        </w:rPr>
        <w:t>serán procedentes para su trámite por parte del sujeto obligado ante quien se presente</w:t>
      </w:r>
      <w:r w:rsidRPr="00653CB3">
        <w:rPr>
          <w:rFonts w:ascii="Palatino Linotype" w:eastAsia="Palatino Linotype" w:hAnsi="Palatino Linotype" w:cs="Palatino Linotype"/>
          <w:i/>
          <w:sz w:val="22"/>
          <w:szCs w:val="22"/>
        </w:rPr>
        <w:t>. No podrá requerirse información adicional con motivo del nombre proporcionado por el solicitante."(Sic)</w:t>
      </w:r>
    </w:p>
    <w:p w:rsidR="00EB7502" w:rsidRPr="00653CB3" w:rsidRDefault="00EB7502" w:rsidP="00EB7502">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sidRPr="00653CB3">
        <w:rPr>
          <w:rFonts w:ascii="Palatino Linotype" w:hAnsi="Palatino Linotype" w:cs="Arial"/>
        </w:rPr>
        <w:t>Además, por cuanto hace a la procedibilidad del recurso de revisión una vez realizado el análisis del formato de interposición</w:t>
      </w:r>
      <w:r w:rsidRPr="00653CB3">
        <w:rPr>
          <w:rStyle w:val="normaltextrun"/>
          <w:rFonts w:ascii="Palatino Linotype" w:hAnsi="Palatino Linotype" w:cs="Segoe UI"/>
        </w:rPr>
        <w:t xml:space="preserve"> del recurso, se acreditan plenamente de todos y cada uno de los elementos formales exigidos por el artículo 180 de la</w:t>
      </w:r>
      <w:r w:rsidRPr="00653CB3">
        <w:rPr>
          <w:rStyle w:val="apple-converted-space"/>
          <w:rFonts w:ascii="Palatino Linotype" w:hAnsi="Palatino Linotype" w:cs="Segoe UI"/>
        </w:rPr>
        <w:t xml:space="preserve"> </w:t>
      </w:r>
      <w:r w:rsidRPr="00653CB3">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653CB3">
        <w:rPr>
          <w:rStyle w:val="apple-converted-space"/>
          <w:rFonts w:ascii="Palatino Linotype" w:hAnsi="Palatino Linotype" w:cs="Segoe UI"/>
        </w:rPr>
        <w:t xml:space="preserve"> </w:t>
      </w:r>
      <w:r w:rsidRPr="00653CB3">
        <w:rPr>
          <w:rStyle w:val="normaltextrun"/>
          <w:rFonts w:ascii="Palatino Linotype" w:hAnsi="Palatino Linotype" w:cs="Segoe UI"/>
          <w:b/>
          <w:bCs/>
        </w:rPr>
        <w:t>EL</w:t>
      </w:r>
      <w:r w:rsidRPr="00653CB3">
        <w:rPr>
          <w:rStyle w:val="apple-converted-space"/>
          <w:rFonts w:ascii="Palatino Linotype" w:hAnsi="Palatino Linotype" w:cs="Segoe UI"/>
        </w:rPr>
        <w:t xml:space="preserve"> </w:t>
      </w:r>
      <w:r w:rsidRPr="00653CB3">
        <w:rPr>
          <w:rStyle w:val="normaltextrun"/>
          <w:rFonts w:ascii="Palatino Linotype" w:hAnsi="Palatino Linotype" w:cs="Segoe UI"/>
          <w:b/>
          <w:bCs/>
        </w:rPr>
        <w:t>SAIMEX</w:t>
      </w:r>
      <w:r w:rsidRPr="00653CB3">
        <w:rPr>
          <w:rStyle w:val="normaltextrun"/>
          <w:rFonts w:ascii="Palatino Linotype" w:hAnsi="Palatino Linotype" w:cs="Segoe UI"/>
        </w:rPr>
        <w:t>.</w:t>
      </w:r>
    </w:p>
    <w:p w:rsidR="00EB7502" w:rsidRPr="00653CB3" w:rsidRDefault="00EB7502" w:rsidP="00EB7502">
      <w:pPr>
        <w:spacing w:before="240" w:after="240" w:line="360" w:lineRule="auto"/>
        <w:jc w:val="both"/>
        <w:rPr>
          <w:rFonts w:ascii="Segoe UI" w:hAnsi="Segoe UI" w:cs="Segoe UI"/>
          <w:lang w:val="es-MX"/>
        </w:rPr>
      </w:pPr>
      <w:r w:rsidRPr="00653CB3">
        <w:rPr>
          <w:rStyle w:val="normaltextrun"/>
          <w:rFonts w:ascii="Palatino Linotype" w:hAnsi="Palatino Linotype" w:cs="Segoe UI"/>
        </w:rPr>
        <w:t xml:space="preserve">Ahora bien, </w:t>
      </w:r>
      <w:r w:rsidRPr="00653CB3">
        <w:rPr>
          <w:rFonts w:ascii="Palatino Linotype" w:hAnsi="Palatino Linotype" w:cs="Segoe UI"/>
          <w:lang w:val="es-MX"/>
        </w:rPr>
        <w:t xml:space="preserve">resulta procedente la interposición de los recursos de revisión, según lo aducido por el </w:t>
      </w:r>
      <w:r w:rsidRPr="00653CB3">
        <w:rPr>
          <w:rFonts w:ascii="Palatino Linotype" w:hAnsi="Palatino Linotype" w:cs="Segoe UI"/>
          <w:b/>
          <w:lang w:val="es-MX"/>
        </w:rPr>
        <w:t>RECURRENTE</w:t>
      </w:r>
      <w:r w:rsidRPr="00653CB3">
        <w:rPr>
          <w:rFonts w:ascii="Palatino Linotype" w:hAnsi="Palatino Linotype" w:cs="Segoe UI"/>
          <w:lang w:val="es-MX"/>
        </w:rPr>
        <w:t>, en términos del artículo</w:t>
      </w:r>
      <w:r w:rsidRPr="00653CB3">
        <w:rPr>
          <w:rFonts w:ascii="Palatino Linotype" w:eastAsia="Cambria" w:hAnsi="Palatino Linotype" w:cs="Segoe UI"/>
          <w:lang w:val="es-MX"/>
        </w:rPr>
        <w:t xml:space="preserve"> 179</w:t>
      </w:r>
      <w:r w:rsidRPr="00653CB3">
        <w:rPr>
          <w:rFonts w:ascii="Palatino Linotype" w:hAnsi="Palatino Linotype" w:cs="Segoe UI"/>
          <w:lang w:val="es-MX"/>
        </w:rPr>
        <w:t>, fracción VII del ordenamiento legal de la materia, que a la letra dice:</w:t>
      </w:r>
    </w:p>
    <w:p w:rsidR="00EB7502" w:rsidRPr="00653CB3" w:rsidRDefault="00EB7502" w:rsidP="00EB7502">
      <w:pPr>
        <w:spacing w:before="240" w:after="240"/>
        <w:ind w:left="993" w:right="1041"/>
        <w:jc w:val="both"/>
        <w:textAlignment w:val="baseline"/>
        <w:rPr>
          <w:rFonts w:ascii="Palatino Linotype" w:eastAsia="MS Gothic" w:hAnsi="Palatino Linotype" w:cs="Segoe UI"/>
          <w:sz w:val="22"/>
          <w:szCs w:val="22"/>
          <w:lang w:val="es-MX"/>
        </w:rPr>
      </w:pPr>
      <w:r w:rsidRPr="00653CB3">
        <w:rPr>
          <w:rFonts w:ascii="Palatino Linotype" w:hAnsi="Palatino Linotype" w:cs="Segoe UI"/>
          <w:bCs/>
          <w:i/>
          <w:iCs/>
          <w:sz w:val="22"/>
          <w:szCs w:val="22"/>
          <w:lang w:val="es-MX"/>
        </w:rPr>
        <w:t>“</w:t>
      </w:r>
      <w:r w:rsidRPr="00653CB3">
        <w:rPr>
          <w:rFonts w:ascii="Palatino Linotype" w:hAnsi="Palatino Linotype" w:cs="Segoe UI"/>
          <w:b/>
          <w:bCs/>
          <w:sz w:val="22"/>
          <w:szCs w:val="22"/>
          <w:lang w:val="es-MX"/>
        </w:rPr>
        <w:t>Artículo 179.</w:t>
      </w:r>
      <w:r w:rsidRPr="00653CB3">
        <w:rPr>
          <w:rFonts w:ascii="Palatino Linotype" w:eastAsia="Cambria" w:hAnsi="Palatino Linotype" w:cs="Segoe UI"/>
          <w:i/>
          <w:iCs/>
          <w:sz w:val="22"/>
          <w:szCs w:val="22"/>
          <w:lang w:val="es-MX"/>
        </w:rPr>
        <w:t xml:space="preserve">El recurso de revisión es un medio de protección que la Ley otorga a los particulares, para hacer valer su derecho de acceso a la información pública, y procederá en contra de las siguientes causas: </w:t>
      </w:r>
      <w:r w:rsidRPr="00653CB3">
        <w:rPr>
          <w:rFonts w:ascii="Palatino Linotype" w:eastAsia="MS Gothic" w:hAnsi="Palatino Linotype" w:cs="Segoe UI"/>
          <w:sz w:val="22"/>
          <w:szCs w:val="22"/>
          <w:lang w:val="es-MX"/>
        </w:rPr>
        <w:t> </w:t>
      </w:r>
    </w:p>
    <w:p w:rsidR="00EB7502" w:rsidRPr="00653CB3" w:rsidRDefault="00EB7502" w:rsidP="00EB7502">
      <w:pPr>
        <w:numPr>
          <w:ilvl w:val="0"/>
          <w:numId w:val="7"/>
        </w:numPr>
        <w:spacing w:before="240" w:after="240"/>
        <w:ind w:right="1041" w:hanging="87"/>
        <w:jc w:val="both"/>
        <w:textAlignment w:val="baseline"/>
        <w:rPr>
          <w:rFonts w:ascii="Palatino Linotype" w:eastAsia="MS Gothic" w:hAnsi="Palatino Linotype" w:cs="Segoe UI"/>
          <w:i/>
          <w:sz w:val="22"/>
          <w:szCs w:val="22"/>
          <w:lang w:val="es-MX"/>
        </w:rPr>
      </w:pPr>
      <w:r w:rsidRPr="00653CB3">
        <w:rPr>
          <w:rFonts w:ascii="Palatino Linotype" w:eastAsia="MS Gothic" w:hAnsi="Palatino Linotype" w:cs="Segoe UI"/>
          <w:i/>
          <w:sz w:val="22"/>
          <w:szCs w:val="22"/>
          <w:lang w:val="es-MX"/>
        </w:rPr>
        <w:t>La falta de respuesta a una solicitud de acceso a la información…(Sic)</w:t>
      </w:r>
    </w:p>
    <w:p w:rsidR="00EB7502" w:rsidRPr="00653CB3" w:rsidRDefault="00EB7502" w:rsidP="00EB7502">
      <w:pPr>
        <w:spacing w:before="240" w:after="240" w:line="360" w:lineRule="auto"/>
        <w:ind w:right="60"/>
        <w:jc w:val="both"/>
        <w:rPr>
          <w:rFonts w:ascii="Palatino Linotype" w:eastAsia="Palatino Linotype" w:hAnsi="Palatino Linotype" w:cs="Palatino Linotype"/>
          <w:b/>
        </w:rPr>
      </w:pPr>
      <w:r w:rsidRPr="00653CB3">
        <w:rPr>
          <w:rFonts w:ascii="Palatino Linotype" w:hAnsi="Palatino Linotype"/>
          <w:b/>
        </w:rPr>
        <w:t xml:space="preserve">Tercero. </w:t>
      </w:r>
      <w:r w:rsidRPr="00653CB3">
        <w:rPr>
          <w:rFonts w:ascii="Palatino Linotype" w:hAnsi="Palatino Linotype" w:cs="Arial"/>
          <w:b/>
        </w:rPr>
        <w:t>Análisis de las causales de sobreseimiento.</w:t>
      </w:r>
      <w:r w:rsidRPr="00653CB3">
        <w:rPr>
          <w:rFonts w:ascii="Palatino Linotype" w:hAnsi="Palatino Linotype"/>
          <w:b/>
        </w:rPr>
        <w:t xml:space="preserve"> </w:t>
      </w:r>
      <w:r w:rsidRPr="00653CB3">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EB7502" w:rsidRPr="00653CB3" w:rsidRDefault="00EB7502" w:rsidP="00EB7502">
      <w:pPr>
        <w:spacing w:before="240"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EB7502" w:rsidRPr="00653CB3" w:rsidRDefault="00EB7502" w:rsidP="00EB7502">
      <w:pPr>
        <w:spacing w:line="360" w:lineRule="auto"/>
        <w:jc w:val="both"/>
      </w:pPr>
    </w:p>
    <w:p w:rsidR="00EB7502" w:rsidRPr="00653CB3" w:rsidRDefault="00EB7502" w:rsidP="00EB7502">
      <w:pPr>
        <w:spacing w:line="360" w:lineRule="auto"/>
        <w:ind w:right="51"/>
        <w:jc w:val="both"/>
        <w:rPr>
          <w:rFonts w:ascii="Palatino Linotype" w:eastAsia="Palatino Linotype" w:hAnsi="Palatino Linotype" w:cs="Palatino Linotype"/>
        </w:rPr>
      </w:pPr>
      <w:r w:rsidRPr="00653CB3">
        <w:rPr>
          <w:rFonts w:ascii="Palatino Linotype" w:eastAsia="Palatino Linotype" w:hAnsi="Palatino Linotype" w:cs="Palatino Linotype"/>
        </w:rPr>
        <w:t>De manera preliminar en el caso concreto conviene analizar si se actualiza alguna de las causales de sobreseimiento del recurso de revisión.</w:t>
      </w:r>
    </w:p>
    <w:p w:rsidR="00EB7502" w:rsidRPr="00653CB3" w:rsidRDefault="00EB7502" w:rsidP="00EB7502">
      <w:pPr>
        <w:spacing w:line="360" w:lineRule="auto"/>
        <w:ind w:right="51"/>
        <w:jc w:val="both"/>
        <w:rPr>
          <w:rFonts w:ascii="Palatino Linotype" w:eastAsia="Palatino Linotype" w:hAnsi="Palatino Linotype" w:cs="Palatino Linotype"/>
        </w:rPr>
      </w:pPr>
    </w:p>
    <w:p w:rsidR="00EB7502" w:rsidRPr="00653CB3" w:rsidRDefault="0081539C" w:rsidP="00EB7502">
      <w:pPr>
        <w:spacing w:line="360" w:lineRule="auto"/>
        <w:ind w:right="51"/>
        <w:jc w:val="both"/>
        <w:rPr>
          <w:rFonts w:ascii="Palatino Linotype" w:eastAsia="Palatino Linotype" w:hAnsi="Palatino Linotype" w:cs="Palatino Linotype"/>
        </w:rPr>
      </w:pPr>
      <w:r w:rsidRPr="00653CB3">
        <w:rPr>
          <w:rFonts w:ascii="Palatino Linotype" w:eastAsia="Palatino Linotype" w:hAnsi="Palatino Linotype" w:cs="Palatino Linotype"/>
        </w:rPr>
        <w:t>Así, del análisis de la solicitud de información motivo del recurso</w:t>
      </w:r>
      <w:r w:rsidR="00EB7502" w:rsidRPr="00653CB3">
        <w:rPr>
          <w:rFonts w:ascii="Palatino Linotype" w:eastAsia="Palatino Linotype" w:hAnsi="Palatino Linotype" w:cs="Palatino Linotype"/>
        </w:rPr>
        <w:t xml:space="preserve"> de</w:t>
      </w:r>
      <w:r w:rsidRPr="00653CB3">
        <w:rPr>
          <w:rFonts w:ascii="Palatino Linotype" w:eastAsia="Palatino Linotype" w:hAnsi="Palatino Linotype" w:cs="Palatino Linotype"/>
        </w:rPr>
        <w:t xml:space="preserve"> revisión que ahora se resuelve</w:t>
      </w:r>
      <w:r w:rsidR="00203811" w:rsidRPr="00653CB3">
        <w:rPr>
          <w:rFonts w:ascii="Palatino Linotype" w:eastAsia="Palatino Linotype" w:hAnsi="Palatino Linotype" w:cs="Palatino Linotype"/>
        </w:rPr>
        <w:t>, se advierte que la</w:t>
      </w:r>
      <w:r w:rsidR="00EB7502" w:rsidRPr="00653CB3">
        <w:rPr>
          <w:rFonts w:ascii="Palatino Linotype" w:eastAsia="Palatino Linotype" w:hAnsi="Palatino Linotype" w:cs="Palatino Linotype"/>
        </w:rPr>
        <w:t xml:space="preserve"> solicitante requirió al </w:t>
      </w:r>
      <w:r w:rsidR="00EB7502" w:rsidRPr="00653CB3">
        <w:rPr>
          <w:rFonts w:ascii="Palatino Linotype" w:eastAsia="Palatino Linotype" w:hAnsi="Palatino Linotype" w:cs="Palatino Linotype"/>
          <w:b/>
        </w:rPr>
        <w:t>SUJETO OBLIGADO</w:t>
      </w:r>
      <w:r w:rsidR="00EB7502" w:rsidRPr="00653CB3">
        <w:rPr>
          <w:rFonts w:ascii="Palatino Linotype" w:eastAsia="Palatino Linotype" w:hAnsi="Palatino Linotype" w:cs="Palatino Linotype"/>
        </w:rPr>
        <w:t xml:space="preserve"> le proporcionara lo siguiente:</w:t>
      </w:r>
    </w:p>
    <w:p w:rsidR="0081539C" w:rsidRPr="00653CB3" w:rsidRDefault="0081539C" w:rsidP="00EB7502">
      <w:pPr>
        <w:spacing w:line="360" w:lineRule="auto"/>
        <w:ind w:right="51"/>
        <w:jc w:val="both"/>
        <w:rPr>
          <w:rFonts w:ascii="Verdana" w:hAnsi="Verdana"/>
          <w:sz w:val="14"/>
          <w:szCs w:val="14"/>
        </w:rPr>
      </w:pPr>
    </w:p>
    <w:p w:rsidR="00EB7502" w:rsidRPr="00653CB3" w:rsidRDefault="0081539C" w:rsidP="0081539C">
      <w:pPr>
        <w:pStyle w:val="Prrafodelista"/>
        <w:numPr>
          <w:ilvl w:val="0"/>
          <w:numId w:val="9"/>
        </w:numPr>
        <w:spacing w:line="360" w:lineRule="auto"/>
        <w:ind w:right="51"/>
        <w:jc w:val="both"/>
        <w:rPr>
          <w:rFonts w:ascii="Palatino Linotype" w:eastAsia="Palatino Linotype" w:hAnsi="Palatino Linotype" w:cs="Palatino Linotype"/>
        </w:rPr>
      </w:pPr>
      <w:r w:rsidRPr="00653CB3">
        <w:rPr>
          <w:rFonts w:ascii="Palatino Linotype" w:eastAsia="Palatino Linotype" w:hAnsi="Palatino Linotype" w:cs="Palatino Linotype"/>
        </w:rPr>
        <w:t>Número de servidores Públicos Sindicalizados y de Confianza que laboran en cada una de las Regidurías y Sindicaturas que conforman el Ayuntamiento de Ecatepec a la fecha.</w:t>
      </w:r>
    </w:p>
    <w:p w:rsidR="00EB7502" w:rsidRPr="00653CB3" w:rsidRDefault="00EB7502" w:rsidP="00EB7502">
      <w:pPr>
        <w:spacing w:line="360" w:lineRule="auto"/>
        <w:ind w:right="51"/>
        <w:jc w:val="both"/>
        <w:rPr>
          <w:rFonts w:ascii="Verdana" w:hAnsi="Verdana"/>
          <w:sz w:val="14"/>
          <w:szCs w:val="14"/>
        </w:rPr>
      </w:pPr>
    </w:p>
    <w:p w:rsidR="00EB7502" w:rsidRPr="00653CB3" w:rsidRDefault="00EB7502" w:rsidP="00EB7502">
      <w:pPr>
        <w:widowControl w:val="0"/>
        <w:autoSpaceDE w:val="0"/>
        <w:autoSpaceDN w:val="0"/>
        <w:adjustRightInd w:val="0"/>
        <w:spacing w:line="360" w:lineRule="auto"/>
        <w:jc w:val="both"/>
        <w:rPr>
          <w:rFonts w:ascii="Palatino Linotype" w:hAnsi="Palatino Linotype"/>
        </w:rPr>
      </w:pPr>
      <w:r w:rsidRPr="00653CB3">
        <w:rPr>
          <w:rFonts w:ascii="Palatino Linotype" w:hAnsi="Palatino Linotype"/>
        </w:rPr>
        <w:t xml:space="preserve">Por su parte, el </w:t>
      </w:r>
      <w:r w:rsidRPr="00653CB3">
        <w:rPr>
          <w:rFonts w:ascii="Palatino Linotype" w:hAnsi="Palatino Linotype"/>
          <w:b/>
        </w:rPr>
        <w:t>SUJETO OBLIGADO</w:t>
      </w:r>
      <w:r w:rsidR="0081539C" w:rsidRPr="00653CB3">
        <w:rPr>
          <w:rFonts w:ascii="Palatino Linotype" w:hAnsi="Palatino Linotype"/>
        </w:rPr>
        <w:t xml:space="preserve"> omitió da</w:t>
      </w:r>
      <w:r w:rsidRPr="00653CB3">
        <w:rPr>
          <w:rFonts w:ascii="Palatino Linotype" w:hAnsi="Palatino Linotype"/>
        </w:rPr>
        <w:t xml:space="preserve"> respuesta a</w:t>
      </w:r>
      <w:r w:rsidR="0081539C" w:rsidRPr="00653CB3">
        <w:rPr>
          <w:rFonts w:ascii="Palatino Linotype" w:hAnsi="Palatino Linotype"/>
        </w:rPr>
        <w:t>l</w:t>
      </w:r>
      <w:r w:rsidRPr="00653CB3">
        <w:rPr>
          <w:rFonts w:ascii="Palatino Linotype" w:hAnsi="Palatino Linotype"/>
        </w:rPr>
        <w:t xml:space="preserve"> requerimiento de</w:t>
      </w:r>
      <w:r w:rsidR="00203811" w:rsidRPr="00653CB3">
        <w:rPr>
          <w:rFonts w:ascii="Palatino Linotype" w:hAnsi="Palatino Linotype"/>
        </w:rPr>
        <w:t xml:space="preserve"> </w:t>
      </w:r>
      <w:r w:rsidRPr="00653CB3">
        <w:rPr>
          <w:rFonts w:ascii="Palatino Linotype" w:hAnsi="Palatino Linotype"/>
        </w:rPr>
        <w:t>l</w:t>
      </w:r>
      <w:r w:rsidR="00203811" w:rsidRPr="00653CB3">
        <w:rPr>
          <w:rFonts w:ascii="Palatino Linotype" w:hAnsi="Palatino Linotype"/>
        </w:rPr>
        <w:t>a</w:t>
      </w:r>
      <w:r w:rsidRPr="00653CB3">
        <w:rPr>
          <w:rFonts w:ascii="Palatino Linotype" w:hAnsi="Palatino Linotype"/>
        </w:rPr>
        <w:t xml:space="preserve"> particular.</w:t>
      </w:r>
    </w:p>
    <w:p w:rsidR="00EB7502" w:rsidRPr="00653CB3" w:rsidRDefault="00EB7502" w:rsidP="00EB7502">
      <w:pPr>
        <w:spacing w:before="240" w:after="240" w:line="360" w:lineRule="auto"/>
        <w:jc w:val="both"/>
        <w:rPr>
          <w:rFonts w:ascii="Palatino Linotype" w:hAnsi="Palatino Linotype"/>
        </w:rPr>
      </w:pPr>
      <w:r w:rsidRPr="00653CB3">
        <w:rPr>
          <w:rFonts w:ascii="Palatino Linotype" w:hAnsi="Palatino Linotype"/>
        </w:rPr>
        <w:t>Inconforme por la falta de</w:t>
      </w:r>
      <w:r w:rsidR="00203811" w:rsidRPr="00653CB3">
        <w:rPr>
          <w:rFonts w:ascii="Palatino Linotype" w:hAnsi="Palatino Linotype"/>
        </w:rPr>
        <w:t xml:space="preserve"> respuesta, la</w:t>
      </w:r>
      <w:r w:rsidRPr="00653CB3">
        <w:rPr>
          <w:rFonts w:ascii="Palatino Linotype" w:hAnsi="Palatino Linotype"/>
        </w:rPr>
        <w:t xml:space="preserve"> hoy </w:t>
      </w:r>
      <w:r w:rsidRPr="00653CB3">
        <w:rPr>
          <w:rFonts w:ascii="Palatino Linotype" w:hAnsi="Palatino Linotype"/>
          <w:b/>
        </w:rPr>
        <w:t>RECURRENTE</w:t>
      </w:r>
      <w:r w:rsidRPr="00653CB3">
        <w:rPr>
          <w:rFonts w:ascii="Palatino Linotype" w:hAnsi="Palatino Linotype"/>
        </w:rPr>
        <w:t xml:space="preserve"> interpuso </w:t>
      </w:r>
      <w:r w:rsidR="0081539C" w:rsidRPr="00653CB3">
        <w:rPr>
          <w:rFonts w:ascii="Palatino Linotype" w:hAnsi="Palatino Linotype"/>
        </w:rPr>
        <w:t>el</w:t>
      </w:r>
      <w:r w:rsidRPr="00653CB3">
        <w:rPr>
          <w:rFonts w:ascii="Palatino Linotype" w:hAnsi="Palatino Linotype"/>
        </w:rPr>
        <w:t xml:space="preserve"> presente recurso de revisión en el que señaló medularmente la falta de respuesta. </w:t>
      </w:r>
    </w:p>
    <w:p w:rsidR="00EB7502" w:rsidRPr="00653CB3" w:rsidRDefault="0081539C" w:rsidP="00EB7502">
      <w:pPr>
        <w:spacing w:before="240" w:after="240" w:line="360" w:lineRule="auto"/>
        <w:jc w:val="both"/>
        <w:rPr>
          <w:rFonts w:ascii="Palatino Linotype" w:hAnsi="Palatino Linotype"/>
        </w:rPr>
      </w:pPr>
      <w:r w:rsidRPr="00653CB3">
        <w:rPr>
          <w:rFonts w:ascii="Palatino Linotype" w:hAnsi="Palatino Linotype"/>
        </w:rPr>
        <w:t>Una vez notificado el</w:t>
      </w:r>
      <w:r w:rsidR="00EB7502" w:rsidRPr="00653CB3">
        <w:rPr>
          <w:rFonts w:ascii="Palatino Linotype" w:hAnsi="Palatino Linotype"/>
        </w:rPr>
        <w:t xml:space="preserve"> recurso de revisión al </w:t>
      </w:r>
      <w:r w:rsidR="00EB7502" w:rsidRPr="00653CB3">
        <w:rPr>
          <w:rFonts w:ascii="Palatino Linotype" w:hAnsi="Palatino Linotype"/>
          <w:b/>
        </w:rPr>
        <w:t>SUJETO OBLIGADO</w:t>
      </w:r>
      <w:r w:rsidR="00EB7502" w:rsidRPr="00653CB3">
        <w:rPr>
          <w:rFonts w:ascii="Palatino Linotype" w:hAnsi="Palatino Linotype"/>
        </w:rPr>
        <w:t xml:space="preserve">, este a través de su </w:t>
      </w:r>
      <w:r w:rsidRPr="00653CB3">
        <w:rPr>
          <w:rFonts w:ascii="Palatino Linotype" w:hAnsi="Palatino Linotype"/>
        </w:rPr>
        <w:t>Dirección de Administración</w:t>
      </w:r>
      <w:r w:rsidR="00EB7502" w:rsidRPr="00653CB3">
        <w:rPr>
          <w:rFonts w:ascii="Palatino Linotype" w:hAnsi="Palatino Linotype"/>
        </w:rPr>
        <w:t xml:space="preserve">, </w:t>
      </w:r>
      <w:r w:rsidRPr="00653CB3">
        <w:rPr>
          <w:rFonts w:ascii="Palatino Linotype" w:hAnsi="Palatino Linotype"/>
        </w:rPr>
        <w:t>proporcion</w:t>
      </w:r>
      <w:r w:rsidR="00854F4D" w:rsidRPr="00653CB3">
        <w:rPr>
          <w:rFonts w:ascii="Palatino Linotype" w:hAnsi="Palatino Linotype"/>
        </w:rPr>
        <w:t xml:space="preserve">ó un listado </w:t>
      </w:r>
      <w:r w:rsidR="004B6FF2" w:rsidRPr="00653CB3">
        <w:rPr>
          <w:rFonts w:ascii="Palatino Linotype" w:hAnsi="Palatino Linotype"/>
        </w:rPr>
        <w:t xml:space="preserve">con el número de </w:t>
      </w:r>
      <w:r w:rsidR="00854F4D" w:rsidRPr="00653CB3">
        <w:rPr>
          <w:rFonts w:ascii="Palatino Linotype" w:hAnsi="Palatino Linotype"/>
        </w:rPr>
        <w:t>servidores p</w:t>
      </w:r>
      <w:r w:rsidR="004B6FF2" w:rsidRPr="00653CB3">
        <w:rPr>
          <w:rFonts w:ascii="Palatino Linotype" w:hAnsi="Palatino Linotype"/>
        </w:rPr>
        <w:t>úblico</w:t>
      </w:r>
      <w:r w:rsidR="00854F4D" w:rsidRPr="00653CB3">
        <w:rPr>
          <w:rFonts w:ascii="Palatino Linotype" w:hAnsi="Palatino Linotype"/>
        </w:rPr>
        <w:t xml:space="preserve">s sindicalizados y de confianza de cada una de las regidurías y sindicaturas al ocho de julio 2022, </w:t>
      </w:r>
      <w:r w:rsidR="004B6FF2" w:rsidRPr="00653CB3">
        <w:rPr>
          <w:rFonts w:ascii="Palatino Linotype" w:hAnsi="Palatino Linotype"/>
        </w:rPr>
        <w:t xml:space="preserve">y que de acuerdo al </w:t>
      </w:r>
      <w:r w:rsidR="00EB7502" w:rsidRPr="00653CB3">
        <w:rPr>
          <w:rFonts w:ascii="Palatino Linotype" w:hAnsi="Palatino Linotype"/>
        </w:rPr>
        <w:t xml:space="preserve">apartado de manifestaciones del Sistema del Acceso a la Información Mexiquense, </w:t>
      </w:r>
      <w:r w:rsidR="004B6FF2" w:rsidRPr="00653CB3">
        <w:rPr>
          <w:rFonts w:ascii="Palatino Linotype" w:hAnsi="Palatino Linotype"/>
        </w:rPr>
        <w:t>se remitió dicho oficio a este Instituto el doce de julio del año 2022.</w:t>
      </w:r>
    </w:p>
    <w:p w:rsidR="004B6FF2" w:rsidRPr="00653CB3" w:rsidRDefault="004B6FF2" w:rsidP="00EB7502">
      <w:pPr>
        <w:spacing w:before="240" w:after="240" w:line="360" w:lineRule="auto"/>
        <w:jc w:val="both"/>
        <w:rPr>
          <w:rFonts w:ascii="Palatino Linotype" w:hAnsi="Palatino Linotype"/>
        </w:rPr>
      </w:pPr>
      <w:r w:rsidRPr="00653CB3">
        <w:rPr>
          <w:rFonts w:ascii="Palatino Linotype" w:hAnsi="Palatino Linotype"/>
        </w:rPr>
        <w:t>Ahora bien, es pertinente señalar que el</w:t>
      </w:r>
      <w:r w:rsidR="00203811" w:rsidRPr="00653CB3">
        <w:rPr>
          <w:rFonts w:ascii="Palatino Linotype" w:hAnsi="Palatino Linotype"/>
        </w:rPr>
        <w:t xml:space="preserve"> cuerpo colegiado del</w:t>
      </w:r>
      <w:r w:rsidRPr="00653CB3">
        <w:rPr>
          <w:rFonts w:ascii="Palatino Linotype" w:hAnsi="Palatino Linotype"/>
        </w:rPr>
        <w:t xml:space="preserve"> Ayuntamiento de Ecatepec de Morelos, se integra en términos de lo señalado por el artículo 28 del Bando Municipal del </w:t>
      </w:r>
      <w:r w:rsidRPr="00653CB3">
        <w:rPr>
          <w:rFonts w:ascii="Palatino Linotype" w:hAnsi="Palatino Linotype"/>
          <w:b/>
        </w:rPr>
        <w:t>SUJETO OBLIGADO</w:t>
      </w:r>
      <w:r w:rsidRPr="00653CB3">
        <w:rPr>
          <w:rFonts w:ascii="Palatino Linotype" w:hAnsi="Palatino Linotype"/>
        </w:rPr>
        <w:t>, de la siguiente manera:</w:t>
      </w:r>
    </w:p>
    <w:p w:rsidR="004B6FF2" w:rsidRPr="00653CB3" w:rsidRDefault="004B6FF2" w:rsidP="004B6FF2">
      <w:pPr>
        <w:spacing w:before="240" w:after="240"/>
        <w:ind w:left="993" w:right="1041"/>
        <w:jc w:val="both"/>
        <w:textAlignment w:val="baseline"/>
        <w:rPr>
          <w:rFonts w:ascii="Palatino Linotype" w:eastAsia="Cambria" w:hAnsi="Palatino Linotype" w:cs="Segoe UI"/>
          <w:i/>
          <w:iCs/>
          <w:sz w:val="22"/>
          <w:szCs w:val="22"/>
          <w:lang w:val="es-MX"/>
        </w:rPr>
      </w:pPr>
      <w:r w:rsidRPr="00653CB3">
        <w:rPr>
          <w:rFonts w:ascii="Palatino Linotype" w:eastAsia="Cambria" w:hAnsi="Palatino Linotype" w:cs="Segoe UI"/>
          <w:i/>
          <w:iCs/>
          <w:sz w:val="22"/>
          <w:szCs w:val="22"/>
          <w:lang w:val="es-MX"/>
        </w:rPr>
        <w:t xml:space="preserve">“Artículo 28. El Gobierno y la Administración del Municipio de Ecatepec de Morelos están depositados en un cuerpo colegiado y deliberante que se denomina H. Ayuntamiento, actualmente integrado por un presidente, </w:t>
      </w:r>
      <w:r w:rsidRPr="00653CB3">
        <w:rPr>
          <w:rFonts w:ascii="Palatino Linotype" w:eastAsia="Cambria" w:hAnsi="Palatino Linotype" w:cs="Segoe UI"/>
          <w:i/>
          <w:iCs/>
          <w:sz w:val="22"/>
          <w:szCs w:val="22"/>
          <w:u w:val="single"/>
          <w:lang w:val="es-MX"/>
        </w:rPr>
        <w:t>un síndico y siete regidores, electos por planilla según el principio de mayoría relativa</w:t>
      </w:r>
      <w:r w:rsidRPr="00653CB3">
        <w:rPr>
          <w:rFonts w:ascii="Palatino Linotype" w:eastAsia="Cambria" w:hAnsi="Palatino Linotype" w:cs="Segoe UI"/>
          <w:i/>
          <w:iCs/>
          <w:sz w:val="22"/>
          <w:szCs w:val="22"/>
          <w:lang w:val="es-MX"/>
        </w:rPr>
        <w:t xml:space="preserve">; asimismo, de </w:t>
      </w:r>
      <w:r w:rsidRPr="00653CB3">
        <w:rPr>
          <w:rFonts w:ascii="Palatino Linotype" w:eastAsia="Cambria" w:hAnsi="Palatino Linotype" w:cs="Segoe UI"/>
          <w:i/>
          <w:iCs/>
          <w:sz w:val="22"/>
          <w:szCs w:val="22"/>
          <w:u w:val="single"/>
          <w:lang w:val="es-MX"/>
        </w:rPr>
        <w:t>un síndico y cinco regidores designados según el principio de representación proporcional,</w:t>
      </w:r>
      <w:r w:rsidRPr="00653CB3">
        <w:rPr>
          <w:rFonts w:ascii="Palatino Linotype" w:eastAsia="Cambria" w:hAnsi="Palatino Linotype" w:cs="Segoe UI"/>
          <w:i/>
          <w:iCs/>
          <w:sz w:val="22"/>
          <w:szCs w:val="22"/>
          <w:lang w:val="es-MX"/>
        </w:rPr>
        <w:t xml:space="preserve"> quienes cuentan con las facultades y obligaciones que les otorgan la Constitución Política de los Estados Unidos Mexicanos, la particular del Estado, la Ley Orgánica Municipal del Estado de México y demás disposiciones legales vigentes aplicables.”(Sic)</w:t>
      </w:r>
    </w:p>
    <w:p w:rsidR="004B6FF2" w:rsidRPr="00653CB3" w:rsidRDefault="004B6FF2" w:rsidP="00EB7502">
      <w:pPr>
        <w:spacing w:before="240" w:after="240" w:line="360" w:lineRule="auto"/>
        <w:jc w:val="both"/>
        <w:rPr>
          <w:rFonts w:ascii="Palatino Linotype" w:hAnsi="Palatino Linotype" w:cs="Arial"/>
        </w:rPr>
      </w:pPr>
      <w:r w:rsidRPr="00653CB3">
        <w:rPr>
          <w:rFonts w:ascii="Palatino Linotype" w:hAnsi="Palatino Linotype" w:cs="Arial"/>
        </w:rPr>
        <w:t>Lo que coincide con la información remitida en informe justificado, al proporcionar la información solicitada de las doce regidurías y dos sindicaturas.</w:t>
      </w:r>
    </w:p>
    <w:p w:rsidR="00EB7502" w:rsidRPr="00653CB3" w:rsidRDefault="004B6FF2" w:rsidP="00EB7502">
      <w:pPr>
        <w:pStyle w:val="NormalWeb"/>
        <w:spacing w:line="360" w:lineRule="auto"/>
        <w:ind w:right="-93"/>
        <w:jc w:val="both"/>
        <w:rPr>
          <w:lang w:val="es-MX"/>
        </w:rPr>
      </w:pPr>
      <w:r w:rsidRPr="00653CB3">
        <w:rPr>
          <w:rFonts w:ascii="Palatino Linotype" w:hAnsi="Palatino Linotype" w:cs="Arial"/>
        </w:rPr>
        <w:t>Asimismo, e</w:t>
      </w:r>
      <w:r w:rsidR="00EB7502" w:rsidRPr="00653CB3">
        <w:rPr>
          <w:rFonts w:ascii="Palatino Linotype" w:hAnsi="Palatino Linotype" w:cs="Arial"/>
        </w:rPr>
        <w:t xml:space="preserve">n el caso particular se advierte que el particular no requirió acceso a algún documento, en este sentido, si bien </w:t>
      </w:r>
      <w:r w:rsidR="00EB7502" w:rsidRPr="00653CB3">
        <w:rPr>
          <w:rFonts w:ascii="Palatino Linotype" w:hAnsi="Palatino Linotype"/>
          <w:lang w:val="es-MX"/>
        </w:rPr>
        <w:t xml:space="preserve">el derecho de acceso a la información pública se satisface en aquellos casos en que se entregue el soporte documental en que conste la información pública, sin la necesidad de elaborar documentos </w:t>
      </w:r>
      <w:r w:rsidR="00EB7502" w:rsidRPr="00653CB3">
        <w:rPr>
          <w:rFonts w:ascii="Palatino Linotype" w:hAnsi="Palatino Linotype"/>
          <w:i/>
          <w:iCs/>
          <w:lang w:val="es-MX"/>
        </w:rPr>
        <w:t>ad hoc</w:t>
      </w:r>
      <w:r w:rsidR="00EB7502" w:rsidRPr="00653CB3">
        <w:rPr>
          <w:rFonts w:ascii="Palatino Linotype" w:hAnsi="Palatino Linotype"/>
          <w:lang w:val="es-MX"/>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el </w:t>
      </w:r>
      <w:r w:rsidRPr="00653CB3">
        <w:rPr>
          <w:rFonts w:ascii="Palatino Linotype" w:hAnsi="Palatino Linotype"/>
          <w:b/>
          <w:lang w:val="es-MX"/>
        </w:rPr>
        <w:t>SUJETO OBLIGADO</w:t>
      </w:r>
      <w:r w:rsidR="00EB7502" w:rsidRPr="00653CB3">
        <w:rPr>
          <w:rFonts w:ascii="Palatino Linotype" w:hAnsi="Palatino Linotype"/>
          <w:lang w:val="es-MX"/>
        </w:rPr>
        <w:t xml:space="preserve">, elaboró un documento ad hoc para dar cabal cumplimiento al derecho de acceso a la información del particular aún y </w:t>
      </w:r>
      <w:r w:rsidR="00EB7502" w:rsidRPr="00653CB3">
        <w:rPr>
          <w:rFonts w:ascii="Palatino Linotype" w:hAnsi="Palatino Linotype"/>
          <w:b/>
          <w:bCs/>
          <w:lang w:val="es-MX"/>
        </w:rPr>
        <w:t>cuando no es una obligación de las autoridades</w:t>
      </w:r>
      <w:r w:rsidR="00EB7502" w:rsidRPr="00653CB3">
        <w:rPr>
          <w:rFonts w:ascii="Palatino Linotype" w:hAnsi="Palatino Linotype"/>
          <w:lang w:val="es-MX"/>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00EB7502" w:rsidRPr="00653CB3">
        <w:rPr>
          <w:rFonts w:ascii="Palatino Linotype" w:hAnsi="Palatino Linotype"/>
          <w:b/>
          <w:bCs/>
          <w:lang w:val="es-MX"/>
        </w:rPr>
        <w:t> </w:t>
      </w:r>
    </w:p>
    <w:p w:rsidR="00EB7502" w:rsidRPr="00653CB3" w:rsidRDefault="00EB7502" w:rsidP="00EB7502">
      <w:pPr>
        <w:rPr>
          <w:lang w:val="es-MX"/>
        </w:rPr>
      </w:pPr>
    </w:p>
    <w:p w:rsidR="00EB7502" w:rsidRPr="00653CB3" w:rsidRDefault="00EB7502" w:rsidP="00EB7502">
      <w:pPr>
        <w:ind w:left="851" w:right="851"/>
        <w:jc w:val="both"/>
        <w:rPr>
          <w:lang w:val="es-MX"/>
        </w:rPr>
      </w:pPr>
      <w:r w:rsidRPr="00653CB3">
        <w:rPr>
          <w:rFonts w:ascii="Palatino Linotype" w:hAnsi="Palatino Linotype"/>
          <w:i/>
          <w:iCs/>
          <w:lang w:val="es-MX"/>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EB7502" w:rsidRPr="00653CB3" w:rsidRDefault="00EB7502" w:rsidP="00EB7502">
      <w:pPr>
        <w:ind w:left="851" w:right="851"/>
        <w:jc w:val="both"/>
        <w:rPr>
          <w:lang w:val="es-MX"/>
        </w:rPr>
      </w:pPr>
      <w:r w:rsidRPr="00653CB3">
        <w:rPr>
          <w:rFonts w:ascii="Palatino Linotype" w:hAnsi="Palatino Linotype"/>
          <w:i/>
          <w:iCs/>
          <w:lang w:val="es-MX"/>
        </w:rPr>
        <w:t>Expedientes:</w:t>
      </w:r>
    </w:p>
    <w:p w:rsidR="00EB7502" w:rsidRPr="00653CB3" w:rsidRDefault="00EB7502" w:rsidP="00EB7502">
      <w:pPr>
        <w:ind w:left="851" w:right="851"/>
        <w:jc w:val="both"/>
        <w:rPr>
          <w:lang w:val="es-MX"/>
        </w:rPr>
      </w:pPr>
      <w:r w:rsidRPr="00653CB3">
        <w:rPr>
          <w:rFonts w:ascii="Palatino Linotype" w:hAnsi="Palatino Linotype"/>
          <w:i/>
          <w:iCs/>
          <w:lang w:val="es-MX"/>
        </w:rPr>
        <w:t>0438/08 Pemex Exploración y Producción – Alonso Lujambio Irazábal</w:t>
      </w:r>
    </w:p>
    <w:p w:rsidR="00EB7502" w:rsidRPr="00653CB3" w:rsidRDefault="00EB7502" w:rsidP="00EB7502">
      <w:pPr>
        <w:ind w:left="851" w:right="851"/>
        <w:jc w:val="both"/>
        <w:rPr>
          <w:lang w:val="es-MX"/>
        </w:rPr>
      </w:pPr>
      <w:r w:rsidRPr="00653CB3">
        <w:rPr>
          <w:rFonts w:ascii="Palatino Linotype" w:hAnsi="Palatino Linotype"/>
          <w:i/>
          <w:iCs/>
          <w:lang w:val="es-MX"/>
        </w:rPr>
        <w:t>1751/09 Laboratorios de Biológicos y Reactivos de México S.A. de C.V. –</w:t>
      </w:r>
    </w:p>
    <w:p w:rsidR="00EB7502" w:rsidRPr="00653CB3" w:rsidRDefault="00EB7502" w:rsidP="00EB7502">
      <w:pPr>
        <w:ind w:left="851" w:right="851"/>
        <w:jc w:val="both"/>
        <w:rPr>
          <w:lang w:val="es-MX"/>
        </w:rPr>
      </w:pPr>
      <w:r w:rsidRPr="00653CB3">
        <w:rPr>
          <w:rFonts w:ascii="Palatino Linotype" w:hAnsi="Palatino Linotype"/>
          <w:i/>
          <w:iCs/>
          <w:lang w:val="es-MX"/>
        </w:rPr>
        <w:t>María Marván Laborde</w:t>
      </w:r>
    </w:p>
    <w:p w:rsidR="00EB7502" w:rsidRPr="00653CB3" w:rsidRDefault="00EB7502" w:rsidP="00EB7502">
      <w:pPr>
        <w:ind w:left="851" w:right="851"/>
        <w:jc w:val="both"/>
        <w:rPr>
          <w:lang w:val="es-MX"/>
        </w:rPr>
      </w:pPr>
      <w:r w:rsidRPr="00653CB3">
        <w:rPr>
          <w:rFonts w:ascii="Palatino Linotype" w:hAnsi="Palatino Linotype"/>
          <w:i/>
          <w:iCs/>
          <w:lang w:val="es-MX"/>
        </w:rPr>
        <w:t>2868/09 Consejo Nacional de Ciencia y Tecnología – Jacqueline Peschard</w:t>
      </w:r>
    </w:p>
    <w:p w:rsidR="00EB7502" w:rsidRPr="00653CB3" w:rsidRDefault="00EB7502" w:rsidP="00EB7502">
      <w:pPr>
        <w:ind w:left="851" w:right="851"/>
        <w:jc w:val="both"/>
        <w:rPr>
          <w:lang w:val="es-MX"/>
        </w:rPr>
      </w:pPr>
      <w:r w:rsidRPr="00653CB3">
        <w:rPr>
          <w:rFonts w:ascii="Palatino Linotype" w:hAnsi="Palatino Linotype"/>
          <w:i/>
          <w:iCs/>
          <w:lang w:val="es-MX"/>
        </w:rPr>
        <w:t>Mariscal</w:t>
      </w:r>
    </w:p>
    <w:p w:rsidR="00EB7502" w:rsidRPr="00653CB3" w:rsidRDefault="00EB7502" w:rsidP="00EB7502">
      <w:pPr>
        <w:ind w:left="851" w:right="851"/>
        <w:jc w:val="both"/>
        <w:rPr>
          <w:lang w:val="es-MX"/>
        </w:rPr>
      </w:pPr>
      <w:r w:rsidRPr="00653CB3">
        <w:rPr>
          <w:rFonts w:ascii="Palatino Linotype" w:hAnsi="Palatino Linotype"/>
          <w:i/>
          <w:iCs/>
          <w:lang w:val="es-MX"/>
        </w:rPr>
        <w:t>5160/09 Secretaría de Hacienda y Crédito Público – Ángel Trinidad Zaldívar</w:t>
      </w:r>
    </w:p>
    <w:p w:rsidR="00EB7502" w:rsidRPr="00653CB3" w:rsidRDefault="00EB7502" w:rsidP="00EB7502">
      <w:pPr>
        <w:ind w:left="851" w:right="851"/>
        <w:jc w:val="both"/>
        <w:rPr>
          <w:lang w:val="es-MX"/>
        </w:rPr>
      </w:pPr>
      <w:r w:rsidRPr="00653CB3">
        <w:rPr>
          <w:rFonts w:ascii="Palatino Linotype" w:hAnsi="Palatino Linotype"/>
          <w:i/>
          <w:iCs/>
          <w:lang w:val="es-MX"/>
        </w:rPr>
        <w:t>0304/10 Instituto Nacional de Cancerología – Jacqueline Peschard Mariscal</w:t>
      </w:r>
      <w:r w:rsidR="003C3BCA" w:rsidRPr="00653CB3">
        <w:rPr>
          <w:rFonts w:ascii="Palatino Linotype" w:hAnsi="Palatino Linotype"/>
          <w:i/>
          <w:iCs/>
          <w:lang w:val="es-MX"/>
        </w:rPr>
        <w:t>” (Sic)</w:t>
      </w:r>
    </w:p>
    <w:p w:rsidR="00EB7502" w:rsidRPr="00653CB3" w:rsidRDefault="00EB7502" w:rsidP="00EB7502">
      <w:pPr>
        <w:rPr>
          <w:lang w:val="es-MX"/>
        </w:rPr>
      </w:pPr>
    </w:p>
    <w:p w:rsidR="00EB7502" w:rsidRPr="00653CB3" w:rsidRDefault="00EB7502" w:rsidP="00EB7502">
      <w:pPr>
        <w:spacing w:line="360" w:lineRule="auto"/>
        <w:ind w:right="-93"/>
        <w:jc w:val="both"/>
        <w:rPr>
          <w:lang w:val="es-MX"/>
        </w:rPr>
      </w:pPr>
      <w:r w:rsidRPr="00653CB3">
        <w:rPr>
          <w:rFonts w:ascii="Palatino Linotype" w:hAnsi="Palatino Linotype"/>
          <w:lang w:val="es-MX"/>
        </w:rPr>
        <w:t xml:space="preserve">Entonces, dado a que el criterio en mención establece que las autoridades </w:t>
      </w:r>
      <w:r w:rsidRPr="00653CB3">
        <w:rPr>
          <w:rFonts w:ascii="Palatino Linotype" w:hAnsi="Palatino Linotype"/>
          <w:b/>
          <w:bCs/>
          <w:lang w:val="es-MX"/>
        </w:rPr>
        <w:t xml:space="preserve">no están obligadas a generar documentos “ad hoc” </w:t>
      </w:r>
      <w:r w:rsidRPr="00653CB3">
        <w:rPr>
          <w:rFonts w:ascii="Palatino Linotype" w:hAnsi="Palatino Linotype"/>
          <w:lang w:val="es-MX"/>
        </w:rPr>
        <w:t>en contrario sensu, dicho criterio se puede interpretar resultando que las autoridades no están impedidas a generar documentos “ad hoc”, esto, siempre que con dicho documento elaborado se dé cabal cumplimiento a los requerimientos planteados, y siempre y cuando el particular no haya requerido acceso a algún documento específico, como</w:t>
      </w:r>
      <w:r w:rsidR="004B6FF2" w:rsidRPr="00653CB3">
        <w:rPr>
          <w:rFonts w:ascii="Palatino Linotype" w:hAnsi="Palatino Linotype"/>
          <w:lang w:val="es-MX"/>
        </w:rPr>
        <w:t xml:space="preserve"> se advierte de la lectura a la solicitud</w:t>
      </w:r>
      <w:r w:rsidRPr="00653CB3">
        <w:rPr>
          <w:rFonts w:ascii="Palatino Linotype" w:hAnsi="Palatino Linotype"/>
          <w:lang w:val="es-MX"/>
        </w:rPr>
        <w:t xml:space="preserve"> de información. </w:t>
      </w:r>
    </w:p>
    <w:p w:rsidR="00EB7502" w:rsidRPr="00653CB3" w:rsidRDefault="00EB7502" w:rsidP="00EB7502">
      <w:pPr>
        <w:spacing w:before="100" w:beforeAutospacing="1" w:after="100" w:afterAutospacing="1" w:line="360" w:lineRule="auto"/>
        <w:jc w:val="both"/>
        <w:rPr>
          <w:rFonts w:ascii="Palatino Linotype" w:hAnsi="Palatino Linotype" w:cs="Arial"/>
          <w:lang w:val="es-MX"/>
        </w:rPr>
      </w:pPr>
      <w:r w:rsidRPr="00653CB3">
        <w:rPr>
          <w:rFonts w:ascii="Palatino Linotype" w:hAnsi="Palatino Linotype" w:cs="Arial"/>
          <w:lang w:val="es-MX"/>
        </w:rPr>
        <w:t xml:space="preserve">Por ello se considera que con la información remitida por el </w:t>
      </w:r>
      <w:r w:rsidRPr="00653CB3">
        <w:rPr>
          <w:rFonts w:ascii="Palatino Linotype" w:hAnsi="Palatino Linotype" w:cs="Arial"/>
          <w:b/>
          <w:lang w:val="es-MX"/>
        </w:rPr>
        <w:t>SUJETO OBLIGADO</w:t>
      </w:r>
      <w:r w:rsidRPr="00653CB3">
        <w:rPr>
          <w:rFonts w:ascii="Palatino Linotype" w:hAnsi="Palatino Linotype" w:cs="Arial"/>
          <w:lang w:val="es-MX"/>
        </w:rPr>
        <w:t xml:space="preserve"> a t</w:t>
      </w:r>
      <w:r w:rsidR="003C3BCA" w:rsidRPr="00653CB3">
        <w:rPr>
          <w:rFonts w:ascii="Palatino Linotype" w:hAnsi="Palatino Linotype" w:cs="Arial"/>
          <w:lang w:val="es-MX"/>
        </w:rPr>
        <w:t>ravés de su</w:t>
      </w:r>
      <w:r w:rsidR="004B6FF2" w:rsidRPr="00653CB3">
        <w:rPr>
          <w:rFonts w:ascii="Palatino Linotype" w:hAnsi="Palatino Linotype" w:cs="Arial"/>
          <w:lang w:val="es-MX"/>
        </w:rPr>
        <w:t xml:space="preserve"> Dirección de Administración</w:t>
      </w:r>
      <w:r w:rsidRPr="00653CB3">
        <w:rPr>
          <w:rFonts w:ascii="Palatino Linotype" w:hAnsi="Palatino Linotype" w:cs="Arial"/>
          <w:lang w:val="es-MX"/>
        </w:rPr>
        <w:t xml:space="preserve">, en el apartado de manifestaciones, colma el derecho de acceso a la información pública del </w:t>
      </w:r>
      <w:r w:rsidRPr="00653CB3">
        <w:rPr>
          <w:rFonts w:ascii="Palatino Linotype" w:hAnsi="Palatino Linotype" w:cs="Arial"/>
          <w:b/>
          <w:lang w:val="es-MX"/>
        </w:rPr>
        <w:t>RECURRENTE</w:t>
      </w:r>
      <w:r w:rsidRPr="00653CB3">
        <w:rPr>
          <w:rFonts w:ascii="Palatino Linotype" w:hAnsi="Palatino Linotype" w:cs="Arial"/>
          <w:lang w:val="es-MX"/>
        </w:rPr>
        <w:t xml:space="preserve">, </w:t>
      </w:r>
      <w:r w:rsidR="003C3BCA" w:rsidRPr="00653CB3">
        <w:rPr>
          <w:rFonts w:ascii="Palatino Linotype" w:hAnsi="Palatino Linotype" w:cs="Arial"/>
          <w:lang w:val="es-MX"/>
        </w:rPr>
        <w:t xml:space="preserve">al proporcionar el número de servidores públicos sindicalizados y de confianza que laboran en las doce regidurías y las dos sindicaturas, como se advierte en la siguiente imagen que se inserta a continuación: </w:t>
      </w:r>
    </w:p>
    <w:p w:rsidR="003C3BCA" w:rsidRPr="00653CB3" w:rsidRDefault="003C3BCA" w:rsidP="00EB7502">
      <w:pPr>
        <w:spacing w:before="100" w:beforeAutospacing="1" w:after="100" w:afterAutospacing="1" w:line="360" w:lineRule="auto"/>
        <w:jc w:val="both"/>
        <w:rPr>
          <w:rFonts w:ascii="Palatino Linotype" w:hAnsi="Palatino Linotype" w:cs="Arial"/>
          <w:lang w:val="es-MX"/>
        </w:rPr>
      </w:pPr>
      <w:r w:rsidRPr="00653CB3">
        <w:rPr>
          <w:noProof/>
          <w:lang w:val="es-MX"/>
        </w:rPr>
        <mc:AlternateContent>
          <mc:Choice Requires="wps">
            <w:drawing>
              <wp:anchor distT="0" distB="0" distL="114300" distR="114300" simplePos="0" relativeHeight="251660288" behindDoc="0" locked="0" layoutInCell="1" allowOverlap="1">
                <wp:simplePos x="0" y="0"/>
                <wp:positionH relativeFrom="column">
                  <wp:posOffset>-17293</wp:posOffset>
                </wp:positionH>
                <wp:positionV relativeFrom="paragraph">
                  <wp:posOffset>2661475</wp:posOffset>
                </wp:positionV>
                <wp:extent cx="5516088" cy="1555667"/>
                <wp:effectExtent l="57150" t="19050" r="85090" b="102235"/>
                <wp:wrapNone/>
                <wp:docPr id="27" name="Rectángulo 27"/>
                <wp:cNvGraphicFramePr/>
                <a:graphic xmlns:a="http://schemas.openxmlformats.org/drawingml/2006/main">
                  <a:graphicData uri="http://schemas.microsoft.com/office/word/2010/wordprocessingShape">
                    <wps:wsp>
                      <wps:cNvSpPr/>
                      <wps:spPr>
                        <a:xfrm>
                          <a:off x="0" y="0"/>
                          <a:ext cx="5516088" cy="1555667"/>
                        </a:xfrm>
                        <a:prstGeom prst="rect">
                          <a:avLst/>
                        </a:prstGeom>
                        <a:noFill/>
                        <a:ln w="254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45054149" id="Rectángulo 27" o:spid="_x0000_s1026" style="position:absolute;margin-left:-1.35pt;margin-top:209.55pt;width:434.35pt;height:1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" filled="f" strokecolor="#4579b8 [3044]" strokeweight="2pt">
                <v:shadow on="t" color="black" opacity="22937f" origin=",.5" offset="0,.63889mm"/>
              </v:rect>
            </w:pict>
          </mc:Fallback>
        </mc:AlternateContent>
      </w:r>
      <w:r w:rsidRPr="00653CB3">
        <w:rPr>
          <w:noProof/>
          <w:lang w:val="es-MX"/>
        </w:rPr>
        <w:drawing>
          <wp:inline distT="0" distB="0" distL="0" distR="0" wp14:anchorId="3ADF07F0" wp14:editId="10278492">
            <wp:extent cx="5539740" cy="5052951"/>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527" t="12228" r="20629" b="4778"/>
                    <a:stretch/>
                  </pic:blipFill>
                  <pic:spPr bwMode="auto">
                    <a:xfrm>
                      <a:off x="0" y="0"/>
                      <a:ext cx="5549694" cy="5062030"/>
                    </a:xfrm>
                    <a:prstGeom prst="rect">
                      <a:avLst/>
                    </a:prstGeom>
                    <a:ln>
                      <a:noFill/>
                    </a:ln>
                    <a:extLst>
                      <a:ext uri="{53640926-AAD7-44D8-BBD7-CCE9431645EC}">
                        <a14:shadowObscured xmlns:a14="http://schemas.microsoft.com/office/drawing/2010/main"/>
                      </a:ext>
                    </a:extLst>
                  </pic:spPr>
                </pic:pic>
              </a:graphicData>
            </a:graphic>
          </wp:inline>
        </w:drawing>
      </w:r>
    </w:p>
    <w:p w:rsidR="00EB7502" w:rsidRPr="00653CB3" w:rsidRDefault="003C3BCA" w:rsidP="00EB7502">
      <w:pPr>
        <w:spacing w:before="100" w:beforeAutospacing="1" w:after="100" w:afterAutospacing="1" w:line="360" w:lineRule="auto"/>
        <w:contextualSpacing/>
        <w:jc w:val="both"/>
        <w:rPr>
          <w:rFonts w:ascii="Palatino Linotype" w:hAnsi="Palatino Linotype" w:cs="Arial"/>
          <w:lang w:val="es-MX"/>
        </w:rPr>
      </w:pPr>
      <w:r w:rsidRPr="00653CB3">
        <w:rPr>
          <w:rFonts w:ascii="Palatino Linotype" w:hAnsi="Palatino Linotype" w:cs="Arial"/>
          <w:lang w:val="es-MX"/>
        </w:rPr>
        <w:t xml:space="preserve">Máxime, </w:t>
      </w:r>
      <w:r w:rsidR="00EB7502" w:rsidRPr="00653CB3">
        <w:rPr>
          <w:rFonts w:ascii="Palatino Linotype" w:hAnsi="Palatino Linotype" w:cs="Arial"/>
          <w:lang w:val="es-MX"/>
        </w:rPr>
        <w:t xml:space="preserve">que el área que </w:t>
      </w:r>
      <w:r w:rsidRPr="00653CB3">
        <w:rPr>
          <w:rFonts w:ascii="Palatino Linotype" w:hAnsi="Palatino Linotype" w:cs="Arial"/>
          <w:lang w:val="es-MX"/>
        </w:rPr>
        <w:t>proporcionó la información es la Directora de Administración</w:t>
      </w:r>
      <w:r w:rsidR="00EB7502" w:rsidRPr="00653CB3">
        <w:rPr>
          <w:rFonts w:ascii="Palatino Linotype" w:hAnsi="Palatino Linotype" w:cs="Arial"/>
          <w:lang w:val="es-MX"/>
        </w:rPr>
        <w:t xml:space="preserve"> del </w:t>
      </w:r>
      <w:r w:rsidR="00EB7502" w:rsidRPr="00653CB3">
        <w:rPr>
          <w:rFonts w:ascii="Palatino Linotype" w:hAnsi="Palatino Linotype" w:cs="Arial"/>
          <w:b/>
          <w:lang w:val="es-MX"/>
        </w:rPr>
        <w:t>SUJETO OBLIGADO</w:t>
      </w:r>
      <w:r w:rsidR="00EB7502" w:rsidRPr="00653CB3">
        <w:rPr>
          <w:rFonts w:ascii="Palatino Linotype" w:hAnsi="Palatino Linotype" w:cs="Arial"/>
          <w:lang w:val="es-MX"/>
        </w:rPr>
        <w:t xml:space="preserve">, </w:t>
      </w:r>
      <w:r w:rsidRPr="00653CB3">
        <w:rPr>
          <w:rFonts w:ascii="Palatino Linotype" w:hAnsi="Palatino Linotype" w:cs="Arial"/>
          <w:lang w:val="es-MX"/>
        </w:rPr>
        <w:t xml:space="preserve">siendo la competente para generar, poseer y administrar la información solicitada, en términos de lo señalado por el artículo 49 del Bando Municipal del Ayuntamiento de Ecatepec de Morelos, que señala: </w:t>
      </w:r>
    </w:p>
    <w:p w:rsidR="00EB7502" w:rsidRPr="00653CB3" w:rsidRDefault="003C3BCA" w:rsidP="003C3BCA">
      <w:pPr>
        <w:ind w:left="851" w:right="851"/>
        <w:jc w:val="both"/>
        <w:rPr>
          <w:rFonts w:ascii="Palatino Linotype" w:hAnsi="Palatino Linotype"/>
          <w:i/>
          <w:iCs/>
          <w:lang w:val="es-MX"/>
        </w:rPr>
      </w:pPr>
      <w:r w:rsidRPr="00653CB3">
        <w:rPr>
          <w:rFonts w:ascii="Palatino Linotype" w:hAnsi="Palatino Linotype"/>
          <w:i/>
          <w:iCs/>
          <w:lang w:val="es-MX"/>
        </w:rPr>
        <w:t xml:space="preserve">“Artículo 49. </w:t>
      </w:r>
      <w:r w:rsidRPr="00653CB3">
        <w:rPr>
          <w:rFonts w:ascii="Palatino Linotype" w:hAnsi="Palatino Linotype"/>
          <w:b/>
          <w:i/>
          <w:iCs/>
          <w:lang w:val="es-MX"/>
        </w:rPr>
        <w:t>La Dirección de Administración proveerá los recursos humanos</w:t>
      </w:r>
      <w:r w:rsidRPr="00653CB3">
        <w:rPr>
          <w:rFonts w:ascii="Palatino Linotype" w:hAnsi="Palatino Linotype"/>
          <w:i/>
          <w:iCs/>
          <w:lang w:val="es-MX"/>
        </w:rPr>
        <w:t xml:space="preserve">, materiales y servicios a las </w:t>
      </w:r>
      <w:r w:rsidRPr="00653CB3">
        <w:rPr>
          <w:rFonts w:ascii="Palatino Linotype" w:hAnsi="Palatino Linotype"/>
          <w:b/>
          <w:i/>
          <w:iCs/>
          <w:lang w:val="es-MX"/>
        </w:rPr>
        <w:t>diversas áreas que conforman la Administración Pública Municipal</w:t>
      </w:r>
      <w:r w:rsidRPr="00653CB3">
        <w:rPr>
          <w:rFonts w:ascii="Palatino Linotype" w:hAnsi="Palatino Linotype"/>
          <w:i/>
          <w:iCs/>
          <w:lang w:val="es-MX"/>
        </w:rPr>
        <w:t xml:space="preserve"> y </w:t>
      </w:r>
      <w:r w:rsidRPr="00653CB3">
        <w:rPr>
          <w:rFonts w:ascii="Palatino Linotype" w:hAnsi="Palatino Linotype"/>
          <w:b/>
          <w:i/>
          <w:iCs/>
          <w:lang w:val="es-MX"/>
        </w:rPr>
        <w:t xml:space="preserve">asignará a estas, previa autorización del Presidente Municipal Constitucional, </w:t>
      </w:r>
      <w:r w:rsidRPr="00653CB3">
        <w:rPr>
          <w:rFonts w:ascii="Palatino Linotype" w:hAnsi="Palatino Linotype"/>
          <w:b/>
          <w:i/>
          <w:iCs/>
          <w:u w:val="single"/>
          <w:lang w:val="es-MX"/>
        </w:rPr>
        <w:t>el personal capacitado que requiera para el cumplimiento de sus atribuciones, llevando el registro del mismo</w:t>
      </w:r>
      <w:r w:rsidRPr="00653CB3">
        <w:rPr>
          <w:rFonts w:ascii="Palatino Linotype" w:hAnsi="Palatino Linotype"/>
          <w:i/>
          <w:iCs/>
          <w:lang w:val="es-MX"/>
        </w:rPr>
        <w:t>. También calculará el monto de los salarios; establecerá programas de capacitación; atenderá las relaciones laborales en coordinación con la Dirección Jurídica y Consultiva; asimismo, llevará a cabo los procedimientos de adquisiciones de bienes y servicios; y en general, cumplirá con todas las atribuciones que le otorguen las disposiciones legales que regulen sus actividades.” (Sic)</w:t>
      </w:r>
    </w:p>
    <w:p w:rsidR="00EB7502" w:rsidRPr="00653CB3" w:rsidRDefault="00EB7502" w:rsidP="00EB7502">
      <w:pPr>
        <w:spacing w:before="100" w:beforeAutospacing="1" w:after="100" w:afterAutospacing="1" w:line="360" w:lineRule="auto"/>
        <w:contextualSpacing/>
        <w:jc w:val="both"/>
        <w:rPr>
          <w:rFonts w:ascii="Palatino Linotype" w:hAnsi="Palatino Linotype" w:cs="Arial"/>
          <w:lang w:val="es-MX"/>
        </w:rPr>
      </w:pPr>
    </w:p>
    <w:p w:rsidR="00EB7502" w:rsidRPr="00653CB3" w:rsidRDefault="00EB7502" w:rsidP="00EB7502">
      <w:pPr>
        <w:spacing w:before="100" w:beforeAutospacing="1" w:after="100" w:afterAutospacing="1" w:line="360" w:lineRule="auto"/>
        <w:jc w:val="both"/>
        <w:rPr>
          <w:rFonts w:ascii="Palatino Linotype" w:hAnsi="Palatino Linotype"/>
        </w:rPr>
      </w:pPr>
      <w:r w:rsidRPr="00653CB3">
        <w:rPr>
          <w:rFonts w:ascii="Palatino Linotype" w:hAnsi="Palatino Linotype"/>
        </w:rPr>
        <w:t xml:space="preserve">Por consiguiente, la Dirección de Administración del Ayuntamiento de </w:t>
      </w:r>
      <w:r w:rsidR="003C3BCA" w:rsidRPr="00653CB3">
        <w:rPr>
          <w:rFonts w:ascii="Palatino Linotype" w:hAnsi="Palatino Linotype"/>
        </w:rPr>
        <w:t>Ecatepec de Morelos</w:t>
      </w:r>
      <w:r w:rsidRPr="00653CB3">
        <w:rPr>
          <w:rFonts w:ascii="Palatino Linotype" w:hAnsi="Palatino Linotype"/>
        </w:rPr>
        <w:t xml:space="preserve">, </w:t>
      </w:r>
      <w:r w:rsidR="003C3BCA" w:rsidRPr="00653CB3">
        <w:rPr>
          <w:rFonts w:ascii="Palatino Linotype" w:hAnsi="Palatino Linotype"/>
        </w:rPr>
        <w:t xml:space="preserve">es el área </w:t>
      </w:r>
      <w:r w:rsidRPr="00653CB3">
        <w:rPr>
          <w:rFonts w:ascii="Palatino Linotype" w:hAnsi="Palatino Linotype"/>
        </w:rPr>
        <w:t xml:space="preserve">en cargada de </w:t>
      </w:r>
      <w:r w:rsidR="003C3BCA" w:rsidRPr="00653CB3">
        <w:rPr>
          <w:rFonts w:ascii="Palatino Linotype" w:hAnsi="Palatino Linotype"/>
        </w:rPr>
        <w:t>asignar en todas las áreas de la Administración Pública Municipal, al personal capacitado que requiera para el cumplimiento de sus atribuciones, llevando el registro del mismo</w:t>
      </w:r>
      <w:r w:rsidR="00C561FB" w:rsidRPr="00653CB3">
        <w:rPr>
          <w:rFonts w:ascii="Palatino Linotype" w:hAnsi="Palatino Linotype"/>
        </w:rPr>
        <w:t>, d</w:t>
      </w:r>
      <w:r w:rsidRPr="00653CB3">
        <w:rPr>
          <w:rFonts w:ascii="Palatino Linotype" w:hAnsi="Palatino Linotype"/>
        </w:rPr>
        <w:t xml:space="preserve">e ahí que, </w:t>
      </w:r>
      <w:r w:rsidR="00C561FB" w:rsidRPr="00653CB3">
        <w:rPr>
          <w:rFonts w:ascii="Palatino Linotype" w:hAnsi="Palatino Linotype"/>
        </w:rPr>
        <w:t>sobre el presente punto</w:t>
      </w:r>
      <w:r w:rsidRPr="00653CB3">
        <w:rPr>
          <w:rFonts w:ascii="Palatino Linotype" w:hAnsi="Palatino Linotype"/>
        </w:rPr>
        <w:t xml:space="preserve"> en donde colma el derecho de acceso a la información pública, este Organismo Garante estima conveniente señalar que no está facultado para manifestarse sobre la veracidad de la información proporcionada, ya que no existe precepto legal alguno en la Ley de la Materia que permita, vía recurso de revisión, se pronuncie al respecto, sirve de apoyo a lo anterior el Criterio 31-10 emitido por el entonces Instituto Federal de Accesos a la Información y Protección de Datos, que a la letra establece lo siguiente:</w:t>
      </w:r>
    </w:p>
    <w:p w:rsidR="00EB7502" w:rsidRPr="00653CB3" w:rsidRDefault="00EB7502" w:rsidP="00EB7502">
      <w:pPr>
        <w:spacing w:before="120" w:after="120"/>
        <w:ind w:left="851" w:right="851"/>
        <w:jc w:val="both"/>
        <w:rPr>
          <w:rFonts w:ascii="Palatino Linotype" w:hAnsi="Palatino Linotype"/>
          <w:i/>
          <w:sz w:val="22"/>
          <w:szCs w:val="22"/>
        </w:rPr>
      </w:pPr>
      <w:r w:rsidRPr="00653CB3">
        <w:rPr>
          <w:rFonts w:ascii="Palatino Linotype" w:hAnsi="Palatino Linotype"/>
          <w:i/>
          <w:sz w:val="22"/>
          <w:szCs w:val="22"/>
        </w:rPr>
        <w:t>“</w:t>
      </w:r>
      <w:r w:rsidRPr="00653CB3">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653CB3">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EB7502" w:rsidRPr="00653CB3" w:rsidRDefault="00EB7502" w:rsidP="00EB7502">
      <w:pPr>
        <w:pStyle w:val="Prrafodelista"/>
        <w:autoSpaceDE w:val="0"/>
        <w:autoSpaceDN w:val="0"/>
        <w:adjustRightInd w:val="0"/>
        <w:spacing w:line="360" w:lineRule="auto"/>
        <w:ind w:left="0"/>
        <w:jc w:val="both"/>
        <w:rPr>
          <w:rFonts w:ascii="Palatino Linotype" w:hAnsi="Palatino Linotype" w:cs="Arial"/>
        </w:rPr>
      </w:pPr>
    </w:p>
    <w:p w:rsidR="00EB7502" w:rsidRPr="00653CB3" w:rsidRDefault="00EB7502" w:rsidP="00EB7502">
      <w:pPr>
        <w:pStyle w:val="Prrafodelista"/>
        <w:autoSpaceDE w:val="0"/>
        <w:autoSpaceDN w:val="0"/>
        <w:adjustRightInd w:val="0"/>
        <w:spacing w:line="360" w:lineRule="auto"/>
        <w:ind w:left="0"/>
        <w:jc w:val="both"/>
        <w:rPr>
          <w:rFonts w:ascii="Palatino Linotype" w:hAnsi="Palatino Linotype" w:cs="Arial"/>
        </w:rPr>
      </w:pPr>
      <w:r w:rsidRPr="00653CB3">
        <w:rPr>
          <w:rFonts w:ascii="Palatino Linotype" w:hAnsi="Palatino Linotype" w:cs="Arial"/>
        </w:rPr>
        <w:t>Lo anterior, este Organismo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EB7502" w:rsidRPr="00653CB3" w:rsidRDefault="00EB7502" w:rsidP="00EB7502">
      <w:pPr>
        <w:autoSpaceDE w:val="0"/>
        <w:autoSpaceDN w:val="0"/>
        <w:adjustRightInd w:val="0"/>
        <w:spacing w:before="240" w:after="240" w:line="360" w:lineRule="auto"/>
        <w:jc w:val="both"/>
        <w:rPr>
          <w:rFonts w:ascii="Palatino Linotype" w:eastAsia="Calibri" w:hAnsi="Palatino Linotype"/>
        </w:rPr>
      </w:pPr>
      <w:r w:rsidRPr="00653CB3">
        <w:rPr>
          <w:rFonts w:ascii="Palatino Linotype" w:hAnsi="Palatino Linotype" w:cs="Arial"/>
        </w:rPr>
        <w:t xml:space="preserve">En virtud de los argumentos expuestos con anterioridad, así como del análisis realizado a las constancias que obran en el expediente electrónico del SAIMEX, identificado con </w:t>
      </w:r>
      <w:r w:rsidR="00C561FB" w:rsidRPr="00653CB3">
        <w:rPr>
          <w:rFonts w:ascii="Palatino Linotype" w:hAnsi="Palatino Linotype" w:cs="Arial"/>
        </w:rPr>
        <w:t>el</w:t>
      </w:r>
      <w:r w:rsidRPr="00653CB3">
        <w:rPr>
          <w:rFonts w:ascii="Palatino Linotype" w:hAnsi="Palatino Linotype" w:cs="Arial"/>
        </w:rPr>
        <w:t xml:space="preserve"> folio </w:t>
      </w:r>
      <w:r w:rsidR="00C561FB" w:rsidRPr="00653CB3">
        <w:rPr>
          <w:rFonts w:ascii="Palatino Linotype" w:hAnsi="Palatino Linotype" w:cs="Arial"/>
          <w:b/>
        </w:rPr>
        <w:t>00633/ECATEPEC/IP/2022</w:t>
      </w:r>
      <w:r w:rsidR="00C561FB" w:rsidRPr="00653CB3">
        <w:rPr>
          <w:rFonts w:ascii="Palatino Linotype" w:hAnsi="Palatino Linotype" w:cs="Arial"/>
        </w:rPr>
        <w:t>, se determina sobreseer el</w:t>
      </w:r>
      <w:r w:rsidRPr="00653CB3">
        <w:rPr>
          <w:rFonts w:ascii="Palatino Linotype" w:hAnsi="Palatino Linotype" w:cs="Arial"/>
        </w:rPr>
        <w:t xml:space="preserve"> recurso de revisión número </w:t>
      </w:r>
      <w:r w:rsidR="00C561FB" w:rsidRPr="00653CB3">
        <w:rPr>
          <w:rFonts w:ascii="Palatino Linotype" w:hAnsi="Palatino Linotype" w:cs="Arial"/>
          <w:b/>
        </w:rPr>
        <w:t>12399</w:t>
      </w:r>
      <w:r w:rsidRPr="00653CB3">
        <w:rPr>
          <w:rFonts w:ascii="Palatino Linotype" w:hAnsi="Palatino Linotype" w:cs="Arial"/>
          <w:b/>
        </w:rPr>
        <w:t xml:space="preserve">/INFOEM/IP/RR/2022, </w:t>
      </w:r>
      <w:r w:rsidRPr="00653CB3">
        <w:rPr>
          <w:rFonts w:ascii="Palatino Linotype" w:hAnsi="Palatino Linotype" w:cs="Arial"/>
        </w:rPr>
        <w:t>por actualizarse</w:t>
      </w:r>
      <w:r w:rsidRPr="00653CB3">
        <w:rPr>
          <w:rFonts w:ascii="Palatino Linotype" w:eastAsia="Calibri" w:hAnsi="Palatino Linotype"/>
        </w:rPr>
        <w:t xml:space="preserve"> la causal de sobreseimiento prevista en la fracción III del artículo 192 de la </w:t>
      </w:r>
      <w:r w:rsidRPr="00653CB3">
        <w:rPr>
          <w:rFonts w:ascii="Palatino Linotype" w:eastAsia="Calibri" w:hAnsi="Palatino Linotype" w:cs="Arial"/>
        </w:rPr>
        <w:t>Ley de Transparencia y Acceso a la Información Pública del Estado de México y Municipios</w:t>
      </w:r>
      <w:r w:rsidRPr="00653CB3">
        <w:rPr>
          <w:rFonts w:ascii="Palatino Linotype" w:eastAsia="Calibri" w:hAnsi="Palatino Linotype"/>
        </w:rPr>
        <w:t>, que dispone lo siguiente:</w:t>
      </w:r>
    </w:p>
    <w:p w:rsidR="00EB7502" w:rsidRPr="00653CB3" w:rsidRDefault="00EB7502" w:rsidP="00EB7502">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653CB3">
        <w:rPr>
          <w:rFonts w:ascii="Palatino Linotype" w:hAnsi="Palatino Linotype" w:cs="Bookman Old Style"/>
          <w:b/>
          <w:bCs/>
          <w:i/>
          <w:sz w:val="22"/>
          <w:szCs w:val="22"/>
        </w:rPr>
        <w:t xml:space="preserve">“Artículo 192. </w:t>
      </w:r>
      <w:r w:rsidRPr="00653CB3">
        <w:rPr>
          <w:rFonts w:ascii="Palatino Linotype" w:hAnsi="Palatino Linotype" w:cs="Bookman Old Style"/>
          <w:i/>
          <w:sz w:val="22"/>
          <w:szCs w:val="22"/>
        </w:rPr>
        <w:t>El recurso será sobreseído en todo o en parte cuando una vez admitido, se actualicen alguno de los siguientes supuestos:</w:t>
      </w:r>
    </w:p>
    <w:p w:rsidR="00EB7502" w:rsidRPr="00653CB3" w:rsidRDefault="00EB7502" w:rsidP="00EB7502">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653CB3">
        <w:rPr>
          <w:rFonts w:ascii="Palatino Linotype" w:hAnsi="Palatino Linotype" w:cs="Bookman Old Style"/>
          <w:b/>
          <w:bCs/>
          <w:i/>
          <w:sz w:val="22"/>
          <w:szCs w:val="22"/>
        </w:rPr>
        <w:t>…</w:t>
      </w:r>
    </w:p>
    <w:p w:rsidR="00EB7502" w:rsidRPr="00653CB3" w:rsidRDefault="00EB7502" w:rsidP="00EB7502">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653CB3">
        <w:rPr>
          <w:rFonts w:ascii="Palatino Linotype" w:hAnsi="Palatino Linotype" w:cs="Bookman Old Style"/>
          <w:b/>
          <w:bCs/>
          <w:i/>
          <w:sz w:val="22"/>
          <w:szCs w:val="22"/>
        </w:rPr>
        <w:t>III.</w:t>
      </w:r>
      <w:r w:rsidRPr="00653CB3">
        <w:rPr>
          <w:rFonts w:ascii="Palatino Linotype" w:hAnsi="Palatino Linotype" w:cs="Bookman Old Style"/>
          <w:b/>
          <w:i/>
          <w:sz w:val="22"/>
          <w:szCs w:val="22"/>
        </w:rPr>
        <w:t xml:space="preserve"> El sujeto obligado responsable del acto lo modifique o revoque de tal manera que el recurso de revisión quede sin materia…”. (Sic)</w:t>
      </w:r>
    </w:p>
    <w:p w:rsidR="00EB7502" w:rsidRPr="00653CB3" w:rsidRDefault="00EB7502" w:rsidP="00EB7502">
      <w:pPr>
        <w:spacing w:before="240" w:after="240" w:line="360" w:lineRule="auto"/>
        <w:contextualSpacing/>
        <w:jc w:val="both"/>
        <w:rPr>
          <w:rFonts w:ascii="Palatino Linotype" w:hAnsi="Palatino Linotype" w:cs="Bookman Old Style"/>
          <w:b/>
          <w:i/>
        </w:rPr>
      </w:pPr>
    </w:p>
    <w:p w:rsidR="00EB7502" w:rsidRPr="00653CB3" w:rsidRDefault="00EB7502" w:rsidP="00EB7502">
      <w:pPr>
        <w:spacing w:before="240" w:after="240" w:line="360" w:lineRule="auto"/>
        <w:jc w:val="both"/>
        <w:rPr>
          <w:rFonts w:ascii="Palatino Linotype" w:hAnsi="Palatino Linotype"/>
        </w:rPr>
      </w:pPr>
      <w:r w:rsidRPr="00653CB3">
        <w:rPr>
          <w:rFonts w:ascii="Palatino Linotype" w:hAnsi="Palatino Linotype"/>
        </w:rPr>
        <w:t>De lo establecido en el precepto legal citado se advierte que el sobreseimiento del recurso de revisión procede en los siguientes casos:</w:t>
      </w:r>
    </w:p>
    <w:p w:rsidR="00EB7502" w:rsidRPr="00653CB3" w:rsidRDefault="00EB7502" w:rsidP="00EB7502">
      <w:pPr>
        <w:spacing w:before="240" w:after="240" w:line="360" w:lineRule="auto"/>
        <w:jc w:val="both"/>
        <w:rPr>
          <w:rFonts w:ascii="Palatino Linotype" w:hAnsi="Palatino Linotype"/>
        </w:rPr>
      </w:pPr>
      <w:r w:rsidRPr="00653CB3">
        <w:rPr>
          <w:rFonts w:ascii="Palatino Linotype" w:hAnsi="Palatino Linotype"/>
        </w:rPr>
        <w:t>a) Cuando el sujeto obligado modifique el acto impugnado.</w:t>
      </w:r>
    </w:p>
    <w:p w:rsidR="00EB7502" w:rsidRPr="00653CB3" w:rsidRDefault="00EB7502" w:rsidP="00EB7502">
      <w:pPr>
        <w:spacing w:before="240" w:after="240" w:line="360" w:lineRule="auto"/>
        <w:jc w:val="both"/>
        <w:rPr>
          <w:rFonts w:ascii="Palatino Linotype" w:hAnsi="Palatino Linotype"/>
        </w:rPr>
      </w:pPr>
      <w:r w:rsidRPr="00653CB3">
        <w:rPr>
          <w:rFonts w:ascii="Palatino Linotype" w:hAnsi="Palatino Linotype"/>
        </w:rPr>
        <w:t>b) Cuando el sujeto obligado revoque el acto impugnado.</w:t>
      </w:r>
    </w:p>
    <w:p w:rsidR="00EB7502" w:rsidRPr="00653CB3" w:rsidRDefault="00EB7502" w:rsidP="00EB7502">
      <w:pPr>
        <w:spacing w:before="240" w:after="240" w:line="360" w:lineRule="auto"/>
        <w:jc w:val="both"/>
        <w:rPr>
          <w:rFonts w:ascii="Palatino Linotype" w:hAnsi="Palatino Linotype" w:cs="Arial"/>
        </w:rPr>
      </w:pPr>
      <w:r w:rsidRPr="00653CB3">
        <w:rPr>
          <w:rFonts w:ascii="Palatino Linotype" w:hAnsi="Palatino Linotype"/>
        </w:rPr>
        <w:t>Quedando en ambos casos el acto combatido sin materia o sin efectos.</w:t>
      </w:r>
    </w:p>
    <w:p w:rsidR="00EB7502" w:rsidRPr="00653CB3" w:rsidRDefault="00EB7502" w:rsidP="00EB7502">
      <w:pPr>
        <w:spacing w:before="240" w:after="240" w:line="360" w:lineRule="auto"/>
        <w:jc w:val="both"/>
        <w:rPr>
          <w:rFonts w:ascii="Palatino Linotype" w:hAnsi="Palatino Linotype"/>
        </w:rPr>
      </w:pPr>
      <w:r w:rsidRPr="00653CB3">
        <w:rPr>
          <w:rFonts w:ascii="Palatino Linotype" w:hAnsi="Palatino Linotype"/>
        </w:rPr>
        <w:t xml:space="preserve">Como se observa de lo anterior, un acto impugnado es modificado en aquellos casos en los que el </w:t>
      </w:r>
      <w:r w:rsidRPr="00653CB3">
        <w:rPr>
          <w:rFonts w:ascii="Palatino Linotype" w:hAnsi="Palatino Linotype"/>
          <w:b/>
        </w:rPr>
        <w:t>SUJETO OBLIGADO</w:t>
      </w:r>
      <w:r w:rsidRPr="00653CB3">
        <w:rPr>
          <w:rFonts w:ascii="Palatino Linotype" w:hAnsi="Palatino Linotype"/>
        </w:rPr>
        <w:t xml:space="preserve"> ante la omisión de dar una respuesta, emite una respuesta de manera posterior y en ésta subsana las deficiencias que hubiera tenido, quedando satisfecho el derecho subjetivo accionado por la parte recurrente.</w:t>
      </w:r>
    </w:p>
    <w:p w:rsidR="00EB7502" w:rsidRPr="00653CB3" w:rsidRDefault="00EB7502" w:rsidP="00EB7502">
      <w:pPr>
        <w:spacing w:before="240" w:after="240" w:line="360" w:lineRule="auto"/>
        <w:jc w:val="both"/>
        <w:rPr>
          <w:rFonts w:ascii="Palatino Linotype" w:hAnsi="Palatino Linotype"/>
        </w:rPr>
      </w:pPr>
      <w:r w:rsidRPr="00653CB3">
        <w:rPr>
          <w:rFonts w:ascii="Palatino Linotype" w:hAnsi="Palatino Linotype"/>
        </w:rPr>
        <w:t xml:space="preserve">Por lo que hace a la revocación, esta se actualiza cuando el </w:t>
      </w:r>
      <w:r w:rsidRPr="00653CB3">
        <w:rPr>
          <w:rFonts w:ascii="Palatino Linotype" w:hAnsi="Palatino Linotype"/>
          <w:b/>
        </w:rPr>
        <w:t>SUJETO OBLIGADO</w:t>
      </w:r>
      <w:r w:rsidRPr="00653CB3">
        <w:rPr>
          <w:rFonts w:ascii="Palatino Linotype" w:hAnsi="Palatino Linotype"/>
        </w:rPr>
        <w:t xml:space="preserve"> deja sin efectos la omisión de dar respuesta y en su lugar emite una respuesta con las características y cualidades suficientes para dejar satisfecho el ejercicio del derecho al acceso a la información pública.</w:t>
      </w:r>
    </w:p>
    <w:p w:rsidR="00EB7502" w:rsidRPr="00653CB3" w:rsidRDefault="00EB7502" w:rsidP="00EB7502">
      <w:pPr>
        <w:pStyle w:val="Textoindependiente"/>
        <w:kinsoku w:val="0"/>
        <w:overflowPunct w:val="0"/>
        <w:spacing w:line="360" w:lineRule="auto"/>
        <w:ind w:right="96"/>
        <w:contextualSpacing/>
        <w:jc w:val="both"/>
        <w:rPr>
          <w:rFonts w:ascii="Palatino Linotype" w:hAnsi="Palatino Linotype"/>
        </w:rPr>
      </w:pPr>
      <w:r w:rsidRPr="00653CB3">
        <w:rPr>
          <w:rFonts w:ascii="Palatino Linotype" w:hAnsi="Palatino Linotype"/>
        </w:rPr>
        <w:t>De lo establecido en el precepto legal citado, se advierte que el sobreseimiento del recurso de revisión procede cuando se presente un motivo por el cual se tenga sin materia el Recurso de Revisión y en el presente caso el motivo por el cual se sobresee</w:t>
      </w:r>
      <w:r w:rsidR="00C561FB" w:rsidRPr="00653CB3">
        <w:rPr>
          <w:rFonts w:ascii="Palatino Linotype" w:hAnsi="Palatino Linotype"/>
        </w:rPr>
        <w:t xml:space="preserve"> el</w:t>
      </w:r>
      <w:r w:rsidRPr="00653CB3">
        <w:rPr>
          <w:rFonts w:ascii="Palatino Linotype" w:hAnsi="Palatino Linotype"/>
        </w:rPr>
        <w:t xml:space="preserve"> presente medio de impugnación, es porque el </w:t>
      </w:r>
      <w:r w:rsidRPr="00653CB3">
        <w:rPr>
          <w:rFonts w:ascii="Palatino Linotype" w:hAnsi="Palatino Linotype"/>
          <w:b/>
        </w:rPr>
        <w:t>SUJETO OBLIGADO</w:t>
      </w:r>
      <w:r w:rsidRPr="00653CB3">
        <w:rPr>
          <w:rFonts w:ascii="Palatino Linotype" w:hAnsi="Palatino Linotype"/>
        </w:rPr>
        <w:t xml:space="preserve"> otorgó </w:t>
      </w:r>
      <w:r w:rsidR="00C561FB" w:rsidRPr="00653CB3">
        <w:rPr>
          <w:rFonts w:ascii="Palatino Linotype" w:hAnsi="Palatino Linotype"/>
        </w:rPr>
        <w:t>respuesta al requerimiento formulado</w:t>
      </w:r>
      <w:r w:rsidRPr="00653CB3">
        <w:rPr>
          <w:rFonts w:ascii="Palatino Linotype" w:hAnsi="Palatino Linotype"/>
        </w:rPr>
        <w:t xml:space="preserve"> por el particular con la información enviada en Informe Justificado; colmando con ello el derecho de acceso a la información del particular.</w:t>
      </w:r>
    </w:p>
    <w:p w:rsidR="00EB7502" w:rsidRPr="00653CB3" w:rsidRDefault="00EB7502" w:rsidP="00EB7502">
      <w:pPr>
        <w:spacing w:before="240" w:after="240" w:line="360" w:lineRule="auto"/>
        <w:jc w:val="both"/>
        <w:rPr>
          <w:rFonts w:ascii="Palatino Linotype" w:hAnsi="Palatino Linotype"/>
        </w:rPr>
      </w:pPr>
      <w:r w:rsidRPr="00653CB3">
        <w:rPr>
          <w:rFonts w:ascii="Palatino Linotype" w:hAnsi="Palatino Linotype"/>
        </w:rPr>
        <w:t>En ese tenor, un acto impugnado queda sin efectos, cuando aun existiendo jurídicamente (esto es, que no se ha modificado, ni revocado) ya no genera ninguna consecuencia legal.</w:t>
      </w:r>
    </w:p>
    <w:p w:rsidR="00EB7502" w:rsidRPr="00653CB3" w:rsidRDefault="00EB7502" w:rsidP="00EB7502">
      <w:pPr>
        <w:spacing w:before="240" w:after="240" w:line="360" w:lineRule="auto"/>
        <w:contextualSpacing/>
        <w:jc w:val="both"/>
        <w:rPr>
          <w:rFonts w:ascii="Palatino Linotype" w:hAnsi="Palatino Linotype"/>
        </w:rPr>
      </w:pPr>
      <w:r w:rsidRPr="00653CB3">
        <w:rPr>
          <w:rFonts w:ascii="Palatino Linotype" w:hAnsi="Palatino Linotype"/>
        </w:rPr>
        <w:t>En tanto que, un acto impugnado queda sin materia, cuando ha s</w:t>
      </w:r>
      <w:r w:rsidR="00C561FB" w:rsidRPr="00653CB3">
        <w:rPr>
          <w:rFonts w:ascii="Palatino Linotype" w:hAnsi="Palatino Linotype"/>
        </w:rPr>
        <w:t>ido satisfecha la pretensión de la</w:t>
      </w:r>
      <w:r w:rsidRPr="00653CB3">
        <w:rPr>
          <w:rFonts w:ascii="Palatino Linotype" w:hAnsi="Palatino Linotype"/>
        </w:rPr>
        <w:t xml:space="preserve"> </w:t>
      </w:r>
      <w:r w:rsidR="00C561FB" w:rsidRPr="00653CB3">
        <w:rPr>
          <w:rFonts w:ascii="Palatino Linotype" w:hAnsi="Palatino Linotype"/>
          <w:b/>
        </w:rPr>
        <w:t>RECURRENTE</w:t>
      </w:r>
      <w:r w:rsidRPr="00653CB3">
        <w:rPr>
          <w:rFonts w:ascii="Palatino Linotype" w:hAnsi="Palatino Linotype"/>
        </w:rPr>
        <w:t xml:space="preserve"> de manera que el </w:t>
      </w:r>
      <w:r w:rsidRPr="00653CB3">
        <w:rPr>
          <w:rFonts w:ascii="Palatino Linotype" w:hAnsi="Palatino Linotype"/>
          <w:b/>
        </w:rPr>
        <w:t>SUJETO OBLIGADO</w:t>
      </w:r>
      <w:r w:rsidRPr="00653CB3">
        <w:rPr>
          <w:rFonts w:ascii="Palatino Linotype" w:hAnsi="Palatino Linotype"/>
        </w:rPr>
        <w:t xml:space="preserve"> entrega una respuesta en los términos previstos en la ley, ya que a través de su informe justificado concede la totalidad de la información solicitada.</w:t>
      </w:r>
    </w:p>
    <w:p w:rsidR="00EB7502" w:rsidRPr="00653CB3" w:rsidRDefault="00EB7502" w:rsidP="00EB7502">
      <w:pPr>
        <w:spacing w:before="240" w:after="240" w:line="360" w:lineRule="auto"/>
        <w:contextualSpacing/>
        <w:jc w:val="both"/>
        <w:rPr>
          <w:rFonts w:ascii="Palatino Linotype" w:hAnsi="Palatino Linotype"/>
        </w:rPr>
      </w:pPr>
    </w:p>
    <w:p w:rsidR="00EB7502" w:rsidRPr="00653CB3" w:rsidRDefault="00EB7502" w:rsidP="00EB7502">
      <w:pPr>
        <w:spacing w:after="240" w:line="360" w:lineRule="auto"/>
        <w:contextualSpacing/>
        <w:jc w:val="both"/>
        <w:rPr>
          <w:rFonts w:ascii="Palatino Linotype" w:hAnsi="Palatino Linotype"/>
          <w:lang w:val="es-MX"/>
        </w:rPr>
      </w:pPr>
      <w:r w:rsidRPr="00653CB3">
        <w:rPr>
          <w:rFonts w:ascii="Palatino Linotype" w:hAnsi="Palatino Linotype"/>
          <w:lang w:val="es-MX"/>
        </w:rPr>
        <w:t>De tal manera, es evidente qu</w:t>
      </w:r>
      <w:r w:rsidR="00C561FB" w:rsidRPr="00653CB3">
        <w:rPr>
          <w:rFonts w:ascii="Palatino Linotype" w:hAnsi="Palatino Linotype"/>
          <w:lang w:val="es-MX"/>
        </w:rPr>
        <w:t>e con ello queda sin materia el</w:t>
      </w:r>
      <w:r w:rsidRPr="00653CB3">
        <w:rPr>
          <w:rFonts w:ascii="Palatino Linotype" w:hAnsi="Palatino Linotype"/>
          <w:lang w:val="es-MX"/>
        </w:rPr>
        <w:t xml:space="preserve"> presente recurso de revisión, ya que la inconformidad sobre la falta de respuesta, se subsanó con la información entregada en informe justificado dentro del apartado de manifestaciones del SAIMEX, que fue</w:t>
      </w:r>
      <w:r w:rsidR="00C561FB" w:rsidRPr="00653CB3">
        <w:rPr>
          <w:rFonts w:ascii="Palatino Linotype" w:hAnsi="Palatino Linotype"/>
          <w:lang w:val="es-MX"/>
        </w:rPr>
        <w:t xml:space="preserve"> puesto a la vista de la</w:t>
      </w:r>
      <w:r w:rsidRPr="00653CB3">
        <w:rPr>
          <w:rFonts w:ascii="Palatino Linotype" w:hAnsi="Palatino Linotype"/>
          <w:lang w:val="es-MX"/>
        </w:rPr>
        <w:t xml:space="preserve"> </w:t>
      </w:r>
      <w:r w:rsidRPr="00653CB3">
        <w:rPr>
          <w:rFonts w:ascii="Palatino Linotype" w:hAnsi="Palatino Linotype"/>
          <w:b/>
          <w:bCs/>
          <w:lang w:val="es-MX"/>
        </w:rPr>
        <w:t>RECURRENTE</w:t>
      </w:r>
      <w:r w:rsidRPr="00653CB3">
        <w:rPr>
          <w:rFonts w:ascii="Palatino Linotype" w:hAnsi="Palatino Linotype"/>
          <w:lang w:val="es-MX"/>
        </w:rPr>
        <w:t>, ya no cobraría sentido; y si respecto de la misma no formuló alegato alguno dentro del plazo concedido para tal efecto se entiende que se encuentra satisfecho.</w:t>
      </w:r>
    </w:p>
    <w:p w:rsidR="00EB7502" w:rsidRPr="00653CB3" w:rsidRDefault="00EB7502" w:rsidP="00EB7502">
      <w:pPr>
        <w:spacing w:after="240" w:line="360" w:lineRule="auto"/>
        <w:contextualSpacing/>
        <w:jc w:val="both"/>
        <w:rPr>
          <w:lang w:val="es-MX"/>
        </w:rPr>
      </w:pPr>
    </w:p>
    <w:p w:rsidR="00EB7502" w:rsidRPr="00653CB3" w:rsidRDefault="00EB7502" w:rsidP="00EB7502">
      <w:pPr>
        <w:spacing w:before="240" w:after="240" w:line="360" w:lineRule="auto"/>
        <w:contextualSpacing/>
        <w:jc w:val="both"/>
        <w:rPr>
          <w:rFonts w:ascii="Palatino Linotype" w:hAnsi="Palatino Linotype"/>
          <w:lang w:val="es-MX"/>
        </w:rPr>
      </w:pPr>
      <w:r w:rsidRPr="00653CB3">
        <w:rPr>
          <w:rFonts w:ascii="Palatino Linotype" w:hAnsi="Palatino Linotype"/>
          <w:lang w:val="es-MX"/>
        </w:rPr>
        <w:t xml:space="preserve">En resumen, el </w:t>
      </w:r>
      <w:r w:rsidRPr="00653CB3">
        <w:rPr>
          <w:rFonts w:ascii="Palatino Linotype" w:hAnsi="Palatino Linotype"/>
          <w:b/>
          <w:bCs/>
          <w:lang w:val="es-MX"/>
        </w:rPr>
        <w:t>SUJETO OBLIGADO</w:t>
      </w:r>
      <w:r w:rsidRPr="00653CB3">
        <w:rPr>
          <w:rFonts w:ascii="Palatino Linotype" w:hAnsi="Palatino Linotype"/>
          <w:lang w:val="es-MX"/>
        </w:rPr>
        <w:t xml:space="preserve"> dio respuesta a la solicitud de acce</w:t>
      </w:r>
      <w:r w:rsidR="00C561FB" w:rsidRPr="00653CB3">
        <w:rPr>
          <w:rFonts w:ascii="Palatino Linotype" w:hAnsi="Palatino Linotype"/>
          <w:lang w:val="es-MX"/>
        </w:rPr>
        <w:t xml:space="preserve">so a la información pública de la </w:t>
      </w:r>
      <w:r w:rsidRPr="00653CB3">
        <w:rPr>
          <w:rFonts w:ascii="Palatino Linotype" w:hAnsi="Palatino Linotype"/>
          <w:lang w:val="es-MX"/>
        </w:rPr>
        <w:t xml:space="preserve">ahora </w:t>
      </w:r>
      <w:r w:rsidRPr="00653CB3">
        <w:rPr>
          <w:rFonts w:ascii="Palatino Linotype" w:hAnsi="Palatino Linotype"/>
          <w:b/>
          <w:bCs/>
          <w:lang w:val="es-MX"/>
        </w:rPr>
        <w:t>RECURRENTE</w:t>
      </w:r>
      <w:r w:rsidRPr="00653CB3">
        <w:rPr>
          <w:rFonts w:ascii="Palatino Linotype" w:hAnsi="Palatino Linotype"/>
          <w:lang w:val="es-MX"/>
        </w:rPr>
        <w:t xml:space="preserve">; aunque ello haya sido de manera posterior; </w:t>
      </w:r>
      <w:r w:rsidR="00C561FB" w:rsidRPr="00653CB3">
        <w:rPr>
          <w:rFonts w:ascii="Palatino Linotype" w:hAnsi="Palatino Linotype"/>
          <w:lang w:val="es-MX"/>
        </w:rPr>
        <w:t>dejando con ello sin materia el</w:t>
      </w:r>
      <w:r w:rsidRPr="00653CB3">
        <w:rPr>
          <w:rFonts w:ascii="Palatino Linotype" w:hAnsi="Palatino Linotype"/>
          <w:lang w:val="es-MX"/>
        </w:rPr>
        <w:t xml:space="preserve"> presente recurso de revisión, actualizándose entonces la causal prevista en la fracción III del artículo 192 de la Ley de la Materia vigente en la Entidad, antes transcrita. </w:t>
      </w:r>
    </w:p>
    <w:p w:rsidR="00EB7502" w:rsidRPr="00653CB3" w:rsidRDefault="00EB7502" w:rsidP="00EB7502">
      <w:pPr>
        <w:spacing w:before="240" w:after="240" w:line="360" w:lineRule="auto"/>
        <w:contextualSpacing/>
        <w:jc w:val="both"/>
        <w:rPr>
          <w:lang w:val="es-MX"/>
        </w:rPr>
      </w:pPr>
    </w:p>
    <w:p w:rsidR="00EB7502" w:rsidRPr="00653CB3" w:rsidRDefault="00EB7502" w:rsidP="00EB7502">
      <w:pPr>
        <w:spacing w:before="240" w:after="240" w:line="360" w:lineRule="auto"/>
        <w:contextualSpacing/>
        <w:jc w:val="both"/>
        <w:rPr>
          <w:rFonts w:ascii="Palatino Linotype" w:hAnsi="Palatino Linotype"/>
          <w:lang w:val="es-MX"/>
        </w:rPr>
      </w:pPr>
      <w:r w:rsidRPr="00653CB3">
        <w:rPr>
          <w:rFonts w:ascii="Palatino Linotype" w:hAnsi="Palatino Linotype"/>
          <w:lang w:val="es-MX"/>
        </w:rPr>
        <w:t xml:space="preserve">Siendo el </w:t>
      </w:r>
      <w:r w:rsidRPr="00653CB3">
        <w:rPr>
          <w:rFonts w:ascii="Palatino Linotype" w:hAnsi="Palatino Linotype"/>
          <w:i/>
          <w:iCs/>
          <w:lang w:val="es-MX"/>
        </w:rPr>
        <w:t>sobreseimiento</w:t>
      </w:r>
      <w:r w:rsidRPr="00653CB3">
        <w:rPr>
          <w:rFonts w:ascii="Palatino Linotype" w:hAnsi="Palatino Linotype"/>
          <w:lang w:val="es-MX"/>
        </w:rPr>
        <w:t xml:space="preserve"> un acto que da por terminado el procedimiento administrativo de impugnación sin resolver el fondo de la cuestión planteada, por presentarse causas que impiden a la autoridad referirse a lo sustancial de lo planteado por la </w:t>
      </w:r>
      <w:r w:rsidRPr="00653CB3">
        <w:rPr>
          <w:rFonts w:ascii="Palatino Linotype" w:hAnsi="Palatino Linotype"/>
          <w:b/>
          <w:bCs/>
          <w:lang w:val="es-MX"/>
        </w:rPr>
        <w:t>RECURRENTE</w:t>
      </w:r>
      <w:r w:rsidRPr="00653CB3">
        <w:rPr>
          <w:rFonts w:ascii="Palatino Linotype" w:hAnsi="Palatino Linotype"/>
          <w:lang w:val="es-MX"/>
        </w:rPr>
        <w:t>, los efectos del sobreseimiento son los dar por concluido los recursos administrativos sin entrar al estudio de fondo de los asuntos de que se trate; lo anterior con apoyo en el criterio del Poder Judicial de la Federación con rubro:</w:t>
      </w:r>
    </w:p>
    <w:p w:rsidR="00EB7502" w:rsidRPr="00653CB3" w:rsidRDefault="00EB7502" w:rsidP="00EB7502">
      <w:pPr>
        <w:spacing w:before="240" w:after="240" w:line="360" w:lineRule="auto"/>
        <w:contextualSpacing/>
        <w:jc w:val="both"/>
        <w:rPr>
          <w:lang w:val="es-MX"/>
        </w:rPr>
      </w:pPr>
    </w:p>
    <w:p w:rsidR="00EB7502" w:rsidRPr="00653CB3" w:rsidRDefault="00EB7502" w:rsidP="00EB7502">
      <w:pPr>
        <w:spacing w:before="240" w:after="240"/>
        <w:ind w:left="567" w:right="567"/>
        <w:contextualSpacing/>
        <w:jc w:val="both"/>
        <w:rPr>
          <w:sz w:val="22"/>
          <w:szCs w:val="22"/>
          <w:lang w:val="es-MX"/>
        </w:rPr>
      </w:pPr>
      <w:r w:rsidRPr="00653CB3">
        <w:rPr>
          <w:rFonts w:ascii="Palatino Linotype" w:hAnsi="Palatino Linotype"/>
          <w:i/>
          <w:iCs/>
          <w:sz w:val="22"/>
          <w:szCs w:val="22"/>
          <w:lang w:val="es-MX"/>
        </w:rPr>
        <w:t>“</w:t>
      </w:r>
      <w:r w:rsidRPr="00653CB3">
        <w:rPr>
          <w:rFonts w:ascii="Palatino Linotype" w:hAnsi="Palatino Linotype"/>
          <w:b/>
          <w:bCs/>
          <w:i/>
          <w:iCs/>
          <w:sz w:val="22"/>
          <w:szCs w:val="22"/>
          <w:lang w:val="es-MX"/>
        </w:rPr>
        <w:t>SOBRESEIMIENTO, NO PERMITE ENTRAR AL ESTUDIO DE LAS CUESTIONES DE FONDO</w:t>
      </w:r>
    </w:p>
    <w:p w:rsidR="00EB7502" w:rsidRPr="00653CB3" w:rsidRDefault="00EB7502" w:rsidP="00EB7502">
      <w:pPr>
        <w:spacing w:before="240"/>
        <w:ind w:left="567" w:right="567"/>
        <w:contextualSpacing/>
        <w:jc w:val="both"/>
        <w:rPr>
          <w:sz w:val="22"/>
          <w:szCs w:val="22"/>
          <w:lang w:val="es-MX"/>
        </w:rPr>
      </w:pPr>
      <w:r w:rsidRPr="00653CB3">
        <w:rPr>
          <w:rFonts w:ascii="Palatino Linotype" w:hAnsi="Palatino Linotype"/>
          <w:i/>
          <w:iCs/>
          <w:sz w:val="22"/>
          <w:szCs w:val="22"/>
          <w:lang w:val="es-MX"/>
        </w:rPr>
        <w:t>Localización: 213609. II.2o.183 K. Tribunales Colegiados de Circuito. Octava Época. Semanario Judicial de la Federación. Tomo XIII, Febrero de 1994, Pág. 420</w:t>
      </w:r>
    </w:p>
    <w:p w:rsidR="00EB7502" w:rsidRPr="00653CB3" w:rsidRDefault="00EB7502" w:rsidP="00EB7502">
      <w:pPr>
        <w:ind w:left="567" w:right="567"/>
        <w:contextualSpacing/>
        <w:jc w:val="both"/>
        <w:rPr>
          <w:sz w:val="22"/>
          <w:szCs w:val="22"/>
          <w:lang w:val="es-MX"/>
        </w:rPr>
      </w:pPr>
      <w:r w:rsidRPr="00653CB3">
        <w:rPr>
          <w:rFonts w:ascii="Palatino Linotype" w:hAnsi="Palatino Linotype"/>
          <w:i/>
          <w:iCs/>
          <w:sz w:val="22"/>
          <w:szCs w:val="22"/>
          <w:lang w:val="es-MX"/>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EB7502" w:rsidRPr="00653CB3" w:rsidRDefault="00EB7502" w:rsidP="00EB7502">
      <w:pPr>
        <w:spacing w:line="360" w:lineRule="auto"/>
        <w:contextualSpacing/>
        <w:rPr>
          <w:lang w:val="es-MX"/>
        </w:rPr>
      </w:pPr>
    </w:p>
    <w:p w:rsidR="00EB7502" w:rsidRPr="00653CB3" w:rsidRDefault="00EB7502" w:rsidP="00EB7502">
      <w:pPr>
        <w:spacing w:after="240" w:line="360" w:lineRule="auto"/>
        <w:contextualSpacing/>
        <w:jc w:val="both"/>
        <w:rPr>
          <w:rFonts w:ascii="Palatino Linotype" w:hAnsi="Palatino Linotype"/>
          <w:lang w:val="es-MX"/>
        </w:rPr>
      </w:pPr>
      <w:r w:rsidRPr="00653CB3">
        <w:rPr>
          <w:rFonts w:ascii="Palatino Linotype" w:hAnsi="Palatino Linotype"/>
          <w:lang w:val="es-MX"/>
        </w:rPr>
        <w:t>Cabe destacar que la decisión de este órgano colegiado de sobreseer los recursos de revisión no implica una limitación o negación a la justicia, según lo ha establecido el Poder Judicial Federal, en el criterio que es aplicable por analogía, con rubro:</w:t>
      </w:r>
    </w:p>
    <w:p w:rsidR="00EB7502" w:rsidRPr="00653CB3" w:rsidRDefault="00EB7502" w:rsidP="00EB7502">
      <w:pPr>
        <w:spacing w:after="240" w:line="360" w:lineRule="auto"/>
        <w:contextualSpacing/>
        <w:jc w:val="both"/>
        <w:rPr>
          <w:lang w:val="es-MX"/>
        </w:rPr>
      </w:pPr>
    </w:p>
    <w:p w:rsidR="00EB7502" w:rsidRPr="00653CB3" w:rsidRDefault="00EB7502" w:rsidP="00EB7502">
      <w:pPr>
        <w:spacing w:before="240"/>
        <w:ind w:left="567" w:right="567"/>
        <w:contextualSpacing/>
        <w:jc w:val="both"/>
        <w:rPr>
          <w:sz w:val="22"/>
          <w:szCs w:val="22"/>
          <w:lang w:val="es-MX"/>
        </w:rPr>
      </w:pPr>
      <w:r w:rsidRPr="00653CB3">
        <w:rPr>
          <w:rFonts w:ascii="Palatino Linotype" w:hAnsi="Palatino Linotype"/>
          <w:sz w:val="22"/>
          <w:szCs w:val="22"/>
          <w:lang w:val="es-MX"/>
        </w:rPr>
        <w:t> </w:t>
      </w:r>
      <w:r w:rsidRPr="00653CB3">
        <w:rPr>
          <w:rFonts w:ascii="Palatino Linotype" w:hAnsi="Palatino Linotype"/>
          <w:i/>
          <w:iCs/>
          <w:sz w:val="22"/>
          <w:szCs w:val="22"/>
          <w:lang w:val="es-MX"/>
        </w:rPr>
        <w:t>“DESECHAMIENTO O SOBRESEIMIENTO EN EL JUICIO DE AMPARO. NO IMPLICA DENEGACIÓN DE JUSTICIA NI GENERA INSEGURIDAD JURÍDICA”</w:t>
      </w:r>
    </w:p>
    <w:p w:rsidR="00EB7502" w:rsidRPr="00653CB3" w:rsidRDefault="00EB7502" w:rsidP="00EB7502">
      <w:pPr>
        <w:ind w:left="567" w:right="567"/>
        <w:contextualSpacing/>
        <w:jc w:val="both"/>
        <w:rPr>
          <w:sz w:val="22"/>
          <w:szCs w:val="22"/>
          <w:lang w:val="es-MX"/>
        </w:rPr>
      </w:pPr>
      <w:r w:rsidRPr="00653CB3">
        <w:rPr>
          <w:rFonts w:ascii="Palatino Linotype" w:hAnsi="Palatino Linotype"/>
          <w:i/>
          <w:iCs/>
          <w:sz w:val="22"/>
          <w:szCs w:val="22"/>
          <w:lang w:val="es-MX"/>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C561FB" w:rsidRPr="00653CB3" w:rsidRDefault="00C561FB" w:rsidP="00EB7502">
      <w:pPr>
        <w:spacing w:after="240" w:line="360" w:lineRule="auto"/>
        <w:contextualSpacing/>
        <w:jc w:val="both"/>
        <w:rPr>
          <w:rFonts w:ascii="Palatino Linotype" w:hAnsi="Palatino Linotype"/>
          <w:lang w:val="es-MX"/>
        </w:rPr>
      </w:pPr>
    </w:p>
    <w:p w:rsidR="00EB7502" w:rsidRPr="00653CB3" w:rsidRDefault="00EB7502" w:rsidP="00EB7502">
      <w:pPr>
        <w:spacing w:after="240" w:line="360" w:lineRule="auto"/>
        <w:contextualSpacing/>
        <w:jc w:val="both"/>
        <w:rPr>
          <w:lang w:val="es-MX"/>
        </w:rPr>
      </w:pPr>
      <w:r w:rsidRPr="00653CB3">
        <w:rPr>
          <w:rFonts w:ascii="Palatino Linotype" w:hAnsi="Palatino Linotype"/>
          <w:lang w:val="es-MX"/>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EB7502" w:rsidRPr="00653CB3" w:rsidRDefault="00EB7502" w:rsidP="00EB7502">
      <w:pPr>
        <w:spacing w:before="240" w:after="240" w:line="360" w:lineRule="auto"/>
        <w:ind w:left="360"/>
        <w:contextualSpacing/>
        <w:jc w:val="center"/>
        <w:rPr>
          <w:rFonts w:ascii="Palatino Linotype" w:hAnsi="Palatino Linotype" w:cs="Arial"/>
          <w:b/>
        </w:rPr>
      </w:pPr>
      <w:r w:rsidRPr="00653CB3">
        <w:rPr>
          <w:rFonts w:ascii="Palatino Linotype" w:hAnsi="Palatino Linotype" w:cs="Arial"/>
          <w:b/>
        </w:rPr>
        <w:t>III. R E S U E L V E:</w:t>
      </w:r>
    </w:p>
    <w:p w:rsidR="00EB7502" w:rsidRPr="00653CB3" w:rsidRDefault="00EB7502" w:rsidP="00EB7502">
      <w:pPr>
        <w:spacing w:before="240" w:after="240" w:line="360" w:lineRule="auto"/>
        <w:ind w:left="360"/>
        <w:contextualSpacing/>
        <w:jc w:val="center"/>
        <w:rPr>
          <w:rFonts w:ascii="Palatino Linotype" w:hAnsi="Palatino Linotype" w:cs="Arial"/>
          <w:b/>
        </w:rPr>
      </w:pPr>
    </w:p>
    <w:p w:rsidR="00EB7502" w:rsidRPr="00653CB3" w:rsidRDefault="00EB7502" w:rsidP="00EB7502">
      <w:pPr>
        <w:spacing w:before="240" w:after="240" w:line="360" w:lineRule="auto"/>
        <w:contextualSpacing/>
        <w:jc w:val="both"/>
        <w:rPr>
          <w:rFonts w:ascii="Palatino Linotype" w:hAnsi="Palatino Linotype"/>
          <w:b/>
          <w:bCs/>
        </w:rPr>
      </w:pPr>
      <w:r w:rsidRPr="00653CB3">
        <w:rPr>
          <w:rFonts w:ascii="Palatino Linotype" w:hAnsi="Palatino Linotype" w:cs="Arial"/>
          <w:b/>
        </w:rPr>
        <w:t xml:space="preserve">Primero. </w:t>
      </w:r>
      <w:r w:rsidRPr="00653CB3">
        <w:rPr>
          <w:rFonts w:ascii="Palatino Linotype" w:hAnsi="Palatino Linotype"/>
        </w:rPr>
        <w:t xml:space="preserve">Se </w:t>
      </w:r>
      <w:r w:rsidRPr="00653CB3">
        <w:rPr>
          <w:rFonts w:ascii="Palatino Linotype" w:hAnsi="Palatino Linotype"/>
          <w:b/>
        </w:rPr>
        <w:t xml:space="preserve">SOBRESEE </w:t>
      </w:r>
      <w:r w:rsidR="00C561FB" w:rsidRPr="00653CB3">
        <w:rPr>
          <w:rFonts w:ascii="Palatino Linotype" w:hAnsi="Palatino Linotype"/>
        </w:rPr>
        <w:t>el</w:t>
      </w:r>
      <w:r w:rsidRPr="00653CB3">
        <w:rPr>
          <w:rFonts w:ascii="Palatino Linotype" w:hAnsi="Palatino Linotype"/>
        </w:rPr>
        <w:t xml:space="preserve"> recurso de revisión </w:t>
      </w:r>
      <w:r w:rsidR="00C561FB" w:rsidRPr="00653CB3">
        <w:rPr>
          <w:rFonts w:ascii="Palatino Linotype" w:hAnsi="Palatino Linotype"/>
          <w:b/>
          <w:lang w:val="es-ES_tradnl"/>
        </w:rPr>
        <w:t>12399</w:t>
      </w:r>
      <w:r w:rsidRPr="00653CB3">
        <w:rPr>
          <w:rFonts w:ascii="Palatino Linotype" w:hAnsi="Palatino Linotype"/>
          <w:b/>
          <w:lang w:val="es-ES_tradnl"/>
        </w:rPr>
        <w:t>/INFOEM/IP/RR/2022</w:t>
      </w:r>
      <w:r w:rsidRPr="00653CB3">
        <w:rPr>
          <w:rFonts w:ascii="Palatino Linotype" w:hAnsi="Palatino Linotype"/>
        </w:rPr>
        <w:t xml:space="preserve">, porque al colmar la </w:t>
      </w:r>
      <w:r w:rsidR="00C561FB" w:rsidRPr="00653CB3">
        <w:rPr>
          <w:rFonts w:ascii="Palatino Linotype" w:hAnsi="Palatino Linotype"/>
        </w:rPr>
        <w:t>pretensión de la</w:t>
      </w:r>
      <w:r w:rsidRPr="00653CB3">
        <w:rPr>
          <w:rFonts w:ascii="Palatino Linotype" w:hAnsi="Palatino Linotype"/>
          <w:b/>
          <w:bCs/>
        </w:rPr>
        <w:t xml:space="preserve"> RECURRENTE</w:t>
      </w:r>
      <w:r w:rsidRPr="00653CB3">
        <w:rPr>
          <w:rFonts w:ascii="Palatino Linotype" w:hAnsi="Palatino Linotype"/>
        </w:rPr>
        <w:t xml:space="preserve"> mediante informe justificado, </w:t>
      </w:r>
      <w:r w:rsidR="00C561FB" w:rsidRPr="00653CB3">
        <w:rPr>
          <w:rFonts w:ascii="Palatino Linotype" w:hAnsi="Palatino Linotype"/>
        </w:rPr>
        <w:t>el</w:t>
      </w:r>
      <w:r w:rsidRPr="00653CB3">
        <w:rPr>
          <w:rFonts w:ascii="Palatino Linotype" w:hAnsi="Palatino Linotype"/>
        </w:rPr>
        <w:t xml:space="preserve"> medio de impugnación que</w:t>
      </w:r>
      <w:r w:rsidR="00C561FB" w:rsidRPr="00653CB3">
        <w:rPr>
          <w:rFonts w:ascii="Palatino Linotype" w:hAnsi="Palatino Linotype"/>
        </w:rPr>
        <w:t>dó</w:t>
      </w:r>
      <w:r w:rsidRPr="00653CB3">
        <w:rPr>
          <w:rFonts w:ascii="Palatino Linotype" w:hAnsi="Palatino Linotype"/>
        </w:rPr>
        <w:t xml:space="preserve"> sin materia, de conformidad con lo previsto en el artículo 192 fracción III de la Ley de Transparencia y Acceso a la Información Pública del Estado de México y Municipios, en términos del Considerando Tercero de la presente resolución</w:t>
      </w:r>
      <w:r w:rsidRPr="00653CB3">
        <w:rPr>
          <w:rFonts w:ascii="Palatino Linotype" w:hAnsi="Palatino Linotype"/>
          <w:b/>
          <w:bCs/>
        </w:rPr>
        <w:t xml:space="preserve">. </w:t>
      </w:r>
    </w:p>
    <w:p w:rsidR="00EB7502" w:rsidRPr="00653CB3" w:rsidRDefault="00EB7502" w:rsidP="00EB7502">
      <w:pPr>
        <w:spacing w:before="240" w:after="240" w:line="360" w:lineRule="auto"/>
        <w:contextualSpacing/>
        <w:jc w:val="both"/>
        <w:rPr>
          <w:rFonts w:ascii="Palatino Linotype" w:hAnsi="Palatino Linotype" w:cs="Arial"/>
          <w:bCs/>
          <w:shd w:val="clear" w:color="auto" w:fill="FFFFFF"/>
        </w:rPr>
      </w:pPr>
    </w:p>
    <w:p w:rsidR="00EB7502" w:rsidRPr="00653CB3" w:rsidRDefault="00EB7502" w:rsidP="00EB7502">
      <w:pPr>
        <w:spacing w:before="240" w:after="240" w:line="360" w:lineRule="auto"/>
        <w:contextualSpacing/>
        <w:jc w:val="both"/>
        <w:rPr>
          <w:rFonts w:ascii="Palatino Linotype" w:hAnsi="Palatino Linotype" w:cs="Arial"/>
        </w:rPr>
      </w:pPr>
      <w:r w:rsidRPr="00653CB3">
        <w:rPr>
          <w:rFonts w:ascii="Palatino Linotype" w:hAnsi="Palatino Linotype" w:cs="Arial"/>
          <w:b/>
          <w:bCs/>
          <w:shd w:val="clear" w:color="auto" w:fill="FFFFFF"/>
        </w:rPr>
        <w:t xml:space="preserve">Segundo. </w:t>
      </w:r>
      <w:r w:rsidRPr="00653CB3">
        <w:rPr>
          <w:rFonts w:ascii="Palatino Linotype" w:eastAsiaTheme="minorEastAsia" w:hAnsi="Palatino Linotype" w:cs="Arial"/>
          <w:b/>
          <w:lang w:val="es-ES_tradnl"/>
        </w:rPr>
        <w:t>Notifíquese</w:t>
      </w:r>
      <w:r w:rsidRPr="00653CB3">
        <w:rPr>
          <w:rFonts w:ascii="Palatino Linotype" w:eastAsiaTheme="minorEastAsia" w:hAnsi="Palatino Linotype" w:cs="Arial"/>
          <w:lang w:val="es-ES_tradnl"/>
        </w:rPr>
        <w:t xml:space="preserve"> vía </w:t>
      </w:r>
      <w:r w:rsidRPr="00653CB3">
        <w:rPr>
          <w:rFonts w:ascii="Palatino Linotype" w:eastAsiaTheme="minorEastAsia" w:hAnsi="Palatino Linotype" w:cs="Arial"/>
          <w:b/>
          <w:lang w:val="es-ES_tradnl"/>
        </w:rPr>
        <w:t xml:space="preserve">SAIMEX, </w:t>
      </w:r>
      <w:r w:rsidRPr="00653CB3">
        <w:rPr>
          <w:rFonts w:ascii="Palatino Linotype" w:hAnsi="Palatino Linotype"/>
          <w:shd w:val="clear" w:color="auto" w:fill="FFFFFF"/>
        </w:rPr>
        <w:t>al Responsable de la Unidad de Transparencia del</w:t>
      </w:r>
      <w:r w:rsidRPr="00653CB3">
        <w:rPr>
          <w:rStyle w:val="apple-converted-space"/>
          <w:rFonts w:ascii="Palatino Linotype" w:hAnsi="Palatino Linotype"/>
          <w:bCs/>
          <w:shd w:val="clear" w:color="auto" w:fill="FFFFFF"/>
        </w:rPr>
        <w:t xml:space="preserve"> </w:t>
      </w:r>
      <w:r w:rsidRPr="00653CB3">
        <w:rPr>
          <w:rFonts w:ascii="Palatino Linotype" w:hAnsi="Palatino Linotype"/>
          <w:bCs/>
          <w:shd w:val="clear" w:color="auto" w:fill="FFFFFF"/>
        </w:rPr>
        <w:t>Sujeto Obligado la presente resolución, para su conocimiento</w:t>
      </w:r>
      <w:r w:rsidRPr="00653CB3">
        <w:rPr>
          <w:rFonts w:ascii="Palatino Linotype" w:hAnsi="Palatino Linotype"/>
          <w:shd w:val="clear" w:color="auto" w:fill="FFFFFF"/>
        </w:rPr>
        <w:t xml:space="preserve">, lo anterior en términos del artículo 189 de la </w:t>
      </w:r>
      <w:r w:rsidRPr="00653CB3">
        <w:rPr>
          <w:rFonts w:ascii="Palatino Linotype" w:hAnsi="Palatino Linotype" w:cs="Arial"/>
        </w:rPr>
        <w:t>Ley de Transparencia y Acceso a la Información Pública del Estado de México y Municipios.</w:t>
      </w:r>
    </w:p>
    <w:p w:rsidR="00EB7502" w:rsidRPr="00653CB3" w:rsidRDefault="00EB7502" w:rsidP="00EB7502">
      <w:pPr>
        <w:spacing w:before="240" w:after="240" w:line="360" w:lineRule="auto"/>
        <w:contextualSpacing/>
        <w:jc w:val="both"/>
        <w:rPr>
          <w:rFonts w:ascii="Palatino Linotype" w:hAnsi="Palatino Linotype"/>
          <w:shd w:val="clear" w:color="auto" w:fill="FFFFFF"/>
        </w:rPr>
      </w:pPr>
    </w:p>
    <w:p w:rsidR="00EB7502" w:rsidRPr="00653CB3" w:rsidRDefault="00EB7502" w:rsidP="00EB7502">
      <w:pPr>
        <w:spacing w:before="240" w:after="240" w:line="360" w:lineRule="auto"/>
        <w:jc w:val="both"/>
        <w:rPr>
          <w:rFonts w:ascii="Palatino Linotype" w:eastAsia="Palatino Linotype" w:hAnsi="Palatino Linotype" w:cs="Palatino Linotype"/>
        </w:rPr>
      </w:pPr>
      <w:r w:rsidRPr="00653CB3">
        <w:rPr>
          <w:rFonts w:ascii="Palatino Linotype" w:hAnsi="Palatino Linotype" w:cs="Arial"/>
          <w:b/>
          <w:lang w:val="es-MX"/>
        </w:rPr>
        <w:t xml:space="preserve">Tercero. Notifíquese, vía SAIMEX </w:t>
      </w:r>
      <w:r w:rsidRPr="00653CB3">
        <w:rPr>
          <w:rFonts w:ascii="Palatino Linotype" w:hAnsi="Palatino Linotype" w:cs="Arial"/>
          <w:lang w:val="es-MX"/>
        </w:rPr>
        <w:t>a</w:t>
      </w:r>
      <w:r w:rsidRPr="00653CB3">
        <w:rPr>
          <w:rFonts w:ascii="Palatino Linotype" w:hAnsi="Palatino Linotype" w:cs="Arial"/>
          <w:b/>
          <w:lang w:val="es-MX"/>
        </w:rPr>
        <w:t xml:space="preserve"> </w:t>
      </w:r>
      <w:r w:rsidRPr="00653CB3">
        <w:rPr>
          <w:rFonts w:ascii="Palatino Linotype" w:hAnsi="Palatino Linotype" w:cs="Arial"/>
          <w:lang w:val="es-MX"/>
        </w:rPr>
        <w:t>la parte</w:t>
      </w:r>
      <w:r w:rsidRPr="00653CB3">
        <w:rPr>
          <w:rFonts w:ascii="Palatino Linotype" w:hAnsi="Palatino Linotype" w:cs="Arial"/>
          <w:b/>
          <w:lang w:val="es-MX"/>
        </w:rPr>
        <w:t xml:space="preserve"> RECURRENTE</w:t>
      </w:r>
      <w:r w:rsidRPr="00653CB3">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en la vía</w:t>
      </w:r>
      <w:r w:rsidRPr="00653CB3">
        <w:rPr>
          <w:rFonts w:ascii="Palatino Linotype" w:eastAsia="Palatino Linotype" w:hAnsi="Palatino Linotype" w:cs="Palatino Linotype"/>
        </w:rPr>
        <w:t xml:space="preserve"> Juicio de Amparo en los términos de las leyes aplicables.</w:t>
      </w:r>
    </w:p>
    <w:p w:rsidR="006D2DD7" w:rsidRPr="00653CB3" w:rsidRDefault="006D2DD7">
      <w:pPr>
        <w:spacing w:before="240" w:after="240" w:line="360" w:lineRule="auto"/>
        <w:jc w:val="both"/>
        <w:rPr>
          <w:rFonts w:ascii="Palatino Linotype" w:eastAsia="Palatino Linotype" w:hAnsi="Palatino Linotype" w:cs="Palatino Linotype"/>
        </w:rPr>
      </w:pPr>
      <w:r w:rsidRPr="00653CB3">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simplePos x="0" y="0"/>
                <wp:positionH relativeFrom="column">
                  <wp:posOffset>112243</wp:posOffset>
                </wp:positionH>
                <wp:positionV relativeFrom="paragraph">
                  <wp:posOffset>2859861</wp:posOffset>
                </wp:positionV>
                <wp:extent cx="5266944" cy="3013863"/>
                <wp:effectExtent l="38100" t="19050" r="67310" b="91440"/>
                <wp:wrapNone/>
                <wp:docPr id="2" name="Conector recto 2"/>
                <wp:cNvGraphicFramePr/>
                <a:graphic xmlns:a="http://schemas.openxmlformats.org/drawingml/2006/main">
                  <a:graphicData uri="http://schemas.microsoft.com/office/word/2010/wordprocessingShape">
                    <wps:wsp>
                      <wps:cNvCnPr/>
                      <wps:spPr>
                        <a:xfrm>
                          <a:off x="0" y="0"/>
                          <a:ext cx="5266944" cy="301386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5FE2320"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85pt,225.2pt" to="423.5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" strokecolor="black [3200]" strokeweight="2pt">
                <v:shadow on="t" color="black" opacity="24903f" origin=",.5" offset="0,.55556mm"/>
              </v:line>
            </w:pict>
          </mc:Fallback>
        </mc:AlternateContent>
      </w:r>
      <w:r w:rsidR="004D78AD" w:rsidRPr="00653CB3">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561FB" w:rsidRPr="00653CB3">
        <w:rPr>
          <w:rFonts w:ascii="Palatino Linotype" w:eastAsia="Palatino Linotype" w:hAnsi="Palatino Linotype" w:cs="Palatino Linotype"/>
        </w:rPr>
        <w:t xml:space="preserve">CUADRAGÉSIMA TERCERA </w:t>
      </w:r>
      <w:r w:rsidR="004D78AD" w:rsidRPr="00653CB3">
        <w:rPr>
          <w:rFonts w:ascii="Palatino Linotype" w:eastAsia="Palatino Linotype" w:hAnsi="Palatino Linotype" w:cs="Palatino Linotype"/>
        </w:rPr>
        <w:t>SE</w:t>
      </w:r>
      <w:r w:rsidR="00990EBD" w:rsidRPr="00653CB3">
        <w:rPr>
          <w:rFonts w:ascii="Palatino Linotype" w:eastAsia="Palatino Linotype" w:hAnsi="Palatino Linotype" w:cs="Palatino Linotype"/>
        </w:rPr>
        <w:t>SIÓN ORDI</w:t>
      </w:r>
      <w:r w:rsidR="00C561FB" w:rsidRPr="00653CB3">
        <w:rPr>
          <w:rFonts w:ascii="Palatino Linotype" w:eastAsia="Palatino Linotype" w:hAnsi="Palatino Linotype" w:cs="Palatino Linotype"/>
        </w:rPr>
        <w:t>NARIA CELEBRADA EL TREINTA</w:t>
      </w:r>
      <w:r w:rsidR="00A4239E" w:rsidRPr="00653CB3">
        <w:rPr>
          <w:rFonts w:ascii="Palatino Linotype" w:eastAsia="Palatino Linotype" w:hAnsi="Palatino Linotype" w:cs="Palatino Linotype"/>
        </w:rPr>
        <w:t xml:space="preserve"> DE NOVIEMBRE</w:t>
      </w:r>
      <w:r w:rsidR="004D78AD" w:rsidRPr="00653CB3">
        <w:rPr>
          <w:rFonts w:ascii="Palatino Linotype" w:eastAsia="Palatino Linotype" w:hAnsi="Palatino Linotype" w:cs="Palatino Linotype"/>
        </w:rPr>
        <w:t xml:space="preserve"> DE DOS MIL VEINTIDÓS, ANTE EL SECRETARIO TÉCNICO DEL PLENO ALEXIS TAPIA RAMÍREZ.</w:t>
      </w:r>
    </w:p>
    <w:p w:rsidR="006D2DD7" w:rsidRPr="00653CB3" w:rsidRDefault="006D2DD7" w:rsidP="006D2DD7">
      <w:pPr>
        <w:rPr>
          <w:rFonts w:ascii="Palatino Linotype" w:eastAsia="Palatino Linotype" w:hAnsi="Palatino Linotype" w:cs="Palatino Linotype"/>
        </w:rPr>
      </w:pPr>
    </w:p>
    <w:p w:rsidR="006D2DD7" w:rsidRPr="00653CB3" w:rsidRDefault="006D2DD7" w:rsidP="006D2DD7">
      <w:pPr>
        <w:rPr>
          <w:rFonts w:ascii="Palatino Linotype" w:eastAsia="Palatino Linotype" w:hAnsi="Palatino Linotype" w:cs="Palatino Linotype"/>
        </w:rPr>
      </w:pPr>
    </w:p>
    <w:p w:rsidR="006D2DD7" w:rsidRPr="00653CB3" w:rsidRDefault="006D2DD7" w:rsidP="006D2DD7">
      <w:pPr>
        <w:rPr>
          <w:rFonts w:ascii="Palatino Linotype" w:eastAsia="Palatino Linotype" w:hAnsi="Palatino Linotype" w:cs="Palatino Linotype"/>
        </w:rPr>
      </w:pPr>
    </w:p>
    <w:p w:rsidR="006D2DD7" w:rsidRPr="00653CB3" w:rsidRDefault="006D2DD7" w:rsidP="006D2DD7">
      <w:pPr>
        <w:rPr>
          <w:rFonts w:ascii="Palatino Linotype" w:eastAsia="Palatino Linotype" w:hAnsi="Palatino Linotype" w:cs="Palatino Linotype"/>
        </w:rPr>
      </w:pPr>
    </w:p>
    <w:p w:rsidR="006D2DD7" w:rsidRPr="00653CB3" w:rsidRDefault="006D2DD7" w:rsidP="006D2DD7">
      <w:pPr>
        <w:rPr>
          <w:rFonts w:ascii="Palatino Linotype" w:eastAsia="Palatino Linotype" w:hAnsi="Palatino Linotype" w:cs="Palatino Linotype"/>
        </w:rPr>
      </w:pPr>
    </w:p>
    <w:p w:rsidR="006D2DD7" w:rsidRPr="00653CB3" w:rsidRDefault="006D2DD7" w:rsidP="006D2DD7">
      <w:pPr>
        <w:rPr>
          <w:rFonts w:ascii="Palatino Linotype" w:eastAsia="Palatino Linotype" w:hAnsi="Palatino Linotype" w:cs="Palatino Linotype"/>
        </w:rPr>
      </w:pPr>
    </w:p>
    <w:p w:rsidR="006D2DD7" w:rsidRPr="00653CB3" w:rsidRDefault="006D2DD7" w:rsidP="006D2DD7">
      <w:pPr>
        <w:rPr>
          <w:rFonts w:ascii="Palatino Linotype" w:eastAsia="Palatino Linotype" w:hAnsi="Palatino Linotype" w:cs="Palatino Linotype"/>
        </w:rPr>
      </w:pPr>
    </w:p>
    <w:p w:rsidR="006D2DD7" w:rsidRPr="00653CB3" w:rsidRDefault="006D2DD7" w:rsidP="006D2DD7">
      <w:pPr>
        <w:rPr>
          <w:rFonts w:ascii="Palatino Linotype" w:eastAsia="Palatino Linotype" w:hAnsi="Palatino Linotype" w:cs="Palatino Linotype"/>
        </w:rPr>
      </w:pPr>
    </w:p>
    <w:p w:rsidR="006D2DD7" w:rsidRPr="00653CB3" w:rsidRDefault="006D2DD7" w:rsidP="006D2DD7">
      <w:pPr>
        <w:rPr>
          <w:rFonts w:ascii="Palatino Linotype" w:eastAsia="Palatino Linotype" w:hAnsi="Palatino Linotype" w:cs="Palatino Linotype"/>
        </w:rPr>
      </w:pPr>
    </w:p>
    <w:p w:rsidR="006D2DD7" w:rsidRPr="00653CB3" w:rsidRDefault="006D2DD7" w:rsidP="006D2DD7">
      <w:pPr>
        <w:rPr>
          <w:rFonts w:ascii="Palatino Linotype" w:eastAsia="Palatino Linotype" w:hAnsi="Palatino Linotype" w:cs="Palatino Linotype"/>
        </w:rPr>
      </w:pPr>
    </w:p>
    <w:p w:rsidR="006D2DD7" w:rsidRPr="00653CB3" w:rsidRDefault="006D2DD7" w:rsidP="006D2DD7">
      <w:pPr>
        <w:rPr>
          <w:rFonts w:ascii="Palatino Linotype" w:eastAsia="Palatino Linotype" w:hAnsi="Palatino Linotype" w:cs="Palatino Linotype"/>
        </w:rPr>
      </w:pPr>
    </w:p>
    <w:p w:rsidR="006D2DD7" w:rsidRPr="00653CB3" w:rsidRDefault="006D2DD7" w:rsidP="006D2DD7">
      <w:pPr>
        <w:rPr>
          <w:rFonts w:ascii="Palatino Linotype" w:eastAsia="Palatino Linotype" w:hAnsi="Palatino Linotype" w:cs="Palatino Linotype"/>
        </w:rPr>
      </w:pPr>
    </w:p>
    <w:p w:rsidR="006D2DD7" w:rsidRPr="00653CB3" w:rsidRDefault="006D2DD7" w:rsidP="006D2DD7">
      <w:pPr>
        <w:tabs>
          <w:tab w:val="left" w:pos="2281"/>
        </w:tabs>
        <w:rPr>
          <w:rFonts w:ascii="Palatino Linotype" w:eastAsia="Palatino Linotype" w:hAnsi="Palatino Linotype" w:cs="Palatino Linotype"/>
        </w:rPr>
        <w:sectPr w:rsidR="006D2DD7" w:rsidRPr="00653CB3">
          <w:headerReference w:type="default" r:id="rId10"/>
          <w:footerReference w:type="default" r:id="rId11"/>
          <w:headerReference w:type="first" r:id="rId12"/>
          <w:footerReference w:type="first" r:id="rId13"/>
          <w:pgSz w:w="12240" w:h="15840"/>
          <w:pgMar w:top="1985" w:right="1701" w:bottom="1701" w:left="1701" w:header="709" w:footer="709" w:gutter="0"/>
          <w:pgNumType w:start="1"/>
          <w:cols w:space="720"/>
          <w:titlePg/>
        </w:sectPr>
      </w:pPr>
      <w:r w:rsidRPr="00653CB3">
        <w:rPr>
          <w:rFonts w:ascii="Palatino Linotype" w:eastAsia="Palatino Linotype" w:hAnsi="Palatino Linotype" w:cs="Palatino Linotype"/>
        </w:rPr>
        <w:tab/>
      </w:r>
    </w:p>
    <w:p w:rsidR="004C6C59" w:rsidRPr="00653CB3" w:rsidRDefault="004C6C59" w:rsidP="006D2DD7">
      <w:pPr>
        <w:tabs>
          <w:tab w:val="left" w:pos="2281"/>
        </w:tabs>
        <w:rPr>
          <w:rFonts w:ascii="Palatino Linotype" w:eastAsia="Palatino Linotype" w:hAnsi="Palatino Linotype" w:cs="Palatino Linotype"/>
        </w:rPr>
      </w:pPr>
    </w:p>
    <w:sectPr w:rsidR="004C6C59" w:rsidRPr="00653CB3">
      <w:headerReference w:type="first" r:id="rId1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DED" w:rsidRDefault="00F96DED">
      <w:r>
        <w:separator/>
      </w:r>
    </w:p>
  </w:endnote>
  <w:endnote w:type="continuationSeparator" w:id="0">
    <w:p w:rsidR="00F96DED" w:rsidRDefault="00F96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E8F" w:rsidRDefault="00DC5E8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37F6E">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37F6E">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rsidR="00DC5E8F" w:rsidRDefault="00DC5E8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E8F" w:rsidRDefault="00DC5E8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6D2DD7">
      <w:rPr>
        <w:rFonts w:ascii="Palatino Linotype" w:eastAsia="Palatino Linotype" w:hAnsi="Palatino Linotype" w:cs="Palatino Linotype"/>
        <w:b/>
        <w:color w:val="000000"/>
        <w:sz w:val="20"/>
        <w:szCs w:val="20"/>
      </w:rPr>
      <w:t>24</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37F6E">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rsidR="00DC5E8F" w:rsidRDefault="00DC5E8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DED" w:rsidRDefault="00F96DED">
      <w:r>
        <w:separator/>
      </w:r>
    </w:p>
  </w:footnote>
  <w:footnote w:type="continuationSeparator" w:id="0">
    <w:p w:rsidR="00F96DED" w:rsidRDefault="00F96DED">
      <w:r>
        <w:continuationSeparator/>
      </w:r>
    </w:p>
  </w:footnote>
  <w:footnote w:id="1">
    <w:p w:rsidR="00EB7502" w:rsidRDefault="00EB7502" w:rsidP="00EB7502">
      <w:pPr>
        <w:spacing w:before="240" w:after="240"/>
        <w:contextualSpacing/>
        <w:jc w:val="both"/>
        <w:rPr>
          <w:rFonts w:ascii="Palatino Linotype" w:eastAsia="Calibri" w:hAnsi="Palatino Linotype" w:cs="Arial"/>
          <w:sz w:val="16"/>
          <w:szCs w:val="16"/>
          <w:lang w:val="es-MX" w:eastAsia="en-US"/>
        </w:rPr>
      </w:pPr>
      <w:r>
        <w:rPr>
          <w:rStyle w:val="Refdenotaalpie"/>
        </w:rPr>
        <w:footnoteRef/>
      </w:r>
      <w:r w:rsidRPr="00FA5154">
        <w:rPr>
          <w:rFonts w:ascii="Palatino Linotype" w:eastAsia="Calibri" w:hAnsi="Palatino Linotype" w:cs="Arial"/>
          <w:sz w:val="16"/>
          <w:szCs w:val="16"/>
          <w:lang w:val="es-MX" w:eastAsia="en-US"/>
        </w:rPr>
        <w:t>“</w:t>
      </w:r>
      <w:r>
        <w:rPr>
          <w:rFonts w:ascii="Palatino Linotype" w:eastAsia="Calibri" w:hAnsi="Palatino Linotype" w:cs="Arial"/>
          <w:sz w:val="16"/>
          <w:szCs w:val="16"/>
          <w:lang w:val="es-MX" w:eastAsia="en-US"/>
        </w:rPr>
        <w:t>Artículo 178.</w:t>
      </w:r>
    </w:p>
    <w:p w:rsidR="00EB7502" w:rsidRDefault="00EB7502" w:rsidP="00EB7502">
      <w:pPr>
        <w:spacing w:before="240" w:after="240"/>
        <w:contextualSpacing/>
        <w:jc w:val="both"/>
        <w:rPr>
          <w:rFonts w:ascii="Palatino Linotype" w:eastAsia="Calibri" w:hAnsi="Palatino Linotype" w:cs="Arial"/>
          <w:sz w:val="16"/>
          <w:szCs w:val="16"/>
          <w:lang w:val="es-MX" w:eastAsia="en-US"/>
        </w:rPr>
      </w:pPr>
      <w:r>
        <w:rPr>
          <w:rFonts w:ascii="Palatino Linotype" w:eastAsia="Calibri" w:hAnsi="Palatino Linotype" w:cs="Arial"/>
          <w:sz w:val="16"/>
          <w:szCs w:val="16"/>
          <w:lang w:val="es-MX" w:eastAsia="en-US"/>
        </w:rPr>
        <w:t>…</w:t>
      </w:r>
    </w:p>
    <w:p w:rsidR="00EB7502" w:rsidRPr="00FA5154" w:rsidRDefault="00EB7502" w:rsidP="00EB7502">
      <w:pPr>
        <w:spacing w:before="240" w:after="240"/>
        <w:contextualSpacing/>
        <w:jc w:val="both"/>
        <w:rPr>
          <w:lang w:val="es-MX"/>
        </w:rPr>
      </w:pPr>
      <w:r w:rsidRPr="00F235C0">
        <w:rPr>
          <w:rFonts w:ascii="Palatino Linotype" w:eastAsia="Calibri" w:hAnsi="Palatino Linotype" w:cs="Arial"/>
          <w:sz w:val="16"/>
          <w:szCs w:val="16"/>
          <w:lang w:val="es-MX" w:eastAsia="en-US"/>
        </w:rPr>
        <w:t>A falta de respuesta del sujeto obligado, dentro de los plazos establecidos en esta Ley, a una solicitud de acceso a la información pública, el recurso podrá ser interpuesto en cualquier momento, acompañado con el documento que pruebe la fec</w:t>
      </w:r>
      <w:r>
        <w:rPr>
          <w:rFonts w:ascii="Palatino Linotype" w:eastAsia="Calibri" w:hAnsi="Palatino Linotype" w:cs="Arial"/>
          <w:sz w:val="16"/>
          <w:szCs w:val="16"/>
          <w:lang w:val="es-MX" w:eastAsia="en-US"/>
        </w:rPr>
        <w:t>ha en que presentó la solicitud…”(Sic)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E8F" w:rsidRDefault="00DC5E8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-488313</wp:posOffset>
          </wp:positionV>
          <wp:extent cx="7809865" cy="10165715"/>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DC5E8F">
      <w:tc>
        <w:tcPr>
          <w:tcW w:w="2489" w:type="dxa"/>
          <w:shd w:val="clear" w:color="auto" w:fill="auto"/>
        </w:tcPr>
        <w:p w:rsidR="00DC5E8F" w:rsidRDefault="00DC5E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DC5E8F" w:rsidRDefault="007274B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12399</w:t>
          </w:r>
          <w:r w:rsidR="00DC5E8F">
            <w:rPr>
              <w:rFonts w:ascii="Palatino Linotype" w:eastAsia="Palatino Linotype" w:hAnsi="Palatino Linotype" w:cs="Palatino Linotype"/>
              <w:b/>
              <w:sz w:val="22"/>
              <w:szCs w:val="22"/>
            </w:rPr>
            <w:t>/INFOEM/IP/RR/2022</w:t>
          </w:r>
        </w:p>
      </w:tc>
    </w:tr>
    <w:tr w:rsidR="00DC5E8F">
      <w:trPr>
        <w:trHeight w:val="228"/>
      </w:trPr>
      <w:tc>
        <w:tcPr>
          <w:tcW w:w="2489" w:type="dxa"/>
          <w:shd w:val="clear" w:color="auto" w:fill="auto"/>
          <w:vAlign w:val="center"/>
        </w:tcPr>
        <w:p w:rsidR="00DC5E8F" w:rsidRDefault="00DC5E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DC5E8F" w:rsidRDefault="007274B6" w:rsidP="00D6484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r w:rsidR="00DC5E8F">
            <w:rPr>
              <w:rFonts w:ascii="Palatino Linotype" w:eastAsia="Palatino Linotype" w:hAnsi="Palatino Linotype" w:cs="Palatino Linotype"/>
              <w:b/>
              <w:sz w:val="22"/>
              <w:szCs w:val="22"/>
            </w:rPr>
            <w:t>.</w:t>
          </w:r>
        </w:p>
      </w:tc>
    </w:tr>
    <w:tr w:rsidR="00DC5E8F">
      <w:tc>
        <w:tcPr>
          <w:tcW w:w="2489" w:type="dxa"/>
          <w:shd w:val="clear" w:color="auto" w:fill="auto"/>
          <w:vAlign w:val="center"/>
        </w:tcPr>
        <w:p w:rsidR="00DC5E8F" w:rsidRDefault="00DC5E8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DC5E8F" w:rsidRDefault="00DC5E8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DC5E8F" w:rsidRDefault="00DC5E8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E8F" w:rsidRDefault="00DC5E8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3"/>
      <w:tblW w:w="5670" w:type="dxa"/>
      <w:tblInd w:w="3261" w:type="dxa"/>
      <w:tblLayout w:type="fixed"/>
      <w:tblLook w:val="0400" w:firstRow="0" w:lastRow="0" w:firstColumn="0" w:lastColumn="0" w:noHBand="0" w:noVBand="1"/>
    </w:tblPr>
    <w:tblGrid>
      <w:gridCol w:w="2551"/>
      <w:gridCol w:w="3119"/>
    </w:tblGrid>
    <w:tr w:rsidR="00DC5E8F">
      <w:tc>
        <w:tcPr>
          <w:tcW w:w="2551" w:type="dxa"/>
          <w:shd w:val="clear" w:color="auto" w:fill="auto"/>
          <w:vAlign w:val="center"/>
        </w:tcPr>
        <w:p w:rsidR="00DC5E8F" w:rsidRDefault="00DC5E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DC5E8F" w:rsidRDefault="007274B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12399</w:t>
          </w:r>
          <w:r w:rsidR="00DC5E8F">
            <w:rPr>
              <w:rFonts w:ascii="Palatino Linotype" w:eastAsia="Palatino Linotype" w:hAnsi="Palatino Linotype" w:cs="Palatino Linotype"/>
              <w:b/>
              <w:sz w:val="22"/>
              <w:szCs w:val="22"/>
            </w:rPr>
            <w:t>/INFOEM/IP/RR/2022</w:t>
          </w:r>
        </w:p>
      </w:tc>
    </w:tr>
    <w:tr w:rsidR="00DC5E8F">
      <w:trPr>
        <w:trHeight w:val="130"/>
      </w:trPr>
      <w:tc>
        <w:tcPr>
          <w:tcW w:w="2551" w:type="dxa"/>
          <w:shd w:val="clear" w:color="auto" w:fill="auto"/>
          <w:vAlign w:val="center"/>
        </w:tcPr>
        <w:p w:rsidR="00DC5E8F" w:rsidRDefault="00DC5E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DC5E8F" w:rsidRDefault="00937F6E" w:rsidP="00937F6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w:t>
          </w:r>
        </w:p>
      </w:tc>
    </w:tr>
    <w:tr w:rsidR="00DC5E8F">
      <w:trPr>
        <w:trHeight w:val="228"/>
      </w:trPr>
      <w:tc>
        <w:tcPr>
          <w:tcW w:w="2551" w:type="dxa"/>
          <w:shd w:val="clear" w:color="auto" w:fill="auto"/>
          <w:vAlign w:val="center"/>
        </w:tcPr>
        <w:p w:rsidR="00DC5E8F" w:rsidRDefault="00DC5E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DC5E8F" w:rsidRDefault="007274B6" w:rsidP="00037839">
          <w:pPr>
            <w:tabs>
              <w:tab w:val="left" w:pos="3153"/>
            </w:tabs>
            <w:ind w:left="-45"/>
            <w:jc w:val="both"/>
            <w:rPr>
              <w:rFonts w:ascii="Palatino Linotype" w:eastAsia="Palatino Linotype" w:hAnsi="Palatino Linotype" w:cs="Palatino Linotype"/>
              <w:b/>
              <w:sz w:val="22"/>
              <w:szCs w:val="22"/>
            </w:rPr>
          </w:pPr>
          <w:r w:rsidRPr="007274B6">
            <w:rPr>
              <w:rFonts w:ascii="Palatino Linotype" w:eastAsia="Palatino Linotype" w:hAnsi="Palatino Linotype" w:cs="Palatino Linotype"/>
              <w:b/>
              <w:sz w:val="22"/>
              <w:szCs w:val="22"/>
            </w:rPr>
            <w:t>Ayuntamiento de Ecatepec de Morelos</w:t>
          </w:r>
          <w:r w:rsidR="00DC5E8F">
            <w:rPr>
              <w:rFonts w:ascii="Palatino Linotype" w:eastAsia="Palatino Linotype" w:hAnsi="Palatino Linotype" w:cs="Palatino Linotype"/>
              <w:b/>
              <w:sz w:val="22"/>
              <w:szCs w:val="22"/>
            </w:rPr>
            <w:t>.</w:t>
          </w:r>
        </w:p>
      </w:tc>
    </w:tr>
    <w:tr w:rsidR="00DC5E8F">
      <w:tc>
        <w:tcPr>
          <w:tcW w:w="2551" w:type="dxa"/>
          <w:shd w:val="clear" w:color="auto" w:fill="auto"/>
          <w:vAlign w:val="center"/>
        </w:tcPr>
        <w:p w:rsidR="00DC5E8F" w:rsidRDefault="00DC5E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DC5E8F" w:rsidRDefault="00DC5E8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DC5E8F" w:rsidRDefault="00DC5E8F">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-1089658</wp:posOffset>
          </wp:positionH>
          <wp:positionV relativeFrom="paragraph">
            <wp:posOffset>-1169668</wp:posOffset>
          </wp:positionV>
          <wp:extent cx="7809865" cy="10165715"/>
          <wp:effectExtent l="0" t="0" r="0"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DD7" w:rsidRDefault="006D2DD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6D2DD7" w:rsidRDefault="006D2DD7">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F4B42"/>
    <w:multiLevelType w:val="multilevel"/>
    <w:tmpl w:val="C95C5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C172C0"/>
    <w:multiLevelType w:val="multilevel"/>
    <w:tmpl w:val="E21022F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DCA355E"/>
    <w:multiLevelType w:val="hybridMultilevel"/>
    <w:tmpl w:val="4A842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8F69D9"/>
    <w:multiLevelType w:val="hybridMultilevel"/>
    <w:tmpl w:val="01789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17C17D09"/>
    <w:multiLevelType w:val="hybridMultilevel"/>
    <w:tmpl w:val="3F1C5F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6430CEC"/>
    <w:multiLevelType w:val="hybridMultilevel"/>
    <w:tmpl w:val="A204E5BA"/>
    <w:lvl w:ilvl="0" w:tplc="5B30A7CA">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7">
    <w:nsid w:val="33E05DF5"/>
    <w:multiLevelType w:val="multilevel"/>
    <w:tmpl w:val="B4DA8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
  </w:num>
  <w:num w:numId="3">
    <w:abstractNumId w:val="0"/>
  </w:num>
  <w:num w:numId="4">
    <w:abstractNumId w:val="4"/>
  </w:num>
  <w:num w:numId="5">
    <w:abstractNumId w:val="6"/>
  </w:num>
  <w:num w:numId="6">
    <w:abstractNumId w:val="5"/>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C59"/>
    <w:rsid w:val="00022AD4"/>
    <w:rsid w:val="00030777"/>
    <w:rsid w:val="00037839"/>
    <w:rsid w:val="000378D8"/>
    <w:rsid w:val="00085FB0"/>
    <w:rsid w:val="000B6AC9"/>
    <w:rsid w:val="00100469"/>
    <w:rsid w:val="00182F68"/>
    <w:rsid w:val="00184551"/>
    <w:rsid w:val="001F35F0"/>
    <w:rsid w:val="00203811"/>
    <w:rsid w:val="002137CC"/>
    <w:rsid w:val="0025011E"/>
    <w:rsid w:val="002551DD"/>
    <w:rsid w:val="002C1EDF"/>
    <w:rsid w:val="002E6259"/>
    <w:rsid w:val="00316AF4"/>
    <w:rsid w:val="003874C1"/>
    <w:rsid w:val="003A02CC"/>
    <w:rsid w:val="003C3BCA"/>
    <w:rsid w:val="003F0344"/>
    <w:rsid w:val="00403EA2"/>
    <w:rsid w:val="004A4719"/>
    <w:rsid w:val="004A5AB0"/>
    <w:rsid w:val="004A6181"/>
    <w:rsid w:val="004B6FF2"/>
    <w:rsid w:val="004C6C59"/>
    <w:rsid w:val="004D78AD"/>
    <w:rsid w:val="00525880"/>
    <w:rsid w:val="005340B4"/>
    <w:rsid w:val="00596426"/>
    <w:rsid w:val="005A00B8"/>
    <w:rsid w:val="005C53FA"/>
    <w:rsid w:val="005D3557"/>
    <w:rsid w:val="005F434A"/>
    <w:rsid w:val="006035B0"/>
    <w:rsid w:val="006311B6"/>
    <w:rsid w:val="00634F4A"/>
    <w:rsid w:val="00645FB4"/>
    <w:rsid w:val="00653CB3"/>
    <w:rsid w:val="006D2DD7"/>
    <w:rsid w:val="006D6B53"/>
    <w:rsid w:val="006D7364"/>
    <w:rsid w:val="006E49DB"/>
    <w:rsid w:val="006F34B5"/>
    <w:rsid w:val="007274B6"/>
    <w:rsid w:val="00740EB1"/>
    <w:rsid w:val="00753451"/>
    <w:rsid w:val="0077692D"/>
    <w:rsid w:val="007B2C1C"/>
    <w:rsid w:val="007E7E77"/>
    <w:rsid w:val="00804B40"/>
    <w:rsid w:val="0081539C"/>
    <w:rsid w:val="0084453B"/>
    <w:rsid w:val="00854F4D"/>
    <w:rsid w:val="00880481"/>
    <w:rsid w:val="00886127"/>
    <w:rsid w:val="008B291B"/>
    <w:rsid w:val="008D4551"/>
    <w:rsid w:val="008F49C6"/>
    <w:rsid w:val="00902D02"/>
    <w:rsid w:val="0091104B"/>
    <w:rsid w:val="00931AE2"/>
    <w:rsid w:val="00937F6E"/>
    <w:rsid w:val="00965DF1"/>
    <w:rsid w:val="00990EBD"/>
    <w:rsid w:val="009A5F22"/>
    <w:rsid w:val="00A4239E"/>
    <w:rsid w:val="00A45EA8"/>
    <w:rsid w:val="00A91588"/>
    <w:rsid w:val="00A96008"/>
    <w:rsid w:val="00AC3210"/>
    <w:rsid w:val="00AE2977"/>
    <w:rsid w:val="00B57C84"/>
    <w:rsid w:val="00BF5249"/>
    <w:rsid w:val="00C20086"/>
    <w:rsid w:val="00C33989"/>
    <w:rsid w:val="00C561FB"/>
    <w:rsid w:val="00CB1974"/>
    <w:rsid w:val="00CB2780"/>
    <w:rsid w:val="00CE26CF"/>
    <w:rsid w:val="00CF0FE7"/>
    <w:rsid w:val="00D44235"/>
    <w:rsid w:val="00D64845"/>
    <w:rsid w:val="00DC5E8F"/>
    <w:rsid w:val="00DF30CF"/>
    <w:rsid w:val="00DF4F8F"/>
    <w:rsid w:val="00E20B92"/>
    <w:rsid w:val="00E32D72"/>
    <w:rsid w:val="00E674E4"/>
    <w:rsid w:val="00EB7502"/>
    <w:rsid w:val="00EC1E7B"/>
    <w:rsid w:val="00ED67BA"/>
    <w:rsid w:val="00EF2467"/>
    <w:rsid w:val="00F02A5D"/>
    <w:rsid w:val="00F16F5E"/>
    <w:rsid w:val="00F34ABE"/>
    <w:rsid w:val="00F431A4"/>
    <w:rsid w:val="00F75B73"/>
    <w:rsid w:val="00F96DED"/>
    <w:rsid w:val="00FB44A1"/>
    <w:rsid w:val="00FB47D8"/>
    <w:rsid w:val="00FC6F23"/>
    <w:rsid w:val="00FE36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5B2884-E626-4283-B310-EA3E7C5AA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514779">
      <w:bodyDiv w:val="1"/>
      <w:marLeft w:val="0"/>
      <w:marRight w:val="0"/>
      <w:marTop w:val="0"/>
      <w:marBottom w:val="0"/>
      <w:divBdr>
        <w:top w:val="none" w:sz="0" w:space="0" w:color="auto"/>
        <w:left w:val="none" w:sz="0" w:space="0" w:color="auto"/>
        <w:bottom w:val="none" w:sz="0" w:space="0" w:color="auto"/>
        <w:right w:val="none" w:sz="0" w:space="0" w:color="auto"/>
      </w:divBdr>
      <w:divsChild>
        <w:div w:id="769741877">
          <w:marLeft w:val="720"/>
          <w:marRight w:val="0"/>
          <w:marTop w:val="0"/>
          <w:marBottom w:val="101"/>
          <w:divBdr>
            <w:top w:val="none" w:sz="0" w:space="0" w:color="auto"/>
            <w:left w:val="none" w:sz="0" w:space="0" w:color="auto"/>
            <w:bottom w:val="none" w:sz="0" w:space="0" w:color="auto"/>
            <w:right w:val="none" w:sz="0" w:space="0" w:color="auto"/>
          </w:divBdr>
        </w:div>
        <w:div w:id="65886588">
          <w:marLeft w:val="720"/>
          <w:marRight w:val="0"/>
          <w:marTop w:val="0"/>
          <w:marBottom w:val="101"/>
          <w:divBdr>
            <w:top w:val="none" w:sz="0" w:space="0" w:color="auto"/>
            <w:left w:val="none" w:sz="0" w:space="0" w:color="auto"/>
            <w:bottom w:val="none" w:sz="0" w:space="0" w:color="auto"/>
            <w:right w:val="none" w:sz="0" w:space="0" w:color="auto"/>
          </w:divBdr>
        </w:div>
      </w:divsChild>
    </w:div>
    <w:div w:id="544410021">
      <w:bodyDiv w:val="1"/>
      <w:marLeft w:val="0"/>
      <w:marRight w:val="0"/>
      <w:marTop w:val="0"/>
      <w:marBottom w:val="0"/>
      <w:divBdr>
        <w:top w:val="none" w:sz="0" w:space="0" w:color="auto"/>
        <w:left w:val="none" w:sz="0" w:space="0" w:color="auto"/>
        <w:bottom w:val="none" w:sz="0" w:space="0" w:color="auto"/>
        <w:right w:val="none" w:sz="0" w:space="0" w:color="auto"/>
      </w:divBdr>
    </w:div>
    <w:div w:id="603420326">
      <w:bodyDiv w:val="1"/>
      <w:marLeft w:val="0"/>
      <w:marRight w:val="0"/>
      <w:marTop w:val="0"/>
      <w:marBottom w:val="0"/>
      <w:divBdr>
        <w:top w:val="none" w:sz="0" w:space="0" w:color="auto"/>
        <w:left w:val="none" w:sz="0" w:space="0" w:color="auto"/>
        <w:bottom w:val="none" w:sz="0" w:space="0" w:color="auto"/>
        <w:right w:val="none" w:sz="0" w:space="0" w:color="auto"/>
      </w:divBdr>
      <w:divsChild>
        <w:div w:id="1998653775">
          <w:marLeft w:val="0"/>
          <w:marRight w:val="0"/>
          <w:marTop w:val="0"/>
          <w:marBottom w:val="101"/>
          <w:divBdr>
            <w:top w:val="none" w:sz="0" w:space="0" w:color="auto"/>
            <w:left w:val="none" w:sz="0" w:space="0" w:color="auto"/>
            <w:bottom w:val="none" w:sz="0" w:space="0" w:color="auto"/>
            <w:right w:val="none" w:sz="0" w:space="0" w:color="auto"/>
          </w:divBdr>
        </w:div>
        <w:div w:id="571938765">
          <w:marLeft w:val="0"/>
          <w:marRight w:val="0"/>
          <w:marTop w:val="0"/>
          <w:marBottom w:val="101"/>
          <w:divBdr>
            <w:top w:val="none" w:sz="0" w:space="0" w:color="auto"/>
            <w:left w:val="none" w:sz="0" w:space="0" w:color="auto"/>
            <w:bottom w:val="none" w:sz="0" w:space="0" w:color="auto"/>
            <w:right w:val="none" w:sz="0" w:space="0" w:color="auto"/>
          </w:divBdr>
        </w:div>
      </w:divsChild>
    </w:div>
    <w:div w:id="1593587657">
      <w:bodyDiv w:val="1"/>
      <w:marLeft w:val="0"/>
      <w:marRight w:val="0"/>
      <w:marTop w:val="0"/>
      <w:marBottom w:val="0"/>
      <w:divBdr>
        <w:top w:val="none" w:sz="0" w:space="0" w:color="auto"/>
        <w:left w:val="none" w:sz="0" w:space="0" w:color="auto"/>
        <w:bottom w:val="none" w:sz="0" w:space="0" w:color="auto"/>
        <w:right w:val="none" w:sz="0" w:space="0" w:color="auto"/>
      </w:divBdr>
    </w:div>
    <w:div w:id="1849178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ej7l2zcyK7/D5IlFEj9UIDY8+w==">AMUW2mWM0kkj8eLHo1K2CYCPDVTPSYsIzdW1NKhIpoUN2+oIlDKYA9GBLe/xkOPRNM9GMFypdepCCubWc0EE2YeRllhXdVCeoekwbtVyFvXQcY91gWZoYApLxfQ/L8d3Jyjv83T71CbCMwEOLvj0J5J0a0rR/Ci5nCDQeNpd6mZVEeyOQ90TCmE=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5170</Words>
  <Characters>28438</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33541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2022-12-02T18:44:00Z</cp:lastPrinted>
  <dcterms:created xsi:type="dcterms:W3CDTF">2022-12-07T20:03:00Z</dcterms:created>
  <dcterms:modified xsi:type="dcterms:W3CDTF">2022-12-07T20:03:00Z</dcterms:modified>
</cp:coreProperties>
</file>