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primero de junio de dos mil veintidós. </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03314/INFOEM/IP/RR/2022</w:t>
      </w:r>
      <w:r>
        <w:rPr>
          <w:rFonts w:ascii="Palatino Linotype" w:eastAsia="Palatino Linotype" w:hAnsi="Palatino Linotype" w:cs="Palatino Linotype"/>
        </w:rPr>
        <w:t xml:space="preserve">, interpuesto por </w:t>
      </w:r>
      <w:r w:rsidR="00D01708">
        <w:rPr>
          <w:rFonts w:ascii="Palatino Linotype" w:eastAsia="Palatino Linotype" w:hAnsi="Palatino Linotype" w:cs="Palatino Linotype"/>
          <w:b/>
        </w:rPr>
        <w:t>XXXXX 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Coacalco de Berriozábal,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F15DBD" w:rsidRDefault="00A9391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veintisiete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w:t>
      </w:r>
      <w:r w:rsidR="003904A9">
        <w:rPr>
          <w:rFonts w:ascii="Palatino Linotype" w:eastAsia="Palatino Linotype" w:hAnsi="Palatino Linotype" w:cs="Palatino Linotype"/>
        </w:rPr>
        <w:t xml:space="preserve">través de la Plataforma Nacional de Transparencia vinculada al Sistema de Acceso a la Información Mexiquense, en lo subsecuente el </w:t>
      </w:r>
      <w:r w:rsidR="003904A9">
        <w:rPr>
          <w:rFonts w:ascii="Palatino Linotype" w:eastAsia="Palatino Linotype" w:hAnsi="Palatino Linotype" w:cs="Palatino Linotype"/>
          <w:b/>
        </w:rPr>
        <w:t>SAIMEX</w:t>
      </w:r>
      <w:r w:rsidR="003904A9">
        <w:rPr>
          <w:rFonts w:ascii="Palatino Linotype" w:eastAsia="Palatino Linotype" w:hAnsi="Palatino Linotype" w:cs="Palatino Linotype"/>
        </w:rPr>
        <w:t xml:space="preserve">,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a la que se le asignó el número</w:t>
      </w:r>
      <w:r>
        <w:rPr>
          <w:rFonts w:ascii="Palatino Linotype" w:eastAsia="Palatino Linotype" w:hAnsi="Palatino Linotype" w:cs="Palatino Linotype"/>
          <w:b/>
        </w:rPr>
        <w:t xml:space="preserve"> 00041/COACALCO/IP/2022, </w:t>
      </w:r>
      <w:r>
        <w:rPr>
          <w:rFonts w:ascii="Palatino Linotype" w:eastAsia="Palatino Linotype" w:hAnsi="Palatino Linotype" w:cs="Palatino Linotype"/>
        </w:rPr>
        <w:t xml:space="preserve">mediante la cual requirió la información siguiente: </w:t>
      </w:r>
    </w:p>
    <w:p w:rsidR="00F15DBD" w:rsidRDefault="00A93916">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“CERTIFICACIÓN DE COMPETENCIA LABORAL Y CURRICULM VITAE DE LOS TITULARES DE LA UNIDAD DE TRANSPARENCIA Y LA UNIDAD DE PLANEACIÓN O EQUIVALENTE” (Sic)</w:t>
      </w:r>
    </w:p>
    <w:p w:rsidR="00F15DBD" w:rsidRDefault="00F15DBD">
      <w:pPr>
        <w:spacing w:line="360" w:lineRule="auto"/>
        <w:jc w:val="both"/>
        <w:rPr>
          <w:rFonts w:ascii="Palatino Linotype" w:eastAsia="Palatino Linotype" w:hAnsi="Palatino Linotype" w:cs="Palatino Linotype"/>
          <w:highlight w:val="yellow"/>
        </w:rPr>
      </w:pPr>
    </w:p>
    <w:p w:rsidR="00F15DBD" w:rsidRDefault="00A93916">
      <w:pPr>
        <w:spacing w:line="360" w:lineRule="auto"/>
        <w:jc w:val="both"/>
        <w:rPr>
          <w:rFonts w:ascii="Palatino Linotype" w:eastAsia="Palatino Linotype" w:hAnsi="Palatino Linotype" w:cs="Palatino Linotype"/>
        </w:rPr>
      </w:pPr>
      <w:r w:rsidRPr="003904A9">
        <w:rPr>
          <w:rFonts w:ascii="Palatino Linotype" w:eastAsia="Palatino Linotype" w:hAnsi="Palatino Linotype" w:cs="Palatino Linotype"/>
          <w:b/>
        </w:rPr>
        <w:t>Modalidad de Entrega:</w:t>
      </w:r>
      <w:r w:rsidRPr="003904A9">
        <w:rPr>
          <w:rFonts w:ascii="Palatino Linotype" w:eastAsia="Palatino Linotype" w:hAnsi="Palatino Linotype" w:cs="Palatino Linotype"/>
        </w:rPr>
        <w:t xml:space="preserve"> </w:t>
      </w:r>
    </w:p>
    <w:p w:rsidR="003904A9" w:rsidRDefault="003904A9">
      <w:pPr>
        <w:spacing w:line="360" w:lineRule="auto"/>
        <w:jc w:val="both"/>
        <w:rPr>
          <w:rFonts w:ascii="Palatino Linotype" w:eastAsia="Palatino Linotype" w:hAnsi="Palatino Linotype" w:cs="Palatino Linotype"/>
        </w:rPr>
      </w:pPr>
    </w:p>
    <w:p w:rsidR="003904A9" w:rsidRDefault="003904A9">
      <w:pPr>
        <w:spacing w:line="360" w:lineRule="auto"/>
        <w:jc w:val="both"/>
        <w:rPr>
          <w:noProof/>
          <w:lang w:val="en-US" w:eastAsia="en-US"/>
        </w:rPr>
      </w:pPr>
    </w:p>
    <w:p w:rsidR="003904A9" w:rsidRDefault="003904A9">
      <w:pPr>
        <w:spacing w:line="360" w:lineRule="auto"/>
        <w:jc w:val="both"/>
        <w:rPr>
          <w:rFonts w:ascii="Palatino Linotype" w:eastAsia="Palatino Linotype" w:hAnsi="Palatino Linotype" w:cs="Palatino Linotype"/>
        </w:rPr>
      </w:pPr>
      <w:r>
        <w:rPr>
          <w:noProof/>
          <w:lang w:val="es-MX"/>
        </w:rPr>
        <w:lastRenderedPageBreak/>
        <w:drawing>
          <wp:inline distT="0" distB="0" distL="0" distR="0" wp14:anchorId="62B40732" wp14:editId="0E057F9A">
            <wp:extent cx="5441710" cy="81930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172" t="64682" r="7275" b="23945"/>
                    <a:stretch/>
                  </pic:blipFill>
                  <pic:spPr bwMode="auto">
                    <a:xfrm>
                      <a:off x="0" y="0"/>
                      <a:ext cx="5495340" cy="827376"/>
                    </a:xfrm>
                    <a:prstGeom prst="rect">
                      <a:avLst/>
                    </a:prstGeom>
                    <a:ln>
                      <a:noFill/>
                    </a:ln>
                    <a:extLst>
                      <a:ext uri="{53640926-AAD7-44D8-BBD7-CCE9431645EC}">
                        <a14:shadowObscured xmlns:a14="http://schemas.microsoft.com/office/drawing/2010/main"/>
                      </a:ext>
                    </a:extLst>
                  </pic:spPr>
                </pic:pic>
              </a:graphicData>
            </a:graphic>
          </wp:inline>
        </w:drawing>
      </w:r>
    </w:p>
    <w:p w:rsidR="003904A9" w:rsidRDefault="003904A9">
      <w:pPr>
        <w:spacing w:after="240" w:line="360" w:lineRule="auto"/>
        <w:contextualSpacing/>
        <w:jc w:val="both"/>
        <w:rPr>
          <w:rFonts w:ascii="Palatino Linotype" w:eastAsia="Palatino Linotype" w:hAnsi="Palatino Linotype" w:cs="Palatino Linotype"/>
          <w:b/>
        </w:rPr>
      </w:pPr>
    </w:p>
    <w:p w:rsidR="00F15DBD" w:rsidRDefault="00A93916">
      <w:pPr>
        <w:spacing w:after="240"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dieciocho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F15DBD" w:rsidRDefault="00A93916">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53 Fracción II y 163 de la Ley de Transparencia y Acceso a la Información Pública del Estado de México y Municipios, se da respuesta a la presente solicitud con el oficio que emite la Dirección de Administración y del cual se anexa copia, así como la respuesta integradora por parte de la Unidad de Transparencia cumpliendo en tiempo y forma con lo solicitado...” (Sic)</w:t>
      </w:r>
    </w:p>
    <w:p w:rsidR="00F15DBD" w:rsidRDefault="00A939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archivos:</w:t>
      </w:r>
    </w:p>
    <w:p w:rsidR="00F15DBD" w:rsidRDefault="00A939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w:t>
      </w:r>
      <w:hyperlink r:id="rId9">
        <w:r>
          <w:rPr>
            <w:rFonts w:ascii="Palatino Linotype" w:eastAsia="Palatino Linotype" w:hAnsi="Palatino Linotype" w:cs="Palatino Linotype"/>
          </w:rPr>
          <w:t>RESPUESTA AL SOLICITANTE 00041_2022.pdf</w:t>
        </w:r>
      </w:hyperlink>
      <w:r>
        <w:rPr>
          <w:rFonts w:ascii="Palatino Linotype" w:eastAsia="Palatino Linotype" w:hAnsi="Palatino Linotype" w:cs="Palatino Linotype"/>
        </w:rPr>
        <w:t xml:space="preserve">”, el cual contiene el oficio del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cual informó al solicitante la respuesta otorgada por el Servidor Público Habilitado de la Dirección de Administración.</w:t>
      </w:r>
    </w:p>
    <w:p w:rsidR="00F15DBD" w:rsidRDefault="00A939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CONTESTACION DE ADMON 00041_2022.pdf</w:t>
        </w:r>
      </w:hyperlink>
      <w:r>
        <w:rPr>
          <w:rFonts w:ascii="Palatino Linotype" w:eastAsia="Palatino Linotype" w:hAnsi="Palatino Linotype" w:cs="Palatino Linotype"/>
        </w:rPr>
        <w:t>”, el cual contiene la respuesta de la Dirección Administración del Ayuntamiento de Coacalco de Berriozábal, a través del cual señaló que los servidores públicos de esta administración se encuentran dentro del periodo para obtener la certificación de competencia laboral, de acuerdo al fundamento de la Ley Orgánica Municipal, como se advierte a continuación:</w:t>
      </w:r>
    </w:p>
    <w:p w:rsidR="00F15DBD" w:rsidRDefault="00F15DBD">
      <w:pPr>
        <w:spacing w:before="240" w:after="240" w:line="360" w:lineRule="auto"/>
        <w:ind w:right="49"/>
        <w:jc w:val="both"/>
      </w:pPr>
    </w:p>
    <w:p w:rsidR="00F15DBD" w:rsidRDefault="00A93916">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447786" cy="4607453"/>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42077" t="19031" r="20230" b="2648"/>
                    <a:stretch>
                      <a:fillRect/>
                    </a:stretch>
                  </pic:blipFill>
                  <pic:spPr>
                    <a:xfrm>
                      <a:off x="0" y="0"/>
                      <a:ext cx="5447786" cy="4607453"/>
                    </a:xfrm>
                    <a:prstGeom prst="rect">
                      <a:avLst/>
                    </a:prstGeom>
                    <a:ln/>
                  </pic:spPr>
                </pic:pic>
              </a:graphicData>
            </a:graphic>
          </wp:inline>
        </w:drawing>
      </w:r>
    </w:p>
    <w:p w:rsidR="00F15DBD" w:rsidRDefault="00A939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cuatro de marzo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F15DBD" w:rsidRDefault="00A93916">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F15DBD" w:rsidRDefault="00A93916">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negativa a entregar información tan simple como la ficha curricular de los servidores públicos” (Sic)</w:t>
      </w:r>
    </w:p>
    <w:p w:rsidR="00F15DBD" w:rsidRDefault="00F15DBD">
      <w:pPr>
        <w:ind w:left="851" w:right="902"/>
        <w:jc w:val="both"/>
        <w:rPr>
          <w:rFonts w:ascii="Palatino Linotype" w:eastAsia="Palatino Linotype" w:hAnsi="Palatino Linotype" w:cs="Palatino Linotype"/>
          <w:i/>
          <w:sz w:val="22"/>
          <w:szCs w:val="22"/>
        </w:rPr>
      </w:pP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Y Razones o motivos de inconformidad</w:t>
      </w:r>
      <w:r>
        <w:rPr>
          <w:rFonts w:ascii="Palatino Linotype" w:eastAsia="Palatino Linotype" w:hAnsi="Palatino Linotype" w:cs="Palatino Linotype"/>
        </w:rPr>
        <w:t>:</w:t>
      </w:r>
    </w:p>
    <w:p w:rsidR="00F15DBD" w:rsidRDefault="00F15DBD">
      <w:pPr>
        <w:ind w:right="902"/>
        <w:jc w:val="both"/>
        <w:rPr>
          <w:rFonts w:ascii="Palatino Linotype" w:eastAsia="Palatino Linotype" w:hAnsi="Palatino Linotype" w:cs="Palatino Linotype"/>
          <w:sz w:val="22"/>
          <w:szCs w:val="22"/>
        </w:rPr>
      </w:pPr>
      <w:bookmarkStart w:id="1" w:name="_heading=h.30j0zll" w:colFirst="0" w:colLast="0"/>
      <w:bookmarkEnd w:id="1"/>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razones o motivos de inconformidad.</w:t>
      </w:r>
    </w:p>
    <w:p w:rsidR="00F15DBD" w:rsidRDefault="00F15DBD">
      <w:pPr>
        <w:spacing w:line="360" w:lineRule="auto"/>
        <w:rPr>
          <w:rFonts w:ascii="Palatino Linotype" w:eastAsia="Palatino Linotype" w:hAnsi="Palatino Linotype" w:cs="Palatino Linotype"/>
        </w:rPr>
      </w:pP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al acuse de su recurso de revisión el archivo electrónico denominado “</w:t>
      </w:r>
      <w:hyperlink r:id="rId12">
        <w:r>
          <w:rPr>
            <w:rFonts w:ascii="Palatino Linotype" w:eastAsia="Palatino Linotype" w:hAnsi="Palatino Linotype" w:cs="Palatino Linotype"/>
          </w:rPr>
          <w:t>Archivo1646423697149</w:t>
        </w:r>
      </w:hyperlink>
      <w:r>
        <w:rPr>
          <w:rFonts w:ascii="Palatino Linotype" w:eastAsia="Palatino Linotype" w:hAnsi="Palatino Linotype" w:cs="Palatino Linotype"/>
        </w:rPr>
        <w:t xml:space="preserve">”,  cuyo contenido no pudo ser visualizado. </w:t>
      </w:r>
    </w:p>
    <w:p w:rsidR="00F15DBD" w:rsidRDefault="00F15DBD">
      <w:pPr>
        <w:ind w:left="851" w:right="902"/>
        <w:jc w:val="both"/>
        <w:rPr>
          <w:rFonts w:ascii="Palatino Linotype" w:eastAsia="Palatino Linotype" w:hAnsi="Palatino Linotype" w:cs="Palatino Linotype"/>
          <w:i/>
          <w:sz w:val="22"/>
          <w:szCs w:val="22"/>
        </w:rPr>
      </w:pPr>
    </w:p>
    <w:p w:rsidR="00F15DBD" w:rsidRDefault="00A9391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F15DBD" w:rsidRDefault="00F15DBD">
      <w:pPr>
        <w:spacing w:line="360" w:lineRule="auto"/>
        <w:ind w:right="51"/>
        <w:jc w:val="both"/>
        <w:rPr>
          <w:rFonts w:ascii="Palatino Linotype" w:eastAsia="Palatino Linotype" w:hAnsi="Palatino Linotype" w:cs="Palatino Linotype"/>
        </w:rPr>
      </w:pP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nueve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F15DBD" w:rsidRDefault="00A93916">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diecisiete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 informe justificado, mediante los siguientes archivos electrónicos:</w:t>
      </w:r>
    </w:p>
    <w:p w:rsidR="00F15DBD" w:rsidRDefault="00A939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RESPUESTA AL SOLICITANTE RR03314_2022.pdf</w:t>
        </w:r>
      </w:hyperlink>
      <w:r>
        <w:rPr>
          <w:rFonts w:ascii="Palatino Linotype" w:eastAsia="Palatino Linotype" w:hAnsi="Palatino Linotype" w:cs="Palatino Linotype"/>
        </w:rPr>
        <w:t xml:space="preserve">”, el cual contiene el oficio del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cual informó al solicitante la respuesta otorgada por el Servidor Público Habilitado de la Dirección de Administración.</w:t>
      </w:r>
    </w:p>
    <w:p w:rsidR="00F15DBD" w:rsidRDefault="00A939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CONTESTACION ADMONRR_03314_2022.pdf</w:t>
        </w:r>
      </w:hyperlink>
      <w:r>
        <w:rPr>
          <w:rFonts w:ascii="Palatino Linotype" w:eastAsia="Palatino Linotype" w:hAnsi="Palatino Linotype" w:cs="Palatino Linotype"/>
        </w:rPr>
        <w:t>”, el cual contiene la respuesta de la Dirección Administración del Ayuntamiento de Coacalco de Berriozábal, a través del cual remitió la ficha curricular del Titular de la Unidad de Transparencia y del Director de Planeación.</w:t>
      </w: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5">
        <w:r>
          <w:rPr>
            <w:rFonts w:ascii="Palatino Linotype" w:eastAsia="Palatino Linotype" w:hAnsi="Palatino Linotype" w:cs="Palatino Linotype"/>
          </w:rPr>
          <w:t>RR_03164_2022.pdf</w:t>
        </w:r>
      </w:hyperlink>
      <w:r>
        <w:rPr>
          <w:rFonts w:ascii="Palatino Linotype" w:eastAsia="Palatino Linotype" w:hAnsi="Palatino Linotype" w:cs="Palatino Linotype"/>
        </w:rPr>
        <w:t xml:space="preserve">”, el cual contiene el informe justificado del SUJETO OBLIGADO, a través del cual en lo medular extendió su respuesta al mandar las fichas curriculares del Titular de la Unidad de Transparencia y Dirección de Planeación. </w:t>
      </w: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F15DBD" w:rsidRDefault="00A93916">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veinticuatro de mayo de dos mil veintidós</w:t>
      </w:r>
      <w:r>
        <w:rPr>
          <w:rFonts w:ascii="Palatino Linotype" w:eastAsia="Palatino Linotype" w:hAnsi="Palatino Linotype" w:cs="Palatino Linotype"/>
        </w:rPr>
        <w:t xml:space="preserve">, se notificó a las partes el Acuerdo de Ampliación de Plazo para </w:t>
      </w:r>
      <w:r>
        <w:rPr>
          <w:rFonts w:ascii="Palatino Linotype" w:eastAsia="Palatino Linotype" w:hAnsi="Palatino Linotype" w:cs="Palatino Linotype"/>
        </w:rPr>
        <w:lastRenderedPageBreak/>
        <w:t>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Pr="003904A9">
        <w:rPr>
          <w:rFonts w:ascii="Palatino Linotype" w:eastAsia="Palatino Linotype" w:hAnsi="Palatino Linotype" w:cs="Palatino Linotype"/>
        </w:rPr>
        <w:t xml:space="preserve">fecha </w:t>
      </w:r>
      <w:r w:rsidRPr="003904A9">
        <w:rPr>
          <w:rFonts w:ascii="Palatino Linotype" w:eastAsia="Palatino Linotype" w:hAnsi="Palatino Linotype" w:cs="Palatino Linotype"/>
          <w:b/>
        </w:rPr>
        <w:t>veintiséis de mayo de dos mil veintidós</w:t>
      </w:r>
      <w:r w:rsidRPr="003904A9">
        <w:rPr>
          <w:rFonts w:ascii="Palatino Linotype" w:eastAsia="Palatino Linotype" w:hAnsi="Palatino Linotype" w:cs="Palatino Linotype"/>
        </w:rPr>
        <w:t>, la</w:t>
      </w:r>
      <w:r>
        <w:rPr>
          <w:rFonts w:ascii="Palatino Linotype" w:eastAsia="Palatino Linotype" w:hAnsi="Palatino Linotype" w:cs="Palatino Linotype"/>
        </w:rPr>
        <w:t xml:space="preserve"> Comisionada Ponente determinó el cierre de instrucción en términos de la fracción VI del artículo 185 de la Ley de Transparencia y Acceso a la Información Pública del Estado de México y Municipios.</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15DBD" w:rsidRDefault="00A93916">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F15DBD" w:rsidRDefault="00F15DBD">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15DBD" w:rsidRDefault="00A93916">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F15DBD" w:rsidRDefault="00A93916">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dieciocho de febrero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 xml:space="preserve">cuatro de </w:t>
      </w:r>
      <w:r>
        <w:rPr>
          <w:rFonts w:ascii="Palatino Linotype" w:eastAsia="Palatino Linotype" w:hAnsi="Palatino Linotype" w:cs="Palatino Linotype"/>
          <w:b/>
        </w:rPr>
        <w:lastRenderedPageBreak/>
        <w:t>marzo de dos mil veintidós</w:t>
      </w:r>
      <w:r>
        <w:rPr>
          <w:rFonts w:ascii="Palatino Linotype" w:eastAsia="Palatino Linotype" w:hAnsi="Palatino Linotype" w:cs="Palatino Linotype"/>
        </w:rPr>
        <w:t>; esto es, al noveno día hábil en que tuvo conocimiento de la respuesta impugnada.</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completo</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w:t>
      </w:r>
      <w:bookmarkStart w:id="4" w:name="_GoBack"/>
      <w:bookmarkEnd w:id="4"/>
      <w:r>
        <w:rPr>
          <w:rFonts w:ascii="Palatino Linotype" w:eastAsia="Palatino Linotype" w:hAnsi="Palatino Linotype" w:cs="Palatino Linotype"/>
        </w:rPr>
        <w:t>formación Pública del Estado de México y Municipios que establece lo siguiente:</w:t>
      </w:r>
    </w:p>
    <w:p w:rsidR="00F15DBD" w:rsidRDefault="00A93916">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Las solicitudes </w:t>
      </w:r>
      <w:r>
        <w:rPr>
          <w:rFonts w:ascii="Palatino Linotype" w:eastAsia="Palatino Linotype" w:hAnsi="Palatino Linotype" w:cs="Palatino Linotype"/>
          <w:i/>
        </w:rPr>
        <w:t xml:space="preserve">anónimas, con </w:t>
      </w:r>
      <w:r>
        <w:rPr>
          <w:rFonts w:ascii="Palatino Linotype" w:eastAsia="Palatino Linotype" w:hAnsi="Palatino Linotype" w:cs="Palatino Linotype"/>
          <w:b/>
          <w:i/>
        </w:rPr>
        <w:t>nombre incompleto o 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solicitante."(Sic)</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15DBD" w:rsidRDefault="00A93916">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I de la Ley de Transparencia y Acceso a la Información Pública del Estado de México y Municipios; que a la letra dice:</w:t>
      </w:r>
    </w:p>
    <w:p w:rsidR="00F15DBD" w:rsidRDefault="00A9391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F15DBD" w:rsidRDefault="00A9391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F15DBD" w:rsidRDefault="00A9391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negativa de la información solicitada…” (Sic)</w:t>
      </w:r>
    </w:p>
    <w:p w:rsidR="00F15DBD" w:rsidRDefault="00A939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Análisis de las causales de improcedencia y sobreseimiento.  </w:t>
      </w:r>
      <w:r>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Del análisis de la solicitud de información pública que motivó el recurso de revisión que ahora se resuelve, se advierte que el particular requirió al Ayuntamiento de Coacalco de Berriozábal; de su Titular de la Unidad de Transparencia y la Unidad de Planeación o Equivalente, copia de lo siguiente:</w:t>
      </w:r>
    </w:p>
    <w:p w:rsidR="00F15DBD" w:rsidRDefault="00A93916">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Certificados de Competencia Laboral; y </w:t>
      </w:r>
    </w:p>
    <w:p w:rsidR="00F15DBD" w:rsidRDefault="00A93916">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Curriculum vitae.</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emitió su respuesta a través de la Dirección Administración del Ayuntamiento de Coacalco de Berriozábal, a través del cual señaló que los servidores públicos de esta administración se encuentran dentro del periodo para obtener la certificación de competencia laboral, de acuerdo al fundamento de la Ley Orgánica Municipal.</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dicha respuesta el solicitante se inconformó, por la “La negativa a entregar información tan simple como la ficha curricular de los servidores públicos” (Sic)</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 la interposición del Recurso de Revisión el SUJETO OBLIGADO rindió su informe justificado, en donde en lo medular remitió la ficha curricular del Titular de la Unidad de Transparencia y del Director de Planeación.</w:t>
      </w: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advierte en primer término que del análisis a los motivos de inconformidad concatenado con el acto impugnado se advierte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parte de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respecto a:</w:t>
      </w:r>
    </w:p>
    <w:p w:rsidR="00F15DBD" w:rsidRDefault="00A9391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 la certificación de la competencia laboral del Titular de la Unidad de Transparencia y Unidad de Planeación. </w:t>
      </w:r>
    </w:p>
    <w:p w:rsidR="00F15DBD" w:rsidRDefault="00A9391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Toda vez que lo único que impugna fue “La negativa a entregar información tan simple </w:t>
      </w:r>
      <w:r>
        <w:rPr>
          <w:rFonts w:ascii="Palatino Linotype" w:eastAsia="Palatino Linotype" w:hAnsi="Palatino Linotype" w:cs="Palatino Linotype"/>
          <w:b/>
        </w:rPr>
        <w:t>como la ficha curricular de los servidores públicos”</w:t>
      </w:r>
    </w:p>
    <w:p w:rsidR="00F15DBD" w:rsidRDefault="00F15DBD">
      <w:pPr>
        <w:spacing w:line="360" w:lineRule="auto"/>
        <w:jc w:val="both"/>
        <w:rPr>
          <w:rFonts w:ascii="Palatino Linotype" w:eastAsia="Palatino Linotype" w:hAnsi="Palatino Linotype" w:cs="Palatino Linotype"/>
        </w:rPr>
      </w:pP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15DBD" w:rsidRDefault="00F15DBD">
      <w:pPr>
        <w:spacing w:line="360" w:lineRule="auto"/>
        <w:jc w:val="both"/>
        <w:rPr>
          <w:rFonts w:ascii="Palatino Linotype" w:eastAsia="Palatino Linotype" w:hAnsi="Palatino Linotype" w:cs="Palatino Linotype"/>
        </w:rPr>
      </w:pPr>
    </w:p>
    <w:p w:rsidR="00F15DBD" w:rsidRDefault="00A93916">
      <w:pPr>
        <w:spacing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la parte de la solicitud sobre la que no se expresó inconformidad,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rsidR="00F15DBD" w:rsidRDefault="00A93916">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ante el motivo de inconformidad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 mediante su Dirección de Administración</w:t>
      </w:r>
      <w:r>
        <w:rPr>
          <w:rFonts w:ascii="Palatino Linotype" w:eastAsia="Palatino Linotype" w:hAnsi="Palatino Linotype" w:cs="Palatino Linotype"/>
        </w:rPr>
        <w:t>, a través de su informe justificado remitió las fichas curriculares siguientes:</w:t>
      </w:r>
    </w:p>
    <w:p w:rsidR="00F15DBD" w:rsidRDefault="00A93916">
      <w:pPr>
        <w:spacing w:before="240" w:after="240" w:line="360" w:lineRule="auto"/>
        <w:jc w:val="both"/>
        <w:rPr>
          <w:rFonts w:ascii="Palatino Linotype" w:eastAsia="Palatino Linotype" w:hAnsi="Palatino Linotype" w:cs="Palatino Linotype"/>
          <w:color w:val="FF0000"/>
        </w:rPr>
      </w:pPr>
      <w:r>
        <w:rPr>
          <w:noProof/>
          <w:lang w:val="es-MX"/>
        </w:rPr>
        <w:drawing>
          <wp:inline distT="0" distB="0" distL="0" distR="0">
            <wp:extent cx="5562502" cy="3682111"/>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42320" t="17302" r="22662"/>
                    <a:stretch>
                      <a:fillRect/>
                    </a:stretch>
                  </pic:blipFill>
                  <pic:spPr>
                    <a:xfrm>
                      <a:off x="0" y="0"/>
                      <a:ext cx="5562502" cy="3682111"/>
                    </a:xfrm>
                    <a:prstGeom prst="rect">
                      <a:avLst/>
                    </a:prstGeom>
                    <a:ln/>
                  </pic:spPr>
                </pic:pic>
              </a:graphicData>
            </a:graphic>
          </wp:inline>
        </w:drawing>
      </w:r>
    </w:p>
    <w:p w:rsidR="00F15DBD" w:rsidRDefault="00A93916">
      <w:pPr>
        <w:spacing w:before="240" w:after="240" w:line="360" w:lineRule="auto"/>
        <w:jc w:val="both"/>
        <w:rPr>
          <w:rFonts w:ascii="Palatino Linotype" w:eastAsia="Palatino Linotype" w:hAnsi="Palatino Linotype" w:cs="Palatino Linotype"/>
          <w:color w:val="000000"/>
        </w:rPr>
      </w:pPr>
      <w:r>
        <w:rPr>
          <w:noProof/>
          <w:lang w:val="es-MX"/>
        </w:rPr>
        <w:lastRenderedPageBreak/>
        <w:drawing>
          <wp:inline distT="0" distB="0" distL="0" distR="0">
            <wp:extent cx="5506721" cy="4178563"/>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41711" t="16437" r="22540" b="11092"/>
                    <a:stretch>
                      <a:fillRect/>
                    </a:stretch>
                  </pic:blipFill>
                  <pic:spPr>
                    <a:xfrm>
                      <a:off x="0" y="0"/>
                      <a:ext cx="5506721" cy="4178563"/>
                    </a:xfrm>
                    <a:prstGeom prst="rect">
                      <a:avLst/>
                    </a:prstGeom>
                    <a:ln/>
                  </pic:spPr>
                </pic:pic>
              </a:graphicData>
            </a:graphic>
          </wp:inline>
        </w:drawing>
      </w:r>
    </w:p>
    <w:p w:rsidR="00F15DBD" w:rsidRDefault="00A9391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Servidores públicos, que de acuerdo al Directorio del Ayuntamiento de Coacalco de Berriozábal que tiene publicado en su página oficial de la información pública de oficio mexiquense (IPOMEX), coinciden con la actual administración 2022-2024 conforme a las siguientes imágenes que se insertar a continuación de manera ilustrativa:</w:t>
      </w:r>
    </w:p>
    <w:p w:rsidR="00F15DBD" w:rsidRDefault="00A93916">
      <w:pPr>
        <w:spacing w:before="240" w:after="240" w:line="360" w:lineRule="auto"/>
        <w:jc w:val="both"/>
        <w:rPr>
          <w:rFonts w:ascii="Palatino Linotype" w:eastAsia="Palatino Linotype" w:hAnsi="Palatino Linotype" w:cs="Palatino Linotype"/>
          <w:color w:val="000000"/>
        </w:rPr>
      </w:pP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88901</wp:posOffset>
                </wp:positionH>
                <wp:positionV relativeFrom="paragraph">
                  <wp:posOffset>-12699</wp:posOffset>
                </wp:positionV>
                <wp:extent cx="5661926" cy="1574421"/>
                <wp:effectExtent l="0" t="0" r="0" b="0"/>
                <wp:wrapNone/>
                <wp:docPr id="31" name="Conector recto de flecha 31"/>
                <wp:cNvGraphicFramePr/>
                <a:graphic xmlns:a="http://schemas.openxmlformats.org/drawingml/2006/main">
                  <a:graphicData uri="http://schemas.microsoft.com/office/word/2010/wordprocessingShape">
                    <wps:wsp>
                      <wps:cNvCnPr/>
                      <wps:spPr>
                        <a:xfrm>
                          <a:off x="2527737" y="3005490"/>
                          <a:ext cx="5636526" cy="1549021"/>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88901</wp:posOffset>
                </wp:positionH>
                <wp:positionV relativeFrom="paragraph">
                  <wp:posOffset>-12699</wp:posOffset>
                </wp:positionV>
                <wp:extent cx="5661926" cy="1574421"/>
                <wp:effectExtent b="0" l="0" r="0" t="0"/>
                <wp:wrapNone/>
                <wp:docPr id="31"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5661926" cy="1574421"/>
                        </a:xfrm>
                        <a:prstGeom prst="rect"/>
                        <a:ln/>
                      </pic:spPr>
                    </pic:pic>
                  </a:graphicData>
                </a:graphic>
              </wp:anchor>
            </w:drawing>
          </mc:Fallback>
        </mc:AlternateContent>
      </w:r>
    </w:p>
    <w:p w:rsidR="00F15DBD" w:rsidRDefault="00A9391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F15DBD" w:rsidRDefault="00F15DBD">
      <w:pPr>
        <w:spacing w:before="240" w:after="240" w:line="360" w:lineRule="auto"/>
        <w:jc w:val="both"/>
        <w:rPr>
          <w:rFonts w:ascii="Palatino Linotype" w:eastAsia="Palatino Linotype" w:hAnsi="Palatino Linotype" w:cs="Palatino Linotype"/>
          <w:color w:val="000000"/>
        </w:rPr>
      </w:pPr>
    </w:p>
    <w:p w:rsidR="00F15DBD" w:rsidRDefault="00A93916">
      <w:pPr>
        <w:spacing w:before="240" w:after="240" w:line="360" w:lineRule="auto"/>
        <w:jc w:val="both"/>
        <w:rPr>
          <w:rFonts w:ascii="Palatino Linotype" w:eastAsia="Palatino Linotype" w:hAnsi="Palatino Linotype" w:cs="Palatino Linotype"/>
          <w:b/>
        </w:rPr>
      </w:pPr>
      <w:r>
        <w:rPr>
          <w:noProof/>
          <w:lang w:val="es-MX"/>
        </w:rPr>
        <w:lastRenderedPageBreak/>
        <w:drawing>
          <wp:inline distT="0" distB="0" distL="0" distR="0">
            <wp:extent cx="5546177" cy="3252827"/>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1526" t="20329" r="38217" b="21682"/>
                    <a:stretch>
                      <a:fillRect/>
                    </a:stretch>
                  </pic:blipFill>
                  <pic:spPr>
                    <a:xfrm>
                      <a:off x="0" y="0"/>
                      <a:ext cx="5546177" cy="3252827"/>
                    </a:xfrm>
                    <a:prstGeom prst="rect">
                      <a:avLst/>
                    </a:prstGeom>
                    <a:ln/>
                  </pic:spPr>
                </pic:pic>
              </a:graphicData>
            </a:graphic>
          </wp:inline>
        </w:drawing>
      </w:r>
    </w:p>
    <w:p w:rsidR="00F15DBD" w:rsidRDefault="00A93916">
      <w:pPr>
        <w:spacing w:before="240" w:after="240" w:line="360" w:lineRule="auto"/>
        <w:jc w:val="both"/>
        <w:rPr>
          <w:rFonts w:ascii="Palatino Linotype" w:eastAsia="Palatino Linotype" w:hAnsi="Palatino Linotype" w:cs="Palatino Linotype"/>
          <w:b/>
        </w:rPr>
      </w:pPr>
      <w:r>
        <w:rPr>
          <w:noProof/>
          <w:lang w:val="es-MX"/>
        </w:rPr>
        <w:drawing>
          <wp:inline distT="0" distB="0" distL="0" distR="0">
            <wp:extent cx="5513583" cy="3837836"/>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21770" t="19896" r="38104" b="19526"/>
                    <a:stretch>
                      <a:fillRect/>
                    </a:stretch>
                  </pic:blipFill>
                  <pic:spPr>
                    <a:xfrm>
                      <a:off x="0" y="0"/>
                      <a:ext cx="5513583" cy="3837836"/>
                    </a:xfrm>
                    <a:prstGeom prst="rect">
                      <a:avLst/>
                    </a:prstGeom>
                    <a:ln/>
                  </pic:spPr>
                </pic:pic>
              </a:graphicData>
            </a:graphic>
          </wp:inline>
        </w:drawing>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Máxime,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proporcionó la información fue al Dirección de Administración que de acuerdo al artículo 54 del Bando Municipal del Municipio de Coacalco de Berriozábal para el año 2022, es el competente para conocer de la información solicitada, que señala:</w:t>
      </w:r>
    </w:p>
    <w:p w:rsidR="00F15DBD" w:rsidRDefault="00A93916">
      <w:pPr>
        <w:spacing w:before="240" w:after="240" w:line="360" w:lineRule="auto"/>
        <w:jc w:val="both"/>
        <w:rPr>
          <w:rFonts w:ascii="Palatino Linotype" w:eastAsia="Palatino Linotype" w:hAnsi="Palatino Linotype" w:cs="Palatino Linotype"/>
        </w:rPr>
      </w:pPr>
      <w:r>
        <w:rPr>
          <w:noProof/>
          <w:lang w:val="es-MX"/>
        </w:rPr>
        <w:drawing>
          <wp:inline distT="0" distB="0" distL="0" distR="0">
            <wp:extent cx="5562817" cy="1642295"/>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34421" t="29629" r="14137" b="39646"/>
                    <a:stretch>
                      <a:fillRect/>
                    </a:stretch>
                  </pic:blipFill>
                  <pic:spPr>
                    <a:xfrm>
                      <a:off x="0" y="0"/>
                      <a:ext cx="5562817" cy="1642295"/>
                    </a:xfrm>
                    <a:prstGeom prst="rect">
                      <a:avLst/>
                    </a:prstGeom>
                    <a:ln/>
                  </pic:spPr>
                </pic:pic>
              </a:graphicData>
            </a:graphic>
          </wp:inline>
        </w:drawing>
      </w: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se actualiza la causal de sobreseimiento prevista en la fracción III del artículo 192 de la Ley de Transparencia y Acceso a la Información Pública del Estado de México y Municipios, que dispone lo siguiente:</w:t>
      </w:r>
    </w:p>
    <w:p w:rsidR="00F15DBD" w:rsidRDefault="00F15DBD">
      <w:pPr>
        <w:spacing w:line="360" w:lineRule="auto"/>
        <w:jc w:val="both"/>
        <w:rPr>
          <w:rFonts w:ascii="Palatino Linotype" w:eastAsia="Palatino Linotype" w:hAnsi="Palatino Linotype" w:cs="Palatino Linotype"/>
          <w:color w:val="FF0000"/>
        </w:rPr>
      </w:pPr>
    </w:p>
    <w:p w:rsidR="00F15DBD" w:rsidRDefault="00A9391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F15DBD" w:rsidRDefault="00A93916">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F15DBD" w:rsidRDefault="00A93916">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F15DBD" w:rsidRDefault="00F15DBD">
      <w:pPr>
        <w:spacing w:line="360" w:lineRule="auto"/>
        <w:jc w:val="both"/>
        <w:rPr>
          <w:rFonts w:ascii="Palatino Linotype" w:eastAsia="Palatino Linotype" w:hAnsi="Palatino Linotype" w:cs="Palatino Linotype"/>
          <w:b/>
          <w:i/>
        </w:rPr>
      </w:pP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Quedando en ambos casos el acto combatido sin materia o sin efectos.</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F15DBD" w:rsidRDefault="00A93916">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en el presente caso queda sin materia toda vez que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las fichas curriculares del Titular de la Unidad de Transparencia y del Director de Planeación.</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es evidente que con ello queda sin materia el presente recurso de revisión, ya que la inconformidad sobre la negativa de la información sobre las fichas curriculares de los servidores públicos, se subsanó con la información entr</w:t>
      </w:r>
      <w:r w:rsidR="003479F8">
        <w:rPr>
          <w:rFonts w:ascii="Palatino Linotype" w:eastAsia="Palatino Linotype" w:hAnsi="Palatino Linotype" w:cs="Palatino Linotype"/>
        </w:rPr>
        <w:t xml:space="preserve">egada en </w:t>
      </w:r>
      <w:r>
        <w:rPr>
          <w:rFonts w:ascii="Palatino Linotype" w:eastAsia="Palatino Linotype" w:hAnsi="Palatino Linotype" w:cs="Palatino Linotype"/>
        </w:rPr>
        <w:t xml:space="preserve">informe justificado dentro del apartado de manifestaciones del SAIMEX, que fue puesta a la vista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ya no cobraría sentido; y si respecto de la </w:t>
      </w:r>
      <w:r>
        <w:rPr>
          <w:rFonts w:ascii="Palatino Linotype" w:eastAsia="Palatino Linotype" w:hAnsi="Palatino Linotype" w:cs="Palatino Linotype"/>
        </w:rPr>
        <w:lastRenderedPageBreak/>
        <w:t>misma no formuló alegato alguno dentro del plazo concedido para tal efecto se entiende que se encuentra satisfecho.</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F15DBD" w:rsidRDefault="00A939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F15DBD" w:rsidRDefault="00A93916">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F15DBD" w:rsidRDefault="00A93916">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F15DBD" w:rsidRDefault="00A93916">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F15DBD" w:rsidRDefault="00F15DBD">
      <w:pPr>
        <w:ind w:left="567" w:right="567"/>
        <w:jc w:val="both"/>
        <w:rPr>
          <w:rFonts w:ascii="Palatino Linotype" w:eastAsia="Palatino Linotype" w:hAnsi="Palatino Linotype" w:cs="Palatino Linotype"/>
          <w:i/>
          <w:sz w:val="22"/>
          <w:szCs w:val="22"/>
        </w:rPr>
      </w:pP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rsidR="00F15DBD" w:rsidRDefault="00A93916">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F15DBD" w:rsidRDefault="00A93916">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F15DBD" w:rsidRDefault="00F15DBD">
      <w:pPr>
        <w:ind w:left="567" w:right="567"/>
        <w:jc w:val="both"/>
        <w:rPr>
          <w:rFonts w:ascii="Palatino Linotype" w:eastAsia="Palatino Linotype" w:hAnsi="Palatino Linotype" w:cs="Palatino Linotype"/>
          <w:i/>
          <w:sz w:val="22"/>
          <w:szCs w:val="22"/>
        </w:rPr>
      </w:pP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15DBD" w:rsidRDefault="00A93916">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III.R E S U E L V E:</w:t>
      </w:r>
    </w:p>
    <w:p w:rsidR="00F15DBD" w:rsidRDefault="00A939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Pr>
          <w:rFonts w:ascii="Palatino Linotype" w:eastAsia="Palatino Linotype" w:hAnsi="Palatino Linotype" w:cs="Palatino Linotype"/>
          <w:b/>
          <w:highlight w:val="white"/>
        </w:rPr>
        <w:t>03314/INFOEM/IP/RR/2022</w:t>
      </w:r>
      <w:r>
        <w:rPr>
          <w:rFonts w:ascii="Palatino Linotype" w:eastAsia="Palatino Linotype" w:hAnsi="Palatino Linotype" w:cs="Palatino Linotype"/>
          <w:b/>
        </w:rPr>
        <w:t>,</w:t>
      </w:r>
      <w:r>
        <w:rPr>
          <w:rFonts w:ascii="Palatino Linotype" w:eastAsia="Palatino Linotype" w:hAnsi="Palatino Linotype" w:cs="Palatino Linotype"/>
        </w:rPr>
        <w:t xml:space="preserve"> porque al modificar la respuesta el recurso de revisión quedó sin materia de </w:t>
      </w:r>
      <w:r>
        <w:rPr>
          <w:rFonts w:ascii="Palatino Linotype" w:eastAsia="Palatino Linotype" w:hAnsi="Palatino Linotype" w:cs="Palatino Linotype"/>
        </w:rPr>
        <w:lastRenderedPageBreak/>
        <w:t>conformidad con lo dispuesto en la fracción III del artículo 192, en términos del Considerando Tercero de la presente resolución.</w:t>
      </w:r>
    </w:p>
    <w:p w:rsidR="00F15DBD" w:rsidRDefault="00F15DBD">
      <w:pPr>
        <w:spacing w:line="360" w:lineRule="auto"/>
        <w:jc w:val="both"/>
        <w:rPr>
          <w:rFonts w:ascii="Palatino Linotype" w:eastAsia="Palatino Linotype" w:hAnsi="Palatino Linotype" w:cs="Palatino Linotype"/>
          <w:b/>
          <w:sz w:val="20"/>
          <w:szCs w:val="20"/>
        </w:rPr>
      </w:pPr>
    </w:p>
    <w:p w:rsidR="00F15DBD" w:rsidRDefault="00A93916">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Segundo. Notifíquese vía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highlight w:val="white"/>
        </w:rPr>
        <w:t>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w:t>
      </w:r>
    </w:p>
    <w:p w:rsidR="00F15DBD" w:rsidRDefault="00F15DBD">
      <w:pPr>
        <w:spacing w:line="360" w:lineRule="auto"/>
        <w:jc w:val="both"/>
        <w:rPr>
          <w:rFonts w:ascii="Palatino Linotype" w:eastAsia="Palatino Linotype" w:hAnsi="Palatino Linotype" w:cs="Palatino Linotype"/>
          <w:highlight w:val="white"/>
        </w:rPr>
      </w:pPr>
    </w:p>
    <w:p w:rsidR="00F15DBD" w:rsidRDefault="00A9391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del Sistema de Acceso a la Información Mexiquense</w:t>
      </w:r>
      <w:r>
        <w:rPr>
          <w:rFonts w:ascii="Palatino Linotype" w:eastAsia="Palatino Linotype" w:hAnsi="Palatino Linotype" w:cs="Palatino Linotype"/>
          <w:color w:val="980000"/>
          <w:highlight w:val="green"/>
        </w:rPr>
        <w:t xml:space="preserv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sidR="001E6F49">
        <w:rPr>
          <w:rFonts w:ascii="Palatino Linotype" w:eastAsia="Palatino Linotype" w:hAnsi="Palatino Linotype" w:cs="Palatino Linotype"/>
          <w:b/>
        </w:rPr>
        <w:t>,</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A86230" w:rsidRDefault="00A93916">
      <w:pPr>
        <w:spacing w:before="240" w:after="240" w:line="360" w:lineRule="auto"/>
        <w:jc w:val="both"/>
        <w:rPr>
          <w:rFonts w:ascii="Palatino Linotype" w:eastAsia="Palatino Linotype" w:hAnsi="Palatino Linotype" w:cs="Palatino Linotype"/>
        </w:rPr>
        <w:sectPr w:rsidR="00A86230">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bookmarkStart w:id="5" w:name="_heading=h.17dp8vu" w:colFirst="0" w:colLast="0"/>
      <w:bookmarkEnd w:id="5"/>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 DE JUNIO DE DOS MIL VEINTIDÓS, ANTE EL SECRETARIO TÉCNICO DEL PLENO ALEXIS TAPIA RAMÍREZ.</w:t>
      </w:r>
    </w:p>
    <w:p w:rsidR="00F15DBD" w:rsidRDefault="00F15DBD">
      <w:pPr>
        <w:spacing w:before="240" w:after="240" w:line="360" w:lineRule="auto"/>
        <w:jc w:val="both"/>
        <w:rPr>
          <w:rFonts w:ascii="Palatino Linotype" w:eastAsia="Palatino Linotype" w:hAnsi="Palatino Linotype" w:cs="Palatino Linotype"/>
        </w:rPr>
      </w:pPr>
    </w:p>
    <w:p w:rsidR="00A86230" w:rsidRDefault="00A86230">
      <w:pPr>
        <w:spacing w:before="240" w:after="240" w:line="360" w:lineRule="auto"/>
        <w:jc w:val="both"/>
        <w:rPr>
          <w:rFonts w:ascii="Palatino Linotype" w:eastAsia="Palatino Linotype" w:hAnsi="Palatino Linotype" w:cs="Palatino Linotype"/>
        </w:rPr>
      </w:pPr>
    </w:p>
    <w:p w:rsidR="00A86230" w:rsidRDefault="00A86230">
      <w:pPr>
        <w:spacing w:before="240" w:after="240" w:line="360" w:lineRule="auto"/>
        <w:jc w:val="both"/>
        <w:rPr>
          <w:rFonts w:ascii="Palatino Linotype" w:eastAsia="Palatino Linotype" w:hAnsi="Palatino Linotype" w:cs="Palatino Linotype"/>
        </w:rPr>
      </w:pPr>
    </w:p>
    <w:p w:rsidR="00A86230" w:rsidRDefault="00A86230">
      <w:pPr>
        <w:spacing w:before="240" w:after="240" w:line="360" w:lineRule="auto"/>
        <w:jc w:val="both"/>
        <w:rPr>
          <w:rFonts w:ascii="Palatino Linotype" w:eastAsia="Palatino Linotype" w:hAnsi="Palatino Linotype" w:cs="Palatino Linotype"/>
        </w:rPr>
      </w:pPr>
    </w:p>
    <w:sectPr w:rsidR="00A86230">
      <w:head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F88" w:rsidRDefault="003B1F88">
      <w:r>
        <w:separator/>
      </w:r>
    </w:p>
  </w:endnote>
  <w:endnote w:type="continuationSeparator" w:id="0">
    <w:p w:rsidR="003B1F88" w:rsidRDefault="003B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BD" w:rsidRDefault="00A939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1708">
      <w:rPr>
        <w:rFonts w:ascii="Palatino Linotype" w:eastAsia="Palatino Linotype" w:hAnsi="Palatino Linotype" w:cs="Palatino Linotype"/>
        <w:b/>
        <w:noProof/>
        <w:color w:val="000000"/>
        <w:sz w:val="20"/>
        <w:szCs w:val="20"/>
      </w:rPr>
      <w:t>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1708">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p>
  <w:p w:rsidR="00F15DBD" w:rsidRDefault="00F15DB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BD" w:rsidRDefault="00A939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A86230">
      <w:rPr>
        <w:rFonts w:ascii="Palatino Linotype" w:eastAsia="Palatino Linotype" w:hAnsi="Palatino Linotype" w:cs="Palatino Linotype"/>
        <w:b/>
        <w:color w:val="000000"/>
        <w:sz w:val="20"/>
        <w:szCs w:val="20"/>
      </w:rPr>
      <w:t>20</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1708">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p>
  <w:p w:rsidR="00F15DBD" w:rsidRDefault="00F15DB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F88" w:rsidRDefault="003B1F88">
      <w:r>
        <w:separator/>
      </w:r>
    </w:p>
  </w:footnote>
  <w:footnote w:type="continuationSeparator" w:id="0">
    <w:p w:rsidR="003B1F88" w:rsidRDefault="003B1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BD" w:rsidRDefault="00A9391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F15DBD">
      <w:tc>
        <w:tcPr>
          <w:tcW w:w="2489" w:type="dxa"/>
          <w:shd w:val="clear" w:color="auto" w:fill="auto"/>
        </w:tcPr>
        <w:p w:rsidR="00F15DBD" w:rsidRDefault="00A939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F15DBD" w:rsidRDefault="00A9391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03314/INFOEM/IP/RR/2022</w:t>
          </w:r>
        </w:p>
      </w:tc>
    </w:tr>
    <w:tr w:rsidR="00F15DBD">
      <w:trPr>
        <w:trHeight w:val="228"/>
      </w:trPr>
      <w:tc>
        <w:tcPr>
          <w:tcW w:w="2489" w:type="dxa"/>
          <w:shd w:val="clear" w:color="auto" w:fill="auto"/>
          <w:vAlign w:val="center"/>
        </w:tcPr>
        <w:p w:rsidR="00F15DBD" w:rsidRDefault="00A939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F15DBD" w:rsidRDefault="00A9391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15DBD">
      <w:tc>
        <w:tcPr>
          <w:tcW w:w="2489" w:type="dxa"/>
          <w:shd w:val="clear" w:color="auto" w:fill="auto"/>
          <w:vAlign w:val="center"/>
        </w:tcPr>
        <w:p w:rsidR="00F15DBD" w:rsidRDefault="00A9391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F15DBD" w:rsidRDefault="00A9391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15DBD" w:rsidRDefault="00A9391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BD" w:rsidRDefault="00F15DB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F15DBD">
      <w:tc>
        <w:tcPr>
          <w:tcW w:w="2551" w:type="dxa"/>
          <w:shd w:val="clear" w:color="auto" w:fill="auto"/>
          <w:vAlign w:val="center"/>
        </w:tcPr>
        <w:p w:rsidR="00F15DBD" w:rsidRDefault="00A939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F15DBD" w:rsidRDefault="00A9391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03314/INFOEM/IP/RR/2022</w:t>
          </w:r>
        </w:p>
      </w:tc>
    </w:tr>
    <w:tr w:rsidR="00F15DBD">
      <w:trPr>
        <w:trHeight w:val="130"/>
      </w:trPr>
      <w:tc>
        <w:tcPr>
          <w:tcW w:w="2551" w:type="dxa"/>
          <w:shd w:val="clear" w:color="auto" w:fill="auto"/>
          <w:vAlign w:val="center"/>
        </w:tcPr>
        <w:p w:rsidR="00F15DBD" w:rsidRDefault="00A939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F15DBD" w:rsidRDefault="00D0170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F15DBD">
      <w:trPr>
        <w:trHeight w:val="228"/>
      </w:trPr>
      <w:tc>
        <w:tcPr>
          <w:tcW w:w="2551" w:type="dxa"/>
          <w:shd w:val="clear" w:color="auto" w:fill="auto"/>
          <w:vAlign w:val="center"/>
        </w:tcPr>
        <w:p w:rsidR="00F15DBD" w:rsidRDefault="00A939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F15DBD" w:rsidRDefault="00A9391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15DBD">
      <w:tc>
        <w:tcPr>
          <w:tcW w:w="2551" w:type="dxa"/>
          <w:shd w:val="clear" w:color="auto" w:fill="auto"/>
          <w:vAlign w:val="center"/>
        </w:tcPr>
        <w:p w:rsidR="00F15DBD" w:rsidRDefault="00A939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F15DBD" w:rsidRDefault="00A9391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15DBD" w:rsidRDefault="00A9391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30" w:rsidRDefault="00A8623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A86230" w:rsidRDefault="00A8623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53E9E"/>
    <w:multiLevelType w:val="multilevel"/>
    <w:tmpl w:val="D9C84714"/>
    <w:lvl w:ilvl="0">
      <w:start w:val="3"/>
      <w:numFmt w:val="bullet"/>
      <w:pStyle w:val="Listaconvietas3"/>
      <w:lvlText w:val="-"/>
      <w:lvlJc w:val="left"/>
      <w:pPr>
        <w:ind w:left="48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E81B6B"/>
    <w:multiLevelType w:val="multilevel"/>
    <w:tmpl w:val="FEAA6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DBD"/>
    <w:rsid w:val="001E6F49"/>
    <w:rsid w:val="003479F8"/>
    <w:rsid w:val="003904A9"/>
    <w:rsid w:val="003B1F88"/>
    <w:rsid w:val="00411E9A"/>
    <w:rsid w:val="007240A4"/>
    <w:rsid w:val="00A86230"/>
    <w:rsid w:val="00A93916"/>
    <w:rsid w:val="00D01708"/>
    <w:rsid w:val="00F15D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738D1-148C-4064-B7CD-EA2ADA90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369068.page"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aimex.org.mx/saimex/solicitud/downloadAttach/1354141.pag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1369215.pa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1340076.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1340075.page" TargetMode="External"/><Relationship Id="rId14" Type="http://schemas.openxmlformats.org/officeDocument/2006/relationships/hyperlink" Target="https://saimex.org.mx/saimex/solicitud/downloadAttach/1369069.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QfqOHt+5eH8thXB4IYmFgLH3g==">AMUW2mVKQG1h6mApwk5X4m1YULSsvWeFzwkshalC2kzfpebTYlAPSWv3Xid+C5fV8UY8OxsE8JN4K6DG+zbdBz4yF+V9gXYg7m5LgYaB+0EwfmKrjjfuKoaXr8+fWWLK5aqbLGHjJOUeKqFMLGb/0CRAl5eTDrxzGsdky9tOtbgwiiE/M3Q4wtU=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3743</Words>
  <Characters>20591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Jhancarlo</cp:lastModifiedBy>
  <cp:revision>7</cp:revision>
  <dcterms:created xsi:type="dcterms:W3CDTF">2022-05-26T16:54:00Z</dcterms:created>
  <dcterms:modified xsi:type="dcterms:W3CDTF">2022-07-07T16:23:00Z</dcterms:modified>
</cp:coreProperties>
</file>