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7C03987F"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7900A4">
        <w:rPr>
          <w:rFonts w:ascii="Palatino Linotype" w:eastAsia="Times New Roman" w:hAnsi="Palatino Linotype" w:cs="Arial"/>
          <w:color w:val="000000"/>
          <w:sz w:val="24"/>
          <w:szCs w:val="24"/>
          <w:lang w:eastAsia="es-MX"/>
        </w:rPr>
        <w:t xml:space="preserve">, a </w:t>
      </w:r>
      <w:r w:rsidR="001B7235" w:rsidRPr="00A87FC3">
        <w:rPr>
          <w:rFonts w:ascii="Palatino Linotype" w:eastAsia="Times New Roman" w:hAnsi="Palatino Linotype" w:cs="Arial"/>
          <w:color w:val="000000"/>
          <w:sz w:val="24"/>
          <w:szCs w:val="24"/>
          <w:lang w:eastAsia="es-MX"/>
        </w:rPr>
        <w:t>veinte de abril de dos mil veintidós.</w:t>
      </w:r>
      <w:r w:rsidR="001B7235">
        <w:rPr>
          <w:rFonts w:ascii="Palatino Linotype" w:eastAsia="Times New Roman" w:hAnsi="Palatino Linotype" w:cs="Arial"/>
          <w:color w:val="000000"/>
          <w:sz w:val="24"/>
          <w:szCs w:val="24"/>
          <w:lang w:eastAsia="es-MX"/>
        </w:rPr>
        <w:t xml:space="preserve"> </w:t>
      </w:r>
      <w:r w:rsidR="003A241D">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239C350" w14:textId="6A80369E" w:rsidR="001B7235" w:rsidRPr="001B7235"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1B7235">
        <w:rPr>
          <w:rFonts w:ascii="Palatino Linotype" w:hAnsi="Palatino Linotype" w:cs="Arial"/>
          <w:b/>
          <w:sz w:val="24"/>
        </w:rPr>
        <w:t xml:space="preserve">01150/INFOEM/IP/RR/2022, </w:t>
      </w:r>
      <w:r w:rsidR="001B7235">
        <w:rPr>
          <w:rFonts w:ascii="Palatino Linotype" w:hAnsi="Palatino Linotype" w:cs="Arial"/>
          <w:sz w:val="24"/>
        </w:rPr>
        <w:t xml:space="preserve">interpuesto por el </w:t>
      </w:r>
      <w:r w:rsidR="00D02060">
        <w:rPr>
          <w:rFonts w:ascii="Palatino Linotype" w:hAnsi="Palatino Linotype" w:cs="Arial"/>
          <w:b/>
          <w:sz w:val="24"/>
        </w:rPr>
        <w:t>XXXXXXXX</w:t>
      </w:r>
      <w:r w:rsidR="0048519F">
        <w:rPr>
          <w:rFonts w:ascii="Palatino Linotype" w:hAnsi="Palatino Linotype" w:cs="Arial"/>
          <w:b/>
          <w:sz w:val="24"/>
        </w:rPr>
        <w:t>XXXXX</w:t>
      </w:r>
      <w:r w:rsidR="00D02060">
        <w:rPr>
          <w:rFonts w:ascii="Palatino Linotype" w:hAnsi="Palatino Linotype" w:cs="Arial"/>
          <w:b/>
          <w:sz w:val="24"/>
        </w:rPr>
        <w:t>XXXX</w:t>
      </w:r>
      <w:proofErr w:type="gramStart"/>
      <w:r w:rsidR="001B7235">
        <w:rPr>
          <w:rFonts w:ascii="Palatino Linotype" w:hAnsi="Palatino Linotype" w:cs="Arial"/>
          <w:b/>
          <w:sz w:val="24"/>
        </w:rPr>
        <w:t xml:space="preserve">,  </w:t>
      </w:r>
      <w:r w:rsidR="001B7235">
        <w:rPr>
          <w:rFonts w:ascii="Palatino Linotype" w:hAnsi="Palatino Linotype" w:cs="Arial"/>
          <w:sz w:val="24"/>
        </w:rPr>
        <w:t>en</w:t>
      </w:r>
      <w:proofErr w:type="gramEnd"/>
      <w:r w:rsidR="001B7235">
        <w:rPr>
          <w:rFonts w:ascii="Palatino Linotype" w:hAnsi="Palatino Linotype" w:cs="Arial"/>
          <w:sz w:val="24"/>
        </w:rPr>
        <w:t xml:space="preserve"> lo sucesivo </w:t>
      </w:r>
      <w:r w:rsidR="001B7235">
        <w:rPr>
          <w:rFonts w:ascii="Palatino Linotype" w:hAnsi="Palatino Linotype" w:cs="Arial"/>
          <w:b/>
          <w:sz w:val="24"/>
        </w:rPr>
        <w:t xml:space="preserve">El Recurrente, </w:t>
      </w:r>
      <w:r w:rsidR="001B7235">
        <w:rPr>
          <w:rFonts w:ascii="Palatino Linotype" w:hAnsi="Palatino Linotype" w:cs="Arial"/>
          <w:sz w:val="24"/>
        </w:rPr>
        <w:t xml:space="preserve">en contra de la respuesta del Organismo Público Descentralizado para la Prestación de Los Servicios de Agua Potable Alcantarillado y Saneamiento de Atizapán de Zaragoza por sus siglas S.A.P.A.S.A., en lo sucesivo </w:t>
      </w:r>
      <w:r w:rsidR="001B7235">
        <w:rPr>
          <w:rFonts w:ascii="Palatino Linotype" w:hAnsi="Palatino Linotype" w:cs="Arial"/>
          <w:b/>
          <w:sz w:val="24"/>
        </w:rPr>
        <w:t xml:space="preserve">El Sujeto Obligado, </w:t>
      </w:r>
      <w:r w:rsidR="001B7235">
        <w:rPr>
          <w:rFonts w:ascii="Palatino Linotype" w:hAnsi="Palatino Linotype" w:cs="Arial"/>
          <w:sz w:val="24"/>
        </w:rPr>
        <w:t xml:space="preserve">se procede a dictar la presente resolución. </w:t>
      </w:r>
    </w:p>
    <w:p w14:paraId="3A021C61" w14:textId="77777777" w:rsidR="00D414E0" w:rsidRDefault="00D414E0"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2E98D4D" w14:textId="77777777" w:rsidR="001B7235"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D414E0">
        <w:rPr>
          <w:rFonts w:ascii="Palatino Linotype" w:hAnsi="Palatino Linotype" w:cs="Arial"/>
          <w:sz w:val="24"/>
        </w:rPr>
        <w:t xml:space="preserve"> </w:t>
      </w:r>
      <w:r w:rsidR="001B7235">
        <w:rPr>
          <w:rFonts w:ascii="Palatino Linotype" w:hAnsi="Palatino Linotype" w:cs="Arial"/>
          <w:sz w:val="24"/>
        </w:rPr>
        <w:t xml:space="preserve">veinte de enero de dos mil veintidós, </w:t>
      </w:r>
      <w:r w:rsidR="001B7235">
        <w:rPr>
          <w:rFonts w:ascii="Palatino Linotype" w:hAnsi="Palatino Linotype" w:cs="Arial"/>
          <w:b/>
          <w:sz w:val="24"/>
        </w:rPr>
        <w:t xml:space="preserve">El Recurrente </w:t>
      </w:r>
      <w:r w:rsidR="001B7235">
        <w:rPr>
          <w:rFonts w:ascii="Palatino Linotype" w:hAnsi="Palatino Linotype" w:cs="Arial"/>
          <w:sz w:val="24"/>
        </w:rPr>
        <w:t>presentó a través del Sistema de Acceso a la Información Mexiquense (</w:t>
      </w:r>
      <w:r w:rsidR="001B7235">
        <w:rPr>
          <w:rFonts w:ascii="Palatino Linotype" w:hAnsi="Palatino Linotype" w:cs="Arial"/>
          <w:b/>
          <w:sz w:val="24"/>
        </w:rPr>
        <w:t>SAIMEX)</w:t>
      </w:r>
      <w:r w:rsidR="001B7235">
        <w:rPr>
          <w:rFonts w:ascii="Palatino Linotype" w:hAnsi="Palatino Linotype" w:cs="Arial"/>
          <w:sz w:val="24"/>
        </w:rPr>
        <w:t xml:space="preserve"> ante </w:t>
      </w:r>
      <w:r w:rsidR="001B7235">
        <w:rPr>
          <w:rFonts w:ascii="Palatino Linotype" w:hAnsi="Palatino Linotype" w:cs="Arial"/>
          <w:b/>
          <w:sz w:val="24"/>
        </w:rPr>
        <w:t>El Sujeto Obligado</w:t>
      </w:r>
      <w:r w:rsidR="001B7235">
        <w:rPr>
          <w:rFonts w:ascii="Palatino Linotype" w:hAnsi="Palatino Linotype" w:cs="Arial"/>
          <w:sz w:val="24"/>
        </w:rPr>
        <w:t xml:space="preserve">, solicitud de acceso a la información pública, registrada bajo el número de expediente </w:t>
      </w:r>
      <w:r w:rsidR="001B7235">
        <w:rPr>
          <w:rFonts w:ascii="Palatino Linotype" w:hAnsi="Palatino Linotype" w:cs="Arial"/>
          <w:b/>
          <w:sz w:val="24"/>
        </w:rPr>
        <w:t xml:space="preserve">00015/OASATIZARA/IP/2022, </w:t>
      </w:r>
      <w:r w:rsidR="001B7235">
        <w:rPr>
          <w:rFonts w:ascii="Palatino Linotype" w:hAnsi="Palatino Linotype" w:cs="Arial"/>
          <w:sz w:val="24"/>
        </w:rPr>
        <w:t xml:space="preserve">mediante la cual solicitó información en el tenor siguiente: </w:t>
      </w:r>
    </w:p>
    <w:p w14:paraId="6FB61C51" w14:textId="1DF20D95" w:rsidR="001B7235" w:rsidRPr="001B7235" w:rsidRDefault="001B7235" w:rsidP="001B7235">
      <w:pPr>
        <w:pStyle w:val="Citas"/>
        <w:rPr>
          <w:b/>
          <w:sz w:val="24"/>
        </w:rPr>
      </w:pPr>
      <w:r>
        <w:rPr>
          <w:b/>
          <w:sz w:val="24"/>
        </w:rPr>
        <w:lastRenderedPageBreak/>
        <w:t>“</w:t>
      </w:r>
      <w:r>
        <w:t xml:space="preserve">Solicitó que criterio </w:t>
      </w:r>
      <w:proofErr w:type="spellStart"/>
      <w:r>
        <w:t>ultizara</w:t>
      </w:r>
      <w:proofErr w:type="spellEnd"/>
      <w:r>
        <w:t xml:space="preserve"> para las convocatorias a ser proveedores del sujeto obligado” </w:t>
      </w:r>
      <w:r>
        <w:rPr>
          <w:b/>
        </w:rPr>
        <w:t>[Sic]</w:t>
      </w:r>
    </w:p>
    <w:p w14:paraId="1A3002BA" w14:textId="2819C64A" w:rsidR="00BB63AB" w:rsidRDefault="00FF3A25" w:rsidP="006D5803">
      <w:pPr>
        <w:spacing w:before="240" w:line="360" w:lineRule="auto"/>
        <w:jc w:val="both"/>
        <w:rPr>
          <w:rFonts w:ascii="Palatino Linotype" w:hAnsi="Palatino Linotype" w:cs="Arial"/>
          <w:sz w:val="24"/>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 xml:space="preserve">. </w:t>
      </w:r>
    </w:p>
    <w:p w14:paraId="3EE55583" w14:textId="77777777" w:rsidR="00BB63AB" w:rsidRDefault="00BB63AB" w:rsidP="006D5803">
      <w:pPr>
        <w:spacing w:before="240" w:line="360" w:lineRule="auto"/>
        <w:jc w:val="both"/>
        <w:rPr>
          <w:rFonts w:ascii="Palatino Linotype" w:hAnsi="Palatino Linotype" w:cs="Arial"/>
          <w:sz w:val="24"/>
        </w:rPr>
      </w:pPr>
    </w:p>
    <w:p w14:paraId="14CE4F32" w14:textId="46AAD42C" w:rsidR="004F63F3" w:rsidRDefault="004F63F3" w:rsidP="004F63F3">
      <w:pPr>
        <w:spacing w:line="360" w:lineRule="auto"/>
        <w:ind w:right="334"/>
        <w:jc w:val="both"/>
        <w:rPr>
          <w:rFonts w:ascii="Palatino Linotype" w:hAnsi="Palatino Linotype" w:cs="Arial"/>
          <w:b/>
          <w:sz w:val="28"/>
        </w:rPr>
      </w:pPr>
      <w:r>
        <w:rPr>
          <w:rFonts w:ascii="Palatino Linotype" w:hAnsi="Palatino Linotype" w:cs="Arial"/>
          <w:b/>
          <w:sz w:val="28"/>
        </w:rPr>
        <w:t>SEGUNDO</w:t>
      </w:r>
      <w:r w:rsidRPr="0094651B">
        <w:rPr>
          <w:rFonts w:ascii="Palatino Linotype" w:hAnsi="Palatino Linotype" w:cs="Arial"/>
          <w:b/>
          <w:sz w:val="28"/>
        </w:rPr>
        <w:t xml:space="preserve">. De la </w:t>
      </w:r>
      <w:r>
        <w:rPr>
          <w:rFonts w:ascii="Palatino Linotype" w:hAnsi="Palatino Linotype" w:cs="Arial"/>
          <w:b/>
          <w:sz w:val="28"/>
        </w:rPr>
        <w:t xml:space="preserve">solicitud de aclaración por parte del Sujeto Obligado. </w:t>
      </w:r>
    </w:p>
    <w:p w14:paraId="229A7467" w14:textId="009573A2" w:rsidR="004F63F3" w:rsidRDefault="004F63F3" w:rsidP="004F63F3">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t xml:space="preserve">En fecha </w:t>
      </w:r>
      <w:r>
        <w:rPr>
          <w:rFonts w:ascii="Palatino Linotype" w:hAnsi="Palatino Linotype" w:cs="Arial"/>
          <w:sz w:val="24"/>
          <w:szCs w:val="24"/>
        </w:rPr>
        <w:t xml:space="preserve">veintisiete de enero de dos mil veintidós,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aclaración a la solicitud de información </w:t>
      </w:r>
      <w:r>
        <w:rPr>
          <w:rFonts w:ascii="Palatino Linotype" w:hAnsi="Palatino Linotype" w:cs="Arial"/>
          <w:b/>
          <w:sz w:val="24"/>
          <w:szCs w:val="24"/>
        </w:rPr>
        <w:t xml:space="preserve">00015/OASATIZARA/IP/2022, </w:t>
      </w:r>
      <w:r>
        <w:rPr>
          <w:rFonts w:ascii="Palatino Linotype" w:hAnsi="Palatino Linotype" w:cs="Arial"/>
          <w:sz w:val="24"/>
          <w:szCs w:val="24"/>
        </w:rPr>
        <w:t xml:space="preserve">resultando de nuestro interés lo siguiente: </w:t>
      </w:r>
    </w:p>
    <w:p w14:paraId="0081B8A4" w14:textId="3A2487E2" w:rsidR="004F63F3" w:rsidRPr="004F63F3" w:rsidRDefault="004F63F3" w:rsidP="004F63F3">
      <w:pPr>
        <w:pStyle w:val="Citas"/>
      </w:pPr>
      <w:r w:rsidRPr="004F63F3">
        <w:t xml:space="preserve">“Con fundamento en el </w:t>
      </w:r>
      <w:proofErr w:type="spellStart"/>
      <w:r w:rsidRPr="004F63F3">
        <w:t>articulo</w:t>
      </w:r>
      <w:proofErr w:type="spellEnd"/>
      <w:r w:rsidRPr="004F63F3">
        <w:t xml:space="preserve"> 159 de la Ley de Transparencia y Acceso a la Información Pública del Estado de México y Municipios, se le requiere para que dentro del plazo de diez días hábiles realice lo siguiente:</w:t>
      </w:r>
    </w:p>
    <w:p w14:paraId="1B3778DD" w14:textId="3C332D48" w:rsidR="004F63F3" w:rsidRPr="004F63F3" w:rsidRDefault="004F63F3" w:rsidP="004F63F3">
      <w:pPr>
        <w:pStyle w:val="Citas"/>
      </w:pPr>
      <w:r w:rsidRPr="004F63F3">
        <w:t xml:space="preserve">En virtud de otorgarle una respuesta a su solicitud de acceso a la información pública se le requiere aclare a que se refiere con </w:t>
      </w:r>
      <w:proofErr w:type="spellStart"/>
      <w:r w:rsidRPr="004F63F3">
        <w:t>que</w:t>
      </w:r>
      <w:proofErr w:type="spellEnd"/>
      <w:r w:rsidRPr="004F63F3">
        <w:t xml:space="preserve"> criterio utilizara para las convocatorias a ser proveedores del sujeto obligado</w:t>
      </w:r>
    </w:p>
    <w:p w14:paraId="41CBA2D9" w14:textId="230F1877" w:rsidR="004F63F3" w:rsidRPr="004F63F3" w:rsidRDefault="004F63F3" w:rsidP="004F63F3">
      <w:pPr>
        <w:pStyle w:val="Citas"/>
        <w:rPr>
          <w:b/>
        </w:rPr>
      </w:pPr>
      <w:r w:rsidRPr="004F63F3">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t xml:space="preserve">” </w:t>
      </w:r>
      <w:r>
        <w:rPr>
          <w:b/>
        </w:rPr>
        <w:t>[Sic]</w:t>
      </w:r>
    </w:p>
    <w:p w14:paraId="53D7DEC4" w14:textId="16DEBB46" w:rsidR="004F63F3" w:rsidRPr="000256D8" w:rsidRDefault="004F63F3" w:rsidP="004F63F3">
      <w:pPr>
        <w:spacing w:after="0" w:line="360" w:lineRule="auto"/>
        <w:jc w:val="both"/>
        <w:rPr>
          <w:rFonts w:ascii="Palatino Linotype" w:hAnsi="Palatino Linotype" w:cs="Arial"/>
          <w:b/>
          <w:sz w:val="28"/>
        </w:rPr>
      </w:pPr>
      <w:r>
        <w:rPr>
          <w:rFonts w:ascii="Palatino Linotype" w:hAnsi="Palatino Linotype" w:cs="Arial"/>
          <w:b/>
          <w:sz w:val="28"/>
        </w:rPr>
        <w:lastRenderedPageBreak/>
        <w:t>TERCERO</w:t>
      </w:r>
      <w:r w:rsidRPr="000256D8">
        <w:rPr>
          <w:rFonts w:ascii="Palatino Linotype" w:hAnsi="Palatino Linotype" w:cs="Arial"/>
          <w:b/>
          <w:sz w:val="28"/>
        </w:rPr>
        <w:t xml:space="preserve">. </w:t>
      </w:r>
      <w:r w:rsidRPr="000256D8">
        <w:rPr>
          <w:rFonts w:ascii="Palatino Linotype" w:hAnsi="Palatino Linotype" w:cs="Arial"/>
          <w:b/>
          <w:sz w:val="28"/>
          <w:szCs w:val="20"/>
        </w:rPr>
        <w:t>De la respuesta de aclaración del particular.</w:t>
      </w:r>
    </w:p>
    <w:p w14:paraId="79C33734" w14:textId="1C4FA063" w:rsidR="004F63F3" w:rsidRDefault="004F63F3" w:rsidP="004F63F3">
      <w:pPr>
        <w:spacing w:after="0" w:line="360" w:lineRule="auto"/>
        <w:jc w:val="both"/>
        <w:rPr>
          <w:rFonts w:ascii="Palatino Linotype" w:hAnsi="Palatino Linotype" w:cs="Arial"/>
          <w:sz w:val="24"/>
        </w:rPr>
      </w:pPr>
      <w:r w:rsidRPr="000256D8">
        <w:rPr>
          <w:rFonts w:ascii="Palatino Linotype" w:hAnsi="Palatino Linotype" w:cs="Arial"/>
          <w:sz w:val="24"/>
        </w:rPr>
        <w:t xml:space="preserve">En el expediente electrónico </w:t>
      </w:r>
      <w:r w:rsidRPr="000256D8">
        <w:rPr>
          <w:rFonts w:ascii="Palatino Linotype" w:hAnsi="Palatino Linotype" w:cs="Arial"/>
          <w:b/>
          <w:sz w:val="24"/>
        </w:rPr>
        <w:t>SAIMEX</w:t>
      </w:r>
      <w:r>
        <w:rPr>
          <w:rFonts w:ascii="Palatino Linotype" w:hAnsi="Palatino Linotype" w:cs="Arial"/>
          <w:b/>
          <w:sz w:val="24"/>
        </w:rPr>
        <w:t xml:space="preserve"> </w:t>
      </w:r>
      <w:r>
        <w:rPr>
          <w:rFonts w:ascii="Palatino Linotype" w:hAnsi="Palatino Linotype" w:cs="Arial"/>
          <w:sz w:val="24"/>
        </w:rPr>
        <w:t xml:space="preserve">correspondiente a la solicitud de información </w:t>
      </w:r>
      <w:r>
        <w:rPr>
          <w:rFonts w:ascii="Palatino Linotype" w:hAnsi="Palatino Linotype" w:cs="Arial"/>
          <w:b/>
          <w:sz w:val="24"/>
        </w:rPr>
        <w:t xml:space="preserve">00015/OASATIZARA/IP/2022, </w:t>
      </w:r>
      <w:r>
        <w:rPr>
          <w:rFonts w:ascii="Palatino Linotype" w:hAnsi="Palatino Linotype" w:cs="Arial"/>
          <w:sz w:val="24"/>
        </w:rPr>
        <w:t xml:space="preserve">se aprecia que el particular desahogó la solicitud de aclaración formulada por </w:t>
      </w:r>
      <w:r>
        <w:rPr>
          <w:rFonts w:ascii="Palatino Linotype" w:hAnsi="Palatino Linotype" w:cs="Arial"/>
          <w:b/>
          <w:sz w:val="24"/>
        </w:rPr>
        <w:t xml:space="preserve">El Sujeto Obligado </w:t>
      </w:r>
      <w:r>
        <w:rPr>
          <w:rFonts w:ascii="Palatino Linotype" w:hAnsi="Palatino Linotype" w:cs="Arial"/>
          <w:sz w:val="24"/>
        </w:rPr>
        <w:t xml:space="preserve">en los siguientes términos: </w:t>
      </w:r>
    </w:p>
    <w:p w14:paraId="12853BB1" w14:textId="1A4775E2" w:rsidR="004F63F3" w:rsidRPr="004F63F3" w:rsidRDefault="004F63F3" w:rsidP="004F63F3">
      <w:pPr>
        <w:pStyle w:val="Citas"/>
        <w:rPr>
          <w:b/>
          <w:sz w:val="24"/>
        </w:rPr>
      </w:pPr>
      <w:r>
        <w:t xml:space="preserve">“La solicitud es clara, </w:t>
      </w:r>
      <w:proofErr w:type="spellStart"/>
      <w:r>
        <w:t>atiendala</w:t>
      </w:r>
      <w:proofErr w:type="spellEnd"/>
      <w:r>
        <w:t xml:space="preserve"> o regrese a la escuela a estudiar” </w:t>
      </w:r>
      <w:r>
        <w:rPr>
          <w:b/>
        </w:rPr>
        <w:t xml:space="preserve">[Sic] </w:t>
      </w:r>
    </w:p>
    <w:p w14:paraId="4C39861A" w14:textId="77777777" w:rsidR="004F63F3" w:rsidRDefault="004F63F3" w:rsidP="004F63F3">
      <w:pPr>
        <w:spacing w:after="0" w:line="360" w:lineRule="auto"/>
        <w:jc w:val="both"/>
        <w:rPr>
          <w:rFonts w:ascii="Palatino Linotype" w:hAnsi="Palatino Linotype" w:cs="Arial"/>
          <w:sz w:val="24"/>
        </w:rPr>
      </w:pPr>
    </w:p>
    <w:p w14:paraId="55DA6A10" w14:textId="77777777" w:rsidR="004F63F3" w:rsidRDefault="004F63F3" w:rsidP="004F63F3">
      <w:pPr>
        <w:spacing w:after="0" w:line="360" w:lineRule="auto"/>
        <w:jc w:val="both"/>
        <w:rPr>
          <w:rFonts w:ascii="Palatino Linotype" w:hAnsi="Palatino Linotype" w:cs="Arial"/>
          <w:sz w:val="24"/>
        </w:rPr>
      </w:pPr>
    </w:p>
    <w:p w14:paraId="3D1C9994" w14:textId="2C35E007" w:rsidR="00073E92" w:rsidRDefault="004F63F3" w:rsidP="00073E92">
      <w:pPr>
        <w:spacing w:before="240" w:line="360" w:lineRule="auto"/>
        <w:jc w:val="both"/>
        <w:rPr>
          <w:rFonts w:ascii="Palatino Linotype" w:hAnsi="Palatino Linotype" w:cs="Arial"/>
          <w:b/>
          <w:sz w:val="28"/>
        </w:rPr>
      </w:pPr>
      <w:r>
        <w:rPr>
          <w:rFonts w:ascii="Palatino Linotype" w:hAnsi="Palatino Linotype" w:cs="Arial"/>
          <w:b/>
          <w:sz w:val="28"/>
        </w:rPr>
        <w:t>CUARTO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29E03214" w14:textId="53D34D14" w:rsidR="004F63F3"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205E45">
        <w:rPr>
          <w:rFonts w:ascii="Palatino Linotype" w:hAnsi="Palatino Linotype" w:cs="Arial"/>
          <w:sz w:val="24"/>
          <w:szCs w:val="24"/>
        </w:rPr>
        <w:t xml:space="preserve">veintidós de febrero de dos mil veintidós, </w:t>
      </w:r>
      <w:r w:rsidR="00205E45">
        <w:rPr>
          <w:rFonts w:ascii="Palatino Linotype" w:hAnsi="Palatino Linotype" w:cs="Arial"/>
          <w:b/>
          <w:sz w:val="24"/>
          <w:szCs w:val="24"/>
        </w:rPr>
        <w:t xml:space="preserve">El Sujeto Obligado </w:t>
      </w:r>
      <w:r w:rsidR="00205E45">
        <w:rPr>
          <w:rFonts w:ascii="Palatino Linotype" w:hAnsi="Palatino Linotype" w:cs="Arial"/>
          <w:sz w:val="24"/>
          <w:szCs w:val="24"/>
        </w:rPr>
        <w:t xml:space="preserve">dio respuesta a la solicitud de información en los siguientes términos: </w:t>
      </w:r>
    </w:p>
    <w:p w14:paraId="7099B575" w14:textId="4CB5EB14" w:rsidR="00205E45" w:rsidRPr="00205E45" w:rsidRDefault="00205E45" w:rsidP="00205E45">
      <w:pPr>
        <w:pStyle w:val="Citas"/>
      </w:pPr>
      <w:r w:rsidRPr="00205E45">
        <w:t>“En respuesta a la solicitud recibida, nos permitimos hacer de su conocimiento que con fundamento en el artículo 53, Fracciones: II, V y VI de la Ley de Transparencia y Acceso a la Información Pública del Estado de México y Municipios, le contestamos que:</w:t>
      </w:r>
    </w:p>
    <w:p w14:paraId="5A0353E2" w14:textId="3E1C756D" w:rsidR="00205E45" w:rsidRPr="00205E45" w:rsidRDefault="00205E45" w:rsidP="00205E45">
      <w:pPr>
        <w:pStyle w:val="Citas"/>
        <w:rPr>
          <w:b/>
        </w:rPr>
      </w:pPr>
      <w:r w:rsidRPr="00205E45">
        <w:t xml:space="preserve">Por lo que atañe a la Subdirección de Administración y Finanzas, área encargada de atender su solicitud, la cual adjunta el archivo denominado: PROVEEDORES.pdf documento en el que podrá encontrar respuesta a su solicitud de información. Finalmente, se le comunica que, en caso de inconformidad a la respuesta dada a su </w:t>
      </w:r>
      <w:r w:rsidRPr="00205E45">
        <w:lastRenderedPageBreak/>
        <w:t>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r>
        <w:t xml:space="preserve">” </w:t>
      </w:r>
      <w:r>
        <w:rPr>
          <w:b/>
        </w:rPr>
        <w:t xml:space="preserve">[Sic] </w:t>
      </w:r>
    </w:p>
    <w:p w14:paraId="4920C940" w14:textId="36A4B20F" w:rsidR="00E669E6" w:rsidRPr="00205E45" w:rsidRDefault="00205E45"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remitió el documento electrónico </w:t>
      </w:r>
      <w:r>
        <w:rPr>
          <w:rFonts w:ascii="Palatino Linotype" w:hAnsi="Palatino Linotype" w:cs="Arial"/>
          <w:b/>
          <w:sz w:val="24"/>
          <w:szCs w:val="24"/>
        </w:rPr>
        <w:t xml:space="preserve">“PROVEEDORES.pdf”, </w:t>
      </w:r>
      <w:r>
        <w:rPr>
          <w:rFonts w:ascii="Palatino Linotype" w:hAnsi="Palatino Linotype" w:cs="Arial"/>
          <w:sz w:val="24"/>
          <w:szCs w:val="24"/>
        </w:rPr>
        <w:t xml:space="preserve">cuyo contenido será materia de estudio en el considerando respectivo. </w:t>
      </w:r>
    </w:p>
    <w:p w14:paraId="2E562D27" w14:textId="77777777" w:rsidR="00205E45" w:rsidRDefault="00205E45" w:rsidP="00073E92">
      <w:pPr>
        <w:spacing w:before="240" w:line="360" w:lineRule="auto"/>
        <w:jc w:val="both"/>
        <w:rPr>
          <w:rFonts w:ascii="Palatino Linotype" w:hAnsi="Palatino Linotype" w:cs="Arial"/>
          <w:b/>
          <w:sz w:val="28"/>
        </w:rPr>
      </w:pPr>
    </w:p>
    <w:p w14:paraId="067753A9" w14:textId="2BF342CB" w:rsidR="00073E92" w:rsidRDefault="00205E45" w:rsidP="00073E92">
      <w:pPr>
        <w:spacing w:before="240" w:line="360" w:lineRule="auto"/>
        <w:jc w:val="both"/>
        <w:rPr>
          <w:rFonts w:ascii="Palatino Linotype" w:hAnsi="Palatino Linotype" w:cs="Arial"/>
          <w:b/>
          <w:sz w:val="28"/>
        </w:rPr>
      </w:pPr>
      <w:r>
        <w:rPr>
          <w:rFonts w:ascii="Palatino Linotype" w:hAnsi="Palatino Linotype" w:cs="Arial"/>
          <w:b/>
          <w:sz w:val="28"/>
        </w:rPr>
        <w:t>QUINTO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3B0F0EFB" w14:textId="55BB135E" w:rsidR="00205E45" w:rsidRPr="00205E45"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205E45">
        <w:rPr>
          <w:rFonts w:ascii="Palatino Linotype" w:hAnsi="Palatino Linotype" w:cs="Arial"/>
          <w:sz w:val="24"/>
          <w:szCs w:val="24"/>
        </w:rPr>
        <w:t xml:space="preserve">veintitrés de febrero de dos mil veintidós, el cual fue registrado en el sistema electrónico con el expediente número </w:t>
      </w:r>
      <w:r w:rsidR="00205E45">
        <w:rPr>
          <w:rFonts w:ascii="Palatino Linotype" w:hAnsi="Palatino Linotype" w:cs="Arial"/>
          <w:b/>
          <w:sz w:val="24"/>
          <w:szCs w:val="24"/>
        </w:rPr>
        <w:t xml:space="preserve">01150/INFOEM/IP/RR/2022, </w:t>
      </w:r>
      <w:r w:rsidR="00205E45">
        <w:rPr>
          <w:rFonts w:ascii="Palatino Linotype" w:hAnsi="Palatino Linotype" w:cs="Arial"/>
          <w:sz w:val="24"/>
          <w:szCs w:val="24"/>
        </w:rPr>
        <w:t xml:space="preserve">en el cual arguye las siguientes manifestaciones: </w:t>
      </w:r>
    </w:p>
    <w:p w14:paraId="340DAA60" w14:textId="04E2D737" w:rsidR="00073E92" w:rsidRDefault="00073E92" w:rsidP="00073E9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B4E0576" w14:textId="7BB9EBA2" w:rsidR="00073E92" w:rsidRDefault="00073E92" w:rsidP="00073E92">
      <w:pPr>
        <w:pStyle w:val="Citas"/>
        <w:rPr>
          <w:b/>
        </w:rPr>
      </w:pPr>
      <w:r w:rsidRPr="00205E45">
        <w:t>“</w:t>
      </w:r>
      <w:r w:rsidR="00205E45" w:rsidRPr="00205E45">
        <w:t>Respuesta mal dada</w:t>
      </w:r>
      <w:r w:rsidRPr="00205E45">
        <w:t>”</w:t>
      </w:r>
      <w:r w:rsidRPr="007E24F0">
        <w:t xml:space="preserve"> </w:t>
      </w:r>
      <w:r>
        <w:rPr>
          <w:b/>
        </w:rPr>
        <w:t xml:space="preserve">[Sic] </w:t>
      </w:r>
    </w:p>
    <w:p w14:paraId="63548BBF" w14:textId="4D4631CD" w:rsidR="00FF3A25" w:rsidRDefault="00FF3A25" w:rsidP="00FF3A25">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3D821A9E" w14:textId="4EC0C4E5" w:rsidR="00FF3A25" w:rsidRPr="00C2092D" w:rsidRDefault="00FF3A25" w:rsidP="00FF3A25">
      <w:pPr>
        <w:pStyle w:val="Citas"/>
        <w:rPr>
          <w:b/>
          <w:sz w:val="24"/>
        </w:rPr>
      </w:pPr>
      <w:r w:rsidRPr="00205E45">
        <w:t>“</w:t>
      </w:r>
      <w:r w:rsidR="00205E45" w:rsidRPr="00205E45">
        <w:t>Y esos documentos que</w:t>
      </w:r>
      <w:proofErr w:type="gramStart"/>
      <w:r w:rsidR="00205E45" w:rsidRPr="00205E45">
        <w:t>?</w:t>
      </w:r>
      <w:proofErr w:type="gramEnd"/>
      <w:r w:rsidRPr="00205E45">
        <w:t>”</w:t>
      </w:r>
      <w:r w:rsidRPr="007E24F0">
        <w:t xml:space="preserve"> </w:t>
      </w:r>
      <w:r>
        <w:rPr>
          <w:b/>
        </w:rPr>
        <w:t xml:space="preserve">[Sic] </w:t>
      </w:r>
    </w:p>
    <w:p w14:paraId="6B689A4F" w14:textId="72019DBA" w:rsidR="00073E92" w:rsidRDefault="00205E45" w:rsidP="00073E92">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SEXTO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3A6F3BC9" w14:textId="77777777" w:rsidR="00205E45" w:rsidRDefault="00073E92" w:rsidP="00205E4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205E45">
        <w:rPr>
          <w:rFonts w:ascii="Palatino Linotype" w:hAnsi="Palatino Linotype" w:cs="Arial"/>
          <w:sz w:val="24"/>
          <w:szCs w:val="24"/>
        </w:rPr>
        <w:t>veintiocho de febrero de dos mil veintidós, determinándose en él, un plazo de siete días para que las partes manifestaran lo que a su derecho corresponda en términos del numeral ya citado.</w:t>
      </w:r>
    </w:p>
    <w:p w14:paraId="430CCB7A" w14:textId="49E62296" w:rsidR="00205E45" w:rsidRDefault="00205E45" w:rsidP="00737D40">
      <w:pPr>
        <w:spacing w:before="240" w:line="360" w:lineRule="auto"/>
        <w:jc w:val="both"/>
        <w:rPr>
          <w:rFonts w:ascii="Palatino Linotype" w:hAnsi="Palatino Linotype" w:cs="Arial"/>
          <w:sz w:val="24"/>
          <w:szCs w:val="24"/>
        </w:rPr>
      </w:pPr>
    </w:p>
    <w:p w14:paraId="66F3567F" w14:textId="6D6D184E" w:rsidR="00073E92" w:rsidRDefault="009832F7"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SÉPTIMO</w:t>
      </w:r>
      <w:r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69E6AC67" w14:textId="63A5EFF6" w:rsidR="009832F7" w:rsidRPr="009832F7" w:rsidRDefault="009832F7" w:rsidP="009832F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siete de marzo, mismo que fue puesto a la vista el diez de marzo de dos mil veintidós. Por lo cual se decretó cierre de instrucción con fecha </w:t>
      </w:r>
      <w:r>
        <w:rPr>
          <w:rFonts w:ascii="Palatino Linotype" w:hAnsi="Palatino Linotype" w:cs="Arial"/>
          <w:b/>
          <w:sz w:val="24"/>
          <w:szCs w:val="24"/>
        </w:rPr>
        <w:t xml:space="preserve">veintidós de marzo de dos mil veintidós, </w:t>
      </w:r>
      <w:r>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712F0569" w14:textId="77777777" w:rsidR="009832F7" w:rsidRDefault="009832F7" w:rsidP="009832F7">
      <w:pPr>
        <w:spacing w:after="0" w:line="360" w:lineRule="auto"/>
        <w:jc w:val="both"/>
        <w:rPr>
          <w:rFonts w:ascii="Palatino Linotype" w:hAnsi="Palatino Linotype" w:cs="Arial"/>
          <w:sz w:val="24"/>
          <w:szCs w:val="24"/>
        </w:rPr>
      </w:pPr>
    </w:p>
    <w:p w14:paraId="13FC85D3" w14:textId="778F616B" w:rsidR="00737D40" w:rsidRDefault="00737D40" w:rsidP="00737D40">
      <w:pPr>
        <w:spacing w:before="240" w:line="360" w:lineRule="auto"/>
        <w:jc w:val="both"/>
        <w:rPr>
          <w:rFonts w:ascii="Palatino Linotype" w:hAnsi="Palatino Linotype" w:cs="Arial"/>
          <w:sz w:val="24"/>
          <w:szCs w:val="24"/>
        </w:rPr>
      </w:pPr>
    </w:p>
    <w:p w14:paraId="0D4A5942" w14:textId="77777777" w:rsidR="009832F7" w:rsidRDefault="009832F7" w:rsidP="00737D40">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A2CE89C" w14:textId="77777777" w:rsidR="007E24F0" w:rsidRPr="008F797B" w:rsidRDefault="007E24F0"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w:t>
      </w:r>
      <w:r>
        <w:rPr>
          <w:rFonts w:ascii="Palatino Linotype" w:hAnsi="Palatino Linotype" w:cs="Arial"/>
        </w:rPr>
        <w:lastRenderedPageBreak/>
        <w:t xml:space="preserve">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5C9F419" w14:textId="77777777" w:rsidR="009832F7" w:rsidRPr="00161CEB" w:rsidRDefault="009832F7" w:rsidP="009832F7">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5FA66262" w14:textId="08D1F5A0" w:rsidR="009832F7" w:rsidRDefault="009832F7" w:rsidP="009832F7">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48519F">
        <w:rPr>
          <w:rFonts w:ascii="Palatino Linotype" w:hAnsi="Palatino Linotype" w:cs="Arial"/>
          <w:b/>
          <w:sz w:val="24"/>
        </w:rPr>
        <w:t>XXXXXX XXXXX</w:t>
      </w:r>
      <w:r w:rsidR="00D02060">
        <w:rPr>
          <w:rFonts w:ascii="Palatino Linotype" w:hAnsi="Palatino Linotype" w:cs="Arial"/>
          <w:b/>
          <w:sz w:val="24"/>
        </w:rPr>
        <w:t>XXXX</w:t>
      </w:r>
      <w:r>
        <w:rPr>
          <w:rFonts w:ascii="Palatino Linotype" w:hAnsi="Palatino Linotype" w:cs="Arial"/>
          <w:sz w:val="24"/>
        </w:rPr>
        <w:t>, del cual no se colige que corresponda al nombre de una persona.</w:t>
      </w:r>
    </w:p>
    <w:p w14:paraId="0D193AD2" w14:textId="77777777" w:rsidR="009832F7" w:rsidRDefault="009832F7" w:rsidP="009832F7">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w:t>
      </w:r>
      <w:proofErr w:type="spellStart"/>
      <w:r>
        <w:rPr>
          <w:rFonts w:ascii="Palatino Linotype" w:hAnsi="Palatino Linotype" w:cs="Arial"/>
        </w:rPr>
        <w:t>procedibilidad</w:t>
      </w:r>
      <w:proofErr w:type="spellEnd"/>
      <w:r>
        <w:rPr>
          <w:rFonts w:ascii="Palatino Linotype" w:hAnsi="Palatino Linotype" w:cs="Arial"/>
        </w:rPr>
        <w:t xml:space="preserve">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1BF24F60" w14:textId="77777777" w:rsidR="009832F7" w:rsidRDefault="009832F7" w:rsidP="009832F7">
      <w:pPr>
        <w:spacing w:before="240" w:line="360" w:lineRule="auto"/>
        <w:ind w:left="851" w:right="851"/>
        <w:jc w:val="both"/>
        <w:rPr>
          <w:rFonts w:ascii="Palatino Linotype" w:hAnsi="Palatino Linotype"/>
          <w:b/>
          <w:i/>
        </w:rPr>
      </w:pPr>
      <w:r>
        <w:rPr>
          <w:rFonts w:ascii="Palatino Linotype" w:hAnsi="Palatino Linotype"/>
          <w:i/>
        </w:rPr>
        <w:lastRenderedPageBreak/>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39DBDB7C" w14:textId="77777777" w:rsidR="009832F7" w:rsidRDefault="009832F7" w:rsidP="009832F7">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427FF412" w14:textId="77777777" w:rsidR="009832F7" w:rsidRDefault="009832F7" w:rsidP="009832F7">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41C33014" w14:textId="77777777" w:rsidR="009832F7" w:rsidRDefault="009832F7" w:rsidP="009832F7">
      <w:pPr>
        <w:spacing w:before="240" w:line="360" w:lineRule="auto"/>
        <w:ind w:left="851" w:right="851"/>
        <w:rPr>
          <w:rFonts w:ascii="Palatino Linotype" w:hAnsi="Palatino Linotype"/>
          <w:i/>
        </w:rPr>
      </w:pPr>
      <w:r>
        <w:rPr>
          <w:rFonts w:ascii="Palatino Linotype" w:hAnsi="Palatino Linotype"/>
          <w:b/>
          <w:i/>
        </w:rPr>
        <w:t>(…)” [Sic]</w:t>
      </w:r>
    </w:p>
    <w:p w14:paraId="78184B6D" w14:textId="77777777" w:rsidR="009832F7" w:rsidRDefault="009832F7" w:rsidP="009832F7">
      <w:pPr>
        <w:pStyle w:val="Prrafodelista"/>
        <w:widowControl w:val="0"/>
        <w:autoSpaceDE w:val="0"/>
        <w:autoSpaceDN w:val="0"/>
        <w:adjustRightInd w:val="0"/>
        <w:ind w:left="0"/>
        <w:jc w:val="both"/>
        <w:rPr>
          <w:rFonts w:ascii="Palatino Linotype" w:hAnsi="Palatino Linotype"/>
          <w:highlight w:val="yellow"/>
        </w:rPr>
      </w:pPr>
    </w:p>
    <w:p w14:paraId="57127E78" w14:textId="228E9F3E" w:rsidR="009832F7" w:rsidRDefault="009832F7" w:rsidP="009832F7">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 </w:t>
      </w:r>
      <w:r w:rsidR="0048519F">
        <w:rPr>
          <w:rFonts w:ascii="Palatino Linotype" w:hAnsi="Palatino Linotype" w:cs="Arial"/>
          <w:b/>
        </w:rPr>
        <w:t>XXXXXXXXXXXXXXX</w:t>
      </w:r>
      <w:bookmarkStart w:id="0" w:name="_GoBack"/>
      <w:bookmarkEnd w:id="0"/>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7B8AB4C1" w14:textId="77777777" w:rsidR="009832F7" w:rsidRDefault="009832F7" w:rsidP="009832F7">
      <w:pPr>
        <w:pStyle w:val="Prrafodelista"/>
        <w:widowControl w:val="0"/>
        <w:autoSpaceDE w:val="0"/>
        <w:autoSpaceDN w:val="0"/>
        <w:adjustRightInd w:val="0"/>
        <w:spacing w:line="360" w:lineRule="auto"/>
        <w:ind w:left="0"/>
        <w:jc w:val="both"/>
        <w:rPr>
          <w:rFonts w:ascii="Palatino Linotype" w:hAnsi="Palatino Linotype"/>
        </w:rPr>
      </w:pPr>
    </w:p>
    <w:p w14:paraId="13455749" w14:textId="77777777" w:rsidR="009832F7" w:rsidRDefault="009832F7" w:rsidP="009832F7">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w:t>
      </w:r>
      <w:r>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66325911" w14:textId="77777777" w:rsidR="009832F7" w:rsidRDefault="009832F7" w:rsidP="009832F7">
      <w:pPr>
        <w:pStyle w:val="Prrafodelista"/>
        <w:widowControl w:val="0"/>
        <w:autoSpaceDE w:val="0"/>
        <w:autoSpaceDN w:val="0"/>
        <w:adjustRightInd w:val="0"/>
        <w:ind w:left="0"/>
        <w:jc w:val="both"/>
        <w:rPr>
          <w:rFonts w:ascii="Palatino Linotype" w:hAnsi="Palatino Linotype"/>
          <w:highlight w:val="yellow"/>
        </w:rPr>
      </w:pPr>
    </w:p>
    <w:p w14:paraId="62EEE950" w14:textId="348FE14E" w:rsidR="009832F7" w:rsidRDefault="009832F7" w:rsidP="009832F7">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86B0D77" w14:textId="77777777" w:rsidR="00D266BE" w:rsidRDefault="00D266BE"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13B4F90" w14:textId="77777777" w:rsidR="00737D40" w:rsidRDefault="00737D40" w:rsidP="007E24F0">
      <w:pPr>
        <w:spacing w:before="240" w:line="360" w:lineRule="auto"/>
        <w:ind w:left="851" w:right="851"/>
        <w:jc w:val="both"/>
        <w:rPr>
          <w:rFonts w:ascii="Palatino Linotype" w:eastAsia="Times New Roman" w:hAnsi="Palatino Linotype" w:cs="Times New Roman"/>
          <w:b/>
          <w:i/>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E80103B" w14:textId="77777777" w:rsidR="0072378A" w:rsidRDefault="0072378A" w:rsidP="006D5803">
      <w:pPr>
        <w:tabs>
          <w:tab w:val="left" w:pos="709"/>
        </w:tabs>
        <w:spacing w:before="240" w:line="360" w:lineRule="auto"/>
        <w:ind w:right="51"/>
        <w:jc w:val="both"/>
        <w:rPr>
          <w:rFonts w:ascii="Palatino Linotype" w:hAnsi="Palatino Linotype"/>
          <w:sz w:val="24"/>
          <w:szCs w:val="24"/>
        </w:rPr>
      </w:pPr>
    </w:p>
    <w:p w14:paraId="4F07A121" w14:textId="28C272FD" w:rsidR="00C76DED" w:rsidRDefault="0072378A" w:rsidP="0072378A">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w:t>
      </w:r>
      <w:r w:rsidR="00612954" w:rsidRPr="00A279CF">
        <w:rPr>
          <w:rFonts w:ascii="Palatino Linotype" w:hAnsi="Palatino Linotype"/>
          <w:sz w:val="24"/>
          <w:szCs w:val="24"/>
        </w:rPr>
        <w:t>dente mencionar que mediante la solicitud</w:t>
      </w:r>
      <w:r w:rsidRPr="00A279CF">
        <w:rPr>
          <w:rFonts w:ascii="Palatino Linotype" w:hAnsi="Palatino Linotype"/>
          <w:sz w:val="24"/>
          <w:szCs w:val="24"/>
        </w:rPr>
        <w:t xml:space="preserve"> de información </w:t>
      </w:r>
      <w:r w:rsidR="009832F7">
        <w:rPr>
          <w:rFonts w:ascii="Palatino Linotype" w:hAnsi="Palatino Linotype"/>
          <w:b/>
          <w:sz w:val="24"/>
          <w:szCs w:val="24"/>
        </w:rPr>
        <w:t xml:space="preserve">00015/OASATIZARA/IP/2022 </w:t>
      </w:r>
      <w:r w:rsidR="009832F7">
        <w:rPr>
          <w:rFonts w:ascii="Palatino Linotype" w:hAnsi="Palatino Linotype"/>
          <w:sz w:val="24"/>
          <w:szCs w:val="24"/>
        </w:rPr>
        <w:t xml:space="preserve">fue formulado </w:t>
      </w:r>
      <w:r w:rsidR="009832F7">
        <w:rPr>
          <w:rFonts w:ascii="Palatino Linotype" w:hAnsi="Palatino Linotype"/>
          <w:b/>
          <w:sz w:val="24"/>
          <w:szCs w:val="24"/>
        </w:rPr>
        <w:t xml:space="preserve">1 –un- </w:t>
      </w:r>
      <w:r w:rsidR="009832F7">
        <w:rPr>
          <w:rFonts w:ascii="Palatino Linotype" w:hAnsi="Palatino Linotype"/>
          <w:sz w:val="24"/>
          <w:szCs w:val="24"/>
        </w:rPr>
        <w:t xml:space="preserve">requerimiento, respecto del cual </w:t>
      </w:r>
      <w:r w:rsidR="00C76DED">
        <w:rPr>
          <w:rFonts w:ascii="Palatino Linotype" w:hAnsi="Palatino Linotype"/>
          <w:sz w:val="24"/>
          <w:szCs w:val="24"/>
        </w:rPr>
        <w:t xml:space="preserve">se desprenden las siguientes consideraciones: </w:t>
      </w:r>
    </w:p>
    <w:p w14:paraId="4C8516A4" w14:textId="7EFF1FB8" w:rsidR="00C76DED" w:rsidRDefault="00491CB2" w:rsidP="00C76DED">
      <w:pPr>
        <w:pStyle w:val="Prrafodelista"/>
        <w:numPr>
          <w:ilvl w:val="0"/>
          <w:numId w:val="34"/>
        </w:numPr>
        <w:spacing w:before="240" w:line="360" w:lineRule="auto"/>
        <w:jc w:val="both"/>
        <w:rPr>
          <w:rFonts w:ascii="Palatino Linotype" w:hAnsi="Palatino Linotype"/>
        </w:rPr>
      </w:pPr>
      <w:r>
        <w:rPr>
          <w:rFonts w:ascii="Palatino Linotype" w:hAnsi="Palatino Linotype"/>
        </w:rPr>
        <w:t xml:space="preserve">Que mediante la solicitud de información el particular solicitó </w:t>
      </w:r>
      <w:r>
        <w:rPr>
          <w:rFonts w:ascii="Palatino Linotype" w:hAnsi="Palatino Linotype"/>
          <w:i/>
        </w:rPr>
        <w:t xml:space="preserve">“que criterio </w:t>
      </w:r>
      <w:proofErr w:type="spellStart"/>
      <w:r>
        <w:rPr>
          <w:rFonts w:ascii="Palatino Linotype" w:hAnsi="Palatino Linotype"/>
          <w:i/>
        </w:rPr>
        <w:t>ultizara</w:t>
      </w:r>
      <w:proofErr w:type="spellEnd"/>
      <w:r>
        <w:rPr>
          <w:rFonts w:ascii="Palatino Linotype" w:hAnsi="Palatino Linotype"/>
          <w:i/>
        </w:rPr>
        <w:t xml:space="preserve">” </w:t>
      </w:r>
      <w:r>
        <w:rPr>
          <w:rFonts w:ascii="Palatino Linotype" w:hAnsi="Palatino Linotype"/>
        </w:rPr>
        <w:t xml:space="preserve">es decir, se refiere a un valor gramatical futuro. Bajo este contexto se precisa que el derecho de acceso a la información pública estriba respecto de la </w:t>
      </w:r>
      <w:r>
        <w:rPr>
          <w:rFonts w:ascii="Palatino Linotype" w:hAnsi="Palatino Linotype"/>
        </w:rPr>
        <w:lastRenderedPageBreak/>
        <w:t>información disponible al momento de ejercer dicha prerrogativa, es decir, excluye los siguientes actos:</w:t>
      </w:r>
    </w:p>
    <w:p w14:paraId="4243FB06" w14:textId="182534E4" w:rsidR="00491CB2" w:rsidRDefault="00491CB2" w:rsidP="00491CB2">
      <w:pPr>
        <w:pStyle w:val="Prrafodelista"/>
        <w:numPr>
          <w:ilvl w:val="0"/>
          <w:numId w:val="35"/>
        </w:numPr>
        <w:spacing w:before="240" w:line="360" w:lineRule="auto"/>
        <w:jc w:val="both"/>
        <w:rPr>
          <w:rFonts w:ascii="Palatino Linotype" w:hAnsi="Palatino Linotype"/>
        </w:rPr>
      </w:pPr>
      <w:r>
        <w:rPr>
          <w:rFonts w:ascii="Palatino Linotype" w:hAnsi="Palatino Linotype"/>
          <w:b/>
        </w:rPr>
        <w:t xml:space="preserve">Actos futuros inminentes: </w:t>
      </w:r>
      <w:r>
        <w:rPr>
          <w:rFonts w:ascii="Palatino Linotype" w:hAnsi="Palatino Linotype"/>
        </w:rPr>
        <w:t xml:space="preserve">Son aquellos cuyo mandamiento ya se ha dictado y su ejecución puede realizarse de un momento a otro. </w:t>
      </w:r>
    </w:p>
    <w:p w14:paraId="6648F67E" w14:textId="4717A2C1" w:rsidR="00491CB2" w:rsidRPr="00C76DED" w:rsidRDefault="00491CB2" w:rsidP="00491CB2">
      <w:pPr>
        <w:pStyle w:val="Prrafodelista"/>
        <w:numPr>
          <w:ilvl w:val="0"/>
          <w:numId w:val="35"/>
        </w:numPr>
        <w:spacing w:before="240" w:line="360" w:lineRule="auto"/>
        <w:jc w:val="both"/>
        <w:rPr>
          <w:rFonts w:ascii="Palatino Linotype" w:hAnsi="Palatino Linotype"/>
        </w:rPr>
      </w:pPr>
      <w:r>
        <w:rPr>
          <w:rFonts w:ascii="Palatino Linotype" w:hAnsi="Palatino Linotype"/>
          <w:b/>
        </w:rPr>
        <w:t>Actos futuros probables:</w:t>
      </w:r>
      <w:r>
        <w:rPr>
          <w:rFonts w:ascii="Palatino Linotype" w:hAnsi="Palatino Linotype"/>
        </w:rPr>
        <w:t xml:space="preserve"> Son aquellos que pueden o no suceder, es decir, son de remota realización.</w:t>
      </w:r>
    </w:p>
    <w:p w14:paraId="38CFB619" w14:textId="77777777" w:rsidR="00491CB2" w:rsidRPr="00491CB2" w:rsidRDefault="00491CB2" w:rsidP="00491CB2">
      <w:pPr>
        <w:pStyle w:val="Prrafodelista"/>
        <w:numPr>
          <w:ilvl w:val="0"/>
          <w:numId w:val="34"/>
        </w:numPr>
        <w:spacing w:before="240" w:line="360" w:lineRule="auto"/>
        <w:jc w:val="both"/>
        <w:rPr>
          <w:rFonts w:ascii="Palatino Linotype" w:hAnsi="Palatino Linotype"/>
        </w:rPr>
      </w:pPr>
      <w:r w:rsidRPr="00491CB2">
        <w:rPr>
          <w:rFonts w:ascii="Palatino Linotype" w:hAnsi="Palatino Linotype"/>
        </w:rPr>
        <w:t xml:space="preserve">Que el particular fue omiso en delimitar elemento temporal, debiendo de ser fijado a la fecha en que se ejerció el derecho de acceso a la información pública, es decir, al veinte de enero de dos mil veintidós. </w:t>
      </w:r>
    </w:p>
    <w:p w14:paraId="6423CD3A" w14:textId="77777777" w:rsidR="00C76DED" w:rsidRPr="00491CB2" w:rsidRDefault="00C76DED" w:rsidP="00491CB2">
      <w:pPr>
        <w:pStyle w:val="Prrafodelista"/>
        <w:spacing w:before="240" w:line="360" w:lineRule="auto"/>
        <w:ind w:left="720"/>
        <w:jc w:val="both"/>
        <w:rPr>
          <w:rFonts w:ascii="Palatino Linotype" w:hAnsi="Palatino Linotype"/>
        </w:rPr>
      </w:pPr>
    </w:p>
    <w:p w14:paraId="1A962B05" w14:textId="1D7735ED" w:rsidR="00A279CF" w:rsidRPr="0051062B" w:rsidRDefault="00527166" w:rsidP="009832F7">
      <w:pPr>
        <w:spacing w:before="240" w:line="360" w:lineRule="auto"/>
        <w:jc w:val="both"/>
        <w:rPr>
          <w:rFonts w:ascii="Palatino Linotype" w:hAnsi="Palatino Linotype"/>
          <w:sz w:val="24"/>
          <w:szCs w:val="24"/>
        </w:rPr>
      </w:pPr>
      <w:r>
        <w:rPr>
          <w:rFonts w:ascii="Palatino Linotype" w:hAnsi="Palatino Linotype"/>
          <w:sz w:val="24"/>
          <w:szCs w:val="24"/>
        </w:rPr>
        <w:t>Dichas precisiones</w:t>
      </w:r>
      <w:r w:rsidR="009832F7">
        <w:rPr>
          <w:rFonts w:ascii="Palatino Linotype" w:hAnsi="Palatino Linotype"/>
          <w:sz w:val="24"/>
          <w:szCs w:val="24"/>
        </w:rPr>
        <w:t xml:space="preserve"> con fundamento en </w:t>
      </w:r>
      <w:r w:rsidR="00A279CF" w:rsidRPr="0051062B">
        <w:rPr>
          <w:rFonts w:ascii="Palatino Linotype" w:hAnsi="Palatino Linotype"/>
          <w:sz w:val="24"/>
          <w:szCs w:val="24"/>
        </w:rPr>
        <w:t xml:space="preserve">los artículos 13 y 181 cuarto párrafo de la Ley en materia, los cuales a la letra rezan: </w:t>
      </w:r>
    </w:p>
    <w:p w14:paraId="0DFD282D" w14:textId="77777777" w:rsidR="00A279CF" w:rsidRPr="0051062B" w:rsidRDefault="00A279CF" w:rsidP="00A279C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3FAF328" w14:textId="77777777" w:rsidR="00A279CF" w:rsidRPr="0051062B" w:rsidRDefault="00A279CF" w:rsidP="00A279CF">
      <w:pPr>
        <w:pStyle w:val="Citas"/>
        <w:rPr>
          <w:b/>
        </w:rPr>
      </w:pPr>
      <w:r w:rsidRPr="0051062B">
        <w:rPr>
          <w:b/>
        </w:rPr>
        <w:t xml:space="preserve">Artículo 181. … </w:t>
      </w:r>
    </w:p>
    <w:p w14:paraId="0D4F10D6" w14:textId="77777777" w:rsidR="00A279CF" w:rsidRPr="0051062B" w:rsidRDefault="00A279CF" w:rsidP="00A279CF">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1DBDEF68" w14:textId="77777777" w:rsidR="00A279CF" w:rsidRDefault="00A279CF" w:rsidP="00A279CF">
      <w:pPr>
        <w:spacing w:before="240" w:line="360" w:lineRule="auto"/>
        <w:jc w:val="both"/>
        <w:rPr>
          <w:rFonts w:ascii="Palatino Linotype" w:hAnsi="Palatino Linotype"/>
          <w:highlight w:val="yellow"/>
        </w:rPr>
      </w:pPr>
    </w:p>
    <w:p w14:paraId="3477A581" w14:textId="77777777" w:rsidR="00A279CF" w:rsidRDefault="00A279CF" w:rsidP="00A279C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3AB92D8B" w14:textId="4321214B" w:rsidR="008B634F" w:rsidRDefault="004C2D2D" w:rsidP="00494DE3">
      <w:pPr>
        <w:pStyle w:val="Prrafodelista"/>
        <w:numPr>
          <w:ilvl w:val="0"/>
          <w:numId w:val="19"/>
        </w:numPr>
        <w:spacing w:before="240" w:line="360" w:lineRule="auto"/>
        <w:jc w:val="both"/>
        <w:rPr>
          <w:rFonts w:ascii="Palatino Linotype" w:hAnsi="Palatino Linotype"/>
        </w:rPr>
      </w:pPr>
      <w:r>
        <w:rPr>
          <w:rFonts w:ascii="Palatino Linotype" w:hAnsi="Palatino Linotype"/>
        </w:rPr>
        <w:t xml:space="preserve">El o los documentos donde consten los criterios específicos para convocatorias </w:t>
      </w:r>
      <w:r w:rsidR="00526AEA">
        <w:rPr>
          <w:rFonts w:ascii="Palatino Linotype" w:hAnsi="Palatino Linotype"/>
        </w:rPr>
        <w:t xml:space="preserve">de </w:t>
      </w:r>
      <w:r>
        <w:rPr>
          <w:rFonts w:ascii="Palatino Linotype" w:hAnsi="Palatino Linotype"/>
        </w:rPr>
        <w:t>licitaciones p</w:t>
      </w:r>
      <w:r w:rsidR="00526AEA">
        <w:rPr>
          <w:rFonts w:ascii="Palatino Linotype" w:hAnsi="Palatino Linotype"/>
        </w:rPr>
        <w:t>úblicas</w:t>
      </w:r>
      <w:r w:rsidR="001B65E3">
        <w:rPr>
          <w:rFonts w:ascii="Palatino Linotype" w:hAnsi="Palatino Linotype"/>
        </w:rPr>
        <w:t xml:space="preserve">, al </w:t>
      </w:r>
      <w:r w:rsidR="001F53F1">
        <w:rPr>
          <w:rFonts w:ascii="Palatino Linotype" w:hAnsi="Palatino Linotype"/>
        </w:rPr>
        <w:t>veinte</w:t>
      </w:r>
      <w:r w:rsidR="001B65E3">
        <w:rPr>
          <w:rFonts w:ascii="Palatino Linotype" w:hAnsi="Palatino Linotype"/>
        </w:rPr>
        <w:t xml:space="preserve"> de enero de dos mil veintidós. </w:t>
      </w:r>
    </w:p>
    <w:p w14:paraId="3260B6BA" w14:textId="77777777" w:rsidR="001C336E" w:rsidRDefault="001C336E" w:rsidP="001C336E">
      <w:pPr>
        <w:spacing w:before="240" w:line="360" w:lineRule="auto"/>
        <w:jc w:val="both"/>
        <w:rPr>
          <w:rFonts w:ascii="Palatino Linotype" w:hAnsi="Palatino Linotype"/>
          <w:bCs/>
        </w:rPr>
      </w:pPr>
    </w:p>
    <w:p w14:paraId="2429CD31" w14:textId="1A60F7AD" w:rsidR="009A41F6" w:rsidRDefault="009A41F6" w:rsidP="009A41F6">
      <w:pPr>
        <w:pStyle w:val="Citas"/>
        <w:ind w:left="0" w:right="0"/>
        <w:rPr>
          <w:i w:val="0"/>
          <w:sz w:val="24"/>
          <w:szCs w:val="24"/>
        </w:rPr>
      </w:pPr>
      <w:r>
        <w:rPr>
          <w:i w:val="0"/>
          <w:sz w:val="24"/>
          <w:szCs w:val="24"/>
        </w:rPr>
        <w:t xml:space="preserve">De forma complementaria, con relación a los requerimientos formulados por el particular, resulta oportuno traer a colación </w:t>
      </w:r>
      <w:r w:rsidR="00182C4E">
        <w:rPr>
          <w:i w:val="0"/>
          <w:sz w:val="24"/>
          <w:szCs w:val="24"/>
        </w:rPr>
        <w:t>la siguiente imagen ilustrativa</w:t>
      </w:r>
      <w:r>
        <w:rPr>
          <w:i w:val="0"/>
          <w:sz w:val="24"/>
          <w:szCs w:val="24"/>
        </w:rPr>
        <w:t xml:space="preserve">, </w:t>
      </w:r>
      <w:r w:rsidR="00182C4E">
        <w:rPr>
          <w:i w:val="0"/>
          <w:sz w:val="24"/>
          <w:szCs w:val="24"/>
        </w:rPr>
        <w:t>correspondiente</w:t>
      </w:r>
      <w:r>
        <w:rPr>
          <w:i w:val="0"/>
          <w:sz w:val="24"/>
          <w:szCs w:val="24"/>
        </w:rPr>
        <w:t xml:space="preserve"> al organigrama del </w:t>
      </w:r>
      <w:r>
        <w:rPr>
          <w:b/>
          <w:i w:val="0"/>
          <w:sz w:val="24"/>
          <w:szCs w:val="24"/>
        </w:rPr>
        <w:t xml:space="preserve">Sujeto Obligado, </w:t>
      </w:r>
      <w:r>
        <w:rPr>
          <w:i w:val="0"/>
          <w:sz w:val="24"/>
          <w:szCs w:val="24"/>
        </w:rPr>
        <w:t>susceptible de ser consultado en la siguiente dirección electrónica:</w:t>
      </w:r>
    </w:p>
    <w:p w14:paraId="20F8428E" w14:textId="6798C377" w:rsidR="009A41F6" w:rsidRDefault="00491CB2" w:rsidP="001C336E">
      <w:pPr>
        <w:spacing w:before="240" w:line="360" w:lineRule="auto"/>
        <w:jc w:val="both"/>
        <w:rPr>
          <w:rFonts w:ascii="Palatino Linotype" w:hAnsi="Palatino Linotype"/>
          <w:bCs/>
        </w:rPr>
      </w:pPr>
      <w:r>
        <w:rPr>
          <w:rFonts w:ascii="Palatino Linotype" w:hAnsi="Palatino Linotype"/>
          <w:bCs/>
          <w:noProof/>
          <w:color w:val="0563C1" w:themeColor="hyperlink"/>
          <w:u w:val="single"/>
          <w:lang w:eastAsia="es-MX"/>
        </w:rPr>
        <mc:AlternateContent>
          <mc:Choice Requires="wps">
            <w:drawing>
              <wp:anchor distT="0" distB="0" distL="114300" distR="114300" simplePos="0" relativeHeight="251669504" behindDoc="0" locked="0" layoutInCell="1" allowOverlap="1" wp14:anchorId="6A8F9E45" wp14:editId="36A1BDA8">
                <wp:simplePos x="0" y="0"/>
                <wp:positionH relativeFrom="column">
                  <wp:posOffset>-227151</wp:posOffset>
                </wp:positionH>
                <wp:positionV relativeFrom="paragraph">
                  <wp:posOffset>501185</wp:posOffset>
                </wp:positionV>
                <wp:extent cx="6209731" cy="1617259"/>
                <wp:effectExtent l="0" t="0" r="19685" b="21590"/>
                <wp:wrapNone/>
                <wp:docPr id="19" name="Conector recto 19"/>
                <wp:cNvGraphicFramePr/>
                <a:graphic xmlns:a="http://schemas.openxmlformats.org/drawingml/2006/main">
                  <a:graphicData uri="http://schemas.microsoft.com/office/word/2010/wordprocessingShape">
                    <wps:wsp>
                      <wps:cNvCnPr/>
                      <wps:spPr>
                        <a:xfrm>
                          <a:off x="0" y="0"/>
                          <a:ext cx="6209731" cy="16172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3875C6" id="Conector recto 1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7.9pt,39.45pt" to="471.05pt,1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" strokecolor="#5b9bd5 [3204]" strokeweight=".5pt">
                <v:stroke joinstyle="miter"/>
              </v:line>
            </w:pict>
          </mc:Fallback>
        </mc:AlternateContent>
      </w:r>
      <w:hyperlink r:id="rId8" w:history="1">
        <w:r w:rsidR="00182C4E" w:rsidRPr="000C5758">
          <w:rPr>
            <w:rStyle w:val="Hipervnculo"/>
            <w:rFonts w:ascii="Palatino Linotype" w:hAnsi="Palatino Linotype"/>
            <w:bCs/>
          </w:rPr>
          <w:t>https://www.ipomex.org.mx/ipo3/lgt/indice/OASLAPAZ/organigramas.web</w:t>
        </w:r>
      </w:hyperlink>
      <w:r w:rsidR="00182C4E">
        <w:rPr>
          <w:rFonts w:ascii="Palatino Linotype" w:hAnsi="Palatino Linotype"/>
          <w:bCs/>
        </w:rPr>
        <w:t xml:space="preserve"> </w:t>
      </w:r>
    </w:p>
    <w:p w14:paraId="1239F04C" w14:textId="1DDF4A41" w:rsidR="001B65E3" w:rsidRDefault="00491CB2" w:rsidP="001C336E">
      <w:pPr>
        <w:spacing w:before="240" w:line="360" w:lineRule="auto"/>
        <w:jc w:val="both"/>
        <w:rPr>
          <w:rFonts w:ascii="Palatino Linotype" w:hAnsi="Palatino Linotype"/>
          <w:bCs/>
        </w:rPr>
      </w:pPr>
      <w:r>
        <w:rPr>
          <w:rFonts w:ascii="Palatino Linotype" w:hAnsi="Palatino Linotype"/>
          <w:bCs/>
          <w:noProof/>
          <w:lang w:eastAsia="es-MX"/>
        </w:rPr>
        <w:lastRenderedPageBreak/>
        <w:drawing>
          <wp:anchor distT="0" distB="0" distL="114300" distR="114300" simplePos="0" relativeHeight="251668480" behindDoc="0" locked="0" layoutInCell="1" allowOverlap="1" wp14:anchorId="2CCEDDD1" wp14:editId="031AC184">
            <wp:simplePos x="0" y="0"/>
            <wp:positionH relativeFrom="column">
              <wp:posOffset>2938145</wp:posOffset>
            </wp:positionH>
            <wp:positionV relativeFrom="paragraph">
              <wp:posOffset>3588385</wp:posOffset>
            </wp:positionV>
            <wp:extent cx="2183130" cy="1419860"/>
            <wp:effectExtent l="19050" t="19050" r="26670" b="27940"/>
            <wp:wrapThrough wrapText="bothSides">
              <wp:wrapPolygon edited="0">
                <wp:start x="-188" y="-290"/>
                <wp:lineTo x="-188" y="21735"/>
                <wp:lineTo x="21675" y="21735"/>
                <wp:lineTo x="21675" y="-290"/>
                <wp:lineTo x="-188" y="-290"/>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3130" cy="14198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Cs/>
          <w:noProof/>
          <w:lang w:eastAsia="es-MX"/>
        </w:rPr>
        <w:drawing>
          <wp:anchor distT="0" distB="0" distL="114300" distR="114300" simplePos="0" relativeHeight="251667456" behindDoc="0" locked="0" layoutInCell="1" allowOverlap="1" wp14:anchorId="62768F3A" wp14:editId="6AA629A3">
            <wp:simplePos x="0" y="0"/>
            <wp:positionH relativeFrom="column">
              <wp:posOffset>304961</wp:posOffset>
            </wp:positionH>
            <wp:positionV relativeFrom="paragraph">
              <wp:posOffset>3590063</wp:posOffset>
            </wp:positionV>
            <wp:extent cx="2183130" cy="1426845"/>
            <wp:effectExtent l="19050" t="19050" r="26670" b="20955"/>
            <wp:wrapThrough wrapText="bothSides">
              <wp:wrapPolygon edited="0">
                <wp:start x="-188" y="-288"/>
                <wp:lineTo x="-188" y="21629"/>
                <wp:lineTo x="21675" y="21629"/>
                <wp:lineTo x="21675" y="-288"/>
                <wp:lineTo x="-188" y="-288"/>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3130" cy="14268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2F306B">
        <w:rPr>
          <w:rFonts w:ascii="Palatino Linotype" w:hAnsi="Palatino Linotype"/>
          <w:bCs/>
          <w:noProof/>
          <w:lang w:eastAsia="es-MX"/>
        </w:rPr>
        <w:drawing>
          <wp:anchor distT="0" distB="0" distL="114300" distR="114300" simplePos="0" relativeHeight="251661312" behindDoc="0" locked="0" layoutInCell="1" allowOverlap="1" wp14:anchorId="2F25D9F9" wp14:editId="48AAA7C5">
            <wp:simplePos x="0" y="0"/>
            <wp:positionH relativeFrom="page">
              <wp:align>center</wp:align>
            </wp:positionH>
            <wp:positionV relativeFrom="paragraph">
              <wp:posOffset>19561</wp:posOffset>
            </wp:positionV>
            <wp:extent cx="5752465" cy="3206750"/>
            <wp:effectExtent l="19050" t="19050" r="19685" b="12700"/>
            <wp:wrapThrough wrapText="bothSides">
              <wp:wrapPolygon edited="0">
                <wp:start x="-72" y="-128"/>
                <wp:lineTo x="-72" y="21557"/>
                <wp:lineTo x="21602" y="21557"/>
                <wp:lineTo x="21602" y="-128"/>
                <wp:lineTo x="-72" y="-128"/>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2465" cy="32067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3C448E2" w14:textId="7143E5AF" w:rsidR="001B65E3" w:rsidRDefault="001B65E3" w:rsidP="001C336E">
      <w:pPr>
        <w:spacing w:before="240" w:line="360" w:lineRule="auto"/>
        <w:jc w:val="both"/>
        <w:rPr>
          <w:rFonts w:ascii="Palatino Linotype" w:hAnsi="Palatino Linotype"/>
          <w:bCs/>
        </w:rPr>
      </w:pPr>
    </w:p>
    <w:p w14:paraId="2C2CE590" w14:textId="77F54245" w:rsidR="001B65E3" w:rsidRDefault="001B65E3" w:rsidP="001C336E">
      <w:pPr>
        <w:spacing w:before="240" w:line="360" w:lineRule="auto"/>
        <w:jc w:val="both"/>
        <w:rPr>
          <w:rFonts w:ascii="Palatino Linotype" w:hAnsi="Palatino Linotype"/>
          <w:bCs/>
        </w:rPr>
      </w:pPr>
    </w:p>
    <w:p w14:paraId="516F8886" w14:textId="4F6ECC21" w:rsidR="001B65E3" w:rsidRDefault="001B65E3" w:rsidP="001C336E">
      <w:pPr>
        <w:spacing w:before="240" w:line="360" w:lineRule="auto"/>
        <w:jc w:val="both"/>
        <w:rPr>
          <w:rFonts w:ascii="Palatino Linotype" w:hAnsi="Palatino Linotype"/>
          <w:bCs/>
        </w:rPr>
      </w:pPr>
    </w:p>
    <w:p w14:paraId="3ED553E6" w14:textId="4B51CA0F" w:rsidR="001B65E3" w:rsidRDefault="001B65E3" w:rsidP="001C336E">
      <w:pPr>
        <w:spacing w:before="240" w:line="360" w:lineRule="auto"/>
        <w:jc w:val="both"/>
        <w:rPr>
          <w:rFonts w:ascii="Palatino Linotype" w:hAnsi="Palatino Linotype"/>
          <w:bCs/>
        </w:rPr>
      </w:pPr>
    </w:p>
    <w:p w14:paraId="541FDD1A" w14:textId="0DF5F61C" w:rsidR="001B65E3" w:rsidRPr="002F306B" w:rsidRDefault="002F306B" w:rsidP="001C336E">
      <w:pPr>
        <w:spacing w:before="240" w:line="360" w:lineRule="auto"/>
        <w:jc w:val="both"/>
        <w:rPr>
          <w:rFonts w:ascii="Palatino Linotype" w:hAnsi="Palatino Linotype"/>
          <w:b/>
          <w:bCs/>
          <w:sz w:val="24"/>
          <w:szCs w:val="24"/>
        </w:rPr>
      </w:pPr>
      <w:r w:rsidRPr="002F306B">
        <w:rPr>
          <w:rFonts w:ascii="Palatino Linotype" w:hAnsi="Palatino Linotype"/>
          <w:bCs/>
          <w:sz w:val="24"/>
          <w:szCs w:val="24"/>
        </w:rPr>
        <w:t xml:space="preserve">De lo expuesto con anterioridad, se desprende que </w:t>
      </w:r>
      <w:r w:rsidRPr="002F306B">
        <w:rPr>
          <w:rFonts w:ascii="Palatino Linotype" w:hAnsi="Palatino Linotype"/>
          <w:b/>
          <w:sz w:val="24"/>
          <w:szCs w:val="24"/>
        </w:rPr>
        <w:t xml:space="preserve">El Sujeto Obligado </w:t>
      </w:r>
      <w:r w:rsidRPr="002F306B">
        <w:rPr>
          <w:rFonts w:ascii="Palatino Linotype" w:hAnsi="Palatino Linotype"/>
          <w:sz w:val="24"/>
          <w:szCs w:val="24"/>
        </w:rPr>
        <w:t xml:space="preserve">se auxilia de diversas Direcciones, Subdirecciones, Departamentos y Unidades Administrativas </w:t>
      </w:r>
      <w:r w:rsidRPr="002F306B">
        <w:rPr>
          <w:rFonts w:ascii="Palatino Linotype" w:hAnsi="Palatino Linotype"/>
          <w:sz w:val="24"/>
          <w:szCs w:val="24"/>
        </w:rPr>
        <w:lastRenderedPageBreak/>
        <w:t>para cumplir con sus fines y objetivos, resultando de nuestro más amplio interés la</w:t>
      </w:r>
      <w:r>
        <w:rPr>
          <w:rFonts w:ascii="Palatino Linotype" w:hAnsi="Palatino Linotype"/>
          <w:sz w:val="24"/>
          <w:szCs w:val="24"/>
        </w:rPr>
        <w:t xml:space="preserve"> </w:t>
      </w:r>
      <w:r>
        <w:rPr>
          <w:rFonts w:ascii="Palatino Linotype" w:hAnsi="Palatino Linotype"/>
          <w:b/>
          <w:sz w:val="24"/>
          <w:szCs w:val="24"/>
        </w:rPr>
        <w:t>Coordinación de Administración</w:t>
      </w:r>
      <w:r>
        <w:rPr>
          <w:rFonts w:ascii="Palatino Linotype" w:hAnsi="Palatino Linotype"/>
          <w:sz w:val="24"/>
          <w:szCs w:val="24"/>
        </w:rPr>
        <w:t xml:space="preserve">, así como el </w:t>
      </w:r>
      <w:r>
        <w:rPr>
          <w:rFonts w:ascii="Palatino Linotype" w:hAnsi="Palatino Linotype"/>
          <w:b/>
          <w:sz w:val="24"/>
          <w:szCs w:val="24"/>
        </w:rPr>
        <w:t xml:space="preserve">Departamento de Adquisiciones. </w:t>
      </w:r>
    </w:p>
    <w:p w14:paraId="6242A9A6" w14:textId="475DB508" w:rsidR="00717C47" w:rsidRDefault="002F306B" w:rsidP="001C336E">
      <w:pPr>
        <w:spacing w:before="240" w:line="360" w:lineRule="auto"/>
        <w:jc w:val="both"/>
        <w:rPr>
          <w:rFonts w:ascii="Palatino Linotype" w:hAnsi="Palatino Linotype"/>
          <w:bCs/>
          <w:sz w:val="24"/>
          <w:szCs w:val="24"/>
        </w:rPr>
      </w:pPr>
      <w:r>
        <w:rPr>
          <w:rFonts w:ascii="Palatino Linotype" w:hAnsi="Palatino Linotype"/>
          <w:bCs/>
          <w:sz w:val="24"/>
          <w:szCs w:val="24"/>
        </w:rPr>
        <w:t xml:space="preserve">A mayor abundamiento, en alusión a los requerimientos formulados por el particular, resulta oportuno </w:t>
      </w:r>
      <w:r w:rsidR="005E7286">
        <w:rPr>
          <w:rFonts w:ascii="Palatino Linotype" w:hAnsi="Palatino Linotype"/>
          <w:bCs/>
          <w:sz w:val="24"/>
          <w:szCs w:val="24"/>
        </w:rPr>
        <w:t xml:space="preserve">traer a colación </w:t>
      </w:r>
      <w:r w:rsidR="001A53C9">
        <w:rPr>
          <w:rFonts w:ascii="Palatino Linotype" w:hAnsi="Palatino Linotype"/>
          <w:bCs/>
          <w:sz w:val="24"/>
          <w:szCs w:val="24"/>
        </w:rPr>
        <w:t>los numerales 90, fracciones XI y XII, 91, 93, fracciones I, II, III y XVIII del Reglamento Orgánico Interno del Organismo Público Descentralizado para la Prestación de los Servicios de Agua Potable, Alcantarillado y Saneamiento del Municipio de Atizapán de Zaragoza</w:t>
      </w:r>
      <w:r w:rsidR="00717C47">
        <w:rPr>
          <w:rFonts w:ascii="Palatino Linotype" w:hAnsi="Palatino Linotype"/>
          <w:bCs/>
          <w:sz w:val="24"/>
          <w:szCs w:val="24"/>
        </w:rPr>
        <w:t xml:space="preserve">; así como los numerales 26, 27 y 33 de la Ley de Contratación Pública del Estado de México, porciones normativas que disponen a la literalidad lo siguiente: </w:t>
      </w:r>
    </w:p>
    <w:p w14:paraId="0A022C21" w14:textId="5FE93AD1" w:rsidR="00717C47" w:rsidRPr="00717C47" w:rsidRDefault="00717C47" w:rsidP="00717C47">
      <w:pPr>
        <w:pStyle w:val="Citas"/>
        <w:rPr>
          <w:b/>
        </w:rPr>
      </w:pPr>
      <w:r w:rsidRPr="00717C47">
        <w:rPr>
          <w:b/>
          <w:bCs/>
          <w:sz w:val="24"/>
          <w:szCs w:val="24"/>
        </w:rPr>
        <w:t>REGLAMENTO ORGÁNICO INTERNO DEL ORGANISMO PÚBLICO DESCENTRALIZADO PARA LA PRESTACIÓN DE LOS SERVICIOS DE AGUA POTABLE, ALCANTARILLADO Y SANEAMIENTO DEL MUNICIPIO DE ATIZAPÁN DE ZARAGOZA</w:t>
      </w:r>
    </w:p>
    <w:p w14:paraId="38EBCDBC" w14:textId="70F6CAD2" w:rsidR="005E7286" w:rsidRDefault="00717C47" w:rsidP="001A53C9">
      <w:pPr>
        <w:pStyle w:val="Citas"/>
      </w:pPr>
      <w:r>
        <w:t xml:space="preserve"> </w:t>
      </w:r>
      <w:r w:rsidR="001A53C9">
        <w:t>“</w:t>
      </w:r>
      <w:r w:rsidR="005E7286">
        <w:t>Artículo 90. La Coordinación de la Administración, será supervisada por la Subdirección de Administración y Finanzas del Organismo y tendrá de manera enunciativa más no limitativa, las siguientes atribuciones:</w:t>
      </w:r>
    </w:p>
    <w:p w14:paraId="049D270B" w14:textId="721E86AF" w:rsidR="005E7286" w:rsidRDefault="005E7286" w:rsidP="001A53C9">
      <w:pPr>
        <w:pStyle w:val="Citas"/>
      </w:pPr>
      <w:r>
        <w:t>(…)</w:t>
      </w:r>
    </w:p>
    <w:p w14:paraId="52706BBA" w14:textId="77777777" w:rsidR="005E7286" w:rsidRDefault="005E7286" w:rsidP="001A53C9">
      <w:pPr>
        <w:pStyle w:val="Citas"/>
      </w:pPr>
      <w:r>
        <w:t>XI. Vigilar el cumplimiento de las actividades solicitadas de mantenimiento o servicios generales;</w:t>
      </w:r>
    </w:p>
    <w:p w14:paraId="1AF2DD3F" w14:textId="3DE1AB84" w:rsidR="005E7286" w:rsidRDefault="005E7286" w:rsidP="001A53C9">
      <w:pPr>
        <w:pStyle w:val="Citas"/>
      </w:pPr>
      <w:r>
        <w:lastRenderedPageBreak/>
        <w:t xml:space="preserve"> XII. Vigilar el cumplimiento de los requerimientos básicos de las requisiciones;</w:t>
      </w:r>
    </w:p>
    <w:p w14:paraId="157DC4D7" w14:textId="315DCF5B" w:rsidR="005E7286" w:rsidRDefault="005E7286" w:rsidP="001A53C9">
      <w:pPr>
        <w:pStyle w:val="Citas"/>
      </w:pPr>
      <w:r>
        <w:t>(…)</w:t>
      </w:r>
    </w:p>
    <w:p w14:paraId="18609F66" w14:textId="77777777" w:rsidR="001A53C9" w:rsidRDefault="005E7286" w:rsidP="001A53C9">
      <w:pPr>
        <w:pStyle w:val="Citas"/>
      </w:pPr>
      <w:r>
        <w:t xml:space="preserve">Artículo 91. Para el estudio, planeación y despacho de los asuntos de su competencia, la Coordinación de Administración, se integrará por las siguientes Unidades Administrativas: </w:t>
      </w:r>
    </w:p>
    <w:p w14:paraId="35DC971D" w14:textId="77777777" w:rsidR="001A53C9" w:rsidRDefault="005E7286" w:rsidP="001A53C9">
      <w:pPr>
        <w:pStyle w:val="Citas"/>
      </w:pPr>
      <w:r>
        <w:t xml:space="preserve">A. Departamento de Capital Humano; </w:t>
      </w:r>
    </w:p>
    <w:p w14:paraId="4B93B7A2" w14:textId="77777777" w:rsidR="001A53C9" w:rsidRPr="001A53C9" w:rsidRDefault="005E7286" w:rsidP="001A53C9">
      <w:pPr>
        <w:pStyle w:val="Citas"/>
        <w:rPr>
          <w:b/>
          <w:u w:val="single"/>
        </w:rPr>
      </w:pPr>
      <w:r w:rsidRPr="001A53C9">
        <w:rPr>
          <w:b/>
          <w:u w:val="single"/>
        </w:rPr>
        <w:t xml:space="preserve">B. Departamento de Adquisiciones; </w:t>
      </w:r>
    </w:p>
    <w:p w14:paraId="6A960EA8" w14:textId="77777777" w:rsidR="001A53C9" w:rsidRDefault="005E7286" w:rsidP="001A53C9">
      <w:pPr>
        <w:pStyle w:val="Citas"/>
      </w:pPr>
      <w:r>
        <w:t xml:space="preserve">C. Departamento de Servicios Generales; </w:t>
      </w:r>
    </w:p>
    <w:p w14:paraId="0B9E33EC" w14:textId="77777777" w:rsidR="001A53C9" w:rsidRDefault="005E7286" w:rsidP="001A53C9">
      <w:pPr>
        <w:pStyle w:val="Citas"/>
      </w:pPr>
      <w:r>
        <w:t xml:space="preserve">D. Departamento de Almacenes; </w:t>
      </w:r>
    </w:p>
    <w:p w14:paraId="16D9D6B0" w14:textId="77777777" w:rsidR="001A53C9" w:rsidRDefault="005E7286" w:rsidP="001A53C9">
      <w:pPr>
        <w:pStyle w:val="Citas"/>
      </w:pPr>
      <w:r>
        <w:t xml:space="preserve">E. Departamento de Control Vehicular y Taller; </w:t>
      </w:r>
    </w:p>
    <w:p w14:paraId="76E8A1E2" w14:textId="3E0DD84F" w:rsidR="005E7286" w:rsidRDefault="005E7286" w:rsidP="001A53C9">
      <w:pPr>
        <w:pStyle w:val="Citas"/>
      </w:pPr>
      <w:r>
        <w:t>F. Departamento de Control Patrimonial; y G. Unidad de Archivo General</w:t>
      </w:r>
    </w:p>
    <w:p w14:paraId="3AFA5809" w14:textId="354E9698" w:rsidR="005E7286" w:rsidRDefault="005E7286" w:rsidP="001A53C9">
      <w:pPr>
        <w:pStyle w:val="Citas"/>
      </w:pPr>
      <w:r>
        <w:t>Artículo 93. El Departamento de Adquisiciones, para el desempeño de sus funciones tendrá de manera enunciativa más no limitativa, las siguientes atribuciones:</w:t>
      </w:r>
    </w:p>
    <w:p w14:paraId="34301548" w14:textId="77777777" w:rsidR="001A53C9" w:rsidRDefault="005E7286" w:rsidP="001A53C9">
      <w:pPr>
        <w:pStyle w:val="Citas"/>
      </w:pPr>
      <w:r>
        <w:t>I. Elaborar el Programa Anual de Adquisiciones para su presentación ante el Consejo Directivo y ante el Comité de Adquisiciones y Servicios del Organismo;</w:t>
      </w:r>
    </w:p>
    <w:p w14:paraId="7AA1B008" w14:textId="77777777" w:rsidR="001A53C9" w:rsidRPr="001A53C9" w:rsidRDefault="005E7286" w:rsidP="001A53C9">
      <w:pPr>
        <w:pStyle w:val="Citas"/>
        <w:rPr>
          <w:b/>
          <w:u w:val="single"/>
        </w:rPr>
      </w:pPr>
      <w:r w:rsidRPr="001A53C9">
        <w:rPr>
          <w:b/>
          <w:u w:val="single"/>
        </w:rPr>
        <w:t xml:space="preserve"> II. Ejecutar los procedimientos de licitación pública, invitación restringida y adjudicación directa, para la adquisición de bienes y servicios y vigilar la administración de lo contratado. </w:t>
      </w:r>
    </w:p>
    <w:p w14:paraId="681A82C0" w14:textId="27EB27D5" w:rsidR="005E7286" w:rsidRDefault="005E7286" w:rsidP="001A53C9">
      <w:pPr>
        <w:pStyle w:val="Citas"/>
      </w:pPr>
      <w:r>
        <w:lastRenderedPageBreak/>
        <w:t>III. Elaborar una nueva convocatoria abierta a empresas del municipio, para aumentar y renovar el padrón de proveedores del organismo, en función a los requisitos que le solicite la legislación aplicable, así como realizar la evaluación de los proveedores;</w:t>
      </w:r>
    </w:p>
    <w:p w14:paraId="1DFCD713" w14:textId="77777777" w:rsidR="005E7286" w:rsidRDefault="005E7286" w:rsidP="001A53C9">
      <w:pPr>
        <w:pStyle w:val="Citas"/>
      </w:pPr>
      <w:r>
        <w:t>(…)</w:t>
      </w:r>
    </w:p>
    <w:p w14:paraId="09CE5A55" w14:textId="0CC508A5" w:rsidR="005E7286" w:rsidRDefault="005E7286" w:rsidP="001A53C9">
      <w:pPr>
        <w:pStyle w:val="Citas"/>
      </w:pPr>
      <w:r>
        <w:t>XVIII. Publicar en el Sistema de “</w:t>
      </w:r>
      <w:proofErr w:type="spellStart"/>
      <w:r>
        <w:t>CompraNet</w:t>
      </w:r>
      <w:proofErr w:type="spellEnd"/>
      <w:r>
        <w:t>” los procedimientos de licitación, de conformidad a la normatividad establecida;</w:t>
      </w:r>
      <w:r>
        <w:tab/>
      </w:r>
    </w:p>
    <w:p w14:paraId="0C19DD37" w14:textId="4C66AF13" w:rsidR="001A53C9" w:rsidRPr="001A53C9" w:rsidRDefault="001A53C9" w:rsidP="001A53C9">
      <w:pPr>
        <w:pStyle w:val="Citas"/>
        <w:rPr>
          <w:b/>
        </w:rPr>
      </w:pPr>
      <w:r>
        <w:t xml:space="preserve">(…)” </w:t>
      </w:r>
      <w:r>
        <w:rPr>
          <w:b/>
        </w:rPr>
        <w:t xml:space="preserve">[Sic] </w:t>
      </w:r>
    </w:p>
    <w:p w14:paraId="22F41B77" w14:textId="77777777" w:rsidR="005E7286" w:rsidRDefault="005E7286" w:rsidP="001C336E">
      <w:pPr>
        <w:spacing w:before="240" w:line="360" w:lineRule="auto"/>
        <w:jc w:val="both"/>
        <w:rPr>
          <w:rFonts w:ascii="Palatino Linotype" w:hAnsi="Palatino Linotype"/>
          <w:bCs/>
          <w:sz w:val="24"/>
          <w:szCs w:val="24"/>
        </w:rPr>
      </w:pPr>
    </w:p>
    <w:p w14:paraId="6F0F021B" w14:textId="35F26315" w:rsidR="00717C47" w:rsidRPr="00AA7EDD" w:rsidRDefault="00717C47" w:rsidP="00717C47">
      <w:pPr>
        <w:spacing w:after="0" w:line="360" w:lineRule="auto"/>
        <w:jc w:val="center"/>
        <w:rPr>
          <w:rFonts w:ascii="Palatino Linotype" w:hAnsi="Palatino Linotype" w:cs="Arial"/>
          <w:b/>
          <w:i/>
          <w:color w:val="000000"/>
          <w:lang w:val="es-ES_tradnl"/>
        </w:rPr>
      </w:pPr>
      <w:r w:rsidRPr="00AA7EDD">
        <w:rPr>
          <w:rFonts w:ascii="Palatino Linotype" w:hAnsi="Palatino Linotype" w:cs="Arial"/>
          <w:b/>
          <w:i/>
          <w:color w:val="000000"/>
          <w:lang w:val="es-ES_tradnl"/>
        </w:rPr>
        <w:t>LEY DE CONTRATACIÓN PÚBLICA DEL ESTADO DE MÉXICO</w:t>
      </w:r>
    </w:p>
    <w:p w14:paraId="2DD0AD5C" w14:textId="77777777" w:rsidR="00717C47" w:rsidRPr="002D0587" w:rsidRDefault="00717C47" w:rsidP="00717C47">
      <w:pPr>
        <w:spacing w:before="240" w:line="360" w:lineRule="auto"/>
        <w:ind w:left="851" w:right="851"/>
        <w:jc w:val="both"/>
        <w:rPr>
          <w:rFonts w:ascii="Palatino Linotype" w:hAnsi="Palatino Linotype"/>
          <w:i/>
        </w:rPr>
      </w:pPr>
      <w:r w:rsidRPr="002D0587">
        <w:rPr>
          <w:rFonts w:ascii="Palatino Linotype" w:hAnsi="Palatino Linotype"/>
          <w:i/>
        </w:rPr>
        <w:t xml:space="preserve">“Artículo 26.- Las adquisiciones, arrendamientos y servicios se adjudicarán a través de licitaciones públicas, mediante convocatoria pública. </w:t>
      </w:r>
    </w:p>
    <w:p w14:paraId="39977D76" w14:textId="77777777" w:rsidR="00717C47" w:rsidRPr="002D0587" w:rsidRDefault="00717C47" w:rsidP="00717C47">
      <w:pPr>
        <w:spacing w:before="240" w:line="360" w:lineRule="auto"/>
        <w:ind w:left="851" w:right="851"/>
        <w:jc w:val="both"/>
        <w:rPr>
          <w:rFonts w:ascii="Palatino Linotype" w:hAnsi="Palatino Linotype"/>
          <w:i/>
        </w:rPr>
      </w:pPr>
      <w:r w:rsidRPr="002D0587">
        <w:rPr>
          <w:rFonts w:ascii="Palatino Linotype" w:hAnsi="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14:paraId="03B4E5F2" w14:textId="77777777" w:rsidR="00717C47" w:rsidRPr="002D0587" w:rsidRDefault="00717C47" w:rsidP="00717C47">
      <w:pPr>
        <w:pStyle w:val="Prrafodelista"/>
        <w:numPr>
          <w:ilvl w:val="0"/>
          <w:numId w:val="31"/>
        </w:numPr>
        <w:spacing w:before="240" w:after="160" w:line="360" w:lineRule="auto"/>
        <w:ind w:left="851" w:right="851" w:firstLine="0"/>
        <w:jc w:val="both"/>
        <w:rPr>
          <w:rFonts w:ascii="Palatino Linotype" w:hAnsi="Palatino Linotype"/>
          <w:i/>
          <w:sz w:val="22"/>
          <w:szCs w:val="22"/>
        </w:rPr>
      </w:pPr>
      <w:r w:rsidRPr="002D0587">
        <w:rPr>
          <w:rFonts w:ascii="Palatino Linotype" w:hAnsi="Palatino Linotype"/>
          <w:i/>
          <w:sz w:val="22"/>
          <w:szCs w:val="22"/>
        </w:rPr>
        <w:t>Invitación restringida.</w:t>
      </w:r>
    </w:p>
    <w:p w14:paraId="4DE632BB" w14:textId="04AF9D6A" w:rsidR="00717C47" w:rsidRPr="00717C47" w:rsidRDefault="00717C47" w:rsidP="00717C47">
      <w:pPr>
        <w:pStyle w:val="Prrafodelista"/>
        <w:numPr>
          <w:ilvl w:val="0"/>
          <w:numId w:val="31"/>
        </w:numPr>
        <w:spacing w:before="240" w:after="160" w:line="360" w:lineRule="auto"/>
        <w:ind w:left="851" w:right="851" w:firstLine="0"/>
        <w:jc w:val="both"/>
        <w:rPr>
          <w:rFonts w:ascii="Palatino Linotype" w:hAnsi="Palatino Linotype" w:cs="Arial"/>
          <w:b/>
          <w:i/>
          <w:color w:val="000000"/>
          <w:sz w:val="22"/>
          <w:szCs w:val="22"/>
          <w:lang w:val="es-ES_tradnl"/>
        </w:rPr>
      </w:pPr>
      <w:r>
        <w:rPr>
          <w:rFonts w:ascii="Palatino Linotype" w:hAnsi="Palatino Linotype"/>
          <w:i/>
          <w:sz w:val="22"/>
          <w:szCs w:val="22"/>
        </w:rPr>
        <w:t xml:space="preserve"> Adjudicación directa.</w:t>
      </w:r>
    </w:p>
    <w:p w14:paraId="6CB21A3C" w14:textId="77777777" w:rsidR="00717C47" w:rsidRDefault="00717C47" w:rsidP="00717C47">
      <w:pPr>
        <w:pStyle w:val="Citas"/>
      </w:pPr>
      <w:r>
        <w:lastRenderedPageBreak/>
        <w:t>Artículo 33.- Las convocatorias podrán referirse a la celebración de una o más licitaciones públicas; se publicarán por una sola vez, cuando menos en uno de los diarios de mayor circulación en la capital del Estado y en uno de los diarios de mayor circulación nacional, así como a través del COMPRAMEX, y contendrán:</w:t>
      </w:r>
    </w:p>
    <w:p w14:paraId="707045A0" w14:textId="77777777" w:rsidR="00717C47" w:rsidRDefault="00717C47" w:rsidP="00717C47">
      <w:pPr>
        <w:pStyle w:val="Citas"/>
      </w:pPr>
      <w:r>
        <w:t xml:space="preserve"> I. El nombre de la convocante.</w:t>
      </w:r>
    </w:p>
    <w:p w14:paraId="62B7B020" w14:textId="77777777" w:rsidR="00717C47" w:rsidRDefault="00717C47" w:rsidP="00717C47">
      <w:pPr>
        <w:pStyle w:val="Citas"/>
      </w:pPr>
      <w:r>
        <w:t xml:space="preserve"> II. La descripción genérica de los bienes o servicios objeto de la licitación, así como la descripción especifica de por los menos cinco partidas o conceptos de mayor monto, de ser el caso.</w:t>
      </w:r>
    </w:p>
    <w:p w14:paraId="7F4886B0" w14:textId="77777777" w:rsidR="00717C47" w:rsidRDefault="00717C47" w:rsidP="00717C47">
      <w:pPr>
        <w:pStyle w:val="Citas"/>
      </w:pPr>
      <w:r>
        <w:t xml:space="preserve"> III. La indicación de si la licitación es nacional o internacional, así como que las propuestas deberá presentarse en idioma español. </w:t>
      </w:r>
    </w:p>
    <w:p w14:paraId="1D40DCB1" w14:textId="77777777" w:rsidR="00717C47" w:rsidRDefault="00717C47" w:rsidP="00717C47">
      <w:pPr>
        <w:pStyle w:val="Citas"/>
      </w:pPr>
      <w:r>
        <w:t xml:space="preserve">IV. El origen de los recursos. </w:t>
      </w:r>
    </w:p>
    <w:p w14:paraId="4B3E7DB0" w14:textId="77777777" w:rsidR="00717C47" w:rsidRDefault="00717C47" w:rsidP="00717C47">
      <w:pPr>
        <w:pStyle w:val="Citas"/>
      </w:pPr>
      <w:r>
        <w:t xml:space="preserve">V. El lugar y plazo de entrega, así como las condiciones de pago. </w:t>
      </w:r>
    </w:p>
    <w:p w14:paraId="4239D4FC" w14:textId="77777777" w:rsidR="00717C47" w:rsidRDefault="00717C47" w:rsidP="00717C47">
      <w:pPr>
        <w:pStyle w:val="Citas"/>
      </w:pPr>
      <w:r>
        <w:t xml:space="preserve">VI. La indicación de los lugares, fechas, horarios y medios electrónicos en que los interesados podrán obtener las bases de licitación y, en su caso, el costo, forma de pago y si la licitación será presencial, electrónica o mixta. </w:t>
      </w:r>
    </w:p>
    <w:p w14:paraId="5D591D65" w14:textId="77777777" w:rsidR="00717C47" w:rsidRDefault="00717C47" w:rsidP="00717C47">
      <w:pPr>
        <w:pStyle w:val="Citas"/>
      </w:pPr>
      <w:r>
        <w:t xml:space="preserve">VII. La fecha, hora y lugar de la o las juntas aclaratorias, en su caso. </w:t>
      </w:r>
    </w:p>
    <w:p w14:paraId="53EC45E3" w14:textId="77777777" w:rsidR="00717C47" w:rsidRDefault="00717C47" w:rsidP="00717C47">
      <w:pPr>
        <w:pStyle w:val="Citas"/>
      </w:pPr>
      <w:r>
        <w:t xml:space="preserve">VIII. La fecha, hora y lugar de celebración del acto de presentación, apertura y evaluación de propuestas, dictamen y fallo. </w:t>
      </w:r>
    </w:p>
    <w:p w14:paraId="415AB46B" w14:textId="77777777" w:rsidR="00717C47" w:rsidRDefault="00717C47" w:rsidP="00717C47">
      <w:pPr>
        <w:pStyle w:val="Citas"/>
      </w:pPr>
      <w:r>
        <w:t xml:space="preserve">IX. En el caso de contratos abiertos, las cantidades y plazos mínimos y máximos. </w:t>
      </w:r>
    </w:p>
    <w:p w14:paraId="50D4CB38" w14:textId="77777777" w:rsidR="00717C47" w:rsidRDefault="00717C47" w:rsidP="00717C47">
      <w:pPr>
        <w:pStyle w:val="Citas"/>
      </w:pPr>
      <w:r>
        <w:lastRenderedPageBreak/>
        <w:t xml:space="preserve">X. La indicación de las personas que estén impedidas a participar, conforme a las disposiciones de esta Ley. </w:t>
      </w:r>
    </w:p>
    <w:p w14:paraId="21D1A4A4" w14:textId="77777777" w:rsidR="00717C47" w:rsidRDefault="00717C47" w:rsidP="00717C47">
      <w:pPr>
        <w:pStyle w:val="Citas"/>
      </w:pPr>
      <w:proofErr w:type="spellStart"/>
      <w:r>
        <w:t>Xl</w:t>
      </w:r>
      <w:proofErr w:type="spellEnd"/>
      <w:r>
        <w:t xml:space="preserve">. La garantía que deberá otorgarse para asegurar la seriedad de la postura, tratándose de subasta. </w:t>
      </w:r>
    </w:p>
    <w:p w14:paraId="32A0196D" w14:textId="77777777" w:rsidR="00717C47" w:rsidRDefault="00717C47" w:rsidP="00717C47">
      <w:pPr>
        <w:pStyle w:val="Citas"/>
      </w:pPr>
      <w:r>
        <w:t xml:space="preserve">XII. En su caso, la garantía de defectos o vicios ocultos de los bienes según lo determine la convocante, debiendo justificar dicho requisito. </w:t>
      </w:r>
    </w:p>
    <w:p w14:paraId="639DDC91" w14:textId="77777777" w:rsidR="00717C47" w:rsidRPr="00717C47" w:rsidRDefault="00717C47" w:rsidP="00717C47">
      <w:pPr>
        <w:pStyle w:val="Citas"/>
        <w:rPr>
          <w:b/>
          <w:u w:val="single"/>
        </w:rPr>
      </w:pPr>
      <w:r w:rsidRPr="000156FD">
        <w:rPr>
          <w:b/>
          <w:u w:val="single"/>
        </w:rPr>
        <w:t>XIII. Los criterios específicos que se utilizarán para la evaluación de las propuestas y adjudicación de los contratos.</w:t>
      </w:r>
      <w:r w:rsidRPr="00717C47">
        <w:rPr>
          <w:b/>
          <w:u w:val="single"/>
        </w:rPr>
        <w:t xml:space="preserve"> </w:t>
      </w:r>
    </w:p>
    <w:p w14:paraId="01985C03" w14:textId="77777777" w:rsidR="00717C47" w:rsidRDefault="00717C47" w:rsidP="00717C47">
      <w:pPr>
        <w:pStyle w:val="Citas"/>
      </w:pPr>
      <w:r>
        <w:t xml:space="preserve">XIV. La justificación para no aceptar proposiciones conjuntas. </w:t>
      </w:r>
    </w:p>
    <w:p w14:paraId="45559C9D" w14:textId="77777777" w:rsidR="00717C47" w:rsidRDefault="00717C47" w:rsidP="00717C47">
      <w:pPr>
        <w:pStyle w:val="Citas"/>
      </w:pPr>
      <w:r>
        <w:t>XV. Los demás requisitos generales que deberán cumplir los interesados, según las características y magnitud de los bienes y servicios.</w:t>
      </w:r>
      <w:r w:rsidRPr="00717C47">
        <w:t xml:space="preserve"> </w:t>
      </w:r>
    </w:p>
    <w:p w14:paraId="658484FE" w14:textId="77777777" w:rsidR="00717C47" w:rsidRDefault="00717C47" w:rsidP="00717C47">
      <w:pPr>
        <w:pStyle w:val="Citas"/>
      </w:pPr>
      <w:r>
        <w:t xml:space="preserve">En la convocatoria deberá especificarse si en la licitación aplicará la modalidad de subasta inversa. </w:t>
      </w:r>
    </w:p>
    <w:p w14:paraId="6CC96188" w14:textId="27EF01C8" w:rsidR="00717C47" w:rsidRPr="007373AF" w:rsidRDefault="00717C47" w:rsidP="00717C47">
      <w:pPr>
        <w:pStyle w:val="Citas"/>
        <w:rPr>
          <w:b/>
          <w:color w:val="000000"/>
          <w:lang w:val="es-ES_tradnl"/>
        </w:rPr>
      </w:pPr>
      <w:r>
        <w:t>La Secretaría de la Contraloría hará pública la información referente a los procedimientos de adquisición, a través de su portal de internet.</w:t>
      </w:r>
    </w:p>
    <w:p w14:paraId="015C76A1" w14:textId="77777777" w:rsidR="00527166" w:rsidRDefault="00527166" w:rsidP="000034EA">
      <w:pPr>
        <w:spacing w:before="240" w:line="360" w:lineRule="auto"/>
        <w:jc w:val="both"/>
        <w:rPr>
          <w:rFonts w:ascii="Palatino Linotype" w:hAnsi="Palatino Linotype"/>
          <w:bCs/>
          <w:sz w:val="24"/>
          <w:szCs w:val="24"/>
        </w:rPr>
      </w:pPr>
    </w:p>
    <w:p w14:paraId="3323E4F0" w14:textId="77B1DD42" w:rsidR="000034EA" w:rsidRDefault="001A53C9" w:rsidP="000034EA">
      <w:pPr>
        <w:spacing w:before="240" w:line="360" w:lineRule="auto"/>
        <w:jc w:val="both"/>
        <w:rPr>
          <w:rFonts w:ascii="Palatino Linotype" w:hAnsi="Palatino Linotype"/>
          <w:b/>
          <w:bCs/>
        </w:rPr>
      </w:pPr>
      <w:r w:rsidRPr="000034EA">
        <w:rPr>
          <w:rFonts w:ascii="Palatino Linotype" w:hAnsi="Palatino Linotype"/>
          <w:bCs/>
          <w:sz w:val="24"/>
          <w:szCs w:val="24"/>
        </w:rPr>
        <w:t xml:space="preserve">De ahí que deba arribarse a la premisa de que </w:t>
      </w:r>
      <w:r w:rsidR="000034EA" w:rsidRPr="000034EA">
        <w:rPr>
          <w:rFonts w:ascii="Palatino Linotype" w:hAnsi="Palatino Linotype"/>
          <w:bCs/>
          <w:sz w:val="24"/>
          <w:szCs w:val="24"/>
        </w:rPr>
        <w:t xml:space="preserve">los criterios específicos forman parte de las convocatorias de licitaciones públicas. Asimismo, se arriba a la premisa de que la </w:t>
      </w:r>
      <w:r w:rsidR="000034EA" w:rsidRPr="000034EA">
        <w:rPr>
          <w:rFonts w:ascii="Palatino Linotype" w:hAnsi="Palatino Linotype"/>
          <w:bCs/>
          <w:sz w:val="24"/>
          <w:szCs w:val="24"/>
        </w:rPr>
        <w:lastRenderedPageBreak/>
        <w:t xml:space="preserve">información requerida es susceptible de ser </w:t>
      </w:r>
      <w:r w:rsidR="000034EA">
        <w:rPr>
          <w:rFonts w:ascii="Palatino Linotype" w:hAnsi="Palatino Linotype"/>
          <w:bCs/>
          <w:sz w:val="24"/>
          <w:szCs w:val="24"/>
        </w:rPr>
        <w:t xml:space="preserve">generada, poseída y administrada por </w:t>
      </w:r>
      <w:r w:rsidR="000034EA">
        <w:rPr>
          <w:rFonts w:ascii="Palatino Linotype" w:hAnsi="Palatino Linotype"/>
          <w:b/>
          <w:bCs/>
          <w:sz w:val="24"/>
          <w:szCs w:val="24"/>
        </w:rPr>
        <w:t xml:space="preserve">El Sujeto Obligado. </w:t>
      </w:r>
    </w:p>
    <w:p w14:paraId="2891E90F" w14:textId="7D82289B" w:rsidR="000034EA" w:rsidRPr="00AA7EDD" w:rsidRDefault="000034EA" w:rsidP="000034EA">
      <w:pPr>
        <w:pStyle w:val="Sinespaciado"/>
        <w:spacing w:line="360" w:lineRule="auto"/>
        <w:jc w:val="both"/>
        <w:rPr>
          <w:rFonts w:ascii="Palatino Linotype" w:hAnsi="Palatino Linotype"/>
        </w:rPr>
      </w:pPr>
      <w:r>
        <w:rPr>
          <w:rFonts w:ascii="Palatino Linotype" w:hAnsi="Palatino Linotype"/>
        </w:rPr>
        <w:t xml:space="preserve">Así las cosas, es óbice mencionar que la información requerida estriba dentro de las obligaciones de transparencia común, robustece lo anterior los artículos 24, fracción XII y 92, fracción XXIX, numeral a) de la Ley de Transparencia y Acceso a la Información Pública del Estado de México y Municipios, normatividad invocada cuyo contenido literal es el siguiente: </w:t>
      </w:r>
    </w:p>
    <w:p w14:paraId="00A6A87D" w14:textId="77777777" w:rsidR="000034EA" w:rsidRPr="00E66BD3" w:rsidRDefault="000034EA" w:rsidP="000034EA">
      <w:pPr>
        <w:spacing w:before="240" w:line="360" w:lineRule="auto"/>
        <w:ind w:left="851" w:right="851"/>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149A7431" w14:textId="77777777" w:rsidR="000034EA" w:rsidRPr="00E66BD3" w:rsidRDefault="000034EA" w:rsidP="000034EA">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046838CC" w14:textId="77777777" w:rsidR="000034EA" w:rsidRPr="00E66BD3" w:rsidRDefault="000034EA" w:rsidP="000034EA">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57A38B" w14:textId="77777777" w:rsidR="000034EA" w:rsidRPr="00E66BD3" w:rsidRDefault="000034EA" w:rsidP="000034EA">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lastRenderedPageBreak/>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629DAE3" w14:textId="77777777" w:rsidR="000034EA" w:rsidRPr="00303BAD" w:rsidRDefault="000034EA" w:rsidP="000034EA">
      <w:pPr>
        <w:spacing w:before="240" w:line="360" w:lineRule="auto"/>
        <w:ind w:left="851" w:right="851"/>
        <w:jc w:val="both"/>
        <w:rPr>
          <w:rFonts w:ascii="Palatino Linotype" w:hAnsi="Palatino Linotype"/>
          <w:i/>
        </w:rPr>
      </w:pPr>
      <w:r w:rsidRPr="00303BAD">
        <w:rPr>
          <w:rFonts w:ascii="Palatino Linotype" w:hAnsi="Palatino Linotype"/>
          <w:i/>
        </w:rPr>
        <w:t xml:space="preserve">a) De licitaciones públicas o procedimientos de invitación restringida: </w:t>
      </w:r>
    </w:p>
    <w:p w14:paraId="5EBEE7F4" w14:textId="77777777" w:rsidR="000034EA" w:rsidRPr="000034EA" w:rsidRDefault="000034EA" w:rsidP="000034EA">
      <w:pPr>
        <w:spacing w:before="240" w:line="360" w:lineRule="auto"/>
        <w:ind w:left="851" w:right="851"/>
        <w:jc w:val="both"/>
        <w:rPr>
          <w:rFonts w:ascii="Palatino Linotype" w:hAnsi="Palatino Linotype"/>
          <w:b/>
          <w:i/>
          <w:u w:val="single"/>
        </w:rPr>
      </w:pPr>
      <w:r w:rsidRPr="008B1A12">
        <w:rPr>
          <w:rFonts w:ascii="Palatino Linotype" w:hAnsi="Palatino Linotype"/>
          <w:b/>
          <w:i/>
          <w:u w:val="single"/>
        </w:rPr>
        <w:t>1) La convocatoria o invitación emitida, así como los fundamentos legales aplicados para llevarla a cabo;</w:t>
      </w:r>
      <w:r w:rsidRPr="000034EA">
        <w:rPr>
          <w:rFonts w:ascii="Palatino Linotype" w:hAnsi="Palatino Linotype"/>
          <w:b/>
          <w:i/>
          <w:u w:val="single"/>
        </w:rPr>
        <w:t xml:space="preserve"> </w:t>
      </w:r>
    </w:p>
    <w:p w14:paraId="5CD567A6" w14:textId="77777777" w:rsidR="000034EA" w:rsidRPr="00E66BD3" w:rsidRDefault="000034EA" w:rsidP="000034EA">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01F631F6" w14:textId="77777777" w:rsidR="000034EA" w:rsidRPr="00E66BD3" w:rsidRDefault="000034EA" w:rsidP="000034EA">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5CE757FF" w14:textId="77777777" w:rsidR="000034EA" w:rsidRPr="00E66BD3" w:rsidRDefault="000034EA" w:rsidP="000034EA">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3227C33B" w14:textId="77777777" w:rsidR="000034EA" w:rsidRPr="00E66BD3" w:rsidRDefault="000034EA" w:rsidP="000034EA">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3A798700" w14:textId="77777777" w:rsidR="000034EA" w:rsidRPr="00E66BD3" w:rsidRDefault="000034EA" w:rsidP="000034EA">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633CD94C" w14:textId="77777777" w:rsidR="000034EA" w:rsidRPr="00303BAD" w:rsidRDefault="000034EA" w:rsidP="000034EA">
      <w:pPr>
        <w:spacing w:before="240" w:line="360" w:lineRule="auto"/>
        <w:ind w:left="851" w:right="851"/>
        <w:jc w:val="both"/>
        <w:rPr>
          <w:rFonts w:ascii="Palatino Linotype" w:hAnsi="Palatino Linotype"/>
          <w:i/>
        </w:rPr>
      </w:pPr>
      <w:r w:rsidRPr="00303BAD">
        <w:rPr>
          <w:rFonts w:ascii="Palatino Linotype" w:hAnsi="Palatino Linotype"/>
          <w:i/>
        </w:rPr>
        <w:t xml:space="preserve">7) El contrato y, en su caso, sus anexos; </w:t>
      </w:r>
    </w:p>
    <w:p w14:paraId="306931B2" w14:textId="77777777" w:rsidR="000034EA" w:rsidRPr="00E66BD3" w:rsidRDefault="000034EA" w:rsidP="000034EA">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4EA44185" w14:textId="77777777" w:rsidR="000034EA" w:rsidRPr="00E66BD3" w:rsidRDefault="000034EA" w:rsidP="000034EA">
      <w:pPr>
        <w:spacing w:before="240" w:line="360" w:lineRule="auto"/>
        <w:ind w:left="851" w:right="851"/>
        <w:jc w:val="both"/>
        <w:rPr>
          <w:rFonts w:ascii="Palatino Linotype" w:hAnsi="Palatino Linotype"/>
          <w:i/>
        </w:rPr>
      </w:pPr>
      <w:r w:rsidRPr="00E66BD3">
        <w:rPr>
          <w:rFonts w:ascii="Palatino Linotype" w:hAnsi="Palatino Linotype"/>
          <w:i/>
        </w:rPr>
        <w:t xml:space="preserve">9) La partida presupuestal, de conformidad con el clasificador por objeto del gasto, en el caso de ser aplicable; </w:t>
      </w:r>
    </w:p>
    <w:p w14:paraId="0E726C94" w14:textId="77777777" w:rsidR="000034EA" w:rsidRPr="00303BAD" w:rsidRDefault="000034EA" w:rsidP="000034EA">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10) Origen de los recursos especificando si son federales, estatales o municipales, así </w:t>
      </w:r>
      <w:r w:rsidRPr="00303BAD">
        <w:rPr>
          <w:rFonts w:ascii="Palatino Linotype" w:hAnsi="Palatino Linotype"/>
          <w:i/>
        </w:rPr>
        <w:t xml:space="preserve">como el tipo de fondo de participación o aportación respectiva; </w:t>
      </w:r>
    </w:p>
    <w:p w14:paraId="56BC1466" w14:textId="77777777" w:rsidR="000034EA" w:rsidRPr="00303BAD" w:rsidRDefault="000034EA" w:rsidP="000034EA">
      <w:pPr>
        <w:spacing w:before="240" w:line="360" w:lineRule="auto"/>
        <w:ind w:left="851" w:right="851"/>
        <w:jc w:val="both"/>
        <w:rPr>
          <w:rFonts w:ascii="Palatino Linotype" w:hAnsi="Palatino Linotype"/>
          <w:i/>
        </w:rPr>
      </w:pPr>
      <w:r w:rsidRPr="00303BAD">
        <w:rPr>
          <w:rFonts w:ascii="Palatino Linotype" w:hAnsi="Palatino Linotype"/>
          <w:i/>
        </w:rPr>
        <w:t>11) Los convenios modificatorios que, en su caso, sean firmados, precisando el objeto y la fecha de celebración;</w:t>
      </w:r>
    </w:p>
    <w:p w14:paraId="08677476" w14:textId="77777777" w:rsidR="000034EA" w:rsidRPr="00E66BD3" w:rsidRDefault="000034EA" w:rsidP="000034EA">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13) El convenio de terminación; y </w:t>
      </w:r>
    </w:p>
    <w:p w14:paraId="03EB7976" w14:textId="77777777" w:rsidR="000034EA" w:rsidRPr="00E66BD3" w:rsidRDefault="000034EA" w:rsidP="000034EA">
      <w:pPr>
        <w:spacing w:before="240" w:line="360" w:lineRule="auto"/>
        <w:ind w:left="851" w:right="851"/>
        <w:jc w:val="both"/>
        <w:rPr>
          <w:rFonts w:ascii="Palatino Linotype" w:hAnsi="Palatino Linotype"/>
          <w:i/>
        </w:rPr>
      </w:pPr>
      <w:r w:rsidRPr="00E66BD3">
        <w:rPr>
          <w:rFonts w:ascii="Palatino Linotype" w:hAnsi="Palatino Linotype"/>
          <w:i/>
        </w:rPr>
        <w:t xml:space="preserve">14) El finiquito. </w:t>
      </w:r>
    </w:p>
    <w:p w14:paraId="7B9F45E2" w14:textId="77777777" w:rsidR="000034EA" w:rsidRPr="00303BAD" w:rsidRDefault="000034EA" w:rsidP="000034EA">
      <w:pPr>
        <w:spacing w:before="240" w:line="360" w:lineRule="auto"/>
        <w:ind w:left="851" w:right="851"/>
        <w:jc w:val="both"/>
        <w:rPr>
          <w:rFonts w:ascii="Palatino Linotype" w:hAnsi="Palatino Linotype"/>
          <w:b/>
          <w:i/>
          <w:u w:val="single"/>
        </w:rPr>
      </w:pPr>
      <w:r w:rsidRPr="00303BAD">
        <w:rPr>
          <w:rFonts w:ascii="Palatino Linotype" w:hAnsi="Palatino Linotype"/>
          <w:b/>
          <w:i/>
          <w:u w:val="single"/>
        </w:rPr>
        <w:t xml:space="preserve">b) De las adjudicaciones directas: </w:t>
      </w:r>
    </w:p>
    <w:p w14:paraId="43A9F7A1" w14:textId="3AC859B1" w:rsidR="000034EA" w:rsidRPr="00264588" w:rsidRDefault="000034EA" w:rsidP="000034EA">
      <w:pPr>
        <w:spacing w:before="240" w:line="360" w:lineRule="auto"/>
        <w:ind w:left="851" w:right="851"/>
        <w:jc w:val="both"/>
        <w:rPr>
          <w:rFonts w:ascii="Palatino Linotype" w:hAnsi="Palatino Linotype"/>
          <w:b/>
          <w:i/>
        </w:rPr>
      </w:pPr>
      <w:r>
        <w:rPr>
          <w:rFonts w:ascii="Palatino Linotype" w:hAnsi="Palatino Linotype"/>
          <w:i/>
        </w:rPr>
        <w:t xml:space="preserve"> (…)” </w:t>
      </w:r>
      <w:r>
        <w:rPr>
          <w:rFonts w:ascii="Palatino Linotype" w:hAnsi="Palatino Linotype"/>
          <w:b/>
          <w:i/>
        </w:rPr>
        <w:t>[Sic]</w:t>
      </w:r>
    </w:p>
    <w:p w14:paraId="6A8DBF24" w14:textId="77777777" w:rsidR="000034EA" w:rsidRDefault="000034EA" w:rsidP="000034EA">
      <w:pPr>
        <w:pStyle w:val="infoemcitas"/>
        <w:tabs>
          <w:tab w:val="left" w:pos="7655"/>
        </w:tabs>
        <w:ind w:left="0" w:right="0"/>
        <w:rPr>
          <w:i w:val="0"/>
          <w:sz w:val="24"/>
          <w:szCs w:val="24"/>
        </w:rPr>
      </w:pPr>
    </w:p>
    <w:p w14:paraId="5AEAB83F" w14:textId="77777777" w:rsidR="000034EA" w:rsidRPr="00303BAD" w:rsidRDefault="000034EA" w:rsidP="000034EA">
      <w:pPr>
        <w:pStyle w:val="infoemcitas"/>
        <w:tabs>
          <w:tab w:val="left" w:pos="7655"/>
        </w:tabs>
        <w:ind w:left="0" w:right="0"/>
        <w:rPr>
          <w:i w:val="0"/>
          <w:sz w:val="24"/>
          <w:szCs w:val="24"/>
        </w:rPr>
      </w:pPr>
      <w:r w:rsidRPr="00303BAD">
        <w:rPr>
          <w:i w:val="0"/>
          <w:sz w:val="24"/>
          <w:szCs w:val="24"/>
        </w:rPr>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568D5987" w14:textId="79AB1F80" w:rsidR="001A53C9" w:rsidRPr="00267002" w:rsidRDefault="0048519F" w:rsidP="000034EA">
      <w:pPr>
        <w:spacing w:before="240" w:line="360" w:lineRule="auto"/>
        <w:jc w:val="both"/>
        <w:rPr>
          <w:rFonts w:ascii="Palatino Linotype" w:hAnsi="Palatino Linotype"/>
          <w:b/>
          <w:bCs/>
          <w:sz w:val="24"/>
          <w:szCs w:val="24"/>
        </w:rPr>
      </w:pPr>
      <w:hyperlink r:id="rId12" w:history="1">
        <w:r w:rsidR="000034EA" w:rsidRPr="00267002">
          <w:rPr>
            <w:rStyle w:val="Hipervnculo"/>
            <w:rFonts w:ascii="Palatino Linotype" w:hAnsi="Palatino Linotype"/>
            <w:bCs/>
            <w:sz w:val="24"/>
            <w:szCs w:val="24"/>
          </w:rPr>
          <w:t>https://www.infoem.org.mx/es/contenido/transparencia/directorio-de-sujetos-obligados</w:t>
        </w:r>
      </w:hyperlink>
    </w:p>
    <w:p w14:paraId="46FC96D0" w14:textId="1952D5AC" w:rsidR="00E253F6" w:rsidRDefault="008B1A12" w:rsidP="00E253F6">
      <w:pPr>
        <w:pStyle w:val="Citas"/>
        <w:ind w:left="0" w:right="0"/>
        <w:rPr>
          <w:i w:val="0"/>
        </w:rPr>
      </w:pPr>
      <w:r>
        <w:rPr>
          <w:i w:val="0"/>
          <w:noProof/>
          <w:lang w:eastAsia="es-MX"/>
        </w:rPr>
        <mc:AlternateContent>
          <mc:Choice Requires="wps">
            <w:drawing>
              <wp:anchor distT="0" distB="0" distL="114300" distR="114300" simplePos="0" relativeHeight="251671552" behindDoc="0" locked="0" layoutInCell="1" allowOverlap="1" wp14:anchorId="19DBF8B6" wp14:editId="63190906">
                <wp:simplePos x="0" y="0"/>
                <wp:positionH relativeFrom="column">
                  <wp:posOffset>-158911</wp:posOffset>
                </wp:positionH>
                <wp:positionV relativeFrom="paragraph">
                  <wp:posOffset>60638</wp:posOffset>
                </wp:positionV>
                <wp:extent cx="5950424" cy="1125940"/>
                <wp:effectExtent l="0" t="0" r="31750" b="36195"/>
                <wp:wrapNone/>
                <wp:docPr id="1" name="Conector recto 1"/>
                <wp:cNvGraphicFramePr/>
                <a:graphic xmlns:a="http://schemas.openxmlformats.org/drawingml/2006/main">
                  <a:graphicData uri="http://schemas.microsoft.com/office/word/2010/wordprocessingShape">
                    <wps:wsp>
                      <wps:cNvCnPr/>
                      <wps:spPr>
                        <a:xfrm>
                          <a:off x="0" y="0"/>
                          <a:ext cx="5950424" cy="1125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5B89AC" id="Conector recto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5pt,4.75pt" to="456.05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" strokecolor="#5b9bd5 [3204]" strokeweight=".5pt">
                <v:stroke joinstyle="miter"/>
              </v:line>
            </w:pict>
          </mc:Fallback>
        </mc:AlternateContent>
      </w:r>
    </w:p>
    <w:p w14:paraId="055CB76D" w14:textId="77777777" w:rsidR="000034EA" w:rsidRDefault="000034EA" w:rsidP="00E253F6">
      <w:pPr>
        <w:pStyle w:val="Citas"/>
        <w:ind w:left="0" w:right="0"/>
        <w:rPr>
          <w:i w:val="0"/>
        </w:rPr>
      </w:pPr>
    </w:p>
    <w:p w14:paraId="50F5807A" w14:textId="6A6DF53A" w:rsidR="000034EA" w:rsidRDefault="00267002" w:rsidP="00E253F6">
      <w:pPr>
        <w:pStyle w:val="Citas"/>
        <w:ind w:left="0" w:right="0"/>
        <w:rPr>
          <w:i w:val="0"/>
        </w:rPr>
      </w:pPr>
      <w:r>
        <w:rPr>
          <w:i w:val="0"/>
          <w:noProof/>
          <w:lang w:eastAsia="es-MX"/>
        </w:rPr>
        <w:lastRenderedPageBreak/>
        <w:drawing>
          <wp:anchor distT="0" distB="0" distL="114300" distR="114300" simplePos="0" relativeHeight="251664384" behindDoc="0" locked="0" layoutInCell="1" allowOverlap="1" wp14:anchorId="2276ED43" wp14:editId="73B368ED">
            <wp:simplePos x="0" y="0"/>
            <wp:positionH relativeFrom="page">
              <wp:align>center</wp:align>
            </wp:positionH>
            <wp:positionV relativeFrom="paragraph">
              <wp:posOffset>3450126</wp:posOffset>
            </wp:positionV>
            <wp:extent cx="5751195" cy="3220085"/>
            <wp:effectExtent l="19050" t="19050" r="20955" b="18415"/>
            <wp:wrapThrough wrapText="bothSides">
              <wp:wrapPolygon edited="0">
                <wp:start x="-72" y="-128"/>
                <wp:lineTo x="-72" y="21596"/>
                <wp:lineTo x="21607" y="21596"/>
                <wp:lineTo x="21607" y="-128"/>
                <wp:lineTo x="-72" y="-128"/>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1195" cy="32200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val="0"/>
          <w:noProof/>
          <w:lang w:eastAsia="es-MX"/>
        </w:rPr>
        <w:drawing>
          <wp:anchor distT="0" distB="0" distL="114300" distR="114300" simplePos="0" relativeHeight="251645939" behindDoc="0" locked="0" layoutInCell="1" allowOverlap="1" wp14:anchorId="6F71847E" wp14:editId="273183CC">
            <wp:simplePos x="0" y="0"/>
            <wp:positionH relativeFrom="page">
              <wp:posOffset>1009650</wp:posOffset>
            </wp:positionH>
            <wp:positionV relativeFrom="paragraph">
              <wp:posOffset>23495</wp:posOffset>
            </wp:positionV>
            <wp:extent cx="5744210" cy="3227070"/>
            <wp:effectExtent l="19050" t="19050" r="27940" b="11430"/>
            <wp:wrapThrough wrapText="bothSides">
              <wp:wrapPolygon edited="0">
                <wp:start x="-72" y="-128"/>
                <wp:lineTo x="-72" y="21549"/>
                <wp:lineTo x="21633" y="21549"/>
                <wp:lineTo x="21633" y="-128"/>
                <wp:lineTo x="-72" y="-128"/>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44210" cy="32270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54EA4C7" w14:textId="6B0F11FC" w:rsidR="000034EA" w:rsidRDefault="00267002" w:rsidP="00E253F6">
      <w:pPr>
        <w:pStyle w:val="Citas"/>
        <w:ind w:left="0" w:right="0"/>
        <w:rPr>
          <w:i w:val="0"/>
        </w:rPr>
      </w:pPr>
      <w:r>
        <w:rPr>
          <w:i w:val="0"/>
          <w:noProof/>
          <w:lang w:eastAsia="es-MX"/>
        </w:rPr>
        <w:lastRenderedPageBreak/>
        <w:drawing>
          <wp:anchor distT="0" distB="0" distL="114300" distR="114300" simplePos="0" relativeHeight="251665408" behindDoc="0" locked="0" layoutInCell="1" allowOverlap="1" wp14:anchorId="03B64DD4" wp14:editId="51902E79">
            <wp:simplePos x="0" y="0"/>
            <wp:positionH relativeFrom="page">
              <wp:align>center</wp:align>
            </wp:positionH>
            <wp:positionV relativeFrom="paragraph">
              <wp:posOffset>19496</wp:posOffset>
            </wp:positionV>
            <wp:extent cx="5724525" cy="3241040"/>
            <wp:effectExtent l="19050" t="19050" r="28575" b="16510"/>
            <wp:wrapThrough wrapText="bothSides">
              <wp:wrapPolygon edited="0">
                <wp:start x="-72" y="-127"/>
                <wp:lineTo x="-72" y="21583"/>
                <wp:lineTo x="21636" y="21583"/>
                <wp:lineTo x="21636" y="-127"/>
                <wp:lineTo x="-72" y="-127"/>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32410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1FD31A1" w14:textId="59365912" w:rsidR="006E2644" w:rsidRDefault="00BB2167" w:rsidP="00C76DED">
      <w:pPr>
        <w:pStyle w:val="Citas"/>
        <w:ind w:left="0" w:right="0"/>
        <w:rPr>
          <w:i w:val="0"/>
          <w:sz w:val="24"/>
          <w:szCs w:val="24"/>
        </w:rPr>
      </w:pPr>
      <w:r w:rsidRPr="00C76DED">
        <w:rPr>
          <w:i w:val="0"/>
          <w:sz w:val="24"/>
          <w:szCs w:val="24"/>
        </w:rPr>
        <w:t xml:space="preserve">Una vez sentado lo anterior, </w:t>
      </w:r>
      <w:r w:rsidR="00C76DED" w:rsidRPr="00C76DED">
        <w:rPr>
          <w:i w:val="0"/>
          <w:sz w:val="24"/>
          <w:szCs w:val="24"/>
        </w:rPr>
        <w:t xml:space="preserve">como se mencionó en el antecedente cuarto </w:t>
      </w:r>
      <w:r w:rsidR="00C76DED" w:rsidRPr="00C76DED">
        <w:rPr>
          <w:b/>
          <w:i w:val="0"/>
          <w:sz w:val="24"/>
          <w:szCs w:val="24"/>
        </w:rPr>
        <w:t xml:space="preserve">El Sujeto Obligado </w:t>
      </w:r>
      <w:r w:rsidR="00C76DED" w:rsidRPr="00C76DED">
        <w:rPr>
          <w:i w:val="0"/>
          <w:sz w:val="24"/>
          <w:szCs w:val="24"/>
        </w:rPr>
        <w:t xml:space="preserve">rindió su respuesta en fecha </w:t>
      </w:r>
      <w:r w:rsidR="00C76DED">
        <w:rPr>
          <w:i w:val="0"/>
          <w:sz w:val="24"/>
          <w:szCs w:val="24"/>
        </w:rPr>
        <w:t>veintidós de febrero de dos mil veintidós, adjuntando para tal efecto lo siguiente:</w:t>
      </w:r>
    </w:p>
    <w:p w14:paraId="5537D013" w14:textId="203BDFE1" w:rsidR="00C76DED" w:rsidRPr="00C76DED" w:rsidRDefault="00C76DED" w:rsidP="00C76DED">
      <w:pPr>
        <w:pStyle w:val="Citas"/>
        <w:numPr>
          <w:ilvl w:val="0"/>
          <w:numId w:val="32"/>
        </w:numPr>
        <w:ind w:right="0"/>
        <w:rPr>
          <w:b/>
          <w:i w:val="0"/>
          <w:sz w:val="24"/>
          <w:szCs w:val="24"/>
        </w:rPr>
      </w:pPr>
      <w:r>
        <w:rPr>
          <w:b/>
          <w:i w:val="0"/>
          <w:sz w:val="24"/>
          <w:szCs w:val="24"/>
        </w:rPr>
        <w:t xml:space="preserve">“PROVEEDORES.pdf”: </w:t>
      </w:r>
      <w:r>
        <w:rPr>
          <w:i w:val="0"/>
          <w:sz w:val="24"/>
          <w:szCs w:val="24"/>
        </w:rPr>
        <w:t>Compila lo siguiente:</w:t>
      </w:r>
    </w:p>
    <w:p w14:paraId="12C810DE" w14:textId="36E915F9" w:rsidR="00C76DED" w:rsidRPr="00C76DED" w:rsidRDefault="00C76DED" w:rsidP="00C76DED">
      <w:pPr>
        <w:pStyle w:val="Citas"/>
        <w:numPr>
          <w:ilvl w:val="0"/>
          <w:numId w:val="33"/>
        </w:numPr>
        <w:ind w:right="0"/>
        <w:rPr>
          <w:b/>
          <w:i w:val="0"/>
          <w:sz w:val="24"/>
          <w:szCs w:val="24"/>
        </w:rPr>
      </w:pPr>
      <w:r>
        <w:rPr>
          <w:i w:val="0"/>
          <w:sz w:val="24"/>
          <w:szCs w:val="24"/>
        </w:rPr>
        <w:t>Formato de oficio para que los proveedores autoricen transferencias electrónicas de fondos por pago de servicios y/o compra de materiales</w:t>
      </w:r>
    </w:p>
    <w:p w14:paraId="28649D08" w14:textId="5BC0581A" w:rsidR="00C76DED" w:rsidRPr="00C76DED" w:rsidRDefault="00C76DED" w:rsidP="00C76DED">
      <w:pPr>
        <w:pStyle w:val="Citas"/>
        <w:numPr>
          <w:ilvl w:val="0"/>
          <w:numId w:val="33"/>
        </w:numPr>
        <w:ind w:right="0"/>
        <w:rPr>
          <w:b/>
          <w:i w:val="0"/>
          <w:sz w:val="24"/>
          <w:szCs w:val="24"/>
        </w:rPr>
      </w:pPr>
      <w:proofErr w:type="spellStart"/>
      <w:r>
        <w:rPr>
          <w:i w:val="0"/>
          <w:sz w:val="24"/>
          <w:szCs w:val="24"/>
        </w:rPr>
        <w:t>Check</w:t>
      </w:r>
      <w:proofErr w:type="spellEnd"/>
      <w:r>
        <w:rPr>
          <w:i w:val="0"/>
          <w:sz w:val="24"/>
          <w:szCs w:val="24"/>
        </w:rPr>
        <w:t xml:space="preserve"> </w:t>
      </w:r>
      <w:proofErr w:type="spellStart"/>
      <w:r>
        <w:rPr>
          <w:i w:val="0"/>
          <w:sz w:val="24"/>
          <w:szCs w:val="24"/>
        </w:rPr>
        <w:t>list</w:t>
      </w:r>
      <w:proofErr w:type="spellEnd"/>
      <w:r>
        <w:rPr>
          <w:i w:val="0"/>
          <w:sz w:val="24"/>
          <w:szCs w:val="24"/>
        </w:rPr>
        <w:t xml:space="preserve"> de integración de expediente de proveedor y/o prestador de servicios, resulta de nuestro interés la siguiente imagen: </w:t>
      </w:r>
    </w:p>
    <w:p w14:paraId="1503DE29" w14:textId="670F3F98" w:rsidR="00C76DED" w:rsidRDefault="00C76DED" w:rsidP="00C76DED">
      <w:pPr>
        <w:pStyle w:val="Citas"/>
        <w:ind w:left="0" w:right="0"/>
        <w:rPr>
          <w:i w:val="0"/>
          <w:sz w:val="24"/>
          <w:szCs w:val="24"/>
        </w:rPr>
      </w:pPr>
      <w:r>
        <w:rPr>
          <w:i w:val="0"/>
          <w:noProof/>
          <w:sz w:val="24"/>
          <w:szCs w:val="24"/>
          <w:lang w:eastAsia="es-MX"/>
        </w:rPr>
        <w:lastRenderedPageBreak/>
        <w:drawing>
          <wp:anchor distT="0" distB="0" distL="114300" distR="114300" simplePos="0" relativeHeight="251670528" behindDoc="0" locked="0" layoutInCell="1" allowOverlap="1" wp14:anchorId="470C4AC5" wp14:editId="7776A0AF">
            <wp:simplePos x="0" y="0"/>
            <wp:positionH relativeFrom="page">
              <wp:align>center</wp:align>
            </wp:positionH>
            <wp:positionV relativeFrom="paragraph">
              <wp:posOffset>19078</wp:posOffset>
            </wp:positionV>
            <wp:extent cx="5760720" cy="6645910"/>
            <wp:effectExtent l="19050" t="19050" r="11430" b="21590"/>
            <wp:wrapThrough wrapText="bothSides">
              <wp:wrapPolygon edited="0">
                <wp:start x="-71" y="-62"/>
                <wp:lineTo x="-71" y="21608"/>
                <wp:lineTo x="21571" y="21608"/>
                <wp:lineTo x="21571" y="-62"/>
                <wp:lineTo x="-71" y="-62"/>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5384" cy="6651841"/>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CFF5BF4" w14:textId="4E29DAC7" w:rsidR="00A96886" w:rsidRDefault="006E2644" w:rsidP="007818E1">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lastRenderedPageBreak/>
        <w:t>I</w:t>
      </w:r>
      <w:r w:rsidR="007818E1">
        <w:rPr>
          <w:rFonts w:ascii="Palatino Linotype" w:hAnsi="Palatino Linotype"/>
          <w:noProof/>
          <w:lang w:eastAsia="es-MX"/>
        </w:rPr>
        <w:t xml:space="preserve">nconforme con la respuesta rendida por </w:t>
      </w:r>
      <w:r w:rsidR="007818E1">
        <w:rPr>
          <w:rFonts w:ascii="Palatino Linotype" w:hAnsi="Palatino Linotype"/>
          <w:b/>
          <w:noProof/>
          <w:lang w:eastAsia="es-MX"/>
        </w:rPr>
        <w:t xml:space="preserve">El Sujeto Obligado, El Recurrente </w:t>
      </w:r>
      <w:r w:rsidR="007818E1">
        <w:rPr>
          <w:rFonts w:ascii="Palatino Linotype" w:hAnsi="Palatino Linotype"/>
          <w:noProof/>
          <w:lang w:eastAsia="es-MX"/>
        </w:rPr>
        <w:t>interpuso recurso de revisión en fecha</w:t>
      </w:r>
      <w:r w:rsidR="00296316">
        <w:rPr>
          <w:rFonts w:ascii="Palatino Linotype" w:hAnsi="Palatino Linotype"/>
          <w:noProof/>
          <w:lang w:eastAsia="es-MX"/>
        </w:rPr>
        <w:t xml:space="preserve"> </w:t>
      </w:r>
      <w:r w:rsidR="00A96886">
        <w:rPr>
          <w:rFonts w:ascii="Palatino Linotype" w:hAnsi="Palatino Linotype"/>
          <w:noProof/>
          <w:lang w:eastAsia="es-MX"/>
        </w:rPr>
        <w:t>veintitres de febrero, admitiendose el veintiocho de febrero, ambos de dos mil veintidos. Señalando como acto impugnado:</w:t>
      </w:r>
    </w:p>
    <w:p w14:paraId="11B7AB0D" w14:textId="4B96EE15" w:rsidR="00A96886" w:rsidRPr="00A96886" w:rsidRDefault="00A96886" w:rsidP="00A96886">
      <w:pPr>
        <w:pStyle w:val="Citas"/>
        <w:rPr>
          <w:b/>
          <w:noProof/>
          <w:lang w:eastAsia="es-MX"/>
        </w:rPr>
      </w:pPr>
      <w:r>
        <w:t>“Y esos documentos que</w:t>
      </w:r>
      <w:proofErr w:type="gramStart"/>
      <w:r>
        <w:t>?</w:t>
      </w:r>
      <w:proofErr w:type="gramEnd"/>
      <w:r>
        <w:t xml:space="preserve">” </w:t>
      </w:r>
      <w:r>
        <w:rPr>
          <w:b/>
        </w:rPr>
        <w:t>[Sic]</w:t>
      </w:r>
    </w:p>
    <w:p w14:paraId="78388114" w14:textId="77777777" w:rsidR="00A96886" w:rsidRDefault="00A96886" w:rsidP="007818E1">
      <w:pPr>
        <w:pStyle w:val="Citas"/>
        <w:ind w:left="0" w:right="0"/>
        <w:rPr>
          <w:i w:val="0"/>
          <w:sz w:val="24"/>
          <w:szCs w:val="24"/>
        </w:rPr>
      </w:pPr>
    </w:p>
    <w:p w14:paraId="7C513045" w14:textId="1A89A2EB" w:rsidR="00A96886" w:rsidRDefault="007818E1" w:rsidP="007818E1">
      <w:pPr>
        <w:pStyle w:val="Citas"/>
        <w:ind w:left="0" w:right="0"/>
        <w:rPr>
          <w:i w:val="0"/>
          <w:sz w:val="24"/>
          <w:szCs w:val="24"/>
        </w:rPr>
      </w:pPr>
      <w:r>
        <w:rPr>
          <w:i w:val="0"/>
          <w:sz w:val="24"/>
          <w:szCs w:val="24"/>
        </w:rPr>
        <w:t>En virtud de lo anterior, a toda luz se desprende que las razones o motivos de inconformidad esgrimidos por el particular se encuentran encauzados a denotar la actualización de la</w:t>
      </w:r>
      <w:r w:rsidR="00A96886">
        <w:rPr>
          <w:i w:val="0"/>
          <w:sz w:val="24"/>
          <w:szCs w:val="24"/>
        </w:rPr>
        <w:t>s</w:t>
      </w:r>
      <w:r>
        <w:rPr>
          <w:i w:val="0"/>
          <w:sz w:val="24"/>
          <w:szCs w:val="24"/>
        </w:rPr>
        <w:t xml:space="preserve"> causal</w:t>
      </w:r>
      <w:r w:rsidR="00A96886">
        <w:rPr>
          <w:i w:val="0"/>
          <w:sz w:val="24"/>
          <w:szCs w:val="24"/>
        </w:rPr>
        <w:t>es</w:t>
      </w:r>
      <w:r>
        <w:rPr>
          <w:i w:val="0"/>
          <w:sz w:val="24"/>
          <w:szCs w:val="24"/>
        </w:rPr>
        <w:t xml:space="preserve"> de procedencia previst</w:t>
      </w:r>
      <w:r w:rsidR="00296316">
        <w:rPr>
          <w:i w:val="0"/>
          <w:sz w:val="24"/>
          <w:szCs w:val="24"/>
        </w:rPr>
        <w:t>a</w:t>
      </w:r>
      <w:r w:rsidR="00A96886">
        <w:rPr>
          <w:i w:val="0"/>
          <w:sz w:val="24"/>
          <w:szCs w:val="24"/>
        </w:rPr>
        <w:t>s en el artículo 179, fracciones</w:t>
      </w:r>
      <w:r w:rsidR="00296316">
        <w:rPr>
          <w:i w:val="0"/>
          <w:sz w:val="24"/>
          <w:szCs w:val="24"/>
        </w:rPr>
        <w:t xml:space="preserve"> I </w:t>
      </w:r>
      <w:r w:rsidR="00A96886">
        <w:rPr>
          <w:i w:val="0"/>
          <w:sz w:val="24"/>
          <w:szCs w:val="24"/>
        </w:rPr>
        <w:t xml:space="preserve">y VI de la Ley de Transparencia y Acceso a la Información Pública del Estado de México y Municipios, normatividad que dispone a la literalidad lo siguiente: </w:t>
      </w:r>
    </w:p>
    <w:p w14:paraId="456CC014" w14:textId="2D3BCA05" w:rsidR="007818E1" w:rsidRDefault="00A96886" w:rsidP="007818E1">
      <w:pPr>
        <w:pStyle w:val="Citas"/>
      </w:pPr>
      <w:r>
        <w:t xml:space="preserve"> </w:t>
      </w:r>
      <w:r w:rsidR="007818E1">
        <w:t>“</w:t>
      </w:r>
      <w:r w:rsidR="007818E1" w:rsidRPr="00615A99">
        <w:t>Artículo 179. El recurso de revisión es un medio de protección que la Ley otorga a los particulares, para hacer valer su derecho de acceso a la información pública, y procederá en contra de las siguientes causas:</w:t>
      </w:r>
    </w:p>
    <w:p w14:paraId="744A897F" w14:textId="77777777" w:rsidR="00296316" w:rsidRDefault="00296316" w:rsidP="007818E1">
      <w:pPr>
        <w:pStyle w:val="Citas"/>
      </w:pPr>
      <w:r>
        <w:t xml:space="preserve">I. La negativa a la información solicitada; </w:t>
      </w:r>
    </w:p>
    <w:p w14:paraId="46C99427" w14:textId="6831B772" w:rsidR="007818E1" w:rsidRDefault="00AB3254" w:rsidP="007818E1">
      <w:pPr>
        <w:pStyle w:val="Citas"/>
      </w:pPr>
      <w:r>
        <w:t>(…)</w:t>
      </w:r>
    </w:p>
    <w:p w14:paraId="12E14C1D" w14:textId="10D8131D" w:rsidR="00AB3254" w:rsidRDefault="00AB3254" w:rsidP="007818E1">
      <w:pPr>
        <w:pStyle w:val="Citas"/>
      </w:pPr>
      <w:r>
        <w:t>VI. La entrega de información que no corresponda con lo solicitado;</w:t>
      </w:r>
    </w:p>
    <w:p w14:paraId="4C61F69B" w14:textId="72E4805C" w:rsidR="00AB3254" w:rsidRPr="00AB3254" w:rsidRDefault="00AB3254" w:rsidP="007818E1">
      <w:pPr>
        <w:pStyle w:val="Citas"/>
        <w:rPr>
          <w:b/>
        </w:rPr>
      </w:pPr>
      <w:r>
        <w:t xml:space="preserve">(…)” </w:t>
      </w:r>
      <w:r>
        <w:rPr>
          <w:b/>
        </w:rPr>
        <w:t>[Sic]</w:t>
      </w:r>
    </w:p>
    <w:p w14:paraId="289CF62C" w14:textId="754748A1" w:rsidR="007818E1" w:rsidRDefault="007818E1" w:rsidP="007818E1">
      <w:pPr>
        <w:pStyle w:val="Citas"/>
        <w:rPr>
          <w:b/>
        </w:rPr>
      </w:pPr>
      <w:r>
        <w:rPr>
          <w:b/>
        </w:rPr>
        <w:t xml:space="preserve"> </w:t>
      </w:r>
    </w:p>
    <w:p w14:paraId="7F52786D" w14:textId="0665A761" w:rsidR="00296316" w:rsidRDefault="00ED3C5C" w:rsidP="000F3EC2">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Por otra parte, como fue mencionado en el antecedente quinto, </w:t>
      </w:r>
      <w:r>
        <w:rPr>
          <w:rFonts w:ascii="Palatino Linotype" w:hAnsi="Palatino Linotype" w:cs="Arial"/>
          <w:b/>
          <w:color w:val="000000"/>
          <w:sz w:val="24"/>
          <w:lang w:val="es-ES_tradnl"/>
        </w:rPr>
        <w:t xml:space="preserve">El Sujeto Obligado </w:t>
      </w:r>
      <w:r w:rsidR="00AB3254">
        <w:rPr>
          <w:rFonts w:ascii="Palatino Linotype" w:hAnsi="Palatino Linotype" w:cs="Arial"/>
          <w:color w:val="000000"/>
          <w:sz w:val="24"/>
          <w:lang w:val="es-ES_tradnl"/>
        </w:rPr>
        <w:t>rindió su informe justificado en los siguientes términos:</w:t>
      </w:r>
    </w:p>
    <w:p w14:paraId="2B58BD5F" w14:textId="5D928D89" w:rsidR="00AB3254" w:rsidRDefault="00AB3254" w:rsidP="00AB3254">
      <w:pPr>
        <w:pStyle w:val="Prrafodelista"/>
        <w:numPr>
          <w:ilvl w:val="0"/>
          <w:numId w:val="36"/>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“15.pdf”: </w:t>
      </w:r>
      <w:r>
        <w:rPr>
          <w:rFonts w:ascii="Palatino Linotype" w:hAnsi="Palatino Linotype" w:cs="Arial"/>
          <w:color w:val="000000"/>
          <w:lang w:val="es-ES_tradnl"/>
        </w:rPr>
        <w:t xml:space="preserve">Oficio número </w:t>
      </w:r>
      <w:r>
        <w:rPr>
          <w:rFonts w:ascii="Palatino Linotype" w:hAnsi="Palatino Linotype" w:cs="Arial"/>
          <w:b/>
          <w:color w:val="000000"/>
          <w:lang w:val="es-ES_tradnl"/>
        </w:rPr>
        <w:t xml:space="preserve">SAPASA/SAF/MLGA/0240/2022 </w:t>
      </w:r>
      <w:r>
        <w:rPr>
          <w:rFonts w:ascii="Palatino Linotype" w:hAnsi="Palatino Linotype" w:cs="Arial"/>
          <w:color w:val="000000"/>
          <w:lang w:val="es-ES_tradnl"/>
        </w:rPr>
        <w:t xml:space="preserve">signado por la Subdirectora de Administración y Finanzas y dirigido a la Titular de la Unidad de Transparencia y Acceso a la Información Pública, de fecha cuatro de marzo de dos mil veintidós, en síntesis refiere que ratifica la respuesta primigenia. </w:t>
      </w:r>
    </w:p>
    <w:p w14:paraId="2773AC36" w14:textId="77777777" w:rsidR="00AB3254" w:rsidRDefault="00AB3254" w:rsidP="00AB3254">
      <w:pPr>
        <w:spacing w:line="360" w:lineRule="auto"/>
        <w:jc w:val="both"/>
        <w:rPr>
          <w:rFonts w:ascii="Palatino Linotype" w:hAnsi="Palatino Linotype" w:cs="Arial"/>
          <w:b/>
          <w:color w:val="000000"/>
          <w:lang w:val="es-ES_tradnl"/>
        </w:rPr>
      </w:pPr>
    </w:p>
    <w:p w14:paraId="77B34214" w14:textId="77777777" w:rsidR="00AB3254" w:rsidRPr="00AB3254" w:rsidRDefault="00AB3254" w:rsidP="00AB3254">
      <w:pPr>
        <w:spacing w:line="360" w:lineRule="auto"/>
        <w:jc w:val="both"/>
        <w:rPr>
          <w:rFonts w:ascii="Palatino Linotype" w:hAnsi="Palatino Linotype" w:cs="Arial"/>
          <w:b/>
          <w:color w:val="000000"/>
          <w:lang w:val="es-ES_tradnl"/>
        </w:rPr>
      </w:pPr>
    </w:p>
    <w:p w14:paraId="5A4CA21A" w14:textId="667812A4" w:rsidR="00AB3254" w:rsidRDefault="00FA3650" w:rsidP="00FA3650">
      <w:pPr>
        <w:spacing w:line="360" w:lineRule="auto"/>
        <w:contextualSpacing/>
        <w:jc w:val="both"/>
        <w:rPr>
          <w:rFonts w:ascii="Palatino Linotype" w:eastAsia="MS Mincho" w:hAnsi="Palatino Linotype"/>
          <w:sz w:val="24"/>
          <w:szCs w:val="24"/>
        </w:rPr>
      </w:pPr>
      <w:r w:rsidRPr="006329AB">
        <w:rPr>
          <w:rFonts w:ascii="Palatino Linotype" w:eastAsia="MS Mincho" w:hAnsi="Palatino Linotype"/>
          <w:sz w:val="24"/>
          <w:szCs w:val="24"/>
        </w:rPr>
        <w:t xml:space="preserve">Con base en lo anteriormente expuesto, </w:t>
      </w:r>
      <w:r w:rsidR="00AB3254">
        <w:rPr>
          <w:rFonts w:ascii="Palatino Linotype" w:eastAsia="MS Mincho" w:hAnsi="Palatino Linotype"/>
          <w:sz w:val="24"/>
          <w:szCs w:val="24"/>
        </w:rPr>
        <w:t xml:space="preserve">se desprende que mediante el informe justificado rendido por </w:t>
      </w:r>
      <w:r w:rsidR="00AB3254">
        <w:rPr>
          <w:rFonts w:ascii="Palatino Linotype" w:eastAsia="MS Mincho" w:hAnsi="Palatino Linotype"/>
          <w:b/>
          <w:sz w:val="24"/>
          <w:szCs w:val="24"/>
        </w:rPr>
        <w:t xml:space="preserve">El Sujeto Obligado </w:t>
      </w:r>
      <w:r w:rsidR="00AB3254">
        <w:rPr>
          <w:rFonts w:ascii="Palatino Linotype" w:eastAsia="MS Mincho" w:hAnsi="Palatino Linotype"/>
          <w:sz w:val="24"/>
          <w:szCs w:val="24"/>
        </w:rPr>
        <w:t xml:space="preserve">no se subsanó la violación al derecho de acceso a la información pública, resultando procedente ordenar la entrega de la siguiente información: </w:t>
      </w:r>
    </w:p>
    <w:p w14:paraId="51BA0ADD" w14:textId="3BE13BC6" w:rsidR="00AB3254" w:rsidRPr="00AB3254" w:rsidRDefault="00AB3254" w:rsidP="00AB3254">
      <w:pPr>
        <w:pStyle w:val="Prrafodelista"/>
        <w:numPr>
          <w:ilvl w:val="0"/>
          <w:numId w:val="34"/>
        </w:numPr>
        <w:spacing w:line="360" w:lineRule="auto"/>
        <w:contextualSpacing/>
        <w:jc w:val="both"/>
        <w:rPr>
          <w:rFonts w:ascii="Palatino Linotype" w:eastAsia="MS Mincho" w:hAnsi="Palatino Linotype"/>
        </w:rPr>
      </w:pPr>
      <w:r>
        <w:rPr>
          <w:rFonts w:ascii="Palatino Linotype" w:eastAsia="MS Mincho" w:hAnsi="Palatino Linotype"/>
        </w:rPr>
        <w:t>El o los documentos donde consten los criterios espec</w:t>
      </w:r>
      <w:r w:rsidR="00526AEA">
        <w:rPr>
          <w:rFonts w:ascii="Palatino Linotype" w:eastAsia="MS Mincho" w:hAnsi="Palatino Linotype"/>
        </w:rPr>
        <w:t xml:space="preserve">íficos para convocatorias de </w:t>
      </w:r>
      <w:r>
        <w:rPr>
          <w:rFonts w:ascii="Palatino Linotype" w:eastAsia="MS Mincho" w:hAnsi="Palatino Linotype"/>
        </w:rPr>
        <w:t>licitaciones p</w:t>
      </w:r>
      <w:r w:rsidR="00526AEA">
        <w:rPr>
          <w:rFonts w:ascii="Palatino Linotype" w:eastAsia="MS Mincho" w:hAnsi="Palatino Linotype"/>
        </w:rPr>
        <w:t>úblicas</w:t>
      </w:r>
      <w:r>
        <w:rPr>
          <w:rFonts w:ascii="Palatino Linotype" w:eastAsia="MS Mincho" w:hAnsi="Palatino Linotype"/>
        </w:rPr>
        <w:t xml:space="preserve">, al </w:t>
      </w:r>
      <w:r w:rsidR="001F53F1">
        <w:rPr>
          <w:rFonts w:ascii="Palatino Linotype" w:eastAsia="MS Mincho" w:hAnsi="Palatino Linotype"/>
        </w:rPr>
        <w:t>veinte</w:t>
      </w:r>
      <w:r>
        <w:rPr>
          <w:rFonts w:ascii="Palatino Linotype" w:eastAsia="MS Mincho" w:hAnsi="Palatino Linotype"/>
        </w:rPr>
        <w:t xml:space="preserve"> de enero de dos mil veintidós. </w:t>
      </w:r>
    </w:p>
    <w:p w14:paraId="7AD974EC" w14:textId="77777777" w:rsidR="00AB3254" w:rsidRDefault="00AB3254" w:rsidP="00FA3650">
      <w:pPr>
        <w:spacing w:line="360" w:lineRule="auto"/>
        <w:contextualSpacing/>
        <w:jc w:val="both"/>
        <w:rPr>
          <w:rFonts w:ascii="Palatino Linotype" w:eastAsia="MS Mincho" w:hAnsi="Palatino Linotype"/>
          <w:sz w:val="24"/>
          <w:szCs w:val="24"/>
        </w:rPr>
      </w:pPr>
    </w:p>
    <w:p w14:paraId="7BE81AAC" w14:textId="5C42F03C" w:rsidR="00AB3254" w:rsidRPr="00AB3254" w:rsidRDefault="00BB2E89" w:rsidP="00BB2E89">
      <w:pPr>
        <w:spacing w:after="0" w:line="360" w:lineRule="auto"/>
        <w:jc w:val="both"/>
        <w:rPr>
          <w:rFonts w:ascii="Palatino Linotype" w:hAnsi="Palatino Linotype" w:cs="Arial"/>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AB3254">
        <w:rPr>
          <w:rFonts w:ascii="Palatino Linotype" w:hAnsi="Palatino Linotype" w:cs="Arial"/>
          <w:b/>
          <w:sz w:val="24"/>
          <w:szCs w:val="24"/>
        </w:rPr>
        <w:t xml:space="preserve">00015/OASATIZARA/IP/2022 </w:t>
      </w:r>
      <w:r w:rsidR="00AB3254">
        <w:rPr>
          <w:rFonts w:ascii="Palatino Linotype" w:hAnsi="Palatino Linotype" w:cs="Arial"/>
          <w:sz w:val="24"/>
          <w:szCs w:val="24"/>
        </w:rPr>
        <w:t xml:space="preserve">que ha sido materia del presente fallo. </w:t>
      </w:r>
    </w:p>
    <w:p w14:paraId="527C49FD" w14:textId="77777777" w:rsidR="00BB2E89" w:rsidRDefault="00BB2E89" w:rsidP="00BB2E89">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lastRenderedPageBreak/>
        <w:t>Por lo antes expuesto y fundado es de resolverse y,</w:t>
      </w:r>
    </w:p>
    <w:p w14:paraId="052F60BB" w14:textId="77777777" w:rsidR="00BB2E89" w:rsidRDefault="00BB2E89" w:rsidP="00BB2E89">
      <w:pPr>
        <w:spacing w:line="360" w:lineRule="auto"/>
        <w:contextualSpacing/>
        <w:jc w:val="both"/>
        <w:rPr>
          <w:rFonts w:ascii="Palatino Linotype" w:eastAsia="MS Mincho" w:hAnsi="Palatino Linotype"/>
        </w:rPr>
      </w:pPr>
    </w:p>
    <w:p w14:paraId="2FEEC8A3" w14:textId="77777777" w:rsidR="00BB2E89" w:rsidRPr="00413327" w:rsidRDefault="00BB2E89" w:rsidP="00BB2E89">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0F070A56" w14:textId="33DEF5FF" w:rsidR="00AB3254" w:rsidRPr="00AB3254" w:rsidRDefault="00BB2E89" w:rsidP="00BB2E89">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AB3254">
        <w:rPr>
          <w:rFonts w:ascii="Palatino Linotype" w:hAnsi="Palatino Linotype" w:cs="Arial"/>
          <w:b/>
          <w:sz w:val="24"/>
          <w:szCs w:val="24"/>
        </w:rPr>
        <w:t xml:space="preserve">00015/OASATIZARA/IP/2022 </w:t>
      </w:r>
      <w:r w:rsidR="00AB3254">
        <w:rPr>
          <w:rFonts w:ascii="Palatino Linotype" w:hAnsi="Palatino Linotype" w:cs="Arial"/>
          <w:sz w:val="24"/>
          <w:szCs w:val="24"/>
        </w:rPr>
        <w:t xml:space="preserve">por resultar fundados los motivos de inconformidad que arguye </w:t>
      </w:r>
      <w:r w:rsidR="00AB3254">
        <w:rPr>
          <w:rFonts w:ascii="Palatino Linotype" w:hAnsi="Palatino Linotype" w:cs="Arial"/>
          <w:b/>
          <w:sz w:val="24"/>
          <w:szCs w:val="24"/>
        </w:rPr>
        <w:t xml:space="preserve">EL RECURRENTE, </w:t>
      </w:r>
      <w:r w:rsidR="00AB3254">
        <w:rPr>
          <w:rFonts w:ascii="Palatino Linotype" w:hAnsi="Palatino Linotype" w:cs="Arial"/>
          <w:sz w:val="24"/>
          <w:szCs w:val="24"/>
        </w:rPr>
        <w:t xml:space="preserve">en términos del considerando </w:t>
      </w:r>
      <w:r w:rsidR="00AB3254">
        <w:rPr>
          <w:rFonts w:ascii="Palatino Linotype" w:hAnsi="Palatino Linotype" w:cs="Arial"/>
          <w:b/>
          <w:sz w:val="24"/>
          <w:szCs w:val="24"/>
        </w:rPr>
        <w:t xml:space="preserve">CUARTO </w:t>
      </w:r>
      <w:r w:rsidR="00AB3254">
        <w:rPr>
          <w:rFonts w:ascii="Palatino Linotype" w:hAnsi="Palatino Linotype" w:cs="Arial"/>
          <w:sz w:val="24"/>
          <w:szCs w:val="24"/>
        </w:rPr>
        <w:t xml:space="preserve">de la presente resolución. </w:t>
      </w:r>
    </w:p>
    <w:p w14:paraId="3680C6EB" w14:textId="77777777" w:rsidR="00AB3254" w:rsidRDefault="00AB3254" w:rsidP="00BB2E89">
      <w:pPr>
        <w:spacing w:before="240" w:line="360" w:lineRule="auto"/>
        <w:jc w:val="both"/>
        <w:rPr>
          <w:rFonts w:ascii="Palatino Linotype" w:hAnsi="Palatino Linotype" w:cs="Arial"/>
          <w:sz w:val="24"/>
          <w:szCs w:val="24"/>
        </w:rPr>
      </w:pPr>
    </w:p>
    <w:p w14:paraId="7B38FE4B" w14:textId="474C8FCF" w:rsidR="00FA3650" w:rsidRPr="00FA3650" w:rsidRDefault="00FA3650" w:rsidP="00FA3650">
      <w:pPr>
        <w:autoSpaceDE w:val="0"/>
        <w:autoSpaceDN w:val="0"/>
        <w:adjustRightInd w:val="0"/>
        <w:spacing w:before="240" w:line="360" w:lineRule="auto"/>
        <w:ind w:right="49"/>
        <w:jc w:val="both"/>
        <w:rPr>
          <w:rFonts w:ascii="Palatino Linotype" w:hAnsi="Palatino Linotype" w:cs="Arial"/>
          <w:sz w:val="24"/>
          <w:szCs w:val="24"/>
        </w:rPr>
      </w:pPr>
      <w:r w:rsidRPr="00FA3650">
        <w:rPr>
          <w:rFonts w:ascii="Palatino Linotype" w:hAnsi="Palatino Linotype" w:cs="Arial"/>
          <w:b/>
          <w:sz w:val="24"/>
          <w:szCs w:val="24"/>
          <w:lang w:val="es-ES_tradnl"/>
        </w:rPr>
        <w:t>SEGUNDO.</w:t>
      </w:r>
      <w:r w:rsidRPr="00FA3650">
        <w:rPr>
          <w:rFonts w:ascii="Palatino Linotype" w:hAnsi="Palatino Linotype" w:cs="Arial"/>
          <w:sz w:val="24"/>
          <w:szCs w:val="24"/>
        </w:rPr>
        <w:t xml:space="preserve"> Se </w:t>
      </w:r>
      <w:r w:rsidRPr="00FA3650">
        <w:rPr>
          <w:rFonts w:ascii="Palatino Linotype" w:hAnsi="Palatino Linotype" w:cs="Arial"/>
          <w:b/>
          <w:sz w:val="24"/>
          <w:szCs w:val="24"/>
        </w:rPr>
        <w:t>ORDENA</w:t>
      </w:r>
      <w:r w:rsidRPr="00FA3650">
        <w:rPr>
          <w:rFonts w:ascii="Palatino Linotype" w:hAnsi="Palatino Linotype" w:cs="Arial"/>
          <w:sz w:val="24"/>
          <w:szCs w:val="24"/>
        </w:rPr>
        <w:t xml:space="preserve"> al </w:t>
      </w:r>
      <w:r w:rsidRPr="00FA3650">
        <w:rPr>
          <w:rFonts w:ascii="Palatino Linotype" w:hAnsi="Palatino Linotype" w:cs="Arial"/>
          <w:b/>
          <w:sz w:val="24"/>
          <w:szCs w:val="24"/>
        </w:rPr>
        <w:t>SUJETO OBLIGADO</w:t>
      </w:r>
      <w:r w:rsidRPr="00FA3650">
        <w:rPr>
          <w:rFonts w:ascii="Palatino Linotype" w:hAnsi="Palatino Linotype" w:cs="Arial"/>
          <w:sz w:val="24"/>
          <w:szCs w:val="24"/>
        </w:rPr>
        <w:t xml:space="preserve"> realizar una búsqueda exhaustiva y razonable a fin de entregar al</w:t>
      </w:r>
      <w:r w:rsidRPr="00FA3650">
        <w:rPr>
          <w:rFonts w:ascii="Palatino Linotype" w:hAnsi="Palatino Linotype" w:cs="Arial"/>
          <w:b/>
          <w:sz w:val="24"/>
          <w:szCs w:val="24"/>
        </w:rPr>
        <w:t xml:space="preserve"> RECURRENTE, </w:t>
      </w:r>
      <w:r w:rsidRPr="00FA3650">
        <w:rPr>
          <w:rFonts w:ascii="Palatino Linotype" w:hAnsi="Palatino Linotype" w:cs="Arial"/>
          <w:sz w:val="24"/>
          <w:szCs w:val="24"/>
        </w:rPr>
        <w:t xml:space="preserve">a través del Sistema de Acceso a la Información Mexiquense </w:t>
      </w:r>
      <w:r w:rsidRPr="00FA3650">
        <w:rPr>
          <w:rFonts w:ascii="Palatino Linotype" w:hAnsi="Palatino Linotype" w:cs="Arial"/>
          <w:b/>
          <w:sz w:val="24"/>
          <w:szCs w:val="24"/>
        </w:rPr>
        <w:t>(SAIMEX),</w:t>
      </w:r>
      <w:r w:rsidRPr="00FA3650">
        <w:rPr>
          <w:rFonts w:ascii="Palatino Linotype" w:hAnsi="Palatino Linotype" w:cs="Arial"/>
          <w:sz w:val="24"/>
          <w:szCs w:val="24"/>
        </w:rPr>
        <w:t xml:space="preserve"> de lo siguiente: </w:t>
      </w:r>
    </w:p>
    <w:p w14:paraId="342950A4" w14:textId="2874EA86" w:rsidR="00486CC8" w:rsidRPr="00486CC8" w:rsidRDefault="00882E7E" w:rsidP="00486CC8">
      <w:pPr>
        <w:pStyle w:val="Prrafodelista"/>
        <w:numPr>
          <w:ilvl w:val="0"/>
          <w:numId w:val="28"/>
        </w:numPr>
        <w:spacing w:before="240" w:line="360" w:lineRule="auto"/>
        <w:jc w:val="both"/>
        <w:rPr>
          <w:rFonts w:ascii="Palatino Linotype" w:hAnsi="Palatino Linotype"/>
          <w:i/>
        </w:rPr>
      </w:pPr>
      <w:r>
        <w:rPr>
          <w:rFonts w:ascii="Palatino Linotype" w:hAnsi="Palatino Linotype"/>
          <w:i/>
        </w:rPr>
        <w:t xml:space="preserve">El o los documentos donde consten los criterios específicos </w:t>
      </w:r>
      <w:r w:rsidR="001F53F1">
        <w:rPr>
          <w:rFonts w:ascii="Palatino Linotype" w:hAnsi="Palatino Linotype"/>
          <w:i/>
        </w:rPr>
        <w:t xml:space="preserve">para convocatorias de </w:t>
      </w:r>
      <w:r>
        <w:rPr>
          <w:rFonts w:ascii="Palatino Linotype" w:hAnsi="Palatino Linotype"/>
          <w:i/>
        </w:rPr>
        <w:t>licitaciones p</w:t>
      </w:r>
      <w:r w:rsidR="001F53F1">
        <w:rPr>
          <w:rFonts w:ascii="Palatino Linotype" w:hAnsi="Palatino Linotype"/>
          <w:i/>
        </w:rPr>
        <w:t>úblicas</w:t>
      </w:r>
      <w:r>
        <w:rPr>
          <w:rFonts w:ascii="Palatino Linotype" w:hAnsi="Palatino Linotype"/>
          <w:i/>
        </w:rPr>
        <w:t xml:space="preserve">, al </w:t>
      </w:r>
      <w:r w:rsidR="001F53F1">
        <w:rPr>
          <w:rFonts w:ascii="Palatino Linotype" w:hAnsi="Palatino Linotype"/>
          <w:i/>
        </w:rPr>
        <w:t>veinte</w:t>
      </w:r>
      <w:r>
        <w:rPr>
          <w:rFonts w:ascii="Palatino Linotype" w:hAnsi="Palatino Linotype"/>
          <w:i/>
        </w:rPr>
        <w:t xml:space="preserve"> de enero de dos mil veintidós. </w:t>
      </w:r>
    </w:p>
    <w:p w14:paraId="5B6B4766" w14:textId="77777777" w:rsidR="008B1A12" w:rsidRDefault="008B1A12" w:rsidP="00BB2E89">
      <w:pPr>
        <w:autoSpaceDE w:val="0"/>
        <w:autoSpaceDN w:val="0"/>
        <w:adjustRightInd w:val="0"/>
        <w:spacing w:before="240" w:line="360" w:lineRule="auto"/>
        <w:jc w:val="both"/>
        <w:rPr>
          <w:rFonts w:ascii="Palatino Linotype" w:hAnsi="Palatino Linotype" w:cs="Arial"/>
          <w:b/>
          <w:sz w:val="28"/>
          <w:szCs w:val="28"/>
        </w:rPr>
      </w:pPr>
    </w:p>
    <w:p w14:paraId="19ABE676" w14:textId="77777777" w:rsidR="00BB2E89" w:rsidRDefault="00BB2E89" w:rsidP="00BB2E89">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w:t>
      </w:r>
      <w:r w:rsidRPr="00D05C83">
        <w:rPr>
          <w:rFonts w:ascii="Palatino Linotype" w:hAnsi="Palatino Linotype" w:cs="Arial"/>
          <w:sz w:val="24"/>
          <w:szCs w:val="24"/>
        </w:rPr>
        <w:lastRenderedPageBreak/>
        <w:t>hábiles, debiendo informar a este Instituto en un plazo de tres días hábiles siguientes sobre el cumplimiento dado a la presente resolución.</w:t>
      </w:r>
    </w:p>
    <w:p w14:paraId="72B4FCC7" w14:textId="77777777" w:rsidR="00BB2E89" w:rsidRDefault="00BB2E89" w:rsidP="00BB2E89">
      <w:pPr>
        <w:autoSpaceDE w:val="0"/>
        <w:autoSpaceDN w:val="0"/>
        <w:adjustRightInd w:val="0"/>
        <w:spacing w:before="240" w:line="360" w:lineRule="auto"/>
        <w:jc w:val="both"/>
        <w:rPr>
          <w:rFonts w:ascii="Palatino Linotype" w:hAnsi="Palatino Linotype" w:cs="Arial"/>
          <w:sz w:val="24"/>
          <w:szCs w:val="24"/>
        </w:rPr>
      </w:pPr>
    </w:p>
    <w:p w14:paraId="24525C2D" w14:textId="77777777" w:rsidR="00BB2E89" w:rsidRDefault="00BB2E89" w:rsidP="00BB2E8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6A6E3D2" w14:textId="77777777" w:rsidR="00BB2E89" w:rsidRPr="005751B7" w:rsidRDefault="00BB2E89" w:rsidP="00BB2E8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B7EAEFA" w14:textId="77777777" w:rsidR="00BB2E89" w:rsidRPr="00F77047" w:rsidRDefault="00BB2E89" w:rsidP="00BB2E89">
      <w:pPr>
        <w:spacing w:after="0" w:line="360" w:lineRule="auto"/>
        <w:jc w:val="both"/>
        <w:rPr>
          <w:rFonts w:ascii="Palatino Linotype" w:eastAsia="Times New Roman" w:hAnsi="Palatino Linotype" w:cs="Arial"/>
          <w:b/>
          <w:sz w:val="18"/>
          <w:szCs w:val="24"/>
          <w:lang w:eastAsia="es-ES"/>
        </w:rPr>
      </w:pPr>
    </w:p>
    <w:p w14:paraId="560B95CB" w14:textId="6849BBEB" w:rsidR="00BB2E89" w:rsidRDefault="00BB2E89" w:rsidP="00BB2E89">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1625D">
        <w:rPr>
          <w:rFonts w:ascii="Palatino Linotype" w:eastAsia="Times New Roman" w:hAnsi="Palatino Linotype" w:cs="Arial"/>
          <w:b/>
          <w:sz w:val="24"/>
          <w:szCs w:val="24"/>
          <w:lang w:eastAsia="es-ES"/>
        </w:rPr>
        <w:t xml:space="preserve">QUINTO. NOTIFÍQUESE </w:t>
      </w:r>
      <w:r w:rsidRPr="00C1625D">
        <w:rPr>
          <w:rFonts w:ascii="Palatino Linotype" w:eastAsia="Times New Roman" w:hAnsi="Palatino Linotype" w:cs="Arial"/>
          <w:sz w:val="24"/>
          <w:szCs w:val="24"/>
          <w:lang w:eastAsia="es-ES"/>
        </w:rPr>
        <w:t xml:space="preserve">la presente resolución al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sidR="00031A66" w:rsidRPr="00151D16">
        <w:rPr>
          <w:rFonts w:ascii="Palatino Linotype" w:hAnsi="Palatino Linotype" w:cs="Arial"/>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7E1954EC" w14:textId="48C91319" w:rsidR="004E1AC5" w:rsidRDefault="004E1AC5" w:rsidP="00ED3C5C">
      <w:pPr>
        <w:spacing w:after="0" w:line="360" w:lineRule="auto"/>
        <w:jc w:val="both"/>
        <w:rPr>
          <w:rFonts w:ascii="Palatino Linotype" w:hAnsi="Palatino Linotype" w:cs="Arial"/>
          <w:color w:val="000000"/>
          <w:sz w:val="24"/>
          <w:lang w:val="es-ES_tradnl"/>
        </w:rPr>
      </w:pPr>
    </w:p>
    <w:p w14:paraId="6FA0E6FD" w14:textId="62EE6A7B" w:rsidR="00C1625D" w:rsidRPr="00917744" w:rsidRDefault="00C1625D" w:rsidP="00C1625D">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CONFORMADO POR LOS COMISIONADOS JOSÉ MARTÍNEZ VILCHIS, MARÍA DEL ROSARIO MEJÍA AYALA, S</w:t>
      </w:r>
      <w:r w:rsidR="00FA3650" w:rsidRPr="00917744">
        <w:rPr>
          <w:rFonts w:ascii="Palatino Linotype" w:hAnsi="Palatino Linotype" w:cs="Arial"/>
          <w:sz w:val="23"/>
          <w:szCs w:val="23"/>
        </w:rPr>
        <w:t xml:space="preserve">HARON CRISTINA MORALES MARTÍNEZ, </w:t>
      </w:r>
      <w:r w:rsidRPr="00917744">
        <w:rPr>
          <w:rFonts w:ascii="Palatino Linotype" w:hAnsi="Palatino Linotype" w:cs="Arial"/>
          <w:sz w:val="23"/>
          <w:szCs w:val="23"/>
        </w:rPr>
        <w:t xml:space="preserve">LUIS GUSTAVO PARRA NORIEGA Y GUADALUPE RAMÍREZ PEÑA; EN LA </w:t>
      </w:r>
      <w:r w:rsidR="00FA3650" w:rsidRPr="00917744">
        <w:rPr>
          <w:rFonts w:ascii="Palatino Linotype" w:hAnsi="Palatino Linotype" w:cs="Arial"/>
          <w:sz w:val="23"/>
          <w:szCs w:val="23"/>
        </w:rPr>
        <w:t>DÉCIMA</w:t>
      </w:r>
      <w:r w:rsidRPr="00917744">
        <w:rPr>
          <w:rFonts w:ascii="Palatino Linotype" w:hAnsi="Palatino Linotype" w:cs="Arial"/>
          <w:sz w:val="23"/>
          <w:szCs w:val="23"/>
        </w:rPr>
        <w:t xml:space="preserve">  </w:t>
      </w:r>
      <w:r w:rsidR="00092576">
        <w:rPr>
          <w:rFonts w:ascii="Palatino Linotype" w:hAnsi="Palatino Linotype" w:cs="Arial"/>
          <w:sz w:val="23"/>
          <w:szCs w:val="23"/>
        </w:rPr>
        <w:t>CUARTA</w:t>
      </w:r>
      <w:r w:rsidR="00882E7E">
        <w:rPr>
          <w:rFonts w:ascii="Palatino Linotype" w:hAnsi="Palatino Linotype" w:cs="Arial"/>
          <w:sz w:val="23"/>
          <w:szCs w:val="23"/>
        </w:rPr>
        <w:t xml:space="preserve"> SESIÓN </w:t>
      </w:r>
      <w:r w:rsidR="00882E7E">
        <w:rPr>
          <w:rFonts w:ascii="Palatino Linotype" w:hAnsi="Palatino Linotype" w:cs="Arial"/>
          <w:sz w:val="23"/>
          <w:szCs w:val="23"/>
        </w:rPr>
        <w:lastRenderedPageBreak/>
        <w:t xml:space="preserve">ORDINARIA CELEBRADA EL VEINTE DE ABRIL DE DOS MIL VEINTIDÓS, </w:t>
      </w:r>
      <w:r w:rsidRPr="00917744">
        <w:rPr>
          <w:rFonts w:ascii="Palatino Linotype" w:hAnsi="Palatino Linotype" w:cs="Arial"/>
          <w:sz w:val="23"/>
          <w:szCs w:val="23"/>
        </w:rPr>
        <w:t xml:space="preserve">ANTE EL  SECRETARIO TÉCNICO DEL PLENO, ALEXIS TAPIA RAMÍREZ. </w:t>
      </w:r>
    </w:p>
    <w:p w14:paraId="0ACA7651" w14:textId="4AE391BC"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CB984C9" w14:textId="67C6901F" w:rsidR="00C1625D" w:rsidRDefault="004D0C9B"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72576" behindDoc="0" locked="0" layoutInCell="1" allowOverlap="1" wp14:anchorId="4793EBB9" wp14:editId="32FDE920">
                <wp:simplePos x="0" y="0"/>
                <wp:positionH relativeFrom="column">
                  <wp:posOffset>-199854</wp:posOffset>
                </wp:positionH>
                <wp:positionV relativeFrom="paragraph">
                  <wp:posOffset>121124</wp:posOffset>
                </wp:positionV>
                <wp:extent cx="6107373" cy="5595582"/>
                <wp:effectExtent l="0" t="0" r="27305" b="24765"/>
                <wp:wrapNone/>
                <wp:docPr id="4" name="Conector recto 4"/>
                <wp:cNvGraphicFramePr/>
                <a:graphic xmlns:a="http://schemas.openxmlformats.org/drawingml/2006/main">
                  <a:graphicData uri="http://schemas.microsoft.com/office/word/2010/wordprocessingShape">
                    <wps:wsp>
                      <wps:cNvCnPr/>
                      <wps:spPr>
                        <a:xfrm>
                          <a:off x="0" y="0"/>
                          <a:ext cx="6107373" cy="55955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07BDAF" id="Conector recto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9.55pt" to="465.15pt,4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" strokecolor="#5b9bd5 [3204]" strokeweight=".5pt">
                <v:stroke joinstyle="miter"/>
              </v:line>
            </w:pict>
          </mc:Fallback>
        </mc:AlternateContent>
      </w:r>
    </w:p>
    <w:p w14:paraId="5427E883" w14:textId="7777777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0FCD19" w14:textId="7777777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3BF3F3" w14:textId="7777777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60A9022" w14:textId="77777777" w:rsidR="00C1625D" w:rsidRPr="00280B8B"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6E2106F" w14:textId="77777777" w:rsidR="00C1625D" w:rsidRDefault="00C1625D" w:rsidP="00ED3C5C">
      <w:pPr>
        <w:spacing w:after="0" w:line="360" w:lineRule="auto"/>
        <w:jc w:val="both"/>
        <w:rPr>
          <w:rFonts w:ascii="Palatino Linotype" w:hAnsi="Palatino Linotype" w:cs="Arial"/>
          <w:color w:val="000000"/>
          <w:sz w:val="24"/>
          <w:lang w:val="es-ES_tradnl"/>
        </w:rPr>
      </w:pPr>
    </w:p>
    <w:p w14:paraId="1053903D" w14:textId="77777777" w:rsidR="00867FEE" w:rsidRDefault="00867FEE" w:rsidP="00ED3C5C">
      <w:pPr>
        <w:spacing w:after="0" w:line="360" w:lineRule="auto"/>
        <w:jc w:val="both"/>
        <w:rPr>
          <w:rFonts w:ascii="Palatino Linotype" w:hAnsi="Palatino Linotype" w:cs="Arial"/>
          <w:color w:val="000000"/>
          <w:sz w:val="24"/>
          <w:lang w:val="es-ES_tradnl"/>
        </w:rPr>
      </w:pPr>
    </w:p>
    <w:p w14:paraId="70D12BD4" w14:textId="77777777" w:rsidR="00867FEE" w:rsidRDefault="00867FEE" w:rsidP="00ED3C5C">
      <w:pPr>
        <w:spacing w:after="0" w:line="360" w:lineRule="auto"/>
        <w:jc w:val="both"/>
        <w:rPr>
          <w:rFonts w:ascii="Palatino Linotype" w:hAnsi="Palatino Linotype" w:cs="Arial"/>
          <w:color w:val="000000"/>
          <w:sz w:val="24"/>
          <w:lang w:val="es-ES_tradnl"/>
        </w:rPr>
      </w:pPr>
    </w:p>
    <w:p w14:paraId="238B62A6" w14:textId="77777777" w:rsidR="00867FEE" w:rsidRDefault="00867FEE" w:rsidP="00ED3C5C">
      <w:pPr>
        <w:spacing w:after="0" w:line="360" w:lineRule="auto"/>
        <w:jc w:val="both"/>
        <w:rPr>
          <w:rFonts w:ascii="Palatino Linotype" w:hAnsi="Palatino Linotype" w:cs="Arial"/>
          <w:color w:val="000000"/>
          <w:sz w:val="24"/>
          <w:lang w:val="es-ES_tradnl"/>
        </w:rPr>
      </w:pPr>
    </w:p>
    <w:p w14:paraId="35542CE2" w14:textId="77777777" w:rsidR="00867FEE" w:rsidRDefault="00867FEE" w:rsidP="00ED3C5C">
      <w:pPr>
        <w:spacing w:after="0" w:line="360" w:lineRule="auto"/>
        <w:jc w:val="both"/>
        <w:rPr>
          <w:rFonts w:ascii="Palatino Linotype" w:hAnsi="Palatino Linotype" w:cs="Arial"/>
          <w:color w:val="000000"/>
          <w:sz w:val="24"/>
          <w:lang w:val="es-ES_tradnl"/>
        </w:rPr>
      </w:pPr>
    </w:p>
    <w:p w14:paraId="794AA4E0" w14:textId="77777777" w:rsidR="00867FEE" w:rsidRDefault="00867FEE" w:rsidP="00ED3C5C">
      <w:pPr>
        <w:spacing w:after="0" w:line="360" w:lineRule="auto"/>
        <w:jc w:val="both"/>
        <w:rPr>
          <w:rFonts w:ascii="Palatino Linotype" w:hAnsi="Palatino Linotype" w:cs="Arial"/>
          <w:color w:val="000000"/>
          <w:sz w:val="24"/>
          <w:lang w:val="es-ES_tradnl"/>
        </w:rPr>
      </w:pPr>
    </w:p>
    <w:p w14:paraId="3FA43038" w14:textId="77777777" w:rsidR="00867FEE" w:rsidRDefault="00867FEE" w:rsidP="00ED3C5C">
      <w:pPr>
        <w:spacing w:after="0" w:line="360" w:lineRule="auto"/>
        <w:jc w:val="both"/>
        <w:rPr>
          <w:rFonts w:ascii="Palatino Linotype" w:hAnsi="Palatino Linotype" w:cs="Arial"/>
          <w:color w:val="000000"/>
          <w:sz w:val="24"/>
          <w:lang w:val="es-ES_tradnl"/>
        </w:rPr>
      </w:pPr>
    </w:p>
    <w:p w14:paraId="18DA9E27" w14:textId="77777777" w:rsidR="00867FEE" w:rsidRDefault="00867FEE" w:rsidP="00ED3C5C">
      <w:pPr>
        <w:spacing w:after="0" w:line="360" w:lineRule="auto"/>
        <w:jc w:val="both"/>
        <w:rPr>
          <w:rFonts w:ascii="Palatino Linotype" w:hAnsi="Palatino Linotype" w:cs="Arial"/>
          <w:color w:val="000000"/>
          <w:sz w:val="24"/>
          <w:lang w:val="es-ES_tradnl"/>
        </w:rPr>
      </w:pPr>
    </w:p>
    <w:p w14:paraId="15F1EE6D" w14:textId="77777777" w:rsidR="00867FEE" w:rsidRDefault="00867FEE" w:rsidP="00ED3C5C">
      <w:pPr>
        <w:spacing w:after="0" w:line="360" w:lineRule="auto"/>
        <w:jc w:val="both"/>
        <w:rPr>
          <w:rFonts w:ascii="Palatino Linotype" w:hAnsi="Palatino Linotype" w:cs="Arial"/>
          <w:color w:val="000000"/>
          <w:sz w:val="24"/>
          <w:lang w:val="es-ES_tradnl"/>
        </w:rPr>
      </w:pPr>
    </w:p>
    <w:p w14:paraId="7D547E2C" w14:textId="77777777" w:rsidR="00867FEE" w:rsidRDefault="00867FEE" w:rsidP="00ED3C5C">
      <w:pPr>
        <w:spacing w:after="0" w:line="360" w:lineRule="auto"/>
        <w:jc w:val="both"/>
        <w:rPr>
          <w:rFonts w:ascii="Palatino Linotype" w:hAnsi="Palatino Linotype" w:cs="Arial"/>
          <w:color w:val="000000"/>
          <w:sz w:val="24"/>
          <w:lang w:val="es-ES_tradnl"/>
        </w:rPr>
      </w:pPr>
    </w:p>
    <w:p w14:paraId="2D794F21" w14:textId="77777777" w:rsidR="00867FEE" w:rsidRDefault="00867FEE" w:rsidP="00ED3C5C">
      <w:pPr>
        <w:spacing w:after="0" w:line="360" w:lineRule="auto"/>
        <w:jc w:val="both"/>
        <w:rPr>
          <w:rFonts w:ascii="Palatino Linotype" w:hAnsi="Palatino Linotype" w:cs="Arial"/>
          <w:color w:val="000000"/>
          <w:sz w:val="24"/>
          <w:lang w:val="es-ES_tradnl"/>
        </w:rPr>
      </w:pPr>
    </w:p>
    <w:p w14:paraId="21DD6342" w14:textId="77777777" w:rsidR="00867FEE" w:rsidRDefault="00867FEE" w:rsidP="00ED3C5C">
      <w:pPr>
        <w:spacing w:after="0" w:line="360" w:lineRule="auto"/>
        <w:jc w:val="both"/>
        <w:rPr>
          <w:rFonts w:ascii="Palatino Linotype" w:hAnsi="Palatino Linotype" w:cs="Arial"/>
          <w:color w:val="000000"/>
          <w:sz w:val="24"/>
          <w:lang w:val="es-ES_tradnl"/>
        </w:rPr>
      </w:pPr>
    </w:p>
    <w:p w14:paraId="45358C48" w14:textId="77777777" w:rsidR="00867FEE" w:rsidRDefault="00867FEE" w:rsidP="00ED3C5C">
      <w:pPr>
        <w:spacing w:after="0" w:line="360" w:lineRule="auto"/>
        <w:jc w:val="both"/>
        <w:rPr>
          <w:rFonts w:ascii="Palatino Linotype" w:hAnsi="Palatino Linotype" w:cs="Arial"/>
          <w:color w:val="000000"/>
          <w:sz w:val="24"/>
          <w:lang w:val="es-ES_tradnl"/>
        </w:rPr>
      </w:pPr>
    </w:p>
    <w:p w14:paraId="32536D90" w14:textId="77777777" w:rsidR="00867FEE" w:rsidRDefault="00867FEE" w:rsidP="00ED3C5C">
      <w:pPr>
        <w:spacing w:after="0" w:line="360" w:lineRule="auto"/>
        <w:jc w:val="both"/>
        <w:rPr>
          <w:rFonts w:ascii="Palatino Linotype" w:hAnsi="Palatino Linotype" w:cs="Arial"/>
          <w:color w:val="000000"/>
          <w:sz w:val="24"/>
          <w:lang w:val="es-ES_tradnl"/>
        </w:rPr>
      </w:pPr>
    </w:p>
    <w:sectPr w:rsidR="00867FEE" w:rsidSect="00FB4AA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A7734" w14:textId="77777777" w:rsidR="006409A8" w:rsidRDefault="006409A8" w:rsidP="006168E4">
      <w:pPr>
        <w:spacing w:after="0" w:line="240" w:lineRule="auto"/>
      </w:pPr>
      <w:r>
        <w:separator/>
      </w:r>
    </w:p>
  </w:endnote>
  <w:endnote w:type="continuationSeparator" w:id="0">
    <w:p w14:paraId="3BD78262" w14:textId="77777777" w:rsidR="006409A8" w:rsidRDefault="006409A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253F6" w:rsidRPr="000B69FA" w:rsidRDefault="00E253F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8519F">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8519F">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253F6" w:rsidRPr="000B69FA" w:rsidRDefault="00E253F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8519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8519F">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4BC84" w14:textId="77777777" w:rsidR="006409A8" w:rsidRDefault="006409A8" w:rsidP="006168E4">
      <w:pPr>
        <w:spacing w:after="0" w:line="240" w:lineRule="auto"/>
      </w:pPr>
      <w:r>
        <w:separator/>
      </w:r>
    </w:p>
  </w:footnote>
  <w:footnote w:type="continuationSeparator" w:id="0">
    <w:p w14:paraId="1E303A5F" w14:textId="77777777" w:rsidR="006409A8" w:rsidRDefault="006409A8"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253F6" w:rsidRDefault="00E253F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253F6" w14:paraId="17981A04" w14:textId="77777777" w:rsidTr="00073E92">
      <w:trPr>
        <w:trHeight w:val="227"/>
      </w:trPr>
      <w:tc>
        <w:tcPr>
          <w:tcW w:w="5529" w:type="dxa"/>
          <w:hideMark/>
        </w:tcPr>
        <w:p w14:paraId="0E414BC5" w14:textId="19670DF2" w:rsidR="00E253F6" w:rsidRDefault="00E253F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ECB2318" w:rsidR="00E253F6" w:rsidRPr="00B4142F" w:rsidRDefault="001B723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01150</w:t>
          </w:r>
          <w:r w:rsidR="00E253F6">
            <w:rPr>
              <w:rFonts w:ascii="Palatino Linotype" w:hAnsi="Palatino Linotype" w:cs="Arial"/>
              <w:bCs/>
              <w:sz w:val="24"/>
              <w:lang w:eastAsia="es-MX"/>
            </w:rPr>
            <w:t>/INFOEM/IP/RR/2022</w:t>
          </w:r>
        </w:p>
      </w:tc>
    </w:tr>
    <w:tr w:rsidR="00E253F6" w14:paraId="637042F0" w14:textId="77777777" w:rsidTr="00073E92">
      <w:trPr>
        <w:trHeight w:val="242"/>
      </w:trPr>
      <w:tc>
        <w:tcPr>
          <w:tcW w:w="5529" w:type="dxa"/>
          <w:hideMark/>
        </w:tcPr>
        <w:p w14:paraId="412AD568" w14:textId="582E7AD7" w:rsidR="00E253F6" w:rsidRDefault="00E253F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062FD93" w:rsidR="00E253F6" w:rsidRPr="00F06FED" w:rsidRDefault="001B7235" w:rsidP="00BB63AB">
          <w:pPr>
            <w:spacing w:after="120" w:line="256" w:lineRule="auto"/>
            <w:ind w:left="639" w:right="214"/>
            <w:jc w:val="both"/>
            <w:rPr>
              <w:rFonts w:ascii="Palatino Linotype" w:hAnsi="Palatino Linotype" w:cs="Arial"/>
            </w:rPr>
          </w:pPr>
          <w:r>
            <w:rPr>
              <w:rFonts w:ascii="Palatino Linotype" w:hAnsi="Palatino Linotype" w:cs="Arial"/>
              <w:szCs w:val="20"/>
            </w:rPr>
            <w:t>Organismo Público Descentralizado para la Prestación de Los Servicios de Agua Potable Alcantarillado y Saneamiento de Atizapán de Zaragoza por sus siglas S.A.P.A.S.A.</w:t>
          </w:r>
        </w:p>
      </w:tc>
    </w:tr>
    <w:tr w:rsidR="00E253F6" w14:paraId="21BFE746" w14:textId="77777777" w:rsidTr="00073E92">
      <w:trPr>
        <w:trHeight w:val="342"/>
      </w:trPr>
      <w:tc>
        <w:tcPr>
          <w:tcW w:w="5529" w:type="dxa"/>
          <w:hideMark/>
        </w:tcPr>
        <w:p w14:paraId="64C4E314" w14:textId="2A83840C" w:rsidR="00E253F6" w:rsidRDefault="00E253F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253F6" w:rsidRDefault="00E253F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253F6" w:rsidRDefault="00E253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253F6" w14:paraId="385FD437" w14:textId="77777777" w:rsidTr="00073E92">
      <w:trPr>
        <w:trHeight w:val="227"/>
      </w:trPr>
      <w:tc>
        <w:tcPr>
          <w:tcW w:w="5529" w:type="dxa"/>
          <w:hideMark/>
        </w:tcPr>
        <w:p w14:paraId="272860E8" w14:textId="6340DBC0" w:rsidR="00E253F6" w:rsidRDefault="00E253F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EFD9B40" w:rsidR="00E253F6" w:rsidRPr="00B4142F" w:rsidRDefault="001B723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01150</w:t>
          </w:r>
          <w:r w:rsidR="00E253F6">
            <w:rPr>
              <w:rFonts w:ascii="Palatino Linotype" w:hAnsi="Palatino Linotype" w:cs="Arial"/>
              <w:bCs/>
              <w:sz w:val="24"/>
              <w:lang w:eastAsia="es-MX"/>
            </w:rPr>
            <w:t>/INFOEM/IP/RR/2022</w:t>
          </w:r>
        </w:p>
      </w:tc>
    </w:tr>
    <w:tr w:rsidR="00E253F6" w14:paraId="33FC5097" w14:textId="77777777" w:rsidTr="00073E92">
      <w:trPr>
        <w:trHeight w:val="196"/>
      </w:trPr>
      <w:tc>
        <w:tcPr>
          <w:tcW w:w="5529" w:type="dxa"/>
          <w:hideMark/>
        </w:tcPr>
        <w:p w14:paraId="4F5D01E5" w14:textId="77777777" w:rsidR="00E253F6" w:rsidRDefault="00E253F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09EDD4E" w:rsidR="00E253F6" w:rsidRPr="00F06FED" w:rsidRDefault="00D02060" w:rsidP="007A3BB5">
          <w:pPr>
            <w:spacing w:after="120" w:line="256" w:lineRule="auto"/>
            <w:ind w:left="639" w:right="214"/>
            <w:jc w:val="both"/>
            <w:rPr>
              <w:rFonts w:ascii="Palatino Linotype" w:hAnsi="Palatino Linotype" w:cs="Arial"/>
            </w:rPr>
          </w:pPr>
          <w:r>
            <w:rPr>
              <w:rFonts w:ascii="Palatino Linotype" w:hAnsi="Palatino Linotype" w:cs="Arial"/>
            </w:rPr>
            <w:t>XXXXXXXXXXXXXX</w:t>
          </w:r>
        </w:p>
      </w:tc>
    </w:tr>
    <w:tr w:rsidR="00E253F6" w14:paraId="178280DE" w14:textId="77777777" w:rsidTr="00073E92">
      <w:trPr>
        <w:trHeight w:val="242"/>
      </w:trPr>
      <w:tc>
        <w:tcPr>
          <w:tcW w:w="5529" w:type="dxa"/>
          <w:hideMark/>
        </w:tcPr>
        <w:p w14:paraId="71AC708B" w14:textId="77777777" w:rsidR="00E253F6" w:rsidRDefault="00E253F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24C49F3" w:rsidR="00E253F6" w:rsidRDefault="001B7235" w:rsidP="00BB63AB">
          <w:pPr>
            <w:spacing w:after="120" w:line="256" w:lineRule="auto"/>
            <w:ind w:left="639" w:right="214"/>
            <w:jc w:val="both"/>
            <w:rPr>
              <w:rFonts w:ascii="Palatino Linotype" w:hAnsi="Palatino Linotype" w:cs="Arial"/>
              <w:szCs w:val="20"/>
            </w:rPr>
          </w:pPr>
          <w:r>
            <w:rPr>
              <w:rFonts w:ascii="Palatino Linotype" w:hAnsi="Palatino Linotype" w:cs="Arial"/>
              <w:szCs w:val="20"/>
            </w:rPr>
            <w:t>Organismo Público Descentralizado para la Prestación de Los Servicios de Agua Potable Alcantarillado y Saneamiento de Atizapán de Zaragoza por sus siglas S.A.P.A.S.A.</w:t>
          </w:r>
        </w:p>
      </w:tc>
    </w:tr>
    <w:tr w:rsidR="00E253F6" w14:paraId="0518978B" w14:textId="77777777" w:rsidTr="00073E92">
      <w:trPr>
        <w:trHeight w:val="342"/>
      </w:trPr>
      <w:tc>
        <w:tcPr>
          <w:tcW w:w="5529" w:type="dxa"/>
          <w:hideMark/>
        </w:tcPr>
        <w:p w14:paraId="04968A43" w14:textId="7BE2A222" w:rsidR="00E253F6" w:rsidRDefault="00E253F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253F6" w:rsidRDefault="00E253F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253F6" w:rsidRDefault="00E253F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0853"/>
    <w:multiLevelType w:val="hybridMultilevel"/>
    <w:tmpl w:val="0A444D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1D1E4B"/>
    <w:multiLevelType w:val="hybridMultilevel"/>
    <w:tmpl w:val="A2587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FF7E5F"/>
    <w:multiLevelType w:val="hybridMultilevel"/>
    <w:tmpl w:val="F75E5A1E"/>
    <w:lvl w:ilvl="0" w:tplc="AAC60D5C">
      <w:start w:val="5"/>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23650F3"/>
    <w:multiLevelType w:val="hybridMultilevel"/>
    <w:tmpl w:val="C0F27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1C0AD2"/>
    <w:multiLevelType w:val="hybridMultilevel"/>
    <w:tmpl w:val="9F588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2519703A"/>
    <w:multiLevelType w:val="hybridMultilevel"/>
    <w:tmpl w:val="753AA1AE"/>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8" w15:restartNumberingAfterBreak="0">
    <w:nsid w:val="27DA028C"/>
    <w:multiLevelType w:val="hybridMultilevel"/>
    <w:tmpl w:val="0E3C7B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0A167F"/>
    <w:multiLevelType w:val="hybridMultilevel"/>
    <w:tmpl w:val="67081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1" w15:restartNumberingAfterBreak="0">
    <w:nsid w:val="346D7FC3"/>
    <w:multiLevelType w:val="hybridMultilevel"/>
    <w:tmpl w:val="E6EEBDE8"/>
    <w:lvl w:ilvl="0" w:tplc="6F60219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387775E2"/>
    <w:multiLevelType w:val="hybridMultilevel"/>
    <w:tmpl w:val="640CA94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A9360F"/>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007F14"/>
    <w:multiLevelType w:val="hybridMultilevel"/>
    <w:tmpl w:val="0FA6955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41F75CCC"/>
    <w:multiLevelType w:val="hybridMultilevel"/>
    <w:tmpl w:val="E5045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710895"/>
    <w:multiLevelType w:val="hybridMultilevel"/>
    <w:tmpl w:val="329C0F1C"/>
    <w:lvl w:ilvl="0" w:tplc="137A8B52">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813E8E"/>
    <w:multiLevelType w:val="hybridMultilevel"/>
    <w:tmpl w:val="2D464856"/>
    <w:lvl w:ilvl="0" w:tplc="8D661C82">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47752A29"/>
    <w:multiLevelType w:val="hybridMultilevel"/>
    <w:tmpl w:val="75082954"/>
    <w:lvl w:ilvl="0" w:tplc="5CD4B0F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7D1680B"/>
    <w:multiLevelType w:val="hybridMultilevel"/>
    <w:tmpl w:val="23668026"/>
    <w:lvl w:ilvl="0" w:tplc="854C455A">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4A085077"/>
    <w:multiLevelType w:val="hybridMultilevel"/>
    <w:tmpl w:val="E5045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3855AB"/>
    <w:multiLevelType w:val="hybridMultilevel"/>
    <w:tmpl w:val="8214B6C8"/>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2A48DA"/>
    <w:multiLevelType w:val="hybridMultilevel"/>
    <w:tmpl w:val="273229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416012"/>
    <w:multiLevelType w:val="hybridMultilevel"/>
    <w:tmpl w:val="9A1A5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36173B"/>
    <w:multiLevelType w:val="hybridMultilevel"/>
    <w:tmpl w:val="13A87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732E01"/>
    <w:multiLevelType w:val="hybridMultilevel"/>
    <w:tmpl w:val="1FAC8706"/>
    <w:lvl w:ilvl="0" w:tplc="D9F29C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975DA0"/>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7"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DD4438"/>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0C47EC"/>
    <w:multiLevelType w:val="hybridMultilevel"/>
    <w:tmpl w:val="2616A6E4"/>
    <w:lvl w:ilvl="0" w:tplc="EDBCC6D4">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2"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DC2135"/>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5A16DD"/>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5" w15:restartNumberingAfterBreak="0">
    <w:nsid w:val="7646366E"/>
    <w:multiLevelType w:val="hybridMultilevel"/>
    <w:tmpl w:val="9F0041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CA4805"/>
    <w:multiLevelType w:val="hybridMultilevel"/>
    <w:tmpl w:val="F3A6BCBE"/>
    <w:lvl w:ilvl="0" w:tplc="C9EC21E0">
      <w:start w:val="5"/>
      <w:numFmt w:val="bullet"/>
      <w:lvlText w:val="-"/>
      <w:lvlJc w:val="left"/>
      <w:pPr>
        <w:ind w:left="1080" w:hanging="360"/>
      </w:pPr>
      <w:rPr>
        <w:rFonts w:ascii="Palatino Linotype" w:eastAsia="Times New Roman" w:hAnsi="Palatino Linotype" w:cs="Arial" w:hint="default"/>
        <w:b w:val="0"/>
        <w:color w:val="000000"/>
        <w:u w:val="no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4"/>
  </w:num>
  <w:num w:numId="2">
    <w:abstractNumId w:val="26"/>
  </w:num>
  <w:num w:numId="3">
    <w:abstractNumId w:val="28"/>
  </w:num>
  <w:num w:numId="4">
    <w:abstractNumId w:val="17"/>
  </w:num>
  <w:num w:numId="5">
    <w:abstractNumId w:val="0"/>
  </w:num>
  <w:num w:numId="6">
    <w:abstractNumId w:val="6"/>
  </w:num>
  <w:num w:numId="7">
    <w:abstractNumId w:val="8"/>
  </w:num>
  <w:num w:numId="8">
    <w:abstractNumId w:val="18"/>
  </w:num>
  <w:num w:numId="9">
    <w:abstractNumId w:val="1"/>
  </w:num>
  <w:num w:numId="10">
    <w:abstractNumId w:val="34"/>
  </w:num>
  <w:num w:numId="11">
    <w:abstractNumId w:val="15"/>
  </w:num>
  <w:num w:numId="12">
    <w:abstractNumId w:val="23"/>
  </w:num>
  <w:num w:numId="13">
    <w:abstractNumId w:val="36"/>
  </w:num>
  <w:num w:numId="14">
    <w:abstractNumId w:val="3"/>
  </w:num>
  <w:num w:numId="15">
    <w:abstractNumId w:val="20"/>
  </w:num>
  <w:num w:numId="16">
    <w:abstractNumId w:val="12"/>
  </w:num>
  <w:num w:numId="17">
    <w:abstractNumId w:val="5"/>
  </w:num>
  <w:num w:numId="18">
    <w:abstractNumId w:val="22"/>
  </w:num>
  <w:num w:numId="19">
    <w:abstractNumId w:val="13"/>
  </w:num>
  <w:num w:numId="20">
    <w:abstractNumId w:val="9"/>
  </w:num>
  <w:num w:numId="21">
    <w:abstractNumId w:val="7"/>
  </w:num>
  <w:num w:numId="22">
    <w:abstractNumId w:val="35"/>
  </w:num>
  <w:num w:numId="23">
    <w:abstractNumId w:val="11"/>
  </w:num>
  <w:num w:numId="24">
    <w:abstractNumId w:val="30"/>
  </w:num>
  <w:num w:numId="25">
    <w:abstractNumId w:val="25"/>
  </w:num>
  <w:num w:numId="26">
    <w:abstractNumId w:val="33"/>
  </w:num>
  <w:num w:numId="27">
    <w:abstractNumId w:val="21"/>
  </w:num>
  <w:num w:numId="28">
    <w:abstractNumId w:val="32"/>
  </w:num>
  <w:num w:numId="29">
    <w:abstractNumId w:val="31"/>
  </w:num>
  <w:num w:numId="30">
    <w:abstractNumId w:val="2"/>
  </w:num>
  <w:num w:numId="31">
    <w:abstractNumId w:val="10"/>
  </w:num>
  <w:num w:numId="32">
    <w:abstractNumId w:val="24"/>
  </w:num>
  <w:num w:numId="33">
    <w:abstractNumId w:val="19"/>
  </w:num>
  <w:num w:numId="34">
    <w:abstractNumId w:val="4"/>
  </w:num>
  <w:num w:numId="35">
    <w:abstractNumId w:val="27"/>
  </w:num>
  <w:num w:numId="36">
    <w:abstractNumId w:val="16"/>
  </w:num>
  <w:num w:numId="37">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6CF"/>
    <w:rsid w:val="00002FA5"/>
    <w:rsid w:val="000034EA"/>
    <w:rsid w:val="000056BB"/>
    <w:rsid w:val="00005B85"/>
    <w:rsid w:val="00011980"/>
    <w:rsid w:val="00012E56"/>
    <w:rsid w:val="0001366A"/>
    <w:rsid w:val="00013C75"/>
    <w:rsid w:val="000143F3"/>
    <w:rsid w:val="000156FD"/>
    <w:rsid w:val="000171B7"/>
    <w:rsid w:val="00020E74"/>
    <w:rsid w:val="00022B41"/>
    <w:rsid w:val="000240C8"/>
    <w:rsid w:val="0002560B"/>
    <w:rsid w:val="00027921"/>
    <w:rsid w:val="000306A7"/>
    <w:rsid w:val="000315CA"/>
    <w:rsid w:val="00031A66"/>
    <w:rsid w:val="00031B3B"/>
    <w:rsid w:val="0003281E"/>
    <w:rsid w:val="00032896"/>
    <w:rsid w:val="000329BE"/>
    <w:rsid w:val="0004186E"/>
    <w:rsid w:val="00044C7F"/>
    <w:rsid w:val="000451BE"/>
    <w:rsid w:val="00045379"/>
    <w:rsid w:val="000458B5"/>
    <w:rsid w:val="00045CB8"/>
    <w:rsid w:val="000508FA"/>
    <w:rsid w:val="0005171D"/>
    <w:rsid w:val="00055224"/>
    <w:rsid w:val="000610F9"/>
    <w:rsid w:val="00061821"/>
    <w:rsid w:val="000623F9"/>
    <w:rsid w:val="00062EF8"/>
    <w:rsid w:val="00063A10"/>
    <w:rsid w:val="00063C69"/>
    <w:rsid w:val="00064EA6"/>
    <w:rsid w:val="000662F8"/>
    <w:rsid w:val="00066CAB"/>
    <w:rsid w:val="00070E99"/>
    <w:rsid w:val="00073E78"/>
    <w:rsid w:val="00073E92"/>
    <w:rsid w:val="00073FC2"/>
    <w:rsid w:val="00076AE0"/>
    <w:rsid w:val="0007756F"/>
    <w:rsid w:val="0008033D"/>
    <w:rsid w:val="0008151E"/>
    <w:rsid w:val="000821BF"/>
    <w:rsid w:val="00085007"/>
    <w:rsid w:val="0008548C"/>
    <w:rsid w:val="00086AF1"/>
    <w:rsid w:val="0008719F"/>
    <w:rsid w:val="00087E9F"/>
    <w:rsid w:val="00090174"/>
    <w:rsid w:val="00091552"/>
    <w:rsid w:val="00091C3A"/>
    <w:rsid w:val="00092576"/>
    <w:rsid w:val="000944B9"/>
    <w:rsid w:val="00095CD4"/>
    <w:rsid w:val="0009704F"/>
    <w:rsid w:val="000A18F1"/>
    <w:rsid w:val="000A2E75"/>
    <w:rsid w:val="000A3486"/>
    <w:rsid w:val="000A46DE"/>
    <w:rsid w:val="000A46EB"/>
    <w:rsid w:val="000A5195"/>
    <w:rsid w:val="000A535D"/>
    <w:rsid w:val="000A5980"/>
    <w:rsid w:val="000A79DA"/>
    <w:rsid w:val="000B03E0"/>
    <w:rsid w:val="000B45EB"/>
    <w:rsid w:val="000B4B51"/>
    <w:rsid w:val="000B4D0F"/>
    <w:rsid w:val="000B5864"/>
    <w:rsid w:val="000B7158"/>
    <w:rsid w:val="000C0B33"/>
    <w:rsid w:val="000C2602"/>
    <w:rsid w:val="000C5B8B"/>
    <w:rsid w:val="000D1A4E"/>
    <w:rsid w:val="000D1B55"/>
    <w:rsid w:val="000D3C75"/>
    <w:rsid w:val="000D4532"/>
    <w:rsid w:val="000D4A3A"/>
    <w:rsid w:val="000D5800"/>
    <w:rsid w:val="000D67B8"/>
    <w:rsid w:val="000D69D7"/>
    <w:rsid w:val="000D7523"/>
    <w:rsid w:val="000E0C4D"/>
    <w:rsid w:val="000E30C2"/>
    <w:rsid w:val="000E3AEA"/>
    <w:rsid w:val="000E6545"/>
    <w:rsid w:val="000E686B"/>
    <w:rsid w:val="000F2A5E"/>
    <w:rsid w:val="000F2E5A"/>
    <w:rsid w:val="000F3EC2"/>
    <w:rsid w:val="000F3F8D"/>
    <w:rsid w:val="00100C19"/>
    <w:rsid w:val="00104391"/>
    <w:rsid w:val="00106372"/>
    <w:rsid w:val="00111DCD"/>
    <w:rsid w:val="00112C29"/>
    <w:rsid w:val="00114CF9"/>
    <w:rsid w:val="00114FD0"/>
    <w:rsid w:val="00121E3A"/>
    <w:rsid w:val="001228AB"/>
    <w:rsid w:val="00124209"/>
    <w:rsid w:val="00124855"/>
    <w:rsid w:val="001254F5"/>
    <w:rsid w:val="00127033"/>
    <w:rsid w:val="00136C13"/>
    <w:rsid w:val="00136FAD"/>
    <w:rsid w:val="00140557"/>
    <w:rsid w:val="001408A0"/>
    <w:rsid w:val="001414E7"/>
    <w:rsid w:val="001439C9"/>
    <w:rsid w:val="00146F0A"/>
    <w:rsid w:val="0015142D"/>
    <w:rsid w:val="00151D16"/>
    <w:rsid w:val="00152AB2"/>
    <w:rsid w:val="00152C2B"/>
    <w:rsid w:val="00161FBE"/>
    <w:rsid w:val="0016613D"/>
    <w:rsid w:val="0016745C"/>
    <w:rsid w:val="001705AC"/>
    <w:rsid w:val="001710C0"/>
    <w:rsid w:val="001733A0"/>
    <w:rsid w:val="00175897"/>
    <w:rsid w:val="00177BC8"/>
    <w:rsid w:val="00180B9F"/>
    <w:rsid w:val="00180F0F"/>
    <w:rsid w:val="00181CC5"/>
    <w:rsid w:val="001829BE"/>
    <w:rsid w:val="00182C4E"/>
    <w:rsid w:val="00183882"/>
    <w:rsid w:val="00184E8E"/>
    <w:rsid w:val="001854E1"/>
    <w:rsid w:val="0018577F"/>
    <w:rsid w:val="00193784"/>
    <w:rsid w:val="00194676"/>
    <w:rsid w:val="00196DCE"/>
    <w:rsid w:val="00196FE9"/>
    <w:rsid w:val="001A02EC"/>
    <w:rsid w:val="001A1756"/>
    <w:rsid w:val="001A30F5"/>
    <w:rsid w:val="001A4643"/>
    <w:rsid w:val="001A4BAD"/>
    <w:rsid w:val="001A53C9"/>
    <w:rsid w:val="001A5630"/>
    <w:rsid w:val="001A577E"/>
    <w:rsid w:val="001A7406"/>
    <w:rsid w:val="001A7484"/>
    <w:rsid w:val="001A7624"/>
    <w:rsid w:val="001A7959"/>
    <w:rsid w:val="001A7C9B"/>
    <w:rsid w:val="001B05B9"/>
    <w:rsid w:val="001B65E3"/>
    <w:rsid w:val="001B6914"/>
    <w:rsid w:val="001B7235"/>
    <w:rsid w:val="001B7B88"/>
    <w:rsid w:val="001B7FA2"/>
    <w:rsid w:val="001C1337"/>
    <w:rsid w:val="001C1CAF"/>
    <w:rsid w:val="001C2AC5"/>
    <w:rsid w:val="001C336E"/>
    <w:rsid w:val="001C50EE"/>
    <w:rsid w:val="001C7319"/>
    <w:rsid w:val="001C7D87"/>
    <w:rsid w:val="001D23B4"/>
    <w:rsid w:val="001D27C1"/>
    <w:rsid w:val="001D3E87"/>
    <w:rsid w:val="001D49A2"/>
    <w:rsid w:val="001D627A"/>
    <w:rsid w:val="001D6B60"/>
    <w:rsid w:val="001E0C3F"/>
    <w:rsid w:val="001E11BF"/>
    <w:rsid w:val="001E3960"/>
    <w:rsid w:val="001E5168"/>
    <w:rsid w:val="001E58D8"/>
    <w:rsid w:val="001E6631"/>
    <w:rsid w:val="001E78AA"/>
    <w:rsid w:val="001F1EDE"/>
    <w:rsid w:val="001F2101"/>
    <w:rsid w:val="001F2360"/>
    <w:rsid w:val="001F3969"/>
    <w:rsid w:val="001F53F1"/>
    <w:rsid w:val="001F61DA"/>
    <w:rsid w:val="00204420"/>
    <w:rsid w:val="00205ACD"/>
    <w:rsid w:val="00205E45"/>
    <w:rsid w:val="002075A5"/>
    <w:rsid w:val="00212797"/>
    <w:rsid w:val="00212A9D"/>
    <w:rsid w:val="0021501E"/>
    <w:rsid w:val="00215192"/>
    <w:rsid w:val="0021530C"/>
    <w:rsid w:val="002205C0"/>
    <w:rsid w:val="00221889"/>
    <w:rsid w:val="002248AC"/>
    <w:rsid w:val="00226AF5"/>
    <w:rsid w:val="0023220E"/>
    <w:rsid w:val="0023373D"/>
    <w:rsid w:val="0023423C"/>
    <w:rsid w:val="002406B0"/>
    <w:rsid w:val="002420E3"/>
    <w:rsid w:val="002448CB"/>
    <w:rsid w:val="002525C7"/>
    <w:rsid w:val="002526E7"/>
    <w:rsid w:val="002548EC"/>
    <w:rsid w:val="00254BA9"/>
    <w:rsid w:val="002577FE"/>
    <w:rsid w:val="00261125"/>
    <w:rsid w:val="002659E9"/>
    <w:rsid w:val="00267002"/>
    <w:rsid w:val="00267074"/>
    <w:rsid w:val="00267244"/>
    <w:rsid w:val="002717B7"/>
    <w:rsid w:val="00273D0E"/>
    <w:rsid w:val="00274159"/>
    <w:rsid w:val="00274300"/>
    <w:rsid w:val="00274BE8"/>
    <w:rsid w:val="002765A6"/>
    <w:rsid w:val="0028097F"/>
    <w:rsid w:val="0028588E"/>
    <w:rsid w:val="00286784"/>
    <w:rsid w:val="00287700"/>
    <w:rsid w:val="00292BF6"/>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30CB"/>
    <w:rsid w:val="002D310D"/>
    <w:rsid w:val="002E23FD"/>
    <w:rsid w:val="002E2D7B"/>
    <w:rsid w:val="002E5E6A"/>
    <w:rsid w:val="002F14AA"/>
    <w:rsid w:val="002F2198"/>
    <w:rsid w:val="002F306B"/>
    <w:rsid w:val="002F37BE"/>
    <w:rsid w:val="002F4577"/>
    <w:rsid w:val="002F6424"/>
    <w:rsid w:val="002F7704"/>
    <w:rsid w:val="00300D0B"/>
    <w:rsid w:val="00303210"/>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35EE5"/>
    <w:rsid w:val="0034179E"/>
    <w:rsid w:val="00341AC3"/>
    <w:rsid w:val="0034299B"/>
    <w:rsid w:val="003430A8"/>
    <w:rsid w:val="003443B2"/>
    <w:rsid w:val="00345B43"/>
    <w:rsid w:val="00346B14"/>
    <w:rsid w:val="003549DC"/>
    <w:rsid w:val="00361B9C"/>
    <w:rsid w:val="00365C45"/>
    <w:rsid w:val="00371031"/>
    <w:rsid w:val="003736ED"/>
    <w:rsid w:val="00374444"/>
    <w:rsid w:val="00374F7B"/>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7873"/>
    <w:rsid w:val="003C78F7"/>
    <w:rsid w:val="003C79D5"/>
    <w:rsid w:val="003D0A89"/>
    <w:rsid w:val="003D11E5"/>
    <w:rsid w:val="003D153C"/>
    <w:rsid w:val="003D305F"/>
    <w:rsid w:val="003D4806"/>
    <w:rsid w:val="003E0BC5"/>
    <w:rsid w:val="003E16E1"/>
    <w:rsid w:val="003E2624"/>
    <w:rsid w:val="003E34C9"/>
    <w:rsid w:val="003E4B54"/>
    <w:rsid w:val="003F0DF5"/>
    <w:rsid w:val="003F332C"/>
    <w:rsid w:val="003F3BA1"/>
    <w:rsid w:val="003F659A"/>
    <w:rsid w:val="00400AC2"/>
    <w:rsid w:val="00400E16"/>
    <w:rsid w:val="004012CF"/>
    <w:rsid w:val="004012E1"/>
    <w:rsid w:val="004020B1"/>
    <w:rsid w:val="004028F5"/>
    <w:rsid w:val="00402FF3"/>
    <w:rsid w:val="00404627"/>
    <w:rsid w:val="00405192"/>
    <w:rsid w:val="00405EAB"/>
    <w:rsid w:val="00406265"/>
    <w:rsid w:val="004069EB"/>
    <w:rsid w:val="004111DA"/>
    <w:rsid w:val="00413327"/>
    <w:rsid w:val="00413F1C"/>
    <w:rsid w:val="0041440A"/>
    <w:rsid w:val="00423213"/>
    <w:rsid w:val="0042416D"/>
    <w:rsid w:val="00433507"/>
    <w:rsid w:val="004336AE"/>
    <w:rsid w:val="00437A0E"/>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C2"/>
    <w:rsid w:val="00480C13"/>
    <w:rsid w:val="00481325"/>
    <w:rsid w:val="0048180A"/>
    <w:rsid w:val="00481C7A"/>
    <w:rsid w:val="004836B3"/>
    <w:rsid w:val="0048519F"/>
    <w:rsid w:val="00485906"/>
    <w:rsid w:val="00486CC8"/>
    <w:rsid w:val="004906C8"/>
    <w:rsid w:val="00491CB2"/>
    <w:rsid w:val="0049459B"/>
    <w:rsid w:val="00494DE3"/>
    <w:rsid w:val="00495252"/>
    <w:rsid w:val="004964B5"/>
    <w:rsid w:val="0049675F"/>
    <w:rsid w:val="004967E2"/>
    <w:rsid w:val="0049785D"/>
    <w:rsid w:val="004A1436"/>
    <w:rsid w:val="004A290F"/>
    <w:rsid w:val="004A5FFD"/>
    <w:rsid w:val="004A6011"/>
    <w:rsid w:val="004A7195"/>
    <w:rsid w:val="004A7CE2"/>
    <w:rsid w:val="004B376D"/>
    <w:rsid w:val="004B5DEC"/>
    <w:rsid w:val="004B7F32"/>
    <w:rsid w:val="004C1DF1"/>
    <w:rsid w:val="004C2D2D"/>
    <w:rsid w:val="004C4E77"/>
    <w:rsid w:val="004C74FD"/>
    <w:rsid w:val="004D08EB"/>
    <w:rsid w:val="004D0C9B"/>
    <w:rsid w:val="004D6029"/>
    <w:rsid w:val="004D6663"/>
    <w:rsid w:val="004E0166"/>
    <w:rsid w:val="004E0679"/>
    <w:rsid w:val="004E0B32"/>
    <w:rsid w:val="004E1AC5"/>
    <w:rsid w:val="004E1B1C"/>
    <w:rsid w:val="004E2371"/>
    <w:rsid w:val="004E6BE9"/>
    <w:rsid w:val="004E79A4"/>
    <w:rsid w:val="004F26CF"/>
    <w:rsid w:val="004F3E8F"/>
    <w:rsid w:val="004F4792"/>
    <w:rsid w:val="004F4DF1"/>
    <w:rsid w:val="004F63F3"/>
    <w:rsid w:val="004F74F7"/>
    <w:rsid w:val="00502F50"/>
    <w:rsid w:val="00503655"/>
    <w:rsid w:val="00505759"/>
    <w:rsid w:val="00505784"/>
    <w:rsid w:val="0050578D"/>
    <w:rsid w:val="00506403"/>
    <w:rsid w:val="0051107C"/>
    <w:rsid w:val="00514187"/>
    <w:rsid w:val="00515090"/>
    <w:rsid w:val="00517F23"/>
    <w:rsid w:val="00521A89"/>
    <w:rsid w:val="00521E57"/>
    <w:rsid w:val="00525E83"/>
    <w:rsid w:val="005268A3"/>
    <w:rsid w:val="00526AEA"/>
    <w:rsid w:val="00527166"/>
    <w:rsid w:val="00527A22"/>
    <w:rsid w:val="00527EBC"/>
    <w:rsid w:val="005305EA"/>
    <w:rsid w:val="00530E3E"/>
    <w:rsid w:val="005311BB"/>
    <w:rsid w:val="00535C9F"/>
    <w:rsid w:val="00536723"/>
    <w:rsid w:val="005371E7"/>
    <w:rsid w:val="00540538"/>
    <w:rsid w:val="00540C92"/>
    <w:rsid w:val="00542549"/>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7500"/>
    <w:rsid w:val="00580802"/>
    <w:rsid w:val="00581A22"/>
    <w:rsid w:val="005833A8"/>
    <w:rsid w:val="00584485"/>
    <w:rsid w:val="0058661B"/>
    <w:rsid w:val="00587E4A"/>
    <w:rsid w:val="00591165"/>
    <w:rsid w:val="00593E91"/>
    <w:rsid w:val="00594C99"/>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797"/>
    <w:rsid w:val="005D2B59"/>
    <w:rsid w:val="005D362F"/>
    <w:rsid w:val="005D370F"/>
    <w:rsid w:val="005D5217"/>
    <w:rsid w:val="005D5E8C"/>
    <w:rsid w:val="005E17BC"/>
    <w:rsid w:val="005E4D7C"/>
    <w:rsid w:val="005E4EB4"/>
    <w:rsid w:val="005E54CA"/>
    <w:rsid w:val="005E6A46"/>
    <w:rsid w:val="005E728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2954"/>
    <w:rsid w:val="006168E4"/>
    <w:rsid w:val="00616943"/>
    <w:rsid w:val="00620EEE"/>
    <w:rsid w:val="006214B9"/>
    <w:rsid w:val="00621940"/>
    <w:rsid w:val="006223C1"/>
    <w:rsid w:val="0062421A"/>
    <w:rsid w:val="00624FE9"/>
    <w:rsid w:val="00625866"/>
    <w:rsid w:val="006300D6"/>
    <w:rsid w:val="00630382"/>
    <w:rsid w:val="00630E5F"/>
    <w:rsid w:val="006321C8"/>
    <w:rsid w:val="0063265C"/>
    <w:rsid w:val="00633079"/>
    <w:rsid w:val="006332DC"/>
    <w:rsid w:val="00635020"/>
    <w:rsid w:val="00635846"/>
    <w:rsid w:val="00637512"/>
    <w:rsid w:val="0063765F"/>
    <w:rsid w:val="006409A8"/>
    <w:rsid w:val="00640EE4"/>
    <w:rsid w:val="0064168D"/>
    <w:rsid w:val="00643161"/>
    <w:rsid w:val="006466F5"/>
    <w:rsid w:val="006468D6"/>
    <w:rsid w:val="006529A5"/>
    <w:rsid w:val="00655735"/>
    <w:rsid w:val="0066015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8792F"/>
    <w:rsid w:val="0069391E"/>
    <w:rsid w:val="00694735"/>
    <w:rsid w:val="00697281"/>
    <w:rsid w:val="00697492"/>
    <w:rsid w:val="006A2C7F"/>
    <w:rsid w:val="006A56A3"/>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2644"/>
    <w:rsid w:val="006E594D"/>
    <w:rsid w:val="006E5C99"/>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6BFE"/>
    <w:rsid w:val="00717C47"/>
    <w:rsid w:val="00720774"/>
    <w:rsid w:val="00721D87"/>
    <w:rsid w:val="007234D1"/>
    <w:rsid w:val="0072378A"/>
    <w:rsid w:val="00731428"/>
    <w:rsid w:val="0073157A"/>
    <w:rsid w:val="00735209"/>
    <w:rsid w:val="00737D40"/>
    <w:rsid w:val="0074023C"/>
    <w:rsid w:val="00743818"/>
    <w:rsid w:val="00744E29"/>
    <w:rsid w:val="00744EEF"/>
    <w:rsid w:val="0074726D"/>
    <w:rsid w:val="00751095"/>
    <w:rsid w:val="007517D1"/>
    <w:rsid w:val="007524CA"/>
    <w:rsid w:val="00753F8F"/>
    <w:rsid w:val="00754CAE"/>
    <w:rsid w:val="00757559"/>
    <w:rsid w:val="007658D5"/>
    <w:rsid w:val="00772BA8"/>
    <w:rsid w:val="00774266"/>
    <w:rsid w:val="0078028A"/>
    <w:rsid w:val="007806CB"/>
    <w:rsid w:val="00780A54"/>
    <w:rsid w:val="007818E1"/>
    <w:rsid w:val="00781C64"/>
    <w:rsid w:val="007848FB"/>
    <w:rsid w:val="007851D5"/>
    <w:rsid w:val="00785698"/>
    <w:rsid w:val="0078693A"/>
    <w:rsid w:val="007900A4"/>
    <w:rsid w:val="007906E0"/>
    <w:rsid w:val="00794153"/>
    <w:rsid w:val="0079486A"/>
    <w:rsid w:val="00794E74"/>
    <w:rsid w:val="00794F80"/>
    <w:rsid w:val="0079666D"/>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30AE"/>
    <w:rsid w:val="00824DCD"/>
    <w:rsid w:val="00831D3F"/>
    <w:rsid w:val="00832986"/>
    <w:rsid w:val="00833DB5"/>
    <w:rsid w:val="00835692"/>
    <w:rsid w:val="008419A8"/>
    <w:rsid w:val="00842697"/>
    <w:rsid w:val="008436A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B2F"/>
    <w:rsid w:val="00867FEE"/>
    <w:rsid w:val="00870F44"/>
    <w:rsid w:val="00874015"/>
    <w:rsid w:val="00876A75"/>
    <w:rsid w:val="0087786C"/>
    <w:rsid w:val="00877DCA"/>
    <w:rsid w:val="00882E7E"/>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1A12"/>
    <w:rsid w:val="008B5026"/>
    <w:rsid w:val="008B634F"/>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403D"/>
    <w:rsid w:val="00927C53"/>
    <w:rsid w:val="00932888"/>
    <w:rsid w:val="009331C2"/>
    <w:rsid w:val="0093422A"/>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8182D"/>
    <w:rsid w:val="00981F7B"/>
    <w:rsid w:val="009832F7"/>
    <w:rsid w:val="00985AD2"/>
    <w:rsid w:val="00985C4C"/>
    <w:rsid w:val="0098704B"/>
    <w:rsid w:val="00993821"/>
    <w:rsid w:val="009940F6"/>
    <w:rsid w:val="00994280"/>
    <w:rsid w:val="009970B5"/>
    <w:rsid w:val="009A0D0A"/>
    <w:rsid w:val="009A0FAE"/>
    <w:rsid w:val="009A110C"/>
    <w:rsid w:val="009A1915"/>
    <w:rsid w:val="009A2418"/>
    <w:rsid w:val="009A2DB0"/>
    <w:rsid w:val="009A41F6"/>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1B1E"/>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279CF"/>
    <w:rsid w:val="00A30C44"/>
    <w:rsid w:val="00A328AE"/>
    <w:rsid w:val="00A347D8"/>
    <w:rsid w:val="00A36D20"/>
    <w:rsid w:val="00A4131E"/>
    <w:rsid w:val="00A41694"/>
    <w:rsid w:val="00A42326"/>
    <w:rsid w:val="00A43501"/>
    <w:rsid w:val="00A453DC"/>
    <w:rsid w:val="00A469C4"/>
    <w:rsid w:val="00A46BDA"/>
    <w:rsid w:val="00A475D9"/>
    <w:rsid w:val="00A535E3"/>
    <w:rsid w:val="00A5450F"/>
    <w:rsid w:val="00A570A7"/>
    <w:rsid w:val="00A57E92"/>
    <w:rsid w:val="00A61900"/>
    <w:rsid w:val="00A625E2"/>
    <w:rsid w:val="00A62AA3"/>
    <w:rsid w:val="00A62B55"/>
    <w:rsid w:val="00A64C80"/>
    <w:rsid w:val="00A67EF9"/>
    <w:rsid w:val="00A72465"/>
    <w:rsid w:val="00A75CA6"/>
    <w:rsid w:val="00A76B72"/>
    <w:rsid w:val="00A80C92"/>
    <w:rsid w:val="00A81BCB"/>
    <w:rsid w:val="00A82461"/>
    <w:rsid w:val="00A82EF1"/>
    <w:rsid w:val="00A840FB"/>
    <w:rsid w:val="00A84571"/>
    <w:rsid w:val="00A84CDC"/>
    <w:rsid w:val="00A851D8"/>
    <w:rsid w:val="00A8580D"/>
    <w:rsid w:val="00A85E37"/>
    <w:rsid w:val="00A860FD"/>
    <w:rsid w:val="00A86416"/>
    <w:rsid w:val="00A864D9"/>
    <w:rsid w:val="00A87FC3"/>
    <w:rsid w:val="00A90202"/>
    <w:rsid w:val="00A908EE"/>
    <w:rsid w:val="00A9099E"/>
    <w:rsid w:val="00A9277F"/>
    <w:rsid w:val="00A940B5"/>
    <w:rsid w:val="00A95083"/>
    <w:rsid w:val="00A953BA"/>
    <w:rsid w:val="00A95A9B"/>
    <w:rsid w:val="00A96886"/>
    <w:rsid w:val="00A96C9F"/>
    <w:rsid w:val="00A96E60"/>
    <w:rsid w:val="00A97D27"/>
    <w:rsid w:val="00AA12D0"/>
    <w:rsid w:val="00AA1687"/>
    <w:rsid w:val="00AA285C"/>
    <w:rsid w:val="00AA4325"/>
    <w:rsid w:val="00AA50AC"/>
    <w:rsid w:val="00AA5D62"/>
    <w:rsid w:val="00AB14BD"/>
    <w:rsid w:val="00AB1D6A"/>
    <w:rsid w:val="00AB3254"/>
    <w:rsid w:val="00AB3710"/>
    <w:rsid w:val="00AB4B0F"/>
    <w:rsid w:val="00AB4FA1"/>
    <w:rsid w:val="00AB65D4"/>
    <w:rsid w:val="00AB6C3B"/>
    <w:rsid w:val="00AC0516"/>
    <w:rsid w:val="00AC0D96"/>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1443"/>
    <w:rsid w:val="00B024D6"/>
    <w:rsid w:val="00B04CF0"/>
    <w:rsid w:val="00B070A2"/>
    <w:rsid w:val="00B0761F"/>
    <w:rsid w:val="00B10E49"/>
    <w:rsid w:val="00B11E08"/>
    <w:rsid w:val="00B145FA"/>
    <w:rsid w:val="00B2037B"/>
    <w:rsid w:val="00B20C7F"/>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481A"/>
    <w:rsid w:val="00B75A2C"/>
    <w:rsid w:val="00B813AC"/>
    <w:rsid w:val="00B8287F"/>
    <w:rsid w:val="00B8376C"/>
    <w:rsid w:val="00B84260"/>
    <w:rsid w:val="00B86811"/>
    <w:rsid w:val="00B86CC9"/>
    <w:rsid w:val="00B8738D"/>
    <w:rsid w:val="00B91F0B"/>
    <w:rsid w:val="00B9223B"/>
    <w:rsid w:val="00B92D47"/>
    <w:rsid w:val="00B961A5"/>
    <w:rsid w:val="00BA0E4C"/>
    <w:rsid w:val="00BA18D5"/>
    <w:rsid w:val="00BA1FC4"/>
    <w:rsid w:val="00BA202D"/>
    <w:rsid w:val="00BA49CC"/>
    <w:rsid w:val="00BA4D1F"/>
    <w:rsid w:val="00BA7AD1"/>
    <w:rsid w:val="00BB0B9D"/>
    <w:rsid w:val="00BB1CC2"/>
    <w:rsid w:val="00BB2167"/>
    <w:rsid w:val="00BB2250"/>
    <w:rsid w:val="00BB2E89"/>
    <w:rsid w:val="00BB4F63"/>
    <w:rsid w:val="00BB63AB"/>
    <w:rsid w:val="00BB744D"/>
    <w:rsid w:val="00BB7708"/>
    <w:rsid w:val="00BC0FDD"/>
    <w:rsid w:val="00BC22E0"/>
    <w:rsid w:val="00BC4AA7"/>
    <w:rsid w:val="00BC5852"/>
    <w:rsid w:val="00BD293B"/>
    <w:rsid w:val="00BD5425"/>
    <w:rsid w:val="00BD6F2F"/>
    <w:rsid w:val="00BD705F"/>
    <w:rsid w:val="00BE28ED"/>
    <w:rsid w:val="00BE55D6"/>
    <w:rsid w:val="00BE61B8"/>
    <w:rsid w:val="00BF030A"/>
    <w:rsid w:val="00BF2DD7"/>
    <w:rsid w:val="00BF2EA1"/>
    <w:rsid w:val="00BF41EE"/>
    <w:rsid w:val="00BF543F"/>
    <w:rsid w:val="00BF6902"/>
    <w:rsid w:val="00BF7421"/>
    <w:rsid w:val="00C01E2A"/>
    <w:rsid w:val="00C06E2B"/>
    <w:rsid w:val="00C07650"/>
    <w:rsid w:val="00C104DD"/>
    <w:rsid w:val="00C1331F"/>
    <w:rsid w:val="00C15275"/>
    <w:rsid w:val="00C15E31"/>
    <w:rsid w:val="00C1625D"/>
    <w:rsid w:val="00C16479"/>
    <w:rsid w:val="00C2058D"/>
    <w:rsid w:val="00C24754"/>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6B4"/>
    <w:rsid w:val="00C66829"/>
    <w:rsid w:val="00C71A4B"/>
    <w:rsid w:val="00C71CD1"/>
    <w:rsid w:val="00C72345"/>
    <w:rsid w:val="00C72E54"/>
    <w:rsid w:val="00C73143"/>
    <w:rsid w:val="00C76C40"/>
    <w:rsid w:val="00C76DED"/>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6A56"/>
    <w:rsid w:val="00CE74B0"/>
    <w:rsid w:val="00CF00DE"/>
    <w:rsid w:val="00CF052D"/>
    <w:rsid w:val="00CF1D7D"/>
    <w:rsid w:val="00CF2623"/>
    <w:rsid w:val="00CF3998"/>
    <w:rsid w:val="00CF45D3"/>
    <w:rsid w:val="00CF4D04"/>
    <w:rsid w:val="00CF4E1C"/>
    <w:rsid w:val="00CF6B6C"/>
    <w:rsid w:val="00CF7B6B"/>
    <w:rsid w:val="00D0001C"/>
    <w:rsid w:val="00D00804"/>
    <w:rsid w:val="00D01094"/>
    <w:rsid w:val="00D01EA5"/>
    <w:rsid w:val="00D02060"/>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2355"/>
    <w:rsid w:val="00D52AC7"/>
    <w:rsid w:val="00D53360"/>
    <w:rsid w:val="00D53A66"/>
    <w:rsid w:val="00D54514"/>
    <w:rsid w:val="00D54935"/>
    <w:rsid w:val="00D54CA9"/>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97AC9"/>
    <w:rsid w:val="00DA2E2B"/>
    <w:rsid w:val="00DA354D"/>
    <w:rsid w:val="00DA3DE4"/>
    <w:rsid w:val="00DA69DE"/>
    <w:rsid w:val="00DB1FAE"/>
    <w:rsid w:val="00DB5C0A"/>
    <w:rsid w:val="00DB6DAF"/>
    <w:rsid w:val="00DC0AF1"/>
    <w:rsid w:val="00DC2393"/>
    <w:rsid w:val="00DC588B"/>
    <w:rsid w:val="00DC64BF"/>
    <w:rsid w:val="00DD0123"/>
    <w:rsid w:val="00DD13E2"/>
    <w:rsid w:val="00DD4938"/>
    <w:rsid w:val="00DD7977"/>
    <w:rsid w:val="00DE1FC5"/>
    <w:rsid w:val="00DE34FF"/>
    <w:rsid w:val="00DE35D7"/>
    <w:rsid w:val="00DE4454"/>
    <w:rsid w:val="00DE44AB"/>
    <w:rsid w:val="00DF003C"/>
    <w:rsid w:val="00DF00D4"/>
    <w:rsid w:val="00DF4501"/>
    <w:rsid w:val="00DF7233"/>
    <w:rsid w:val="00DF73DC"/>
    <w:rsid w:val="00DF75B7"/>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3F6"/>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44B8D"/>
    <w:rsid w:val="00E51EF9"/>
    <w:rsid w:val="00E523B5"/>
    <w:rsid w:val="00E54816"/>
    <w:rsid w:val="00E5512E"/>
    <w:rsid w:val="00E55E60"/>
    <w:rsid w:val="00E56594"/>
    <w:rsid w:val="00E578DF"/>
    <w:rsid w:val="00E57D18"/>
    <w:rsid w:val="00E605C2"/>
    <w:rsid w:val="00E6129C"/>
    <w:rsid w:val="00E61E5F"/>
    <w:rsid w:val="00E644A0"/>
    <w:rsid w:val="00E669E6"/>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4F33"/>
    <w:rsid w:val="00EC7410"/>
    <w:rsid w:val="00EC77D8"/>
    <w:rsid w:val="00EC7E6C"/>
    <w:rsid w:val="00ED3C5C"/>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4E6B"/>
    <w:rsid w:val="00F1508F"/>
    <w:rsid w:val="00F16331"/>
    <w:rsid w:val="00F16803"/>
    <w:rsid w:val="00F22566"/>
    <w:rsid w:val="00F22963"/>
    <w:rsid w:val="00F2380A"/>
    <w:rsid w:val="00F262C4"/>
    <w:rsid w:val="00F30AEF"/>
    <w:rsid w:val="00F3229A"/>
    <w:rsid w:val="00F32406"/>
    <w:rsid w:val="00F378B2"/>
    <w:rsid w:val="00F403EA"/>
    <w:rsid w:val="00F40B51"/>
    <w:rsid w:val="00F40E4D"/>
    <w:rsid w:val="00F41DE4"/>
    <w:rsid w:val="00F41F3D"/>
    <w:rsid w:val="00F42499"/>
    <w:rsid w:val="00F42753"/>
    <w:rsid w:val="00F44DC5"/>
    <w:rsid w:val="00F44ECF"/>
    <w:rsid w:val="00F453CB"/>
    <w:rsid w:val="00F46CE7"/>
    <w:rsid w:val="00F471AE"/>
    <w:rsid w:val="00F510DB"/>
    <w:rsid w:val="00F548C1"/>
    <w:rsid w:val="00F578E5"/>
    <w:rsid w:val="00F604E0"/>
    <w:rsid w:val="00F6232F"/>
    <w:rsid w:val="00F648E3"/>
    <w:rsid w:val="00F6501E"/>
    <w:rsid w:val="00F70615"/>
    <w:rsid w:val="00F72722"/>
    <w:rsid w:val="00F727B0"/>
    <w:rsid w:val="00F7598B"/>
    <w:rsid w:val="00F87ADD"/>
    <w:rsid w:val="00F914FD"/>
    <w:rsid w:val="00F9164E"/>
    <w:rsid w:val="00F92D2B"/>
    <w:rsid w:val="00F9447B"/>
    <w:rsid w:val="00F952BF"/>
    <w:rsid w:val="00F95515"/>
    <w:rsid w:val="00F9574E"/>
    <w:rsid w:val="00F974AA"/>
    <w:rsid w:val="00FA2545"/>
    <w:rsid w:val="00FA3650"/>
    <w:rsid w:val="00FA7CFC"/>
    <w:rsid w:val="00FB097C"/>
    <w:rsid w:val="00FB1D16"/>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
    <w:name w:val="Unresolved Mention"/>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2674">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43427431">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OASLAPAZ/organigramas.web"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foem.org.mx/es/contenido/transparencia/directorio-de-sujetos-obligado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B9689-CEE0-45B3-8AD8-C22A40A0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4758</Words>
  <Characters>26174</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2018-12-04T20:35:00Z</cp:lastPrinted>
  <dcterms:created xsi:type="dcterms:W3CDTF">2022-04-28T18:04:00Z</dcterms:created>
  <dcterms:modified xsi:type="dcterms:W3CDTF">2022-05-13T17:22:00Z</dcterms:modified>
</cp:coreProperties>
</file>