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BBE" w:rsidRPr="00D33BBE" w:rsidRDefault="00797CD8" w:rsidP="00D33BBE">
      <w:pPr>
        <w:spacing w:line="360" w:lineRule="auto"/>
        <w:jc w:val="both"/>
        <w:rPr>
          <w:rFonts w:ascii="Palatino Linotype" w:eastAsiaTheme="minorEastAsia" w:hAnsi="Palatino Linotype"/>
          <w:lang w:eastAsia="es-ES"/>
        </w:rPr>
      </w:pPr>
      <w:r w:rsidRPr="009B6FD5">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w:t>
      </w:r>
      <w:r w:rsidR="00D33BBE" w:rsidRPr="00D33BBE">
        <w:rPr>
          <w:rFonts w:ascii="Palatino Linotype" w:eastAsiaTheme="minorEastAsia" w:hAnsi="Palatino Linotype"/>
          <w:lang w:eastAsia="es-ES"/>
        </w:rPr>
        <w:t>de  doce (12) de enero de dos mil veintidós.</w:t>
      </w:r>
    </w:p>
    <w:p w:rsidR="00797CD8" w:rsidRPr="009B6FD5" w:rsidRDefault="00797CD8" w:rsidP="00797CD8">
      <w:pPr>
        <w:spacing w:line="360" w:lineRule="auto"/>
        <w:jc w:val="both"/>
        <w:rPr>
          <w:rFonts w:ascii="Palatino Linotype" w:eastAsiaTheme="minorEastAsia" w:hAnsi="Palatino Linotype"/>
          <w:lang w:val="es-ES_tradnl" w:eastAsia="es-ES"/>
        </w:rPr>
      </w:pPr>
    </w:p>
    <w:p w:rsidR="00797CD8" w:rsidRPr="009B6FD5" w:rsidRDefault="00797CD8" w:rsidP="00797CD8">
      <w:pPr>
        <w:spacing w:line="360" w:lineRule="auto"/>
        <w:jc w:val="both"/>
        <w:rPr>
          <w:rFonts w:ascii="Palatino Linotype" w:hAnsi="Palatino Linotype"/>
        </w:rPr>
      </w:pPr>
      <w:r w:rsidRPr="009B6FD5">
        <w:rPr>
          <w:rFonts w:ascii="Palatino Linotype" w:hAnsi="Palatino Linotype"/>
          <w:b/>
        </w:rPr>
        <w:t>VISTO</w:t>
      </w:r>
      <w:r w:rsidRPr="009B6FD5">
        <w:rPr>
          <w:rFonts w:ascii="Palatino Linotype" w:hAnsi="Palatino Linotype"/>
        </w:rPr>
        <w:t xml:space="preserve"> el expediente electrónico formado con motivo del recurso de revisión </w:t>
      </w:r>
      <w:r w:rsidR="00A25966">
        <w:rPr>
          <w:rFonts w:ascii="Palatino Linotype" w:hAnsi="Palatino Linotype"/>
          <w:b/>
        </w:rPr>
        <w:t>05253</w:t>
      </w:r>
      <w:r w:rsidRPr="009B6FD5">
        <w:rPr>
          <w:rFonts w:ascii="Palatino Linotype" w:hAnsi="Palatino Linotype"/>
          <w:b/>
        </w:rPr>
        <w:t>/INFOEM/IP/RR/2021,</w:t>
      </w:r>
      <w:r w:rsidRPr="009B6FD5">
        <w:rPr>
          <w:rFonts w:ascii="Palatino Linotype" w:hAnsi="Palatino Linotype" w:cs="Arial"/>
          <w:b/>
          <w:bCs/>
        </w:rPr>
        <w:t xml:space="preserve"> </w:t>
      </w:r>
      <w:r w:rsidRPr="009B6FD5">
        <w:rPr>
          <w:rFonts w:ascii="Palatino Linotype" w:eastAsiaTheme="minorEastAsia" w:hAnsi="Palatino Linotype"/>
          <w:lang w:val="es-ES_tradnl" w:eastAsia="es-ES"/>
        </w:rPr>
        <w:t xml:space="preserve">promovido </w:t>
      </w:r>
      <w:r w:rsidR="00AE1DF0">
        <w:rPr>
          <w:rFonts w:ascii="Palatino Linotype" w:eastAsiaTheme="minorEastAsia" w:hAnsi="Palatino Linotype"/>
          <w:b/>
          <w:lang w:val="es-ES" w:eastAsia="es-ES"/>
        </w:rPr>
        <w:t>XXXXXXXXXXXXXXXXXXXXX</w:t>
      </w:r>
      <w:bookmarkStart w:id="0" w:name="_GoBack"/>
      <w:bookmarkEnd w:id="0"/>
      <w:r>
        <w:rPr>
          <w:rFonts w:ascii="Palatino Linotype" w:eastAsiaTheme="minorEastAsia" w:hAnsi="Palatino Linotype"/>
          <w:lang w:eastAsia="es-ES"/>
        </w:rPr>
        <w:t xml:space="preserve">, </w:t>
      </w:r>
      <w:r w:rsidRPr="009B6FD5">
        <w:rPr>
          <w:rFonts w:ascii="Palatino Linotype" w:hAnsi="Palatino Linotype"/>
        </w:rPr>
        <w:t xml:space="preserve">que en lo sucesivo se identificará como </w:t>
      </w:r>
      <w:r w:rsidRPr="009B6FD5">
        <w:rPr>
          <w:rFonts w:ascii="Palatino Linotype" w:hAnsi="Palatino Linotype"/>
          <w:b/>
        </w:rPr>
        <w:t xml:space="preserve">EL </w:t>
      </w:r>
      <w:r w:rsidRPr="009B6FD5">
        <w:rPr>
          <w:rFonts w:ascii="Palatino Linotype" w:hAnsi="Palatino Linotype" w:cs="Arial"/>
          <w:b/>
        </w:rPr>
        <w:t>RECURRENTE</w:t>
      </w:r>
      <w:r w:rsidRPr="009B6FD5">
        <w:rPr>
          <w:rFonts w:ascii="Palatino Linotype" w:hAnsi="Palatino Linotype" w:cs="Arial"/>
        </w:rPr>
        <w:t xml:space="preserve">, en contra de la respuesta del </w:t>
      </w:r>
      <w:r w:rsidR="00A25966">
        <w:rPr>
          <w:rFonts w:ascii="Palatino Linotype" w:hAnsi="Palatino Linotype" w:cs="Arial"/>
          <w:b/>
          <w:bCs/>
        </w:rPr>
        <w:t>Ayuntamiento de Cuautitlán</w:t>
      </w:r>
      <w:r w:rsidRPr="009B6FD5">
        <w:rPr>
          <w:rFonts w:ascii="Palatino Linotype" w:hAnsi="Palatino Linotype" w:cs="Arial"/>
          <w:b/>
        </w:rPr>
        <w:t>,</w:t>
      </w:r>
      <w:r w:rsidRPr="009B6FD5">
        <w:rPr>
          <w:rFonts w:ascii="Palatino Linotype" w:hAnsi="Palatino Linotype"/>
          <w:b/>
        </w:rPr>
        <w:t xml:space="preserve"> </w:t>
      </w:r>
      <w:r w:rsidRPr="009B6FD5">
        <w:rPr>
          <w:rFonts w:ascii="Palatino Linotype" w:hAnsi="Palatino Linotype"/>
        </w:rPr>
        <w:t>en lo sucesivo el</w:t>
      </w:r>
      <w:r w:rsidRPr="009B6FD5">
        <w:rPr>
          <w:rFonts w:ascii="Palatino Linotype" w:hAnsi="Palatino Linotype"/>
          <w:b/>
        </w:rPr>
        <w:t xml:space="preserve"> SUJETO OBLIGADO</w:t>
      </w:r>
      <w:r w:rsidRPr="009B6FD5">
        <w:rPr>
          <w:rFonts w:ascii="Palatino Linotype" w:hAnsi="Palatino Linotype"/>
        </w:rPr>
        <w:t>, por lo que se procede a dictar la presente resolución, con base en los siguientes:</w:t>
      </w:r>
    </w:p>
    <w:p w:rsidR="00797CD8" w:rsidRPr="009B6FD5" w:rsidRDefault="00797CD8" w:rsidP="00797CD8">
      <w:pPr>
        <w:spacing w:line="360" w:lineRule="auto"/>
        <w:jc w:val="both"/>
        <w:rPr>
          <w:rFonts w:ascii="Palatino Linotype" w:hAnsi="Palatino Linotype"/>
        </w:rPr>
      </w:pPr>
    </w:p>
    <w:p w:rsidR="00797CD8" w:rsidRPr="009B6FD5" w:rsidRDefault="00797CD8" w:rsidP="00797CD8">
      <w:pPr>
        <w:keepNext/>
        <w:keepLines/>
        <w:spacing w:line="360" w:lineRule="auto"/>
        <w:jc w:val="center"/>
        <w:outlineLvl w:val="0"/>
        <w:rPr>
          <w:rFonts w:ascii="Palatino Linotype" w:eastAsiaTheme="majorEastAsia" w:hAnsi="Palatino Linotype" w:cstheme="majorBidi"/>
          <w:b/>
          <w:szCs w:val="32"/>
        </w:rPr>
      </w:pPr>
      <w:bookmarkStart w:id="1" w:name="_Toc90654862"/>
      <w:r w:rsidRPr="009B6FD5">
        <w:rPr>
          <w:rFonts w:ascii="Palatino Linotype" w:eastAsiaTheme="majorEastAsia" w:hAnsi="Palatino Linotype" w:cstheme="majorBidi"/>
          <w:b/>
          <w:szCs w:val="32"/>
        </w:rPr>
        <w:t>ANTECEDENTES</w:t>
      </w:r>
      <w:bookmarkEnd w:id="1"/>
    </w:p>
    <w:p w:rsidR="00797CD8" w:rsidRPr="009B6FD5" w:rsidRDefault="00797CD8" w:rsidP="00797CD8">
      <w:pPr>
        <w:spacing w:line="360" w:lineRule="auto"/>
        <w:rPr>
          <w:rFonts w:ascii="Palatino Linotype" w:eastAsiaTheme="minorEastAsia" w:hAnsi="Palatino Linotype"/>
        </w:rPr>
      </w:pPr>
    </w:p>
    <w:p w:rsidR="00797CD8" w:rsidRPr="009B6FD5" w:rsidRDefault="00797CD8" w:rsidP="00797CD8">
      <w:pPr>
        <w:numPr>
          <w:ilvl w:val="0"/>
          <w:numId w:val="1"/>
        </w:numPr>
        <w:spacing w:line="360" w:lineRule="auto"/>
        <w:ind w:left="0" w:firstLine="0"/>
        <w:contextualSpacing/>
        <w:jc w:val="both"/>
        <w:rPr>
          <w:rFonts w:ascii="Palatino Linotype" w:hAnsi="Palatino Linotype" w:cs="Arial"/>
          <w:lang w:val="es-ES" w:eastAsia="es-ES"/>
        </w:rPr>
      </w:pPr>
      <w:r>
        <w:rPr>
          <w:rFonts w:ascii="Palatino Linotype" w:eastAsia="Calibri" w:hAnsi="Palatino Linotype" w:cs="Arial"/>
          <w:lang w:val="es-ES" w:eastAsia="es-ES"/>
        </w:rPr>
        <w:t xml:space="preserve">El día </w:t>
      </w:r>
      <w:r w:rsidR="00A25966">
        <w:rPr>
          <w:rFonts w:ascii="Palatino Linotype" w:eastAsia="Calibri" w:hAnsi="Palatino Linotype" w:cs="Arial"/>
          <w:lang w:val="es-ES" w:eastAsia="es-ES"/>
        </w:rPr>
        <w:t>veintiocho (28) de septiembre</w:t>
      </w:r>
      <w:r w:rsidRPr="009B6FD5">
        <w:rPr>
          <w:rFonts w:ascii="Palatino Linotype" w:eastAsia="Calibri" w:hAnsi="Palatino Linotype" w:cs="Arial"/>
          <w:lang w:val="es-ES" w:eastAsia="es-ES"/>
        </w:rPr>
        <w:t xml:space="preserve">  de dos mil veintiuno,</w:t>
      </w:r>
      <w:r w:rsidRPr="009B6FD5">
        <w:rPr>
          <w:rFonts w:ascii="Palatino Linotype" w:eastAsia="Calibri" w:hAnsi="Palatino Linotype"/>
          <w:lang w:val="es-ES" w:eastAsia="es-ES"/>
        </w:rPr>
        <w:t xml:space="preserve"> </w:t>
      </w:r>
      <w:r w:rsidRPr="009B6FD5">
        <w:rPr>
          <w:rFonts w:ascii="Palatino Linotype" w:eastAsia="Calibri" w:hAnsi="Palatino Linotype"/>
          <w:b/>
          <w:lang w:val="es-ES" w:eastAsia="es-ES"/>
        </w:rPr>
        <w:t>EL RECURRENTE</w:t>
      </w:r>
      <w:r w:rsidRPr="009B6FD5">
        <w:rPr>
          <w:rFonts w:ascii="Palatino Linotype" w:eastAsiaTheme="minorEastAsia" w:hAnsi="Palatino Linotype"/>
          <w:b/>
          <w:lang w:val="es-ES_tradnl" w:eastAsia="es-ES"/>
        </w:rPr>
        <w:t>,</w:t>
      </w:r>
      <w:r w:rsidRPr="009B6FD5">
        <w:rPr>
          <w:rFonts w:ascii="Palatino Linotype" w:eastAsia="Calibri" w:hAnsi="Palatino Linotype" w:cs="Arial"/>
          <w:lang w:val="es-ES" w:eastAsia="es-ES"/>
        </w:rPr>
        <w:t xml:space="preserve"> ante el </w:t>
      </w:r>
      <w:r w:rsidRPr="009B6FD5">
        <w:rPr>
          <w:rFonts w:ascii="Palatino Linotype" w:eastAsia="Calibri" w:hAnsi="Palatino Linotype" w:cs="Arial"/>
          <w:b/>
          <w:lang w:val="es-ES" w:eastAsia="es-ES"/>
        </w:rPr>
        <w:t>SUJETO OBLIGADO</w:t>
      </w:r>
      <w:r w:rsidRPr="009B6FD5">
        <w:rPr>
          <w:rFonts w:ascii="Palatino Linotype" w:eastAsia="Calibri" w:hAnsi="Palatino Linotype" w:cs="Arial"/>
          <w:lang w:val="es-ES_tradnl" w:eastAsia="es-ES"/>
        </w:rPr>
        <w:t xml:space="preserve"> vía </w:t>
      </w:r>
      <w:r w:rsidRPr="009B6FD5">
        <w:rPr>
          <w:rFonts w:ascii="Palatino Linotype" w:eastAsia="Calibri" w:hAnsi="Palatino Linotype" w:cs="Arial"/>
          <w:lang w:val="es-ES" w:eastAsia="es-ES"/>
        </w:rPr>
        <w:t>Sistema de Acceso a la Información Mexiquense (</w:t>
      </w:r>
      <w:r w:rsidRPr="009B6FD5">
        <w:rPr>
          <w:rFonts w:ascii="Palatino Linotype" w:eastAsia="Calibri" w:hAnsi="Palatino Linotype" w:cs="Arial"/>
          <w:b/>
          <w:lang w:val="es-ES" w:eastAsia="es-ES"/>
        </w:rPr>
        <w:t>SAIMEX)</w:t>
      </w:r>
      <w:r w:rsidRPr="009B6FD5">
        <w:rPr>
          <w:rFonts w:ascii="Palatino Linotype" w:eastAsia="Calibri" w:hAnsi="Palatino Linotype" w:cs="Arial"/>
          <w:lang w:val="es-ES" w:eastAsia="es-ES"/>
        </w:rPr>
        <w:t xml:space="preserve">, presentó una solicitud de información registrada con el número </w:t>
      </w:r>
      <w:r w:rsidR="00A25966" w:rsidRPr="00A25966">
        <w:rPr>
          <w:rFonts w:ascii="Palatino Linotype" w:hAnsi="Palatino Linotype"/>
          <w:b/>
          <w:bCs/>
        </w:rPr>
        <w:t>00411/CUAUTIT/IP/2021</w:t>
      </w:r>
      <w:r w:rsidRPr="009B6FD5">
        <w:rPr>
          <w:rFonts w:ascii="Palatino Linotype" w:eastAsiaTheme="minorEastAsia" w:hAnsi="Palatino Linotype"/>
          <w:b/>
          <w:lang w:val="es-ES_tradnl" w:eastAsia="es-ES"/>
        </w:rPr>
        <w:t xml:space="preserve">, </w:t>
      </w:r>
      <w:r w:rsidRPr="009B6FD5">
        <w:rPr>
          <w:rFonts w:ascii="Palatino Linotype" w:eastAsia="Calibri" w:hAnsi="Palatino Linotype" w:cs="Arial"/>
          <w:lang w:val="es-ES" w:eastAsia="es-ES"/>
        </w:rPr>
        <w:t>mediante la cual solicitó lo siguiente:</w:t>
      </w:r>
    </w:p>
    <w:p w:rsidR="00797CD8" w:rsidRPr="009B6FD5" w:rsidRDefault="00797CD8" w:rsidP="00797CD8">
      <w:pPr>
        <w:spacing w:line="360" w:lineRule="auto"/>
        <w:contextualSpacing/>
        <w:jc w:val="both"/>
        <w:rPr>
          <w:rFonts w:ascii="Palatino Linotype" w:hAnsi="Palatino Linotype" w:cs="Arial"/>
          <w:lang w:val="es-ES" w:eastAsia="es-ES"/>
        </w:rPr>
      </w:pPr>
    </w:p>
    <w:p w:rsidR="00797CD8" w:rsidRDefault="00797CD8" w:rsidP="00797CD8">
      <w:pPr>
        <w:pStyle w:val="Prrafodelista"/>
        <w:spacing w:line="360" w:lineRule="auto"/>
        <w:ind w:left="1069" w:right="567"/>
        <w:jc w:val="both"/>
        <w:rPr>
          <w:rFonts w:ascii="Palatino Linotype" w:hAnsi="Palatino Linotype"/>
          <w:i/>
          <w:color w:val="000000"/>
        </w:rPr>
      </w:pPr>
      <w:r w:rsidRPr="009B6FD5">
        <w:rPr>
          <w:rFonts w:ascii="Palatino Linotype" w:hAnsi="Palatino Linotype"/>
          <w:i/>
          <w:color w:val="000000"/>
        </w:rPr>
        <w:t xml:space="preserve"> “</w:t>
      </w:r>
      <w:r w:rsidR="00A25966" w:rsidRPr="00A25966">
        <w:rPr>
          <w:rFonts w:ascii="Palatino Linotype" w:hAnsi="Palatino Linotype"/>
          <w:i/>
          <w:color w:val="000000"/>
        </w:rPr>
        <w:t xml:space="preserve">La Sindicatura Municipal le permite al sr. </w:t>
      </w:r>
      <w:r w:rsidR="008D4F3A">
        <w:rPr>
          <w:rFonts w:ascii="Palatino Linotype" w:hAnsi="Palatino Linotype"/>
          <w:i/>
          <w:color w:val="000000"/>
        </w:rPr>
        <w:t xml:space="preserve">(…) </w:t>
      </w:r>
      <w:r w:rsidR="00A25966" w:rsidRPr="00A25966">
        <w:rPr>
          <w:rFonts w:ascii="Palatino Linotype" w:hAnsi="Palatino Linotype"/>
          <w:i/>
          <w:color w:val="000000"/>
        </w:rPr>
        <w:t xml:space="preserve"> seguir recaudando cuotas cuando ya tiene una demanda de arbitraje desde hace tres meses. Le permite dar rendicion de cuentas (adjunto archivo), en donde falta de manera grave a la ley de proteccion de datos al exhibir quien paga y quien no la cuota de mantenimiento (extorsion pura y vil) Necesito que me sea entregada el acta de asamblea donde se le da la autoridad a este señor para seguir delinquiendo con la recoleccion de cuotas y con el robo de nuestros datos personales desde sus perfiles en las plataformas digitales.</w:t>
      </w:r>
      <w:r w:rsidRPr="009B6FD5">
        <w:rPr>
          <w:rFonts w:ascii="Palatino Linotype" w:hAnsi="Palatino Linotype"/>
          <w:i/>
          <w:color w:val="000000"/>
        </w:rPr>
        <w:t xml:space="preserve">” (Sic) </w:t>
      </w:r>
    </w:p>
    <w:p w:rsidR="00810D19" w:rsidRPr="009B6FD5" w:rsidRDefault="00D56B9F" w:rsidP="00D56B9F">
      <w:pPr>
        <w:pStyle w:val="Prrafodelista"/>
        <w:tabs>
          <w:tab w:val="left" w:pos="2253"/>
        </w:tabs>
        <w:spacing w:line="360" w:lineRule="auto"/>
        <w:ind w:left="1069" w:right="567"/>
        <w:jc w:val="both"/>
        <w:rPr>
          <w:rFonts w:ascii="Palatino Linotype" w:hAnsi="Palatino Linotype"/>
          <w:i/>
          <w:color w:val="000000"/>
        </w:rPr>
      </w:pPr>
      <w:r>
        <w:rPr>
          <w:rFonts w:ascii="Palatino Linotype" w:hAnsi="Palatino Linotype"/>
          <w:i/>
          <w:color w:val="000000"/>
        </w:rPr>
        <w:tab/>
      </w:r>
    </w:p>
    <w:p w:rsidR="00797CD8" w:rsidRPr="00810D19" w:rsidRDefault="00810D19" w:rsidP="00810D19">
      <w:pPr>
        <w:spacing w:line="360" w:lineRule="auto"/>
        <w:ind w:right="567"/>
        <w:jc w:val="both"/>
        <w:rPr>
          <w:rFonts w:ascii="Palatino Linotype" w:eastAsia="Calibri" w:hAnsi="Palatino Linotype" w:cs="Arial"/>
          <w:lang w:val="es-ES" w:eastAsia="es-ES"/>
        </w:rPr>
      </w:pPr>
      <w:r w:rsidRPr="00810D19">
        <w:rPr>
          <w:rFonts w:ascii="Palatino Linotype" w:eastAsia="Calibri" w:hAnsi="Palatino Linotype" w:cs="Arial"/>
          <w:lang w:val="es-ES" w:eastAsia="es-ES"/>
        </w:rPr>
        <w:t>A la solicitud se anexaron los siguientes documentos:</w:t>
      </w:r>
    </w:p>
    <w:p w:rsidR="00810D19" w:rsidRPr="00810D19" w:rsidRDefault="009D5193" w:rsidP="00810D19">
      <w:pPr>
        <w:numPr>
          <w:ilvl w:val="0"/>
          <w:numId w:val="5"/>
        </w:numPr>
        <w:spacing w:before="100" w:beforeAutospacing="1" w:after="100" w:afterAutospacing="1" w:line="360" w:lineRule="auto"/>
        <w:jc w:val="both"/>
        <w:rPr>
          <w:rFonts w:ascii="Palatino Linotype" w:hAnsi="Palatino Linotype" w:cs="Arial"/>
          <w:lang w:val="es-ES" w:eastAsia="es-ES"/>
        </w:rPr>
      </w:pPr>
      <w:hyperlink r:id="rId7" w:tgtFrame="_blank" w:history="1">
        <w:r w:rsidR="00810D19" w:rsidRPr="00810D19">
          <w:rPr>
            <w:rStyle w:val="Hipervnculo"/>
            <w:rFonts w:ascii="Palatino Linotype" w:eastAsiaTheme="majorEastAsia" w:hAnsi="Palatino Linotype" w:cs="Arial"/>
            <w:b/>
            <w:bCs/>
            <w:color w:val="auto"/>
          </w:rPr>
          <w:t>evidencia_uno.jpg</w:t>
        </w:r>
      </w:hyperlink>
      <w:r w:rsidR="00810D19">
        <w:rPr>
          <w:rFonts w:ascii="Palatino Linotype" w:hAnsi="Palatino Linotype" w:cs="Arial"/>
        </w:rPr>
        <w:t>: corresponde a una imagen de conversación.</w:t>
      </w:r>
    </w:p>
    <w:p w:rsidR="00810D19" w:rsidRPr="00810D19" w:rsidRDefault="009D5193" w:rsidP="00810D19">
      <w:pPr>
        <w:numPr>
          <w:ilvl w:val="0"/>
          <w:numId w:val="5"/>
        </w:numPr>
        <w:spacing w:before="100" w:beforeAutospacing="1" w:after="100" w:afterAutospacing="1" w:line="360" w:lineRule="auto"/>
        <w:jc w:val="both"/>
        <w:rPr>
          <w:rFonts w:ascii="Palatino Linotype" w:hAnsi="Palatino Linotype" w:cs="Arial"/>
          <w:lang w:val="es-ES" w:eastAsia="es-ES"/>
        </w:rPr>
      </w:pPr>
      <w:hyperlink r:id="rId8" w:tgtFrame="_blank" w:history="1">
        <w:r w:rsidR="00810D19" w:rsidRPr="00810D19">
          <w:rPr>
            <w:rStyle w:val="Hipervnculo"/>
            <w:rFonts w:ascii="Palatino Linotype" w:eastAsiaTheme="majorEastAsia" w:hAnsi="Palatino Linotype" w:cs="Arial"/>
            <w:b/>
            <w:bCs/>
            <w:color w:val="auto"/>
          </w:rPr>
          <w:t>REPORTE DEL MES DE SEPTIEMBRE DE 2021.pdf</w:t>
        </w:r>
      </w:hyperlink>
      <w:r w:rsidR="00810D19">
        <w:rPr>
          <w:rFonts w:ascii="Palatino Linotype" w:hAnsi="Palatino Linotype" w:cs="Arial"/>
        </w:rPr>
        <w:t xml:space="preserve">: </w:t>
      </w:r>
      <w:r w:rsidR="00810D19">
        <w:rPr>
          <w:rFonts w:ascii="Palatino Linotype" w:eastAsia="Calibri" w:hAnsi="Palatino Linotype" w:cs="Tahoma"/>
          <w:bCs/>
          <w:szCs w:val="22"/>
          <w:lang w:eastAsia="en-US"/>
        </w:rPr>
        <w:t>Corresponde a  un Reporte del mes de septiembre de 2021, respecto recaudación de donaciones de Real de San Fernando.</w:t>
      </w:r>
    </w:p>
    <w:p w:rsidR="00810D19" w:rsidRPr="00810D19" w:rsidRDefault="009D5193" w:rsidP="00810D19">
      <w:pPr>
        <w:numPr>
          <w:ilvl w:val="0"/>
          <w:numId w:val="5"/>
        </w:numPr>
        <w:spacing w:before="100" w:beforeAutospacing="1" w:after="100" w:afterAutospacing="1" w:line="360" w:lineRule="auto"/>
        <w:rPr>
          <w:rFonts w:ascii="Palatino Linotype" w:hAnsi="Palatino Linotype" w:cs="Arial"/>
          <w:lang w:val="es-ES" w:eastAsia="es-ES"/>
        </w:rPr>
      </w:pPr>
      <w:hyperlink r:id="rId9" w:tgtFrame="_blank" w:history="1">
        <w:r w:rsidR="00810D19" w:rsidRPr="00810D19">
          <w:rPr>
            <w:rStyle w:val="Hipervnculo"/>
            <w:rFonts w:ascii="Palatino Linotype" w:eastAsiaTheme="majorEastAsia" w:hAnsi="Palatino Linotype" w:cs="Arial"/>
            <w:b/>
            <w:bCs/>
            <w:color w:val="auto"/>
          </w:rPr>
          <w:t>demnd072021.pdf</w:t>
        </w:r>
      </w:hyperlink>
      <w:r w:rsidR="00810D19">
        <w:rPr>
          <w:rFonts w:ascii="Palatino Linotype" w:hAnsi="Palatino Linotype" w:cs="Arial"/>
        </w:rPr>
        <w:t>: Corresponde a una demanda de arbitraje.</w:t>
      </w:r>
    </w:p>
    <w:p w:rsidR="00797CD8" w:rsidRDefault="00797CD8" w:rsidP="00797CD8">
      <w:pPr>
        <w:numPr>
          <w:ilvl w:val="0"/>
          <w:numId w:val="1"/>
        </w:numPr>
        <w:spacing w:line="360" w:lineRule="auto"/>
        <w:ind w:left="0" w:firstLine="0"/>
        <w:contextualSpacing/>
        <w:jc w:val="both"/>
        <w:rPr>
          <w:rFonts w:ascii="Palatino Linotype" w:eastAsia="Calibri" w:hAnsi="Palatino Linotype"/>
          <w:lang w:val="es-ES" w:eastAsia="es-ES"/>
        </w:rPr>
      </w:pPr>
      <w:r w:rsidRPr="009B6FD5">
        <w:rPr>
          <w:rFonts w:ascii="Palatino Linotype" w:eastAsia="Calibri" w:hAnsi="Palatino Linotype"/>
          <w:lang w:val="es-ES" w:eastAsia="es-ES"/>
        </w:rPr>
        <w:t>Se eligió como modalidad de entrega a través de la plataforma digital Sistema de Acceso a la Información Mexiquense (SAIMEX).</w:t>
      </w:r>
    </w:p>
    <w:p w:rsidR="00797CD8" w:rsidRDefault="00797CD8" w:rsidP="00797CD8">
      <w:pPr>
        <w:spacing w:line="360" w:lineRule="auto"/>
        <w:contextualSpacing/>
        <w:jc w:val="both"/>
        <w:rPr>
          <w:rFonts w:ascii="Palatino Linotype" w:eastAsia="Calibri" w:hAnsi="Palatino Linotype"/>
          <w:lang w:val="es-ES" w:eastAsia="es-ES"/>
        </w:rPr>
      </w:pPr>
    </w:p>
    <w:p w:rsidR="00797CD8" w:rsidRDefault="00797CD8" w:rsidP="00797CD8">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Calibri" w:hAnsi="Palatino Linotype"/>
          <w:lang w:val="es-ES" w:eastAsia="es-ES"/>
        </w:rPr>
        <w:t xml:space="preserve">El </w:t>
      </w:r>
      <w:r w:rsidR="00A25966">
        <w:rPr>
          <w:rFonts w:ascii="Palatino Linotype" w:eastAsia="Calibri" w:hAnsi="Palatino Linotype"/>
          <w:lang w:val="es-ES" w:eastAsia="es-ES"/>
        </w:rPr>
        <w:t>cinco (05) de octubre</w:t>
      </w:r>
      <w:r>
        <w:rPr>
          <w:rFonts w:ascii="Palatino Linotype" w:eastAsia="Calibri" w:hAnsi="Palatino Linotype"/>
          <w:lang w:val="es-ES" w:eastAsia="es-ES"/>
        </w:rPr>
        <w:t xml:space="preserve"> de dos mil veintiuno, el Sujeto Obligado realizó </w:t>
      </w:r>
      <w:r w:rsidR="00A25966">
        <w:rPr>
          <w:rFonts w:ascii="Palatino Linotype" w:eastAsia="Calibri" w:hAnsi="Palatino Linotype"/>
          <w:lang w:val="es-ES" w:eastAsia="es-ES"/>
        </w:rPr>
        <w:t>un requerimiento al servidor público habilitado</w:t>
      </w:r>
      <w:r>
        <w:rPr>
          <w:rFonts w:ascii="Palatino Linotype" w:eastAsia="Calibri" w:hAnsi="Palatino Linotype"/>
          <w:lang w:val="es-ES" w:eastAsia="es-ES"/>
        </w:rPr>
        <w:t>:</w:t>
      </w:r>
    </w:p>
    <w:p w:rsidR="00797CD8" w:rsidRDefault="00797CD8" w:rsidP="00797CD8">
      <w:pPr>
        <w:spacing w:line="360" w:lineRule="auto"/>
        <w:contextualSpacing/>
        <w:jc w:val="both"/>
        <w:rPr>
          <w:rFonts w:ascii="Palatino Linotype" w:eastAsia="Calibri" w:hAnsi="Palatino Linotype"/>
          <w:lang w:val="es-ES" w:eastAsia="es-ES"/>
        </w:rPr>
      </w:pPr>
    </w:p>
    <w:p w:rsidR="00797CD8" w:rsidRPr="009B6FD5" w:rsidRDefault="00A25966" w:rsidP="00797CD8">
      <w:pPr>
        <w:spacing w:line="360" w:lineRule="auto"/>
        <w:contextualSpacing/>
        <w:jc w:val="center"/>
        <w:rPr>
          <w:rFonts w:ascii="Palatino Linotype" w:eastAsia="Calibri" w:hAnsi="Palatino Linotype"/>
          <w:lang w:val="es-ES" w:eastAsia="es-ES"/>
        </w:rPr>
      </w:pPr>
      <w:r>
        <w:rPr>
          <w:noProof/>
          <w:lang w:val="es-ES" w:eastAsia="es-ES"/>
        </w:rPr>
        <w:drawing>
          <wp:inline distT="0" distB="0" distL="0" distR="0" wp14:anchorId="6C1F5789" wp14:editId="19F60675">
            <wp:extent cx="5089525" cy="13906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1063" t="21820" r="20721" b="58423"/>
                    <a:stretch/>
                  </pic:blipFill>
                  <pic:spPr bwMode="auto">
                    <a:xfrm>
                      <a:off x="0" y="0"/>
                      <a:ext cx="5096574" cy="1392576"/>
                    </a:xfrm>
                    <a:prstGeom prst="rect">
                      <a:avLst/>
                    </a:prstGeom>
                    <a:ln>
                      <a:noFill/>
                    </a:ln>
                    <a:extLst>
                      <a:ext uri="{53640926-AAD7-44D8-BBD7-CCE9431645EC}">
                        <a14:shadowObscured xmlns:a14="http://schemas.microsoft.com/office/drawing/2010/main"/>
                      </a:ext>
                    </a:extLst>
                  </pic:spPr>
                </pic:pic>
              </a:graphicData>
            </a:graphic>
          </wp:inline>
        </w:drawing>
      </w:r>
    </w:p>
    <w:p w:rsidR="00797CD8" w:rsidRPr="009B6FD5" w:rsidRDefault="00797CD8" w:rsidP="00797CD8">
      <w:pPr>
        <w:spacing w:line="360" w:lineRule="auto"/>
        <w:contextualSpacing/>
        <w:jc w:val="both"/>
        <w:rPr>
          <w:rFonts w:ascii="Palatino Linotype" w:eastAsia="Calibri" w:hAnsi="Palatino Linotype"/>
          <w:lang w:val="es-ES" w:eastAsia="es-ES"/>
        </w:rPr>
      </w:pPr>
    </w:p>
    <w:p w:rsidR="00797CD8" w:rsidRPr="00A25966" w:rsidRDefault="00797CD8" w:rsidP="00797CD8">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Theme="minorEastAsia" w:hAnsi="Palatino Linotype"/>
          <w:lang w:val="es-ES_tradnl" w:eastAsia="es-ES"/>
        </w:rPr>
        <w:t xml:space="preserve">El </w:t>
      </w:r>
      <w:r w:rsidR="00A25966">
        <w:rPr>
          <w:rFonts w:ascii="Palatino Linotype" w:eastAsiaTheme="minorEastAsia" w:hAnsi="Palatino Linotype"/>
          <w:lang w:val="es-ES_tradnl" w:eastAsia="es-ES"/>
        </w:rPr>
        <w:t>diecinueve (19) de octubre</w:t>
      </w:r>
      <w:r w:rsidRPr="009B6FD5">
        <w:rPr>
          <w:rFonts w:ascii="Palatino Linotype" w:eastAsiaTheme="minorEastAsia" w:hAnsi="Palatino Linotype"/>
          <w:lang w:val="es-ES_tradnl" w:eastAsia="es-ES"/>
        </w:rPr>
        <w:t xml:space="preserve">  de dos mil veintiuno, </w:t>
      </w:r>
      <w:r w:rsidRPr="009B6FD5">
        <w:rPr>
          <w:rFonts w:ascii="Palatino Linotype" w:eastAsia="Calibri" w:hAnsi="Palatino Linotype"/>
          <w:lang w:val="es-ES" w:eastAsia="es-ES"/>
        </w:rPr>
        <w:t xml:space="preserve">el </w:t>
      </w:r>
      <w:r w:rsidRPr="009B6FD5">
        <w:rPr>
          <w:rFonts w:ascii="Palatino Linotype" w:eastAsia="Calibri" w:hAnsi="Palatino Linotype" w:cs="Arial"/>
          <w:b/>
          <w:lang w:val="es-AR" w:eastAsia="es-ES"/>
        </w:rPr>
        <w:t>SUJETO OBLIGADO</w:t>
      </w:r>
      <w:r w:rsidRPr="009B6FD5">
        <w:rPr>
          <w:rFonts w:ascii="Palatino Linotype" w:eastAsia="Calibri" w:hAnsi="Palatino Linotype" w:cs="Arial"/>
          <w:b/>
          <w:i/>
          <w:lang w:val="es-AR" w:eastAsia="es-ES"/>
        </w:rPr>
        <w:t xml:space="preserve"> </w:t>
      </w:r>
      <w:r w:rsidRPr="009B6FD5">
        <w:rPr>
          <w:rFonts w:ascii="Palatino Linotype" w:hAnsi="Palatino Linotype" w:cs="Arial"/>
          <w:lang w:val="es-ES" w:eastAsia="es-ES"/>
        </w:rPr>
        <w:t>dio respuesta a la solicitud de información en los siguientes términos:</w:t>
      </w:r>
    </w:p>
    <w:p w:rsidR="00A25966" w:rsidRPr="009B6FD5" w:rsidRDefault="00A25966" w:rsidP="00A25966">
      <w:pPr>
        <w:spacing w:line="360" w:lineRule="auto"/>
        <w:contextualSpacing/>
        <w:jc w:val="both"/>
        <w:rPr>
          <w:rFonts w:ascii="Palatino Linotype" w:eastAsia="Calibri" w:hAnsi="Palatino Linotype"/>
          <w:lang w:val="es-ES" w:eastAsia="es-ES"/>
        </w:rPr>
      </w:pPr>
    </w:p>
    <w:tbl>
      <w:tblPr>
        <w:tblW w:w="7180" w:type="dxa"/>
        <w:jc w:val="center"/>
        <w:tblCellSpacing w:w="0" w:type="dxa"/>
        <w:tblCellMar>
          <w:left w:w="0" w:type="dxa"/>
          <w:right w:w="0" w:type="dxa"/>
        </w:tblCellMar>
        <w:tblLook w:val="04A0" w:firstRow="1" w:lastRow="0" w:firstColumn="1" w:lastColumn="0" w:noHBand="0" w:noVBand="1"/>
      </w:tblPr>
      <w:tblGrid>
        <w:gridCol w:w="7180"/>
      </w:tblGrid>
      <w:tr w:rsidR="00A25966" w:rsidRPr="00A25966" w:rsidTr="00A25966">
        <w:trPr>
          <w:trHeight w:val="162"/>
          <w:tblCellSpacing w:w="0" w:type="dxa"/>
          <w:jc w:val="center"/>
        </w:trPr>
        <w:tc>
          <w:tcPr>
            <w:tcW w:w="0" w:type="auto"/>
            <w:vAlign w:val="center"/>
            <w:hideMark/>
          </w:tcPr>
          <w:p w:rsidR="00A25966" w:rsidRDefault="00A25966" w:rsidP="00A25966">
            <w:pPr>
              <w:rPr>
                <w:rFonts w:ascii="Palatino Linotype" w:hAnsi="Palatino Linotype"/>
                <w:i/>
                <w:sz w:val="22"/>
                <w:szCs w:val="18"/>
                <w:lang w:val="es-ES" w:eastAsia="es-ES"/>
              </w:rPr>
            </w:pPr>
            <w:r>
              <w:rPr>
                <w:rFonts w:ascii="Palatino Linotype" w:hAnsi="Palatino Linotype"/>
                <w:i/>
                <w:sz w:val="22"/>
                <w:szCs w:val="18"/>
                <w:lang w:val="es-ES" w:eastAsia="es-ES"/>
              </w:rPr>
              <w:t>…</w:t>
            </w:r>
          </w:p>
          <w:p w:rsidR="00A25966" w:rsidRPr="00A25966" w:rsidRDefault="00A25966" w:rsidP="00A25966">
            <w:pPr>
              <w:rPr>
                <w:rFonts w:ascii="Palatino Linotype" w:hAnsi="Palatino Linotype"/>
                <w:i/>
                <w:sz w:val="32"/>
                <w:lang w:val="es-ES" w:eastAsia="es-ES"/>
              </w:rPr>
            </w:pPr>
            <w:r w:rsidRPr="00A25966">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25966" w:rsidRPr="00A25966" w:rsidTr="00A25966">
        <w:trPr>
          <w:trHeight w:val="406"/>
          <w:tblCellSpacing w:w="0" w:type="dxa"/>
          <w:jc w:val="center"/>
        </w:trPr>
        <w:tc>
          <w:tcPr>
            <w:tcW w:w="0" w:type="auto"/>
            <w:vAlign w:val="center"/>
            <w:hideMark/>
          </w:tcPr>
          <w:p w:rsidR="00A25966" w:rsidRPr="00A25966" w:rsidRDefault="00A25966" w:rsidP="00A25966">
            <w:pPr>
              <w:rPr>
                <w:rFonts w:ascii="Palatino Linotype" w:hAnsi="Palatino Linotype"/>
                <w:i/>
                <w:sz w:val="32"/>
                <w:lang w:val="es-ES" w:eastAsia="es-ES"/>
              </w:rPr>
            </w:pPr>
          </w:p>
        </w:tc>
      </w:tr>
      <w:tr w:rsidR="00A25966" w:rsidRPr="00A25966" w:rsidTr="00A25966">
        <w:trPr>
          <w:trHeight w:val="162"/>
          <w:tblCellSpacing w:w="0" w:type="dxa"/>
          <w:jc w:val="center"/>
        </w:trPr>
        <w:tc>
          <w:tcPr>
            <w:tcW w:w="0" w:type="auto"/>
            <w:vAlign w:val="center"/>
            <w:hideMark/>
          </w:tcPr>
          <w:p w:rsidR="00A25966" w:rsidRDefault="00A25966" w:rsidP="00A25966">
            <w:pPr>
              <w:rPr>
                <w:rFonts w:ascii="Palatino Linotype" w:hAnsi="Palatino Linotype"/>
                <w:i/>
                <w:sz w:val="22"/>
                <w:szCs w:val="18"/>
                <w:lang w:val="es-ES" w:eastAsia="es-ES"/>
              </w:rPr>
            </w:pPr>
            <w:r w:rsidRPr="00A25966">
              <w:rPr>
                <w:rFonts w:ascii="Palatino Linotype" w:hAnsi="Palatino Linotype"/>
                <w:i/>
                <w:sz w:val="22"/>
                <w:szCs w:val="18"/>
                <w:lang w:val="es-ES" w:eastAsia="es-ES"/>
              </w:rPr>
              <w:lastRenderedPageBreak/>
              <w:t>Se remite contestación a solicitud de información</w:t>
            </w:r>
          </w:p>
          <w:p w:rsidR="00A25966" w:rsidRPr="00A25966" w:rsidRDefault="00A25966" w:rsidP="00A25966">
            <w:pPr>
              <w:rPr>
                <w:rFonts w:ascii="Palatino Linotype" w:hAnsi="Palatino Linotype"/>
                <w:i/>
                <w:sz w:val="32"/>
                <w:lang w:val="es-ES" w:eastAsia="es-ES"/>
              </w:rPr>
            </w:pPr>
            <w:r>
              <w:rPr>
                <w:rFonts w:ascii="Palatino Linotype" w:hAnsi="Palatino Linotype"/>
                <w:i/>
                <w:sz w:val="22"/>
                <w:szCs w:val="18"/>
                <w:lang w:val="es-ES" w:eastAsia="es-ES"/>
              </w:rPr>
              <w:t>…</w:t>
            </w:r>
          </w:p>
        </w:tc>
      </w:tr>
    </w:tbl>
    <w:p w:rsidR="00797CD8" w:rsidRPr="00A25966" w:rsidRDefault="00797CD8" w:rsidP="00797CD8">
      <w:pPr>
        <w:spacing w:line="360" w:lineRule="auto"/>
        <w:contextualSpacing/>
        <w:jc w:val="both"/>
        <w:rPr>
          <w:rFonts w:ascii="Palatino Linotype" w:eastAsia="Calibri" w:hAnsi="Palatino Linotype"/>
          <w:i/>
          <w:sz w:val="32"/>
          <w:lang w:val="es-ES" w:eastAsia="es-ES"/>
        </w:rPr>
      </w:pPr>
    </w:p>
    <w:p w:rsidR="00797CD8" w:rsidRDefault="00A25966" w:rsidP="00797CD8">
      <w:pPr>
        <w:spacing w:line="360" w:lineRule="auto"/>
        <w:ind w:right="567"/>
        <w:jc w:val="both"/>
        <w:rPr>
          <w:rFonts w:ascii="Palatino Linotype" w:hAnsi="Palatino Linotype"/>
        </w:rPr>
      </w:pPr>
      <w:r>
        <w:rPr>
          <w:rFonts w:ascii="Palatino Linotype" w:hAnsi="Palatino Linotype"/>
        </w:rPr>
        <w:t>Documento adjunto:</w:t>
      </w:r>
    </w:p>
    <w:p w:rsidR="00797A3E" w:rsidRPr="009B6FD5" w:rsidRDefault="00797A3E" w:rsidP="00797CD8">
      <w:pPr>
        <w:spacing w:line="360" w:lineRule="auto"/>
        <w:ind w:right="567"/>
        <w:jc w:val="both"/>
        <w:rPr>
          <w:rFonts w:ascii="Palatino Linotype" w:hAnsi="Palatino Linotype"/>
        </w:rPr>
      </w:pPr>
    </w:p>
    <w:p w:rsidR="00797CD8" w:rsidRDefault="009D5193" w:rsidP="00A25966">
      <w:pPr>
        <w:pStyle w:val="Prrafodelista"/>
        <w:numPr>
          <w:ilvl w:val="0"/>
          <w:numId w:val="4"/>
        </w:numPr>
        <w:spacing w:line="360" w:lineRule="auto"/>
        <w:ind w:right="567"/>
        <w:jc w:val="both"/>
        <w:rPr>
          <w:rFonts w:ascii="Palatino Linotype" w:hAnsi="Palatino Linotype"/>
        </w:rPr>
      </w:pPr>
      <w:hyperlink r:id="rId11" w:tgtFrame="_blank" w:history="1">
        <w:r w:rsidR="00A25966" w:rsidRPr="00A25966">
          <w:rPr>
            <w:rStyle w:val="Hipervnculo"/>
            <w:rFonts w:ascii="Palatino Linotype" w:eastAsiaTheme="majorEastAsia" w:hAnsi="Palatino Linotype" w:cs="Arial"/>
            <w:b/>
            <w:bCs/>
            <w:color w:val="auto"/>
            <w:sz w:val="24"/>
          </w:rPr>
          <w:t>SAIMEX 00411.pdf</w:t>
        </w:r>
      </w:hyperlink>
      <w:r w:rsidR="00A25966" w:rsidRPr="00A25966">
        <w:rPr>
          <w:rFonts w:ascii="Palatino Linotype" w:hAnsi="Palatino Linotype"/>
        </w:rPr>
        <w:t>:</w:t>
      </w:r>
      <w:r w:rsidR="00A25966">
        <w:rPr>
          <w:rFonts w:ascii="Palatino Linotype" w:hAnsi="Palatino Linotype"/>
        </w:rPr>
        <w:t xml:space="preserve"> </w:t>
      </w:r>
      <w:r w:rsidR="00E62CD7">
        <w:rPr>
          <w:rFonts w:ascii="Palatino Linotype" w:hAnsi="Palatino Linotype"/>
        </w:rPr>
        <w:t>Oficio MCM/SM/380/2021 del diecinueve (19) de octubre de dos mil veintiuno, suscrito por el Síndico Municipal de Cuautitlán, en el que señalo medularmente lo siguiente:</w:t>
      </w:r>
    </w:p>
    <w:p w:rsidR="00E62CD7" w:rsidRDefault="00E62CD7" w:rsidP="00E62CD7">
      <w:pPr>
        <w:pStyle w:val="Prrafodelista"/>
        <w:spacing w:line="360" w:lineRule="auto"/>
        <w:ind w:right="567"/>
        <w:jc w:val="both"/>
        <w:rPr>
          <w:rFonts w:ascii="Palatino Linotype" w:hAnsi="Palatino Linotype"/>
        </w:rPr>
      </w:pPr>
    </w:p>
    <w:p w:rsidR="00E62CD7" w:rsidRPr="00E62CD7" w:rsidRDefault="00E62CD7" w:rsidP="00E62CD7">
      <w:pPr>
        <w:pStyle w:val="Prrafodelista"/>
        <w:tabs>
          <w:tab w:val="left" w:pos="1470"/>
        </w:tabs>
        <w:spacing w:line="360" w:lineRule="auto"/>
        <w:ind w:right="539"/>
        <w:jc w:val="both"/>
        <w:rPr>
          <w:rFonts w:ascii="Palatino Linotype" w:hAnsi="Palatino Linotype" w:cs="Tahoma"/>
          <w:bCs/>
          <w:i/>
          <w:szCs w:val="22"/>
        </w:rPr>
      </w:pPr>
      <w:r w:rsidRPr="00E62CD7">
        <w:rPr>
          <w:rFonts w:ascii="Palatino Linotype" w:hAnsi="Palatino Linotype" w:cs="Tahoma"/>
          <w:bCs/>
          <w:i/>
          <w:szCs w:val="22"/>
        </w:rPr>
        <w:t xml:space="preserve">“… </w:t>
      </w:r>
    </w:p>
    <w:p w:rsidR="00E62CD7" w:rsidRPr="00E62CD7" w:rsidRDefault="00E62CD7" w:rsidP="00E62CD7">
      <w:pPr>
        <w:pStyle w:val="Prrafodelista"/>
        <w:tabs>
          <w:tab w:val="left" w:pos="1470"/>
        </w:tabs>
        <w:spacing w:line="360" w:lineRule="auto"/>
        <w:ind w:right="539"/>
        <w:jc w:val="both"/>
        <w:rPr>
          <w:rFonts w:ascii="Palatino Linotype" w:hAnsi="Palatino Linotype" w:cs="Tahoma"/>
          <w:bCs/>
          <w:i/>
          <w:szCs w:val="22"/>
        </w:rPr>
      </w:pPr>
      <w:r w:rsidRPr="00E62CD7">
        <w:rPr>
          <w:rFonts w:ascii="Palatino Linotype" w:hAnsi="Palatino Linotype" w:cs="Tahoma"/>
          <w:bCs/>
          <w:i/>
          <w:szCs w:val="22"/>
        </w:rPr>
        <w:t>Esta Sindicatura Municipal en función de sus atribuciones se ha dado a la tarea de estar cerca de la comunidad en específico brindando Platicas Condominales que permiten dar a conocer los derechos y obligaciones que emanan de la Ley que Regula el Régimen de Propiedad en Condominio del Estado de México en las cuales se promueve que deberán tener conformadas Mesas Directivas que representen a los condóminos de cada fraccionamiento, calle o privada para que por su cuenta convoque a los condóminos que la integran a efecto de que lleguen a diversos acuerdos que permitan la sana convivencia entre ellos sin nunca tomar partido en los puntos que deberán tratar en cada asamblea y en este caso dentro del Fraccionamiento Real de San Fernando de Cuautitlán, México se han impartido dos pláticas con esta información.</w:t>
      </w:r>
    </w:p>
    <w:p w:rsidR="00E62CD7" w:rsidRPr="00E62CD7" w:rsidRDefault="00E62CD7" w:rsidP="00E62CD7">
      <w:pPr>
        <w:pStyle w:val="Prrafodelista"/>
        <w:tabs>
          <w:tab w:val="left" w:pos="1470"/>
        </w:tabs>
        <w:spacing w:line="360" w:lineRule="auto"/>
        <w:ind w:right="539"/>
        <w:jc w:val="both"/>
        <w:rPr>
          <w:rFonts w:ascii="Palatino Linotype" w:hAnsi="Palatino Linotype" w:cs="Tahoma"/>
          <w:bCs/>
          <w:i/>
          <w:szCs w:val="22"/>
        </w:rPr>
      </w:pPr>
    </w:p>
    <w:p w:rsidR="00E62CD7" w:rsidRPr="00A25966" w:rsidRDefault="00E62CD7" w:rsidP="00E62CD7">
      <w:pPr>
        <w:pStyle w:val="Prrafodelista"/>
        <w:spacing w:line="360" w:lineRule="auto"/>
        <w:ind w:right="567"/>
        <w:jc w:val="both"/>
        <w:rPr>
          <w:rFonts w:ascii="Palatino Linotype" w:hAnsi="Palatino Linotype"/>
        </w:rPr>
      </w:pPr>
      <w:r>
        <w:rPr>
          <w:rFonts w:ascii="Palatino Linotype" w:hAnsi="Palatino Linotype" w:cs="Tahoma"/>
          <w:bCs/>
          <w:i/>
          <w:szCs w:val="22"/>
        </w:rPr>
        <w:t>Cabe hacer mención como se refiere en su queja se iniciaron procedimientos de Juicios Arbitrales promovidos por la C. (…) en su calidad de Delegada del Fraccionamiento Real de San Fernando, Cuautitlán, México, radicados bajo los números de expediente 56/2021 y 62/2021…</w:t>
      </w:r>
    </w:p>
    <w:p w:rsidR="00A25966" w:rsidRPr="00F53756" w:rsidRDefault="00A25966" w:rsidP="00797CD8">
      <w:pPr>
        <w:spacing w:line="360" w:lineRule="auto"/>
        <w:ind w:right="567"/>
        <w:jc w:val="both"/>
        <w:rPr>
          <w:rFonts w:ascii="Palatino Linotype" w:hAnsi="Palatino Linotype"/>
        </w:rPr>
      </w:pPr>
    </w:p>
    <w:p w:rsidR="00797CD8" w:rsidRPr="009B6FD5" w:rsidRDefault="00797CD8" w:rsidP="00797CD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9B6FD5">
        <w:rPr>
          <w:rFonts w:ascii="Palatino Linotype" w:eastAsia="Calibri" w:hAnsi="Palatino Linotype" w:cs="Arial"/>
          <w:lang w:val="es-AR" w:eastAsia="es-ES"/>
        </w:rPr>
        <w:lastRenderedPageBreak/>
        <w:t xml:space="preserve">El </w:t>
      </w:r>
      <w:r w:rsidR="00E62CD7">
        <w:rPr>
          <w:rFonts w:ascii="Palatino Linotype" w:eastAsia="Calibri" w:hAnsi="Palatino Linotype" w:cs="Arial"/>
          <w:lang w:val="es-AR" w:eastAsia="es-ES"/>
        </w:rPr>
        <w:t>veinticinco (25) de octubre</w:t>
      </w:r>
      <w:r w:rsidRPr="009B6FD5">
        <w:rPr>
          <w:rFonts w:ascii="Palatino Linotype" w:eastAsia="Calibri" w:hAnsi="Palatino Linotype" w:cs="Arial"/>
          <w:lang w:val="es-AR" w:eastAsia="es-ES"/>
        </w:rPr>
        <w:t xml:space="preserve">  de dos mil veintiuno</w:t>
      </w:r>
      <w:r w:rsidRPr="009B6FD5">
        <w:rPr>
          <w:rFonts w:ascii="Palatino Linotype" w:hAnsi="Palatino Linotype" w:cs="Arial"/>
          <w:lang w:val="es-ES" w:eastAsia="es-ES"/>
        </w:rPr>
        <w:t xml:space="preserve">, </w:t>
      </w:r>
      <w:r w:rsidRPr="009B6FD5">
        <w:rPr>
          <w:rFonts w:ascii="Palatino Linotype" w:eastAsiaTheme="minorEastAsia" w:hAnsi="Palatino Linotype"/>
          <w:b/>
          <w:lang w:val="es-ES_tradnl" w:eastAsia="es-ES"/>
        </w:rPr>
        <w:t>EL RECURRENTE</w:t>
      </w:r>
      <w:r w:rsidRPr="009B6FD5">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rsidR="00797CD8" w:rsidRPr="009B6FD5" w:rsidRDefault="00797CD8" w:rsidP="00797CD8">
      <w:pPr>
        <w:spacing w:line="360" w:lineRule="auto"/>
        <w:ind w:left="567" w:right="567"/>
        <w:contextualSpacing/>
        <w:rPr>
          <w:rFonts w:ascii="Palatino Linotype" w:eastAsiaTheme="minorEastAsia" w:hAnsi="Palatino Linotype" w:cs="Arial"/>
          <w:i/>
          <w:lang w:val="es-ES_tradnl" w:eastAsia="es-ES"/>
        </w:rPr>
      </w:pPr>
    </w:p>
    <w:p w:rsidR="00797CD8" w:rsidRPr="009B6FD5" w:rsidRDefault="00797CD8" w:rsidP="00797CD8">
      <w:pPr>
        <w:spacing w:line="360" w:lineRule="auto"/>
        <w:ind w:left="567" w:right="567"/>
        <w:contextualSpacing/>
        <w:jc w:val="both"/>
        <w:rPr>
          <w:rFonts w:ascii="Palatino Linotype" w:eastAsia="Calibri" w:hAnsi="Palatino Linotype" w:cs="Arial"/>
          <w:i/>
          <w:lang w:val="es-ES" w:eastAsia="es-ES"/>
        </w:rPr>
      </w:pPr>
      <w:r w:rsidRPr="009B6FD5">
        <w:rPr>
          <w:rFonts w:ascii="Palatino Linotype" w:eastAsiaTheme="minorEastAsia" w:hAnsi="Palatino Linotype"/>
          <w:b/>
          <w:lang w:val="es-ES_tradnl" w:eastAsia="es-ES"/>
        </w:rPr>
        <w:t>Acto impugnado</w:t>
      </w:r>
      <w:r w:rsidRPr="009B6FD5">
        <w:rPr>
          <w:rFonts w:ascii="Palatino Linotype" w:eastAsiaTheme="minorEastAsia" w:hAnsi="Palatino Linotype"/>
          <w:b/>
          <w:i/>
          <w:lang w:val="es-ES_tradnl" w:eastAsia="es-ES"/>
        </w:rPr>
        <w:t>:</w:t>
      </w:r>
      <w:r w:rsidRPr="009B6FD5">
        <w:rPr>
          <w:rFonts w:ascii="Palatino Linotype" w:hAnsi="Palatino Linotype"/>
          <w:i/>
          <w:color w:val="000000"/>
        </w:rPr>
        <w:t xml:space="preserve"> “</w:t>
      </w:r>
      <w:r w:rsidR="00E62CD7" w:rsidRPr="00E62CD7">
        <w:rPr>
          <w:rFonts w:ascii="Palatino Linotype" w:hAnsi="Palatino Linotype"/>
          <w:i/>
          <w:color w:val="000000"/>
        </w:rPr>
        <w:t>no se entrego la evidencia solicitada</w:t>
      </w:r>
      <w:r w:rsidRPr="009B6FD5">
        <w:rPr>
          <w:rFonts w:ascii="Palatino Linotype" w:hAnsi="Palatino Linotype"/>
          <w:i/>
          <w:color w:val="000000"/>
        </w:rPr>
        <w:t xml:space="preserve">” (Sic); </w:t>
      </w:r>
      <w:r w:rsidRPr="009B6FD5">
        <w:rPr>
          <w:rFonts w:ascii="Palatino Linotype" w:eastAsia="Calibri" w:hAnsi="Palatino Linotype" w:cs="Arial"/>
          <w:i/>
          <w:lang w:val="es-ES" w:eastAsia="es-ES"/>
        </w:rPr>
        <w:t>Y</w:t>
      </w:r>
    </w:p>
    <w:p w:rsidR="00797CD8" w:rsidRPr="009B6FD5" w:rsidRDefault="00797CD8" w:rsidP="00797CD8">
      <w:pPr>
        <w:spacing w:line="360" w:lineRule="auto"/>
        <w:ind w:left="567" w:right="567"/>
        <w:contextualSpacing/>
        <w:jc w:val="both"/>
        <w:rPr>
          <w:rFonts w:ascii="Palatino Linotype" w:eastAsia="Calibri" w:hAnsi="Palatino Linotype" w:cs="Arial"/>
          <w:lang w:val="es-ES" w:eastAsia="es-ES"/>
        </w:rPr>
      </w:pPr>
    </w:p>
    <w:p w:rsidR="00797CD8" w:rsidRPr="009B6FD5" w:rsidRDefault="00797CD8" w:rsidP="00797CD8">
      <w:pPr>
        <w:spacing w:line="360" w:lineRule="auto"/>
        <w:ind w:left="567" w:right="567"/>
        <w:contextualSpacing/>
        <w:jc w:val="both"/>
        <w:rPr>
          <w:rFonts w:ascii="Palatino Linotype" w:hAnsi="Palatino Linotype"/>
          <w:i/>
          <w:color w:val="000000"/>
        </w:rPr>
      </w:pPr>
      <w:r w:rsidRPr="009B6FD5">
        <w:rPr>
          <w:rFonts w:ascii="Palatino Linotype" w:eastAsiaTheme="minorEastAsia" w:hAnsi="Palatino Linotype"/>
          <w:b/>
          <w:lang w:val="es-ES_tradnl" w:eastAsia="es-ES"/>
        </w:rPr>
        <w:t>Razones o Motivos de inconformidad:</w:t>
      </w:r>
      <w:r w:rsidRPr="009B6FD5">
        <w:rPr>
          <w:rFonts w:ascii="Palatino Linotype" w:eastAsiaTheme="majorEastAsia" w:hAnsi="Palatino Linotype" w:cstheme="majorBidi"/>
          <w:b/>
          <w:color w:val="2E74B5" w:themeColor="accent1" w:themeShade="BF"/>
          <w:sz w:val="26"/>
          <w:szCs w:val="26"/>
          <w:lang w:val="es-ES" w:eastAsia="es-ES"/>
        </w:rPr>
        <w:t xml:space="preserve"> </w:t>
      </w:r>
      <w:r w:rsidRPr="009B6FD5">
        <w:rPr>
          <w:rFonts w:ascii="Palatino Linotype" w:eastAsiaTheme="majorEastAsia" w:hAnsi="Palatino Linotype" w:cstheme="majorBidi"/>
          <w:i/>
          <w:lang w:val="es-ES" w:eastAsia="es-ES"/>
        </w:rPr>
        <w:t>“</w:t>
      </w:r>
      <w:r w:rsidR="00810D19" w:rsidRPr="00810D19">
        <w:rPr>
          <w:rFonts w:ascii="Palatino Linotype" w:hAnsi="Palatino Linotype"/>
          <w:i/>
          <w:color w:val="000000"/>
        </w:rPr>
        <w:t>nos acercamos a la sindicatura por instrucciones de la procuraduria del colono del estado de mexico pero al ver la respuesta, no se si sea el sitio correcto para que me de la informacion.</w:t>
      </w:r>
      <w:r w:rsidRPr="009B6FD5">
        <w:rPr>
          <w:rFonts w:ascii="Palatino Linotype" w:hAnsi="Palatino Linotype"/>
          <w:i/>
          <w:color w:val="000000"/>
        </w:rPr>
        <w:t>” (Sic).</w:t>
      </w:r>
    </w:p>
    <w:bookmarkEnd w:id="2"/>
    <w:bookmarkEnd w:id="3"/>
    <w:bookmarkEnd w:id="4"/>
    <w:p w:rsidR="00797CD8" w:rsidRPr="009B6FD5" w:rsidRDefault="00797CD8" w:rsidP="00797CD8">
      <w:pPr>
        <w:spacing w:line="360" w:lineRule="auto"/>
        <w:jc w:val="both"/>
        <w:rPr>
          <w:rFonts w:ascii="Palatino Linotype" w:eastAsia="Calibri" w:hAnsi="Palatino Linotype" w:cs="Arial"/>
          <w:lang w:val="es-AR" w:eastAsia="es-ES"/>
        </w:rPr>
      </w:pPr>
    </w:p>
    <w:p w:rsidR="00797CD8" w:rsidRPr="009B6FD5" w:rsidRDefault="00797CD8" w:rsidP="00797CD8">
      <w:pPr>
        <w:numPr>
          <w:ilvl w:val="0"/>
          <w:numId w:val="1"/>
        </w:numPr>
        <w:spacing w:line="360" w:lineRule="auto"/>
        <w:ind w:left="0" w:firstLine="0"/>
        <w:contextualSpacing/>
        <w:jc w:val="both"/>
        <w:rPr>
          <w:rFonts w:ascii="Palatino Linotype" w:eastAsia="Calibri" w:hAnsi="Palatino Linotype" w:cs="Arial"/>
          <w:lang w:val="es-AR" w:eastAsia="es-ES"/>
        </w:rPr>
      </w:pPr>
      <w:r w:rsidRPr="009B6FD5">
        <w:rPr>
          <w:rFonts w:ascii="Palatino Linotype" w:hAnsi="Palatino Linotype" w:cs="Arial"/>
          <w:lang w:val="es-ES" w:eastAsia="es-ES"/>
        </w:rPr>
        <w:t xml:space="preserve">Se registró el recurso de revisión bajo el número de expediente </w:t>
      </w:r>
      <w:r w:rsidRPr="009B6FD5">
        <w:rPr>
          <w:rFonts w:ascii="Palatino Linotype" w:eastAsiaTheme="minorEastAsia" w:hAnsi="Palatino Linotype" w:cs="Arial"/>
          <w:bCs/>
          <w:lang w:val="es-ES_tradnl" w:eastAsia="es-ES"/>
        </w:rPr>
        <w:t xml:space="preserve">al rubro indicado, asimismo con fundamento en lo dispuesto por el </w:t>
      </w:r>
      <w:r w:rsidRPr="009B6FD5">
        <w:rPr>
          <w:rFonts w:ascii="Palatino Linotype" w:eastAsia="Calibri" w:hAnsi="Palatino Linotype" w:cs="Arial"/>
          <w:lang w:val="es-ES" w:eastAsia="es-ES"/>
        </w:rPr>
        <w:t xml:space="preserve">artículo 185 fracción I de la </w:t>
      </w:r>
      <w:r w:rsidRPr="009B6FD5">
        <w:rPr>
          <w:rFonts w:ascii="Palatino Linotype" w:eastAsia="Calibri" w:hAnsi="Palatino Linotype" w:cs="Arial"/>
          <w:b/>
          <w:lang w:val="es-ES" w:eastAsia="es-ES"/>
        </w:rPr>
        <w:t xml:space="preserve">Ley de Transparencia y Acceso a la Información Pública del Estado de México y Municipios </w:t>
      </w:r>
      <w:r w:rsidR="00810D19">
        <w:rPr>
          <w:rFonts w:ascii="Palatino Linotype" w:hAnsi="Palatino Linotype" w:cs="Arial"/>
          <w:lang w:val="es-ES" w:eastAsia="es-ES"/>
        </w:rPr>
        <w:t>se turnó a la</w:t>
      </w:r>
      <w:r w:rsidRPr="009B6FD5">
        <w:rPr>
          <w:rFonts w:ascii="Palatino Linotype" w:hAnsi="Palatino Linotype" w:cs="Arial"/>
          <w:lang w:val="es-ES" w:eastAsia="es-ES"/>
        </w:rPr>
        <w:t xml:space="preserve"> </w:t>
      </w:r>
      <w:r w:rsidR="00810D19">
        <w:rPr>
          <w:rFonts w:ascii="Palatino Linotype" w:hAnsi="Palatino Linotype" w:cs="Arial"/>
          <w:b/>
          <w:lang w:val="es-ES" w:eastAsia="es-ES"/>
        </w:rPr>
        <w:t>Comisionada María del Rosario Mejía Ayala</w:t>
      </w:r>
      <w:r w:rsidRPr="009B6FD5">
        <w:rPr>
          <w:rFonts w:ascii="Palatino Linotype" w:hAnsi="Palatino Linotype" w:cs="Arial"/>
          <w:b/>
          <w:lang w:val="es-ES" w:eastAsia="es-ES"/>
        </w:rPr>
        <w:t xml:space="preserve">, </w:t>
      </w:r>
      <w:r w:rsidRPr="009B6FD5">
        <w:rPr>
          <w:rFonts w:ascii="Palatino Linotype" w:hAnsi="Palatino Linotype" w:cs="Arial"/>
          <w:lang w:val="es-ES" w:eastAsia="es-ES"/>
        </w:rPr>
        <w:t xml:space="preserve">con el objeto de </w:t>
      </w:r>
      <w:r w:rsidRPr="009B6FD5">
        <w:rPr>
          <w:rFonts w:ascii="Palatino Linotype" w:hAnsi="Palatino Linotype" w:cs="Arial"/>
          <w:lang w:eastAsia="es-ES"/>
        </w:rPr>
        <w:t xml:space="preserve">su análisis. </w:t>
      </w:r>
    </w:p>
    <w:p w:rsidR="00797CD8" w:rsidRPr="009B6FD5" w:rsidRDefault="00797CD8" w:rsidP="00797CD8">
      <w:pPr>
        <w:spacing w:line="360" w:lineRule="auto"/>
        <w:contextualSpacing/>
        <w:jc w:val="both"/>
        <w:rPr>
          <w:rFonts w:ascii="Palatino Linotype" w:eastAsia="Calibri" w:hAnsi="Palatino Linotype" w:cs="Arial"/>
          <w:lang w:val="es-AR" w:eastAsia="es-ES"/>
        </w:rPr>
      </w:pPr>
    </w:p>
    <w:p w:rsidR="00797CD8" w:rsidRPr="00D57659" w:rsidRDefault="00797CD8" w:rsidP="00797CD8">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9B6FD5">
        <w:rPr>
          <w:rFonts w:ascii="Palatino Linotype" w:eastAsia="Calibri" w:hAnsi="Palatino Linotype" w:cs="Arial"/>
          <w:lang w:val="es-ES" w:eastAsia="es-ES"/>
        </w:rPr>
        <w:t>El Comisionado Ponente con fundamento en lo dispuesto por el artículo 185 fracción II de la ley de la materia, a tra</w:t>
      </w:r>
      <w:r>
        <w:rPr>
          <w:rFonts w:ascii="Palatino Linotype" w:eastAsia="Calibri" w:hAnsi="Palatino Linotype" w:cs="Arial"/>
          <w:lang w:val="es-ES" w:eastAsia="es-ES"/>
        </w:rPr>
        <w:t xml:space="preserve">vés del acuerdo de admisión de </w:t>
      </w:r>
      <w:r w:rsidR="00D57659">
        <w:rPr>
          <w:rFonts w:ascii="Palatino Linotype" w:eastAsia="Calibri" w:hAnsi="Palatino Linotype" w:cs="Arial"/>
          <w:lang w:val="es-ES" w:eastAsia="es-ES"/>
        </w:rPr>
        <w:t>veintinueve (29) de octubre</w:t>
      </w:r>
      <w:r w:rsidRPr="009B6FD5">
        <w:rPr>
          <w:rFonts w:ascii="Palatino Linotype" w:eastAsia="Calibri" w:hAnsi="Palatino Linotype" w:cs="Arial"/>
          <w:lang w:val="es-ES" w:eastAsia="es-ES"/>
        </w:rPr>
        <w:t xml:space="preserve"> de dos mil veintiuno, puso a disposición de las partes el expediente electrónico </w:t>
      </w:r>
      <w:r w:rsidRPr="009B6FD5">
        <w:rPr>
          <w:rFonts w:ascii="Palatino Linotype" w:eastAsia="Calibri" w:hAnsi="Palatino Linotype" w:cs="Arial"/>
          <w:lang w:val="es-ES_tradnl" w:eastAsia="es-ES"/>
        </w:rPr>
        <w:t xml:space="preserve">vía </w:t>
      </w:r>
      <w:r w:rsidRPr="009B6FD5">
        <w:rPr>
          <w:rFonts w:ascii="Palatino Linotype" w:eastAsia="Calibri" w:hAnsi="Palatino Linotype" w:cs="Arial"/>
          <w:b/>
          <w:lang w:val="es-ES" w:eastAsia="es-ES"/>
        </w:rPr>
        <w:t xml:space="preserve">SAIMEX </w:t>
      </w:r>
      <w:r w:rsidRPr="009B6FD5">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9B6FD5">
        <w:rPr>
          <w:rFonts w:ascii="Palatino Linotype" w:eastAsia="Calibri" w:hAnsi="Palatino Linotype" w:cs="Arial"/>
          <w:b/>
          <w:lang w:val="es-ES" w:eastAsia="es-ES"/>
        </w:rPr>
        <w:t>SUJETO OBLIGADO</w:t>
      </w:r>
      <w:r w:rsidRPr="009B6FD5">
        <w:rPr>
          <w:rFonts w:ascii="Palatino Linotype" w:eastAsia="Calibri" w:hAnsi="Palatino Linotype" w:cs="Arial"/>
          <w:lang w:val="es-ES" w:eastAsia="es-ES"/>
        </w:rPr>
        <w:t xml:space="preserve"> presentara el informe justificado procedente. </w:t>
      </w:r>
      <w:r w:rsidR="00D57659">
        <w:rPr>
          <w:rFonts w:ascii="Palatino Linotype" w:eastAsia="Calibri" w:hAnsi="Palatino Linotype" w:cs="Arial"/>
          <w:lang w:val="es-ES" w:eastAsia="es-ES"/>
        </w:rPr>
        <w:t>P</w:t>
      </w:r>
      <w:r w:rsidR="00D57659" w:rsidRPr="009B6FD5">
        <w:rPr>
          <w:rFonts w:ascii="Palatino Linotype" w:eastAsia="Calibri" w:hAnsi="Palatino Linotype" w:cs="Arial"/>
          <w:lang w:val="es-ES" w:eastAsia="es-ES"/>
        </w:rPr>
        <w:t>or su parte el Sujeto Obligado</w:t>
      </w:r>
      <w:r w:rsidR="00D57659">
        <w:rPr>
          <w:rFonts w:ascii="Palatino Linotype" w:eastAsia="Calibri" w:hAnsi="Palatino Linotype" w:cs="Arial"/>
          <w:lang w:val="es-ES" w:eastAsia="es-ES"/>
        </w:rPr>
        <w:t xml:space="preserve"> no remitió informe justificado.</w:t>
      </w:r>
    </w:p>
    <w:p w:rsidR="00D57659" w:rsidRPr="00D57659" w:rsidRDefault="00D57659" w:rsidP="00D57659">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797CD8" w:rsidRDefault="00D57659" w:rsidP="00797CD8">
      <w:pPr>
        <w:numPr>
          <w:ilvl w:val="0"/>
          <w:numId w:val="1"/>
        </w:numPr>
        <w:spacing w:line="360" w:lineRule="auto"/>
        <w:ind w:left="0" w:firstLine="0"/>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lastRenderedPageBreak/>
        <w:t>E diez (10) de noviembre de dos mil veintiuno, el particular adjuntó los siguientes documentos dentro de la etapa de manifestaciones:</w:t>
      </w:r>
    </w:p>
    <w:p w:rsidR="00D57659" w:rsidRDefault="00D57659" w:rsidP="00D57659">
      <w:pPr>
        <w:spacing w:line="360" w:lineRule="auto"/>
        <w:contextualSpacing/>
        <w:jc w:val="both"/>
        <w:rPr>
          <w:rFonts w:ascii="Palatino Linotype" w:eastAsia="Calibri" w:hAnsi="Palatino Linotype" w:cs="Arial"/>
          <w:lang w:val="es-ES" w:eastAsia="es-ES"/>
        </w:rPr>
      </w:pPr>
    </w:p>
    <w:p w:rsidR="00D57659" w:rsidRDefault="009D5193" w:rsidP="00471273">
      <w:pPr>
        <w:pStyle w:val="Prrafodelista"/>
        <w:numPr>
          <w:ilvl w:val="0"/>
          <w:numId w:val="4"/>
        </w:numPr>
        <w:spacing w:line="360" w:lineRule="auto"/>
        <w:jc w:val="both"/>
        <w:rPr>
          <w:rFonts w:ascii="Palatino Linotype" w:hAnsi="Palatino Linotype"/>
          <w:szCs w:val="22"/>
        </w:rPr>
      </w:pPr>
      <w:hyperlink r:id="rId12" w:history="1">
        <w:r w:rsidR="00D57659" w:rsidRPr="00D57659">
          <w:rPr>
            <w:rStyle w:val="Hipervnculo"/>
            <w:rFonts w:ascii="Palatino Linotype" w:eastAsiaTheme="majorEastAsia" w:hAnsi="Palatino Linotype" w:cs="Arial"/>
            <w:b/>
            <w:bCs/>
            <w:color w:val="auto"/>
            <w:szCs w:val="22"/>
          </w:rPr>
          <w:t>demnd072021.pdf</w:t>
        </w:r>
      </w:hyperlink>
      <w:r w:rsidR="00D57659" w:rsidRPr="00D57659">
        <w:rPr>
          <w:rFonts w:ascii="Palatino Linotype" w:hAnsi="Palatino Linotype"/>
          <w:szCs w:val="22"/>
        </w:rPr>
        <w:t>:</w:t>
      </w:r>
      <w:r w:rsidR="00D57659">
        <w:rPr>
          <w:rFonts w:ascii="Palatino Linotype" w:hAnsi="Palatino Linotype"/>
          <w:szCs w:val="22"/>
        </w:rPr>
        <w:t xml:space="preserve"> Consta </w:t>
      </w:r>
      <w:r w:rsidR="00471273">
        <w:rPr>
          <w:rFonts w:ascii="Palatino Linotype" w:hAnsi="Palatino Linotype"/>
          <w:szCs w:val="22"/>
        </w:rPr>
        <w:t>de una demanda de arbitraje.</w:t>
      </w:r>
    </w:p>
    <w:p w:rsidR="00471273" w:rsidRPr="00D57659" w:rsidRDefault="00471273" w:rsidP="00471273">
      <w:pPr>
        <w:pStyle w:val="Prrafodelista"/>
        <w:spacing w:line="360" w:lineRule="auto"/>
        <w:jc w:val="both"/>
        <w:rPr>
          <w:rFonts w:ascii="Palatino Linotype" w:hAnsi="Palatino Linotype"/>
          <w:szCs w:val="22"/>
        </w:rPr>
      </w:pPr>
    </w:p>
    <w:p w:rsidR="00471273" w:rsidRDefault="009D5193" w:rsidP="00471273">
      <w:pPr>
        <w:pStyle w:val="Prrafodelista"/>
        <w:numPr>
          <w:ilvl w:val="0"/>
          <w:numId w:val="4"/>
        </w:numPr>
        <w:spacing w:line="360" w:lineRule="auto"/>
        <w:jc w:val="both"/>
        <w:rPr>
          <w:rFonts w:ascii="Palatino Linotype" w:hAnsi="Palatino Linotype"/>
          <w:szCs w:val="22"/>
        </w:rPr>
      </w:pPr>
      <w:hyperlink r:id="rId13" w:history="1">
        <w:r w:rsidR="00D57659" w:rsidRPr="00D57659">
          <w:rPr>
            <w:rStyle w:val="Hipervnculo"/>
            <w:rFonts w:ascii="Palatino Linotype" w:eastAsiaTheme="majorEastAsia" w:hAnsi="Palatino Linotype" w:cs="Arial"/>
            <w:b/>
            <w:bCs/>
            <w:color w:val="auto"/>
            <w:szCs w:val="22"/>
          </w:rPr>
          <w:t>ofic_001_21.pdf</w:t>
        </w:r>
      </w:hyperlink>
      <w:r w:rsidR="00D57659" w:rsidRPr="00D57659">
        <w:rPr>
          <w:rFonts w:ascii="Palatino Linotype" w:hAnsi="Palatino Linotype"/>
          <w:szCs w:val="22"/>
        </w:rPr>
        <w:t>:</w:t>
      </w:r>
      <w:r w:rsidR="00471273">
        <w:rPr>
          <w:rFonts w:ascii="Palatino Linotype" w:hAnsi="Palatino Linotype"/>
          <w:szCs w:val="22"/>
        </w:rPr>
        <w:t xml:space="preserve"> Consta de un documento de fecha diecisiete de septiembre de dos mil veintiuno con el asunto de pago de cuotas de mantenimiento del Fracc. Real de San Fernando; asimismo, se adjuntaron algunas imágenes. </w:t>
      </w:r>
    </w:p>
    <w:p w:rsidR="00471273" w:rsidRPr="00471273" w:rsidRDefault="00471273" w:rsidP="00471273">
      <w:pPr>
        <w:spacing w:line="360" w:lineRule="auto"/>
        <w:jc w:val="both"/>
        <w:rPr>
          <w:rFonts w:ascii="Palatino Linotype" w:hAnsi="Palatino Linotype"/>
          <w:szCs w:val="22"/>
        </w:rPr>
      </w:pPr>
    </w:p>
    <w:p w:rsidR="00D57659" w:rsidRDefault="009D5193" w:rsidP="00471273">
      <w:pPr>
        <w:pStyle w:val="Prrafodelista"/>
        <w:numPr>
          <w:ilvl w:val="0"/>
          <w:numId w:val="4"/>
        </w:numPr>
        <w:spacing w:line="360" w:lineRule="auto"/>
        <w:jc w:val="both"/>
        <w:rPr>
          <w:rFonts w:ascii="Palatino Linotype" w:hAnsi="Palatino Linotype"/>
          <w:szCs w:val="22"/>
        </w:rPr>
      </w:pPr>
      <w:hyperlink r:id="rId14" w:history="1">
        <w:r w:rsidR="00D57659" w:rsidRPr="00D57659">
          <w:rPr>
            <w:rStyle w:val="Hipervnculo"/>
            <w:rFonts w:ascii="Palatino Linotype" w:eastAsiaTheme="majorEastAsia" w:hAnsi="Palatino Linotype" w:cs="Arial"/>
            <w:b/>
            <w:bCs/>
            <w:color w:val="auto"/>
            <w:szCs w:val="22"/>
          </w:rPr>
          <w:t>evidencia_dos.pdf</w:t>
        </w:r>
      </w:hyperlink>
      <w:r w:rsidR="00D57659" w:rsidRPr="00D57659">
        <w:rPr>
          <w:rFonts w:ascii="Palatino Linotype" w:hAnsi="Palatino Linotype"/>
          <w:szCs w:val="22"/>
        </w:rPr>
        <w:t>:</w:t>
      </w:r>
      <w:r w:rsidR="00471273">
        <w:rPr>
          <w:rFonts w:ascii="Palatino Linotype" w:hAnsi="Palatino Linotype"/>
          <w:szCs w:val="22"/>
        </w:rPr>
        <w:t xml:space="preserve"> Consta de seis imágenes.</w:t>
      </w:r>
    </w:p>
    <w:p w:rsidR="00471273" w:rsidRPr="00471273" w:rsidRDefault="00471273" w:rsidP="00471273">
      <w:pPr>
        <w:spacing w:line="360" w:lineRule="auto"/>
        <w:jc w:val="both"/>
        <w:rPr>
          <w:rFonts w:ascii="Palatino Linotype" w:hAnsi="Palatino Linotype"/>
          <w:szCs w:val="22"/>
        </w:rPr>
      </w:pPr>
    </w:p>
    <w:p w:rsidR="00D57659" w:rsidRDefault="009D5193" w:rsidP="00471273">
      <w:pPr>
        <w:pStyle w:val="Prrafodelista"/>
        <w:numPr>
          <w:ilvl w:val="0"/>
          <w:numId w:val="4"/>
        </w:numPr>
        <w:spacing w:line="360" w:lineRule="auto"/>
        <w:jc w:val="both"/>
        <w:rPr>
          <w:rFonts w:ascii="Palatino Linotype" w:hAnsi="Palatino Linotype"/>
          <w:szCs w:val="22"/>
        </w:rPr>
      </w:pPr>
      <w:hyperlink r:id="rId15" w:history="1">
        <w:r w:rsidR="00D57659" w:rsidRPr="00D57659">
          <w:rPr>
            <w:rStyle w:val="Hipervnculo"/>
            <w:rFonts w:ascii="Palatino Linotype" w:eastAsiaTheme="majorEastAsia" w:hAnsi="Palatino Linotype" w:cs="Arial"/>
            <w:b/>
            <w:bCs/>
            <w:color w:val="auto"/>
            <w:szCs w:val="22"/>
          </w:rPr>
          <w:t>acs_delg_045_20.pdf</w:t>
        </w:r>
      </w:hyperlink>
      <w:r w:rsidR="00D57659" w:rsidRPr="00D57659">
        <w:rPr>
          <w:rFonts w:ascii="Palatino Linotype" w:hAnsi="Palatino Linotype"/>
          <w:szCs w:val="22"/>
        </w:rPr>
        <w:t>:</w:t>
      </w:r>
      <w:r w:rsidR="00471273">
        <w:rPr>
          <w:rFonts w:ascii="Palatino Linotype" w:hAnsi="Palatino Linotype"/>
          <w:szCs w:val="22"/>
        </w:rPr>
        <w:t xml:space="preserve"> Oficio de fecha veintiocho de julio de 2020 dirigido al Síndico Municipal.</w:t>
      </w:r>
    </w:p>
    <w:p w:rsidR="00471273" w:rsidRPr="00471273" w:rsidRDefault="00471273" w:rsidP="00471273">
      <w:pPr>
        <w:spacing w:line="360" w:lineRule="auto"/>
        <w:jc w:val="both"/>
        <w:rPr>
          <w:rFonts w:ascii="Palatino Linotype" w:hAnsi="Palatino Linotype"/>
          <w:szCs w:val="22"/>
        </w:rPr>
      </w:pPr>
    </w:p>
    <w:p w:rsidR="00D57659" w:rsidRDefault="009D5193" w:rsidP="00471273">
      <w:pPr>
        <w:pStyle w:val="Prrafodelista"/>
        <w:numPr>
          <w:ilvl w:val="0"/>
          <w:numId w:val="4"/>
        </w:numPr>
        <w:spacing w:line="360" w:lineRule="auto"/>
        <w:jc w:val="both"/>
        <w:rPr>
          <w:rFonts w:ascii="Palatino Linotype" w:hAnsi="Palatino Linotype"/>
          <w:szCs w:val="22"/>
        </w:rPr>
      </w:pPr>
      <w:hyperlink r:id="rId16" w:history="1">
        <w:r w:rsidR="00D57659" w:rsidRPr="00D57659">
          <w:rPr>
            <w:rStyle w:val="Hipervnculo"/>
            <w:rFonts w:ascii="Palatino Linotype" w:eastAsiaTheme="majorEastAsia" w:hAnsi="Palatino Linotype" w:cs="Arial"/>
            <w:b/>
            <w:bCs/>
            <w:color w:val="auto"/>
            <w:szCs w:val="22"/>
          </w:rPr>
          <w:t>05253_INFOEM_IP_RR_2021.pdf</w:t>
        </w:r>
      </w:hyperlink>
      <w:r w:rsidR="00D57659" w:rsidRPr="00D57659">
        <w:rPr>
          <w:rFonts w:ascii="Palatino Linotype" w:hAnsi="Palatino Linotype"/>
          <w:szCs w:val="22"/>
        </w:rPr>
        <w:t>:</w:t>
      </w:r>
      <w:r w:rsidR="00471273">
        <w:rPr>
          <w:rFonts w:ascii="Palatino Linotype" w:hAnsi="Palatino Linotype"/>
          <w:szCs w:val="22"/>
        </w:rPr>
        <w:t xml:space="preserve"> Consta </w:t>
      </w:r>
      <w:r w:rsidR="00192704">
        <w:rPr>
          <w:rFonts w:ascii="Palatino Linotype" w:hAnsi="Palatino Linotype"/>
          <w:szCs w:val="22"/>
        </w:rPr>
        <w:t>de</w:t>
      </w:r>
      <w:r w:rsidR="00D83ED0">
        <w:rPr>
          <w:rFonts w:ascii="Palatino Linotype" w:hAnsi="Palatino Linotype"/>
          <w:szCs w:val="22"/>
        </w:rPr>
        <w:t xml:space="preserve"> las manifestaciones realizadas por el particular </w:t>
      </w:r>
    </w:p>
    <w:p w:rsidR="00471273" w:rsidRPr="00471273" w:rsidRDefault="00471273" w:rsidP="00471273">
      <w:pPr>
        <w:spacing w:line="360" w:lineRule="auto"/>
        <w:jc w:val="both"/>
        <w:rPr>
          <w:rFonts w:ascii="Palatino Linotype" w:hAnsi="Palatino Linotype"/>
          <w:szCs w:val="22"/>
        </w:rPr>
      </w:pPr>
    </w:p>
    <w:p w:rsidR="00D57659" w:rsidRPr="00797A3E" w:rsidRDefault="009D5193" w:rsidP="00D57659">
      <w:pPr>
        <w:pStyle w:val="Prrafodelista"/>
        <w:numPr>
          <w:ilvl w:val="0"/>
          <w:numId w:val="4"/>
        </w:numPr>
        <w:spacing w:line="360" w:lineRule="auto"/>
        <w:jc w:val="both"/>
        <w:rPr>
          <w:rFonts w:ascii="Palatino Linotype" w:hAnsi="Palatino Linotype"/>
          <w:szCs w:val="22"/>
        </w:rPr>
      </w:pPr>
      <w:hyperlink r:id="rId17" w:history="1">
        <w:r w:rsidR="00D57659" w:rsidRPr="00D57659">
          <w:rPr>
            <w:rStyle w:val="Hipervnculo"/>
            <w:rFonts w:ascii="Palatino Linotype" w:eastAsiaTheme="majorEastAsia" w:hAnsi="Palatino Linotype" w:cs="Arial"/>
            <w:b/>
            <w:bCs/>
            <w:color w:val="auto"/>
            <w:szCs w:val="22"/>
          </w:rPr>
          <w:t>exp056_21.pdf</w:t>
        </w:r>
      </w:hyperlink>
      <w:r w:rsidR="00D57659" w:rsidRPr="00D57659">
        <w:rPr>
          <w:rFonts w:ascii="Palatino Linotype" w:hAnsi="Palatino Linotype"/>
          <w:szCs w:val="22"/>
        </w:rPr>
        <w:t>:</w:t>
      </w:r>
      <w:r w:rsidR="00192704">
        <w:rPr>
          <w:rFonts w:ascii="Palatino Linotype" w:hAnsi="Palatino Linotype"/>
          <w:szCs w:val="22"/>
        </w:rPr>
        <w:t xml:space="preserve"> Consta de un escrito de demanda de arbitraje.</w:t>
      </w:r>
    </w:p>
    <w:p w:rsidR="00797CD8" w:rsidRPr="009B6FD5" w:rsidRDefault="00797CD8" w:rsidP="00797CD8">
      <w:pPr>
        <w:spacing w:line="360" w:lineRule="auto"/>
        <w:contextualSpacing/>
        <w:jc w:val="both"/>
        <w:rPr>
          <w:rFonts w:ascii="Palatino Linotype" w:eastAsiaTheme="minorEastAsia" w:hAnsi="Palatino Linotype"/>
          <w:b/>
          <w:u w:val="single"/>
          <w:lang w:val="es-ES_tradnl" w:eastAsia="es-ES"/>
        </w:rPr>
      </w:pPr>
    </w:p>
    <w:p w:rsidR="00797CD8" w:rsidRPr="00736869" w:rsidRDefault="00797CD8" w:rsidP="00797CD8">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9B6FD5">
        <w:rPr>
          <w:rFonts w:ascii="Palatino Linotype" w:eastAsiaTheme="minorEastAsia" w:hAnsi="Palatino Linotype"/>
          <w:lang w:val="es-ES_tradnl" w:eastAsia="es-ES"/>
        </w:rPr>
        <w:t>El Comisionado Ponente decretó el cierre de instrucción</w:t>
      </w:r>
      <w:r w:rsidRPr="009B6FD5">
        <w:rPr>
          <w:rFonts w:ascii="Palatino Linotype" w:eastAsiaTheme="minorEastAsia" w:hAnsi="Palatino Linotype" w:cs="Arial"/>
          <w:lang w:val="es-ES_tradnl" w:eastAsia="es-ES"/>
        </w:rPr>
        <w:t xml:space="preserve"> </w:t>
      </w:r>
      <w:r w:rsidRPr="009B6FD5">
        <w:rPr>
          <w:rFonts w:ascii="Palatino Linotype" w:eastAsiaTheme="minorEastAsia" w:hAnsi="Palatino Linotype"/>
          <w:lang w:val="es-ES_tradnl" w:eastAsia="es-ES"/>
        </w:rPr>
        <w:t xml:space="preserve">mediante el acuerdo de fecha </w:t>
      </w:r>
      <w:r w:rsidR="00797A3E">
        <w:rPr>
          <w:rFonts w:ascii="Palatino Linotype" w:eastAsiaTheme="minorEastAsia" w:hAnsi="Palatino Linotype"/>
          <w:lang w:val="es-ES_tradnl" w:eastAsia="es-ES"/>
        </w:rPr>
        <w:t xml:space="preserve">dos (02) de diciembre </w:t>
      </w:r>
      <w:r w:rsidRPr="009B6FD5">
        <w:rPr>
          <w:rFonts w:ascii="Palatino Linotype" w:eastAsiaTheme="minorEastAsia" w:hAnsi="Palatino Linotype"/>
          <w:lang w:val="es-ES_tradnl" w:eastAsia="es-ES"/>
        </w:rPr>
        <w:t xml:space="preserve"> de dos mil veintiuno.</w:t>
      </w:r>
      <w:r w:rsidRPr="009B6FD5">
        <w:rPr>
          <w:rFonts w:ascii="Palatino Linotype" w:eastAsiaTheme="minorEastAsia" w:hAnsi="Palatino Linotype" w:cs="Arial"/>
          <w:lang w:val="es-ES_tradnl" w:eastAsia="es-ES"/>
        </w:rPr>
        <w:t xml:space="preserve"> </w:t>
      </w:r>
    </w:p>
    <w:p w:rsidR="00797CD8" w:rsidRPr="009B6FD5" w:rsidRDefault="00797CD8" w:rsidP="00797CD8">
      <w:pPr>
        <w:spacing w:line="360" w:lineRule="auto"/>
        <w:contextualSpacing/>
        <w:jc w:val="both"/>
        <w:rPr>
          <w:rFonts w:ascii="Palatino Linotype" w:eastAsiaTheme="minorEastAsia" w:hAnsi="Palatino Linotype"/>
          <w:b/>
          <w:u w:val="single"/>
          <w:lang w:val="es-ES_tradnl" w:eastAsia="es-ES"/>
        </w:rPr>
      </w:pPr>
    </w:p>
    <w:p w:rsidR="00797CD8" w:rsidRPr="009B6FD5" w:rsidRDefault="00797CD8" w:rsidP="00797CD8">
      <w:pPr>
        <w:pStyle w:val="Prrafodelista"/>
        <w:numPr>
          <w:ilvl w:val="0"/>
          <w:numId w:val="1"/>
        </w:numPr>
        <w:spacing w:line="360" w:lineRule="auto"/>
        <w:ind w:left="0" w:firstLine="0"/>
        <w:jc w:val="both"/>
        <w:rPr>
          <w:rFonts w:ascii="Palatino Linotype" w:eastAsia="Calibri" w:hAnsi="Palatino Linotype" w:cs="Arial"/>
          <w:sz w:val="24"/>
          <w:lang w:val="es-ES"/>
        </w:rPr>
      </w:pPr>
      <w:r w:rsidRPr="009B6FD5">
        <w:rPr>
          <w:rFonts w:ascii="Palatino Linotype" w:eastAsia="Calibri" w:hAnsi="Palatino Linotype" w:cs="Arial"/>
          <w:sz w:val="24"/>
          <w:lang w:val="es-ES"/>
        </w:rPr>
        <w:t xml:space="preserve">El </w:t>
      </w:r>
      <w:r w:rsidR="00797A3E">
        <w:rPr>
          <w:rFonts w:ascii="Palatino Linotype" w:eastAsia="Calibri" w:hAnsi="Palatino Linotype" w:cs="Arial"/>
          <w:sz w:val="24"/>
          <w:lang w:val="es-ES"/>
        </w:rPr>
        <w:t>veinte (20) de diciembre</w:t>
      </w:r>
      <w:r>
        <w:rPr>
          <w:rFonts w:ascii="Palatino Linotype" w:eastAsia="Calibri" w:hAnsi="Palatino Linotype" w:cs="Arial"/>
          <w:sz w:val="24"/>
          <w:lang w:val="es-ES"/>
        </w:rPr>
        <w:t xml:space="preserve"> </w:t>
      </w:r>
      <w:r w:rsidRPr="009B6FD5">
        <w:rPr>
          <w:rFonts w:ascii="Palatino Linotype" w:eastAsia="Calibri" w:hAnsi="Palatino Linotype" w:cs="Arial"/>
          <w:sz w:val="24"/>
          <w:lang w:val="es-ES"/>
        </w:rPr>
        <w:t xml:space="preserve"> de dos mil veintiuno, se notificó mediante acuerdo que el plazo para resolver el recurso de revisión, se ampliaría por un periodo de quince días hábiles; </w:t>
      </w:r>
      <w:r w:rsidRPr="009B6FD5">
        <w:rPr>
          <w:rFonts w:ascii="Palatino Linotype" w:hAnsi="Palatino Linotype" w:cs="Arial"/>
          <w:sz w:val="24"/>
        </w:rPr>
        <w:t>posterior a ello ordenó turnar el expediente a resolución, misma que ahora se pronuncia; y---------------------------------------------------------------------</w:t>
      </w:r>
      <w:r>
        <w:rPr>
          <w:rFonts w:ascii="Palatino Linotype" w:hAnsi="Palatino Linotype" w:cs="Arial"/>
          <w:sz w:val="24"/>
        </w:rPr>
        <w:t>---------------</w:t>
      </w:r>
    </w:p>
    <w:p w:rsidR="00797CD8" w:rsidRPr="009B6FD5" w:rsidRDefault="00797CD8" w:rsidP="00797CD8">
      <w:pPr>
        <w:spacing w:line="360" w:lineRule="auto"/>
        <w:contextualSpacing/>
        <w:jc w:val="both"/>
        <w:rPr>
          <w:rFonts w:ascii="Palatino Linotype" w:eastAsiaTheme="minorEastAsia" w:hAnsi="Palatino Linotype"/>
          <w:b/>
          <w:u w:val="single"/>
          <w:lang w:val="es-ES_tradnl" w:eastAsia="es-ES"/>
        </w:rPr>
      </w:pPr>
    </w:p>
    <w:p w:rsidR="00797CD8" w:rsidRPr="009B6FD5" w:rsidRDefault="00797CD8" w:rsidP="00797CD8">
      <w:pPr>
        <w:keepNext/>
        <w:keepLines/>
        <w:spacing w:line="360" w:lineRule="auto"/>
        <w:jc w:val="center"/>
        <w:outlineLvl w:val="0"/>
        <w:rPr>
          <w:rFonts w:ascii="Palatino Linotype" w:eastAsiaTheme="majorEastAsia" w:hAnsi="Palatino Linotype" w:cstheme="majorBidi"/>
        </w:rPr>
      </w:pPr>
      <w:bookmarkStart w:id="5" w:name="_Toc90654863"/>
      <w:r w:rsidRPr="009B6FD5">
        <w:rPr>
          <w:rFonts w:ascii="Palatino Linotype" w:eastAsiaTheme="majorEastAsia" w:hAnsi="Palatino Linotype" w:cstheme="majorBidi"/>
          <w:b/>
        </w:rPr>
        <w:t>CONSIDERANDO</w:t>
      </w:r>
      <w:bookmarkEnd w:id="5"/>
      <w:r w:rsidRPr="009B6FD5">
        <w:rPr>
          <w:rFonts w:ascii="Palatino Linotype" w:eastAsiaTheme="majorEastAsia" w:hAnsi="Palatino Linotype" w:cstheme="majorBidi"/>
          <w:b/>
        </w:rPr>
        <w:t xml:space="preserve"> </w:t>
      </w:r>
    </w:p>
    <w:p w:rsidR="00797CD8" w:rsidRPr="009B6FD5" w:rsidRDefault="00797CD8" w:rsidP="00797CD8">
      <w:pPr>
        <w:spacing w:line="360" w:lineRule="auto"/>
        <w:rPr>
          <w:rFonts w:ascii="Palatino Linotype" w:eastAsiaTheme="minorEastAsia" w:hAnsi="Palatino Linotype"/>
        </w:rPr>
      </w:pPr>
    </w:p>
    <w:p w:rsidR="00797CD8" w:rsidRPr="009B6FD5" w:rsidRDefault="00797CD8" w:rsidP="00797CD8">
      <w:pPr>
        <w:keepNext/>
        <w:keepLines/>
        <w:spacing w:line="360" w:lineRule="auto"/>
        <w:outlineLvl w:val="1"/>
        <w:rPr>
          <w:rFonts w:ascii="Palatino Linotype" w:eastAsiaTheme="majorEastAsia" w:hAnsi="Palatino Linotype" w:cstheme="majorBidi"/>
          <w:b/>
          <w:szCs w:val="26"/>
        </w:rPr>
      </w:pPr>
      <w:bookmarkStart w:id="6" w:name="_Toc90654864"/>
      <w:r w:rsidRPr="009B6FD5">
        <w:rPr>
          <w:rFonts w:ascii="Palatino Linotype" w:eastAsiaTheme="majorEastAsia" w:hAnsi="Palatino Linotype" w:cstheme="majorBidi"/>
          <w:b/>
          <w:szCs w:val="26"/>
        </w:rPr>
        <w:t>PRIMERO. De la competencia</w:t>
      </w:r>
      <w:bookmarkEnd w:id="6"/>
    </w:p>
    <w:p w:rsidR="00797CD8" w:rsidRPr="009B6FD5" w:rsidRDefault="00797CD8" w:rsidP="00797CD8">
      <w:pPr>
        <w:keepNext/>
        <w:keepLines/>
        <w:spacing w:line="360" w:lineRule="auto"/>
        <w:outlineLvl w:val="1"/>
        <w:rPr>
          <w:rFonts w:ascii="Palatino Linotype" w:eastAsiaTheme="majorEastAsia" w:hAnsi="Palatino Linotype" w:cstheme="majorBidi"/>
          <w:b/>
          <w:bCs/>
          <w:spacing w:val="60"/>
          <w:szCs w:val="26"/>
        </w:rPr>
      </w:pPr>
    </w:p>
    <w:p w:rsidR="00797CD8" w:rsidRPr="00B83446" w:rsidRDefault="00797CD8" w:rsidP="00797CD8">
      <w:pPr>
        <w:numPr>
          <w:ilvl w:val="0"/>
          <w:numId w:val="1"/>
        </w:numPr>
        <w:spacing w:line="360" w:lineRule="auto"/>
        <w:ind w:left="0" w:firstLine="0"/>
        <w:contextualSpacing/>
        <w:jc w:val="both"/>
        <w:rPr>
          <w:rFonts w:ascii="Palatino Linotype" w:eastAsia="Calibri" w:hAnsi="Palatino Linotype"/>
          <w:lang w:eastAsia="es-ES"/>
        </w:rPr>
      </w:pPr>
      <w:r w:rsidRPr="00B83446">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B83446">
        <w:rPr>
          <w:rFonts w:ascii="Palatino Linotype" w:eastAsia="Calibri" w:hAnsi="Palatino Linotype"/>
          <w:b/>
          <w:lang w:val="es-ES" w:eastAsia="es-ES"/>
        </w:rPr>
        <w:t>Constitución Política de los Estados Unidos Mexicanos</w:t>
      </w:r>
      <w:r w:rsidRPr="00B83446">
        <w:rPr>
          <w:rFonts w:ascii="Palatino Linotype" w:eastAsia="Calibri" w:hAnsi="Palatino Linotype"/>
          <w:lang w:val="es-ES" w:eastAsia="es-ES"/>
        </w:rPr>
        <w:t xml:space="preserve">; 5, </w:t>
      </w:r>
      <w:r w:rsidRPr="00B83446">
        <w:rPr>
          <w:rFonts w:ascii="Palatino Linotype" w:eastAsia="Calibri" w:hAnsi="Palatino Linotype"/>
          <w:lang w:eastAsia="es-ES"/>
        </w:rPr>
        <w:t xml:space="preserve">párrafos trigésimo, trigésimo primero y trigésimo segundo, fracciones I, II, III, IV y V de la </w:t>
      </w:r>
      <w:r w:rsidRPr="00B83446">
        <w:rPr>
          <w:rFonts w:ascii="Palatino Linotype" w:eastAsia="Calibri" w:hAnsi="Palatino Linotype"/>
          <w:b/>
          <w:lang w:eastAsia="es-ES"/>
        </w:rPr>
        <w:t>Constitución Política del Estado Libre y Soberano de México</w:t>
      </w:r>
      <w:r w:rsidRPr="00B83446">
        <w:rPr>
          <w:rFonts w:ascii="Palatino Linotype" w:eastAsia="Calibri" w:hAnsi="Palatino Linotype"/>
          <w:b/>
          <w:lang w:val="es-ES" w:eastAsia="es-ES"/>
        </w:rPr>
        <w:t>;</w:t>
      </w:r>
      <w:r w:rsidRPr="00B83446">
        <w:rPr>
          <w:rFonts w:ascii="Palatino Linotype" w:eastAsia="Calibri" w:hAnsi="Palatino Linotype"/>
          <w:lang w:val="es-ES" w:eastAsia="es-ES"/>
        </w:rPr>
        <w:t xml:space="preserve"> 1, 3 fracción I, 82, 97, 98, 119, 123, 124, 127, 128 y 133 </w:t>
      </w:r>
      <w:r w:rsidRPr="00B83446">
        <w:rPr>
          <w:rFonts w:ascii="Palatino Linotype" w:eastAsia="Calibri" w:hAnsi="Palatino Linotype"/>
          <w:b/>
          <w:lang w:eastAsia="es-ES"/>
        </w:rPr>
        <w:t>Ley de Protección de Datos Personales en Posesión de Sujetos Obligados del Estado de México y Municipios</w:t>
      </w:r>
      <w:r w:rsidRPr="00B83446">
        <w:rPr>
          <w:rFonts w:ascii="Palatino Linotype" w:eastAsia="Calibri" w:hAnsi="Palatino Linotype"/>
          <w:lang w:val="es-ES" w:eastAsia="es-ES"/>
        </w:rPr>
        <w:t xml:space="preserve">; y 10, 7, 9 fracciones I y XXIV, y 11 del </w:t>
      </w:r>
      <w:r w:rsidRPr="00B83446">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797CD8" w:rsidRPr="009B6FD5" w:rsidRDefault="00797CD8" w:rsidP="00797CD8">
      <w:pPr>
        <w:spacing w:line="360" w:lineRule="auto"/>
        <w:contextualSpacing/>
        <w:jc w:val="both"/>
        <w:rPr>
          <w:rFonts w:ascii="Palatino Linotype" w:eastAsiaTheme="minorEastAsia" w:hAnsi="Palatino Linotype"/>
          <w:lang w:val="es-ES_tradnl" w:eastAsia="es-ES"/>
        </w:rPr>
      </w:pPr>
    </w:p>
    <w:p w:rsidR="00797CD8" w:rsidRPr="009B6FD5" w:rsidRDefault="00797CD8" w:rsidP="00797CD8">
      <w:pPr>
        <w:keepNext/>
        <w:keepLines/>
        <w:spacing w:line="360" w:lineRule="auto"/>
        <w:outlineLvl w:val="1"/>
        <w:rPr>
          <w:rFonts w:ascii="Palatino Linotype" w:eastAsiaTheme="majorEastAsia" w:hAnsi="Palatino Linotype" w:cstheme="majorBidi"/>
          <w:b/>
          <w:szCs w:val="26"/>
        </w:rPr>
      </w:pPr>
      <w:bookmarkStart w:id="7" w:name="_Toc90654865"/>
      <w:r w:rsidRPr="009B6FD5">
        <w:rPr>
          <w:rFonts w:ascii="Palatino Linotype" w:eastAsiaTheme="majorEastAsia" w:hAnsi="Palatino Linotype" w:cstheme="majorBidi"/>
          <w:b/>
          <w:szCs w:val="26"/>
        </w:rPr>
        <w:t>SEGUNDO. De la oportunidad y procedencia.</w:t>
      </w:r>
      <w:bookmarkEnd w:id="7"/>
    </w:p>
    <w:p w:rsidR="00797CD8" w:rsidRPr="009B6FD5" w:rsidRDefault="00797CD8" w:rsidP="00797CD8">
      <w:pPr>
        <w:spacing w:line="360" w:lineRule="auto"/>
        <w:rPr>
          <w:rFonts w:ascii="Palatino Linotype" w:eastAsiaTheme="minorEastAsia" w:hAnsi="Palatino Linotype"/>
        </w:rPr>
      </w:pPr>
    </w:p>
    <w:p w:rsidR="00797CD8" w:rsidRPr="009B6FD5"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Calibri" w:hAnsi="Palatino Linotype" w:cs="Arial"/>
          <w:lang w:val="es-ES_tradnl" w:eastAsia="es-ES"/>
        </w:rPr>
        <w:t xml:space="preserve">El medio de impugnación fue presentado a través del </w:t>
      </w:r>
      <w:r w:rsidRPr="009B6FD5">
        <w:rPr>
          <w:rFonts w:ascii="Palatino Linotype" w:eastAsia="Calibri" w:hAnsi="Palatino Linotype" w:cs="Arial"/>
          <w:b/>
          <w:lang w:val="es-ES_tradnl" w:eastAsia="es-ES"/>
        </w:rPr>
        <w:t>SAIMEX,</w:t>
      </w:r>
      <w:r w:rsidRPr="009B6FD5">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9B6FD5">
        <w:rPr>
          <w:rFonts w:ascii="Palatino Linotype" w:eastAsia="Calibri" w:hAnsi="Palatino Linotype" w:cs="Arial"/>
          <w:b/>
          <w:lang w:val="es-ES_tradnl" w:eastAsia="es-ES"/>
        </w:rPr>
        <w:t>SUJETO OBLIGADO</w:t>
      </w:r>
      <w:r w:rsidRPr="009B6FD5">
        <w:rPr>
          <w:rFonts w:ascii="Palatino Linotype" w:eastAsia="Calibri" w:hAnsi="Palatino Linotype" w:cs="Arial"/>
          <w:lang w:val="es-ES_tradnl" w:eastAsia="es-ES"/>
        </w:rPr>
        <w:t xml:space="preserve"> entregó respuesta</w:t>
      </w:r>
      <w:r>
        <w:rPr>
          <w:rFonts w:ascii="Palatino Linotype" w:eastAsia="Calibri" w:hAnsi="Palatino Linotype" w:cs="Arial"/>
          <w:lang w:val="es-ES_tradnl" w:eastAsia="es-ES"/>
        </w:rPr>
        <w:t xml:space="preserve"> a la solicitud el día </w:t>
      </w:r>
      <w:r w:rsidR="00797A3E">
        <w:rPr>
          <w:rFonts w:ascii="Palatino Linotype" w:eastAsia="Calibri" w:hAnsi="Palatino Linotype" w:cs="Arial"/>
          <w:lang w:val="es-ES_tradnl" w:eastAsia="es-ES"/>
        </w:rPr>
        <w:t>diecinueve (19) de octubre</w:t>
      </w:r>
      <w:r w:rsidRPr="009B6FD5">
        <w:rPr>
          <w:rFonts w:ascii="Palatino Linotype" w:eastAsia="Calibri" w:hAnsi="Palatino Linotype" w:cs="Arial"/>
          <w:lang w:val="es-ES_tradnl" w:eastAsia="es-ES"/>
        </w:rPr>
        <w:t xml:space="preserve">  de dos mil veintiuno, </w:t>
      </w:r>
      <w:r w:rsidRPr="009B6FD5">
        <w:rPr>
          <w:rFonts w:ascii="Palatino Linotype" w:eastAsiaTheme="minorEastAsia" w:hAnsi="Palatino Linotype" w:cs="Arial"/>
          <w:lang w:val="es-ES_tradnl" w:eastAsia="es-ES"/>
        </w:rPr>
        <w:t xml:space="preserve">de tal forma que el plazo para interponer el recurso de revisión transcurrió del </w:t>
      </w:r>
      <w:r w:rsidR="00797A3E">
        <w:rPr>
          <w:rFonts w:ascii="Palatino Linotype" w:eastAsiaTheme="minorEastAsia" w:hAnsi="Palatino Linotype" w:cs="Arial"/>
          <w:lang w:val="es-ES_tradnl" w:eastAsia="es-ES"/>
        </w:rPr>
        <w:t>veinte (20) de octubre</w:t>
      </w:r>
      <w:r>
        <w:rPr>
          <w:rFonts w:ascii="Palatino Linotype" w:eastAsiaTheme="minorEastAsia" w:hAnsi="Palatino Linotype" w:cs="Arial"/>
          <w:lang w:val="es-ES_tradnl" w:eastAsia="es-ES"/>
        </w:rPr>
        <w:t xml:space="preserve">  al </w:t>
      </w:r>
      <w:r w:rsidR="00797A3E">
        <w:rPr>
          <w:rFonts w:ascii="Palatino Linotype" w:eastAsiaTheme="minorEastAsia" w:hAnsi="Palatino Linotype" w:cs="Arial"/>
          <w:lang w:val="es-ES_tradnl" w:eastAsia="es-ES"/>
        </w:rPr>
        <w:t>diez (10) de noviembre</w:t>
      </w:r>
      <w:r w:rsidRPr="009B6FD5">
        <w:rPr>
          <w:rFonts w:ascii="Palatino Linotype" w:eastAsiaTheme="minorEastAsia" w:hAnsi="Palatino Linotype" w:cs="Arial"/>
          <w:lang w:val="es-ES_tradnl" w:eastAsia="es-ES"/>
        </w:rPr>
        <w:t xml:space="preserve">  de dos mil veintiuno; en consecuencia, presentó su inconformidad el día </w:t>
      </w:r>
      <w:r w:rsidR="00797A3E">
        <w:rPr>
          <w:rFonts w:ascii="Palatino Linotype" w:eastAsiaTheme="minorEastAsia" w:hAnsi="Palatino Linotype" w:cs="Arial"/>
          <w:lang w:val="es-ES_tradnl" w:eastAsia="es-ES"/>
        </w:rPr>
        <w:t>veinticinco (25) de octubre</w:t>
      </w:r>
      <w:r w:rsidRPr="009B6FD5">
        <w:rPr>
          <w:rFonts w:ascii="Palatino Linotype" w:eastAsiaTheme="minorEastAsia" w:hAnsi="Palatino Linotype" w:cs="Arial"/>
          <w:lang w:val="es-ES_tradnl" w:eastAsia="es-ES"/>
        </w:rPr>
        <w:t xml:space="preserve">  de dos mil veintiuno, por lo que se encuentra dentro de </w:t>
      </w:r>
      <w:r w:rsidRPr="009B6FD5">
        <w:rPr>
          <w:rFonts w:ascii="Palatino Linotype" w:eastAsiaTheme="minorEastAsia" w:hAnsi="Palatino Linotype" w:cs="Arial"/>
          <w:lang w:val="es-ES_tradnl" w:eastAsia="es-ES"/>
        </w:rPr>
        <w:lastRenderedPageBreak/>
        <w:t xml:space="preserve">los márgenes temporales previstos en el artículo 178 de la </w:t>
      </w:r>
      <w:r w:rsidRPr="009B6FD5">
        <w:rPr>
          <w:rFonts w:ascii="Palatino Linotype" w:eastAsiaTheme="minorEastAsia" w:hAnsi="Palatino Linotype" w:cs="Arial"/>
          <w:b/>
          <w:lang w:val="es-ES_tradnl" w:eastAsia="es-ES"/>
        </w:rPr>
        <w:t xml:space="preserve">Ley de Transparencia y Acceso a la Información Pública del Estado de México y Municipios </w:t>
      </w:r>
      <w:r w:rsidRPr="009B6FD5">
        <w:rPr>
          <w:rFonts w:ascii="Palatino Linotype" w:eastAsiaTheme="minorEastAsia" w:hAnsi="Palatino Linotype" w:cs="Arial"/>
          <w:lang w:val="es-ES_tradnl" w:eastAsia="es-ES"/>
        </w:rPr>
        <w:t>vigente.</w:t>
      </w:r>
    </w:p>
    <w:p w:rsidR="00797CD8" w:rsidRPr="009B6FD5" w:rsidRDefault="00797CD8" w:rsidP="00797CD8">
      <w:pPr>
        <w:spacing w:line="360" w:lineRule="auto"/>
        <w:ind w:right="49"/>
        <w:contextualSpacing/>
        <w:jc w:val="both"/>
        <w:rPr>
          <w:rFonts w:ascii="Palatino Linotype" w:eastAsiaTheme="minorEastAsia" w:hAnsi="Palatino Linotype"/>
          <w:sz w:val="28"/>
          <w:lang w:val="es-ES_tradnl" w:eastAsia="es-ES"/>
        </w:rPr>
      </w:pPr>
    </w:p>
    <w:p w:rsidR="00797CD8"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rsidR="00797CD8" w:rsidRPr="00417A11" w:rsidRDefault="00797CD8" w:rsidP="00797CD8">
      <w:pPr>
        <w:spacing w:line="360" w:lineRule="auto"/>
        <w:ind w:right="49"/>
        <w:contextualSpacing/>
        <w:jc w:val="both"/>
        <w:rPr>
          <w:rFonts w:ascii="Palatino Linotype" w:eastAsiaTheme="minorEastAsia" w:hAnsi="Palatino Linotype"/>
          <w:lang w:val="es-ES_tradnl" w:eastAsia="es-ES"/>
        </w:rPr>
      </w:pPr>
    </w:p>
    <w:p w:rsidR="00797CD8" w:rsidRPr="009B6FD5" w:rsidRDefault="00797CD8" w:rsidP="00797CD8">
      <w:pPr>
        <w:keepNext/>
        <w:keepLines/>
        <w:spacing w:line="360" w:lineRule="auto"/>
        <w:ind w:right="48"/>
        <w:outlineLvl w:val="0"/>
        <w:rPr>
          <w:rFonts w:ascii="Palatino Linotype" w:eastAsia="MS Gothic" w:hAnsi="Palatino Linotype" w:cstheme="majorBidi"/>
          <w:b/>
          <w:lang w:val="es-ES_tradnl" w:eastAsia="es-ES"/>
        </w:rPr>
      </w:pPr>
      <w:bookmarkStart w:id="11" w:name="_Toc70417465"/>
      <w:bookmarkStart w:id="12" w:name="_Toc80812774"/>
      <w:bookmarkStart w:id="13" w:name="_Toc90654866"/>
      <w:r w:rsidRPr="009B6FD5">
        <w:rPr>
          <w:rFonts w:ascii="Palatino Linotype" w:eastAsia="MS Gothic" w:hAnsi="Palatino Linotype" w:cstheme="majorBidi"/>
          <w:b/>
          <w:lang w:val="es-ES_tradnl" w:eastAsia="es-ES"/>
        </w:rPr>
        <w:t>TERCERO. Planteamiento de la Litis</w:t>
      </w:r>
      <w:bookmarkEnd w:id="11"/>
      <w:bookmarkEnd w:id="12"/>
      <w:bookmarkEnd w:id="13"/>
    </w:p>
    <w:p w:rsidR="00797CD8" w:rsidRPr="008D4F3A" w:rsidRDefault="00797CD8" w:rsidP="00797CD8">
      <w:pPr>
        <w:spacing w:line="360" w:lineRule="auto"/>
        <w:ind w:right="49"/>
        <w:contextualSpacing/>
        <w:jc w:val="both"/>
        <w:rPr>
          <w:rFonts w:ascii="Palatino Linotype" w:eastAsiaTheme="minorEastAsia" w:hAnsi="Palatino Linotype"/>
          <w:sz w:val="28"/>
          <w:lang w:val="es-ES_tradnl" w:eastAsia="es-ES"/>
        </w:rPr>
      </w:pPr>
    </w:p>
    <w:p w:rsidR="008D4F3A" w:rsidRPr="008D4F3A" w:rsidRDefault="008D4F3A" w:rsidP="008D4F3A">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8D4F3A">
        <w:rPr>
          <w:rFonts w:ascii="Palatino Linotype" w:eastAsia="MS Gothic" w:hAnsi="Palatino Linotype"/>
          <w:sz w:val="24"/>
        </w:rPr>
        <w:t xml:space="preserve">Del estudio de las constancias se puede apreciar que l particular solicitó </w:t>
      </w:r>
      <w:r w:rsidRPr="008D4F3A">
        <w:rPr>
          <w:rFonts w:ascii="Palatino Linotype" w:eastAsia="Calibri" w:hAnsi="Palatino Linotype" w:cs="Tahoma"/>
          <w:iCs/>
          <w:sz w:val="24"/>
          <w:lang w:val="es-ES" w:eastAsia="es-ES_tradnl"/>
        </w:rPr>
        <w:t xml:space="preserve">el acta de asamblea donde se le da la autoridad a un particular para seguir con la recolección de cuotas, respecto del Fraccionamiento Real de San Fernando en Cuautitlán. </w:t>
      </w:r>
    </w:p>
    <w:p w:rsidR="00797CD8" w:rsidRPr="00797A3E" w:rsidRDefault="00797CD8" w:rsidP="008D4F3A">
      <w:pPr>
        <w:spacing w:line="360" w:lineRule="auto"/>
        <w:ind w:right="49"/>
        <w:contextualSpacing/>
        <w:jc w:val="both"/>
        <w:rPr>
          <w:rFonts w:ascii="Palatino Linotype" w:eastAsiaTheme="minorEastAsia" w:hAnsi="Palatino Linotype"/>
          <w:i/>
          <w:lang w:val="es-ES_tradnl" w:eastAsia="es-ES"/>
        </w:rPr>
      </w:pPr>
    </w:p>
    <w:p w:rsidR="00797A3E" w:rsidRPr="00797A3E" w:rsidRDefault="00797A3E" w:rsidP="00797A3E">
      <w:pPr>
        <w:spacing w:line="360" w:lineRule="auto"/>
        <w:ind w:right="49"/>
        <w:contextualSpacing/>
        <w:jc w:val="both"/>
        <w:rPr>
          <w:rFonts w:ascii="Palatino Linotype" w:eastAsiaTheme="minorEastAsia" w:hAnsi="Palatino Linotype"/>
          <w:i/>
          <w:lang w:val="es-ES_tradnl" w:eastAsia="es-ES"/>
        </w:rPr>
      </w:pPr>
    </w:p>
    <w:p w:rsidR="00325DF2" w:rsidRPr="00325DF2" w:rsidRDefault="00797CD8" w:rsidP="00325DF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D4F3A">
        <w:rPr>
          <w:rFonts w:ascii="Palatino Linotype" w:hAnsi="Palatino Linotype"/>
          <w:iCs/>
          <w:color w:val="000000"/>
        </w:rPr>
        <w:t xml:space="preserve">En respuesta, el SUJETO OBLIGADO manifestó </w:t>
      </w:r>
      <w:r w:rsidR="008D4F3A" w:rsidRPr="008D4F3A">
        <w:rPr>
          <w:rFonts w:ascii="Palatino Linotype" w:eastAsia="Calibri" w:hAnsi="Palatino Linotype" w:cs="Tahoma"/>
          <w:bCs/>
          <w:lang w:val="es-ES_tradnl" w:eastAsia="en-US"/>
        </w:rPr>
        <w:t>que son hechos de una controversia interna entre condóminos, además de que dentro de las actuaciones que integran los Juicios Arbitrales no se ha dictado por parte de la Sindicatura Municipal algún permiso.</w:t>
      </w:r>
    </w:p>
    <w:p w:rsidR="00325DF2" w:rsidRDefault="00325DF2" w:rsidP="00325DF2">
      <w:pPr>
        <w:spacing w:line="360" w:lineRule="auto"/>
        <w:ind w:right="49"/>
        <w:contextualSpacing/>
        <w:jc w:val="both"/>
        <w:rPr>
          <w:rFonts w:ascii="Palatino Linotype" w:eastAsiaTheme="minorEastAsia" w:hAnsi="Palatino Linotype"/>
          <w:lang w:val="es-ES_tradnl" w:eastAsia="es-ES"/>
        </w:rPr>
      </w:pPr>
    </w:p>
    <w:p w:rsidR="00797CD8" w:rsidRDefault="00797CD8" w:rsidP="00325DF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25DF2">
        <w:rPr>
          <w:rFonts w:ascii="Palatino Linotype" w:hAnsi="Palatino Linotype"/>
        </w:rPr>
        <w:t>Derivado de ello, el particular</w:t>
      </w:r>
      <w:r w:rsidR="00325DF2" w:rsidRPr="00325DF2">
        <w:rPr>
          <w:rFonts w:ascii="Palatino Linotype" w:hAnsi="Palatino Linotype"/>
        </w:rPr>
        <w:t xml:space="preserve"> interpuso recurso de revisión, </w:t>
      </w:r>
      <w:r w:rsidRPr="00325DF2">
        <w:rPr>
          <w:rFonts w:ascii="Palatino Linotype" w:hAnsi="Palatino Linotype"/>
        </w:rPr>
        <w:t xml:space="preserve">manifestó </w:t>
      </w:r>
      <w:r w:rsidR="00325DF2" w:rsidRPr="00325DF2">
        <w:rPr>
          <w:rFonts w:ascii="Palatino Linotype" w:hAnsi="Palatino Linotype"/>
        </w:rPr>
        <w:t xml:space="preserve">como acto impugnado, </w:t>
      </w:r>
      <w:r w:rsidR="00325DF2" w:rsidRPr="00325DF2">
        <w:rPr>
          <w:rFonts w:ascii="Palatino Linotype" w:hAnsi="Palatino Linotype"/>
          <w:i/>
          <w:color w:val="000000"/>
        </w:rPr>
        <w:t xml:space="preserve">“no se entrego la evidencia solicitada”; </w:t>
      </w:r>
      <w:r w:rsidR="00325DF2" w:rsidRPr="00325DF2">
        <w:rPr>
          <w:rFonts w:ascii="Palatino Linotype" w:hAnsi="Palatino Linotype"/>
          <w:color w:val="000000"/>
        </w:rPr>
        <w:t>y en sus razones y motivos de inconformidad</w:t>
      </w:r>
      <w:r w:rsidR="00325DF2" w:rsidRPr="00325DF2">
        <w:rPr>
          <w:rFonts w:ascii="Palatino Linotype" w:hAnsi="Palatino Linotype"/>
          <w:i/>
          <w:color w:val="000000"/>
        </w:rPr>
        <w:t xml:space="preserve">, </w:t>
      </w:r>
      <w:r w:rsidR="00325DF2" w:rsidRPr="00325DF2">
        <w:rPr>
          <w:rFonts w:ascii="Palatino Linotype" w:eastAsiaTheme="majorEastAsia" w:hAnsi="Palatino Linotype" w:cstheme="majorBidi"/>
          <w:i/>
          <w:lang w:val="es-ES" w:eastAsia="es-ES"/>
        </w:rPr>
        <w:t>“</w:t>
      </w:r>
      <w:r w:rsidR="00325DF2" w:rsidRPr="00325DF2">
        <w:rPr>
          <w:rFonts w:ascii="Palatino Linotype" w:hAnsi="Palatino Linotype"/>
          <w:i/>
          <w:color w:val="000000"/>
        </w:rPr>
        <w:t xml:space="preserve">nos acercamos a la sindicatura por instrucciones de la procuraduria del </w:t>
      </w:r>
      <w:r w:rsidR="00325DF2" w:rsidRPr="00325DF2">
        <w:rPr>
          <w:rFonts w:ascii="Palatino Linotype" w:hAnsi="Palatino Linotype"/>
          <w:i/>
          <w:color w:val="000000"/>
        </w:rPr>
        <w:lastRenderedPageBreak/>
        <w:t>colono del estado de mexico pero al ver la respuesta, no se si sea el sitio correcto para que me de la informacion.” (Sic).</w:t>
      </w:r>
    </w:p>
    <w:p w:rsidR="00325DF2" w:rsidRPr="00325DF2" w:rsidRDefault="00325DF2" w:rsidP="00325DF2">
      <w:pPr>
        <w:spacing w:line="360" w:lineRule="auto"/>
        <w:ind w:right="49"/>
        <w:contextualSpacing/>
        <w:jc w:val="both"/>
        <w:rPr>
          <w:rFonts w:ascii="Palatino Linotype" w:eastAsiaTheme="minorEastAsia" w:hAnsi="Palatino Linotype"/>
          <w:lang w:val="es-ES_tradnl" w:eastAsia="es-ES"/>
        </w:rPr>
      </w:pPr>
    </w:p>
    <w:p w:rsidR="00797CD8" w:rsidRPr="009B6FD5"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MS Gothic" w:hAnsi="Palatino Linotype"/>
        </w:rPr>
        <w:t>En consecuencia, la Litis del presente asunto corresponde en resolver si el SUJETO OBLIGADO atendió la solicitud con apego a los principios establecidos en el artículo 11 de la Ley de Transparencia Local, si con la entrega de los documentos en respuesta se garantiza que la información sea congruente.</w:t>
      </w:r>
    </w:p>
    <w:p w:rsidR="00797CD8" w:rsidRPr="009B6FD5" w:rsidRDefault="00797CD8" w:rsidP="00797CD8">
      <w:pPr>
        <w:spacing w:line="360" w:lineRule="auto"/>
        <w:ind w:right="49"/>
        <w:contextualSpacing/>
        <w:jc w:val="both"/>
        <w:rPr>
          <w:rFonts w:ascii="Palatino Linotype" w:eastAsiaTheme="minorEastAsia" w:hAnsi="Palatino Linotype"/>
          <w:lang w:val="es-ES_tradnl" w:eastAsia="es-ES"/>
        </w:rPr>
      </w:pPr>
    </w:p>
    <w:p w:rsidR="00797CD8" w:rsidRPr="009B6FD5"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MS Gothic" w:hAnsi="Palatino Linotype"/>
        </w:rPr>
        <w:t>Así mismo determinar si se actualizan las causales de proced</w:t>
      </w:r>
      <w:r w:rsidR="00325DF2">
        <w:rPr>
          <w:rFonts w:ascii="Palatino Linotype" w:eastAsia="MS Gothic" w:hAnsi="Palatino Linotype"/>
        </w:rPr>
        <w:t>encia prevista en la fracción</w:t>
      </w:r>
      <w:r w:rsidRPr="009B6FD5">
        <w:rPr>
          <w:rFonts w:ascii="Palatino Linotype" w:eastAsia="MS Gothic" w:hAnsi="Palatino Linotype"/>
        </w:rPr>
        <w:t xml:space="preserve"> I del artículo 179 de la Ley de Transparencia y Acceso a la Información Pública del Estado de México y sus Municipios, que establecen la negativa de la información solicitada</w:t>
      </w:r>
      <w:r w:rsidR="00325DF2">
        <w:rPr>
          <w:rFonts w:ascii="Palatino Linotype" w:eastAsia="MS Gothic" w:hAnsi="Palatino Linotype"/>
        </w:rPr>
        <w:t>.</w:t>
      </w:r>
    </w:p>
    <w:p w:rsidR="00797CD8" w:rsidRPr="009B6FD5" w:rsidRDefault="00797CD8" w:rsidP="00797CD8">
      <w:pPr>
        <w:spacing w:line="360" w:lineRule="auto"/>
        <w:ind w:right="49"/>
        <w:contextualSpacing/>
        <w:jc w:val="both"/>
        <w:rPr>
          <w:rFonts w:ascii="Palatino Linotype" w:eastAsia="MS Gothic" w:hAnsi="Palatino Linotype"/>
        </w:rPr>
      </w:pPr>
    </w:p>
    <w:p w:rsidR="00797CD8" w:rsidRPr="009B6FD5" w:rsidRDefault="00797CD8" w:rsidP="00797CD8">
      <w:pPr>
        <w:keepNext/>
        <w:keepLines/>
        <w:spacing w:line="360" w:lineRule="auto"/>
        <w:ind w:right="48"/>
        <w:outlineLvl w:val="0"/>
        <w:rPr>
          <w:rFonts w:ascii="Palatino Linotype" w:eastAsia="MS Gothic" w:hAnsi="Palatino Linotype" w:cstheme="majorBidi"/>
          <w:b/>
          <w:lang w:val="es-ES_tradnl" w:eastAsia="es-ES"/>
        </w:rPr>
      </w:pPr>
      <w:bookmarkStart w:id="14" w:name="_Toc70417466"/>
      <w:bookmarkStart w:id="15" w:name="_Toc80812775"/>
      <w:bookmarkStart w:id="16" w:name="_Toc90654867"/>
      <w:r w:rsidRPr="009B6FD5">
        <w:rPr>
          <w:rFonts w:ascii="Palatino Linotype" w:eastAsia="MS Gothic" w:hAnsi="Palatino Linotype" w:cstheme="majorBidi"/>
          <w:b/>
          <w:lang w:val="es-ES_tradnl" w:eastAsia="es-ES"/>
        </w:rPr>
        <w:t>CUARTO. Del estudio y resolución del recurso de revisión.</w:t>
      </w:r>
      <w:bookmarkEnd w:id="14"/>
      <w:bookmarkEnd w:id="15"/>
      <w:bookmarkEnd w:id="16"/>
    </w:p>
    <w:p w:rsidR="00797CD8" w:rsidRPr="009B6FD5" w:rsidRDefault="00797CD8" w:rsidP="00797CD8">
      <w:pPr>
        <w:spacing w:line="360" w:lineRule="auto"/>
        <w:ind w:right="49"/>
        <w:contextualSpacing/>
        <w:jc w:val="both"/>
        <w:rPr>
          <w:rFonts w:ascii="Palatino Linotype" w:eastAsiaTheme="minorEastAsia" w:hAnsi="Palatino Linotype"/>
          <w:lang w:val="es-ES_tradnl" w:eastAsia="es-ES"/>
        </w:rPr>
      </w:pPr>
    </w:p>
    <w:p w:rsidR="00797CD8" w:rsidRPr="00325DF2"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9B6FD5">
        <w:rPr>
          <w:rFonts w:ascii="Palatino Linotype" w:eastAsia="Calibri" w:hAnsi="Palatino Linotype" w:cs="Arial"/>
          <w:lang w:val="es-ES"/>
        </w:rPr>
        <w:t>Ley de Transparencia y Acceso a la Información Pública del Estado de México y Municipios</w:t>
      </w:r>
      <w:r w:rsidRPr="009B6FD5">
        <w:rPr>
          <w:rFonts w:ascii="Palatino Linotype" w:hAnsi="Palatino Linotype" w:cs="Arial"/>
          <w:lang w:val="es-ES"/>
        </w:rPr>
        <w:t>.</w:t>
      </w:r>
    </w:p>
    <w:p w:rsidR="00325DF2" w:rsidRPr="00325DF2" w:rsidRDefault="00325DF2" w:rsidP="00325DF2">
      <w:pPr>
        <w:spacing w:line="360" w:lineRule="auto"/>
        <w:ind w:right="49"/>
        <w:contextualSpacing/>
        <w:jc w:val="both"/>
        <w:rPr>
          <w:rFonts w:ascii="Palatino Linotype" w:eastAsiaTheme="minorEastAsia" w:hAnsi="Palatino Linotype"/>
          <w:lang w:val="es-ES_tradnl" w:eastAsia="es-ES"/>
        </w:rPr>
      </w:pPr>
    </w:p>
    <w:p w:rsidR="00325DF2" w:rsidRPr="00325DF2" w:rsidRDefault="00325DF2" w:rsidP="00797CD8">
      <w:pPr>
        <w:numPr>
          <w:ilvl w:val="0"/>
          <w:numId w:val="1"/>
        </w:numPr>
        <w:spacing w:line="360" w:lineRule="auto"/>
        <w:ind w:left="0" w:right="49" w:firstLine="0"/>
        <w:contextualSpacing/>
        <w:jc w:val="both"/>
        <w:rPr>
          <w:rFonts w:ascii="Palatino Linotype" w:eastAsiaTheme="minorEastAsia" w:hAnsi="Palatino Linotype"/>
          <w:sz w:val="28"/>
          <w:lang w:val="es-ES_tradnl" w:eastAsia="es-ES"/>
        </w:rPr>
      </w:pPr>
      <w:r w:rsidRPr="00325DF2">
        <w:rPr>
          <w:rFonts w:ascii="Palatino Linotype" w:eastAsia="Calibri" w:hAnsi="Palatino Linotype" w:cs="Tahoma"/>
          <w:bCs/>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w:t>
      </w:r>
      <w:r w:rsidRPr="00325DF2">
        <w:rPr>
          <w:rFonts w:ascii="Palatino Linotype" w:eastAsia="Calibri" w:hAnsi="Palatino Linotype" w:cs="Tahoma"/>
          <w:bCs/>
          <w:szCs w:val="22"/>
          <w:lang w:eastAsia="en-US"/>
        </w:rPr>
        <w:lastRenderedPageBreak/>
        <w:t>accesible de manera permanente a cualquier persona, en los términos y condiciones que se establezcan en los tratados internacionales de los que el Estado mexicano sea parte:</w:t>
      </w:r>
    </w:p>
    <w:p w:rsidR="00325DF2" w:rsidRPr="00325DF2" w:rsidRDefault="00325DF2" w:rsidP="00325DF2">
      <w:pPr>
        <w:spacing w:line="360" w:lineRule="auto"/>
        <w:ind w:right="49"/>
        <w:contextualSpacing/>
        <w:jc w:val="both"/>
        <w:rPr>
          <w:rFonts w:ascii="Palatino Linotype" w:eastAsiaTheme="minorEastAsia" w:hAnsi="Palatino Linotype"/>
          <w:sz w:val="28"/>
          <w:lang w:val="es-ES_tradnl" w:eastAsia="es-ES"/>
        </w:rPr>
      </w:pPr>
    </w:p>
    <w:p w:rsidR="00325DF2" w:rsidRDefault="00325DF2" w:rsidP="00325DF2">
      <w:pPr>
        <w:spacing w:line="360" w:lineRule="auto"/>
        <w:ind w:left="851" w:right="822"/>
        <w:contextualSpacing/>
        <w:jc w:val="both"/>
        <w:rPr>
          <w:rFonts w:ascii="Palatino Linotype" w:hAnsi="Palatino Linotype"/>
          <w:i/>
          <w:sz w:val="22"/>
        </w:rPr>
      </w:pPr>
      <w:r w:rsidRPr="00325DF2">
        <w:rPr>
          <w:rFonts w:ascii="Palatino Linotype" w:hAnsi="Palatino Linotype"/>
          <w:i/>
          <w:sz w:val="22"/>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rsidR="00325DF2" w:rsidRDefault="00325DF2" w:rsidP="00325DF2">
      <w:pPr>
        <w:spacing w:line="360" w:lineRule="auto"/>
        <w:ind w:left="851" w:right="822"/>
        <w:contextualSpacing/>
        <w:jc w:val="both"/>
        <w:rPr>
          <w:rFonts w:ascii="Palatino Linotype" w:hAnsi="Palatino Linotype"/>
          <w:i/>
          <w:sz w:val="22"/>
        </w:rPr>
      </w:pPr>
      <w:r w:rsidRPr="00325DF2">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797CD8" w:rsidRPr="00325DF2" w:rsidRDefault="00325DF2" w:rsidP="00325DF2">
      <w:pPr>
        <w:spacing w:line="360" w:lineRule="auto"/>
        <w:ind w:left="851" w:right="822"/>
        <w:contextualSpacing/>
        <w:jc w:val="both"/>
        <w:rPr>
          <w:rFonts w:ascii="Palatino Linotype" w:hAnsi="Palatino Linotype"/>
          <w:i/>
          <w:sz w:val="22"/>
        </w:rPr>
      </w:pPr>
      <w:r w:rsidRPr="00325DF2">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325DF2" w:rsidRPr="009B6FD5" w:rsidRDefault="00325DF2" w:rsidP="00797CD8">
      <w:pPr>
        <w:spacing w:line="360" w:lineRule="auto"/>
        <w:ind w:right="49"/>
        <w:contextualSpacing/>
        <w:jc w:val="both"/>
        <w:rPr>
          <w:rFonts w:ascii="Palatino Linotype" w:eastAsiaTheme="minorEastAsia" w:hAnsi="Palatino Linotype"/>
          <w:lang w:val="es-ES_tradnl" w:eastAsia="es-ES"/>
        </w:rPr>
      </w:pPr>
    </w:p>
    <w:p w:rsidR="00325DF2" w:rsidRPr="00325DF2" w:rsidRDefault="00325DF2" w:rsidP="00325DF2">
      <w:pPr>
        <w:pStyle w:val="Prrafodelista"/>
        <w:numPr>
          <w:ilvl w:val="0"/>
          <w:numId w:val="1"/>
        </w:numPr>
        <w:spacing w:line="360" w:lineRule="auto"/>
        <w:ind w:left="0" w:right="-93" w:firstLine="0"/>
        <w:jc w:val="both"/>
        <w:rPr>
          <w:rFonts w:ascii="Palatino Linotype" w:eastAsia="Calibri" w:hAnsi="Palatino Linotype" w:cs="Tahoma"/>
          <w:bCs/>
          <w:sz w:val="24"/>
          <w:szCs w:val="22"/>
          <w:lang w:eastAsia="en-US"/>
        </w:rPr>
      </w:pPr>
      <w:r w:rsidRPr="00325DF2">
        <w:rPr>
          <w:rFonts w:ascii="Palatino Linotype" w:eastAsia="Calibri" w:hAnsi="Palatino Linotype" w:cs="Tahoma"/>
          <w:bCs/>
          <w:sz w:val="24"/>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00325DF2" w:rsidRPr="00325DF2" w:rsidRDefault="00325DF2" w:rsidP="00325DF2">
      <w:pPr>
        <w:pStyle w:val="Prrafodelista"/>
        <w:spacing w:line="360" w:lineRule="auto"/>
        <w:ind w:left="0" w:right="-93"/>
        <w:jc w:val="both"/>
        <w:rPr>
          <w:rFonts w:ascii="Palatino Linotype" w:eastAsia="Calibri" w:hAnsi="Palatino Linotype" w:cs="Tahoma"/>
          <w:bCs/>
          <w:sz w:val="24"/>
          <w:szCs w:val="22"/>
          <w:lang w:eastAsia="en-US"/>
        </w:rPr>
      </w:pPr>
    </w:p>
    <w:p w:rsidR="00325DF2" w:rsidRPr="00325DF2" w:rsidRDefault="00325DF2" w:rsidP="00325DF2">
      <w:pPr>
        <w:pStyle w:val="Prrafodelista"/>
        <w:numPr>
          <w:ilvl w:val="0"/>
          <w:numId w:val="1"/>
        </w:numPr>
        <w:spacing w:line="360" w:lineRule="auto"/>
        <w:ind w:left="0" w:right="-93" w:firstLine="0"/>
        <w:jc w:val="both"/>
        <w:rPr>
          <w:rFonts w:ascii="Palatino Linotype" w:eastAsia="Calibri" w:hAnsi="Palatino Linotype" w:cs="Tahoma"/>
          <w:bCs/>
          <w:sz w:val="24"/>
          <w:szCs w:val="22"/>
          <w:lang w:eastAsia="en-US"/>
        </w:rPr>
      </w:pPr>
      <w:r w:rsidRPr="00325DF2">
        <w:rPr>
          <w:rFonts w:ascii="Palatino Linotype" w:eastAsia="Calibri" w:hAnsi="Palatino Linotype" w:cs="Tahoma"/>
          <w:bCs/>
          <w:sz w:val="24"/>
          <w:szCs w:val="22"/>
          <w:lang w:eastAsia="en-US"/>
        </w:rPr>
        <w:t xml:space="preserve">Asimismo, el artículo 24 de la Ley de la materia, dispone que los Sujetos Obligados sólo proporcionarán la información pública que generen, administren o posean en el ejercicio de sus atribuciones; por consiguiente, la información pública se </w:t>
      </w:r>
      <w:r w:rsidRPr="00325DF2">
        <w:rPr>
          <w:rFonts w:ascii="Palatino Linotype" w:eastAsia="Calibri" w:hAnsi="Palatino Linotype" w:cs="Tahoma"/>
          <w:bCs/>
          <w:sz w:val="24"/>
          <w:szCs w:val="22"/>
          <w:lang w:eastAsia="en-US"/>
        </w:rPr>
        <w:lastRenderedPageBreak/>
        <w:t>encuentra a disposición de cualquier persona, lo que implica que es deber de los sujetos obligados, garantizar el derecho de acceso a la información pública.</w:t>
      </w:r>
    </w:p>
    <w:p w:rsidR="00325DF2" w:rsidRPr="00325DF2" w:rsidRDefault="00325DF2" w:rsidP="00325DF2">
      <w:pPr>
        <w:pStyle w:val="Prrafodelista"/>
        <w:spacing w:line="360" w:lineRule="auto"/>
        <w:ind w:left="0" w:right="-93"/>
        <w:jc w:val="both"/>
        <w:rPr>
          <w:rFonts w:ascii="Palatino Linotype" w:eastAsia="Calibri" w:hAnsi="Palatino Linotype" w:cs="Tahoma"/>
          <w:bCs/>
          <w:szCs w:val="22"/>
          <w:lang w:eastAsia="en-US"/>
        </w:rPr>
      </w:pPr>
    </w:p>
    <w:p w:rsidR="007840E1" w:rsidRDefault="00325DF2" w:rsidP="007840E1">
      <w:pPr>
        <w:numPr>
          <w:ilvl w:val="0"/>
          <w:numId w:val="1"/>
        </w:numPr>
        <w:spacing w:line="360" w:lineRule="auto"/>
        <w:ind w:left="0" w:right="49" w:firstLine="0"/>
        <w:contextualSpacing/>
        <w:jc w:val="both"/>
        <w:rPr>
          <w:rFonts w:ascii="Palatino Linotype" w:hAnsi="Palatino Linotype"/>
          <w:color w:val="000000"/>
          <w:lang w:val="es-ES_tradnl"/>
        </w:rPr>
      </w:pPr>
      <w:r>
        <w:rPr>
          <w:rFonts w:ascii="Palatino Linotype" w:eastAsia="MS Gothic" w:hAnsi="Palatino Linotype"/>
        </w:rPr>
        <w:t xml:space="preserve">Establecido lo anterior, debemos precisar que el particular en su solicitud de acceso a la información pública señaló </w:t>
      </w:r>
      <w:r w:rsidRPr="009B6FD5">
        <w:rPr>
          <w:rFonts w:ascii="Palatino Linotype" w:hAnsi="Palatino Linotype"/>
          <w:i/>
          <w:color w:val="000000"/>
        </w:rPr>
        <w:t>“</w:t>
      </w:r>
      <w:r w:rsidRPr="00A25966">
        <w:rPr>
          <w:rFonts w:ascii="Palatino Linotype" w:hAnsi="Palatino Linotype"/>
          <w:i/>
          <w:color w:val="000000"/>
        </w:rPr>
        <w:t xml:space="preserve">La Sindicatura Municipal le permite al sr. </w:t>
      </w:r>
      <w:r>
        <w:rPr>
          <w:rFonts w:ascii="Palatino Linotype" w:hAnsi="Palatino Linotype"/>
          <w:i/>
          <w:color w:val="000000"/>
        </w:rPr>
        <w:t xml:space="preserve">(…) </w:t>
      </w:r>
      <w:r w:rsidRPr="00A25966">
        <w:rPr>
          <w:rFonts w:ascii="Palatino Linotype" w:hAnsi="Palatino Linotype"/>
          <w:i/>
          <w:color w:val="000000"/>
        </w:rPr>
        <w:t xml:space="preserve"> seguir recaudando cuotas cuando ya tiene una demanda de arbitraje desde hace tres meses. Le permite dar rendicion de cuentas (adjunto archivo), en donde falta de manera grave a la ley de proteccion de datos al exhibir quien paga y quien no la cuota de mantenimiento (extorsion pura y vil) </w:t>
      </w:r>
      <w:r w:rsidR="007840E1">
        <w:rPr>
          <w:rFonts w:ascii="Palatino Linotype" w:hAnsi="Palatino Linotype"/>
          <w:i/>
          <w:color w:val="000000"/>
        </w:rPr>
        <w:t xml:space="preserve">(…) </w:t>
      </w:r>
      <w:r w:rsidRPr="007840E1">
        <w:rPr>
          <w:rFonts w:ascii="Palatino Linotype" w:hAnsi="Palatino Linotype"/>
          <w:i/>
          <w:color w:val="000000"/>
        </w:rPr>
        <w:t>para seguir delinquiendo con la recoleccion de cuotas y con el robo de nuestros datos personales desde sus perfiles en las plataformas digitales.” (Sic)</w:t>
      </w:r>
      <w:r w:rsidR="007840E1">
        <w:rPr>
          <w:rFonts w:ascii="Palatino Linotype" w:hAnsi="Palatino Linotype"/>
          <w:i/>
          <w:color w:val="000000"/>
        </w:rPr>
        <w:t xml:space="preserve">, </w:t>
      </w:r>
      <w:r w:rsidR="007840E1" w:rsidRPr="007840E1">
        <w:rPr>
          <w:rFonts w:ascii="Palatino Linotype" w:hAnsi="Palatino Linotype"/>
          <w:color w:val="000000"/>
          <w:lang w:val="es-ES_tradnl"/>
        </w:rPr>
        <w:t xml:space="preserve">este Órgano Garante advierte que dicha solicitud no constituye un derecho de acceso a la información pública, </w:t>
      </w:r>
      <w:r w:rsidR="007840E1" w:rsidRPr="007840E1">
        <w:rPr>
          <w:rFonts w:ascii="Palatino Linotype" w:eastAsia="Calibri" w:hAnsi="Palatino Linotype" w:cs="Tahoma"/>
          <w:bCs/>
          <w:iCs/>
          <w:lang w:eastAsia="es-ES_tradnl"/>
        </w:rPr>
        <w:t>petición que no encuadra en el derecho de acceso a la información pública</w:t>
      </w:r>
      <w:r w:rsidR="007840E1" w:rsidRPr="007840E1">
        <w:rPr>
          <w:rFonts w:ascii="Palatino Linotype" w:hAnsi="Palatino Linotype"/>
          <w:color w:val="000000"/>
          <w:lang w:val="es-ES_tradnl"/>
        </w:rPr>
        <w:t>, debido a que se tratan de manifestaciones subjetivas vertidas por el entonces solicitante y declaraciones que no se colma</w:t>
      </w:r>
      <w:r w:rsidR="007840E1">
        <w:rPr>
          <w:rFonts w:ascii="Palatino Linotype" w:hAnsi="Palatino Linotype"/>
          <w:color w:val="000000"/>
          <w:lang w:val="es-ES_tradnl"/>
        </w:rPr>
        <w:t>n con la entrega de documentos.</w:t>
      </w:r>
    </w:p>
    <w:p w:rsidR="007840E1" w:rsidRDefault="007840E1" w:rsidP="007840E1">
      <w:pPr>
        <w:spacing w:line="360" w:lineRule="auto"/>
        <w:ind w:right="49"/>
        <w:contextualSpacing/>
        <w:jc w:val="both"/>
        <w:rPr>
          <w:rFonts w:ascii="Palatino Linotype" w:hAnsi="Palatino Linotype"/>
          <w:color w:val="000000"/>
          <w:lang w:val="es-ES_tradnl"/>
        </w:rPr>
      </w:pPr>
    </w:p>
    <w:p w:rsidR="002F5041" w:rsidRPr="009D7050" w:rsidRDefault="002F5041" w:rsidP="002F5041">
      <w:pPr>
        <w:numPr>
          <w:ilvl w:val="0"/>
          <w:numId w:val="1"/>
        </w:numPr>
        <w:spacing w:before="240" w:after="240" w:line="360" w:lineRule="auto"/>
        <w:ind w:left="0" w:firstLine="0"/>
        <w:contextualSpacing/>
        <w:jc w:val="both"/>
        <w:rPr>
          <w:rFonts w:ascii="Palatino Linotype" w:eastAsia="MS Mincho" w:hAnsi="Palatino Linotype"/>
          <w:lang w:val="es-ES_tradnl" w:eastAsia="es-ES"/>
        </w:rPr>
      </w:pPr>
      <w:r w:rsidRPr="009D7050">
        <w:rPr>
          <w:rFonts w:ascii="Palatino Linotype" w:eastAsia="MS Mincho" w:hAnsi="Palatino Linotype" w:cs="Arial"/>
          <w:lang w:val="es-ES_tradnl" w:eastAsia="es-ES"/>
        </w:rPr>
        <w:t xml:space="preserve">Ahora bien, el derecho </w:t>
      </w:r>
      <w:r w:rsidRPr="009D7050">
        <w:rPr>
          <w:rFonts w:ascii="Palatino Linotype" w:eastAsia="MS Mincho" w:hAnsi="Palatino Linotype"/>
          <w:lang w:val="es-ES_tradnl" w:eastAsia="es-ES"/>
        </w:rPr>
        <w:t xml:space="preserve">de acceso a la información pública por disposición del artículo 4 de la Ley de Transparencia </w:t>
      </w:r>
      <w:r>
        <w:rPr>
          <w:rFonts w:ascii="Palatino Linotype" w:eastAsia="MS Mincho" w:hAnsi="Palatino Linotype"/>
          <w:lang w:val="es-ES_tradnl" w:eastAsia="es-ES"/>
        </w:rPr>
        <w:t>antes referido,</w:t>
      </w:r>
      <w:r w:rsidRPr="009D7050">
        <w:rPr>
          <w:rFonts w:ascii="Palatino Linotype" w:eastAsia="MS Mincho" w:hAnsi="Palatino Linotype"/>
          <w:lang w:val="es-ES_tradnl" w:eastAsia="es-ES"/>
        </w:rPr>
        <w:t xml:space="preserve"> es la prerrogativa de las personas para buscar, difundir, investigar, recabar, recibir y solicitar información pública.  </w:t>
      </w:r>
    </w:p>
    <w:p w:rsidR="002F5041" w:rsidRPr="009D7050" w:rsidRDefault="002F5041" w:rsidP="002F5041">
      <w:pPr>
        <w:spacing w:line="360" w:lineRule="auto"/>
        <w:contextualSpacing/>
        <w:jc w:val="both"/>
        <w:rPr>
          <w:rFonts w:ascii="Palatino Linotype" w:eastAsia="MS Mincho" w:hAnsi="Palatino Linotype"/>
          <w:lang w:val="es-ES_tradnl" w:eastAsia="es-ES"/>
        </w:rPr>
      </w:pPr>
    </w:p>
    <w:p w:rsidR="002F5041" w:rsidRPr="009D7050" w:rsidRDefault="002F5041" w:rsidP="002F5041">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9D7050">
        <w:rPr>
          <w:rFonts w:ascii="Palatino Linotype" w:eastAsia="MS Mincho" w:hAnsi="Palatino Linotype" w:cs="Arial"/>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2F5041" w:rsidRPr="009D7050" w:rsidRDefault="002F5041" w:rsidP="002F5041">
      <w:pPr>
        <w:spacing w:line="360" w:lineRule="auto"/>
        <w:contextualSpacing/>
        <w:jc w:val="both"/>
        <w:rPr>
          <w:rFonts w:ascii="Palatino Linotype" w:eastAsia="MS Mincho" w:hAnsi="Palatino Linotype" w:cs="Arial"/>
          <w:lang w:val="es-ES_tradnl" w:eastAsia="es-ES"/>
        </w:rPr>
      </w:pPr>
    </w:p>
    <w:p w:rsidR="002F5041" w:rsidRPr="009D7050" w:rsidRDefault="002F5041" w:rsidP="002F5041">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9D7050">
        <w:rPr>
          <w:rFonts w:ascii="Palatino Linotype" w:eastAsia="MS Mincho" w:hAnsi="Palatino Linotype" w:cs="Arial"/>
          <w:lang w:val="es-ES_tradnl" w:eastAsia="es-ES"/>
        </w:rPr>
        <w:lastRenderedPageBreak/>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rsidR="002F5041" w:rsidRPr="009D7050" w:rsidRDefault="002F5041" w:rsidP="002F5041">
      <w:pPr>
        <w:spacing w:line="360" w:lineRule="auto"/>
        <w:contextualSpacing/>
        <w:jc w:val="both"/>
        <w:rPr>
          <w:rFonts w:ascii="Palatino Linotype" w:eastAsia="MS Mincho" w:hAnsi="Palatino Linotype" w:cs="Arial"/>
          <w:lang w:val="es-ES_tradnl" w:eastAsia="es-ES"/>
        </w:rPr>
      </w:pPr>
    </w:p>
    <w:p w:rsidR="002F5041" w:rsidRPr="009D7050" w:rsidRDefault="002F5041" w:rsidP="002F5041">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9D7050">
        <w:rPr>
          <w:rFonts w:ascii="Palatino Linotype" w:eastAsia="MS Mincho" w:hAnsi="Palatino Linotype" w:cs="Arial"/>
          <w:lang w:val="es-ES_tradnl" w:eastAsia="es-ES"/>
        </w:rPr>
        <w:t>En 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2F5041" w:rsidRPr="009D7050" w:rsidRDefault="002F5041" w:rsidP="002F5041">
      <w:pPr>
        <w:spacing w:line="360" w:lineRule="auto"/>
        <w:contextualSpacing/>
        <w:jc w:val="both"/>
        <w:rPr>
          <w:rFonts w:ascii="Palatino Linotype" w:eastAsia="MS Mincho" w:hAnsi="Palatino Linotype" w:cs="Arial"/>
          <w:lang w:val="es-ES_tradnl" w:eastAsia="es-ES"/>
        </w:rPr>
      </w:pPr>
    </w:p>
    <w:p w:rsidR="002F5041" w:rsidRPr="009D7050" w:rsidRDefault="002F5041" w:rsidP="002F5041">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9D7050">
        <w:rPr>
          <w:rFonts w:ascii="Palatino Linotype" w:eastAsia="MS Mincho" w:hAnsi="Palatino Linotype" w:cs="Arial"/>
          <w:lang w:val="es-ES_tradnl" w:eastAsia="es-ES"/>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w:t>
      </w:r>
      <w:r w:rsidRPr="009D7050">
        <w:rPr>
          <w:rFonts w:ascii="Palatino Linotype" w:eastAsia="MS Mincho" w:hAnsi="Palatino Linotype" w:cs="Arial"/>
          <w:lang w:val="es-ES_tradnl" w:eastAsia="es-ES"/>
        </w:rPr>
        <w:lastRenderedPageBreak/>
        <w:t>integrantes, sin importar su fuente o fecha de elaboración. Los documentos podrán estar en cualquier medio, sea escrito, impreso, sonoro, visual, electrónico, informático u holográfico.</w:t>
      </w:r>
    </w:p>
    <w:p w:rsidR="002F5041" w:rsidRPr="009D7050" w:rsidRDefault="002F5041" w:rsidP="002F5041">
      <w:pPr>
        <w:spacing w:line="360" w:lineRule="auto"/>
        <w:contextualSpacing/>
        <w:jc w:val="both"/>
        <w:rPr>
          <w:rFonts w:ascii="Palatino Linotype" w:eastAsia="MS Mincho" w:hAnsi="Palatino Linotype" w:cs="Arial"/>
          <w:lang w:val="es-ES_tradnl" w:eastAsia="es-ES"/>
        </w:rPr>
      </w:pPr>
    </w:p>
    <w:p w:rsidR="002F5041" w:rsidRDefault="002F5041" w:rsidP="002F5041">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9D7050">
        <w:rPr>
          <w:rFonts w:ascii="Palatino Linotype" w:eastAsia="MS Mincho" w:hAnsi="Palatino Linotype" w:cs="Arial"/>
          <w:lang w:val="es-ES_tradnl" w:eastAsia="es-ES"/>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2F5041" w:rsidRPr="009D7050" w:rsidRDefault="002F5041" w:rsidP="002F5041">
      <w:pPr>
        <w:spacing w:before="240" w:after="240" w:line="360" w:lineRule="auto"/>
        <w:contextualSpacing/>
        <w:jc w:val="both"/>
        <w:rPr>
          <w:rFonts w:ascii="Palatino Linotype" w:eastAsia="MS Mincho" w:hAnsi="Palatino Linotype" w:cs="Arial"/>
          <w:lang w:val="es-ES_tradnl" w:eastAsia="es-ES"/>
        </w:rPr>
      </w:pPr>
    </w:p>
    <w:p w:rsidR="002F5041" w:rsidRDefault="002F5041" w:rsidP="002F5041">
      <w:pPr>
        <w:pStyle w:val="Prrafodelista"/>
        <w:numPr>
          <w:ilvl w:val="0"/>
          <w:numId w:val="1"/>
        </w:numPr>
        <w:tabs>
          <w:tab w:val="left" w:pos="0"/>
        </w:tabs>
        <w:spacing w:line="360" w:lineRule="auto"/>
        <w:ind w:left="0" w:firstLine="0"/>
        <w:jc w:val="both"/>
        <w:rPr>
          <w:rFonts w:ascii="Palatino Linotype" w:eastAsia="Calibri" w:hAnsi="Palatino Linotype" w:cs="Tahoma"/>
          <w:iCs/>
          <w:sz w:val="24"/>
          <w:szCs w:val="22"/>
          <w:lang w:eastAsia="es-ES_tradnl"/>
        </w:rPr>
      </w:pPr>
      <w:r w:rsidRPr="002F5041">
        <w:rPr>
          <w:rFonts w:ascii="Palatino Linotype" w:eastAsia="Calibri" w:hAnsi="Palatino Linotype" w:cs="Tahoma"/>
          <w:iCs/>
          <w:sz w:val="24"/>
          <w:szCs w:val="22"/>
          <w:lang w:val="es-ES" w:eastAsia="es-ES_tradnl"/>
        </w:rPr>
        <w:t xml:space="preserve">Por otro lado, respecto </w:t>
      </w:r>
      <w:r>
        <w:rPr>
          <w:rFonts w:ascii="Palatino Linotype" w:eastAsia="Calibri" w:hAnsi="Palatino Linotype" w:cs="Tahoma"/>
          <w:iCs/>
          <w:sz w:val="24"/>
          <w:szCs w:val="22"/>
          <w:lang w:val="es-ES" w:eastAsia="es-ES_tradnl"/>
        </w:rPr>
        <w:t xml:space="preserve">a </w:t>
      </w:r>
      <w:r w:rsidRPr="002F5041">
        <w:rPr>
          <w:rFonts w:ascii="Palatino Linotype" w:eastAsia="Calibri" w:hAnsi="Palatino Linotype" w:cs="Tahoma"/>
          <w:iCs/>
          <w:sz w:val="24"/>
          <w:szCs w:val="22"/>
          <w:lang w:val="es-ES" w:eastAsia="es-ES_tradnl"/>
        </w:rPr>
        <w:t xml:space="preserve">la solicitud del Particular sobre el acta de asamblea donde se le da la autoridad a un particular para seguir con la recolección de cuotas, respecto del Fraccionamiento Real de San Fernando en Cuautitlán, </w:t>
      </w:r>
      <w:r>
        <w:rPr>
          <w:rFonts w:ascii="Palatino Linotype" w:eastAsia="Calibri" w:hAnsi="Palatino Linotype" w:cs="Tahoma"/>
          <w:iCs/>
          <w:sz w:val="24"/>
          <w:szCs w:val="22"/>
          <w:lang w:val="es-ES" w:eastAsia="es-ES_tradnl"/>
        </w:rPr>
        <w:t>debemos</w:t>
      </w:r>
      <w:r w:rsidRPr="002F5041">
        <w:rPr>
          <w:rFonts w:ascii="Palatino Linotype" w:eastAsia="Calibri" w:hAnsi="Palatino Linotype" w:cs="Tahoma"/>
          <w:iCs/>
          <w:sz w:val="24"/>
          <w:szCs w:val="22"/>
          <w:lang w:val="es-ES" w:eastAsia="es-ES_tradnl"/>
        </w:rPr>
        <w:t xml:space="preserve"> precisar que la Ley que Regula el Régimen de Propiedad en Condominio en el Estado de México, en su artículo primero señalar que </w:t>
      </w:r>
      <w:r w:rsidRPr="002F5041">
        <w:rPr>
          <w:rFonts w:ascii="Palatino Linotype" w:eastAsia="Calibri" w:hAnsi="Palatino Linotype" w:cs="Tahoma"/>
          <w:iCs/>
          <w:sz w:val="24"/>
          <w:szCs w:val="22"/>
          <w:lang w:eastAsia="es-ES_tradnl"/>
        </w:rPr>
        <w:t>esta es de interés público y tiene por objeto establecer las bases para regular la constitución, organización, funcionamiento, modificación, administración y extinción del régimen de propiedad en condominio, así como su convivencia social y solución de controversias entre condóminos y residentes, y entre éstos y su administrador o Comité de Administración</w:t>
      </w:r>
      <w:r>
        <w:rPr>
          <w:rFonts w:ascii="Palatino Linotype" w:eastAsia="Calibri" w:hAnsi="Palatino Linotype" w:cs="Tahoma"/>
          <w:iCs/>
          <w:sz w:val="24"/>
          <w:szCs w:val="22"/>
          <w:lang w:eastAsia="es-ES_tradnl"/>
        </w:rPr>
        <w:t>:</w:t>
      </w:r>
    </w:p>
    <w:p w:rsidR="002F5041" w:rsidRDefault="002F5041" w:rsidP="002F5041">
      <w:pPr>
        <w:pStyle w:val="Prrafodelista"/>
        <w:tabs>
          <w:tab w:val="left" w:pos="0"/>
        </w:tabs>
        <w:spacing w:line="360" w:lineRule="auto"/>
        <w:ind w:left="0"/>
        <w:jc w:val="both"/>
        <w:rPr>
          <w:rFonts w:ascii="Palatino Linotype" w:eastAsia="Calibri" w:hAnsi="Palatino Linotype" w:cs="Tahoma"/>
          <w:iCs/>
          <w:sz w:val="24"/>
          <w:szCs w:val="22"/>
          <w:lang w:eastAsia="es-ES_tradnl"/>
        </w:rPr>
      </w:pPr>
    </w:p>
    <w:p w:rsidR="002F5041" w:rsidRDefault="002F5041" w:rsidP="002F5041">
      <w:pPr>
        <w:pStyle w:val="Prrafodelista"/>
        <w:tabs>
          <w:tab w:val="left" w:pos="851"/>
        </w:tabs>
        <w:spacing w:line="360" w:lineRule="auto"/>
        <w:ind w:left="851" w:right="822"/>
        <w:jc w:val="both"/>
        <w:rPr>
          <w:rFonts w:ascii="Palatino Linotype" w:hAnsi="Palatino Linotype"/>
          <w:i/>
        </w:rPr>
      </w:pPr>
      <w:r>
        <w:rPr>
          <w:rFonts w:ascii="Palatino Linotype" w:hAnsi="Palatino Linotype"/>
          <w:i/>
        </w:rPr>
        <w:t>“</w:t>
      </w:r>
      <w:r w:rsidRPr="002F5041">
        <w:rPr>
          <w:rFonts w:ascii="Palatino Linotype" w:hAnsi="Palatino Linotype"/>
          <w:i/>
        </w:rPr>
        <w:t xml:space="preserve">Artículo 1.- La presente Ley es de interés público y tiene por objeto establecer las bases para regular la constitución, organización, funcionamiento, modificación, administración y extinción del régimen de propiedad en condominio, así como su </w:t>
      </w:r>
      <w:r w:rsidRPr="002F5041">
        <w:rPr>
          <w:rFonts w:ascii="Palatino Linotype" w:hAnsi="Palatino Linotype"/>
          <w:i/>
        </w:rPr>
        <w:lastRenderedPageBreak/>
        <w:t>convivencia social y solución de controversias entre condóminos y residentes, y entre éstos y su administrador o Comité de Administración.</w:t>
      </w:r>
      <w:r>
        <w:rPr>
          <w:rFonts w:ascii="Palatino Linotype" w:hAnsi="Palatino Linotype"/>
          <w:i/>
        </w:rPr>
        <w:t>”</w:t>
      </w:r>
    </w:p>
    <w:p w:rsidR="002F5041" w:rsidRPr="002F5041" w:rsidRDefault="002F5041" w:rsidP="002F5041">
      <w:pPr>
        <w:pStyle w:val="Prrafodelista"/>
        <w:tabs>
          <w:tab w:val="left" w:pos="851"/>
        </w:tabs>
        <w:spacing w:line="360" w:lineRule="auto"/>
        <w:ind w:left="851" w:right="822"/>
        <w:jc w:val="both"/>
        <w:rPr>
          <w:rFonts w:ascii="Palatino Linotype" w:eastAsia="Calibri" w:hAnsi="Palatino Linotype" w:cs="Tahoma"/>
          <w:i/>
          <w:iCs/>
          <w:sz w:val="24"/>
          <w:szCs w:val="22"/>
          <w:lang w:eastAsia="es-ES_tradnl"/>
        </w:rPr>
      </w:pPr>
    </w:p>
    <w:p w:rsidR="007840E1" w:rsidRDefault="00711409" w:rsidP="002F5041">
      <w:pPr>
        <w:numPr>
          <w:ilvl w:val="0"/>
          <w:numId w:val="1"/>
        </w:numPr>
        <w:spacing w:line="360" w:lineRule="auto"/>
        <w:ind w:left="0" w:right="49" w:firstLine="0"/>
        <w:contextualSpacing/>
        <w:jc w:val="both"/>
        <w:rPr>
          <w:rFonts w:ascii="Palatino Linotype" w:hAnsi="Palatino Linotype"/>
          <w:color w:val="000000"/>
          <w:lang w:val="es-ES_tradnl"/>
        </w:rPr>
      </w:pPr>
      <w:r>
        <w:rPr>
          <w:rFonts w:ascii="Palatino Linotype" w:hAnsi="Palatino Linotype"/>
          <w:color w:val="000000"/>
          <w:lang w:val="es-ES_tradnl"/>
        </w:rPr>
        <w:t>Por lo que se refiere s la asamblea, el artículo 2, fracción VIII de la Ley referida en el párrafo anterior, la señala como el Órgano máximo de decisión de un condominio:</w:t>
      </w:r>
    </w:p>
    <w:p w:rsidR="00711409" w:rsidRDefault="00711409" w:rsidP="00711409">
      <w:pPr>
        <w:spacing w:line="360" w:lineRule="auto"/>
        <w:ind w:right="49"/>
        <w:contextualSpacing/>
        <w:jc w:val="both"/>
        <w:rPr>
          <w:rFonts w:ascii="Palatino Linotype" w:hAnsi="Palatino Linotype"/>
          <w:color w:val="000000"/>
          <w:lang w:val="es-ES_tradnl"/>
        </w:rPr>
      </w:pPr>
    </w:p>
    <w:p w:rsidR="00711409" w:rsidRPr="00711409" w:rsidRDefault="00711409" w:rsidP="00711409">
      <w:pPr>
        <w:spacing w:line="360" w:lineRule="auto"/>
        <w:ind w:left="851" w:right="822"/>
        <w:contextualSpacing/>
        <w:jc w:val="both"/>
        <w:rPr>
          <w:rFonts w:ascii="Palatino Linotype" w:hAnsi="Palatino Linotype"/>
          <w:i/>
        </w:rPr>
      </w:pPr>
      <w:r>
        <w:rPr>
          <w:rFonts w:ascii="Palatino Linotype" w:hAnsi="Palatino Linotype"/>
          <w:i/>
        </w:rPr>
        <w:t>“</w:t>
      </w:r>
      <w:r w:rsidRPr="00711409">
        <w:rPr>
          <w:rFonts w:ascii="Palatino Linotype" w:hAnsi="Palatino Linotype"/>
          <w:i/>
        </w:rPr>
        <w:t>Artículo 2.- Para efectos de ésta ley se entiende por:</w:t>
      </w:r>
    </w:p>
    <w:p w:rsidR="00711409" w:rsidRPr="00711409" w:rsidRDefault="00711409" w:rsidP="00711409">
      <w:pPr>
        <w:spacing w:line="360" w:lineRule="auto"/>
        <w:ind w:left="851" w:right="822"/>
        <w:contextualSpacing/>
        <w:jc w:val="both"/>
        <w:rPr>
          <w:rFonts w:ascii="Palatino Linotype" w:hAnsi="Palatino Linotype"/>
          <w:i/>
        </w:rPr>
      </w:pPr>
      <w:r w:rsidRPr="00711409">
        <w:rPr>
          <w:rFonts w:ascii="Palatino Linotype" w:hAnsi="Palatino Linotype"/>
          <w:i/>
        </w:rPr>
        <w:t>…</w:t>
      </w:r>
    </w:p>
    <w:p w:rsidR="00711409" w:rsidRPr="00711409" w:rsidRDefault="00711409" w:rsidP="00711409">
      <w:pPr>
        <w:spacing w:line="360" w:lineRule="auto"/>
        <w:ind w:left="851" w:right="822"/>
        <w:contextualSpacing/>
        <w:jc w:val="both"/>
        <w:rPr>
          <w:rFonts w:ascii="Palatino Linotype" w:hAnsi="Palatino Linotype"/>
          <w:i/>
        </w:rPr>
      </w:pPr>
      <w:r w:rsidRPr="00711409">
        <w:rPr>
          <w:rFonts w:ascii="Palatino Linotype" w:hAnsi="Palatino Linotype"/>
          <w:i/>
        </w:rPr>
        <w:t>VIII. Asamblea: órgano máximo de decisión de un condominio, integrado por la mayoría de los condóminos, en el que se resolverán los asuntos de interés común, respecto al condominio;</w:t>
      </w:r>
    </w:p>
    <w:p w:rsidR="00711409" w:rsidRDefault="00711409" w:rsidP="00711409">
      <w:pPr>
        <w:spacing w:line="360" w:lineRule="auto"/>
        <w:ind w:left="851" w:right="822"/>
        <w:contextualSpacing/>
        <w:jc w:val="both"/>
        <w:rPr>
          <w:rFonts w:ascii="Palatino Linotype" w:hAnsi="Palatino Linotype"/>
          <w:i/>
        </w:rPr>
      </w:pPr>
      <w:r w:rsidRPr="00711409">
        <w:rPr>
          <w:rFonts w:ascii="Palatino Linotype" w:hAnsi="Palatino Linotype"/>
          <w:i/>
        </w:rPr>
        <w:t>…</w:t>
      </w:r>
      <w:r>
        <w:rPr>
          <w:rFonts w:ascii="Palatino Linotype" w:hAnsi="Palatino Linotype"/>
          <w:i/>
        </w:rPr>
        <w:t>”</w:t>
      </w:r>
    </w:p>
    <w:p w:rsidR="00711409" w:rsidRPr="00711409" w:rsidRDefault="00711409" w:rsidP="00711409">
      <w:pPr>
        <w:spacing w:line="360" w:lineRule="auto"/>
        <w:ind w:right="822"/>
        <w:contextualSpacing/>
        <w:jc w:val="both"/>
        <w:rPr>
          <w:rFonts w:ascii="Palatino Linotype" w:hAnsi="Palatino Linotype"/>
          <w:i/>
          <w:color w:val="000000"/>
          <w:lang w:val="es-ES_tradnl"/>
        </w:rPr>
      </w:pPr>
    </w:p>
    <w:p w:rsidR="007840E1" w:rsidRDefault="00A1172E" w:rsidP="007840E1">
      <w:pPr>
        <w:numPr>
          <w:ilvl w:val="0"/>
          <w:numId w:val="1"/>
        </w:numPr>
        <w:spacing w:line="360" w:lineRule="auto"/>
        <w:ind w:left="0" w:right="49" w:firstLine="0"/>
        <w:contextualSpacing/>
        <w:jc w:val="both"/>
        <w:rPr>
          <w:rFonts w:ascii="Palatino Linotype" w:hAnsi="Palatino Linotype"/>
          <w:color w:val="000000"/>
          <w:lang w:val="es-ES_tradnl"/>
        </w:rPr>
      </w:pPr>
      <w:r>
        <w:rPr>
          <w:rFonts w:ascii="Palatino Linotype" w:hAnsi="Palatino Linotype"/>
          <w:color w:val="000000"/>
          <w:lang w:val="es-ES_tradnl"/>
        </w:rPr>
        <w:t>Asimismo, con fundamento en el artículo 28 de la Ley referida, se establece que para la celebración de las asambleas se observaran las siguientes disposiciones:</w:t>
      </w:r>
    </w:p>
    <w:p w:rsidR="00A1172E" w:rsidRDefault="00A1172E" w:rsidP="00A1172E">
      <w:pPr>
        <w:spacing w:line="360" w:lineRule="auto"/>
        <w:ind w:right="49"/>
        <w:contextualSpacing/>
        <w:jc w:val="both"/>
        <w:rPr>
          <w:rFonts w:ascii="Palatino Linotype" w:hAnsi="Palatino Linotype"/>
          <w:color w:val="000000"/>
          <w:lang w:val="es-ES_tradnl"/>
        </w:rPr>
      </w:pPr>
    </w:p>
    <w:p w:rsidR="00A1172E" w:rsidRPr="00A1172E" w:rsidRDefault="00A1172E" w:rsidP="00A1172E">
      <w:pPr>
        <w:spacing w:line="360" w:lineRule="auto"/>
        <w:ind w:left="851" w:right="822"/>
        <w:contextualSpacing/>
        <w:jc w:val="both"/>
        <w:rPr>
          <w:rFonts w:ascii="Palatino Linotype" w:hAnsi="Palatino Linotype"/>
          <w:i/>
        </w:rPr>
      </w:pPr>
      <w:r>
        <w:rPr>
          <w:rFonts w:ascii="Palatino Linotype" w:hAnsi="Palatino Linotype"/>
          <w:i/>
        </w:rPr>
        <w:t>“</w:t>
      </w:r>
      <w:r w:rsidRPr="00A1172E">
        <w:rPr>
          <w:rFonts w:ascii="Palatino Linotype" w:hAnsi="Palatino Linotype"/>
          <w:i/>
        </w:rPr>
        <w:t xml:space="preserve">Artículo 28.- Las asambleas serán de dos tipos: generales y extraordinarias; para su celebración se observarán las siguientes disposiciones: </w:t>
      </w:r>
    </w:p>
    <w:p w:rsidR="00A1172E" w:rsidRPr="00A1172E" w:rsidRDefault="00A1172E" w:rsidP="00A1172E">
      <w:pPr>
        <w:spacing w:line="360" w:lineRule="auto"/>
        <w:ind w:left="851" w:right="822"/>
        <w:contextualSpacing/>
        <w:jc w:val="both"/>
        <w:rPr>
          <w:rFonts w:ascii="Palatino Linotype" w:hAnsi="Palatino Linotype"/>
          <w:i/>
        </w:rPr>
      </w:pPr>
      <w:r w:rsidRPr="00A1172E">
        <w:rPr>
          <w:rFonts w:ascii="Palatino Linotype" w:hAnsi="Palatino Linotype"/>
          <w:i/>
        </w:rPr>
        <w:t xml:space="preserve">I. Las generales se celebrarán por lo menos cada seis meses y tanto éstas como las extraordinarias, cuantas veces sean convocadas conforme a esta Ley y al reglamento interior del condominio; </w:t>
      </w:r>
    </w:p>
    <w:p w:rsidR="00A1172E" w:rsidRPr="00A1172E" w:rsidRDefault="00A1172E" w:rsidP="00A1172E">
      <w:pPr>
        <w:spacing w:line="360" w:lineRule="auto"/>
        <w:ind w:left="851" w:right="822"/>
        <w:contextualSpacing/>
        <w:jc w:val="both"/>
        <w:rPr>
          <w:rFonts w:ascii="Palatino Linotype" w:hAnsi="Palatino Linotype"/>
          <w:i/>
        </w:rPr>
      </w:pPr>
      <w:r w:rsidRPr="00A1172E">
        <w:rPr>
          <w:rFonts w:ascii="Palatino Linotype" w:hAnsi="Palatino Linotype"/>
          <w:i/>
        </w:rPr>
        <w:t xml:space="preserve">II. Cada condómino gozará de un voto por unidad de propiedad exclusiva del total del bien condominal, tratándose de condominios comerciales e </w:t>
      </w:r>
      <w:r w:rsidRPr="00A1172E">
        <w:rPr>
          <w:rFonts w:ascii="Palatino Linotype" w:hAnsi="Palatino Linotype"/>
          <w:i/>
        </w:rPr>
        <w:lastRenderedPageBreak/>
        <w:t xml:space="preserve">industriales. En los otros casos, de un solo voto no importando cuantas unidades de propiedad exclusivas posea; </w:t>
      </w:r>
    </w:p>
    <w:p w:rsidR="00A1172E" w:rsidRPr="00A1172E" w:rsidRDefault="00A1172E" w:rsidP="00A1172E">
      <w:pPr>
        <w:spacing w:line="360" w:lineRule="auto"/>
        <w:ind w:left="851" w:right="822"/>
        <w:contextualSpacing/>
        <w:jc w:val="both"/>
        <w:rPr>
          <w:rFonts w:ascii="Palatino Linotype" w:hAnsi="Palatino Linotype"/>
          <w:i/>
        </w:rPr>
      </w:pPr>
      <w:r w:rsidRPr="00A1172E">
        <w:rPr>
          <w:rFonts w:ascii="Palatino Linotype" w:hAnsi="Palatino Linotype"/>
          <w:i/>
        </w:rPr>
        <w:t xml:space="preserve">III. La votación será personal, nominal y directa, sin perjuicio de que el reglamento interior del condominio determine otros procedimientos; </w:t>
      </w:r>
    </w:p>
    <w:p w:rsidR="00A1172E" w:rsidRPr="00A1172E" w:rsidRDefault="00A1172E" w:rsidP="00A1172E">
      <w:pPr>
        <w:spacing w:line="360" w:lineRule="auto"/>
        <w:ind w:left="851" w:right="822"/>
        <w:contextualSpacing/>
        <w:jc w:val="both"/>
        <w:rPr>
          <w:rFonts w:ascii="Palatino Linotype" w:hAnsi="Palatino Linotype"/>
          <w:i/>
        </w:rPr>
      </w:pPr>
      <w:r w:rsidRPr="00A1172E">
        <w:rPr>
          <w:rFonts w:ascii="Palatino Linotype" w:hAnsi="Palatino Linotype"/>
          <w:i/>
        </w:rPr>
        <w:t xml:space="preserve">IV. Las resoluciones de la Asamblea, se tomarán por mayoría simple de los condóminos, cuando a ésta asistan el 50% más uno de los condóminos o de sus representantes, en términos de la presente ley, excepto en los casos en que la Ley y el Reglamento Interior del Condómino establezcan una mayoría especial. </w:t>
      </w:r>
    </w:p>
    <w:p w:rsidR="00A1172E" w:rsidRPr="00A1172E" w:rsidRDefault="00A1172E" w:rsidP="00A1172E">
      <w:pPr>
        <w:spacing w:line="360" w:lineRule="auto"/>
        <w:ind w:left="851" w:right="822"/>
        <w:contextualSpacing/>
        <w:jc w:val="both"/>
        <w:rPr>
          <w:rFonts w:ascii="Palatino Linotype" w:hAnsi="Palatino Linotype"/>
          <w:i/>
        </w:rPr>
      </w:pPr>
      <w:r w:rsidRPr="00A1172E">
        <w:rPr>
          <w:rFonts w:ascii="Palatino Linotype" w:hAnsi="Palatino Linotype"/>
          <w:i/>
        </w:rPr>
        <w:t xml:space="preserve">V. El secretario de la mesa directiva llevará un libro de actas, que deberá estar autorizado por el secretario del ayuntamiento. Las actas, por su parte, serán autorizadas por el contralor de la mesa directiva o quien haga sus veces; </w:t>
      </w:r>
    </w:p>
    <w:p w:rsidR="00A1172E" w:rsidRPr="00A1172E" w:rsidRDefault="00A1172E" w:rsidP="00A1172E">
      <w:pPr>
        <w:spacing w:line="360" w:lineRule="auto"/>
        <w:ind w:left="851" w:right="822"/>
        <w:contextualSpacing/>
        <w:jc w:val="both"/>
        <w:rPr>
          <w:rFonts w:ascii="Palatino Linotype" w:hAnsi="Palatino Linotype"/>
          <w:i/>
        </w:rPr>
      </w:pPr>
      <w:r w:rsidRPr="00A1172E">
        <w:rPr>
          <w:rFonts w:ascii="Palatino Linotype" w:hAnsi="Palatino Linotype"/>
          <w:i/>
        </w:rPr>
        <w:t xml:space="preserve">VI. La convocatoria deberá realizarse con diez días de anticipación para el caso de asambleas generales, y cinco para las asambleas extraordinarias, debiendo incluirse en ella el lugar, día y hora de celebración, así como el orden del día; </w:t>
      </w:r>
    </w:p>
    <w:p w:rsidR="00A1172E" w:rsidRPr="00A1172E" w:rsidRDefault="00A1172E" w:rsidP="00A1172E">
      <w:pPr>
        <w:spacing w:line="360" w:lineRule="auto"/>
        <w:ind w:left="851" w:right="822"/>
        <w:contextualSpacing/>
        <w:jc w:val="both"/>
        <w:rPr>
          <w:rFonts w:ascii="Palatino Linotype" w:hAnsi="Palatino Linotype"/>
          <w:i/>
        </w:rPr>
      </w:pPr>
      <w:r w:rsidRPr="00A1172E">
        <w:rPr>
          <w:rFonts w:ascii="Palatino Linotype" w:hAnsi="Palatino Linotype"/>
          <w:i/>
        </w:rPr>
        <w:t xml:space="preserve">VII. Para declarar válida una Asamblea celebrada en primera convocatoria, deberá contarse cuando menos con la asistencia de más del cincuenta por ciento de los condóminos o sus representantes en términos de la presente ley, en caso de una segunda convocatoria se declarará válida con los asistentes. </w:t>
      </w:r>
    </w:p>
    <w:p w:rsidR="00A1172E" w:rsidRDefault="00A1172E" w:rsidP="00A1172E">
      <w:pPr>
        <w:spacing w:line="360" w:lineRule="auto"/>
        <w:ind w:left="851" w:right="822"/>
        <w:contextualSpacing/>
        <w:jc w:val="both"/>
        <w:rPr>
          <w:rFonts w:ascii="Palatino Linotype" w:hAnsi="Palatino Linotype"/>
          <w:i/>
        </w:rPr>
      </w:pPr>
      <w:r w:rsidRPr="00A1172E">
        <w:rPr>
          <w:rFonts w:ascii="Palatino Linotype" w:hAnsi="Palatino Linotype"/>
          <w:i/>
        </w:rPr>
        <w:t>Las determinaciones y acuerdos tomados por la Asamblea obligan a todos los condóminos, incluyendo a los ausentes y disidentes.</w:t>
      </w:r>
      <w:r>
        <w:rPr>
          <w:rFonts w:ascii="Palatino Linotype" w:hAnsi="Palatino Linotype"/>
          <w:i/>
        </w:rPr>
        <w:t>”</w:t>
      </w:r>
    </w:p>
    <w:p w:rsidR="00A1172E" w:rsidRPr="00A1172E" w:rsidRDefault="00A1172E" w:rsidP="00A1172E">
      <w:pPr>
        <w:spacing w:line="360" w:lineRule="auto"/>
        <w:ind w:left="851" w:right="822"/>
        <w:contextualSpacing/>
        <w:jc w:val="both"/>
        <w:rPr>
          <w:rFonts w:ascii="Palatino Linotype" w:hAnsi="Palatino Linotype"/>
          <w:i/>
          <w:color w:val="000000"/>
          <w:lang w:val="es-ES_tradnl"/>
        </w:rPr>
      </w:pPr>
    </w:p>
    <w:p w:rsidR="007840E1" w:rsidRPr="00A1172E" w:rsidRDefault="00A1172E" w:rsidP="007840E1">
      <w:pPr>
        <w:numPr>
          <w:ilvl w:val="0"/>
          <w:numId w:val="1"/>
        </w:numPr>
        <w:spacing w:line="360" w:lineRule="auto"/>
        <w:ind w:left="0" w:right="49" w:firstLine="0"/>
        <w:contextualSpacing/>
        <w:jc w:val="both"/>
        <w:rPr>
          <w:rFonts w:ascii="Palatino Linotype" w:hAnsi="Palatino Linotype"/>
          <w:color w:val="000000"/>
          <w:sz w:val="28"/>
          <w:lang w:val="es-ES_tradnl"/>
        </w:rPr>
      </w:pPr>
      <w:r>
        <w:rPr>
          <w:rFonts w:ascii="Palatino Linotype" w:hAnsi="Palatino Linotype"/>
          <w:color w:val="000000"/>
          <w:lang w:val="es-ES_tradnl"/>
        </w:rPr>
        <w:t xml:space="preserve">Aunado a ello, el artículo 29 y 30 de la Ley </w:t>
      </w:r>
      <w:r>
        <w:rPr>
          <w:rFonts w:ascii="Palatino Linotype" w:eastAsia="Calibri" w:hAnsi="Palatino Linotype" w:cs="Tahoma"/>
          <w:iCs/>
          <w:sz w:val="22"/>
          <w:szCs w:val="22"/>
          <w:lang w:val="es-ES" w:eastAsia="es-ES_tradnl"/>
        </w:rPr>
        <w:t xml:space="preserve">Ley </w:t>
      </w:r>
      <w:r w:rsidRPr="00A1172E">
        <w:rPr>
          <w:rFonts w:ascii="Palatino Linotype" w:eastAsia="Calibri" w:hAnsi="Palatino Linotype" w:cs="Tahoma"/>
          <w:iCs/>
          <w:szCs w:val="22"/>
          <w:lang w:val="es-ES" w:eastAsia="es-ES_tradnl"/>
        </w:rPr>
        <w:t>que Regula el Régimen de Propiedad en Condominio en el Estado de México</w:t>
      </w:r>
      <w:r>
        <w:rPr>
          <w:rFonts w:ascii="Palatino Linotype" w:eastAsia="Calibri" w:hAnsi="Palatino Linotype" w:cs="Tahoma"/>
          <w:iCs/>
          <w:szCs w:val="22"/>
          <w:lang w:val="es-ES" w:eastAsia="es-ES_tradnl"/>
        </w:rPr>
        <w:t xml:space="preserve"> establece entre otras facultades de la asamblea, la de nombrar y remover al administrador o al comité de administración </w:t>
      </w:r>
      <w:r>
        <w:rPr>
          <w:rFonts w:ascii="Palatino Linotype" w:eastAsia="Calibri" w:hAnsi="Palatino Linotype" w:cs="Tahoma"/>
          <w:iCs/>
          <w:szCs w:val="22"/>
          <w:lang w:val="es-ES" w:eastAsia="es-ES_tradnl"/>
        </w:rPr>
        <w:lastRenderedPageBreak/>
        <w:t xml:space="preserve">en términos del reglamento interior de condominios; asimismo, el artículo 30 </w:t>
      </w:r>
      <w:r w:rsidR="000A2EB0">
        <w:rPr>
          <w:rFonts w:ascii="Palatino Linotype" w:eastAsia="Calibri" w:hAnsi="Palatino Linotype" w:cs="Tahoma"/>
          <w:iCs/>
          <w:szCs w:val="22"/>
          <w:lang w:val="es-ES" w:eastAsia="es-ES_tradnl"/>
        </w:rPr>
        <w:t>refiere que los condominios serán administrados por un Comité de Administración o por un administrador que designará la Asamblea General:</w:t>
      </w:r>
    </w:p>
    <w:p w:rsidR="00A1172E" w:rsidRDefault="00A1172E" w:rsidP="00A1172E">
      <w:pPr>
        <w:spacing w:line="360" w:lineRule="auto"/>
        <w:ind w:right="49"/>
        <w:contextualSpacing/>
        <w:jc w:val="both"/>
        <w:rPr>
          <w:rFonts w:ascii="Palatino Linotype" w:hAnsi="Palatino Linotype"/>
          <w:color w:val="000000"/>
          <w:sz w:val="28"/>
          <w:lang w:val="es-ES_tradnl"/>
        </w:rPr>
      </w:pPr>
    </w:p>
    <w:p w:rsidR="00A1172E" w:rsidRDefault="00A1172E" w:rsidP="00A1172E">
      <w:pPr>
        <w:tabs>
          <w:tab w:val="left" w:pos="4962"/>
        </w:tabs>
        <w:spacing w:line="360" w:lineRule="auto"/>
        <w:ind w:left="567" w:right="539"/>
        <w:jc w:val="both"/>
        <w:rPr>
          <w:rFonts w:ascii="Palatino Linotype" w:eastAsia="Calibri" w:hAnsi="Palatino Linotype" w:cs="Tahoma"/>
          <w:i/>
          <w:iCs/>
          <w:szCs w:val="22"/>
          <w:lang w:eastAsia="es-ES_tradnl"/>
        </w:rPr>
      </w:pPr>
      <w:r w:rsidRPr="00E52A0A">
        <w:rPr>
          <w:rFonts w:ascii="Palatino Linotype" w:eastAsia="Calibri" w:hAnsi="Palatino Linotype" w:cs="Tahoma"/>
          <w:b/>
          <w:i/>
          <w:iCs/>
          <w:szCs w:val="22"/>
          <w:lang w:eastAsia="es-ES_tradnl"/>
        </w:rPr>
        <w:t>Artículo 29.-</w:t>
      </w:r>
      <w:r w:rsidRPr="00E52A0A">
        <w:rPr>
          <w:rFonts w:ascii="Palatino Linotype" w:eastAsia="Calibri" w:hAnsi="Palatino Linotype" w:cs="Tahoma"/>
          <w:i/>
          <w:iCs/>
          <w:szCs w:val="22"/>
          <w:lang w:eastAsia="es-ES_tradnl"/>
        </w:rPr>
        <w:t xml:space="preserve"> Serán facultades de la asamblea, sin menoscabo de las demás que le otorgue el reglamento interior del condominio las siguientes: </w:t>
      </w:r>
    </w:p>
    <w:p w:rsidR="00A1172E" w:rsidRDefault="00A1172E" w:rsidP="00A1172E">
      <w:pPr>
        <w:tabs>
          <w:tab w:val="left" w:pos="4962"/>
        </w:tabs>
        <w:spacing w:line="360" w:lineRule="auto"/>
        <w:ind w:left="567" w:right="539"/>
        <w:jc w:val="both"/>
        <w:rPr>
          <w:rFonts w:ascii="Palatino Linotype" w:eastAsia="Calibri" w:hAnsi="Palatino Linotype" w:cs="Tahoma"/>
          <w:i/>
          <w:iCs/>
          <w:szCs w:val="22"/>
          <w:lang w:eastAsia="es-ES_tradnl"/>
        </w:rPr>
      </w:pPr>
      <w:r w:rsidRPr="00E52A0A">
        <w:rPr>
          <w:rFonts w:ascii="Palatino Linotype" w:eastAsia="Calibri" w:hAnsi="Palatino Linotype" w:cs="Tahoma"/>
          <w:i/>
          <w:iCs/>
          <w:szCs w:val="22"/>
          <w:lang w:eastAsia="es-ES_tradnl"/>
        </w:rPr>
        <w:t xml:space="preserve">I. </w:t>
      </w:r>
      <w:r w:rsidRPr="00E52A0A">
        <w:rPr>
          <w:rFonts w:ascii="Palatino Linotype" w:eastAsia="Calibri" w:hAnsi="Palatino Linotype" w:cs="Tahoma"/>
          <w:b/>
          <w:i/>
          <w:iCs/>
          <w:szCs w:val="22"/>
          <w:u w:val="single"/>
          <w:lang w:eastAsia="es-ES_tradnl"/>
        </w:rPr>
        <w:t>Nombrar y remover al administrador o al comité de administración en los términos del reglamento interior del condominio</w:t>
      </w:r>
      <w:r w:rsidRPr="00E52A0A">
        <w:rPr>
          <w:rFonts w:ascii="Palatino Linotype" w:eastAsia="Calibri" w:hAnsi="Palatino Linotype" w:cs="Tahoma"/>
          <w:i/>
          <w:iCs/>
          <w:szCs w:val="22"/>
          <w:lang w:eastAsia="es-ES_tradnl"/>
        </w:rPr>
        <w:t>, excepto al que funja el primer año, que será designado por quienes otorguen la escritura constitutiva del condominio;</w:t>
      </w:r>
    </w:p>
    <w:p w:rsidR="00A1172E" w:rsidRDefault="00A1172E" w:rsidP="00A1172E">
      <w:pPr>
        <w:tabs>
          <w:tab w:val="left" w:pos="4962"/>
        </w:tabs>
        <w:spacing w:line="360" w:lineRule="auto"/>
        <w:ind w:left="567" w:right="539"/>
        <w:jc w:val="both"/>
        <w:rPr>
          <w:rFonts w:ascii="Palatino Linotype" w:eastAsia="Calibri" w:hAnsi="Palatino Linotype" w:cs="Tahoma"/>
          <w:i/>
          <w:iCs/>
          <w:szCs w:val="22"/>
          <w:lang w:eastAsia="es-ES_tradnl"/>
        </w:rPr>
      </w:pPr>
      <w:r w:rsidRPr="00E52A0A">
        <w:rPr>
          <w:rFonts w:ascii="Palatino Linotype" w:eastAsia="Calibri" w:hAnsi="Palatino Linotype" w:cs="Tahoma"/>
          <w:i/>
          <w:iCs/>
          <w:szCs w:val="22"/>
          <w:lang w:eastAsia="es-ES_tradnl"/>
        </w:rPr>
        <w:t>II. Precisar las responsabilidades frente a terceros a cargo directo del administrador o del comité de administración y las que corran a cargo de los condóminos, por actos de aquél, ejecutados con motivo del desempeño de su cargo;</w:t>
      </w:r>
    </w:p>
    <w:p w:rsidR="00A1172E" w:rsidRDefault="00A1172E" w:rsidP="00A1172E">
      <w:pPr>
        <w:tabs>
          <w:tab w:val="left" w:pos="4962"/>
        </w:tabs>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III a XI…</w:t>
      </w:r>
    </w:p>
    <w:p w:rsidR="000A2EB0" w:rsidRDefault="000A2EB0" w:rsidP="00A1172E">
      <w:pPr>
        <w:tabs>
          <w:tab w:val="left" w:pos="4962"/>
        </w:tabs>
        <w:spacing w:line="360" w:lineRule="auto"/>
        <w:ind w:left="567" w:right="539"/>
        <w:jc w:val="both"/>
        <w:rPr>
          <w:rFonts w:ascii="Palatino Linotype" w:eastAsia="Calibri" w:hAnsi="Palatino Linotype" w:cs="Tahoma"/>
          <w:i/>
          <w:iCs/>
          <w:szCs w:val="22"/>
          <w:lang w:eastAsia="es-ES_tradnl"/>
        </w:rPr>
      </w:pPr>
    </w:p>
    <w:p w:rsidR="000A2EB0" w:rsidRDefault="000A2EB0" w:rsidP="000A2EB0">
      <w:pPr>
        <w:tabs>
          <w:tab w:val="left" w:pos="4962"/>
        </w:tabs>
        <w:spacing w:line="360" w:lineRule="auto"/>
        <w:ind w:left="567" w:right="539"/>
        <w:jc w:val="both"/>
        <w:rPr>
          <w:rFonts w:ascii="Palatino Linotype" w:eastAsia="Calibri" w:hAnsi="Palatino Linotype" w:cs="Tahoma"/>
          <w:i/>
          <w:iCs/>
          <w:szCs w:val="22"/>
          <w:lang w:eastAsia="es-ES_tradnl"/>
        </w:rPr>
      </w:pPr>
      <w:r w:rsidRPr="00E62C86">
        <w:rPr>
          <w:rFonts w:ascii="Palatino Linotype" w:eastAsia="Calibri" w:hAnsi="Palatino Linotype" w:cs="Tahoma"/>
          <w:b/>
          <w:i/>
          <w:iCs/>
          <w:szCs w:val="22"/>
          <w:lang w:eastAsia="es-ES_tradnl"/>
        </w:rPr>
        <w:t>Artículo 30.-</w:t>
      </w:r>
      <w:r w:rsidRPr="00E62C86">
        <w:rPr>
          <w:rFonts w:ascii="Palatino Linotype" w:eastAsia="Calibri" w:hAnsi="Palatino Linotype" w:cs="Tahoma"/>
          <w:i/>
          <w:iCs/>
          <w:szCs w:val="22"/>
          <w:lang w:eastAsia="es-ES_tradnl"/>
        </w:rPr>
        <w:t xml:space="preserve"> </w:t>
      </w:r>
      <w:r w:rsidRPr="00E62C86">
        <w:rPr>
          <w:rFonts w:ascii="Palatino Linotype" w:eastAsia="Calibri" w:hAnsi="Palatino Linotype" w:cs="Tahoma"/>
          <w:b/>
          <w:i/>
          <w:iCs/>
          <w:szCs w:val="22"/>
          <w:u w:val="single"/>
          <w:lang w:eastAsia="es-ES_tradnl"/>
        </w:rPr>
        <w:t>Los condominios serán administrados por un Comité de Administración o por un administrador que designará la Asamblea General</w:t>
      </w:r>
      <w:r w:rsidRPr="00E62C86">
        <w:rPr>
          <w:rFonts w:ascii="Palatino Linotype" w:eastAsia="Calibri" w:hAnsi="Palatino Linotype" w:cs="Tahoma"/>
          <w:i/>
          <w:iCs/>
          <w:szCs w:val="22"/>
          <w:lang w:eastAsia="es-ES_tradnl"/>
        </w:rPr>
        <w:t>, por el tiempo que ésta determine, salvo cuando la designación recaiga en un condómino, en cuyo caso durará en el cargo de uno a tres años, según lo disponga la asamblea.</w:t>
      </w:r>
    </w:p>
    <w:p w:rsidR="000A2EB0" w:rsidRPr="00E52A0A" w:rsidRDefault="000A2EB0" w:rsidP="000A2EB0">
      <w:pPr>
        <w:tabs>
          <w:tab w:val="left" w:pos="4962"/>
        </w:tabs>
        <w:spacing w:line="360" w:lineRule="auto"/>
        <w:ind w:left="567" w:right="539"/>
        <w:jc w:val="both"/>
        <w:rPr>
          <w:rFonts w:ascii="Palatino Linotype" w:eastAsia="Calibri" w:hAnsi="Palatino Linotype" w:cs="Tahoma"/>
          <w:i/>
          <w:iCs/>
          <w:szCs w:val="22"/>
          <w:lang w:val="es-ES" w:eastAsia="es-ES_tradnl"/>
        </w:rPr>
      </w:pPr>
      <w:r>
        <w:rPr>
          <w:rFonts w:ascii="Palatino Linotype" w:eastAsia="Calibri" w:hAnsi="Palatino Linotype" w:cs="Tahoma"/>
          <w:b/>
          <w:i/>
          <w:iCs/>
          <w:szCs w:val="22"/>
          <w:lang w:eastAsia="es-ES_tradnl"/>
        </w:rPr>
        <w:t>…</w:t>
      </w:r>
    </w:p>
    <w:p w:rsidR="00A1172E" w:rsidRPr="00A1172E" w:rsidRDefault="00A1172E" w:rsidP="00A1172E">
      <w:pPr>
        <w:spacing w:line="360" w:lineRule="auto"/>
        <w:ind w:right="49"/>
        <w:contextualSpacing/>
        <w:jc w:val="both"/>
        <w:rPr>
          <w:rFonts w:ascii="Palatino Linotype" w:hAnsi="Palatino Linotype"/>
          <w:color w:val="000000"/>
          <w:sz w:val="28"/>
          <w:lang w:val="es-ES_tradnl"/>
        </w:rPr>
      </w:pPr>
    </w:p>
    <w:p w:rsidR="000B718C" w:rsidRDefault="000B718C" w:rsidP="000B718C">
      <w:pPr>
        <w:numPr>
          <w:ilvl w:val="0"/>
          <w:numId w:val="1"/>
        </w:numPr>
        <w:spacing w:line="360" w:lineRule="auto"/>
        <w:ind w:left="0" w:right="49" w:firstLine="0"/>
        <w:contextualSpacing/>
        <w:jc w:val="both"/>
        <w:rPr>
          <w:rFonts w:ascii="Palatino Linotype" w:hAnsi="Palatino Linotype"/>
          <w:iCs/>
          <w:color w:val="000000"/>
          <w:lang w:val="es-ES"/>
        </w:rPr>
      </w:pPr>
      <w:r>
        <w:rPr>
          <w:rFonts w:ascii="Palatino Linotype" w:hAnsi="Palatino Linotype"/>
          <w:color w:val="000000"/>
          <w:lang w:val="es-ES_tradnl"/>
        </w:rPr>
        <w:t xml:space="preserve">De lo anteriormente referido, se concluye  </w:t>
      </w:r>
      <w:r w:rsidRPr="000B718C">
        <w:rPr>
          <w:rFonts w:ascii="Palatino Linotype" w:hAnsi="Palatino Linotype"/>
          <w:iCs/>
          <w:color w:val="000000"/>
          <w:lang w:val="es-ES"/>
        </w:rPr>
        <w:t xml:space="preserve">que el Sujeto Obligado no tiene participación en la asamblea del Fraccionamiento Real de San Fernando y por lo tanto </w:t>
      </w:r>
      <w:r w:rsidRPr="000B718C">
        <w:rPr>
          <w:rFonts w:ascii="Palatino Linotype" w:hAnsi="Palatino Linotype"/>
          <w:iCs/>
          <w:color w:val="000000"/>
          <w:lang w:val="es-ES"/>
        </w:rPr>
        <w:lastRenderedPageBreak/>
        <w:t>no posee o administra, las actas que se generen, así como tampoco cuenta con atribuciones para nombrar y/o remover al administrador ya que esta atribución le corresponde a la asamblea de cada condominio, situación que se encuentra claramente señalada en el artículo 29 arriba citado.</w:t>
      </w:r>
    </w:p>
    <w:p w:rsidR="000B718C" w:rsidRPr="000B718C" w:rsidRDefault="000B718C" w:rsidP="000B718C">
      <w:pPr>
        <w:spacing w:line="360" w:lineRule="auto"/>
        <w:ind w:right="49"/>
        <w:contextualSpacing/>
        <w:jc w:val="both"/>
        <w:rPr>
          <w:rFonts w:ascii="Palatino Linotype" w:hAnsi="Palatino Linotype"/>
          <w:iCs/>
          <w:color w:val="000000"/>
          <w:lang w:val="es-ES"/>
        </w:rPr>
      </w:pPr>
    </w:p>
    <w:p w:rsidR="000B718C" w:rsidRPr="000B718C" w:rsidRDefault="000B718C" w:rsidP="000B718C">
      <w:pPr>
        <w:numPr>
          <w:ilvl w:val="0"/>
          <w:numId w:val="1"/>
        </w:numPr>
        <w:spacing w:line="360" w:lineRule="auto"/>
        <w:ind w:left="0" w:right="49" w:firstLine="0"/>
        <w:contextualSpacing/>
        <w:jc w:val="both"/>
        <w:rPr>
          <w:rFonts w:ascii="Palatino Linotype" w:hAnsi="Palatino Linotype"/>
          <w:color w:val="000000"/>
          <w:lang w:val="es-ES_tradnl"/>
        </w:rPr>
      </w:pPr>
      <w:r w:rsidRPr="000B718C">
        <w:rPr>
          <w:rFonts w:ascii="Palatino Linotype" w:hAnsi="Palatino Linotype"/>
          <w:color w:val="000000"/>
          <w:lang w:val="es-ES_tradnl"/>
        </w:rPr>
        <w:t>Aunado a lo anterior, el Ayuntamiento en respuesta señaló que en función de sus atribuciones a brindando Platicas Condominales que permiten dar a conocer los derechos y obligaciones que emanan de la Ley que Regula el Régimen de Propiedad en Condominio del Estado de México, en las cuales se promueve que deberán tener conformadas Mesas Directivas que representen a los condóminos de cada fraccionamiento, calle o privada para que por su cuenta convoque a los condóminos que la integran a efecto de que lleguen a diversos acuerdos que permitan la sana convivencia entre ellos, además de especificar qué no toma partido en los puntos que trata cada asamblea (en el caso específico dentro del Fraccionamiento Real de San Fernando de Cuautitlán), además de manifestar que ha impartido dos pláticas con esta información.</w:t>
      </w:r>
    </w:p>
    <w:p w:rsidR="000B718C" w:rsidRPr="000B718C" w:rsidRDefault="000B718C" w:rsidP="000B718C">
      <w:pPr>
        <w:spacing w:line="360" w:lineRule="auto"/>
        <w:ind w:right="49"/>
        <w:contextualSpacing/>
        <w:jc w:val="both"/>
        <w:rPr>
          <w:rFonts w:ascii="Palatino Linotype" w:hAnsi="Palatino Linotype"/>
          <w:color w:val="000000"/>
          <w:lang w:val="es-ES_tradnl"/>
        </w:rPr>
      </w:pPr>
    </w:p>
    <w:p w:rsidR="000B718C" w:rsidRDefault="000B718C" w:rsidP="000B718C">
      <w:pPr>
        <w:numPr>
          <w:ilvl w:val="0"/>
          <w:numId w:val="1"/>
        </w:numPr>
        <w:spacing w:line="360" w:lineRule="auto"/>
        <w:ind w:left="0" w:right="49" w:firstLine="0"/>
        <w:contextualSpacing/>
        <w:jc w:val="both"/>
        <w:rPr>
          <w:rFonts w:ascii="Palatino Linotype" w:hAnsi="Palatino Linotype"/>
          <w:color w:val="000000"/>
          <w:lang w:val="es-ES_tradnl"/>
        </w:rPr>
      </w:pPr>
      <w:r w:rsidRPr="000B718C">
        <w:rPr>
          <w:rFonts w:ascii="Palatino Linotype" w:hAnsi="Palatino Linotype"/>
          <w:color w:val="000000"/>
          <w:lang w:val="es-ES_tradnl"/>
        </w:rPr>
        <w:t>Respecto las Pláticas mencionadas por el Sujeto Obligado, estas encuentran sustento en el artículo 45 de la Ley mencionada en el párrafo anterior, ya que establece que los ayuntamientos por conducto de las dependencias competentes, realizarán campañas tendientes a la promoción de la cultura condominal, en las que deberán realizar charlas, conferencias y entrega de material que contenga los derechos y obligaci</w:t>
      </w:r>
      <w:r>
        <w:rPr>
          <w:rFonts w:ascii="Palatino Linotype" w:hAnsi="Palatino Linotype"/>
          <w:color w:val="000000"/>
          <w:lang w:val="es-ES_tradnl"/>
        </w:rPr>
        <w:t>ones de condóminos y residentes:</w:t>
      </w:r>
    </w:p>
    <w:p w:rsidR="000B718C" w:rsidRDefault="000B718C" w:rsidP="000B718C">
      <w:pPr>
        <w:spacing w:line="360" w:lineRule="auto"/>
        <w:ind w:right="49"/>
        <w:contextualSpacing/>
        <w:jc w:val="both"/>
        <w:rPr>
          <w:rFonts w:ascii="Palatino Linotype" w:hAnsi="Palatino Linotype"/>
          <w:color w:val="000000"/>
          <w:lang w:val="es-ES_tradnl"/>
        </w:rPr>
      </w:pPr>
    </w:p>
    <w:p w:rsidR="000B718C" w:rsidRDefault="000B718C" w:rsidP="000B718C">
      <w:pPr>
        <w:spacing w:line="360" w:lineRule="auto"/>
        <w:ind w:left="851" w:right="822"/>
        <w:contextualSpacing/>
        <w:jc w:val="both"/>
        <w:rPr>
          <w:rFonts w:ascii="Palatino Linotype" w:hAnsi="Palatino Linotype"/>
          <w:i/>
          <w:sz w:val="22"/>
        </w:rPr>
      </w:pPr>
      <w:r w:rsidRPr="000B718C">
        <w:rPr>
          <w:rFonts w:ascii="Palatino Linotype" w:hAnsi="Palatino Linotype"/>
          <w:i/>
          <w:sz w:val="22"/>
        </w:rPr>
        <w:lastRenderedPageBreak/>
        <w:t>“Artículo 45.- De manera semestral, los ayuntamientos por conducto de las dependencias competentes, realizarán campañas tendientes a la promoción de la cultura condominal, en las que deberán realizar charlas, conferencias y entrega de material que contenga los derechos y obligaciones de condóminos y residentes, así como las vías y procedimientos a seguir en caso de controversias.”</w:t>
      </w:r>
    </w:p>
    <w:p w:rsidR="000B718C" w:rsidRDefault="000B718C" w:rsidP="000B718C">
      <w:pPr>
        <w:spacing w:line="360" w:lineRule="auto"/>
        <w:ind w:right="49"/>
        <w:contextualSpacing/>
        <w:jc w:val="both"/>
        <w:rPr>
          <w:rFonts w:ascii="Palatino Linotype" w:hAnsi="Palatino Linotype"/>
          <w:color w:val="000000"/>
          <w:lang w:val="es-ES_tradnl"/>
        </w:rPr>
      </w:pPr>
    </w:p>
    <w:p w:rsidR="004F5FF5" w:rsidRPr="004F5FF5" w:rsidRDefault="000B718C" w:rsidP="004F5FF5">
      <w:pPr>
        <w:numPr>
          <w:ilvl w:val="0"/>
          <w:numId w:val="1"/>
        </w:numPr>
        <w:spacing w:line="360" w:lineRule="auto"/>
        <w:ind w:left="0" w:right="49" w:firstLine="0"/>
        <w:contextualSpacing/>
        <w:jc w:val="both"/>
        <w:rPr>
          <w:rFonts w:ascii="Palatino Linotype" w:hAnsi="Palatino Linotype"/>
          <w:color w:val="000000"/>
          <w:sz w:val="28"/>
          <w:lang w:val="es-ES_tradnl"/>
        </w:rPr>
      </w:pPr>
      <w:r w:rsidRPr="004F5FF5">
        <w:rPr>
          <w:rFonts w:ascii="Palatino Linotype" w:eastAsia="Calibri" w:hAnsi="Palatino Linotype" w:cs="Tahoma"/>
          <w:iCs/>
          <w:szCs w:val="22"/>
          <w:lang w:eastAsia="es-ES_tradnl"/>
        </w:rPr>
        <w:t xml:space="preserve">Del mismo modo, el Sujeto Obligado manifestó que derivado de los Juicios Administrativos tampoco ha otorgado algún permiso por parte de la Sindicatura Municipal, para la recolección de cuotas, razón por la cual se advierte que se pronunció el área correspondiente que podía haber contado con la información ya que el artículo 46 de la multicitada Ley </w:t>
      </w:r>
      <w:r w:rsidRPr="004F5FF5">
        <w:rPr>
          <w:rFonts w:ascii="Palatino Linotype" w:eastAsia="Calibri" w:hAnsi="Palatino Linotype" w:cs="Tahoma"/>
          <w:iCs/>
          <w:szCs w:val="22"/>
          <w:lang w:val="es-ES" w:eastAsia="es-ES_tradnl"/>
        </w:rPr>
        <w:t>que Regula el Régimen de Propiedad en Condominio del Estado de México, señala al Síndico Municipal como el competente para desahogar los procedimientos arbitrales para resolver controversias en materia de propiedad en condominio.</w:t>
      </w:r>
    </w:p>
    <w:p w:rsidR="004F5FF5" w:rsidRPr="004F5FF5" w:rsidRDefault="004F5FF5" w:rsidP="004F5FF5">
      <w:pPr>
        <w:spacing w:line="360" w:lineRule="auto"/>
        <w:ind w:right="49"/>
        <w:contextualSpacing/>
        <w:jc w:val="both"/>
        <w:rPr>
          <w:rFonts w:ascii="Palatino Linotype" w:hAnsi="Palatino Linotype"/>
          <w:color w:val="000000"/>
          <w:sz w:val="28"/>
          <w:lang w:val="es-ES_tradnl"/>
        </w:rPr>
      </w:pPr>
    </w:p>
    <w:p w:rsidR="000B718C" w:rsidRPr="004F5FF5" w:rsidRDefault="000B718C" w:rsidP="004F5FF5">
      <w:pPr>
        <w:numPr>
          <w:ilvl w:val="0"/>
          <w:numId w:val="1"/>
        </w:numPr>
        <w:spacing w:line="360" w:lineRule="auto"/>
        <w:ind w:left="0" w:right="49" w:firstLine="0"/>
        <w:contextualSpacing/>
        <w:jc w:val="both"/>
        <w:rPr>
          <w:rFonts w:ascii="Palatino Linotype" w:hAnsi="Palatino Linotype"/>
          <w:color w:val="000000"/>
          <w:sz w:val="28"/>
          <w:lang w:val="es-ES_tradnl"/>
        </w:rPr>
      </w:pPr>
      <w:r w:rsidRPr="004F5FF5">
        <w:rPr>
          <w:rFonts w:ascii="Palatino Linotype" w:hAnsi="Palatino Linotype" w:cs="Tahoma"/>
          <w:bCs/>
          <w:iCs/>
          <w:szCs w:val="22"/>
        </w:rPr>
        <w:t xml:space="preserve">Conforme a la establecido, se colige que el Ente Recurrido, turno la solicitud de acceso a la información a la unidad que pudiera haber contado con la información solicitada, a saber, la Sindicatura Municipal, </w:t>
      </w:r>
      <w:r w:rsidRPr="004F5FF5">
        <w:rPr>
          <w:rFonts w:ascii="Palatino Linotype" w:eastAsia="Calibri" w:hAnsi="Palatino Linotype" w:cs="Tahoma"/>
          <w:bCs/>
          <w:szCs w:val="22"/>
          <w:lang w:eastAsia="en-US"/>
        </w:rPr>
        <w:t>de</w:t>
      </w:r>
      <w:r w:rsidRPr="004F5FF5">
        <w:rPr>
          <w:rFonts w:ascii="Palatino Linotype" w:eastAsia="Calibri" w:hAnsi="Palatino Linotype" w:cs="Tahoma"/>
          <w:iCs/>
          <w:szCs w:val="22"/>
          <w:lang w:val="es-ES" w:eastAsia="es-ES_tradnl"/>
        </w:rPr>
        <w:t xml:space="preserve"> tales circunstancias, se colige que los sujetos obligados únicamente están constreñidos a proporcionar la documentación que obre en sus archivos; por lo que, no están obligados a generar o elaborar documentos </w:t>
      </w:r>
      <w:r w:rsidRPr="004F5FF5">
        <w:rPr>
          <w:rFonts w:ascii="Palatino Linotype" w:eastAsia="Calibri" w:hAnsi="Palatino Linotype" w:cs="Tahoma"/>
          <w:i/>
          <w:iCs/>
          <w:szCs w:val="22"/>
          <w:lang w:val="es-ES" w:eastAsia="es-ES_tradnl"/>
        </w:rPr>
        <w:t>Ad hoc,</w:t>
      </w:r>
      <w:r w:rsidRPr="004F5FF5">
        <w:rPr>
          <w:rFonts w:ascii="Palatino Linotype" w:eastAsia="Calibri" w:hAnsi="Palatino Linotype" w:cs="Tahoma"/>
          <w:iCs/>
          <w:szCs w:val="22"/>
          <w:lang w:val="es-ES" w:eastAsia="es-ES_tradnl"/>
        </w:rPr>
        <w:t xml:space="preserve"> robustece lo anterior el Criterio 3/17 del Instituto Nacional de Transparencia, Acceso a la Información y Protección de Datos Personales que a continuación se cita:</w:t>
      </w:r>
    </w:p>
    <w:p w:rsidR="004F5FF5" w:rsidRPr="004F5FF5" w:rsidRDefault="004F5FF5" w:rsidP="004F5FF5">
      <w:pPr>
        <w:spacing w:line="360" w:lineRule="auto"/>
        <w:ind w:right="49"/>
        <w:contextualSpacing/>
        <w:jc w:val="both"/>
        <w:rPr>
          <w:rFonts w:ascii="Palatino Linotype" w:hAnsi="Palatino Linotype"/>
          <w:color w:val="000000"/>
          <w:lang w:val="es-ES_tradnl"/>
        </w:rPr>
      </w:pPr>
    </w:p>
    <w:p w:rsidR="000B718C" w:rsidRPr="004F5FF5" w:rsidRDefault="000B718C" w:rsidP="000B718C">
      <w:pPr>
        <w:spacing w:line="360" w:lineRule="auto"/>
        <w:ind w:left="567" w:right="567"/>
        <w:jc w:val="both"/>
        <w:rPr>
          <w:rFonts w:ascii="Palatino Linotype" w:eastAsia="Arial" w:hAnsi="Palatino Linotype" w:cs="Arial"/>
          <w:i/>
          <w:sz w:val="22"/>
          <w:szCs w:val="22"/>
        </w:rPr>
      </w:pPr>
      <w:r w:rsidRPr="004F5FF5">
        <w:rPr>
          <w:rFonts w:ascii="Palatino Linotype" w:eastAsia="Arial" w:hAnsi="Palatino Linotype" w:cs="Arial"/>
          <w:b/>
          <w:i/>
          <w:sz w:val="22"/>
          <w:szCs w:val="22"/>
        </w:rPr>
        <w:lastRenderedPageBreak/>
        <w:t xml:space="preserve">No existe obligación de elaborar </w:t>
      </w:r>
      <w:r w:rsidRPr="004F5FF5">
        <w:rPr>
          <w:rFonts w:ascii="Palatino Linotype" w:eastAsia="Arial" w:hAnsi="Palatino Linotype" w:cs="Arial"/>
          <w:b/>
          <w:i/>
          <w:spacing w:val="-3"/>
          <w:sz w:val="22"/>
          <w:szCs w:val="22"/>
        </w:rPr>
        <w:t>d</w:t>
      </w:r>
      <w:r w:rsidRPr="004F5FF5">
        <w:rPr>
          <w:rFonts w:ascii="Palatino Linotype" w:eastAsia="Arial" w:hAnsi="Palatino Linotype" w:cs="Arial"/>
          <w:b/>
          <w:i/>
          <w:sz w:val="22"/>
          <w:szCs w:val="22"/>
        </w:rPr>
        <w:t>ocum</w:t>
      </w:r>
      <w:r w:rsidRPr="004F5FF5">
        <w:rPr>
          <w:rFonts w:ascii="Palatino Linotype" w:eastAsia="Arial" w:hAnsi="Palatino Linotype" w:cs="Arial"/>
          <w:b/>
          <w:i/>
          <w:spacing w:val="1"/>
          <w:sz w:val="22"/>
          <w:szCs w:val="22"/>
        </w:rPr>
        <w:t>e</w:t>
      </w:r>
      <w:r w:rsidRPr="004F5FF5">
        <w:rPr>
          <w:rFonts w:ascii="Palatino Linotype" w:eastAsia="Arial" w:hAnsi="Palatino Linotype" w:cs="Arial"/>
          <w:b/>
          <w:i/>
          <w:sz w:val="22"/>
          <w:szCs w:val="22"/>
        </w:rPr>
        <w:t>n</w:t>
      </w:r>
      <w:r w:rsidRPr="004F5FF5">
        <w:rPr>
          <w:rFonts w:ascii="Palatino Linotype" w:eastAsia="Arial" w:hAnsi="Palatino Linotype" w:cs="Arial"/>
          <w:b/>
          <w:i/>
          <w:spacing w:val="-1"/>
          <w:sz w:val="22"/>
          <w:szCs w:val="22"/>
        </w:rPr>
        <w:t>t</w:t>
      </w:r>
      <w:r w:rsidRPr="004F5FF5">
        <w:rPr>
          <w:rFonts w:ascii="Palatino Linotype" w:eastAsia="Arial" w:hAnsi="Palatino Linotype" w:cs="Arial"/>
          <w:b/>
          <w:i/>
          <w:sz w:val="22"/>
          <w:szCs w:val="22"/>
        </w:rPr>
        <w:t xml:space="preserve">os </w:t>
      </w:r>
      <w:r w:rsidRPr="004F5FF5">
        <w:rPr>
          <w:rFonts w:ascii="Palatino Linotype" w:eastAsia="Arial" w:hAnsi="Palatino Linotype" w:cs="Arial"/>
          <w:b/>
          <w:i/>
          <w:spacing w:val="-1"/>
          <w:sz w:val="22"/>
          <w:szCs w:val="22"/>
        </w:rPr>
        <w:t xml:space="preserve">ad </w:t>
      </w:r>
      <w:r w:rsidRPr="004F5FF5">
        <w:rPr>
          <w:rFonts w:ascii="Palatino Linotype" w:eastAsia="Arial" w:hAnsi="Palatino Linotype" w:cs="Arial"/>
          <w:b/>
          <w:i/>
          <w:sz w:val="22"/>
          <w:szCs w:val="22"/>
        </w:rPr>
        <w:t>hoc para atender las sol</w:t>
      </w:r>
      <w:r w:rsidRPr="004F5FF5">
        <w:rPr>
          <w:rFonts w:ascii="Palatino Linotype" w:eastAsia="Arial" w:hAnsi="Palatino Linotype" w:cs="Arial"/>
          <w:b/>
          <w:i/>
          <w:spacing w:val="-2"/>
          <w:sz w:val="22"/>
          <w:szCs w:val="22"/>
        </w:rPr>
        <w:t>i</w:t>
      </w:r>
      <w:r w:rsidRPr="004F5FF5">
        <w:rPr>
          <w:rFonts w:ascii="Palatino Linotype" w:eastAsia="Arial" w:hAnsi="Palatino Linotype" w:cs="Arial"/>
          <w:b/>
          <w:i/>
          <w:spacing w:val="1"/>
          <w:sz w:val="22"/>
          <w:szCs w:val="22"/>
        </w:rPr>
        <w:t>c</w:t>
      </w:r>
      <w:r w:rsidRPr="004F5FF5">
        <w:rPr>
          <w:rFonts w:ascii="Palatino Linotype" w:eastAsia="Arial" w:hAnsi="Palatino Linotype" w:cs="Arial"/>
          <w:b/>
          <w:i/>
          <w:sz w:val="22"/>
          <w:szCs w:val="22"/>
        </w:rPr>
        <w:t xml:space="preserve">itudes de </w:t>
      </w:r>
      <w:r w:rsidRPr="004F5FF5">
        <w:rPr>
          <w:rFonts w:ascii="Palatino Linotype" w:eastAsia="Arial" w:hAnsi="Palatino Linotype" w:cs="Arial"/>
          <w:b/>
          <w:i/>
          <w:spacing w:val="1"/>
          <w:sz w:val="22"/>
          <w:szCs w:val="22"/>
        </w:rPr>
        <w:t>ac</w:t>
      </w:r>
      <w:r w:rsidRPr="004F5FF5">
        <w:rPr>
          <w:rFonts w:ascii="Palatino Linotype" w:eastAsia="Arial" w:hAnsi="Palatino Linotype" w:cs="Arial"/>
          <w:b/>
          <w:i/>
          <w:spacing w:val="-1"/>
          <w:sz w:val="22"/>
          <w:szCs w:val="22"/>
        </w:rPr>
        <w:t>c</w:t>
      </w:r>
      <w:r w:rsidRPr="004F5FF5">
        <w:rPr>
          <w:rFonts w:ascii="Palatino Linotype" w:eastAsia="Arial" w:hAnsi="Palatino Linotype" w:cs="Arial"/>
          <w:b/>
          <w:i/>
          <w:spacing w:val="1"/>
          <w:sz w:val="22"/>
          <w:szCs w:val="22"/>
        </w:rPr>
        <w:t>es</w:t>
      </w:r>
      <w:r w:rsidRPr="004F5FF5">
        <w:rPr>
          <w:rFonts w:ascii="Palatino Linotype" w:eastAsia="Arial" w:hAnsi="Palatino Linotype" w:cs="Arial"/>
          <w:b/>
          <w:i/>
          <w:sz w:val="22"/>
          <w:szCs w:val="22"/>
        </w:rPr>
        <w:t>o a la informa</w:t>
      </w:r>
      <w:r w:rsidRPr="004F5FF5">
        <w:rPr>
          <w:rFonts w:ascii="Palatino Linotype" w:eastAsia="Arial" w:hAnsi="Palatino Linotype" w:cs="Arial"/>
          <w:b/>
          <w:i/>
          <w:spacing w:val="1"/>
          <w:sz w:val="22"/>
          <w:szCs w:val="22"/>
        </w:rPr>
        <w:t>c</w:t>
      </w:r>
      <w:r w:rsidRPr="004F5FF5">
        <w:rPr>
          <w:rFonts w:ascii="Palatino Linotype" w:eastAsia="Arial" w:hAnsi="Palatino Linotype" w:cs="Arial"/>
          <w:b/>
          <w:i/>
          <w:sz w:val="22"/>
          <w:szCs w:val="22"/>
        </w:rPr>
        <w:t>ió</w:t>
      </w:r>
      <w:r w:rsidRPr="004F5FF5">
        <w:rPr>
          <w:rFonts w:ascii="Palatino Linotype" w:eastAsia="Arial" w:hAnsi="Palatino Linotype" w:cs="Arial"/>
          <w:b/>
          <w:i/>
          <w:spacing w:val="-2"/>
          <w:sz w:val="22"/>
          <w:szCs w:val="22"/>
        </w:rPr>
        <w:t>n</w:t>
      </w:r>
      <w:r w:rsidRPr="004F5FF5">
        <w:rPr>
          <w:rFonts w:ascii="Palatino Linotype" w:eastAsia="Arial" w:hAnsi="Palatino Linotype" w:cs="Arial"/>
          <w:b/>
          <w:i/>
          <w:sz w:val="22"/>
          <w:szCs w:val="22"/>
        </w:rPr>
        <w:t xml:space="preserve">. </w:t>
      </w:r>
      <w:r w:rsidRPr="004F5FF5">
        <w:rPr>
          <w:rFonts w:ascii="Palatino Linotype" w:eastAsia="Arial" w:hAnsi="Palatino Linotype" w:cs="Arial"/>
          <w:i/>
          <w:spacing w:val="18"/>
          <w:sz w:val="22"/>
          <w:szCs w:val="22"/>
        </w:rPr>
        <w:t>L</w:t>
      </w:r>
      <w:r w:rsidRPr="004F5FF5">
        <w:rPr>
          <w:rFonts w:ascii="Palatino Linotype" w:eastAsia="Arial" w:hAnsi="Palatino Linotype" w:cs="Arial"/>
          <w:i/>
          <w:spacing w:val="-1"/>
          <w:sz w:val="22"/>
          <w:szCs w:val="22"/>
        </w:rPr>
        <w:t xml:space="preserve">os </w:t>
      </w:r>
      <w:r w:rsidRPr="004F5FF5">
        <w:rPr>
          <w:rFonts w:ascii="Palatino Linotype" w:eastAsia="Arial" w:hAnsi="Palatino Linotype" w:cs="Arial"/>
          <w:i/>
          <w:spacing w:val="1"/>
          <w:sz w:val="22"/>
          <w:szCs w:val="22"/>
        </w:rPr>
        <w:t>a</w:t>
      </w:r>
      <w:r w:rsidRPr="004F5FF5">
        <w:rPr>
          <w:rFonts w:ascii="Palatino Linotype" w:eastAsia="Arial" w:hAnsi="Palatino Linotype" w:cs="Arial"/>
          <w:i/>
          <w:sz w:val="22"/>
          <w:szCs w:val="22"/>
        </w:rPr>
        <w:t>rt</w:t>
      </w:r>
      <w:r w:rsidRPr="004F5FF5">
        <w:rPr>
          <w:rFonts w:ascii="Palatino Linotype" w:eastAsia="Arial" w:hAnsi="Palatino Linotype" w:cs="Arial"/>
          <w:i/>
          <w:spacing w:val="-2"/>
          <w:sz w:val="22"/>
          <w:szCs w:val="22"/>
        </w:rPr>
        <w:t>í</w:t>
      </w:r>
      <w:r w:rsidRPr="004F5FF5">
        <w:rPr>
          <w:rFonts w:ascii="Palatino Linotype" w:eastAsia="Arial" w:hAnsi="Palatino Linotype" w:cs="Arial"/>
          <w:i/>
          <w:sz w:val="22"/>
          <w:szCs w:val="22"/>
        </w:rPr>
        <w:t>c</w:t>
      </w:r>
      <w:r w:rsidRPr="004F5FF5">
        <w:rPr>
          <w:rFonts w:ascii="Palatino Linotype" w:eastAsia="Arial" w:hAnsi="Palatino Linotype" w:cs="Arial"/>
          <w:i/>
          <w:spacing w:val="1"/>
          <w:sz w:val="22"/>
          <w:szCs w:val="22"/>
        </w:rPr>
        <w:t>u</w:t>
      </w:r>
      <w:r w:rsidRPr="004F5FF5">
        <w:rPr>
          <w:rFonts w:ascii="Palatino Linotype" w:eastAsia="Arial" w:hAnsi="Palatino Linotype" w:cs="Arial"/>
          <w:i/>
          <w:sz w:val="22"/>
          <w:szCs w:val="22"/>
        </w:rPr>
        <w:t>los</w:t>
      </w:r>
      <w:r w:rsidRPr="004F5FF5">
        <w:rPr>
          <w:rFonts w:ascii="Palatino Linotype" w:eastAsia="Arial" w:hAnsi="Palatino Linotype" w:cs="Arial"/>
          <w:i/>
          <w:spacing w:val="8"/>
          <w:sz w:val="22"/>
          <w:szCs w:val="22"/>
        </w:rPr>
        <w:t xml:space="preserve"> 129 </w:t>
      </w:r>
      <w:r w:rsidRPr="004F5FF5">
        <w:rPr>
          <w:rFonts w:ascii="Palatino Linotype" w:eastAsia="Arial" w:hAnsi="Palatino Linotype" w:cs="Arial"/>
          <w:i/>
          <w:spacing w:val="1"/>
          <w:sz w:val="22"/>
          <w:szCs w:val="22"/>
        </w:rPr>
        <w:t>d</w:t>
      </w:r>
      <w:r w:rsidRPr="004F5FF5">
        <w:rPr>
          <w:rFonts w:ascii="Palatino Linotype" w:eastAsia="Arial" w:hAnsi="Palatino Linotype" w:cs="Arial"/>
          <w:i/>
          <w:sz w:val="22"/>
          <w:szCs w:val="22"/>
        </w:rPr>
        <w:t xml:space="preserve">e la </w:t>
      </w:r>
      <w:r w:rsidRPr="004F5FF5">
        <w:rPr>
          <w:rFonts w:ascii="Palatino Linotype" w:eastAsia="Arial" w:hAnsi="Palatino Linotype" w:cs="Arial"/>
          <w:i/>
          <w:spacing w:val="-1"/>
          <w:sz w:val="22"/>
          <w:szCs w:val="22"/>
        </w:rPr>
        <w:t>L</w:t>
      </w:r>
      <w:r w:rsidRPr="004F5FF5">
        <w:rPr>
          <w:rFonts w:ascii="Palatino Linotype" w:eastAsia="Arial" w:hAnsi="Palatino Linotype" w:cs="Arial"/>
          <w:i/>
          <w:spacing w:val="1"/>
          <w:sz w:val="22"/>
          <w:szCs w:val="22"/>
        </w:rPr>
        <w:t>e</w:t>
      </w:r>
      <w:r w:rsidRPr="004F5FF5">
        <w:rPr>
          <w:rFonts w:ascii="Palatino Linotype" w:eastAsia="Arial" w:hAnsi="Palatino Linotype" w:cs="Arial"/>
          <w:i/>
          <w:sz w:val="22"/>
          <w:szCs w:val="22"/>
        </w:rPr>
        <w:t xml:space="preserve">y General </w:t>
      </w:r>
      <w:r w:rsidRPr="004F5FF5">
        <w:rPr>
          <w:rFonts w:ascii="Palatino Linotype" w:eastAsia="Arial" w:hAnsi="Palatino Linotype" w:cs="Arial"/>
          <w:i/>
          <w:spacing w:val="-1"/>
          <w:sz w:val="22"/>
          <w:szCs w:val="22"/>
        </w:rPr>
        <w:t>d</w:t>
      </w:r>
      <w:r w:rsidRPr="004F5FF5">
        <w:rPr>
          <w:rFonts w:ascii="Palatino Linotype" w:eastAsia="Arial" w:hAnsi="Palatino Linotype" w:cs="Arial"/>
          <w:i/>
          <w:sz w:val="22"/>
          <w:szCs w:val="22"/>
        </w:rPr>
        <w:t xml:space="preserve">e </w:t>
      </w:r>
      <w:r w:rsidRPr="004F5FF5">
        <w:rPr>
          <w:rFonts w:ascii="Palatino Linotype" w:eastAsia="Arial" w:hAnsi="Palatino Linotype" w:cs="Arial"/>
          <w:i/>
          <w:spacing w:val="2"/>
          <w:sz w:val="22"/>
          <w:szCs w:val="22"/>
        </w:rPr>
        <w:t>T</w:t>
      </w:r>
      <w:r w:rsidRPr="004F5FF5">
        <w:rPr>
          <w:rFonts w:ascii="Palatino Linotype" w:eastAsia="Arial" w:hAnsi="Palatino Linotype" w:cs="Arial"/>
          <w:i/>
          <w:sz w:val="22"/>
          <w:szCs w:val="22"/>
        </w:rPr>
        <w:t>r</w:t>
      </w:r>
      <w:r w:rsidRPr="004F5FF5">
        <w:rPr>
          <w:rFonts w:ascii="Palatino Linotype" w:eastAsia="Arial" w:hAnsi="Palatino Linotype" w:cs="Arial"/>
          <w:i/>
          <w:spacing w:val="-2"/>
          <w:sz w:val="22"/>
          <w:szCs w:val="22"/>
        </w:rPr>
        <w:t>a</w:t>
      </w:r>
      <w:r w:rsidRPr="004F5FF5">
        <w:rPr>
          <w:rFonts w:ascii="Palatino Linotype" w:eastAsia="Arial" w:hAnsi="Palatino Linotype" w:cs="Arial"/>
          <w:i/>
          <w:spacing w:val="1"/>
          <w:sz w:val="22"/>
          <w:szCs w:val="22"/>
        </w:rPr>
        <w:t>n</w:t>
      </w:r>
      <w:r w:rsidRPr="004F5FF5">
        <w:rPr>
          <w:rFonts w:ascii="Palatino Linotype" w:eastAsia="Arial" w:hAnsi="Palatino Linotype" w:cs="Arial"/>
          <w:i/>
          <w:sz w:val="22"/>
          <w:szCs w:val="22"/>
        </w:rPr>
        <w:t>s</w:t>
      </w:r>
      <w:r w:rsidRPr="004F5FF5">
        <w:rPr>
          <w:rFonts w:ascii="Palatino Linotype" w:eastAsia="Arial" w:hAnsi="Palatino Linotype" w:cs="Arial"/>
          <w:i/>
          <w:spacing w:val="1"/>
          <w:sz w:val="22"/>
          <w:szCs w:val="22"/>
        </w:rPr>
        <w:t>pa</w:t>
      </w:r>
      <w:r w:rsidRPr="004F5FF5">
        <w:rPr>
          <w:rFonts w:ascii="Palatino Linotype" w:eastAsia="Arial" w:hAnsi="Palatino Linotype" w:cs="Arial"/>
          <w:i/>
          <w:sz w:val="22"/>
          <w:szCs w:val="22"/>
        </w:rPr>
        <w:t>r</w:t>
      </w:r>
      <w:r w:rsidRPr="004F5FF5">
        <w:rPr>
          <w:rFonts w:ascii="Palatino Linotype" w:eastAsia="Arial" w:hAnsi="Palatino Linotype" w:cs="Arial"/>
          <w:i/>
          <w:spacing w:val="-2"/>
          <w:sz w:val="22"/>
          <w:szCs w:val="22"/>
        </w:rPr>
        <w:t>e</w:t>
      </w:r>
      <w:r w:rsidRPr="004F5FF5">
        <w:rPr>
          <w:rFonts w:ascii="Palatino Linotype" w:eastAsia="Arial" w:hAnsi="Palatino Linotype" w:cs="Arial"/>
          <w:i/>
          <w:spacing w:val="1"/>
          <w:sz w:val="22"/>
          <w:szCs w:val="22"/>
        </w:rPr>
        <w:t>n</w:t>
      </w:r>
      <w:r w:rsidRPr="004F5FF5">
        <w:rPr>
          <w:rFonts w:ascii="Palatino Linotype" w:eastAsia="Arial" w:hAnsi="Palatino Linotype" w:cs="Arial"/>
          <w:i/>
          <w:sz w:val="22"/>
          <w:szCs w:val="22"/>
        </w:rPr>
        <w:t>cia y Acc</w:t>
      </w:r>
      <w:r w:rsidRPr="004F5FF5">
        <w:rPr>
          <w:rFonts w:ascii="Palatino Linotype" w:eastAsia="Arial" w:hAnsi="Palatino Linotype" w:cs="Arial"/>
          <w:i/>
          <w:spacing w:val="1"/>
          <w:sz w:val="22"/>
          <w:szCs w:val="22"/>
        </w:rPr>
        <w:t>e</w:t>
      </w:r>
      <w:r w:rsidRPr="004F5FF5">
        <w:rPr>
          <w:rFonts w:ascii="Palatino Linotype" w:eastAsia="Arial" w:hAnsi="Palatino Linotype" w:cs="Arial"/>
          <w:i/>
          <w:sz w:val="22"/>
          <w:szCs w:val="22"/>
        </w:rPr>
        <w:t>so a la I</w:t>
      </w:r>
      <w:r w:rsidRPr="004F5FF5">
        <w:rPr>
          <w:rFonts w:ascii="Palatino Linotype" w:eastAsia="Arial" w:hAnsi="Palatino Linotype" w:cs="Arial"/>
          <w:i/>
          <w:spacing w:val="-1"/>
          <w:sz w:val="22"/>
          <w:szCs w:val="22"/>
        </w:rPr>
        <w:t>n</w:t>
      </w:r>
      <w:r w:rsidRPr="004F5FF5">
        <w:rPr>
          <w:rFonts w:ascii="Palatino Linotype" w:eastAsia="Arial" w:hAnsi="Palatino Linotype" w:cs="Arial"/>
          <w:i/>
          <w:sz w:val="22"/>
          <w:szCs w:val="22"/>
        </w:rPr>
        <w:t>f</w:t>
      </w:r>
      <w:r w:rsidRPr="004F5FF5">
        <w:rPr>
          <w:rFonts w:ascii="Palatino Linotype" w:eastAsia="Arial" w:hAnsi="Palatino Linotype" w:cs="Arial"/>
          <w:i/>
          <w:spacing w:val="1"/>
          <w:sz w:val="22"/>
          <w:szCs w:val="22"/>
        </w:rPr>
        <w:t>o</w:t>
      </w:r>
      <w:r w:rsidRPr="004F5FF5">
        <w:rPr>
          <w:rFonts w:ascii="Palatino Linotype" w:eastAsia="Arial" w:hAnsi="Palatino Linotype" w:cs="Arial"/>
          <w:i/>
          <w:spacing w:val="-3"/>
          <w:sz w:val="22"/>
          <w:szCs w:val="22"/>
        </w:rPr>
        <w:t>r</w:t>
      </w:r>
      <w:r w:rsidRPr="004F5FF5">
        <w:rPr>
          <w:rFonts w:ascii="Palatino Linotype" w:eastAsia="Arial" w:hAnsi="Palatino Linotype" w:cs="Arial"/>
          <w:i/>
          <w:spacing w:val="1"/>
          <w:sz w:val="22"/>
          <w:szCs w:val="22"/>
        </w:rPr>
        <w:t>ma</w:t>
      </w:r>
      <w:r w:rsidRPr="004F5FF5">
        <w:rPr>
          <w:rFonts w:ascii="Palatino Linotype" w:eastAsia="Arial" w:hAnsi="Palatino Linotype" w:cs="Arial"/>
          <w:i/>
          <w:sz w:val="22"/>
          <w:szCs w:val="22"/>
        </w:rPr>
        <w:t>ci</w:t>
      </w:r>
      <w:r w:rsidRPr="004F5FF5">
        <w:rPr>
          <w:rFonts w:ascii="Palatino Linotype" w:eastAsia="Arial" w:hAnsi="Palatino Linotype" w:cs="Arial"/>
          <w:i/>
          <w:spacing w:val="-2"/>
          <w:sz w:val="22"/>
          <w:szCs w:val="22"/>
        </w:rPr>
        <w:t>ó</w:t>
      </w:r>
      <w:r w:rsidRPr="004F5FF5">
        <w:rPr>
          <w:rFonts w:ascii="Palatino Linotype" w:eastAsia="Arial" w:hAnsi="Palatino Linotype" w:cs="Arial"/>
          <w:i/>
          <w:sz w:val="22"/>
          <w:szCs w:val="22"/>
        </w:rPr>
        <w:t xml:space="preserve">n </w:t>
      </w:r>
      <w:r w:rsidRPr="004F5FF5">
        <w:rPr>
          <w:rFonts w:ascii="Palatino Linotype" w:eastAsia="Arial" w:hAnsi="Palatino Linotype" w:cs="Arial"/>
          <w:i/>
          <w:spacing w:val="-2"/>
          <w:sz w:val="22"/>
          <w:szCs w:val="22"/>
        </w:rPr>
        <w:t>P</w:t>
      </w:r>
      <w:r w:rsidRPr="004F5FF5">
        <w:rPr>
          <w:rFonts w:ascii="Palatino Linotype" w:eastAsia="Arial" w:hAnsi="Palatino Linotype" w:cs="Arial"/>
          <w:i/>
          <w:spacing w:val="1"/>
          <w:sz w:val="22"/>
          <w:szCs w:val="22"/>
        </w:rPr>
        <w:t>úb</w:t>
      </w:r>
      <w:r w:rsidRPr="004F5FF5">
        <w:rPr>
          <w:rFonts w:ascii="Palatino Linotype" w:eastAsia="Arial" w:hAnsi="Palatino Linotype" w:cs="Arial"/>
          <w:i/>
          <w:sz w:val="22"/>
          <w:szCs w:val="22"/>
        </w:rPr>
        <w:t>l</w:t>
      </w:r>
      <w:r w:rsidRPr="004F5FF5">
        <w:rPr>
          <w:rFonts w:ascii="Palatino Linotype" w:eastAsia="Arial" w:hAnsi="Palatino Linotype" w:cs="Arial"/>
          <w:i/>
          <w:spacing w:val="-1"/>
          <w:sz w:val="22"/>
          <w:szCs w:val="22"/>
        </w:rPr>
        <w:t>i</w:t>
      </w:r>
      <w:r w:rsidRPr="004F5FF5">
        <w:rPr>
          <w:rFonts w:ascii="Palatino Linotype" w:eastAsia="Arial" w:hAnsi="Palatino Linotype" w:cs="Arial"/>
          <w:i/>
          <w:sz w:val="22"/>
          <w:szCs w:val="22"/>
        </w:rPr>
        <w:t xml:space="preserve">ca y </w:t>
      </w:r>
      <w:r w:rsidRPr="004F5FF5">
        <w:rPr>
          <w:rFonts w:ascii="Palatino Linotype" w:eastAsia="Arial" w:hAnsi="Palatino Linotype" w:cs="Arial"/>
          <w:i/>
          <w:spacing w:val="8"/>
          <w:sz w:val="22"/>
          <w:szCs w:val="22"/>
        </w:rPr>
        <w:t xml:space="preserve">130, párrafo cuarto, </w:t>
      </w:r>
      <w:r w:rsidRPr="004F5FF5">
        <w:rPr>
          <w:rFonts w:ascii="Palatino Linotype" w:eastAsia="Arial" w:hAnsi="Palatino Linotype" w:cs="Arial"/>
          <w:i/>
          <w:spacing w:val="1"/>
          <w:sz w:val="22"/>
          <w:szCs w:val="22"/>
        </w:rPr>
        <w:t>d</w:t>
      </w:r>
      <w:r w:rsidRPr="004F5FF5">
        <w:rPr>
          <w:rFonts w:ascii="Palatino Linotype" w:eastAsia="Arial" w:hAnsi="Palatino Linotype" w:cs="Arial"/>
          <w:i/>
          <w:sz w:val="22"/>
          <w:szCs w:val="22"/>
        </w:rPr>
        <w:t xml:space="preserve">e la </w:t>
      </w:r>
      <w:r w:rsidRPr="004F5FF5">
        <w:rPr>
          <w:rFonts w:ascii="Palatino Linotype" w:eastAsia="Arial" w:hAnsi="Palatino Linotype" w:cs="Arial"/>
          <w:i/>
          <w:spacing w:val="-1"/>
          <w:sz w:val="22"/>
          <w:szCs w:val="22"/>
        </w:rPr>
        <w:t>L</w:t>
      </w:r>
      <w:r w:rsidRPr="004F5FF5">
        <w:rPr>
          <w:rFonts w:ascii="Palatino Linotype" w:eastAsia="Arial" w:hAnsi="Palatino Linotype" w:cs="Arial"/>
          <w:i/>
          <w:spacing w:val="1"/>
          <w:sz w:val="22"/>
          <w:szCs w:val="22"/>
        </w:rPr>
        <w:t>e</w:t>
      </w:r>
      <w:r w:rsidRPr="004F5FF5">
        <w:rPr>
          <w:rFonts w:ascii="Palatino Linotype" w:eastAsia="Arial" w:hAnsi="Palatino Linotype" w:cs="Arial"/>
          <w:i/>
          <w:sz w:val="22"/>
          <w:szCs w:val="22"/>
        </w:rPr>
        <w:t>y Fe</w:t>
      </w:r>
      <w:r w:rsidRPr="004F5FF5">
        <w:rPr>
          <w:rFonts w:ascii="Palatino Linotype" w:eastAsia="Arial" w:hAnsi="Palatino Linotype" w:cs="Arial"/>
          <w:i/>
          <w:spacing w:val="1"/>
          <w:sz w:val="22"/>
          <w:szCs w:val="22"/>
        </w:rPr>
        <w:t>de</w:t>
      </w:r>
      <w:r w:rsidRPr="004F5FF5">
        <w:rPr>
          <w:rFonts w:ascii="Palatino Linotype" w:eastAsia="Arial" w:hAnsi="Palatino Linotype" w:cs="Arial"/>
          <w:i/>
          <w:sz w:val="22"/>
          <w:szCs w:val="22"/>
        </w:rPr>
        <w:t xml:space="preserve">ral </w:t>
      </w:r>
      <w:r w:rsidRPr="004F5FF5">
        <w:rPr>
          <w:rFonts w:ascii="Palatino Linotype" w:eastAsia="Arial" w:hAnsi="Palatino Linotype" w:cs="Arial"/>
          <w:i/>
          <w:spacing w:val="-1"/>
          <w:sz w:val="22"/>
          <w:szCs w:val="22"/>
        </w:rPr>
        <w:t>d</w:t>
      </w:r>
      <w:r w:rsidRPr="004F5FF5">
        <w:rPr>
          <w:rFonts w:ascii="Palatino Linotype" w:eastAsia="Arial" w:hAnsi="Palatino Linotype" w:cs="Arial"/>
          <w:i/>
          <w:sz w:val="22"/>
          <w:szCs w:val="22"/>
        </w:rPr>
        <w:t xml:space="preserve">e </w:t>
      </w:r>
      <w:r w:rsidRPr="004F5FF5">
        <w:rPr>
          <w:rFonts w:ascii="Palatino Linotype" w:eastAsia="Arial" w:hAnsi="Palatino Linotype" w:cs="Arial"/>
          <w:i/>
          <w:spacing w:val="2"/>
          <w:sz w:val="22"/>
          <w:szCs w:val="22"/>
        </w:rPr>
        <w:t>T</w:t>
      </w:r>
      <w:r w:rsidRPr="004F5FF5">
        <w:rPr>
          <w:rFonts w:ascii="Palatino Linotype" w:eastAsia="Arial" w:hAnsi="Palatino Linotype" w:cs="Arial"/>
          <w:i/>
          <w:sz w:val="22"/>
          <w:szCs w:val="22"/>
        </w:rPr>
        <w:t>r</w:t>
      </w:r>
      <w:r w:rsidRPr="004F5FF5">
        <w:rPr>
          <w:rFonts w:ascii="Palatino Linotype" w:eastAsia="Arial" w:hAnsi="Palatino Linotype" w:cs="Arial"/>
          <w:i/>
          <w:spacing w:val="-2"/>
          <w:sz w:val="22"/>
          <w:szCs w:val="22"/>
        </w:rPr>
        <w:t>a</w:t>
      </w:r>
      <w:r w:rsidRPr="004F5FF5">
        <w:rPr>
          <w:rFonts w:ascii="Palatino Linotype" w:eastAsia="Arial" w:hAnsi="Palatino Linotype" w:cs="Arial"/>
          <w:i/>
          <w:spacing w:val="1"/>
          <w:sz w:val="22"/>
          <w:szCs w:val="22"/>
        </w:rPr>
        <w:t>n</w:t>
      </w:r>
      <w:r w:rsidRPr="004F5FF5">
        <w:rPr>
          <w:rFonts w:ascii="Palatino Linotype" w:eastAsia="Arial" w:hAnsi="Palatino Linotype" w:cs="Arial"/>
          <w:i/>
          <w:sz w:val="22"/>
          <w:szCs w:val="22"/>
        </w:rPr>
        <w:t>s</w:t>
      </w:r>
      <w:r w:rsidRPr="004F5FF5">
        <w:rPr>
          <w:rFonts w:ascii="Palatino Linotype" w:eastAsia="Arial" w:hAnsi="Palatino Linotype" w:cs="Arial"/>
          <w:i/>
          <w:spacing w:val="1"/>
          <w:sz w:val="22"/>
          <w:szCs w:val="22"/>
        </w:rPr>
        <w:t>pa</w:t>
      </w:r>
      <w:r w:rsidRPr="004F5FF5">
        <w:rPr>
          <w:rFonts w:ascii="Palatino Linotype" w:eastAsia="Arial" w:hAnsi="Palatino Linotype" w:cs="Arial"/>
          <w:i/>
          <w:sz w:val="22"/>
          <w:szCs w:val="22"/>
        </w:rPr>
        <w:t>r</w:t>
      </w:r>
      <w:r w:rsidRPr="004F5FF5">
        <w:rPr>
          <w:rFonts w:ascii="Palatino Linotype" w:eastAsia="Arial" w:hAnsi="Palatino Linotype" w:cs="Arial"/>
          <w:i/>
          <w:spacing w:val="-2"/>
          <w:sz w:val="22"/>
          <w:szCs w:val="22"/>
        </w:rPr>
        <w:t>e</w:t>
      </w:r>
      <w:r w:rsidRPr="004F5FF5">
        <w:rPr>
          <w:rFonts w:ascii="Palatino Linotype" w:eastAsia="Arial" w:hAnsi="Palatino Linotype" w:cs="Arial"/>
          <w:i/>
          <w:spacing w:val="1"/>
          <w:sz w:val="22"/>
          <w:szCs w:val="22"/>
        </w:rPr>
        <w:t>n</w:t>
      </w:r>
      <w:r w:rsidRPr="004F5FF5">
        <w:rPr>
          <w:rFonts w:ascii="Palatino Linotype" w:eastAsia="Arial" w:hAnsi="Palatino Linotype" w:cs="Arial"/>
          <w:i/>
          <w:sz w:val="22"/>
          <w:szCs w:val="22"/>
        </w:rPr>
        <w:t>cia y Acc</w:t>
      </w:r>
      <w:r w:rsidRPr="004F5FF5">
        <w:rPr>
          <w:rFonts w:ascii="Palatino Linotype" w:eastAsia="Arial" w:hAnsi="Palatino Linotype" w:cs="Arial"/>
          <w:i/>
          <w:spacing w:val="1"/>
          <w:sz w:val="22"/>
          <w:szCs w:val="22"/>
        </w:rPr>
        <w:t>e</w:t>
      </w:r>
      <w:r w:rsidRPr="004F5FF5">
        <w:rPr>
          <w:rFonts w:ascii="Palatino Linotype" w:eastAsia="Arial" w:hAnsi="Palatino Linotype" w:cs="Arial"/>
          <w:i/>
          <w:sz w:val="22"/>
          <w:szCs w:val="22"/>
        </w:rPr>
        <w:t>so a la I</w:t>
      </w:r>
      <w:r w:rsidRPr="004F5FF5">
        <w:rPr>
          <w:rFonts w:ascii="Palatino Linotype" w:eastAsia="Arial" w:hAnsi="Palatino Linotype" w:cs="Arial"/>
          <w:i/>
          <w:spacing w:val="-1"/>
          <w:sz w:val="22"/>
          <w:szCs w:val="22"/>
        </w:rPr>
        <w:t>n</w:t>
      </w:r>
      <w:r w:rsidRPr="004F5FF5">
        <w:rPr>
          <w:rFonts w:ascii="Palatino Linotype" w:eastAsia="Arial" w:hAnsi="Palatino Linotype" w:cs="Arial"/>
          <w:i/>
          <w:sz w:val="22"/>
          <w:szCs w:val="22"/>
        </w:rPr>
        <w:t>f</w:t>
      </w:r>
      <w:r w:rsidRPr="004F5FF5">
        <w:rPr>
          <w:rFonts w:ascii="Palatino Linotype" w:eastAsia="Arial" w:hAnsi="Palatino Linotype" w:cs="Arial"/>
          <w:i/>
          <w:spacing w:val="1"/>
          <w:sz w:val="22"/>
          <w:szCs w:val="22"/>
        </w:rPr>
        <w:t>o</w:t>
      </w:r>
      <w:r w:rsidRPr="004F5FF5">
        <w:rPr>
          <w:rFonts w:ascii="Palatino Linotype" w:eastAsia="Arial" w:hAnsi="Palatino Linotype" w:cs="Arial"/>
          <w:i/>
          <w:spacing w:val="-3"/>
          <w:sz w:val="22"/>
          <w:szCs w:val="22"/>
        </w:rPr>
        <w:t>r</w:t>
      </w:r>
      <w:r w:rsidRPr="004F5FF5">
        <w:rPr>
          <w:rFonts w:ascii="Palatino Linotype" w:eastAsia="Arial" w:hAnsi="Palatino Linotype" w:cs="Arial"/>
          <w:i/>
          <w:spacing w:val="1"/>
          <w:sz w:val="22"/>
          <w:szCs w:val="22"/>
        </w:rPr>
        <w:t>ma</w:t>
      </w:r>
      <w:r w:rsidRPr="004F5FF5">
        <w:rPr>
          <w:rFonts w:ascii="Palatino Linotype" w:eastAsia="Arial" w:hAnsi="Palatino Linotype" w:cs="Arial"/>
          <w:i/>
          <w:sz w:val="22"/>
          <w:szCs w:val="22"/>
        </w:rPr>
        <w:t>ci</w:t>
      </w:r>
      <w:r w:rsidRPr="004F5FF5">
        <w:rPr>
          <w:rFonts w:ascii="Palatino Linotype" w:eastAsia="Arial" w:hAnsi="Palatino Linotype" w:cs="Arial"/>
          <w:i/>
          <w:spacing w:val="-2"/>
          <w:sz w:val="22"/>
          <w:szCs w:val="22"/>
        </w:rPr>
        <w:t>ó</w:t>
      </w:r>
      <w:r w:rsidRPr="004F5FF5">
        <w:rPr>
          <w:rFonts w:ascii="Palatino Linotype" w:eastAsia="Arial" w:hAnsi="Palatino Linotype" w:cs="Arial"/>
          <w:i/>
          <w:sz w:val="22"/>
          <w:szCs w:val="22"/>
        </w:rPr>
        <w:t xml:space="preserve">n </w:t>
      </w:r>
      <w:r w:rsidRPr="004F5FF5">
        <w:rPr>
          <w:rFonts w:ascii="Palatino Linotype" w:eastAsia="Arial" w:hAnsi="Palatino Linotype" w:cs="Arial"/>
          <w:i/>
          <w:spacing w:val="-2"/>
          <w:sz w:val="22"/>
          <w:szCs w:val="22"/>
        </w:rPr>
        <w:t>P</w:t>
      </w:r>
      <w:r w:rsidRPr="004F5FF5">
        <w:rPr>
          <w:rFonts w:ascii="Palatino Linotype" w:eastAsia="Arial" w:hAnsi="Palatino Linotype" w:cs="Arial"/>
          <w:i/>
          <w:spacing w:val="1"/>
          <w:sz w:val="22"/>
          <w:szCs w:val="22"/>
        </w:rPr>
        <w:t>úb</w:t>
      </w:r>
      <w:r w:rsidRPr="004F5FF5">
        <w:rPr>
          <w:rFonts w:ascii="Palatino Linotype" w:eastAsia="Arial" w:hAnsi="Palatino Linotype" w:cs="Arial"/>
          <w:i/>
          <w:sz w:val="22"/>
          <w:szCs w:val="22"/>
        </w:rPr>
        <w:t>l</w:t>
      </w:r>
      <w:r w:rsidRPr="004F5FF5">
        <w:rPr>
          <w:rFonts w:ascii="Palatino Linotype" w:eastAsia="Arial" w:hAnsi="Palatino Linotype" w:cs="Arial"/>
          <w:i/>
          <w:spacing w:val="-1"/>
          <w:sz w:val="22"/>
          <w:szCs w:val="22"/>
        </w:rPr>
        <w:t>i</w:t>
      </w:r>
      <w:r w:rsidRPr="004F5FF5">
        <w:rPr>
          <w:rFonts w:ascii="Palatino Linotype" w:eastAsia="Arial" w:hAnsi="Palatino Linotype" w:cs="Arial"/>
          <w:i/>
          <w:sz w:val="22"/>
          <w:szCs w:val="22"/>
        </w:rPr>
        <w:t xml:space="preserve">ca, </w:t>
      </w:r>
      <w:r w:rsidRPr="004F5FF5">
        <w:rPr>
          <w:rFonts w:ascii="Palatino Linotype" w:eastAsia="Arial" w:hAnsi="Palatino Linotype" w:cs="Arial"/>
          <w:i/>
          <w:spacing w:val="-1"/>
          <w:sz w:val="22"/>
          <w:szCs w:val="22"/>
        </w:rPr>
        <w:t>señalan q</w:t>
      </w:r>
      <w:r w:rsidRPr="004F5FF5">
        <w:rPr>
          <w:rFonts w:ascii="Palatino Linotype" w:eastAsia="Arial" w:hAnsi="Palatino Linotype" w:cs="Arial"/>
          <w:i/>
          <w:spacing w:val="1"/>
          <w:sz w:val="22"/>
          <w:szCs w:val="22"/>
        </w:rPr>
        <w:t>u</w:t>
      </w:r>
      <w:r w:rsidRPr="004F5FF5">
        <w:rPr>
          <w:rFonts w:ascii="Palatino Linotype" w:eastAsia="Arial" w:hAnsi="Palatino Linotype" w:cs="Arial"/>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F5FF5">
        <w:rPr>
          <w:rFonts w:ascii="Palatino Linotype" w:eastAsia="Arial" w:hAnsi="Palatino Linotype" w:cs="Arial"/>
          <w:i/>
          <w:spacing w:val="-1"/>
          <w:sz w:val="22"/>
          <w:szCs w:val="22"/>
        </w:rPr>
        <w:t xml:space="preserve"> sin necesidad de</w:t>
      </w:r>
      <w:r w:rsidRPr="004F5FF5">
        <w:rPr>
          <w:rFonts w:ascii="Palatino Linotype" w:eastAsia="Arial" w:hAnsi="Palatino Linotype" w:cs="Arial"/>
          <w:i/>
          <w:spacing w:val="1"/>
          <w:sz w:val="22"/>
          <w:szCs w:val="22"/>
        </w:rPr>
        <w:t xml:space="preserve"> e</w:t>
      </w:r>
      <w:r w:rsidRPr="004F5FF5">
        <w:rPr>
          <w:rFonts w:ascii="Palatino Linotype" w:eastAsia="Arial" w:hAnsi="Palatino Linotype" w:cs="Arial"/>
          <w:i/>
          <w:sz w:val="22"/>
          <w:szCs w:val="22"/>
        </w:rPr>
        <w:t>la</w:t>
      </w:r>
      <w:r w:rsidRPr="004F5FF5">
        <w:rPr>
          <w:rFonts w:ascii="Palatino Linotype" w:eastAsia="Arial" w:hAnsi="Palatino Linotype" w:cs="Arial"/>
          <w:i/>
          <w:spacing w:val="1"/>
          <w:sz w:val="22"/>
          <w:szCs w:val="22"/>
        </w:rPr>
        <w:t>bo</w:t>
      </w:r>
      <w:r w:rsidRPr="004F5FF5">
        <w:rPr>
          <w:rFonts w:ascii="Palatino Linotype" w:eastAsia="Arial" w:hAnsi="Palatino Linotype" w:cs="Arial"/>
          <w:i/>
          <w:sz w:val="22"/>
          <w:szCs w:val="22"/>
        </w:rPr>
        <w:t xml:space="preserve">rar </w:t>
      </w:r>
      <w:r w:rsidRPr="004F5FF5">
        <w:rPr>
          <w:rFonts w:ascii="Palatino Linotype" w:eastAsia="Arial" w:hAnsi="Palatino Linotype" w:cs="Arial"/>
          <w:i/>
          <w:spacing w:val="1"/>
          <w:sz w:val="22"/>
          <w:szCs w:val="22"/>
        </w:rPr>
        <w:t>do</w:t>
      </w:r>
      <w:r w:rsidRPr="004F5FF5">
        <w:rPr>
          <w:rFonts w:ascii="Palatino Linotype" w:eastAsia="Arial" w:hAnsi="Palatino Linotype" w:cs="Arial"/>
          <w:i/>
          <w:spacing w:val="-2"/>
          <w:sz w:val="22"/>
          <w:szCs w:val="22"/>
        </w:rPr>
        <w:t>c</w:t>
      </w:r>
      <w:r w:rsidRPr="004F5FF5">
        <w:rPr>
          <w:rFonts w:ascii="Palatino Linotype" w:eastAsia="Arial" w:hAnsi="Palatino Linotype" w:cs="Arial"/>
          <w:i/>
          <w:spacing w:val="1"/>
          <w:sz w:val="22"/>
          <w:szCs w:val="22"/>
        </w:rPr>
        <w:t>u</w:t>
      </w:r>
      <w:r w:rsidRPr="004F5FF5">
        <w:rPr>
          <w:rFonts w:ascii="Palatino Linotype" w:eastAsia="Arial" w:hAnsi="Palatino Linotype" w:cs="Arial"/>
          <w:i/>
          <w:spacing w:val="-1"/>
          <w:sz w:val="22"/>
          <w:szCs w:val="22"/>
        </w:rPr>
        <w:t>m</w:t>
      </w:r>
      <w:r w:rsidRPr="004F5FF5">
        <w:rPr>
          <w:rFonts w:ascii="Palatino Linotype" w:eastAsia="Arial" w:hAnsi="Palatino Linotype" w:cs="Arial"/>
          <w:i/>
          <w:spacing w:val="1"/>
          <w:sz w:val="22"/>
          <w:szCs w:val="22"/>
        </w:rPr>
        <w:t>en</w:t>
      </w:r>
      <w:r w:rsidRPr="004F5FF5">
        <w:rPr>
          <w:rFonts w:ascii="Palatino Linotype" w:eastAsia="Arial" w:hAnsi="Palatino Linotype" w:cs="Arial"/>
          <w:i/>
          <w:spacing w:val="-2"/>
          <w:sz w:val="22"/>
          <w:szCs w:val="22"/>
        </w:rPr>
        <w:t>t</w:t>
      </w:r>
      <w:r w:rsidRPr="004F5FF5">
        <w:rPr>
          <w:rFonts w:ascii="Palatino Linotype" w:eastAsia="Arial" w:hAnsi="Palatino Linotype" w:cs="Arial"/>
          <w:i/>
          <w:spacing w:val="1"/>
          <w:sz w:val="22"/>
          <w:szCs w:val="22"/>
        </w:rPr>
        <w:t>o</w:t>
      </w:r>
      <w:r w:rsidRPr="004F5FF5">
        <w:rPr>
          <w:rFonts w:ascii="Palatino Linotype" w:eastAsia="Arial" w:hAnsi="Palatino Linotype" w:cs="Arial"/>
          <w:i/>
          <w:sz w:val="22"/>
          <w:szCs w:val="22"/>
        </w:rPr>
        <w:t xml:space="preserve">s </w:t>
      </w:r>
      <w:r w:rsidRPr="004F5FF5">
        <w:rPr>
          <w:rFonts w:ascii="Palatino Linotype" w:eastAsia="Arial" w:hAnsi="Palatino Linotype" w:cs="Arial"/>
          <w:i/>
          <w:spacing w:val="1"/>
          <w:sz w:val="22"/>
          <w:szCs w:val="22"/>
        </w:rPr>
        <w:t>a</w:t>
      </w:r>
      <w:r w:rsidRPr="004F5FF5">
        <w:rPr>
          <w:rFonts w:ascii="Palatino Linotype" w:eastAsia="Arial" w:hAnsi="Palatino Linotype" w:cs="Arial"/>
          <w:i/>
          <w:sz w:val="22"/>
          <w:szCs w:val="22"/>
        </w:rPr>
        <w:t>d</w:t>
      </w:r>
      <w:r w:rsidRPr="004F5FF5">
        <w:rPr>
          <w:rFonts w:ascii="Palatino Linotype" w:eastAsia="Arial" w:hAnsi="Palatino Linotype" w:cs="Arial"/>
          <w:i/>
          <w:spacing w:val="1"/>
          <w:sz w:val="22"/>
          <w:szCs w:val="22"/>
        </w:rPr>
        <w:t xml:space="preserve"> ho</w:t>
      </w:r>
      <w:r w:rsidRPr="004F5FF5">
        <w:rPr>
          <w:rFonts w:ascii="Palatino Linotype" w:eastAsia="Arial" w:hAnsi="Palatino Linotype" w:cs="Arial"/>
          <w:i/>
          <w:sz w:val="22"/>
          <w:szCs w:val="22"/>
        </w:rPr>
        <w:t xml:space="preserve">c </w:t>
      </w:r>
      <w:r w:rsidRPr="004F5FF5">
        <w:rPr>
          <w:rFonts w:ascii="Palatino Linotype" w:eastAsia="Arial" w:hAnsi="Palatino Linotype" w:cs="Arial"/>
          <w:i/>
          <w:spacing w:val="1"/>
          <w:sz w:val="22"/>
          <w:szCs w:val="22"/>
        </w:rPr>
        <w:t>pa</w:t>
      </w:r>
      <w:r w:rsidRPr="004F5FF5">
        <w:rPr>
          <w:rFonts w:ascii="Palatino Linotype" w:eastAsia="Arial" w:hAnsi="Palatino Linotype" w:cs="Arial"/>
          <w:i/>
          <w:sz w:val="22"/>
          <w:szCs w:val="22"/>
        </w:rPr>
        <w:t xml:space="preserve">ra </w:t>
      </w:r>
      <w:r w:rsidRPr="004F5FF5">
        <w:rPr>
          <w:rFonts w:ascii="Palatino Linotype" w:eastAsia="Arial" w:hAnsi="Palatino Linotype" w:cs="Arial"/>
          <w:i/>
          <w:spacing w:val="1"/>
          <w:sz w:val="22"/>
          <w:szCs w:val="22"/>
        </w:rPr>
        <w:t>a</w:t>
      </w:r>
      <w:r w:rsidRPr="004F5FF5">
        <w:rPr>
          <w:rFonts w:ascii="Palatino Linotype" w:eastAsia="Arial" w:hAnsi="Palatino Linotype" w:cs="Arial"/>
          <w:i/>
          <w:sz w:val="22"/>
          <w:szCs w:val="22"/>
        </w:rPr>
        <w:t>t</w:t>
      </w:r>
      <w:r w:rsidRPr="004F5FF5">
        <w:rPr>
          <w:rFonts w:ascii="Palatino Linotype" w:eastAsia="Arial" w:hAnsi="Palatino Linotype" w:cs="Arial"/>
          <w:i/>
          <w:spacing w:val="-1"/>
          <w:sz w:val="22"/>
          <w:szCs w:val="22"/>
        </w:rPr>
        <w:t>e</w:t>
      </w:r>
      <w:r w:rsidRPr="004F5FF5">
        <w:rPr>
          <w:rFonts w:ascii="Palatino Linotype" w:eastAsia="Arial" w:hAnsi="Palatino Linotype" w:cs="Arial"/>
          <w:i/>
          <w:spacing w:val="1"/>
          <w:sz w:val="22"/>
          <w:szCs w:val="22"/>
        </w:rPr>
        <w:t>n</w:t>
      </w:r>
      <w:r w:rsidRPr="004F5FF5">
        <w:rPr>
          <w:rFonts w:ascii="Palatino Linotype" w:eastAsia="Arial" w:hAnsi="Palatino Linotype" w:cs="Arial"/>
          <w:i/>
          <w:spacing w:val="-1"/>
          <w:sz w:val="22"/>
          <w:szCs w:val="22"/>
        </w:rPr>
        <w:t>d</w:t>
      </w:r>
      <w:r w:rsidRPr="004F5FF5">
        <w:rPr>
          <w:rFonts w:ascii="Palatino Linotype" w:eastAsia="Arial" w:hAnsi="Palatino Linotype" w:cs="Arial"/>
          <w:i/>
          <w:spacing w:val="1"/>
          <w:sz w:val="22"/>
          <w:szCs w:val="22"/>
        </w:rPr>
        <w:t>e</w:t>
      </w:r>
      <w:r w:rsidRPr="004F5FF5">
        <w:rPr>
          <w:rFonts w:ascii="Palatino Linotype" w:eastAsia="Arial" w:hAnsi="Palatino Linotype" w:cs="Arial"/>
          <w:i/>
          <w:sz w:val="22"/>
          <w:szCs w:val="22"/>
        </w:rPr>
        <w:t>r l</w:t>
      </w:r>
      <w:r w:rsidRPr="004F5FF5">
        <w:rPr>
          <w:rFonts w:ascii="Palatino Linotype" w:eastAsia="Arial" w:hAnsi="Palatino Linotype" w:cs="Arial"/>
          <w:i/>
          <w:spacing w:val="-2"/>
          <w:sz w:val="22"/>
          <w:szCs w:val="22"/>
        </w:rPr>
        <w:t>a</w:t>
      </w:r>
      <w:r w:rsidRPr="004F5FF5">
        <w:rPr>
          <w:rFonts w:ascii="Palatino Linotype" w:eastAsia="Arial" w:hAnsi="Palatino Linotype" w:cs="Arial"/>
          <w:i/>
          <w:sz w:val="22"/>
          <w:szCs w:val="22"/>
        </w:rPr>
        <w:t>s s</w:t>
      </w:r>
      <w:r w:rsidRPr="004F5FF5">
        <w:rPr>
          <w:rFonts w:ascii="Palatino Linotype" w:eastAsia="Arial" w:hAnsi="Palatino Linotype" w:cs="Arial"/>
          <w:i/>
          <w:spacing w:val="1"/>
          <w:sz w:val="22"/>
          <w:szCs w:val="22"/>
        </w:rPr>
        <w:t>o</w:t>
      </w:r>
      <w:r w:rsidRPr="004F5FF5">
        <w:rPr>
          <w:rFonts w:ascii="Palatino Linotype" w:eastAsia="Arial" w:hAnsi="Palatino Linotype" w:cs="Arial"/>
          <w:i/>
          <w:sz w:val="22"/>
          <w:szCs w:val="22"/>
        </w:rPr>
        <w:t>l</w:t>
      </w:r>
      <w:r w:rsidRPr="004F5FF5">
        <w:rPr>
          <w:rFonts w:ascii="Palatino Linotype" w:eastAsia="Arial" w:hAnsi="Palatino Linotype" w:cs="Arial"/>
          <w:i/>
          <w:spacing w:val="-1"/>
          <w:sz w:val="22"/>
          <w:szCs w:val="22"/>
        </w:rPr>
        <w:t>i</w:t>
      </w:r>
      <w:r w:rsidRPr="004F5FF5">
        <w:rPr>
          <w:rFonts w:ascii="Palatino Linotype" w:eastAsia="Arial" w:hAnsi="Palatino Linotype" w:cs="Arial"/>
          <w:i/>
          <w:sz w:val="22"/>
          <w:szCs w:val="22"/>
        </w:rPr>
        <w:t>cit</w:t>
      </w:r>
      <w:r w:rsidRPr="004F5FF5">
        <w:rPr>
          <w:rFonts w:ascii="Palatino Linotype" w:eastAsia="Arial" w:hAnsi="Palatino Linotype" w:cs="Arial"/>
          <w:i/>
          <w:spacing w:val="1"/>
          <w:sz w:val="22"/>
          <w:szCs w:val="22"/>
        </w:rPr>
        <w:t>ude</w:t>
      </w:r>
      <w:r w:rsidRPr="004F5FF5">
        <w:rPr>
          <w:rFonts w:ascii="Palatino Linotype" w:eastAsia="Arial" w:hAnsi="Palatino Linotype" w:cs="Arial"/>
          <w:i/>
          <w:sz w:val="22"/>
          <w:szCs w:val="22"/>
        </w:rPr>
        <w:t xml:space="preserve">s </w:t>
      </w:r>
      <w:r w:rsidRPr="004F5FF5">
        <w:rPr>
          <w:rFonts w:ascii="Palatino Linotype" w:eastAsia="Arial" w:hAnsi="Palatino Linotype" w:cs="Arial"/>
          <w:i/>
          <w:spacing w:val="-1"/>
          <w:sz w:val="22"/>
          <w:szCs w:val="22"/>
        </w:rPr>
        <w:t>d</w:t>
      </w:r>
      <w:r w:rsidRPr="004F5FF5">
        <w:rPr>
          <w:rFonts w:ascii="Palatino Linotype" w:eastAsia="Arial" w:hAnsi="Palatino Linotype" w:cs="Arial"/>
          <w:i/>
          <w:sz w:val="22"/>
          <w:szCs w:val="22"/>
        </w:rPr>
        <w:t>e i</w:t>
      </w:r>
      <w:r w:rsidRPr="004F5FF5">
        <w:rPr>
          <w:rFonts w:ascii="Palatino Linotype" w:eastAsia="Arial" w:hAnsi="Palatino Linotype" w:cs="Arial"/>
          <w:i/>
          <w:spacing w:val="-2"/>
          <w:sz w:val="22"/>
          <w:szCs w:val="22"/>
        </w:rPr>
        <w:t>n</w:t>
      </w:r>
      <w:r w:rsidRPr="004F5FF5">
        <w:rPr>
          <w:rFonts w:ascii="Palatino Linotype" w:eastAsia="Arial" w:hAnsi="Palatino Linotype" w:cs="Arial"/>
          <w:i/>
          <w:sz w:val="22"/>
          <w:szCs w:val="22"/>
        </w:rPr>
        <w:t>f</w:t>
      </w:r>
      <w:r w:rsidRPr="004F5FF5">
        <w:rPr>
          <w:rFonts w:ascii="Palatino Linotype" w:eastAsia="Arial" w:hAnsi="Palatino Linotype" w:cs="Arial"/>
          <w:i/>
          <w:spacing w:val="1"/>
          <w:sz w:val="22"/>
          <w:szCs w:val="22"/>
        </w:rPr>
        <w:t>o</w:t>
      </w:r>
      <w:r w:rsidRPr="004F5FF5">
        <w:rPr>
          <w:rFonts w:ascii="Palatino Linotype" w:eastAsia="Arial" w:hAnsi="Palatino Linotype" w:cs="Arial"/>
          <w:i/>
          <w:sz w:val="22"/>
          <w:szCs w:val="22"/>
        </w:rPr>
        <w:t>r</w:t>
      </w:r>
      <w:r w:rsidRPr="004F5FF5">
        <w:rPr>
          <w:rFonts w:ascii="Palatino Linotype" w:eastAsia="Arial" w:hAnsi="Palatino Linotype" w:cs="Arial"/>
          <w:i/>
          <w:spacing w:val="-1"/>
          <w:sz w:val="22"/>
          <w:szCs w:val="22"/>
        </w:rPr>
        <w:t>m</w:t>
      </w:r>
      <w:r w:rsidRPr="004F5FF5">
        <w:rPr>
          <w:rFonts w:ascii="Palatino Linotype" w:eastAsia="Arial" w:hAnsi="Palatino Linotype" w:cs="Arial"/>
          <w:i/>
          <w:spacing w:val="1"/>
          <w:sz w:val="22"/>
          <w:szCs w:val="22"/>
        </w:rPr>
        <w:t>a</w:t>
      </w:r>
      <w:r w:rsidRPr="004F5FF5">
        <w:rPr>
          <w:rFonts w:ascii="Palatino Linotype" w:eastAsia="Arial" w:hAnsi="Palatino Linotype" w:cs="Arial"/>
          <w:i/>
          <w:sz w:val="22"/>
          <w:szCs w:val="22"/>
        </w:rPr>
        <w:t>ció</w:t>
      </w:r>
      <w:r w:rsidRPr="004F5FF5">
        <w:rPr>
          <w:rFonts w:ascii="Palatino Linotype" w:eastAsia="Arial" w:hAnsi="Palatino Linotype" w:cs="Arial"/>
          <w:i/>
          <w:spacing w:val="1"/>
          <w:sz w:val="22"/>
          <w:szCs w:val="22"/>
        </w:rPr>
        <w:t>n</w:t>
      </w:r>
      <w:r w:rsidRPr="004F5FF5">
        <w:rPr>
          <w:rFonts w:ascii="Palatino Linotype" w:eastAsia="Arial" w:hAnsi="Palatino Linotype" w:cs="Arial"/>
          <w:i/>
          <w:sz w:val="22"/>
          <w:szCs w:val="22"/>
        </w:rPr>
        <w:t>.</w:t>
      </w:r>
    </w:p>
    <w:p w:rsidR="000B718C" w:rsidRPr="00401946" w:rsidRDefault="000B718C" w:rsidP="000B718C">
      <w:pPr>
        <w:spacing w:line="360" w:lineRule="auto"/>
        <w:jc w:val="both"/>
        <w:rPr>
          <w:rFonts w:ascii="Palatino Linotype" w:eastAsia="Calibri" w:hAnsi="Palatino Linotype" w:cs="Tahoma"/>
          <w:sz w:val="22"/>
          <w:szCs w:val="22"/>
          <w:lang w:eastAsia="es-ES_tradnl"/>
        </w:rPr>
      </w:pPr>
    </w:p>
    <w:p w:rsidR="007E5442" w:rsidRDefault="000B718C" w:rsidP="007E5442">
      <w:pPr>
        <w:numPr>
          <w:ilvl w:val="0"/>
          <w:numId w:val="1"/>
        </w:numPr>
        <w:spacing w:line="360" w:lineRule="auto"/>
        <w:ind w:left="0" w:right="49" w:firstLine="0"/>
        <w:contextualSpacing/>
        <w:jc w:val="both"/>
        <w:rPr>
          <w:rFonts w:ascii="Palatino Linotype" w:hAnsi="Palatino Linotype" w:cs="Tahoma"/>
        </w:rPr>
      </w:pPr>
      <w:r w:rsidRPr="007E5442">
        <w:rPr>
          <w:rFonts w:ascii="Palatino Linotype" w:hAnsi="Palatino Linotype" w:cs="Tahoma"/>
          <w:szCs w:val="22"/>
          <w:lang w:val="es-ES"/>
        </w:rPr>
        <w:t xml:space="preserve">Por tales circunstancias, se concluye que los sujetos obligados únicamente se encuentran constreñidos a proporcionar los documentos que den cuenta de la información solicitada, como obren en sus archivos, sin tener que elaborarlos a las necesidades del Recurrente, además </w:t>
      </w:r>
      <w:r w:rsidRPr="007E5442">
        <w:rPr>
          <w:rFonts w:ascii="Palatino Linotype" w:eastAsia="Calibri" w:hAnsi="Palatino Linotype" w:cs="Tahoma"/>
          <w:iCs/>
          <w:szCs w:val="22"/>
          <w:lang w:val="es-ES" w:eastAsia="es-ES_tradnl"/>
        </w:rPr>
        <w:t>sobre la manifestación realizada por el Sujeto Obligado en respuesta</w:t>
      </w:r>
      <w:r w:rsidRPr="007E5442">
        <w:rPr>
          <w:rFonts w:ascii="Palatino Linotype" w:eastAsia="Calibri" w:hAnsi="Palatino Linotype" w:cs="Tahoma"/>
          <w:iCs/>
          <w:szCs w:val="22"/>
          <w:lang w:eastAsia="es-ES_tradnl"/>
        </w:rPr>
        <w:t>,</w:t>
      </w:r>
      <w:r w:rsidR="007E5442" w:rsidRPr="007E5442">
        <w:rPr>
          <w:rFonts w:ascii="Palatino Linotype" w:hAnsi="Palatino Linotype" w:cs="Tahoma"/>
        </w:rPr>
        <w:t xml:space="preserve"> éste Órgano Garante no está facultado para pronunciarse sobre la veracidad de la información </w:t>
      </w:r>
      <w:r w:rsidR="00C84824">
        <w:rPr>
          <w:rFonts w:ascii="Palatino Linotype" w:hAnsi="Palatino Linotype" w:cs="Tahoma"/>
        </w:rPr>
        <w:t>que</w:t>
      </w:r>
      <w:r w:rsidR="007E5442" w:rsidRPr="007E5442">
        <w:rPr>
          <w:rFonts w:ascii="Palatino Linotype" w:hAnsi="Palatino Linotype" w:cs="Tahoma"/>
        </w:rPr>
        <w:t xml:space="preserve">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C84824" w:rsidRPr="007E5442" w:rsidRDefault="00C84824" w:rsidP="00C84824">
      <w:pPr>
        <w:spacing w:line="360" w:lineRule="auto"/>
        <w:ind w:right="49"/>
        <w:contextualSpacing/>
        <w:jc w:val="both"/>
        <w:rPr>
          <w:rFonts w:ascii="Palatino Linotype" w:hAnsi="Palatino Linotype" w:cs="Tahoma"/>
        </w:rPr>
      </w:pPr>
    </w:p>
    <w:p w:rsidR="007E5442" w:rsidRPr="007E5442" w:rsidRDefault="007E5442" w:rsidP="007E5442">
      <w:pPr>
        <w:numPr>
          <w:ilvl w:val="0"/>
          <w:numId w:val="1"/>
        </w:numPr>
        <w:spacing w:line="360" w:lineRule="auto"/>
        <w:ind w:left="0" w:right="49" w:firstLine="0"/>
        <w:contextualSpacing/>
        <w:jc w:val="both"/>
        <w:rPr>
          <w:rFonts w:ascii="Palatino Linotype" w:hAnsi="Palatino Linotype" w:cs="Tahoma"/>
        </w:rPr>
      </w:pPr>
      <w:r w:rsidRPr="007E5442">
        <w:rPr>
          <w:rFonts w:ascii="Palatino Linotype" w:hAnsi="Palatino Linotype" w:cs="Tahoma"/>
        </w:rPr>
        <w:t>Sirviendo de apoyo a lo anterior por analogía, el criterio 31-10 emitido por el ahora Instituto Nacional de Transparencia, Acceso a la Información y Protección de Datos Personales, que a la letra dice:</w:t>
      </w:r>
    </w:p>
    <w:p w:rsidR="007E5442" w:rsidRDefault="007E5442" w:rsidP="00C84824">
      <w:pPr>
        <w:spacing w:line="360" w:lineRule="auto"/>
        <w:ind w:left="851" w:right="822"/>
        <w:contextualSpacing/>
        <w:jc w:val="both"/>
        <w:rPr>
          <w:rFonts w:ascii="Palatino Linotype" w:hAnsi="Palatino Linotype" w:cs="Tahoma"/>
          <w:i/>
          <w:sz w:val="22"/>
        </w:rPr>
      </w:pPr>
      <w:r w:rsidRPr="00C84824">
        <w:rPr>
          <w:rFonts w:ascii="Palatino Linotype" w:hAnsi="Palatino Linotype" w:cs="Tahoma"/>
          <w:i/>
          <w:sz w:val="22"/>
        </w:rPr>
        <w:lastRenderedPageBreak/>
        <w:t xml:space="preserve">El Instituto Federal de Acceso a la Información y Protección de Datos </w:t>
      </w:r>
      <w:r w:rsidRPr="00C84824">
        <w:rPr>
          <w:rFonts w:ascii="Palatino Linotype" w:hAnsi="Palatino Linotype" w:cs="Tahoma"/>
          <w:b/>
          <w:i/>
          <w:sz w:val="22"/>
        </w:rPr>
        <w:t>no cuenta con facultades para pronunciarse respecto de la veracidad de los documentos proporcionados por los sujetos obligados.</w:t>
      </w:r>
      <w:r w:rsidRPr="00C84824">
        <w:rPr>
          <w:rFonts w:ascii="Palatino Linotype" w:hAnsi="Palatino Linotype" w:cs="Tahoma"/>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84824" w:rsidRPr="00C84824" w:rsidRDefault="00C84824" w:rsidP="00C84824">
      <w:pPr>
        <w:spacing w:line="360" w:lineRule="auto"/>
        <w:ind w:left="851" w:right="822"/>
        <w:contextualSpacing/>
        <w:jc w:val="both"/>
        <w:rPr>
          <w:rFonts w:ascii="Palatino Linotype" w:hAnsi="Palatino Linotype" w:cs="Tahoma"/>
          <w:i/>
          <w:sz w:val="22"/>
        </w:rPr>
      </w:pPr>
    </w:p>
    <w:p w:rsidR="007E5442" w:rsidRPr="007E5442" w:rsidRDefault="007E5442" w:rsidP="007E5442">
      <w:pPr>
        <w:numPr>
          <w:ilvl w:val="0"/>
          <w:numId w:val="1"/>
        </w:numPr>
        <w:spacing w:line="360" w:lineRule="auto"/>
        <w:ind w:left="0" w:right="49" w:firstLine="0"/>
        <w:contextualSpacing/>
        <w:jc w:val="both"/>
        <w:rPr>
          <w:rFonts w:ascii="Palatino Linotype" w:hAnsi="Palatino Linotype" w:cs="Tahoma"/>
        </w:rPr>
      </w:pPr>
      <w:r w:rsidRPr="007E5442">
        <w:rPr>
          <w:rFonts w:ascii="Palatino Linotype" w:hAnsi="Palatino Linotype" w:cs="Tahoma"/>
        </w:rPr>
        <w:t xml:space="preserve">Así mismo, la </w:t>
      </w:r>
      <w:r w:rsidRPr="007E5442">
        <w:rPr>
          <w:rFonts w:ascii="Palatino Linotype" w:hAnsi="Palatino Linotype" w:cs="Tahoma"/>
          <w:b/>
        </w:rPr>
        <w:t>Ley de Transparencia y Acceso a la Información Pública del Estado de México y Municipios</w:t>
      </w:r>
      <w:r w:rsidRPr="007E5442">
        <w:rPr>
          <w:rFonts w:ascii="Palatino Linotype" w:hAnsi="Palatino Linotype" w:cs="Tahoma"/>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7E5442" w:rsidRPr="007E5442" w:rsidRDefault="007E5442" w:rsidP="00C84824">
      <w:pPr>
        <w:spacing w:line="360" w:lineRule="auto"/>
        <w:ind w:right="49"/>
        <w:contextualSpacing/>
        <w:jc w:val="both"/>
        <w:rPr>
          <w:rFonts w:ascii="Palatino Linotype" w:hAnsi="Palatino Linotype" w:cs="Tahoma"/>
        </w:rPr>
      </w:pPr>
    </w:p>
    <w:p w:rsidR="007E5442" w:rsidRPr="00C84824" w:rsidRDefault="00C84824" w:rsidP="00C84824">
      <w:pPr>
        <w:spacing w:line="360" w:lineRule="auto"/>
        <w:ind w:left="851" w:right="822"/>
        <w:contextualSpacing/>
        <w:jc w:val="both"/>
        <w:rPr>
          <w:rFonts w:ascii="Palatino Linotype" w:hAnsi="Palatino Linotype" w:cs="Tahoma"/>
          <w:b/>
          <w:i/>
          <w:sz w:val="22"/>
          <w:lang w:val="es-ES"/>
        </w:rPr>
      </w:pPr>
      <w:r>
        <w:rPr>
          <w:rFonts w:ascii="Palatino Linotype" w:hAnsi="Palatino Linotype" w:cs="Tahoma"/>
          <w:i/>
          <w:sz w:val="22"/>
          <w:lang w:val="es-ES"/>
        </w:rPr>
        <w:t>“</w:t>
      </w:r>
      <w:r w:rsidR="007E5442" w:rsidRPr="00C84824">
        <w:rPr>
          <w:rFonts w:ascii="Palatino Linotype" w:hAnsi="Palatino Linotype" w:cs="Tahoma"/>
          <w:i/>
          <w:sz w:val="22"/>
          <w:lang w:val="es-ES"/>
        </w:rPr>
        <w:t xml:space="preserve">Artículo 3.- La información pública generada, administrada o en posesión de los Sujetos Obligados en ejercicio de sus atribuciones, será accesible de manera permanente a cualquier persona, privilegiando el principio de máxima publicidad de </w:t>
      </w:r>
      <w:r w:rsidR="007E5442" w:rsidRPr="00C84824">
        <w:rPr>
          <w:rFonts w:ascii="Palatino Linotype" w:hAnsi="Palatino Linotype" w:cs="Tahoma"/>
          <w:i/>
          <w:sz w:val="22"/>
          <w:lang w:val="es-ES"/>
        </w:rPr>
        <w:lastRenderedPageBreak/>
        <w:t xml:space="preserve">la información. </w:t>
      </w:r>
      <w:r w:rsidR="007E5442" w:rsidRPr="00C84824">
        <w:rPr>
          <w:rFonts w:ascii="Palatino Linotype" w:hAnsi="Palatino Linotype" w:cs="Tahoma"/>
          <w:b/>
          <w:i/>
          <w:sz w:val="22"/>
          <w:lang w:val="es-ES"/>
        </w:rPr>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cs="Tahoma"/>
          <w:b/>
          <w:i/>
          <w:sz w:val="22"/>
          <w:lang w:val="es-ES"/>
        </w:rPr>
        <w:t>”</w:t>
      </w:r>
    </w:p>
    <w:p w:rsidR="007E5442" w:rsidRPr="007E5442" w:rsidRDefault="007E5442" w:rsidP="00C84824">
      <w:pPr>
        <w:spacing w:line="360" w:lineRule="auto"/>
        <w:ind w:right="49"/>
        <w:contextualSpacing/>
        <w:jc w:val="both"/>
        <w:rPr>
          <w:rFonts w:ascii="Palatino Linotype" w:hAnsi="Palatino Linotype" w:cs="Tahoma"/>
        </w:rPr>
      </w:pPr>
    </w:p>
    <w:p w:rsidR="007E5442" w:rsidRPr="00C84824" w:rsidRDefault="007E5442" w:rsidP="007E5442">
      <w:pPr>
        <w:numPr>
          <w:ilvl w:val="0"/>
          <w:numId w:val="1"/>
        </w:numPr>
        <w:spacing w:line="360" w:lineRule="auto"/>
        <w:ind w:left="0" w:right="49" w:firstLine="0"/>
        <w:contextualSpacing/>
        <w:jc w:val="both"/>
        <w:rPr>
          <w:rFonts w:ascii="Palatino Linotype" w:hAnsi="Palatino Linotype" w:cs="Tahoma"/>
        </w:rPr>
      </w:pPr>
      <w:r w:rsidRPr="00C84824">
        <w:rPr>
          <w:rFonts w:ascii="Palatino Linotype" w:hAnsi="Palatino Linotype" w:cs="Tahoma"/>
        </w:rPr>
        <w:t xml:space="preserve">Numerales que compelen al </w:t>
      </w:r>
      <w:r w:rsidRPr="00C84824">
        <w:rPr>
          <w:rFonts w:ascii="Palatino Linotype" w:hAnsi="Palatino Linotype" w:cs="Tahoma"/>
          <w:b/>
        </w:rPr>
        <w:t>SUJETO OBLIGADO</w:t>
      </w:r>
      <w:r w:rsidRPr="00C84824">
        <w:rPr>
          <w:rFonts w:ascii="Palatino Linotype" w:hAnsi="Palatino Linotype" w:cs="Tahoma"/>
        </w:rPr>
        <w:t xml:space="preserve"> a apegarse en todo momento a los criterios ya expuestos, imipidiendo a este Órgano Colegiado cuestionar la veracidad de la información.</w:t>
      </w:r>
    </w:p>
    <w:p w:rsidR="00C84824" w:rsidRPr="00C84824" w:rsidRDefault="00C84824" w:rsidP="00C84824">
      <w:pPr>
        <w:spacing w:line="360" w:lineRule="auto"/>
        <w:ind w:right="49"/>
        <w:contextualSpacing/>
        <w:jc w:val="both"/>
        <w:rPr>
          <w:rFonts w:ascii="Palatino Linotype" w:hAnsi="Palatino Linotype" w:cs="Tahoma"/>
        </w:rPr>
      </w:pPr>
    </w:p>
    <w:p w:rsidR="00C84824" w:rsidRPr="00C84824" w:rsidRDefault="00C84824" w:rsidP="00C84824">
      <w:pPr>
        <w:pStyle w:val="Prrafodelista"/>
        <w:numPr>
          <w:ilvl w:val="0"/>
          <w:numId w:val="1"/>
        </w:numPr>
        <w:spacing w:line="360" w:lineRule="auto"/>
        <w:ind w:left="0" w:right="-93" w:firstLine="0"/>
        <w:jc w:val="both"/>
        <w:rPr>
          <w:rFonts w:ascii="Palatino Linotype" w:hAnsi="Palatino Linotype" w:cs="Tahoma"/>
          <w:sz w:val="24"/>
        </w:rPr>
      </w:pPr>
      <w:r w:rsidRPr="00C84824">
        <w:rPr>
          <w:rFonts w:ascii="Palatino Linotype" w:eastAsia="Calibri" w:hAnsi="Palatino Linotype" w:cs="Tahoma"/>
          <w:bCs/>
          <w:iCs/>
          <w:sz w:val="24"/>
          <w:lang w:eastAsia="es-ES_tradnl"/>
        </w:rPr>
        <w:t>De igual manera, de la manifestación realizada por el Sujeto Obligado</w:t>
      </w:r>
      <w:r w:rsidRPr="00C84824">
        <w:rPr>
          <w:rFonts w:ascii="Palatino Linotype" w:hAnsi="Palatino Linotype" w:cs="Tahoma"/>
          <w:sz w:val="24"/>
        </w:rPr>
        <w:t>, este Pleno considera que constituye una expresión en sentido negativo, ya que, es claro que dichas manifestaciones se encuentran relacionadas de manera directa e inmediata con la solicitud de acceso a la información en estudio, inherente a documentos relacionados con el acta de asamblea para la recolección de cuotas del Fraccionamiento Real de San Fernando.</w:t>
      </w:r>
    </w:p>
    <w:p w:rsidR="00C84824" w:rsidRPr="00C84824" w:rsidRDefault="00C84824" w:rsidP="00C84824">
      <w:pPr>
        <w:pStyle w:val="Prrafodelista"/>
        <w:spacing w:line="360" w:lineRule="auto"/>
        <w:ind w:left="0" w:right="-93"/>
        <w:jc w:val="both"/>
        <w:rPr>
          <w:rFonts w:ascii="Palatino Linotype" w:hAnsi="Palatino Linotype" w:cs="Tahoma"/>
          <w:sz w:val="24"/>
        </w:rPr>
      </w:pPr>
    </w:p>
    <w:p w:rsidR="00C84824" w:rsidRPr="00C84824" w:rsidRDefault="00C84824" w:rsidP="00C84824">
      <w:pPr>
        <w:pStyle w:val="Prrafodelista"/>
        <w:numPr>
          <w:ilvl w:val="0"/>
          <w:numId w:val="1"/>
        </w:numPr>
        <w:spacing w:line="360" w:lineRule="auto"/>
        <w:ind w:left="0" w:firstLine="0"/>
        <w:jc w:val="both"/>
        <w:rPr>
          <w:rFonts w:ascii="Palatino Linotype" w:hAnsi="Palatino Linotype" w:cs="Tahoma"/>
          <w:sz w:val="24"/>
          <w:lang w:val="es-ES"/>
        </w:rPr>
      </w:pPr>
      <w:r w:rsidRPr="00C84824">
        <w:rPr>
          <w:rFonts w:ascii="Palatino Linotype" w:hAnsi="Palatino Linotype" w:cs="Tahoma"/>
          <w:sz w:val="24"/>
          <w:lang w:val="es-ES"/>
        </w:rPr>
        <w:t>Así, al tratarse de hechos negativos, es evidente que la información solicitada no puede fácticamente obrar en los archivos del Sujeto</w:t>
      </w:r>
      <w:r w:rsidRPr="00C84824">
        <w:rPr>
          <w:rFonts w:ascii="Palatino Linotype" w:hAnsi="Palatino Linotype" w:cs="Tahoma"/>
          <w:b/>
          <w:sz w:val="24"/>
          <w:lang w:val="es-ES"/>
        </w:rPr>
        <w:t xml:space="preserve"> </w:t>
      </w:r>
      <w:r w:rsidRPr="00C84824">
        <w:rPr>
          <w:rFonts w:ascii="Palatino Linotype" w:hAnsi="Palatino Linotype" w:cs="Tahoma"/>
          <w:sz w:val="24"/>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rsidR="00C84824" w:rsidRPr="00C84824" w:rsidRDefault="00C84824" w:rsidP="00C84824">
      <w:pPr>
        <w:pStyle w:val="Prrafodelista"/>
        <w:spacing w:line="360" w:lineRule="auto"/>
        <w:ind w:left="0" w:right="-93"/>
        <w:jc w:val="both"/>
        <w:rPr>
          <w:rFonts w:ascii="Palatino Linotype" w:eastAsia="Calibri" w:hAnsi="Palatino Linotype" w:cs="Tahoma"/>
          <w:bCs/>
          <w:iCs/>
          <w:sz w:val="24"/>
          <w:lang w:eastAsia="es-ES_tradnl"/>
        </w:rPr>
      </w:pPr>
    </w:p>
    <w:p w:rsidR="00C84824" w:rsidRDefault="00C84824" w:rsidP="00C84824">
      <w:pPr>
        <w:pStyle w:val="Prrafodelista"/>
        <w:numPr>
          <w:ilvl w:val="0"/>
          <w:numId w:val="1"/>
        </w:numPr>
        <w:spacing w:line="360" w:lineRule="auto"/>
        <w:ind w:left="0" w:right="-93" w:firstLine="0"/>
        <w:jc w:val="both"/>
        <w:rPr>
          <w:rFonts w:ascii="Palatino Linotype" w:hAnsi="Palatino Linotype" w:cs="Tahoma"/>
          <w:sz w:val="24"/>
        </w:rPr>
      </w:pPr>
      <w:r w:rsidRPr="00C84824">
        <w:rPr>
          <w:rFonts w:ascii="Palatino Linotype" w:hAnsi="Palatino Linotype" w:cs="Tahoma"/>
          <w:sz w:val="24"/>
        </w:rPr>
        <w:t xml:space="preserve">De tal suerte, se advierte que además el Sujeto Obligado siguió el procedimiento establecido en los artículos 160 y 162 de la Ley de Transparencia y Acceso a la Información Pública del Estado de México y Municipios, los cuales disponen que los </w:t>
      </w:r>
      <w:r w:rsidRPr="00C84824">
        <w:rPr>
          <w:rFonts w:ascii="Palatino Linotype" w:hAnsi="Palatino Linotype" w:cs="Tahoma"/>
          <w:sz w:val="24"/>
        </w:rPr>
        <w:lastRenderedPageBreak/>
        <w:t>sujetos obligados deben otorgar acceso a los documentos que obren en sus archivos y que las unidades de transparencia deberán garantizar que las solicitudes se turnen a todas las áreas competentes.</w:t>
      </w:r>
    </w:p>
    <w:p w:rsidR="00C84824" w:rsidRPr="00C84824" w:rsidRDefault="00C84824" w:rsidP="00C84824">
      <w:pPr>
        <w:pStyle w:val="Prrafodelista"/>
        <w:spacing w:line="360" w:lineRule="auto"/>
        <w:ind w:left="0" w:right="-93"/>
        <w:jc w:val="both"/>
        <w:rPr>
          <w:rFonts w:ascii="Palatino Linotype" w:hAnsi="Palatino Linotype" w:cs="Tahoma"/>
          <w:sz w:val="24"/>
        </w:rPr>
      </w:pPr>
    </w:p>
    <w:p w:rsidR="00C84824" w:rsidRPr="00C84824" w:rsidRDefault="00C84824" w:rsidP="00C84824">
      <w:pPr>
        <w:pStyle w:val="Prrafodelista"/>
        <w:numPr>
          <w:ilvl w:val="0"/>
          <w:numId w:val="1"/>
        </w:numPr>
        <w:spacing w:line="360" w:lineRule="auto"/>
        <w:ind w:left="0" w:right="-93" w:firstLine="0"/>
        <w:jc w:val="both"/>
        <w:rPr>
          <w:rFonts w:ascii="Palatino Linotype" w:hAnsi="Palatino Linotype" w:cs="Tahoma"/>
          <w:sz w:val="24"/>
        </w:rPr>
      </w:pPr>
      <w:r w:rsidRPr="00C84824">
        <w:rPr>
          <w:rFonts w:ascii="Palatino Linotype" w:hAnsi="Palatino Linotype" w:cs="Tahoma"/>
          <w:sz w:val="24"/>
        </w:rPr>
        <w:t>En relación con lo anterior, se entiende que el Sujeto Obligado atendió la solicitud de acceso a la información,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rsidR="007840E1" w:rsidRDefault="007840E1" w:rsidP="00C84824">
      <w:pPr>
        <w:spacing w:line="360" w:lineRule="auto"/>
        <w:ind w:right="49"/>
        <w:contextualSpacing/>
        <w:jc w:val="both"/>
        <w:rPr>
          <w:rFonts w:ascii="Palatino Linotype" w:hAnsi="Palatino Linotype"/>
          <w:color w:val="000000"/>
          <w:lang w:val="es-ES_tradnl"/>
        </w:rPr>
      </w:pPr>
    </w:p>
    <w:p w:rsidR="00C84824" w:rsidRPr="00C84824" w:rsidRDefault="00797CD8" w:rsidP="00C84824">
      <w:pPr>
        <w:numPr>
          <w:ilvl w:val="0"/>
          <w:numId w:val="1"/>
        </w:numPr>
        <w:spacing w:line="360" w:lineRule="auto"/>
        <w:ind w:left="0" w:right="49" w:firstLine="0"/>
        <w:contextualSpacing/>
        <w:jc w:val="both"/>
        <w:rPr>
          <w:rFonts w:ascii="Palatino Linotype" w:hAnsi="Palatino Linotype" w:cs="Arial"/>
          <w:color w:val="000000"/>
        </w:rPr>
      </w:pPr>
      <w:r w:rsidRPr="00C84824">
        <w:rPr>
          <w:rFonts w:ascii="Palatino Linotype" w:hAnsi="Palatino Linotype" w:cs="Arial"/>
          <w:color w:val="000000"/>
        </w:rPr>
        <w:t xml:space="preserve">Es así, que </w:t>
      </w:r>
      <w:r w:rsidR="00C84824" w:rsidRPr="00C84824">
        <w:rPr>
          <w:rFonts w:ascii="Palatino Linotype" w:hAnsi="Palatino Linotype" w:cs="Arial"/>
          <w:color w:val="000000"/>
        </w:rPr>
        <w:t xml:space="preserve">Con fundamento en el artículo 186, fracción II, de la Ley de Transparencia y Acceso a la Información Pública del Estado de México y Municipios, este Instituto considera procedente </w:t>
      </w:r>
      <w:r w:rsidR="00C84824" w:rsidRPr="00C84824">
        <w:rPr>
          <w:rFonts w:ascii="Palatino Linotype" w:hAnsi="Palatino Linotype" w:cs="Arial"/>
          <w:b/>
          <w:color w:val="000000"/>
        </w:rPr>
        <w:t xml:space="preserve">CONFIRMAR </w:t>
      </w:r>
      <w:r w:rsidR="00C84824" w:rsidRPr="00C84824">
        <w:rPr>
          <w:rFonts w:ascii="Palatino Linotype" w:hAnsi="Palatino Linotype" w:cs="Arial"/>
          <w:color w:val="000000"/>
        </w:rPr>
        <w:t xml:space="preserve">las respuestas otorgadas por el Sujeto Obligado. </w:t>
      </w:r>
    </w:p>
    <w:p w:rsidR="00C84824" w:rsidRPr="00C84824" w:rsidRDefault="00C84824" w:rsidP="00C84824">
      <w:pPr>
        <w:spacing w:line="360" w:lineRule="auto"/>
        <w:ind w:right="49"/>
        <w:contextualSpacing/>
        <w:jc w:val="both"/>
        <w:rPr>
          <w:rFonts w:ascii="Palatino Linotype" w:hAnsi="Palatino Linotype"/>
          <w:color w:val="000000"/>
          <w:lang w:val="es-ES_tradnl"/>
        </w:rPr>
      </w:pPr>
    </w:p>
    <w:p w:rsidR="00797CD8" w:rsidRPr="00C84824" w:rsidRDefault="00797CD8" w:rsidP="00C84824">
      <w:pPr>
        <w:numPr>
          <w:ilvl w:val="0"/>
          <w:numId w:val="1"/>
        </w:numPr>
        <w:spacing w:line="360" w:lineRule="auto"/>
        <w:ind w:left="0" w:right="49" w:firstLine="0"/>
        <w:contextualSpacing/>
        <w:jc w:val="both"/>
        <w:rPr>
          <w:rFonts w:ascii="Palatino Linotype" w:hAnsi="Palatino Linotype"/>
          <w:color w:val="000000"/>
          <w:lang w:val="es-ES_tradnl"/>
        </w:rPr>
      </w:pPr>
      <w:r w:rsidRPr="00C84824">
        <w:rPr>
          <w:rFonts w:ascii="Palatino Linotype" w:eastAsia="Calibri" w:hAnsi="Palatino Linotype"/>
        </w:rPr>
        <w:t xml:space="preserve">Por lo anteriormente expuesto y fundado, este </w:t>
      </w:r>
      <w:r w:rsidRPr="00C84824">
        <w:rPr>
          <w:rFonts w:ascii="Palatino Linotype" w:eastAsia="Calibri" w:hAnsi="Palatino Linotype"/>
          <w:b/>
          <w:bCs/>
        </w:rPr>
        <w:t>ÓRGANO GARANTE</w:t>
      </w:r>
      <w:r w:rsidRPr="00C84824">
        <w:rPr>
          <w:rFonts w:ascii="Palatino Linotype" w:eastAsia="Calibri" w:hAnsi="Palatino Linotype"/>
        </w:rPr>
        <w:t xml:space="preserve"> emite los siguientes:</w:t>
      </w:r>
    </w:p>
    <w:p w:rsidR="00C84824" w:rsidRDefault="00C84824" w:rsidP="00C84824">
      <w:pPr>
        <w:spacing w:line="360" w:lineRule="auto"/>
        <w:ind w:right="49"/>
        <w:contextualSpacing/>
        <w:jc w:val="both"/>
        <w:rPr>
          <w:rFonts w:ascii="Palatino Linotype" w:hAnsi="Palatino Linotype"/>
          <w:color w:val="000000"/>
          <w:lang w:val="es-ES_tradnl"/>
        </w:rPr>
      </w:pPr>
    </w:p>
    <w:p w:rsidR="00ED3C5A" w:rsidRDefault="00ED3C5A" w:rsidP="00C84824">
      <w:pPr>
        <w:spacing w:line="360" w:lineRule="auto"/>
        <w:ind w:right="49"/>
        <w:contextualSpacing/>
        <w:jc w:val="both"/>
        <w:rPr>
          <w:rFonts w:ascii="Palatino Linotype" w:hAnsi="Palatino Linotype"/>
          <w:color w:val="000000"/>
          <w:lang w:val="es-ES_tradnl"/>
        </w:rPr>
      </w:pPr>
    </w:p>
    <w:p w:rsidR="00ED3C5A" w:rsidRDefault="00ED3C5A" w:rsidP="00C84824">
      <w:pPr>
        <w:spacing w:line="360" w:lineRule="auto"/>
        <w:ind w:right="49"/>
        <w:contextualSpacing/>
        <w:jc w:val="both"/>
        <w:rPr>
          <w:rFonts w:ascii="Palatino Linotype" w:hAnsi="Palatino Linotype"/>
          <w:color w:val="000000"/>
          <w:lang w:val="es-ES_tradnl"/>
        </w:rPr>
      </w:pPr>
    </w:p>
    <w:p w:rsidR="00ED3C5A" w:rsidRPr="00C84824" w:rsidRDefault="00ED3C5A" w:rsidP="00C84824">
      <w:pPr>
        <w:spacing w:line="360" w:lineRule="auto"/>
        <w:ind w:right="49"/>
        <w:contextualSpacing/>
        <w:jc w:val="both"/>
        <w:rPr>
          <w:rFonts w:ascii="Palatino Linotype" w:hAnsi="Palatino Linotype"/>
          <w:color w:val="000000"/>
          <w:lang w:val="es-ES_tradnl"/>
        </w:rPr>
      </w:pPr>
    </w:p>
    <w:p w:rsidR="00797CD8" w:rsidRPr="009B6FD5" w:rsidRDefault="00797CD8" w:rsidP="00797CD8">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7" w:name="_Toc528153792"/>
      <w:bookmarkStart w:id="18" w:name="_Toc71158406"/>
      <w:bookmarkStart w:id="19" w:name="_Toc90654868"/>
      <w:r w:rsidRPr="009B6FD5">
        <w:rPr>
          <w:rFonts w:ascii="Palatino Linotype" w:eastAsiaTheme="majorEastAsia" w:hAnsi="Palatino Linotype" w:cstheme="majorBidi"/>
          <w:b/>
          <w:color w:val="000000" w:themeColor="text1"/>
          <w:lang w:eastAsia="en-US"/>
        </w:rPr>
        <w:lastRenderedPageBreak/>
        <w:t>R E S O L U T I V O S</w:t>
      </w:r>
      <w:bookmarkEnd w:id="17"/>
      <w:bookmarkEnd w:id="18"/>
      <w:bookmarkEnd w:id="19"/>
    </w:p>
    <w:p w:rsidR="00797CD8" w:rsidRPr="009B6FD5" w:rsidRDefault="00797CD8" w:rsidP="00797CD8">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rsidR="00797CD8" w:rsidRPr="00000F02" w:rsidRDefault="00797CD8" w:rsidP="00797CD8">
      <w:pPr>
        <w:spacing w:line="360" w:lineRule="auto"/>
        <w:jc w:val="both"/>
        <w:rPr>
          <w:rFonts w:ascii="Palatino Linotype" w:eastAsiaTheme="minorEastAsia" w:hAnsi="Palatino Linotype" w:cs="Arial"/>
          <w:bCs/>
          <w:lang w:val="es-ES_tradnl" w:eastAsia="es-ES"/>
        </w:rPr>
      </w:pPr>
      <w:r w:rsidRPr="00000F02">
        <w:rPr>
          <w:rFonts w:ascii="Palatino Linotype" w:hAnsi="Palatino Linotype" w:cs="Arial"/>
          <w:b/>
          <w:lang w:val="es-ES_tradnl" w:eastAsia="es-ES"/>
        </w:rPr>
        <w:t xml:space="preserve">PRIMERO. </w:t>
      </w:r>
      <w:r w:rsidRPr="00000F02">
        <w:rPr>
          <w:rFonts w:ascii="Palatino Linotype" w:hAnsi="Palatino Linotype" w:cs="Arial"/>
          <w:lang w:val="es-ES_tradnl" w:eastAsia="es-ES"/>
        </w:rPr>
        <w:t>Resultan infundadas las</w:t>
      </w:r>
      <w:r w:rsidRPr="00000F02">
        <w:rPr>
          <w:rFonts w:ascii="Palatino Linotype" w:hAnsi="Palatino Linotype" w:cs="Arial"/>
          <w:b/>
          <w:lang w:val="es-ES_tradnl" w:eastAsia="es-ES"/>
        </w:rPr>
        <w:t xml:space="preserve"> </w:t>
      </w:r>
      <w:r w:rsidRPr="00000F02">
        <w:rPr>
          <w:rFonts w:ascii="Palatino Linotype" w:hAnsi="Palatino Linotype" w:cs="Arial"/>
          <w:lang w:val="es-ES" w:eastAsia="es-ES"/>
        </w:rPr>
        <w:t xml:space="preserve">razones o motivos de inconformidad hechos valer </w:t>
      </w:r>
      <w:r w:rsidRPr="00000F02">
        <w:rPr>
          <w:rFonts w:ascii="Palatino Linotype" w:eastAsia="Calibri" w:hAnsi="Palatino Linotype" w:cs="Arial"/>
          <w:lang w:val="es-ES" w:eastAsia="es-ES"/>
        </w:rPr>
        <w:t xml:space="preserve">en el recurso de revisión </w:t>
      </w:r>
      <w:r w:rsidR="00C84824">
        <w:rPr>
          <w:rFonts w:ascii="Palatino Linotype" w:eastAsiaTheme="minorEastAsia" w:hAnsi="Palatino Linotype" w:cs="Arial"/>
          <w:b/>
          <w:bCs/>
          <w:lang w:val="es-ES_tradnl" w:eastAsia="es-ES"/>
        </w:rPr>
        <w:t>05253</w:t>
      </w:r>
      <w:r w:rsidRPr="00000F02">
        <w:rPr>
          <w:rFonts w:ascii="Palatino Linotype" w:eastAsiaTheme="minorEastAsia" w:hAnsi="Palatino Linotype" w:cs="Arial"/>
          <w:b/>
          <w:bCs/>
          <w:lang w:val="es-ES_tradnl" w:eastAsia="es-ES"/>
        </w:rPr>
        <w:t xml:space="preserve">/INFOEM/IP/RR/2021, </w:t>
      </w:r>
      <w:r w:rsidRPr="00000F02">
        <w:rPr>
          <w:rFonts w:ascii="Palatino Linotype" w:eastAsiaTheme="minorEastAsia" w:hAnsi="Palatino Linotype" w:cs="Arial"/>
          <w:bCs/>
          <w:lang w:val="es-ES_tradnl" w:eastAsia="es-ES"/>
        </w:rPr>
        <w:t xml:space="preserve">en términos del </w:t>
      </w:r>
      <w:r w:rsidRPr="00000F02">
        <w:rPr>
          <w:rFonts w:ascii="Palatino Linotype" w:eastAsiaTheme="minorEastAsia" w:hAnsi="Palatino Linotype" w:cs="Arial"/>
          <w:b/>
          <w:bCs/>
          <w:lang w:val="es-ES_tradnl" w:eastAsia="es-ES"/>
        </w:rPr>
        <w:t>Considerando</w:t>
      </w:r>
      <w:r w:rsidRPr="00000F02">
        <w:rPr>
          <w:rFonts w:ascii="Palatino Linotype" w:eastAsiaTheme="minorEastAsia" w:hAnsi="Palatino Linotype" w:cs="Arial"/>
          <w:bCs/>
          <w:lang w:val="es-ES_tradnl" w:eastAsia="es-ES"/>
        </w:rPr>
        <w:t xml:space="preserve"> </w:t>
      </w:r>
      <w:r w:rsidRPr="00000F02">
        <w:rPr>
          <w:rFonts w:ascii="Palatino Linotype" w:eastAsiaTheme="minorEastAsia" w:hAnsi="Palatino Linotype" w:cs="Arial"/>
          <w:b/>
          <w:bCs/>
          <w:lang w:val="es-ES_tradnl" w:eastAsia="es-ES"/>
        </w:rPr>
        <w:t>CUARTO</w:t>
      </w:r>
      <w:r w:rsidRPr="00000F02">
        <w:rPr>
          <w:rFonts w:ascii="Palatino Linotype" w:eastAsiaTheme="minorEastAsia" w:hAnsi="Palatino Linotype" w:cs="Arial"/>
          <w:bCs/>
          <w:lang w:val="es-ES_tradnl" w:eastAsia="es-ES"/>
        </w:rPr>
        <w:t xml:space="preserve"> de la presente resolución.</w:t>
      </w:r>
    </w:p>
    <w:p w:rsidR="00797CD8" w:rsidRPr="00000F02" w:rsidRDefault="00797CD8" w:rsidP="00797CD8">
      <w:pPr>
        <w:spacing w:line="360" w:lineRule="auto"/>
        <w:jc w:val="both"/>
        <w:rPr>
          <w:rFonts w:ascii="Palatino Linotype" w:hAnsi="Palatino Linotype"/>
          <w:lang w:val="es-ES_tradnl" w:eastAsia="es-ES"/>
        </w:rPr>
      </w:pPr>
    </w:p>
    <w:p w:rsidR="00797CD8" w:rsidRPr="00000F02" w:rsidRDefault="00797CD8" w:rsidP="00797CD8">
      <w:pPr>
        <w:spacing w:line="360" w:lineRule="auto"/>
        <w:jc w:val="both"/>
        <w:rPr>
          <w:rFonts w:ascii="Palatino Linotype" w:eastAsia="Calibri" w:hAnsi="Palatino Linotype" w:cs="Arial"/>
          <w:lang w:val="es-ES" w:eastAsia="es-ES"/>
        </w:rPr>
      </w:pPr>
      <w:r w:rsidRPr="00000F02">
        <w:rPr>
          <w:rFonts w:ascii="Palatino Linotype" w:eastAsiaTheme="minorEastAsia" w:hAnsi="Palatino Linotype"/>
          <w:b/>
          <w:lang w:val="es-ES_tradnl" w:eastAsia="es-ES"/>
        </w:rPr>
        <w:t>SEGUNDO.</w:t>
      </w:r>
      <w:r w:rsidRPr="00000F02">
        <w:rPr>
          <w:rFonts w:ascii="Palatino Linotype" w:eastAsiaTheme="majorEastAsia" w:hAnsi="Palatino Linotype" w:cstheme="majorBidi"/>
          <w:b/>
          <w:color w:val="2E74B5" w:themeColor="accent1" w:themeShade="BF"/>
          <w:lang w:val="es-ES_tradnl" w:eastAsia="es-ES"/>
        </w:rPr>
        <w:t xml:space="preserve"> </w:t>
      </w:r>
      <w:r w:rsidRPr="00000F02">
        <w:rPr>
          <w:rFonts w:ascii="Palatino Linotype" w:eastAsia="Calibri" w:hAnsi="Palatino Linotype" w:cs="Arial"/>
          <w:lang w:val="es-ES" w:eastAsia="es-ES"/>
        </w:rPr>
        <w:t>Se</w:t>
      </w:r>
      <w:r w:rsidRPr="00000F02">
        <w:rPr>
          <w:rFonts w:ascii="Palatino Linotype" w:eastAsia="Calibri" w:hAnsi="Palatino Linotype" w:cs="Arial"/>
          <w:b/>
          <w:lang w:val="es-ES" w:eastAsia="es-ES"/>
        </w:rPr>
        <w:t xml:space="preserve"> CONFIRMA </w:t>
      </w:r>
      <w:r w:rsidRPr="00000F02">
        <w:rPr>
          <w:rFonts w:ascii="Palatino Linotype" w:eastAsia="Calibri" w:hAnsi="Palatino Linotype" w:cs="Arial"/>
          <w:lang w:val="es-ES" w:eastAsia="es-ES"/>
        </w:rPr>
        <w:t xml:space="preserve">la respuesta emitida por la </w:t>
      </w:r>
      <w:r w:rsidR="00687A28" w:rsidRPr="00687A28">
        <w:rPr>
          <w:rFonts w:ascii="Palatino Linotype" w:eastAsiaTheme="minorEastAsia" w:hAnsi="Palatino Linotype" w:cs="Arial"/>
          <w:b/>
          <w:bCs/>
          <w:lang w:eastAsia="es-ES"/>
        </w:rPr>
        <w:t>Ayuntamiento de Cuautitlán</w:t>
      </w:r>
      <w:r w:rsidR="00687A28" w:rsidRPr="00687A28">
        <w:rPr>
          <w:rFonts w:ascii="Palatino Linotype" w:eastAsiaTheme="minorEastAsia" w:hAnsi="Palatino Linotype" w:cs="Arial"/>
          <w:b/>
          <w:lang w:val="es-ES" w:eastAsia="es-ES"/>
        </w:rPr>
        <w:t xml:space="preserve"> </w:t>
      </w:r>
      <w:r w:rsidRPr="00000F02">
        <w:rPr>
          <w:rFonts w:ascii="Palatino Linotype" w:eastAsia="Calibri" w:hAnsi="Palatino Linotype" w:cs="Arial"/>
          <w:lang w:val="es-ES" w:eastAsia="es-ES"/>
        </w:rPr>
        <w:t xml:space="preserve">a la solicitud </w:t>
      </w:r>
      <w:r w:rsidR="00687A28" w:rsidRPr="00687A28">
        <w:rPr>
          <w:rFonts w:ascii="Palatino Linotype" w:hAnsi="Palatino Linotype"/>
          <w:b/>
          <w:bCs/>
        </w:rPr>
        <w:t>00411/CUAUTIT/IP/2021</w:t>
      </w:r>
      <w:r w:rsidRPr="00000F02">
        <w:rPr>
          <w:rFonts w:ascii="Palatino Linotype" w:eastAsia="Calibri" w:hAnsi="Palatino Linotype" w:cs="Arial"/>
          <w:b/>
          <w:lang w:val="es-ES" w:eastAsia="es-ES"/>
        </w:rPr>
        <w:t>.</w:t>
      </w:r>
      <w:r w:rsidRPr="00000F02">
        <w:rPr>
          <w:rFonts w:ascii="Palatino Linotype" w:eastAsia="Calibri" w:hAnsi="Palatino Linotype" w:cs="Arial"/>
          <w:lang w:val="es-ES" w:eastAsia="es-ES"/>
        </w:rPr>
        <w:t xml:space="preserve"> </w:t>
      </w:r>
    </w:p>
    <w:p w:rsidR="00797CD8" w:rsidRPr="00000F02" w:rsidRDefault="00797CD8" w:rsidP="00797CD8">
      <w:pPr>
        <w:spacing w:line="360" w:lineRule="auto"/>
        <w:jc w:val="both"/>
        <w:rPr>
          <w:rFonts w:ascii="Palatino Linotype" w:eastAsia="Calibri" w:hAnsi="Palatino Linotype" w:cs="Arial"/>
          <w:lang w:val="es-ES" w:eastAsia="es-ES"/>
        </w:rPr>
      </w:pPr>
    </w:p>
    <w:p w:rsidR="00797CD8" w:rsidRPr="00000F02" w:rsidRDefault="00797CD8" w:rsidP="00797CD8">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000F02">
        <w:rPr>
          <w:rFonts w:ascii="Palatino Linotype" w:eastAsia="Palatino Linotype" w:hAnsi="Palatino Linotype" w:cs="Palatino Linotype"/>
          <w:b/>
          <w:lang w:val="es-ES_tradnl" w:eastAsia="es-ES"/>
        </w:rPr>
        <w:t xml:space="preserve">TERCERO. REMÍTASE, </w:t>
      </w:r>
      <w:r w:rsidRPr="00000F02">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000F02">
        <w:rPr>
          <w:rFonts w:ascii="Palatino Linotype" w:eastAsia="Palatino Linotype" w:hAnsi="Palatino Linotype" w:cs="Palatino Linotype"/>
          <w:b/>
          <w:lang w:val="es-ES_tradnl" w:eastAsia="es-ES"/>
        </w:rPr>
        <w:t>SUJETO OBLIGADO.</w:t>
      </w:r>
    </w:p>
    <w:p w:rsidR="00797CD8" w:rsidRPr="00000F02" w:rsidRDefault="00797CD8" w:rsidP="00797CD8">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797CD8" w:rsidRPr="00000F02" w:rsidRDefault="00797CD8" w:rsidP="00797CD8">
      <w:pPr>
        <w:shd w:val="clear" w:color="auto" w:fill="FFFFFF"/>
        <w:spacing w:line="360" w:lineRule="auto"/>
        <w:jc w:val="both"/>
        <w:rPr>
          <w:rFonts w:ascii="Palatino Linotype" w:eastAsiaTheme="minorEastAsia" w:hAnsi="Palatino Linotype"/>
          <w:lang w:val="es-ES_tradnl" w:eastAsia="es-ES"/>
        </w:rPr>
      </w:pPr>
      <w:r w:rsidRPr="00000F02">
        <w:rPr>
          <w:rFonts w:ascii="Palatino Linotype" w:hAnsi="Palatino Linotype" w:cs="Arial"/>
          <w:b/>
          <w:lang w:val="es-ES_tradnl" w:eastAsia="es-ES"/>
        </w:rPr>
        <w:t xml:space="preserve">CUARTO. </w:t>
      </w:r>
      <w:r w:rsidRPr="00000F02">
        <w:rPr>
          <w:rFonts w:ascii="Palatino Linotype" w:hAnsi="Palatino Linotype"/>
          <w:b/>
          <w:bCs/>
          <w:color w:val="222222"/>
          <w:lang w:val="es-ES" w:eastAsia="es-ES"/>
        </w:rPr>
        <w:t>Notifíquese al RECURRENTE</w:t>
      </w:r>
      <w:r w:rsidRPr="00000F02">
        <w:rPr>
          <w:rFonts w:ascii="Palatino Linotype" w:eastAsiaTheme="minorEastAsia" w:hAnsi="Palatino Linotype"/>
          <w:b/>
          <w:lang w:val="es-ES_tradnl" w:eastAsia="es-ES"/>
        </w:rPr>
        <w:t xml:space="preserve"> </w:t>
      </w:r>
      <w:r w:rsidRPr="00000F02">
        <w:rPr>
          <w:rFonts w:ascii="Palatino Linotype" w:eastAsiaTheme="minorEastAsia" w:hAnsi="Palatino Linotype"/>
          <w:lang w:val="es-ES_tradnl" w:eastAsia="es-ES"/>
        </w:rPr>
        <w:t>la presente resolución.</w:t>
      </w:r>
    </w:p>
    <w:p w:rsidR="00797CD8" w:rsidRPr="00000F02" w:rsidRDefault="00797CD8" w:rsidP="00797CD8">
      <w:pPr>
        <w:shd w:val="clear" w:color="auto" w:fill="FFFFFF"/>
        <w:spacing w:line="360" w:lineRule="auto"/>
        <w:jc w:val="both"/>
        <w:rPr>
          <w:rFonts w:ascii="Palatino Linotype" w:eastAsiaTheme="minorEastAsia" w:hAnsi="Palatino Linotype"/>
          <w:lang w:val="es-ES_tradnl" w:eastAsia="es-ES"/>
        </w:rPr>
      </w:pPr>
    </w:p>
    <w:p w:rsidR="00797CD8" w:rsidRPr="00000F02" w:rsidRDefault="00797CD8" w:rsidP="00797CD8">
      <w:pPr>
        <w:spacing w:line="360" w:lineRule="auto"/>
        <w:jc w:val="both"/>
        <w:rPr>
          <w:rFonts w:ascii="Palatino Linotype" w:eastAsia="MS Mincho" w:hAnsi="Palatino Linotype"/>
          <w:lang w:val="es-ES" w:eastAsia="es-ES"/>
        </w:rPr>
      </w:pPr>
      <w:r w:rsidRPr="00000F02">
        <w:rPr>
          <w:rFonts w:ascii="Palatino Linotype" w:eastAsia="MS Mincho" w:hAnsi="Palatino Linotype"/>
          <w:b/>
          <w:lang w:eastAsia="es-ES"/>
        </w:rPr>
        <w:t>QUINTO.</w:t>
      </w:r>
      <w:r w:rsidRPr="00000F02">
        <w:rPr>
          <w:rFonts w:ascii="Palatino Linotype" w:eastAsia="MS Mincho" w:hAnsi="Palatino Linotype"/>
          <w:lang w:eastAsia="es-ES"/>
        </w:rPr>
        <w:t xml:space="preserve"> </w:t>
      </w:r>
      <w:r w:rsidRPr="00000F02">
        <w:rPr>
          <w:rFonts w:ascii="Palatino Linotype" w:eastAsia="MS Mincho" w:hAnsi="Palatino Linotype"/>
          <w:lang w:val="es-ES" w:eastAsia="es-ES"/>
        </w:rPr>
        <w:t xml:space="preserve">Se hace del conocimiento del </w:t>
      </w:r>
      <w:r w:rsidRPr="00000F02">
        <w:rPr>
          <w:rFonts w:ascii="Palatino Linotype" w:hAnsi="Palatino Linotype"/>
          <w:b/>
          <w:bCs/>
          <w:color w:val="222222"/>
          <w:lang w:val="es-ES" w:eastAsia="es-ES"/>
        </w:rPr>
        <w:t>RECURRENTE</w:t>
      </w:r>
      <w:r w:rsidRPr="00000F02">
        <w:rPr>
          <w:rFonts w:ascii="Palatino Linotype" w:eastAsiaTheme="minorEastAsia" w:hAnsi="Palatino Linotype"/>
          <w:b/>
          <w:lang w:val="es-ES_tradnl" w:eastAsia="es-ES"/>
        </w:rPr>
        <w:t xml:space="preserve"> </w:t>
      </w:r>
      <w:r w:rsidRPr="00000F02">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000F02">
        <w:rPr>
          <w:rFonts w:ascii="Palatino Linotype" w:eastAsia="MS Mincho" w:hAnsi="Palatino Linotype"/>
          <w:bCs/>
          <w:lang w:val="es-ES" w:eastAsia="es-ES"/>
        </w:rPr>
        <w:t>vía juicio de amparo</w:t>
      </w:r>
      <w:r w:rsidRPr="00000F02">
        <w:rPr>
          <w:rFonts w:ascii="Palatino Linotype" w:eastAsia="MS Mincho" w:hAnsi="Palatino Linotype"/>
          <w:lang w:val="es-ES" w:eastAsia="es-ES"/>
        </w:rPr>
        <w:t> en los términos de las leyes aplicables.</w:t>
      </w:r>
    </w:p>
    <w:p w:rsidR="00797CD8" w:rsidRPr="009B6FD5" w:rsidRDefault="00797CD8" w:rsidP="00797CD8">
      <w:pPr>
        <w:spacing w:line="360" w:lineRule="auto"/>
        <w:ind w:right="48"/>
        <w:jc w:val="both"/>
        <w:rPr>
          <w:rFonts w:ascii="Palatino Linotype" w:hAnsi="Palatino Linotype"/>
        </w:rPr>
      </w:pPr>
    </w:p>
    <w:p w:rsidR="00D33BBE" w:rsidRDefault="00D33BBE" w:rsidP="00D33BBE">
      <w:pPr>
        <w:spacing w:before="240" w:after="360" w:line="360" w:lineRule="auto"/>
        <w:jc w:val="both"/>
        <w:rPr>
          <w:rFonts w:ascii="Palatino Linotype" w:hAnsi="Palatino Linotype"/>
          <w:color w:val="222222"/>
          <w:lang w:val="es-ES"/>
        </w:rPr>
      </w:pPr>
      <w:r>
        <w:rPr>
          <w:rFonts w:ascii="Palatino Linotype" w:hAnsi="Palatino Linotype"/>
          <w:lang w:val="es-ES_tradnl"/>
        </w:rPr>
        <w:t xml:space="preserve">ASÍ LO RESUELVE, POR UNANIMIDAD DE VOTOS, EL PLENO DEL INSTITUTO DE TRANSPARENCIA, ACCESO A LA INFORMACIÓN PÚBLICA Y PROTECCIÓN DE DATOS PERSONALES DEL ESTADO DE MÉXICO Y MUNICIPIOS, </w:t>
      </w:r>
      <w:r>
        <w:rPr>
          <w:rFonts w:ascii="Palatino Linotype" w:hAnsi="Palatino Linotype"/>
          <w:lang w:val="es-ES_tradnl"/>
        </w:rPr>
        <w:lastRenderedPageBreak/>
        <w:t>CONFORMADO POR LOS COMISIONADOS JOSÉ MARTÍNEZ VILCHIS; MARÍA DEL ROSARIO MEJÍA AYALA; SHARON CRISTINA MORALES MARTÍNEZ (AUSENCIA JUSTIFICADA); LUIS GUSTAVO PARRA NORIEGA; Y GUADALUPE RAMÍREZ PEÑA EN LA PRIMERA SESIÓN ORDINARIA CELEBRADA EL DOCE (12) DE ENERO DE DOS MIL VEINTIDÓS, ANTE EL SECRETARIO TÉCNICO DEL PLENO ALEXIS TAPIA RAMÍREZ.</w:t>
      </w:r>
    </w:p>
    <w:p w:rsidR="00797CD8" w:rsidRPr="009B6FD5" w:rsidRDefault="00797CD8" w:rsidP="00797CD8">
      <w:pPr>
        <w:spacing w:line="360" w:lineRule="auto"/>
        <w:ind w:right="48"/>
        <w:rPr>
          <w:rFonts w:ascii="Palatino Linotype" w:hAnsi="Palatino Linotype"/>
        </w:rPr>
      </w:pPr>
    </w:p>
    <w:p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rsidR="00797CD8" w:rsidRPr="009B6FD5" w:rsidRDefault="00797CD8" w:rsidP="00797CD8">
      <w:pPr>
        <w:spacing w:line="360" w:lineRule="auto"/>
        <w:rPr>
          <w:rFonts w:ascii="Palatino Linotype" w:hAnsi="Palatino Linotype"/>
        </w:rPr>
      </w:pPr>
    </w:p>
    <w:p w:rsidR="00797CD8" w:rsidRPr="009B6FD5" w:rsidRDefault="00797CD8" w:rsidP="00797CD8">
      <w:pPr>
        <w:spacing w:line="360" w:lineRule="auto"/>
        <w:rPr>
          <w:rFonts w:ascii="Palatino Linotype" w:hAnsi="Palatino Linotype"/>
        </w:rPr>
      </w:pPr>
    </w:p>
    <w:p w:rsidR="00797CD8" w:rsidRPr="009B6FD5" w:rsidRDefault="00797CD8" w:rsidP="00797CD8">
      <w:pPr>
        <w:spacing w:line="360" w:lineRule="auto"/>
        <w:rPr>
          <w:rFonts w:ascii="Palatino Linotype" w:hAnsi="Palatino Linotype"/>
        </w:rPr>
      </w:pPr>
    </w:p>
    <w:p w:rsidR="00797CD8" w:rsidRPr="009B6FD5" w:rsidRDefault="00797CD8" w:rsidP="00797CD8">
      <w:pPr>
        <w:spacing w:line="360" w:lineRule="auto"/>
        <w:rPr>
          <w:rFonts w:ascii="Palatino Linotype" w:hAnsi="Palatino Linotype"/>
        </w:rPr>
      </w:pPr>
    </w:p>
    <w:p w:rsidR="00797CD8" w:rsidRPr="009B6FD5" w:rsidRDefault="00797CD8" w:rsidP="00797CD8">
      <w:pPr>
        <w:spacing w:line="360" w:lineRule="auto"/>
        <w:rPr>
          <w:rFonts w:ascii="Palatino Linotype" w:hAnsi="Palatino Linotype"/>
        </w:rPr>
      </w:pPr>
    </w:p>
    <w:p w:rsidR="00797CD8" w:rsidRPr="009B6FD5" w:rsidRDefault="00797CD8" w:rsidP="00797CD8">
      <w:pPr>
        <w:spacing w:line="360" w:lineRule="auto"/>
        <w:rPr>
          <w:rFonts w:ascii="Palatino Linotype" w:hAnsi="Palatino Linotype"/>
        </w:rPr>
      </w:pPr>
    </w:p>
    <w:p w:rsidR="00797CD8" w:rsidRPr="009B6FD5" w:rsidRDefault="00797CD8" w:rsidP="00797CD8">
      <w:pPr>
        <w:spacing w:line="360" w:lineRule="auto"/>
        <w:rPr>
          <w:rFonts w:ascii="Palatino Linotype" w:hAnsi="Palatino Linotype"/>
        </w:rPr>
      </w:pPr>
    </w:p>
    <w:p w:rsidR="00797CD8" w:rsidRPr="009B6FD5" w:rsidRDefault="00797CD8" w:rsidP="00797CD8">
      <w:pPr>
        <w:spacing w:line="360" w:lineRule="auto"/>
        <w:rPr>
          <w:rFonts w:ascii="Palatino Linotype" w:hAnsi="Palatino Linotype"/>
        </w:rPr>
      </w:pPr>
    </w:p>
    <w:p w:rsidR="00797CD8" w:rsidRDefault="00797CD8" w:rsidP="00797CD8">
      <w:pPr>
        <w:spacing w:line="360" w:lineRule="auto"/>
      </w:pPr>
    </w:p>
    <w:p w:rsidR="004E1710" w:rsidRDefault="009D5193"/>
    <w:sectPr w:rsidR="004E1710" w:rsidSect="00F53756">
      <w:headerReference w:type="even" r:id="rId18"/>
      <w:headerReference w:type="default" r:id="rId19"/>
      <w:footerReference w:type="default" r:id="rId20"/>
      <w:headerReference w:type="first" r:id="rId21"/>
      <w:footerReference w:type="first" r:id="rId2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193" w:rsidRDefault="009D5193" w:rsidP="00797CD8">
      <w:r>
        <w:separator/>
      </w:r>
    </w:p>
  </w:endnote>
  <w:endnote w:type="continuationSeparator" w:id="0">
    <w:p w:rsidR="009D5193" w:rsidRDefault="009D5193" w:rsidP="0079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AE1DF0">
      <w:rPr>
        <w:b/>
        <w:bCs/>
        <w:noProof/>
      </w:rPr>
      <w:t>23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E1DF0">
      <w:rPr>
        <w:b/>
        <w:bCs/>
        <w:noProof/>
      </w:rPr>
      <w:t>24</w:t>
    </w:r>
    <w:r>
      <w:rPr>
        <w:b/>
        <w:bCs/>
      </w:rPr>
      <w:fldChar w:fldCharType="end"/>
    </w:r>
  </w:p>
  <w:p w:rsidR="00724355" w:rsidRDefault="009D519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AE1DF0">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E1DF0">
      <w:rPr>
        <w:b/>
        <w:bCs/>
        <w:noProof/>
      </w:rPr>
      <w:t>24</w:t>
    </w:r>
    <w:r>
      <w:rPr>
        <w:b/>
        <w:bCs/>
      </w:rPr>
      <w:fldChar w:fldCharType="end"/>
    </w:r>
  </w:p>
  <w:p w:rsidR="00724355" w:rsidRDefault="009D51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193" w:rsidRDefault="009D5193" w:rsidP="00797CD8">
      <w:r>
        <w:separator/>
      </w:r>
    </w:p>
  </w:footnote>
  <w:footnote w:type="continuationSeparator" w:id="0">
    <w:p w:rsidR="009D5193" w:rsidRDefault="009D5193" w:rsidP="0079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355" w:rsidRDefault="009D519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724355" w:rsidRPr="005C106F" w:rsidTr="00F53756">
      <w:trPr>
        <w:trHeight w:val="1435"/>
      </w:trPr>
      <w:tc>
        <w:tcPr>
          <w:tcW w:w="2268" w:type="dxa"/>
          <w:shd w:val="clear" w:color="auto" w:fill="auto"/>
        </w:tcPr>
        <w:p w:rsidR="00724355" w:rsidRPr="005C106F" w:rsidRDefault="009D5193" w:rsidP="00F53756">
          <w:pPr>
            <w:tabs>
              <w:tab w:val="right" w:pos="4273"/>
            </w:tabs>
            <w:rPr>
              <w:rFonts w:ascii="Garamond" w:eastAsia="Calibri" w:hAnsi="Garamond"/>
              <w:sz w:val="16"/>
              <w:szCs w:val="16"/>
              <w:lang w:eastAsia="en-US"/>
            </w:rPr>
          </w:pPr>
        </w:p>
      </w:tc>
      <w:tc>
        <w:tcPr>
          <w:tcW w:w="6946" w:type="dxa"/>
          <w:shd w:val="clear" w:color="auto" w:fill="auto"/>
        </w:tcPr>
        <w:p w:rsidR="00724355" w:rsidRDefault="009D5193" w:rsidP="00F53756"/>
        <w:tbl>
          <w:tblPr>
            <w:tblW w:w="6662" w:type="dxa"/>
            <w:tblInd w:w="40" w:type="dxa"/>
            <w:tblLayout w:type="fixed"/>
            <w:tblLook w:val="0420" w:firstRow="1" w:lastRow="0" w:firstColumn="0" w:lastColumn="0" w:noHBand="0" w:noVBand="1"/>
          </w:tblPr>
          <w:tblGrid>
            <w:gridCol w:w="2551"/>
            <w:gridCol w:w="4111"/>
          </w:tblGrid>
          <w:tr w:rsidR="00724355" w:rsidTr="00F53756">
            <w:trPr>
              <w:trHeight w:val="150"/>
            </w:trPr>
            <w:tc>
              <w:tcPr>
                <w:tcW w:w="2551" w:type="dxa"/>
                <w:shd w:val="clear" w:color="auto" w:fill="auto"/>
              </w:tcPr>
              <w:p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724355" w:rsidRPr="00020E73" w:rsidRDefault="00A25966" w:rsidP="00F53756">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05253</w:t>
                </w:r>
                <w:r w:rsidR="007A07BD" w:rsidRPr="009E7B0A">
                  <w:rPr>
                    <w:rFonts w:ascii="Palatino Linotype" w:eastAsia="Calibri" w:hAnsi="Palatino Linotype" w:cs="Tahoma"/>
                    <w:bCs/>
                    <w:sz w:val="22"/>
                    <w:szCs w:val="22"/>
                    <w:lang w:eastAsia="en-US"/>
                  </w:rPr>
                  <w:t>/INFOEM/IP/RR/2021</w:t>
                </w:r>
                <w:r w:rsidR="007A07BD" w:rsidRPr="009E7B0A">
                  <w:rPr>
                    <w:rFonts w:ascii="Palatino Linotype" w:eastAsia="Calibri" w:hAnsi="Palatino Linotype" w:cs="Tahoma"/>
                    <w:b/>
                    <w:bCs/>
                    <w:sz w:val="22"/>
                    <w:szCs w:val="22"/>
                    <w:lang w:eastAsia="en-US"/>
                  </w:rPr>
                  <w:t xml:space="preserve"> </w:t>
                </w:r>
              </w:p>
            </w:tc>
          </w:tr>
          <w:tr w:rsidR="00724355" w:rsidTr="00F53756">
            <w:trPr>
              <w:trHeight w:val="295"/>
            </w:trPr>
            <w:tc>
              <w:tcPr>
                <w:tcW w:w="2551" w:type="dxa"/>
                <w:shd w:val="clear" w:color="auto" w:fill="auto"/>
              </w:tcPr>
              <w:p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724355" w:rsidRPr="00F53756" w:rsidRDefault="00A25966" w:rsidP="00F53756">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Cuautitlán</w:t>
                </w:r>
              </w:p>
            </w:tc>
          </w:tr>
          <w:tr w:rsidR="00724355" w:rsidTr="00F53756">
            <w:trPr>
              <w:trHeight w:val="295"/>
            </w:trPr>
            <w:tc>
              <w:tcPr>
                <w:tcW w:w="2551" w:type="dxa"/>
                <w:shd w:val="clear" w:color="auto" w:fill="auto"/>
              </w:tcPr>
              <w:p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724355" w:rsidRPr="00020E73" w:rsidRDefault="007A07BD" w:rsidP="00F53756">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724355" w:rsidRPr="00020E73" w:rsidRDefault="009D5193" w:rsidP="00F53756">
                <w:pPr>
                  <w:tabs>
                    <w:tab w:val="right" w:pos="8838"/>
                  </w:tabs>
                  <w:ind w:left="-108" w:right="171"/>
                  <w:jc w:val="both"/>
                  <w:rPr>
                    <w:rFonts w:ascii="Palatino Linotype" w:eastAsia="Calibri" w:hAnsi="Palatino Linotype" w:cs="Tahoma"/>
                    <w:b/>
                    <w:sz w:val="22"/>
                    <w:szCs w:val="22"/>
                    <w:lang w:val="es-ES" w:eastAsia="en-US"/>
                  </w:rPr>
                </w:pPr>
              </w:p>
            </w:tc>
          </w:tr>
        </w:tbl>
        <w:p w:rsidR="00724355" w:rsidRPr="005C106F" w:rsidRDefault="009D5193" w:rsidP="00F53756">
          <w:pPr>
            <w:tabs>
              <w:tab w:val="right" w:pos="8838"/>
            </w:tabs>
            <w:ind w:left="-28"/>
            <w:jc w:val="both"/>
            <w:rPr>
              <w:rFonts w:ascii="Arial" w:eastAsia="Calibri" w:hAnsi="Arial" w:cs="Arial"/>
              <w:b/>
              <w:sz w:val="22"/>
              <w:szCs w:val="22"/>
              <w:lang w:eastAsia="en-US"/>
            </w:rPr>
          </w:pPr>
        </w:p>
      </w:tc>
    </w:tr>
  </w:tbl>
  <w:p w:rsidR="00724355" w:rsidRPr="00443C6B" w:rsidRDefault="009D5193" w:rsidP="00F53756">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724355" w:rsidRPr="00330DA7" w:rsidTr="00F53756">
      <w:trPr>
        <w:trHeight w:val="1435"/>
      </w:trPr>
      <w:tc>
        <w:tcPr>
          <w:tcW w:w="2268" w:type="dxa"/>
          <w:shd w:val="clear" w:color="auto" w:fill="auto"/>
        </w:tcPr>
        <w:p w:rsidR="00724355" w:rsidRPr="00330DA7" w:rsidRDefault="009D5193" w:rsidP="00F5375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724355" w:rsidRPr="00330DA7" w:rsidTr="00F53756">
            <w:trPr>
              <w:trHeight w:val="144"/>
            </w:trPr>
            <w:tc>
              <w:tcPr>
                <w:tcW w:w="2444" w:type="dxa"/>
                <w:shd w:val="clear" w:color="auto" w:fill="auto"/>
              </w:tcPr>
              <w:p w:rsidR="00724355" w:rsidRPr="00020E73" w:rsidRDefault="007A07BD" w:rsidP="00F5375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724355" w:rsidRPr="00020E73" w:rsidRDefault="00A25966" w:rsidP="00F53756">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05253</w:t>
                </w:r>
                <w:r w:rsidR="007A07BD" w:rsidRPr="009E7B0A">
                  <w:rPr>
                    <w:rFonts w:ascii="Palatino Linotype" w:eastAsia="Calibri" w:hAnsi="Palatino Linotype" w:cs="Tahoma"/>
                    <w:sz w:val="22"/>
                    <w:szCs w:val="22"/>
                    <w:lang w:eastAsia="en-US"/>
                  </w:rPr>
                  <w:t>/INFOEM/IP/RR/2021</w:t>
                </w:r>
                <w:r w:rsidR="007A07BD">
                  <w:rPr>
                    <w:rFonts w:ascii="Palatino Linotype" w:eastAsia="Calibri" w:hAnsi="Palatino Linotype" w:cs="Tahoma"/>
                    <w:b/>
                    <w:bCs/>
                    <w:sz w:val="22"/>
                    <w:szCs w:val="22"/>
                    <w:lang w:eastAsia="en-US"/>
                  </w:rPr>
                  <w:t xml:space="preserve"> </w:t>
                </w:r>
              </w:p>
            </w:tc>
          </w:tr>
          <w:tr w:rsidR="00724355" w:rsidRPr="00330DA7" w:rsidTr="00F53756">
            <w:trPr>
              <w:trHeight w:val="144"/>
            </w:trPr>
            <w:tc>
              <w:tcPr>
                <w:tcW w:w="2444" w:type="dxa"/>
                <w:shd w:val="clear" w:color="auto" w:fill="auto"/>
              </w:tcPr>
              <w:p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724355" w:rsidRPr="00020E73" w:rsidRDefault="00AE1DF0" w:rsidP="00F53756">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XXXXXXXXXXXXXXXXXXXX</w:t>
                </w:r>
              </w:p>
            </w:tc>
          </w:tr>
          <w:tr w:rsidR="00724355" w:rsidRPr="00330DA7" w:rsidTr="00F53756">
            <w:trPr>
              <w:trHeight w:val="283"/>
            </w:trPr>
            <w:tc>
              <w:tcPr>
                <w:tcW w:w="2444" w:type="dxa"/>
                <w:shd w:val="clear" w:color="auto" w:fill="auto"/>
              </w:tcPr>
              <w:p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724355" w:rsidRPr="00F53756" w:rsidRDefault="00A25966" w:rsidP="00F5375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Ayuntamiento de Cuautitlán </w:t>
                </w:r>
              </w:p>
            </w:tc>
          </w:tr>
          <w:tr w:rsidR="00724355" w:rsidRPr="00330DA7" w:rsidTr="00F53756">
            <w:trPr>
              <w:trHeight w:val="283"/>
            </w:trPr>
            <w:tc>
              <w:tcPr>
                <w:tcW w:w="2444" w:type="dxa"/>
                <w:shd w:val="clear" w:color="auto" w:fill="auto"/>
              </w:tcPr>
              <w:p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724355" w:rsidRPr="00020E73" w:rsidRDefault="007A07BD" w:rsidP="00F53756">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724355" w:rsidRPr="00020E73" w:rsidRDefault="009D5193" w:rsidP="00F53756">
                <w:pPr>
                  <w:tabs>
                    <w:tab w:val="right" w:pos="8838"/>
                  </w:tabs>
                  <w:ind w:left="-74" w:right="-105"/>
                  <w:jc w:val="both"/>
                  <w:rPr>
                    <w:rFonts w:ascii="Palatino Linotype" w:eastAsia="Calibri" w:hAnsi="Palatino Linotype" w:cs="Tahoma"/>
                    <w:b/>
                    <w:sz w:val="22"/>
                    <w:szCs w:val="22"/>
                    <w:lang w:val="es-ES" w:eastAsia="en-US"/>
                  </w:rPr>
                </w:pPr>
              </w:p>
            </w:tc>
          </w:tr>
        </w:tbl>
        <w:p w:rsidR="00724355" w:rsidRPr="00330DA7" w:rsidRDefault="009D5193" w:rsidP="00F53756">
          <w:pPr>
            <w:tabs>
              <w:tab w:val="right" w:pos="8838"/>
            </w:tabs>
            <w:ind w:left="-28"/>
            <w:jc w:val="both"/>
            <w:rPr>
              <w:rFonts w:ascii="Arial" w:eastAsia="Calibri" w:hAnsi="Arial" w:cs="Arial"/>
              <w:b/>
              <w:sz w:val="22"/>
              <w:szCs w:val="22"/>
              <w:lang w:eastAsia="en-US"/>
            </w:rPr>
          </w:pPr>
        </w:p>
      </w:tc>
    </w:tr>
  </w:tbl>
  <w:p w:rsidR="00724355" w:rsidRPr="00827FA0" w:rsidRDefault="009D5193" w:rsidP="00F53756">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E73769E"/>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3736CB"/>
    <w:multiLevelType w:val="hybridMultilevel"/>
    <w:tmpl w:val="640A6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8B35820"/>
    <w:multiLevelType w:val="multilevel"/>
    <w:tmpl w:val="2B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FC131A"/>
    <w:multiLevelType w:val="multilevel"/>
    <w:tmpl w:val="004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06443B"/>
    <w:multiLevelType w:val="multilevel"/>
    <w:tmpl w:val="97D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5"/>
  </w:num>
  <w:num w:numId="5">
    <w:abstractNumId w:val="6"/>
  </w:num>
  <w:num w:numId="6">
    <w:abstractNumId w:val="8"/>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D8"/>
    <w:rsid w:val="00007A3C"/>
    <w:rsid w:val="000439C2"/>
    <w:rsid w:val="000A2EB0"/>
    <w:rsid w:val="000B718C"/>
    <w:rsid w:val="00192704"/>
    <w:rsid w:val="00214EBE"/>
    <w:rsid w:val="002F5041"/>
    <w:rsid w:val="00325DF2"/>
    <w:rsid w:val="003B191A"/>
    <w:rsid w:val="00471273"/>
    <w:rsid w:val="004F5FF5"/>
    <w:rsid w:val="00687A28"/>
    <w:rsid w:val="00711409"/>
    <w:rsid w:val="0076643E"/>
    <w:rsid w:val="007840E1"/>
    <w:rsid w:val="00797A3E"/>
    <w:rsid w:val="00797CD8"/>
    <w:rsid w:val="007A07BD"/>
    <w:rsid w:val="007E5442"/>
    <w:rsid w:val="00810D19"/>
    <w:rsid w:val="008D4F3A"/>
    <w:rsid w:val="009D5193"/>
    <w:rsid w:val="00A1172E"/>
    <w:rsid w:val="00A25966"/>
    <w:rsid w:val="00AE1DF0"/>
    <w:rsid w:val="00C84824"/>
    <w:rsid w:val="00D33BBE"/>
    <w:rsid w:val="00D56B9F"/>
    <w:rsid w:val="00D57659"/>
    <w:rsid w:val="00D83ED0"/>
    <w:rsid w:val="00E62CD7"/>
    <w:rsid w:val="00E67667"/>
    <w:rsid w:val="00ED3C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2002559-9A95-401F-8382-DD517C7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CD8"/>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pPr>
      <w:spacing w:after="0" w:line="240" w:lineRule="auto"/>
    </w:pPr>
    <w:rPr>
      <w:lang w:val="es-MX"/>
    </w:rPr>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9"/>
      </w:numPr>
      <w:contextualSpacing/>
    </w:pPr>
    <w:rPr>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79789">
      <w:bodyDiv w:val="1"/>
      <w:marLeft w:val="0"/>
      <w:marRight w:val="0"/>
      <w:marTop w:val="0"/>
      <w:marBottom w:val="0"/>
      <w:divBdr>
        <w:top w:val="none" w:sz="0" w:space="0" w:color="auto"/>
        <w:left w:val="none" w:sz="0" w:space="0" w:color="auto"/>
        <w:bottom w:val="none" w:sz="0" w:space="0" w:color="auto"/>
        <w:right w:val="none" w:sz="0" w:space="0" w:color="auto"/>
      </w:divBdr>
    </w:div>
    <w:div w:id="263421095">
      <w:bodyDiv w:val="1"/>
      <w:marLeft w:val="0"/>
      <w:marRight w:val="0"/>
      <w:marTop w:val="0"/>
      <w:marBottom w:val="0"/>
      <w:divBdr>
        <w:top w:val="none" w:sz="0" w:space="0" w:color="auto"/>
        <w:left w:val="none" w:sz="0" w:space="0" w:color="auto"/>
        <w:bottom w:val="none" w:sz="0" w:space="0" w:color="auto"/>
        <w:right w:val="none" w:sz="0" w:space="0" w:color="auto"/>
      </w:divBdr>
    </w:div>
    <w:div w:id="536552630">
      <w:bodyDiv w:val="1"/>
      <w:marLeft w:val="0"/>
      <w:marRight w:val="0"/>
      <w:marTop w:val="0"/>
      <w:marBottom w:val="0"/>
      <w:divBdr>
        <w:top w:val="none" w:sz="0" w:space="0" w:color="auto"/>
        <w:left w:val="none" w:sz="0" w:space="0" w:color="auto"/>
        <w:bottom w:val="none" w:sz="0" w:space="0" w:color="auto"/>
        <w:right w:val="none" w:sz="0" w:space="0" w:color="auto"/>
      </w:divBdr>
    </w:div>
    <w:div w:id="1074932303">
      <w:bodyDiv w:val="1"/>
      <w:marLeft w:val="0"/>
      <w:marRight w:val="0"/>
      <w:marTop w:val="0"/>
      <w:marBottom w:val="0"/>
      <w:divBdr>
        <w:top w:val="none" w:sz="0" w:space="0" w:color="auto"/>
        <w:left w:val="none" w:sz="0" w:space="0" w:color="auto"/>
        <w:bottom w:val="none" w:sz="0" w:space="0" w:color="auto"/>
        <w:right w:val="none" w:sz="0" w:space="0" w:color="auto"/>
      </w:divBdr>
    </w:div>
    <w:div w:id="1409692307">
      <w:bodyDiv w:val="1"/>
      <w:marLeft w:val="0"/>
      <w:marRight w:val="0"/>
      <w:marTop w:val="0"/>
      <w:marBottom w:val="0"/>
      <w:divBdr>
        <w:top w:val="none" w:sz="0" w:space="0" w:color="auto"/>
        <w:left w:val="none" w:sz="0" w:space="0" w:color="auto"/>
        <w:bottom w:val="none" w:sz="0" w:space="0" w:color="auto"/>
        <w:right w:val="none" w:sz="0" w:space="0" w:color="auto"/>
      </w:divBdr>
    </w:div>
    <w:div w:id="1687051341">
      <w:bodyDiv w:val="1"/>
      <w:marLeft w:val="0"/>
      <w:marRight w:val="0"/>
      <w:marTop w:val="0"/>
      <w:marBottom w:val="0"/>
      <w:divBdr>
        <w:top w:val="none" w:sz="0" w:space="0" w:color="auto"/>
        <w:left w:val="none" w:sz="0" w:space="0" w:color="auto"/>
        <w:bottom w:val="none" w:sz="0" w:space="0" w:color="auto"/>
        <w:right w:val="none" w:sz="0" w:space="0" w:color="auto"/>
      </w:divBdr>
    </w:div>
    <w:div w:id="1695957936">
      <w:bodyDiv w:val="1"/>
      <w:marLeft w:val="0"/>
      <w:marRight w:val="0"/>
      <w:marTop w:val="0"/>
      <w:marBottom w:val="0"/>
      <w:divBdr>
        <w:top w:val="none" w:sz="0" w:space="0" w:color="auto"/>
        <w:left w:val="none" w:sz="0" w:space="0" w:color="auto"/>
        <w:bottom w:val="none" w:sz="0" w:space="0" w:color="auto"/>
        <w:right w:val="none" w:sz="0" w:space="0" w:color="auto"/>
      </w:divBdr>
    </w:div>
    <w:div w:id="185075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24096.page" TargetMode="External"/><Relationship Id="rId13" Type="http://schemas.openxmlformats.org/officeDocument/2006/relationships/hyperlink" Target="https://www.saimex.org.mx/saimex/solicitud/downloadAttach/1254987.pag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saimex.org.mx/saimex/solicitud/downloadAttach/1224095.page" TargetMode="External"/><Relationship Id="rId12" Type="http://schemas.openxmlformats.org/officeDocument/2006/relationships/hyperlink" Target="https://www.saimex.org.mx/saimex/solicitud/downloadAttach/1254986.page" TargetMode="External"/><Relationship Id="rId17" Type="http://schemas.openxmlformats.org/officeDocument/2006/relationships/hyperlink" Target="https://www.saimex.org.mx/saimex/solicitud/downloadAttach/1254991.page" TargetMode="External"/><Relationship Id="rId2" Type="http://schemas.openxmlformats.org/officeDocument/2006/relationships/styles" Target="styles.xml"/><Relationship Id="rId16" Type="http://schemas.openxmlformats.org/officeDocument/2006/relationships/hyperlink" Target="https://www.saimex.org.mx/saimex/solicitud/downloadAttach/1254990.pag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1238769.pag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aimex.org.mx/saimex/solicitud/downloadAttach/1254989.page"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saimex.org.mx/saimex/solicitud/downloadAttach/1224097.page" TargetMode="External"/><Relationship Id="rId14" Type="http://schemas.openxmlformats.org/officeDocument/2006/relationships/hyperlink" Target="https://www.saimex.org.mx/saimex/solicitud/downloadAttach/1254988.pag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5131</Words>
  <Characters>28226</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2022-02-17T21:56:00Z</dcterms:created>
  <dcterms:modified xsi:type="dcterms:W3CDTF">2022-02-17T21:56:00Z</dcterms:modified>
</cp:coreProperties>
</file>