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35431"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Pr>
          <w:rFonts w:ascii="Palatino Linotype" w:eastAsia="Palatino Linotype" w:hAnsi="Palatino Linotype" w:cs="Palatino Linotype"/>
          <w:b/>
        </w:rPr>
        <w:t>uno de junio del dos mil veintidós</w:t>
      </w:r>
      <w:r>
        <w:rPr>
          <w:rFonts w:ascii="Palatino Linotype" w:eastAsia="Palatino Linotype" w:hAnsi="Palatino Linotype" w:cs="Palatino Linotype"/>
        </w:rPr>
        <w:t>.</w:t>
      </w:r>
    </w:p>
    <w:p w14:paraId="4AF192CC"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02559/INFOEM/IP/RR/2022</w:t>
      </w:r>
      <w:r>
        <w:rPr>
          <w:rFonts w:ascii="Palatino Linotype" w:eastAsia="Palatino Linotype" w:hAnsi="Palatino Linotype" w:cs="Palatino Linotype"/>
        </w:rPr>
        <w:t xml:space="preserve">, interpuesto por </w:t>
      </w:r>
      <w:r>
        <w:rPr>
          <w:rFonts w:ascii="Palatino Linotype" w:eastAsia="Palatino Linotype" w:hAnsi="Palatino Linotype" w:cs="Palatino Linotype"/>
          <w:b/>
        </w:rPr>
        <w:t>un particular de manera anónima</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en lo sucesivo</w:t>
      </w:r>
      <w:r>
        <w:rPr>
          <w:rFonts w:ascii="Palatino Linotype" w:eastAsia="Palatino Linotype" w:hAnsi="Palatino Linotype" w:cs="Palatino Linotype"/>
          <w:b/>
        </w:rPr>
        <w:t xml:space="preserve"> la parte</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Metepec,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14:paraId="30998263" w14:textId="77777777" w:rsidR="004E6B45" w:rsidRDefault="006A7660">
      <w:pPr>
        <w:spacing w:before="240" w:after="240" w:line="360" w:lineRule="auto"/>
        <w:ind w:right="49"/>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A N T E C E D E N T E S</w:t>
      </w:r>
    </w:p>
    <w:p w14:paraId="0C2BE77C"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once de enero de dos mil veintidós, la</w:t>
      </w:r>
      <w:r>
        <w:rPr>
          <w:rFonts w:ascii="Palatino Linotype" w:eastAsia="Palatino Linotype" w:hAnsi="Palatino Linotype" w:cs="Palatino Linotype"/>
        </w:rPr>
        <w:t xml:space="preserve"> </w:t>
      </w:r>
      <w:r>
        <w:rPr>
          <w:rFonts w:ascii="Palatino Linotype" w:eastAsia="Palatino Linotype" w:hAnsi="Palatino Linotype" w:cs="Palatino Linotype"/>
          <w:b/>
        </w:rPr>
        <w:t>parte Recurrente</w:t>
      </w:r>
      <w:r>
        <w:rPr>
          <w:rFonts w:ascii="Palatino Linotype" w:eastAsia="Palatino Linotype" w:hAnsi="Palatino Linotype" w:cs="Palatino Linotype"/>
        </w:rPr>
        <w:t xml:space="preserve"> presentó a 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00739/METEPEC/IP/2022, </w:t>
      </w:r>
      <w:r>
        <w:rPr>
          <w:rFonts w:ascii="Palatino Linotype" w:eastAsia="Palatino Linotype" w:hAnsi="Palatino Linotype" w:cs="Palatino Linotype"/>
        </w:rPr>
        <w:t xml:space="preserve">mediante la cual requirió la información siguiente: </w:t>
      </w:r>
    </w:p>
    <w:p w14:paraId="0B5C3985" w14:textId="77777777" w:rsidR="004E6B45" w:rsidRDefault="006A766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xml:space="preserve"> “Se solicita </w:t>
      </w:r>
      <w:r>
        <w:rPr>
          <w:rFonts w:ascii="Palatino Linotype" w:eastAsia="Palatino Linotype" w:hAnsi="Palatino Linotype" w:cs="Palatino Linotype"/>
          <w:b/>
          <w:i/>
          <w:sz w:val="22"/>
          <w:szCs w:val="22"/>
          <w:u w:val="single"/>
        </w:rPr>
        <w:t>copia de todas las requisiciones remitidas por las dependencias para la adquisición, arrendamiento o reparación de bienes o servicios del once de enero de 2022</w:t>
      </w:r>
      <w:r>
        <w:rPr>
          <w:rFonts w:ascii="Palatino Linotype" w:eastAsia="Palatino Linotype" w:hAnsi="Palatino Linotype" w:cs="Palatino Linotype"/>
          <w:i/>
          <w:sz w:val="22"/>
          <w:szCs w:val="22"/>
        </w:rPr>
        <w:t>.” (Sic) (Énfasis añadido)</w:t>
      </w:r>
    </w:p>
    <w:p w14:paraId="6C176301"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Modalidad de Entrega de la información:</w:t>
      </w:r>
      <w:r>
        <w:rPr>
          <w:rFonts w:ascii="Palatino Linotype" w:eastAsia="Palatino Linotype" w:hAnsi="Palatino Linotype" w:cs="Palatino Linotype"/>
        </w:rPr>
        <w:t xml:space="preserve"> A través del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w:t>
      </w:r>
    </w:p>
    <w:p w14:paraId="583E0656"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2. Prórroga</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veintinueve de enero de dos mil veintidós</w:t>
      </w:r>
      <w:r>
        <w:rPr>
          <w:rFonts w:ascii="Palatino Linotype" w:eastAsia="Palatino Linotype" w:hAnsi="Palatino Linotype" w:cs="Palatino Linotype"/>
        </w:rPr>
        <w:t xml:space="preserve">, el Sujeto Obligado notificó la prórroga para atender la solicitud de información, medularmente en los siguientes términos: </w:t>
      </w:r>
    </w:p>
    <w:p w14:paraId="5E85FD83" w14:textId="77777777" w:rsidR="004E6B45" w:rsidRDefault="006A7660">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55B767C" w14:textId="77777777" w:rsidR="004E6B45" w:rsidRDefault="006A7660">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METEPEC, ESTADO DE MEXICO, ENERO DEL AÑO 2022. ASUNTO: EL QUE SE INDICA A QUIEN CORRESPONDA P R E S E N T E. Por medio de este conducto y con fundamento en lo dispuesto por los artículos 53, fracción VI y 163 de la Ley de Transparencia y Acceso a la Información Pública del Estado de México y Municipios, me permito notificarle la ampliación del plazo por siete días más, aprobado por el comité de transparencia del Ayuntamiento de Metepec, Estado de México, mediante la primera sesión extraordinaria de fecha 21 de enero de 2022 Por lo anterior, se adjunta el acta del comité No CT/MET/1RASE/2022. Sin más por el momento quedo a sus órdenes. ATENTAMENTE GERARDO ARTURO OZUNA MARTÍNEZ JEFE DE LA UNIDAD DE TRANSPARENCIA</w:t>
      </w:r>
    </w:p>
    <w:p w14:paraId="30DD6277" w14:textId="77777777" w:rsidR="004E6B45" w:rsidRDefault="006A7660">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38174CE4" w14:textId="77777777" w:rsidR="004E6B45" w:rsidRDefault="006A7660">
      <w:pPr>
        <w:spacing w:before="240" w:after="240"/>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Responsable de la Unidad de Transparencia”</w:t>
      </w:r>
    </w:p>
    <w:p w14:paraId="70EDA29D" w14:textId="77777777" w:rsidR="004E6B45" w:rsidRDefault="006A7660">
      <w:pPr>
        <w:spacing w:before="240" w:after="240"/>
        <w:ind w:left="567" w:right="8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Archivo adjunto: </w:t>
      </w:r>
    </w:p>
    <w:p w14:paraId="67844E6E" w14:textId="77777777" w:rsidR="004E6B45" w:rsidRDefault="006A7660">
      <w:pPr>
        <w:spacing w:before="240" w:after="240" w:line="360" w:lineRule="auto"/>
        <w:ind w:left="567" w:right="851"/>
        <w:jc w:val="both"/>
        <w:rPr>
          <w:rFonts w:ascii="Palatino Linotype" w:eastAsia="Palatino Linotype" w:hAnsi="Palatino Linotype" w:cs="Palatino Linotype"/>
          <w:sz w:val="22"/>
          <w:szCs w:val="22"/>
        </w:rPr>
      </w:pPr>
      <w:r>
        <w:rPr>
          <w:rFonts w:ascii="Palatino Linotype" w:eastAsia="Palatino Linotype" w:hAnsi="Palatino Linotype" w:cs="Palatino Linotype"/>
          <w:b/>
          <w:i/>
          <w:sz w:val="22"/>
          <w:szCs w:val="22"/>
        </w:rPr>
        <w:t xml:space="preserve">“acta primera sesion extraordinaria.pdf”: </w:t>
      </w:r>
      <w:r>
        <w:rPr>
          <w:rFonts w:ascii="Palatino Linotype" w:eastAsia="Palatino Linotype" w:hAnsi="Palatino Linotype" w:cs="Palatino Linotype"/>
          <w:sz w:val="22"/>
          <w:szCs w:val="22"/>
        </w:rPr>
        <w:t>Consistente de diecisiete fojas en la que se aprecia el Acta de la Primera Sesión Extraordinaria del Comité de Transparencia, la cual se celebró el veintiuno de enero de dos mil veintidós y tuvo por objeto aprobar la prórroga para atender diversas solicitudes de información, entre ellas, la que recayó al presente recurso de revisión.</w:t>
      </w:r>
    </w:p>
    <w:p w14:paraId="59C1B34B" w14:textId="77777777" w:rsidR="004E6B45" w:rsidRDefault="006A7660">
      <w:pPr>
        <w:spacing w:before="240" w:after="240" w:line="360" w:lineRule="auto"/>
        <w:ind w:left="567" w:right="851"/>
        <w:jc w:val="both"/>
        <w:rPr>
          <w:rFonts w:ascii="Palatino Linotype" w:eastAsia="Palatino Linotype" w:hAnsi="Palatino Linotype" w:cs="Palatino Linotype"/>
          <w:sz w:val="22"/>
          <w:szCs w:val="22"/>
        </w:rPr>
      </w:pPr>
      <w:r>
        <w:object w:dxaOrig="7335" w:dyaOrig="11370" w14:anchorId="059FE0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pt;height:568.45pt" o:ole="">
            <v:imagedata r:id="rId8" o:title=""/>
          </v:shape>
          <o:OLEObject Type="Embed" ProgID="Paint.Picture" ShapeID="_x0000_i1025" DrawAspect="Content" ObjectID="_1715689797" r:id="rId9"/>
        </w:object>
      </w:r>
      <w:r>
        <w:t xml:space="preserve"> </w:t>
      </w:r>
      <w:r>
        <w:object w:dxaOrig="8370" w:dyaOrig="10950" w14:anchorId="61792055">
          <v:shape id="_x0000_i1026" type="#_x0000_t75" style="width:418.6pt;height:547.55pt" o:ole="">
            <v:imagedata r:id="rId10" o:title=""/>
          </v:shape>
          <o:OLEObject Type="Embed" ProgID="Paint.Picture" ShapeID="_x0000_i1026" DrawAspect="Content" ObjectID="_1715689798" r:id="rId11"/>
        </w:object>
      </w:r>
    </w:p>
    <w:p w14:paraId="77081C35" w14:textId="77777777" w:rsidR="004E6B45" w:rsidRDefault="006A7660">
      <w:pPr>
        <w:spacing w:before="240" w:after="240"/>
        <w:ind w:left="567" w:right="851"/>
        <w:jc w:val="both"/>
        <w:rPr>
          <w:rFonts w:ascii="Palatino Linotype" w:eastAsia="Palatino Linotype" w:hAnsi="Palatino Linotype" w:cs="Palatino Linotype"/>
          <w:sz w:val="22"/>
          <w:szCs w:val="22"/>
        </w:rPr>
      </w:pPr>
      <w:r>
        <w:object w:dxaOrig="8220" w:dyaOrig="10800" w14:anchorId="7EDA3E48">
          <v:shape id="_x0000_i1027" type="#_x0000_t75" style="width:411.05pt;height:540pt" o:ole="">
            <v:imagedata r:id="rId12" o:title=""/>
          </v:shape>
          <o:OLEObject Type="Embed" ProgID="Paint.Picture" ShapeID="_x0000_i1027" DrawAspect="Content" ObjectID="_1715689799" r:id="rId13"/>
        </w:object>
      </w:r>
      <w:r>
        <w:rPr>
          <w:noProof/>
          <w:lang w:val="es-MX"/>
        </w:rPr>
        <mc:AlternateContent>
          <mc:Choice Requires="wpg">
            <w:drawing>
              <wp:anchor distT="0" distB="0" distL="114300" distR="114300" simplePos="0" relativeHeight="251658240" behindDoc="0" locked="0" layoutInCell="1" hidden="0" allowOverlap="1" wp14:anchorId="15945575" wp14:editId="769F225F">
                <wp:simplePos x="0" y="0"/>
                <wp:positionH relativeFrom="column">
                  <wp:posOffset>3022600</wp:posOffset>
                </wp:positionH>
                <wp:positionV relativeFrom="paragraph">
                  <wp:posOffset>3352800</wp:posOffset>
                </wp:positionV>
                <wp:extent cx="1209675" cy="257175"/>
                <wp:effectExtent l="0" t="0" r="0" b="0"/>
                <wp:wrapNone/>
                <wp:docPr id="80" name="Rectángulo 80"/>
                <wp:cNvGraphicFramePr/>
                <a:graphic xmlns:a="http://schemas.openxmlformats.org/drawingml/2006/main">
                  <a:graphicData uri="http://schemas.microsoft.com/office/word/2010/wordprocessingShape">
                    <wps:wsp>
                      <wps:cNvSpPr/>
                      <wps:spPr>
                        <a:xfrm>
                          <a:off x="4769738" y="3679988"/>
                          <a:ext cx="1152525" cy="200025"/>
                        </a:xfrm>
                        <a:prstGeom prst="rect">
                          <a:avLst/>
                        </a:prstGeom>
                        <a:noFill/>
                        <a:ln w="28575" cap="flat" cmpd="sng">
                          <a:solidFill>
                            <a:srgbClr val="002060"/>
                          </a:solidFill>
                          <a:prstDash val="solid"/>
                          <a:round/>
                          <a:headEnd type="none" w="sm" len="sm"/>
                          <a:tailEnd type="none" w="sm" len="sm"/>
                        </a:ln>
                      </wps:spPr>
                      <wps:txbx>
                        <w:txbxContent>
                          <w:p w14:paraId="0F530014" w14:textId="77777777" w:rsidR="004E6B45" w:rsidRDefault="004E6B4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3022600</wp:posOffset>
                </wp:positionH>
                <wp:positionV relativeFrom="paragraph">
                  <wp:posOffset>3352800</wp:posOffset>
                </wp:positionV>
                <wp:extent cx="1209675" cy="257175"/>
                <wp:effectExtent b="0" l="0" r="0" t="0"/>
                <wp:wrapNone/>
                <wp:docPr id="80" name="image7.png"/>
                <a:graphic>
                  <a:graphicData uri="http://schemas.openxmlformats.org/drawingml/2006/picture">
                    <pic:pic>
                      <pic:nvPicPr>
                        <pic:cNvPr id="0" name="image7.png"/>
                        <pic:cNvPicPr preferRelativeResize="0"/>
                      </pic:nvPicPr>
                      <pic:blipFill>
                        <a:blip r:embed="rId18"/>
                        <a:srcRect/>
                        <a:stretch>
                          <a:fillRect/>
                        </a:stretch>
                      </pic:blipFill>
                      <pic:spPr>
                        <a:xfrm>
                          <a:off x="0" y="0"/>
                          <a:ext cx="1209675" cy="257175"/>
                        </a:xfrm>
                        <a:prstGeom prst="rect"/>
                        <a:ln/>
                      </pic:spPr>
                    </pic:pic>
                  </a:graphicData>
                </a:graphic>
              </wp:anchor>
            </w:drawing>
          </mc:Fallback>
        </mc:AlternateContent>
      </w:r>
    </w:p>
    <w:p w14:paraId="0D2F26E7"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Respuesta a la solicitud de información. </w:t>
      </w:r>
      <w:r>
        <w:rPr>
          <w:rFonts w:ascii="Palatino Linotype" w:eastAsia="Palatino Linotype" w:hAnsi="Palatino Linotype" w:cs="Palatino Linotype"/>
        </w:rPr>
        <w:t>En fecha</w:t>
      </w:r>
      <w:r>
        <w:rPr>
          <w:rFonts w:ascii="Palatino Linotype" w:eastAsia="Palatino Linotype" w:hAnsi="Palatino Linotype" w:cs="Palatino Linotype"/>
          <w:b/>
        </w:rPr>
        <w:t xml:space="preserve"> once de febrero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a través del SAIMEX notificó la respuesta a la solicitud de información sustancialmente en los siguientes términos: </w:t>
      </w:r>
    </w:p>
    <w:p w14:paraId="64F412F4" w14:textId="77777777" w:rsidR="004E6B45" w:rsidRDefault="006A766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2880CD6" w14:textId="77777777" w:rsidR="004E6B45" w:rsidRDefault="006A766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 SOLICITANTE P R E S E N T E. En respuesta a la solicitud número 00739/METEPEC/IP/2022,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de ésta, se anexa la respuesta del Servidor Público habilitado. Lo anterior con fundamento en lo establecido por los artículos 12, 18, 19, 53 fracción VI, 160 y 162 de la Ley de Transparencia y Acceso a la Información Pública del Estado de México. Sin más por el momento, me despido de usted, reiterando estar a sus órdenes. ATENTAMENTE Lic. Gerardo Arturo Ozuna Martínez Titular de la Unidad de Transparencia</w:t>
      </w:r>
    </w:p>
    <w:p w14:paraId="38611A53" w14:textId="77777777" w:rsidR="004E6B45" w:rsidRDefault="006A766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ATENTAMENTE</w:t>
      </w:r>
    </w:p>
    <w:p w14:paraId="003BBEEC" w14:textId="77777777" w:rsidR="004E6B45" w:rsidRDefault="006A766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Lic. Gerardo Arturo Ozuna Martínez”</w:t>
      </w:r>
    </w:p>
    <w:p w14:paraId="0F1802E8" w14:textId="77777777" w:rsidR="004E6B45" w:rsidRDefault="006A7660">
      <w:pPr>
        <w:spacing w:before="240" w:after="240" w:line="360" w:lineRule="auto"/>
        <w:ind w:right="900"/>
        <w:jc w:val="both"/>
        <w:rPr>
          <w:rFonts w:ascii="Palatino Linotype" w:eastAsia="Palatino Linotype" w:hAnsi="Palatino Linotype" w:cs="Palatino Linotype"/>
          <w:b/>
          <w:color w:val="000000"/>
        </w:rPr>
      </w:pPr>
      <w:r>
        <w:rPr>
          <w:rFonts w:ascii="Palatino Linotype" w:eastAsia="Palatino Linotype" w:hAnsi="Palatino Linotype" w:cs="Palatino Linotype"/>
          <w:b/>
        </w:rPr>
        <w:t>El Sujeto Obligado adjuntó a su respuesta el a</w:t>
      </w:r>
      <w:r>
        <w:rPr>
          <w:rFonts w:ascii="Palatino Linotype" w:eastAsia="Palatino Linotype" w:hAnsi="Palatino Linotype" w:cs="Palatino Linotype"/>
          <w:b/>
          <w:color w:val="000000"/>
        </w:rPr>
        <w:t xml:space="preserve">rchivo electrónico siguiente: </w:t>
      </w:r>
    </w:p>
    <w:p w14:paraId="27344757" w14:textId="77777777" w:rsidR="004E6B45" w:rsidRDefault="006A7660">
      <w:pPr>
        <w:spacing w:before="240" w:after="240" w:line="360" w:lineRule="auto"/>
        <w:ind w:left="567" w:right="900"/>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“Folio 0739 2022.pdf”: </w:t>
      </w:r>
      <w:r>
        <w:rPr>
          <w:rFonts w:ascii="Palatino Linotype" w:eastAsia="Palatino Linotype" w:hAnsi="Palatino Linotype" w:cs="Palatino Linotype"/>
          <w:color w:val="000000"/>
        </w:rPr>
        <w:t xml:space="preserve">Documento de una foja, consistente en el oficio DA/0665/2022, mediante el cual, el Director de Administración remite </w:t>
      </w:r>
      <w:r>
        <w:rPr>
          <w:rFonts w:ascii="Palatino Linotype" w:eastAsia="Palatino Linotype" w:hAnsi="Palatino Linotype" w:cs="Palatino Linotype"/>
          <w:color w:val="000000"/>
        </w:rPr>
        <w:lastRenderedPageBreak/>
        <w:t xml:space="preserve">su respuesta a la solicitud de información, medularmente en los términos siguientes: </w:t>
      </w:r>
    </w:p>
    <w:p w14:paraId="1BA19A46" w14:textId="77777777" w:rsidR="004E6B45" w:rsidRDefault="006A7660">
      <w:pPr>
        <w:spacing w:before="240" w:after="240" w:line="360" w:lineRule="auto"/>
        <w:ind w:left="567" w:right="900"/>
        <w:rPr>
          <w:rFonts w:ascii="Palatino Linotype" w:eastAsia="Palatino Linotype" w:hAnsi="Palatino Linotype" w:cs="Palatino Linotype"/>
          <w:color w:val="000000"/>
        </w:rPr>
      </w:pPr>
      <w:r>
        <w:object w:dxaOrig="7230" w:dyaOrig="9960" w14:anchorId="51F6918B">
          <v:shape id="_x0000_i1028" type="#_x0000_t75" style="width:361.65pt;height:498.15pt" o:ole="">
            <v:imagedata r:id="rId19" o:title=""/>
          </v:shape>
          <o:OLEObject Type="Embed" ProgID="Paint.Picture" ShapeID="_x0000_i1028" DrawAspect="Content" ObjectID="_1715689800" r:id="rId20"/>
        </w:object>
      </w:r>
    </w:p>
    <w:p w14:paraId="21A827EE" w14:textId="77777777" w:rsidR="004E6B45" w:rsidRDefault="006A7660">
      <w:pPr>
        <w:spacing w:before="240" w:after="240" w:line="360" w:lineRule="auto"/>
        <w:jc w:val="both"/>
        <w:rPr>
          <w:rFonts w:ascii="Palatino Linotype" w:eastAsia="Palatino Linotype" w:hAnsi="Palatino Linotype" w:cs="Palatino Linotype"/>
          <w:b/>
          <w:i/>
          <w:color w:val="000000"/>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Inconforme con la respuesta,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interpuso el recurso de revisión materia del presente estudio el día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en el que expresó lo siguiente: </w:t>
      </w:r>
    </w:p>
    <w:p w14:paraId="4B10874A" w14:textId="77777777" w:rsidR="004E6B45" w:rsidRDefault="006A7660">
      <w:pPr>
        <w:spacing w:before="240" w:after="240" w:line="360" w:lineRule="auto"/>
        <w:ind w:left="567" w:right="567"/>
        <w:jc w:val="both"/>
        <w:rPr>
          <w:rFonts w:ascii="Palatino Linotype" w:eastAsia="Palatino Linotype" w:hAnsi="Palatino Linotype" w:cs="Palatino Linotype"/>
        </w:rPr>
      </w:pPr>
      <w:r>
        <w:rPr>
          <w:rFonts w:ascii="Palatino Linotype" w:eastAsia="Palatino Linotype" w:hAnsi="Palatino Linotype" w:cs="Palatino Linotype"/>
          <w:b/>
        </w:rPr>
        <w:t xml:space="preserve">a) Acto impugnado: </w:t>
      </w:r>
    </w:p>
    <w:p w14:paraId="5422F3B4" w14:textId="77777777" w:rsidR="004E6B45" w:rsidRDefault="006A7660">
      <w:pPr>
        <w:spacing w:before="240" w:after="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respuesta proporcionada por el Sujeto Obligado.” (Sic)</w:t>
      </w:r>
    </w:p>
    <w:p w14:paraId="5BEC27B7" w14:textId="77777777" w:rsidR="004E6B45" w:rsidRDefault="006A7660">
      <w:pPr>
        <w:spacing w:before="240" w:after="240" w:line="360" w:lineRule="auto"/>
        <w:ind w:left="567" w:right="851"/>
        <w:jc w:val="both"/>
        <w:rPr>
          <w:rFonts w:ascii="Palatino Linotype" w:eastAsia="Palatino Linotype" w:hAnsi="Palatino Linotype" w:cs="Palatino Linotype"/>
        </w:rPr>
      </w:pPr>
      <w:r>
        <w:rPr>
          <w:rFonts w:ascii="Palatino Linotype" w:eastAsia="Palatino Linotype" w:hAnsi="Palatino Linotype" w:cs="Palatino Linotype"/>
          <w:b/>
        </w:rPr>
        <w:t>b) Razones o motivos de inconformidad</w:t>
      </w:r>
      <w:r>
        <w:rPr>
          <w:rFonts w:ascii="Palatino Linotype" w:eastAsia="Palatino Linotype" w:hAnsi="Palatino Linotype" w:cs="Palatino Linotype"/>
        </w:rPr>
        <w:t xml:space="preserve">: </w:t>
      </w:r>
    </w:p>
    <w:p w14:paraId="0DBC83D5" w14:textId="77777777" w:rsidR="004E6B45" w:rsidRDefault="006A7660">
      <w:pPr>
        <w:spacing w:before="240" w:after="240"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sz w:val="22"/>
          <w:szCs w:val="22"/>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sz w:val="22"/>
          <w:szCs w:val="22"/>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sz w:val="22"/>
          <w:szCs w:val="22"/>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Pr>
          <w:rFonts w:ascii="Palatino Linotype" w:eastAsia="Palatino Linotype" w:hAnsi="Palatino Linotype" w:cs="Palatino Linotype"/>
          <w:b/>
          <w:i/>
          <w:sz w:val="22"/>
          <w:szCs w:val="22"/>
          <w:u w:val="single"/>
        </w:rPr>
        <w:t xml:space="preserve">En este sentido, el sujeto obligado se </w:t>
      </w:r>
      <w:r>
        <w:rPr>
          <w:rFonts w:ascii="Palatino Linotype" w:eastAsia="Palatino Linotype" w:hAnsi="Palatino Linotype" w:cs="Palatino Linotype"/>
          <w:b/>
          <w:i/>
          <w:sz w:val="22"/>
          <w:szCs w:val="22"/>
          <w:u w:val="single"/>
        </w:rPr>
        <w:lastRenderedPageBreak/>
        <w:t xml:space="preserve">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w:t>
      </w:r>
      <w:r>
        <w:rPr>
          <w:rFonts w:ascii="Palatino Linotype" w:eastAsia="Palatino Linotype" w:hAnsi="Palatino Linotype" w:cs="Palatino Linotype"/>
          <w:i/>
          <w:sz w:val="22"/>
          <w:szCs w:val="22"/>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141A2885" w14:textId="77777777" w:rsidR="004E6B45" w:rsidRDefault="006A76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Guadalupe Ramírez Peña</w:t>
      </w:r>
      <w:r>
        <w:rPr>
          <w:rFonts w:ascii="Palatino Linotype" w:eastAsia="Palatino Linotype" w:hAnsi="Palatino Linotype" w:cs="Palatino Linotype"/>
        </w:rPr>
        <w:t xml:space="preserve"> para su análisis, estudio, elaboración del proyecto y presentación ante el Pleno de este Instituto.</w:t>
      </w:r>
    </w:p>
    <w:p w14:paraId="4A913B40" w14:textId="77777777" w:rsidR="004E6B45" w:rsidRDefault="006A76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w:t>
      </w:r>
      <w:r>
        <w:rPr>
          <w:rFonts w:ascii="Palatino Linotype" w:eastAsia="Palatino Linotype" w:hAnsi="Palatino Linotype" w:cs="Palatino Linotype"/>
        </w:rPr>
        <w:t xml:space="preserve"> El día</w:t>
      </w:r>
      <w:r>
        <w:rPr>
          <w:rFonts w:ascii="Palatino Linotype" w:eastAsia="Palatino Linotype" w:hAnsi="Palatino Linotype" w:cs="Palatino Linotype"/>
          <w:b/>
        </w:rPr>
        <w:t xml:space="preserve"> siete de marzo de dos mil veintidós </w:t>
      </w:r>
      <w:r>
        <w:rPr>
          <w:rFonts w:ascii="Palatino Linotype" w:eastAsia="Palatino Linotype" w:hAnsi="Palatino Linotype" w:cs="Palatino Linotype"/>
        </w:rPr>
        <w:t xml:space="preserve">se admitió a trámite el presente recurso de revisión a efecto de integrar el expediente respectivo; fue puesto a disposición de las partes por siete días hábiles para que ofrecieran </w:t>
      </w:r>
      <w:r>
        <w:rPr>
          <w:rFonts w:ascii="Palatino Linotype" w:eastAsia="Palatino Linotype" w:hAnsi="Palatino Linotype" w:cs="Palatino Linotype"/>
        </w:rPr>
        <w:lastRenderedPageBreak/>
        <w:t>pruebas y manifestaran lo que a su derecho convenga.</w:t>
      </w:r>
    </w:p>
    <w:p w14:paraId="409AE449" w14:textId="77777777" w:rsidR="004E6B45" w:rsidRDefault="006A7660">
      <w:pPr>
        <w:widowControl w:val="0"/>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 xml:space="preserve">. De constancias del expediente electrónico del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archivo electrónico</w:t>
      </w:r>
      <w:r>
        <w:t xml:space="preserve"> </w:t>
      </w:r>
      <w:r>
        <w:rPr>
          <w:rFonts w:ascii="Palatino Linotype" w:eastAsia="Palatino Linotype" w:hAnsi="Palatino Linotype" w:cs="Palatino Linotype"/>
          <w:b/>
          <w:i/>
        </w:rPr>
        <w:t>“</w:t>
      </w:r>
      <w:r>
        <w:rPr>
          <w:rFonts w:ascii="Palatino Linotype" w:eastAsia="Palatino Linotype" w:hAnsi="Palatino Linotype" w:cs="Palatino Linotype"/>
          <w:b/>
          <w:i/>
        </w:rPr>
        <w:tab/>
        <w:t>INFORME JUSTIFICADO SOL 00739 02559INFOEMIPRR2022.pdf”</w:t>
      </w:r>
      <w:r>
        <w:rPr>
          <w:rFonts w:ascii="Palatino Linotype" w:eastAsia="Palatino Linotype" w:hAnsi="Palatino Linotype" w:cs="Palatino Linotype"/>
        </w:rPr>
        <w:t xml:space="preserve">, en fecha </w:t>
      </w:r>
      <w:r>
        <w:rPr>
          <w:rFonts w:ascii="Palatino Linotype" w:eastAsia="Palatino Linotype" w:hAnsi="Palatino Linotype" w:cs="Palatino Linotype"/>
          <w:b/>
        </w:rPr>
        <w:t>diecinueve de abril de dos mil veintidós</w:t>
      </w:r>
      <w:r>
        <w:rPr>
          <w:rFonts w:ascii="Palatino Linotype" w:eastAsia="Palatino Linotype" w:hAnsi="Palatino Linotype" w:cs="Palatino Linotype"/>
        </w:rPr>
        <w:t xml:space="preserve">, </w:t>
      </w:r>
      <w:r>
        <w:rPr>
          <w:rFonts w:ascii="Palatino Linotype" w:eastAsia="Palatino Linotype" w:hAnsi="Palatino Linotype" w:cs="Palatino Linotype"/>
          <w:b/>
        </w:rPr>
        <w:t>mediante el cual ratifica su respuesta,</w:t>
      </w:r>
      <w:r>
        <w:rPr>
          <w:rFonts w:ascii="Palatino Linotype" w:eastAsia="Palatino Linotype" w:hAnsi="Palatino Linotype" w:cs="Palatino Linotype"/>
        </w:rPr>
        <w:t xml:space="preserve"> asimismo por cuanto hace al particular, se tiene que no emitió alegatos o pronunciamiento alguno, por lo que se tiene por precluido su derecho para tal efecto.</w:t>
      </w:r>
    </w:p>
    <w:p w14:paraId="11349CCA"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 señalar que esta documentación se puso a la vista del particular mediante acuerdo emitido por la Comisionada Ponente, asimismo por cuanto hace a la parte Recurrente, se tiene que fue omiso en presentar manifestaciones, pruebas y/o alegatos en la etapa procedimental previamente reconocida en nuestra Ley de Transparencia, por lo cual se tiene por precluido su derecho.</w:t>
      </w:r>
    </w:p>
    <w:p w14:paraId="2A6FA3D0" w14:textId="77777777" w:rsidR="004E6B45" w:rsidRDefault="006A7660">
      <w:pPr>
        <w:spacing w:before="240" w:after="240" w:line="360" w:lineRule="auto"/>
        <w:ind w:right="49"/>
        <w:jc w:val="both"/>
      </w:pPr>
      <w:r>
        <w:object w:dxaOrig="8790" w:dyaOrig="2985" w14:anchorId="7B3A6539">
          <v:shape id="_x0000_i1029" type="#_x0000_t75" style="width:439.55pt;height:149pt" o:ole="">
            <v:imagedata r:id="rId21" o:title=""/>
          </v:shape>
          <o:OLEObject Type="Embed" ProgID="Paint.Picture" ShapeID="_x0000_i1029" DrawAspect="Content" ObjectID="_1715689801" r:id="rId22"/>
        </w:object>
      </w:r>
    </w:p>
    <w:p w14:paraId="17EC1F68"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8.- Ampliación del plazo para emitir resolución.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diecisiete de mayo de dos mil veintidós</w:t>
      </w:r>
      <w:r>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el artículo </w:t>
      </w:r>
      <w:r>
        <w:rPr>
          <w:rFonts w:ascii="Palatino Linotype" w:eastAsia="Palatino Linotype" w:hAnsi="Palatino Linotype" w:cs="Palatino Linotype"/>
        </w:rPr>
        <w:lastRenderedPageBreak/>
        <w:t>181, párrafo tercero de la Ley de Transparencia y Acceso a la Información Pública del Estado de México y Municipios.</w:t>
      </w:r>
    </w:p>
    <w:p w14:paraId="587D9F23"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Cierre de Instrucción. </w:t>
      </w:r>
      <w:r>
        <w:rPr>
          <w:rFonts w:ascii="Palatino Linotype" w:eastAsia="Palatino Linotype" w:hAnsi="Palatino Linotype" w:cs="Palatino Linotype"/>
        </w:rPr>
        <w:t xml:space="preserve">Una vez transcurrido el plazo otorgado para que las partes manifestaran lo que a su derecho conviniera, y siguiendo los trámites correspondientes con fundamento en el artículo 185 fracción VI de la Ley de Transparencia y Acceso a la Información Pública del Estado de México y Municipios, el día </w:t>
      </w:r>
      <w:r>
        <w:rPr>
          <w:rFonts w:ascii="Palatino Linotype" w:eastAsia="Palatino Linotype" w:hAnsi="Palatino Linotype" w:cs="Palatino Linotype"/>
          <w:b/>
        </w:rPr>
        <w:t>veintiséis</w:t>
      </w:r>
      <w:r>
        <w:rPr>
          <w:rFonts w:ascii="Palatino Linotype" w:eastAsia="Palatino Linotype" w:hAnsi="Palatino Linotype" w:cs="Palatino Linotype"/>
          <w:b/>
          <w:color w:val="000000"/>
        </w:rPr>
        <w:t xml:space="preserve"> de mayo </w:t>
      </w:r>
      <w:r>
        <w:rPr>
          <w:rFonts w:ascii="Palatino Linotype" w:eastAsia="Palatino Linotype" w:hAnsi="Palatino Linotype" w:cs="Palatino Linotype"/>
          <w:b/>
        </w:rPr>
        <w:t>de dos mil veintidós</w:t>
      </w:r>
      <w:r>
        <w:rPr>
          <w:rFonts w:ascii="Palatino Linotype" w:eastAsia="Palatino Linotype" w:hAnsi="Palatino Linotype" w:cs="Palatino Linotype"/>
        </w:rPr>
        <w:t>, se procedió a decretar el cierre de instrucción respectivo y no existiendo diligencia pendiente de desahogo, se ordenó emitir la resolución que conforme a derecho proceda.</w:t>
      </w:r>
    </w:p>
    <w:p w14:paraId="664EF10E"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D82A323" w14:textId="77777777" w:rsidR="004E6B45" w:rsidRDefault="006A7660">
      <w:pPr>
        <w:spacing w:before="240" w:after="240" w:line="360" w:lineRule="auto"/>
        <w:ind w:right="49"/>
        <w:jc w:val="center"/>
        <w:rPr>
          <w:rFonts w:ascii="Palatino Linotype" w:eastAsia="Palatino Linotype" w:hAnsi="Palatino Linotype" w:cs="Palatino Linotype"/>
          <w:b/>
        </w:rPr>
      </w:pPr>
      <w:r>
        <w:rPr>
          <w:rFonts w:ascii="Palatino Linotype" w:eastAsia="Palatino Linotype" w:hAnsi="Palatino Linotype" w:cs="Palatino Linotype"/>
          <w:b/>
        </w:rPr>
        <w:t>CONSIDERANDO</w:t>
      </w:r>
    </w:p>
    <w:p w14:paraId="17B97BFD" w14:textId="77777777" w:rsidR="004E6B45" w:rsidRDefault="006A7660">
      <w:pPr>
        <w:spacing w:before="240" w:after="240" w:line="360" w:lineRule="auto"/>
        <w:ind w:right="49"/>
        <w:jc w:val="both"/>
        <w:rPr>
          <w:rFonts w:ascii="Palatino Linotype" w:eastAsia="Palatino Linotype" w:hAnsi="Palatino Linotype" w:cs="Palatino Linotype"/>
          <w:highlight w:val="white"/>
        </w:rPr>
      </w:pPr>
      <w:r>
        <w:rPr>
          <w:rFonts w:ascii="Palatino Linotype" w:eastAsia="Palatino Linotype" w:hAnsi="Palatino Linotype" w:cs="Palatino Linotype"/>
          <w:b/>
        </w:rPr>
        <w:t>Primero.</w:t>
      </w:r>
      <w:r>
        <w:rPr>
          <w:rFonts w:ascii="Palatino Linotype" w:eastAsia="Palatino Linotype" w:hAnsi="Palatino Linotype" w:cs="Palatino Linotype"/>
        </w:rPr>
        <w:t xml:space="preserve"> </w:t>
      </w:r>
      <w:r>
        <w:rPr>
          <w:rFonts w:ascii="Palatino Linotype" w:eastAsia="Palatino Linotype" w:hAnsi="Palatino Linotype" w:cs="Palatino Linotype"/>
          <w:b/>
        </w:rPr>
        <w:t>Competencia.</w:t>
      </w:r>
      <w:r>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highlight w:val="white"/>
        </w:rPr>
        <w:t xml:space="preserve">El Instituto de Transparencia, Acceso a la Información Pública y Protección de Datos Personales del Estado de México y Municipios, es competente para conocer y resolver el presente recurso de revisión interpuesto por </w:t>
      </w:r>
      <w:r>
        <w:rPr>
          <w:rFonts w:ascii="Palatino Linotype" w:eastAsia="Palatino Linotype" w:hAnsi="Palatino Linotype" w:cs="Palatino Linotype"/>
          <w:b/>
          <w:highlight w:val="white"/>
        </w:rPr>
        <w:t>la parte Recurrente</w:t>
      </w:r>
      <w:r>
        <w:rPr>
          <w:rFonts w:ascii="Palatino Linotype" w:eastAsia="Palatino Linotype" w:hAnsi="Palatino Linotype" w:cs="Palatino Linotype"/>
          <w:highlight w:val="white"/>
        </w:rPr>
        <w:t xml:space="preserve">, conforme a lo dispuesto en los artículos 6, apartado A de la Constitución Política de los Estados Unidos Mexicanos; 5, párrafos trigésimo, trigésimo primero y trigésimo segundo;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w:t>
      </w:r>
      <w:r>
        <w:rPr>
          <w:rFonts w:ascii="Palatino Linotype" w:eastAsia="Palatino Linotype" w:hAnsi="Palatino Linotype" w:cs="Palatino Linotype"/>
          <w:highlight w:val="white"/>
        </w:rPr>
        <w:lastRenderedPageBreak/>
        <w:t>del Instituto de Transparencia, Acceso a la Información Pública y Protección de Datos Personales del Estado de México y Municipios.</w:t>
      </w:r>
    </w:p>
    <w:p w14:paraId="41D65F91" w14:textId="77777777" w:rsidR="004E6B45" w:rsidRDefault="006A7660">
      <w:pPr>
        <w:spacing w:before="240" w:after="240" w:line="360" w:lineRule="auto"/>
        <w:jc w:val="both"/>
        <w:rPr>
          <w:rFonts w:ascii="Palatino Linotype" w:eastAsia="Palatino Linotype" w:hAnsi="Palatino Linotype" w:cs="Palatino Linotype"/>
          <w:highlight w:val="red"/>
        </w:rPr>
      </w:pPr>
      <w:r>
        <w:rPr>
          <w:rFonts w:ascii="Palatino Linotype" w:eastAsia="Palatino Linotype" w:hAnsi="Palatino Linotype" w:cs="Palatino Linotype"/>
          <w:b/>
        </w:rPr>
        <w:t xml:space="preserve">Segundo. Oportunidad y Procedibilidad. </w:t>
      </w:r>
      <w:r>
        <w:rPr>
          <w:rFonts w:ascii="Palatino Linotype" w:eastAsia="Palatino Linotype" w:hAnsi="Palatino Linotype" w:cs="Palatino Linotype"/>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emitió su respuesta a la solicitud planteada por el solicitante en fecha </w:t>
      </w:r>
      <w:r>
        <w:rPr>
          <w:rFonts w:ascii="Palatino Linotype" w:eastAsia="Palatino Linotype" w:hAnsi="Palatino Linotype" w:cs="Palatino Linotype"/>
          <w:b/>
        </w:rPr>
        <w:t>once de febrero del año dos mil veintidós</w:t>
      </w:r>
      <w:r>
        <w:rPr>
          <w:rFonts w:ascii="Palatino Linotype" w:eastAsia="Palatino Linotype" w:hAnsi="Palatino Linotype" w:cs="Palatino Linotype"/>
        </w:rPr>
        <w:t xml:space="preserve"> y </w:t>
      </w:r>
      <w:r>
        <w:rPr>
          <w:rFonts w:ascii="Palatino Linotype" w:eastAsia="Palatino Linotype" w:hAnsi="Palatino Linotype" w:cs="Palatino Linotype"/>
          <w:b/>
        </w:rPr>
        <w:t>el Recurrente</w:t>
      </w:r>
      <w:r>
        <w:rPr>
          <w:rFonts w:ascii="Palatino Linotype" w:eastAsia="Palatino Linotype" w:hAnsi="Palatino Linotype" w:cs="Palatino Linotype"/>
        </w:rPr>
        <w:t xml:space="preserve"> presentó su recurso de revisión el </w:t>
      </w:r>
      <w:r>
        <w:rPr>
          <w:rFonts w:ascii="Palatino Linotype" w:eastAsia="Palatino Linotype" w:hAnsi="Palatino Linotype" w:cs="Palatino Linotype"/>
          <w:b/>
        </w:rPr>
        <w:t>uno de marzo de dos mil veintidós</w:t>
      </w:r>
      <w:r>
        <w:rPr>
          <w:rFonts w:ascii="Palatino Linotype" w:eastAsia="Palatino Linotype" w:hAnsi="Palatino Linotype" w:cs="Palatino Linotype"/>
        </w:rPr>
        <w:t>, esto es al décimo segundo día hábil en el que tuvo conocimiento de la respuesta.</w:t>
      </w:r>
    </w:p>
    <w:p w14:paraId="581D2287" w14:textId="77777777" w:rsidR="004E6B45" w:rsidRDefault="006A766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Asimismo, por cuanto hace a la procedibilidad de</w:t>
      </w:r>
      <w:r>
        <w:rPr>
          <w:rFonts w:ascii="Palatino Linotype" w:eastAsia="Palatino Linotype" w:hAnsi="Palatino Linotype" w:cs="Palatino Linotype"/>
        </w:rPr>
        <w:t xml:space="preserve">l </w:t>
      </w:r>
      <w:r>
        <w:rPr>
          <w:rFonts w:ascii="Palatino Linotype" w:eastAsia="Palatino Linotype" w:hAnsi="Palatino Linotype" w:cs="Palatino Linotype"/>
          <w:color w:val="000000"/>
        </w:rPr>
        <w:t xml:space="preserve"> recurso de </w:t>
      </w:r>
      <w:r>
        <w:rPr>
          <w:rFonts w:ascii="Palatino Linotype" w:eastAsia="Palatino Linotype" w:hAnsi="Palatino Linotype" w:cs="Palatino Linotype"/>
        </w:rPr>
        <w:t>revisión</w:t>
      </w:r>
      <w:r>
        <w:rPr>
          <w:rFonts w:ascii="Palatino Linotype" w:eastAsia="Palatino Linotype" w:hAnsi="Palatino Linotype" w:cs="Palatino Linotype"/>
          <w:color w:val="000000"/>
        </w:rPr>
        <w:t xml:space="preserve">, es de suma importancia señalar que </w:t>
      </w:r>
      <w:r>
        <w:rPr>
          <w:rFonts w:ascii="Palatino Linotype" w:eastAsia="Palatino Linotype" w:hAnsi="Palatino Linotype" w:cs="Palatino Linotype"/>
          <w:b/>
          <w:color w:val="000000"/>
        </w:rPr>
        <w:t>la parte Recurrente</w:t>
      </w:r>
      <w:r>
        <w:rPr>
          <w:rFonts w:ascii="Palatino Linotype" w:eastAsia="Palatino Linotype" w:hAnsi="Palatino Linotype" w:cs="Palatino Linotype"/>
          <w:color w:val="000000"/>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0C2819D" w14:textId="77777777" w:rsidR="004E6B45" w:rsidRDefault="006A7660">
      <w:pPr>
        <w:pBdr>
          <w:top w:val="nil"/>
          <w:left w:val="nil"/>
          <w:bottom w:val="nil"/>
          <w:right w:val="nil"/>
          <w:between w:val="nil"/>
        </w:pBdr>
        <w:spacing w:before="240" w:after="240" w:line="276" w:lineRule="auto"/>
        <w:ind w:left="567" w:right="616"/>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70F34570" w14:textId="77777777" w:rsidR="004E6B45" w:rsidRDefault="006A7660">
      <w:pPr>
        <w:spacing w:before="240" w:after="240" w:line="360" w:lineRule="auto"/>
        <w:ind w:right="-93"/>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Así las cosas, por cuanto hace a la procedibilidad del recurso de revisión, una vez realizado el análisis del formato de interposición del mismo,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FBBDEFC"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Finalmente, se advierte que resulta procedente la interposición del recurso, según lo manifestado por</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color w:val="000000"/>
        </w:rPr>
        <w:t xml:space="preserve">la parte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sus motivos de inconformidad, de acuerdo al artículo 179, fracción I del ordenamiento legal citado, que a la letra dice: </w:t>
      </w:r>
    </w:p>
    <w:p w14:paraId="256648C8" w14:textId="77777777" w:rsidR="004E6B45" w:rsidRDefault="006A7660">
      <w:pPr>
        <w:spacing w:before="240" w:after="240" w:line="276" w:lineRule="auto"/>
        <w:ind w:left="567"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 </w:t>
      </w:r>
    </w:p>
    <w:p w14:paraId="6002F553" w14:textId="77777777" w:rsidR="004E6B45" w:rsidRDefault="006A7660">
      <w:pPr>
        <w:spacing w:before="240" w:after="240" w:line="276" w:lineRule="auto"/>
        <w:ind w:left="567" w:right="90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 La negativa a la información solicitada;</w:t>
      </w:r>
      <w:r>
        <w:rPr>
          <w:rFonts w:ascii="Palatino Linotype" w:eastAsia="Palatino Linotype" w:hAnsi="Palatino Linotype" w:cs="Palatino Linotype"/>
          <w:i/>
          <w:sz w:val="22"/>
          <w:szCs w:val="22"/>
        </w:rPr>
        <w:t>” </w:t>
      </w:r>
    </w:p>
    <w:p w14:paraId="6C8A54BB" w14:textId="77777777" w:rsidR="004E6B45" w:rsidRDefault="006A7660">
      <w:pPr>
        <w:spacing w:before="240" w:after="240" w:line="276" w:lineRule="auto"/>
        <w:ind w:right="615"/>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         (Énfasis añadido)</w:t>
      </w:r>
    </w:p>
    <w:p w14:paraId="11E17323"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de la parte Recurrente, o en su defecto, en caso de ser procedente, ordenar la entrega de información oportuna.</w:t>
      </w:r>
    </w:p>
    <w:p w14:paraId="110ABA18" w14:textId="77777777" w:rsidR="004E6B45" w:rsidRDefault="006A76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 xml:space="preserve">Antes de entrar al análisis de los pronunciamientos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la respuesta proporcionada, es necesario mencionar que el </w:t>
      </w:r>
      <w:r>
        <w:rPr>
          <w:rFonts w:ascii="Palatino Linotype" w:eastAsia="Palatino Linotype" w:hAnsi="Palatino Linotype" w:cs="Palatino Linotype"/>
        </w:rPr>
        <w:lastRenderedPageBreak/>
        <w:t>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6391DCEB" w14:textId="77777777" w:rsidR="004E6B45" w:rsidRDefault="006A766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6DD51808" w14:textId="77777777" w:rsidR="004E6B45" w:rsidRDefault="006A7660">
      <w:pPr>
        <w:tabs>
          <w:tab w:val="left" w:pos="709"/>
        </w:tabs>
        <w:spacing w:before="240" w:after="240" w:line="276" w:lineRule="auto"/>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307E3FE" w14:textId="77777777" w:rsidR="004E6B45" w:rsidRDefault="006A766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0C24F22" w14:textId="77777777" w:rsidR="004E6B45" w:rsidRDefault="006A7660">
      <w:pPr>
        <w:tabs>
          <w:tab w:val="left" w:pos="709"/>
        </w:tabs>
        <w:spacing w:before="240" w:after="240" w:line="276" w:lineRule="auto"/>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3962863F" w14:textId="77777777" w:rsidR="004E6B45" w:rsidRDefault="006A7660">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14:paraId="13C4EFE3" w14:textId="77777777" w:rsidR="004E6B45" w:rsidRDefault="006A7660">
      <w:pPr>
        <w:spacing w:before="240" w:after="240" w:line="276" w:lineRule="auto"/>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533A3F8"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14:paraId="29262608"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78DB894" w14:textId="77777777" w:rsidR="004E6B45" w:rsidRDefault="006A7660">
      <w:pPr>
        <w:spacing w:before="240" w:after="240" w:line="276" w:lineRule="auto"/>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52EEDE08"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14:paraId="30C8B1B3"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1E55DCDF"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F071D5E"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EFE8E7E" w14:textId="77777777" w:rsidR="004E6B45" w:rsidRDefault="006A7660">
      <w:pPr>
        <w:spacing w:before="240" w:after="240" w:line="276" w:lineRule="auto"/>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 </w:t>
      </w: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76AD4E76"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1A80B23" w14:textId="77777777" w:rsidR="004E6B45" w:rsidRDefault="006A7660">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6C02ABC" w14:textId="77777777" w:rsidR="004E6B45" w:rsidRDefault="006A7660">
      <w:pPr>
        <w:spacing w:before="240" w:after="240" w:line="276" w:lineRule="auto"/>
        <w:ind w:left="709" w:right="76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534533A" w14:textId="77777777" w:rsidR="004E6B45" w:rsidRDefault="006A7660">
      <w:pPr>
        <w:spacing w:before="240" w:after="240" w:line="276" w:lineRule="auto"/>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6369A53F"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66F53F2C" w14:textId="77777777" w:rsidR="004E6B45" w:rsidRDefault="006A7660">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9855A4A" w14:textId="77777777" w:rsidR="004E6B45" w:rsidRDefault="006A7660">
      <w:pPr>
        <w:spacing w:before="240" w:after="240" w:line="276" w:lineRule="auto"/>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3BE5CAE2" w14:textId="77777777" w:rsidR="004E6B45" w:rsidRDefault="006A766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Pr>
          <w:rFonts w:ascii="Palatino Linotype" w:eastAsia="Palatino Linotype" w:hAnsi="Palatino Linotype" w:cs="Palatino Linotype"/>
          <w:i/>
          <w:color w:val="000000"/>
        </w:rPr>
        <w:t>ad hoc</w:t>
      </w:r>
      <w:r>
        <w:rPr>
          <w:rFonts w:ascii="Palatino Linotype" w:eastAsia="Palatino Linotype" w:hAnsi="Palatino Linotype" w:cs="Palatino Linotype"/>
          <w:color w:val="000000"/>
        </w:rPr>
        <w:t xml:space="preserve">, para satisfacer el derecho de acceso a la información pública, </w:t>
      </w:r>
      <w:r>
        <w:rPr>
          <w:rFonts w:ascii="Palatino Linotype" w:eastAsia="Palatino Linotype" w:hAnsi="Palatino Linotype" w:cs="Palatino Linotype"/>
        </w:rPr>
        <w:t>como así lo establece el criterio 03/17 emitido por el Instituto Nacional de Transparencia, Acceso a la Información Pública y Protección de Datos Personales, el cual señala lo siguiente:</w:t>
      </w:r>
    </w:p>
    <w:p w14:paraId="79A51F8F" w14:textId="77777777" w:rsidR="004E6B45" w:rsidRDefault="006A766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03/17</w:t>
      </w:r>
    </w:p>
    <w:p w14:paraId="4EB89A86" w14:textId="77777777" w:rsidR="004E6B45" w:rsidRDefault="006A766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lastRenderedPageBreak/>
        <w:t>“NO EXISTE OBLIGACIÓN DE ELABORAR DOCUMENTOS AD HOC PARA ATENDER LAS SOLICITUDES DE ACCESO A LA INFORMACIÓN.</w:t>
      </w:r>
    </w:p>
    <w:p w14:paraId="1B0CDDF9" w14:textId="77777777" w:rsidR="004E6B45" w:rsidRDefault="006A76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57AC6462" w14:textId="77777777" w:rsidR="004E6B45" w:rsidRDefault="006A766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Por otra parte, y aunado a lo antepuesto, el último párrafo del artículo 24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B93F605"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651DF4E"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DF083BC" w14:textId="77777777" w:rsidR="004E6B45" w:rsidRDefault="006A76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14:paraId="1EFA9951" w14:textId="77777777" w:rsidR="004E6B45" w:rsidRDefault="006A76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0ED87FFC" w14:textId="77777777" w:rsidR="004E6B45" w:rsidRDefault="006A7660">
      <w:pP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w:t>
      </w:r>
      <w:r>
        <w:rPr>
          <w:rFonts w:ascii="Palatino Linotype" w:eastAsia="Palatino Linotype" w:hAnsi="Palatino Linotype" w:cs="Palatino Linotype"/>
          <w:b/>
          <w:i/>
          <w:color w:val="000000"/>
          <w:sz w:val="22"/>
          <w:szCs w:val="22"/>
        </w:rPr>
        <w:t>actas,</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(Sic)</w:t>
      </w:r>
    </w:p>
    <w:p w14:paraId="22B2ABEF"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B7AAAF1" w14:textId="77777777" w:rsidR="004E6B45" w:rsidRDefault="006A7660">
      <w:pPr>
        <w:spacing w:before="240" w:after="240" w:line="276" w:lineRule="auto"/>
        <w:ind w:left="567" w:right="567"/>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14:paraId="6BFCC573" w14:textId="77777777" w:rsidR="004E6B45" w:rsidRDefault="006A76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2FCE2D" w14:textId="77777777" w:rsidR="004E6B45" w:rsidRDefault="006A7660">
      <w:pPr>
        <w:spacing w:before="240" w:after="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540588DC" w14:textId="77777777" w:rsidR="004E6B45" w:rsidRDefault="006A7660">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73604B11" w14:textId="77777777" w:rsidR="004E6B45" w:rsidRDefault="006A7660">
      <w:pPr>
        <w:numPr>
          <w:ilvl w:val="0"/>
          <w:numId w:val="1"/>
        </w:numPr>
        <w:pBdr>
          <w:top w:val="nil"/>
          <w:left w:val="nil"/>
          <w:bottom w:val="nil"/>
          <w:right w:val="nil"/>
          <w:between w:val="nil"/>
        </w:pBdr>
        <w:spacing w:before="240" w:after="240" w:line="276" w:lineRule="auto"/>
        <w:ind w:left="567" w:right="567"/>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502CC1A3" w14:textId="77777777" w:rsidR="004E6B45" w:rsidRDefault="006A7660">
      <w:pPr>
        <w:spacing w:before="240" w:after="240" w:line="276" w:lineRule="auto"/>
        <w:ind w:left="567" w:right="567" w:hanging="28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w:t>
      </w:r>
      <w:r>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600D6ACC"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w:t>
      </w:r>
      <w:r>
        <w:rPr>
          <w:rFonts w:ascii="Palatino Linotype" w:eastAsia="Palatino Linotype" w:hAnsi="Palatino Linotype" w:cs="Palatino Linotype"/>
        </w:rPr>
        <w:lastRenderedPageBreak/>
        <w:t>de interés individual, y cuya divulgación resulta útil para que el público comprenda las 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w:t>
      </w:r>
    </w:p>
    <w:p w14:paraId="7DC6F31D"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para profundizar en el estudio del presente asunto, es conveniente recordar que la parte solicitante requirió al </w:t>
      </w:r>
      <w:r>
        <w:rPr>
          <w:rFonts w:ascii="Palatino Linotype" w:eastAsia="Palatino Linotype" w:hAnsi="Palatino Linotype" w:cs="Palatino Linotype"/>
          <w:b/>
        </w:rPr>
        <w:t>Sujeto Obligado</w:t>
      </w:r>
      <w:r>
        <w:rPr>
          <w:rFonts w:ascii="Palatino Linotype" w:eastAsia="Palatino Linotype" w:hAnsi="Palatino Linotype" w:cs="Palatino Linotype"/>
        </w:rPr>
        <w:t>, le proporcionara lo siguiente:</w:t>
      </w:r>
    </w:p>
    <w:p w14:paraId="5469AC06" w14:textId="77777777" w:rsidR="004E6B45" w:rsidRDefault="006A7660">
      <w:pPr>
        <w:numPr>
          <w:ilvl w:val="0"/>
          <w:numId w:val="2"/>
        </w:numPr>
        <w:pBdr>
          <w:top w:val="nil"/>
          <w:left w:val="nil"/>
          <w:bottom w:val="nil"/>
          <w:right w:val="nil"/>
          <w:between w:val="nil"/>
        </w:pBdr>
        <w:tabs>
          <w:tab w:val="left" w:pos="7513"/>
        </w:tabs>
        <w:spacing w:before="240" w:after="240" w:line="360" w:lineRule="auto"/>
        <w:ind w:left="567" w:right="851" w:hanging="283"/>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Copia de todas las requisiciones remitidas por las dependencias para la adquisición, arrendamiento o reparación de bienes o servicios del once de enero de 2022.</w:t>
      </w:r>
    </w:p>
    <w:p w14:paraId="74F95232" w14:textId="77777777" w:rsidR="004E6B45" w:rsidRDefault="006A7660">
      <w:pPr>
        <w:tabs>
          <w:tab w:val="left" w:pos="7513"/>
        </w:tabs>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Al respecto,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por conducto del Director de Administración que </w:t>
      </w:r>
      <w:r>
        <w:rPr>
          <w:rFonts w:ascii="Palatino Linotype" w:eastAsia="Palatino Linotype" w:hAnsi="Palatino Linotype" w:cs="Palatino Linotype"/>
          <w:b/>
          <w:u w:val="single"/>
        </w:rPr>
        <w:t xml:space="preserve">después de haber realizado una búsqueda exhaustiva en los expedientes que obran dentro del archivo de la Subdirección de Adquisiciones y Contratación de Servicios, dependiente de la Dirección a su cargo, a la fecha no se encontró información relacionada con lo solicitado. </w:t>
      </w:r>
    </w:p>
    <w:p w14:paraId="1BD33736" w14:textId="77777777" w:rsidR="004E6B45" w:rsidRDefault="006A7660">
      <w:pPr>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Conocida la respuesta a la solicitud de información, el particular, al no estar conforme con los términos de la misma, interpuso el recurso de revisión que nos ocupa, donde señaló como motivos de inconformidad: </w:t>
      </w:r>
      <w:r>
        <w:rPr>
          <w:rFonts w:ascii="Palatino Linotype" w:eastAsia="Palatino Linotype" w:hAnsi="Palatino Linotype" w:cs="Palatino Linotype"/>
          <w:i/>
        </w:rPr>
        <w:t>“</w:t>
      </w:r>
      <w:r>
        <w:rPr>
          <w:rFonts w:ascii="Palatino Linotype" w:eastAsia="Palatino Linotype" w:hAnsi="Palatino Linotype" w:cs="Palatino Linotype"/>
          <w:b/>
          <w:i/>
          <w:u w:val="single"/>
        </w:rPr>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w:t>
      </w:r>
      <w:r>
        <w:rPr>
          <w:rFonts w:ascii="Palatino Linotype" w:eastAsia="Palatino Linotype" w:hAnsi="Palatino Linotype" w:cs="Palatino Linotype"/>
          <w:b/>
          <w:i/>
          <w:u w:val="single"/>
        </w:rPr>
        <w:lastRenderedPageBreak/>
        <w:t xml:space="preserve">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w:t>
      </w:r>
      <w:r>
        <w:rPr>
          <w:rFonts w:ascii="Palatino Linotype" w:eastAsia="Palatino Linotype" w:hAnsi="Palatino Linotype" w:cs="Palatino Linotype"/>
          <w:i/>
        </w:rPr>
        <w:t xml:space="preserve">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w:t>
      </w:r>
      <w:r>
        <w:rPr>
          <w:rFonts w:ascii="Palatino Linotype" w:eastAsia="Palatino Linotype" w:hAnsi="Palatino Linotype" w:cs="Palatino Linotype"/>
          <w:b/>
          <w:i/>
          <w:u w:val="single"/>
        </w:rPr>
        <w:t xml:space="preserve">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w:t>
      </w:r>
      <w:r>
        <w:rPr>
          <w:rFonts w:ascii="Palatino Linotype" w:eastAsia="Palatino Linotype" w:hAnsi="Palatino Linotype" w:cs="Palatino Linotype"/>
          <w:i/>
        </w:rPr>
        <w:t xml:space="preserve">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w:t>
      </w:r>
      <w:r>
        <w:rPr>
          <w:rFonts w:ascii="Palatino Linotype" w:eastAsia="Palatino Linotype" w:hAnsi="Palatino Linotype" w:cs="Palatino Linotype"/>
          <w:b/>
          <w:i/>
          <w:u w:val="single"/>
        </w:rPr>
        <w:t xml:space="preserve">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w:t>
      </w:r>
      <w:r>
        <w:rPr>
          <w:rFonts w:ascii="Palatino Linotype" w:eastAsia="Palatino Linotype" w:hAnsi="Palatino Linotype" w:cs="Palatino Linotype"/>
          <w:b/>
          <w:i/>
          <w:u w:val="single"/>
        </w:rPr>
        <w:lastRenderedPageBreak/>
        <w:t xml:space="preserve">el caso, en el formato en que se encuentre. </w:t>
      </w:r>
      <w:r>
        <w:rPr>
          <w:rFonts w:ascii="Palatino Linotype" w:eastAsia="Palatino Linotype" w:hAnsi="Palatino Linotype" w:cs="Palatino Linotype"/>
          <w:i/>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 (Sic) (Énfasis añadido)</w:t>
      </w:r>
    </w:p>
    <w:p w14:paraId="10F9CD97"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las cosas, durante la etapa de manifestaciones,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rindió su informe justificado, mediante el cual ratificó la respuesta pronunciada inicialmente, asimismo se tiene que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no emitió alegatos, manifestaciones o pronunciamiento alguno que a su derecho conviniera, luego entonces, se tiene por precluido su derecho para tal efecto.</w:t>
      </w:r>
    </w:p>
    <w:p w14:paraId="5A50CB75"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Ahora bien, a efecto de garantizar el efectivo ejercicio del derecho de acceso a la información pública que asiste al particular, resulta conveniente entrar al estudio de las siguientes consideraciones de hecho y derecho: </w:t>
      </w:r>
    </w:p>
    <w:p w14:paraId="689A2AC8"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las constancias que integran el expediente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satisfizo el derecho de acceso el derecho de acceso a la información del ahora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al incumplir el principio de exhaustividad, toda vez que no se advierte una correcta búsqueda exhaustiva y razonable de la información solicitada por el Particular, lo anterior es así, en razón de que compete a los sujetos obligados seguir </w:t>
      </w:r>
      <w:r>
        <w:rPr>
          <w:rFonts w:ascii="Palatino Linotype" w:eastAsia="Palatino Linotype" w:hAnsi="Palatino Linotype" w:cs="Palatino Linotype"/>
        </w:rPr>
        <w:lastRenderedPageBreak/>
        <w:t xml:space="preserve">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7D682E58"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0C6D132"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06541BF2"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63C0CFE7"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76F4CB93"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2832AD81" w14:textId="77777777" w:rsidR="004E6B45" w:rsidRDefault="006A7660">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3B37054E" w14:textId="77777777" w:rsidR="004E6B45" w:rsidRDefault="006A7660">
      <w:pP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este orden de ideas,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turnar la solicitud a las áreas competentes para conocer de la solicitud de información, como en el presente caso se advierte que es la </w:t>
      </w:r>
      <w:r>
        <w:rPr>
          <w:rFonts w:ascii="Palatino Linotype" w:eastAsia="Palatino Linotype" w:hAnsi="Palatino Linotype" w:cs="Palatino Linotype"/>
          <w:b/>
        </w:rPr>
        <w:t>Subdirección de Egresos, perteneciente a la Tesorería Municipal</w:t>
      </w:r>
      <w:r>
        <w:rPr>
          <w:rFonts w:ascii="Palatino Linotype" w:eastAsia="Palatino Linotype" w:hAnsi="Palatino Linotype" w:cs="Palatino Linotype"/>
        </w:rPr>
        <w:t xml:space="preserve">, ello de conformidad con lo previsto por los </w:t>
      </w:r>
      <w:r>
        <w:rPr>
          <w:rFonts w:ascii="Palatino Linotype" w:eastAsia="Palatino Linotype" w:hAnsi="Palatino Linotype" w:cs="Palatino Linotype"/>
          <w:color w:val="000000"/>
        </w:rPr>
        <w:t>artículos 3.48 en su fracción VIII y 3.55 en sus fracciones VIII y XV, los cuales son del tenor literal siguiente:</w:t>
      </w:r>
    </w:p>
    <w:p w14:paraId="48D35A33" w14:textId="77777777" w:rsidR="004E6B45" w:rsidRDefault="006A7660">
      <w:pPr>
        <w:spacing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Código de Reglamentación Municipal de Metepec, Estado de México: </w:t>
      </w:r>
    </w:p>
    <w:p w14:paraId="6F3840B3" w14:textId="77777777" w:rsidR="004E6B45" w:rsidRDefault="006A7660">
      <w:pPr>
        <w:spacing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CAPÍTULO II </w:t>
      </w:r>
    </w:p>
    <w:p w14:paraId="5C16FBA0" w14:textId="77777777" w:rsidR="004E6B45" w:rsidRDefault="006A7660">
      <w:pPr>
        <w:spacing w:line="360" w:lineRule="auto"/>
        <w:ind w:left="56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Tesorería </w:t>
      </w:r>
    </w:p>
    <w:p w14:paraId="78C018D7" w14:textId="77777777" w:rsidR="004E6B45" w:rsidRDefault="006A7660">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Artículo 3.47.- </w:t>
      </w:r>
      <w:r>
        <w:rPr>
          <w:rFonts w:ascii="Palatino Linotype" w:eastAsia="Palatino Linotype" w:hAnsi="Palatino Linotype" w:cs="Palatino Linotype"/>
          <w:b/>
          <w:i/>
          <w:sz w:val="22"/>
          <w:szCs w:val="22"/>
        </w:rPr>
        <w:t xml:space="preserve">La Tesorería Municipal es la encargada de conducir la disciplina presupuestal del Municipio </w:t>
      </w:r>
      <w:r>
        <w:rPr>
          <w:rFonts w:ascii="Palatino Linotype" w:eastAsia="Palatino Linotype" w:hAnsi="Palatino Linotype" w:cs="Palatino Linotype"/>
          <w:i/>
          <w:sz w:val="22"/>
          <w:szCs w:val="22"/>
        </w:rPr>
        <w:t xml:space="preserve">y coordinar las diferentes fuentes de captación, en coordinación con las entidades federales, estatales y municipales, buscando lograr la realización de los objetivos contemplados en el Plan de Desarrollo Municipal, </w:t>
      </w:r>
      <w:r>
        <w:rPr>
          <w:rFonts w:ascii="Palatino Linotype" w:eastAsia="Palatino Linotype" w:hAnsi="Palatino Linotype" w:cs="Palatino Linotype"/>
          <w:b/>
          <w:i/>
          <w:sz w:val="22"/>
          <w:szCs w:val="22"/>
        </w:rPr>
        <w:t>a través de una adecuada integración del presupuesto de ingresos y egresos del Municipio, para la correcta administración de la hacienda municipal.</w:t>
      </w:r>
      <w:r>
        <w:rPr>
          <w:rFonts w:ascii="Palatino Linotype" w:eastAsia="Palatino Linotype" w:hAnsi="Palatino Linotype" w:cs="Palatino Linotype"/>
          <w:i/>
          <w:sz w:val="22"/>
          <w:szCs w:val="22"/>
        </w:rPr>
        <w:t xml:space="preserve"> </w:t>
      </w:r>
    </w:p>
    <w:p w14:paraId="7C85E9A3" w14:textId="77777777" w:rsidR="004E6B45" w:rsidRDefault="006A7660">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Artículo 3. 48.- Además de las previstas en la Ley Orgánica y en la legislación fiscal para los Municipios, son atribuciones de la Tesorería Municipal las siguientes:</w:t>
      </w:r>
    </w:p>
    <w:p w14:paraId="38610408" w14:textId="77777777" w:rsidR="004E6B45" w:rsidRDefault="006A7660">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7CE47D72" w14:textId="77777777" w:rsidR="004E6B45" w:rsidRDefault="006A7660">
      <w:pPr>
        <w:spacing w:line="276" w:lineRule="auto"/>
        <w:ind w:left="567" w:right="851"/>
        <w:jc w:val="both"/>
        <w:rPr>
          <w:rFonts w:ascii="Palatino Linotype" w:eastAsia="Palatino Linotype" w:hAnsi="Palatino Linotype" w:cs="Palatino Linotype"/>
          <w:b/>
          <w:i/>
          <w:sz w:val="22"/>
          <w:szCs w:val="22"/>
          <w:u w:val="single"/>
        </w:rPr>
      </w:pPr>
      <w:r>
        <w:rPr>
          <w:rFonts w:ascii="Palatino Linotype" w:eastAsia="Palatino Linotype" w:hAnsi="Palatino Linotype" w:cs="Palatino Linotype"/>
          <w:b/>
          <w:i/>
          <w:sz w:val="22"/>
          <w:szCs w:val="22"/>
        </w:rPr>
        <w:t xml:space="preserve">XXXII. Supervisar y validar la utilización de un sistema electrónico presupuestal, </w:t>
      </w:r>
      <w:r>
        <w:rPr>
          <w:rFonts w:ascii="Palatino Linotype" w:eastAsia="Palatino Linotype" w:hAnsi="Palatino Linotype" w:cs="Palatino Linotype"/>
          <w:b/>
          <w:i/>
          <w:sz w:val="22"/>
          <w:szCs w:val="22"/>
          <w:u w:val="single"/>
        </w:rPr>
        <w:t>para la elaboración de requisiciones y suficiencias;</w:t>
      </w:r>
    </w:p>
    <w:p w14:paraId="64AD76BF" w14:textId="77777777" w:rsidR="004E6B45" w:rsidRDefault="006A7660">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6DB172CC" w14:textId="77777777" w:rsidR="004E6B45" w:rsidRDefault="006A7660">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Artículo 3.55.- La Subdirección de Egresos; tendrá las siguientes funciones:</w:t>
      </w:r>
    </w:p>
    <w:p w14:paraId="4B8DEE26" w14:textId="77777777" w:rsidR="004E6B45" w:rsidRDefault="006A7660">
      <w:pPr>
        <w:spacing w:line="276" w:lineRule="auto"/>
        <w:ind w:left="567"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14:paraId="1EF61354" w14:textId="77777777" w:rsidR="004E6B45" w:rsidRDefault="006A7660">
      <w:pPr>
        <w:spacing w:line="276" w:lineRule="auto"/>
        <w:ind w:left="567"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 xml:space="preserve">VIII. Aprobar, previo análisis de las áreas correspondientes, las requisiciones que sean remitidas por las dependencias para la adquisición, arrendamiento o reparación de bienes o servicios;” </w:t>
      </w:r>
      <w:r>
        <w:rPr>
          <w:rFonts w:ascii="Palatino Linotype" w:eastAsia="Palatino Linotype" w:hAnsi="Palatino Linotype" w:cs="Palatino Linotype"/>
          <w:i/>
          <w:sz w:val="22"/>
          <w:szCs w:val="22"/>
        </w:rPr>
        <w:t>(Sic) (Énfasis añadido)</w:t>
      </w:r>
    </w:p>
    <w:p w14:paraId="61504A17" w14:textId="77777777" w:rsidR="004E6B45" w:rsidRDefault="004E6B45">
      <w:pPr>
        <w:spacing w:line="360" w:lineRule="auto"/>
        <w:ind w:left="567"/>
        <w:jc w:val="both"/>
        <w:rPr>
          <w:rFonts w:ascii="Palatino Linotype" w:eastAsia="Palatino Linotype" w:hAnsi="Palatino Linotype" w:cs="Palatino Linotype"/>
          <w:b/>
          <w:sz w:val="22"/>
          <w:szCs w:val="22"/>
        </w:rPr>
      </w:pPr>
    </w:p>
    <w:p w14:paraId="6037469F" w14:textId="77777777" w:rsidR="004E6B45" w:rsidRDefault="006A766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anteriormente citado, se concluye que el Sujeto Obligado fue omiso en turnarle la solicitud de información al área competente, toda vez que como se observa del precepto legal en referencia, es la Subdirección de Egresos perteneciente a la </w:t>
      </w:r>
      <w:r>
        <w:rPr>
          <w:rFonts w:ascii="Palatino Linotype" w:eastAsia="Palatino Linotype" w:hAnsi="Palatino Linotype" w:cs="Palatino Linotype"/>
          <w:b/>
          <w:u w:val="single"/>
        </w:rPr>
        <w:t>Tesorería Municipal</w:t>
      </w:r>
      <w:r>
        <w:rPr>
          <w:rFonts w:ascii="Palatino Linotype" w:eastAsia="Palatino Linotype" w:hAnsi="Palatino Linotype" w:cs="Palatino Linotype"/>
        </w:rPr>
        <w:t>, la unidad administrativa competente para la validación y utilización de un sistema electrónico que permita a las dependencias que conforman la administración pública municipal, la elaboración de requisiciones y suficiencias para la adquisición, arrendamiento o reparación de bienes y servicios, las cuales serán analizadas y en su caso, aprobadas por esta subdirección, por lo que bajo estas premisas, se concluye que al no turnarse la solicitud de información a esta área competente, no se pudo otorgar un pronunciamiento adecuado y suficiente que colme este requerimiento, por ende, nos encontramos ante una vulneración al derecho de acceso a la información del particular.</w:t>
      </w:r>
    </w:p>
    <w:p w14:paraId="439D1BAD" w14:textId="77777777" w:rsidR="004E6B45" w:rsidRDefault="004E6B45">
      <w:pPr>
        <w:spacing w:line="360" w:lineRule="auto"/>
        <w:jc w:val="both"/>
        <w:rPr>
          <w:rFonts w:ascii="Palatino Linotype" w:eastAsia="Palatino Linotype" w:hAnsi="Palatino Linotype" w:cs="Palatino Linotype"/>
        </w:rPr>
      </w:pPr>
    </w:p>
    <w:p w14:paraId="7D3B947C" w14:textId="77777777" w:rsidR="004E6B45" w:rsidRDefault="006A766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Ahora bien, no escapa de la óptica de este organismo garante que el requerimiento de información del particular data del once de enero de dos mil veintidós, sin embargo, al no existir un pronunciamiento emitido por el servidor público </w:t>
      </w:r>
      <w:r>
        <w:rPr>
          <w:rFonts w:ascii="Palatino Linotype" w:eastAsia="Palatino Linotype" w:hAnsi="Palatino Linotype" w:cs="Palatino Linotype"/>
        </w:rPr>
        <w:lastRenderedPageBreak/>
        <w:t xml:space="preserve">habilitado competente, no se tiene la certeza de que en la fecha referida por el particular se hubiera generado la información, es por ello que siguiendo a cabalidad los procesos y procedimientos que conforme a derecho deben de seguir las dependencias y en este caso los ayuntamientos para las requisiciones, se estima procedente ordenar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efectúe una búsqueda exhaustiva y razonable al interior de los archivos de la Subdirección de Egresos para efecto de localizar las copias de todas las requisiciones remitidas por las dependencias para la adquisición, arrendamiento o reparación de bienes o servicios del once de enero de 2022, sin embargo,</w:t>
      </w:r>
      <w:r>
        <w:rPr>
          <w:rFonts w:ascii="Palatino Linotype" w:eastAsia="Palatino Linotype" w:hAnsi="Palatino Linotype" w:cs="Palatino Linotype"/>
          <w:color w:val="000000"/>
        </w:rPr>
        <w:t xml:space="preserve"> de ser el caso en el que derivado de una búsqueda exhaustiva y razonable no se locali</w:t>
      </w:r>
      <w:r>
        <w:rPr>
          <w:rFonts w:ascii="Palatino Linotype" w:eastAsia="Palatino Linotype" w:hAnsi="Palatino Linotype" w:cs="Palatino Linotype"/>
        </w:rPr>
        <w:t>ce</w:t>
      </w:r>
      <w:r>
        <w:rPr>
          <w:rFonts w:ascii="Palatino Linotype" w:eastAsia="Palatino Linotype" w:hAnsi="Palatino Linotype" w:cs="Palatino Linotype"/>
          <w:color w:val="000000"/>
        </w:rPr>
        <w:t xml:space="preserve"> la información requerida, deberá manifestarse a la parte solicitante de manera fundada y motivada, toda vez que así se brinda certeza jurídica a los particulares de que se agotó el procedimiento previsto por la normatividad. </w:t>
      </w:r>
    </w:p>
    <w:p w14:paraId="71BC54AD" w14:textId="77777777" w:rsidR="004E6B45" w:rsidRDefault="004E6B45">
      <w:pPr>
        <w:spacing w:line="360" w:lineRule="auto"/>
        <w:jc w:val="both"/>
        <w:rPr>
          <w:rFonts w:ascii="Palatino Linotype" w:eastAsia="Palatino Linotype" w:hAnsi="Palatino Linotype" w:cs="Palatino Linotype"/>
        </w:rPr>
      </w:pPr>
    </w:p>
    <w:p w14:paraId="610965F5" w14:textId="77777777" w:rsidR="004E6B45" w:rsidRDefault="006A7660">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“FUNDAMENTACIÓN Y MOTIVACIÓN DE LOS ACTOS ADMINISTRATIVOS</w:t>
      </w:r>
      <w:r>
        <w:rPr>
          <w:rFonts w:ascii="Palatino Linotype" w:eastAsia="Palatino Linotype" w:hAnsi="Palatino Linotype" w:cs="Palatino Linotype"/>
          <w:i/>
          <w:sz w:val="22"/>
          <w:szCs w:val="22"/>
        </w:rPr>
        <w:t xml:space="preserve">. De acuerdo con  el artículo 16 constitucional, </w:t>
      </w:r>
      <w:r>
        <w:rPr>
          <w:rFonts w:ascii="Palatino Linotype" w:eastAsia="Palatino Linotype" w:hAnsi="Palatino Linotype" w:cs="Palatino Linotype"/>
          <w:b/>
          <w:i/>
          <w:sz w:val="22"/>
          <w:szCs w:val="22"/>
          <w:u w:val="single"/>
        </w:rPr>
        <w:t>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w:t>
      </w:r>
      <w:r>
        <w:rPr>
          <w:rFonts w:ascii="Palatino Linotype" w:eastAsia="Palatino Linotype" w:hAnsi="Palatino Linotype" w:cs="Palatino Linotype"/>
          <w:i/>
          <w:sz w:val="22"/>
          <w:szCs w:val="22"/>
        </w:rPr>
        <w:t xml:space="preserve">. Esto es, que cuando el precepto en comento previene que nadie 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w:t>
      </w:r>
      <w:r>
        <w:rPr>
          <w:rFonts w:ascii="Palatino Linotype" w:eastAsia="Palatino Linotype" w:hAnsi="Palatino Linotype" w:cs="Palatino Linotype"/>
          <w:i/>
          <w:sz w:val="22"/>
          <w:szCs w:val="22"/>
        </w:rPr>
        <w:lastRenderedPageBreak/>
        <w:t>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14:paraId="4099649C" w14:textId="77777777" w:rsidR="004E6B45" w:rsidRDefault="006A7660">
      <w:pPr>
        <w:spacing w:before="240" w:after="240" w:line="360" w:lineRule="auto"/>
        <w:jc w:val="both"/>
        <w:rPr>
          <w:rFonts w:ascii="Palatino Linotype" w:eastAsia="Palatino Linotype" w:hAnsi="Palatino Linotype" w:cs="Palatino Linotype"/>
        </w:rPr>
      </w:pPr>
      <w:bookmarkStart w:id="0" w:name="_heading=h.gjdgxs" w:colFirst="0" w:colLast="0"/>
      <w:bookmarkEnd w:id="0"/>
      <w:r>
        <w:rPr>
          <w:rFonts w:ascii="Palatino Linotype" w:eastAsia="Palatino Linotype" w:hAnsi="Palatino Linotype" w:cs="Palatino Linotype"/>
        </w:rPr>
        <w:t>Finalmente, no escapa de la óptica de este Organismo Garante que el particular, a través de su recurso de revisión, solicitó a este Instituto, se le diera vista a la Contraloría Interna y Órgano de Control y Vigilancia en términos de la Ley de Responsabilidades de los Servidores Públicos del Estado y Municipios, a efectos de que dicho Órgano determinara el grado de responsabilidad, al considerar posibles causas de responsabilidad administrativa por el incumplimiento a las disposiciones previstas en los artículos 161, 163 segundo párrafo y 177 de la Ley de Transparencia y Acceso a la Información Pública del Estado de México y Municipios, sin embargo, es preciso hacer de su conocimiento que el recurso de revisión no es la vía para instaurar procedimientos de responsabilidad administrativa, no obstante, se dejan a salvo sus derechos para que en caso de considerarlo oportuno a sus intereses, ejerza dicha acción ante las instancias correspondientes.</w:t>
      </w:r>
    </w:p>
    <w:p w14:paraId="57B59122"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consecuencia, resulta procedente revocar la respuesta en términos de la fracción III del artículo 186 de la Ley de Transparencia y Acceso a la Información Pública del Estado de México y Municipios, a efectos de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entregue la información requerida en versión pública de ser procedente, tal como se detalla en el siguiente considerando.</w:t>
      </w:r>
    </w:p>
    <w:p w14:paraId="6B8DA4BC" w14:textId="77777777" w:rsidR="004E6B45" w:rsidRDefault="006A7660">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 xml:space="preserve">Finalmente para la entrega de los soportes documentales que deberá proporcionar el sujeto obligado para dar satisfacción de la derecho </w:t>
      </w:r>
      <w:r>
        <w:rPr>
          <w:rFonts w:ascii="Palatino Linotype" w:eastAsia="Palatino Linotype" w:hAnsi="Palatino Linotype" w:cs="Palatino Linotype"/>
        </w:rPr>
        <w:lastRenderedPageBreak/>
        <w:t xml:space="preserve">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33F5A2E7" w14:textId="77777777" w:rsidR="004E6B45" w:rsidRDefault="006A7660">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71775341"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Para los efectos de la presente Ley se entenderá por:</w:t>
      </w:r>
    </w:p>
    <w:p w14:paraId="09C1CE91"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B1E3E28"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2436831"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14:paraId="6F00C364"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B54B7E3"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4C1F40E0"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6608C12A"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91. </w:t>
      </w:r>
      <w:r>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8E768C2"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Artículo 132. </w:t>
      </w:r>
      <w:r>
        <w:rPr>
          <w:rFonts w:ascii="Palatino Linotype" w:eastAsia="Palatino Linotype" w:hAnsi="Palatino Linotype" w:cs="Palatino Linotype"/>
          <w:i/>
          <w:sz w:val="22"/>
          <w:szCs w:val="22"/>
        </w:rPr>
        <w:t>La clasificación de la información se llevará a cabo en el momento en que:</w:t>
      </w:r>
    </w:p>
    <w:p w14:paraId="60AAC805"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Se reciba una solicitud de acceso a la información;</w:t>
      </w:r>
    </w:p>
    <w:p w14:paraId="12C8573D"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Se determine mediante resolución de autoridad competente; o</w:t>
      </w:r>
    </w:p>
    <w:p w14:paraId="2AC77675"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Se generen versiones públicas para dar cumplimiento a las obligaciones de transparencia previstas en esta Ley.</w:t>
      </w:r>
    </w:p>
    <w:p w14:paraId="4118424B"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14:paraId="5AB3FE47"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143</w:t>
      </w:r>
      <w:r>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462ECB20"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0C336298"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A5A1E23"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E42F20A"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94C54DB"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10602CA1"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w:t>
      </w:r>
      <w:r>
        <w:rPr>
          <w:rFonts w:ascii="Palatino Linotype" w:eastAsia="Palatino Linotype" w:hAnsi="Palatino Linotype" w:cs="Palatino Linotype"/>
        </w:rPr>
        <w:lastRenderedPageBreak/>
        <w:t>generarán, en su caso, versiones públicas de expedientes o documentos que contengan partes o secciones clasificadas.</w:t>
      </w:r>
    </w:p>
    <w:p w14:paraId="549CD283"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F44C402"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Quincuagésimo sexto</w:t>
      </w:r>
      <w:r>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C204117"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séptimo</w:t>
      </w:r>
      <w:r>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6C6DEA51"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4FC312E5"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09B8C392" w14:textId="77777777" w:rsidR="004E6B45" w:rsidRDefault="006A7660">
      <w:pPr>
        <w:spacing w:before="120" w:after="120"/>
        <w:ind w:left="993"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0336C7E"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FD5D6F2" w14:textId="77777777" w:rsidR="004E6B45" w:rsidRDefault="006A7660">
      <w:pPr>
        <w:spacing w:before="120" w:after="120"/>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Quincuagésimo octavo</w:t>
      </w:r>
      <w:r>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9A3CC17"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w:t>
      </w:r>
      <w:r>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BD987D0"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4E6B45" w14:paraId="53D58A38" w14:textId="77777777">
        <w:tc>
          <w:tcPr>
            <w:tcW w:w="4253" w:type="dxa"/>
            <w:gridSpan w:val="2"/>
            <w:tcBorders>
              <w:top w:val="nil"/>
              <w:left w:val="nil"/>
              <w:right w:val="nil"/>
            </w:tcBorders>
          </w:tcPr>
          <w:p w14:paraId="733C2142"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64D4D3FD"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Total</w:t>
            </w:r>
          </w:p>
        </w:tc>
      </w:tr>
      <w:tr w:rsidR="004E6B45" w14:paraId="4A9A8D76" w14:textId="77777777">
        <w:tc>
          <w:tcPr>
            <w:tcW w:w="1134" w:type="dxa"/>
          </w:tcPr>
          <w:p w14:paraId="4224631B"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119" w:type="dxa"/>
          </w:tcPr>
          <w:p w14:paraId="08FAD7B5"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1129" w:type="dxa"/>
          </w:tcPr>
          <w:p w14:paraId="1A31E684"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14:paraId="07650C6E"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4E6B45" w14:paraId="5C1AE2DC" w14:textId="77777777">
        <w:tc>
          <w:tcPr>
            <w:tcW w:w="8828" w:type="dxa"/>
            <w:gridSpan w:val="4"/>
          </w:tcPr>
          <w:p w14:paraId="2631B5DF" w14:textId="77777777" w:rsidR="004E6B45" w:rsidRDefault="006A7660">
            <w:pPr>
              <w:jc w:val="center"/>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Sello oficial o logotipo del sujeto obligado</w:t>
            </w:r>
          </w:p>
        </w:tc>
      </w:tr>
      <w:tr w:rsidR="004E6B45" w14:paraId="3C4C6A85" w14:textId="77777777">
        <w:tc>
          <w:tcPr>
            <w:tcW w:w="1134" w:type="dxa"/>
          </w:tcPr>
          <w:p w14:paraId="0E7DEA44"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119" w:type="dxa"/>
          </w:tcPr>
          <w:p w14:paraId="0F90EC1A"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45BE5A2A"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14:paraId="3295EA5B"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4E6B45" w14:paraId="170B4163" w14:textId="77777777">
        <w:tc>
          <w:tcPr>
            <w:tcW w:w="1134" w:type="dxa"/>
          </w:tcPr>
          <w:p w14:paraId="5A9F3267"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119" w:type="dxa"/>
          </w:tcPr>
          <w:p w14:paraId="285D7B33"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1129" w:type="dxa"/>
          </w:tcPr>
          <w:p w14:paraId="254C2EF1"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14:paraId="76B19E1A"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4E6B45" w14:paraId="5DBDA61C" w14:textId="77777777">
        <w:tc>
          <w:tcPr>
            <w:tcW w:w="1134" w:type="dxa"/>
          </w:tcPr>
          <w:p w14:paraId="25D822D9"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Información reservada</w:t>
            </w:r>
          </w:p>
        </w:tc>
        <w:tc>
          <w:tcPr>
            <w:tcW w:w="3119" w:type="dxa"/>
          </w:tcPr>
          <w:p w14:paraId="6FBD94ED"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7074DD8"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14:paraId="4E423A26"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4E6B45" w14:paraId="65F87B21" w14:textId="77777777">
        <w:tc>
          <w:tcPr>
            <w:tcW w:w="1134" w:type="dxa"/>
          </w:tcPr>
          <w:p w14:paraId="4F9A6600"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7147E211"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DB89EBC"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14:paraId="5EAE762D"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4E6B45" w14:paraId="6A29DF57" w14:textId="77777777">
        <w:tc>
          <w:tcPr>
            <w:tcW w:w="1134" w:type="dxa"/>
          </w:tcPr>
          <w:p w14:paraId="08989894"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119" w:type="dxa"/>
          </w:tcPr>
          <w:p w14:paraId="61221558"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7399B7EB"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6B31A23D"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4E6B45" w14:paraId="6E824113" w14:textId="77777777">
        <w:tc>
          <w:tcPr>
            <w:tcW w:w="1134" w:type="dxa"/>
          </w:tcPr>
          <w:p w14:paraId="6369FD12"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119" w:type="dxa"/>
          </w:tcPr>
          <w:p w14:paraId="741E8E07"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33B915C"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14:paraId="2F446923"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4E6B45" w14:paraId="03B9D246" w14:textId="77777777">
        <w:tc>
          <w:tcPr>
            <w:tcW w:w="1134" w:type="dxa"/>
          </w:tcPr>
          <w:p w14:paraId="16075C2F"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119" w:type="dxa"/>
          </w:tcPr>
          <w:p w14:paraId="3368284E"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3DDEF8C6"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14:paraId="2DFAA5DD"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4E6B45" w14:paraId="2996912B" w14:textId="77777777">
        <w:tc>
          <w:tcPr>
            <w:tcW w:w="1134" w:type="dxa"/>
          </w:tcPr>
          <w:p w14:paraId="0AC489BF"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119" w:type="dxa"/>
          </w:tcPr>
          <w:p w14:paraId="30E50E59"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1129" w:type="dxa"/>
          </w:tcPr>
          <w:p w14:paraId="5E643B61"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14:paraId="4646EA47"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4E6B45" w14:paraId="73003E16" w14:textId="77777777">
        <w:tc>
          <w:tcPr>
            <w:tcW w:w="1134" w:type="dxa"/>
          </w:tcPr>
          <w:p w14:paraId="104BDD44"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119" w:type="dxa"/>
          </w:tcPr>
          <w:p w14:paraId="4974277C"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1129" w:type="dxa"/>
          </w:tcPr>
          <w:p w14:paraId="081B9937"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14:paraId="25D18C4D"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4E6B45" w14:paraId="23367FD1" w14:textId="77777777">
        <w:tc>
          <w:tcPr>
            <w:tcW w:w="1134" w:type="dxa"/>
          </w:tcPr>
          <w:p w14:paraId="6B5AC335"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119" w:type="dxa"/>
          </w:tcPr>
          <w:p w14:paraId="13FFB3C7"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1129" w:type="dxa"/>
          </w:tcPr>
          <w:p w14:paraId="53A0A5F2"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14:paraId="550B07C9"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4E6B45" w14:paraId="23E5E49F" w14:textId="77777777">
        <w:tc>
          <w:tcPr>
            <w:tcW w:w="1134" w:type="dxa"/>
          </w:tcPr>
          <w:p w14:paraId="7CD22793" w14:textId="77777777" w:rsidR="004E6B45" w:rsidRDefault="004E6B45">
            <w:pPr>
              <w:jc w:val="both"/>
              <w:rPr>
                <w:rFonts w:ascii="Palatino Linotype" w:eastAsia="Palatino Linotype" w:hAnsi="Palatino Linotype" w:cs="Palatino Linotype"/>
                <w:b/>
                <w:sz w:val="12"/>
                <w:szCs w:val="12"/>
              </w:rPr>
            </w:pPr>
          </w:p>
        </w:tc>
        <w:tc>
          <w:tcPr>
            <w:tcW w:w="3119" w:type="dxa"/>
          </w:tcPr>
          <w:p w14:paraId="25452A84" w14:textId="77777777" w:rsidR="004E6B45" w:rsidRDefault="004E6B45">
            <w:pPr>
              <w:jc w:val="both"/>
              <w:rPr>
                <w:rFonts w:ascii="Palatino Linotype" w:eastAsia="Palatino Linotype" w:hAnsi="Palatino Linotype" w:cs="Palatino Linotype"/>
                <w:sz w:val="12"/>
                <w:szCs w:val="12"/>
              </w:rPr>
            </w:pPr>
          </w:p>
        </w:tc>
        <w:tc>
          <w:tcPr>
            <w:tcW w:w="1129" w:type="dxa"/>
          </w:tcPr>
          <w:p w14:paraId="697CC405"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14:paraId="7278EB40"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4E6B45" w14:paraId="28A7D1E7" w14:textId="77777777">
        <w:tc>
          <w:tcPr>
            <w:tcW w:w="1134" w:type="dxa"/>
          </w:tcPr>
          <w:p w14:paraId="458070AB" w14:textId="77777777" w:rsidR="004E6B45" w:rsidRDefault="004E6B45">
            <w:pPr>
              <w:jc w:val="both"/>
              <w:rPr>
                <w:rFonts w:ascii="Palatino Linotype" w:eastAsia="Palatino Linotype" w:hAnsi="Palatino Linotype" w:cs="Palatino Linotype"/>
                <w:b/>
                <w:sz w:val="12"/>
                <w:szCs w:val="12"/>
              </w:rPr>
            </w:pPr>
          </w:p>
        </w:tc>
        <w:tc>
          <w:tcPr>
            <w:tcW w:w="3119" w:type="dxa"/>
          </w:tcPr>
          <w:p w14:paraId="6B6F1FD8" w14:textId="77777777" w:rsidR="004E6B45" w:rsidRDefault="004E6B45">
            <w:pPr>
              <w:jc w:val="both"/>
              <w:rPr>
                <w:rFonts w:ascii="Palatino Linotype" w:eastAsia="Palatino Linotype" w:hAnsi="Palatino Linotype" w:cs="Palatino Linotype"/>
                <w:sz w:val="12"/>
                <w:szCs w:val="12"/>
              </w:rPr>
            </w:pPr>
          </w:p>
        </w:tc>
        <w:tc>
          <w:tcPr>
            <w:tcW w:w="1129" w:type="dxa"/>
          </w:tcPr>
          <w:p w14:paraId="21258580" w14:textId="77777777" w:rsidR="004E6B45" w:rsidRDefault="006A7660">
            <w:pPr>
              <w:jc w:val="both"/>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14:paraId="377F45DC" w14:textId="77777777" w:rsidR="004E6B45" w:rsidRDefault="006A7660">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14:paraId="492C619C"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w:t>
      </w:r>
    </w:p>
    <w:p w14:paraId="46A97D94" w14:textId="77777777" w:rsidR="004E6B45" w:rsidRDefault="006A7660">
      <w:pPr>
        <w:shd w:val="clear" w:color="auto" w:fill="FFFFFF"/>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179, fracción I, 181, 185 de la Ley de Transparencia y Acceso a la Información Pública del Estado de México y Municipios, este Pleno:</w:t>
      </w:r>
    </w:p>
    <w:p w14:paraId="6F4383C9" w14:textId="77777777" w:rsidR="004E6B45" w:rsidRDefault="006A7660">
      <w:pPr>
        <w:numPr>
          <w:ilvl w:val="0"/>
          <w:numId w:val="3"/>
        </w:numPr>
        <w:spacing w:before="240" w:after="240" w:line="360" w:lineRule="auto"/>
        <w:ind w:left="284" w:hanging="426"/>
        <w:jc w:val="center"/>
        <w:rPr>
          <w:rFonts w:ascii="Palatino Linotype" w:eastAsia="Palatino Linotype" w:hAnsi="Palatino Linotype" w:cs="Palatino Linotype"/>
          <w:b/>
        </w:rPr>
      </w:pPr>
      <w:r>
        <w:rPr>
          <w:rFonts w:ascii="Palatino Linotype" w:eastAsia="Palatino Linotype" w:hAnsi="Palatino Linotype" w:cs="Palatino Linotype"/>
          <w:b/>
        </w:rPr>
        <w:t>R E S U E L V E:</w:t>
      </w:r>
    </w:p>
    <w:p w14:paraId="0C239AE0" w14:textId="77777777" w:rsidR="004E6B45" w:rsidRDefault="006A7660">
      <w:pPr>
        <w:spacing w:before="240" w:after="240" w:line="360" w:lineRule="auto"/>
        <w:jc w:val="both"/>
        <w:rPr>
          <w:rFonts w:ascii="Palatino Linotype" w:eastAsia="Palatino Linotype" w:hAnsi="Palatino Linotype" w:cs="Palatino Linotype"/>
          <w:b/>
        </w:rPr>
      </w:pPr>
      <w:bookmarkStart w:id="1" w:name="_heading=h.30j0zll" w:colFirst="0" w:colLast="0"/>
      <w:bookmarkEnd w:id="1"/>
      <w:r>
        <w:rPr>
          <w:rFonts w:ascii="Palatino Linotype" w:eastAsia="Palatino Linotype" w:hAnsi="Palatino Linotype" w:cs="Palatino Linotype"/>
          <w:b/>
        </w:rPr>
        <w:t xml:space="preserve">Primero. </w:t>
      </w:r>
      <w:r>
        <w:rPr>
          <w:rFonts w:ascii="Palatino Linotype" w:eastAsia="Palatino Linotype" w:hAnsi="Palatino Linotype" w:cs="Palatino Linotype"/>
        </w:rPr>
        <w:t>Resultan</w:t>
      </w:r>
      <w:r>
        <w:rPr>
          <w:rFonts w:ascii="Palatino Linotype" w:eastAsia="Palatino Linotype" w:hAnsi="Palatino Linotype" w:cs="Palatino Linotype"/>
          <w:b/>
        </w:rPr>
        <w:t xml:space="preserve"> parcialmente fundados </w:t>
      </w:r>
      <w:r>
        <w:rPr>
          <w:rFonts w:ascii="Palatino Linotype" w:eastAsia="Palatino Linotype" w:hAnsi="Palatino Linotype" w:cs="Palatino Linotype"/>
        </w:rPr>
        <w:t xml:space="preserve">los motivos de inconformidad hechos valer por </w:t>
      </w:r>
      <w:r>
        <w:rPr>
          <w:rFonts w:ascii="Palatino Linotype" w:eastAsia="Palatino Linotype" w:hAnsi="Palatino Linotype" w:cs="Palatino Linotype"/>
          <w:b/>
        </w:rPr>
        <w:t>la parte Recurrente</w:t>
      </w:r>
      <w:r>
        <w:rPr>
          <w:rFonts w:ascii="Palatino Linotype" w:eastAsia="Palatino Linotype" w:hAnsi="Palatino Linotype" w:cs="Palatino Linotype"/>
        </w:rPr>
        <w:t xml:space="preserve"> en el recurso de revisión</w:t>
      </w:r>
      <w:r>
        <w:rPr>
          <w:rFonts w:ascii="Palatino Linotype" w:eastAsia="Palatino Linotype" w:hAnsi="Palatino Linotype" w:cs="Palatino Linotype"/>
          <w:b/>
        </w:rPr>
        <w:t xml:space="preserve"> 02559/INFOEM/IP/RR/2022, </w:t>
      </w:r>
      <w:r>
        <w:rPr>
          <w:rFonts w:ascii="Palatino Linotype" w:eastAsia="Palatino Linotype" w:hAnsi="Palatino Linotype" w:cs="Palatino Linotype"/>
        </w:rPr>
        <w:t>por lo que, en términos del</w:t>
      </w:r>
      <w:r>
        <w:rPr>
          <w:rFonts w:ascii="Palatino Linotype" w:eastAsia="Palatino Linotype" w:hAnsi="Palatino Linotype" w:cs="Palatino Linotype"/>
          <w:b/>
        </w:rPr>
        <w:t xml:space="preserve"> Considerando Cuarto </w:t>
      </w:r>
      <w:r>
        <w:rPr>
          <w:rFonts w:ascii="Palatino Linotype" w:eastAsia="Palatino Linotype" w:hAnsi="Palatino Linotype" w:cs="Palatino Linotype"/>
        </w:rPr>
        <w:t xml:space="preserve">de la presente resolución, se </w:t>
      </w:r>
      <w:r>
        <w:rPr>
          <w:rFonts w:ascii="Palatino Linotype" w:eastAsia="Palatino Linotype" w:hAnsi="Palatino Linotype" w:cs="Palatino Linotype"/>
          <w:b/>
        </w:rPr>
        <w:t xml:space="preserve">MODIFICA </w:t>
      </w:r>
      <w:r>
        <w:rPr>
          <w:rFonts w:ascii="Palatino Linotype" w:eastAsia="Palatino Linotype" w:hAnsi="Palatino Linotype" w:cs="Palatino Linotype"/>
        </w:rPr>
        <w:t>la respuesta emitida por el</w:t>
      </w:r>
      <w:r>
        <w:rPr>
          <w:rFonts w:ascii="Palatino Linotype" w:eastAsia="Palatino Linotype" w:hAnsi="Palatino Linotype" w:cs="Palatino Linotype"/>
          <w:b/>
        </w:rPr>
        <w:t xml:space="preserve"> Sujeto Obligado.</w:t>
      </w:r>
    </w:p>
    <w:p w14:paraId="4CF949BB" w14:textId="77777777" w:rsidR="004E6B45" w:rsidRDefault="006A76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que haga entrega</w:t>
      </w:r>
      <w:r>
        <w:rPr>
          <w:rFonts w:ascii="Palatino Linotype" w:eastAsia="Palatino Linotype" w:hAnsi="Palatino Linotype" w:cs="Palatino Linotype"/>
          <w:b/>
        </w:rPr>
        <w:t xml:space="preserve"> vía SAIMEX, </w:t>
      </w:r>
      <w:r>
        <w:rPr>
          <w:rFonts w:ascii="Palatino Linotype" w:eastAsia="Palatino Linotype" w:hAnsi="Palatino Linotype" w:cs="Palatino Linotype"/>
        </w:rPr>
        <w:t xml:space="preserve">en términos de los </w:t>
      </w:r>
      <w:r>
        <w:rPr>
          <w:rFonts w:ascii="Palatino Linotype" w:eastAsia="Palatino Linotype" w:hAnsi="Palatino Linotype" w:cs="Palatino Linotype"/>
          <w:b/>
        </w:rPr>
        <w:t xml:space="preserve">Considerandos Cuarto y Quinto </w:t>
      </w:r>
      <w:r>
        <w:rPr>
          <w:rFonts w:ascii="Palatino Linotype" w:eastAsia="Palatino Linotype" w:hAnsi="Palatino Linotype" w:cs="Palatino Linotype"/>
        </w:rPr>
        <w:t xml:space="preserve">de esta resolución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previa búsqueda exhaustiva y razonable, </w:t>
      </w:r>
      <w:r>
        <w:rPr>
          <w:rFonts w:ascii="Palatino Linotype" w:eastAsia="Palatino Linotype" w:hAnsi="Palatino Linotype" w:cs="Palatino Linotype"/>
          <w:b/>
        </w:rPr>
        <w:t>en versión pública de ser procedente</w:t>
      </w:r>
      <w:r>
        <w:rPr>
          <w:rFonts w:ascii="Palatino Linotype" w:eastAsia="Palatino Linotype" w:hAnsi="Palatino Linotype" w:cs="Palatino Linotype"/>
        </w:rPr>
        <w:t>, de lo siguiente:</w:t>
      </w:r>
      <w:r>
        <w:rPr>
          <w:rFonts w:ascii="Palatino Linotype" w:eastAsia="Palatino Linotype" w:hAnsi="Palatino Linotype" w:cs="Palatino Linotype"/>
          <w:b/>
        </w:rPr>
        <w:t xml:space="preserve"> </w:t>
      </w:r>
    </w:p>
    <w:p w14:paraId="128E7A48" w14:textId="77777777" w:rsidR="004E6B45" w:rsidRDefault="006A7660">
      <w:pPr>
        <w:numPr>
          <w:ilvl w:val="0"/>
          <w:numId w:val="2"/>
        </w:numPr>
        <w:pBdr>
          <w:top w:val="nil"/>
          <w:left w:val="nil"/>
          <w:bottom w:val="nil"/>
          <w:right w:val="nil"/>
          <w:between w:val="nil"/>
        </w:pBdr>
        <w:spacing w:before="240" w:after="240"/>
        <w:ind w:left="567" w:right="709" w:hanging="141"/>
        <w:jc w:val="both"/>
        <w:rPr>
          <w:rFonts w:ascii="Palatino Linotype" w:eastAsia="Palatino Linotype" w:hAnsi="Palatino Linotype" w:cs="Palatino Linotype"/>
          <w:b/>
          <w:i/>
          <w:color w:val="000000"/>
          <w:sz w:val="22"/>
          <w:szCs w:val="22"/>
        </w:rPr>
      </w:pPr>
      <w:r>
        <w:rPr>
          <w:rFonts w:ascii="Palatino Linotype" w:eastAsia="Palatino Linotype" w:hAnsi="Palatino Linotype" w:cs="Palatino Linotype"/>
          <w:b/>
          <w:i/>
          <w:color w:val="000000"/>
          <w:sz w:val="22"/>
          <w:szCs w:val="22"/>
        </w:rPr>
        <w:t>Requisiciones remitidas por las dependencias para la adquisición, arrendamiento o reparación de bienes o servicios del once de enero de 2022.</w:t>
      </w:r>
    </w:p>
    <w:p w14:paraId="7EF5CC7B" w14:textId="77777777" w:rsidR="004E6B45" w:rsidRDefault="006A7660">
      <w:pPr>
        <w:pBdr>
          <w:top w:val="nil"/>
          <w:left w:val="nil"/>
          <w:bottom w:val="nil"/>
          <w:right w:val="nil"/>
          <w:between w:val="nil"/>
        </w:pBd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De ser el caso en el que la entrega del documento se dé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Recurrente.</w:t>
      </w:r>
    </w:p>
    <w:p w14:paraId="36B290F5" w14:textId="77777777" w:rsidR="004E6B45" w:rsidRDefault="006A7660">
      <w:pPr>
        <w:spacing w:before="240" w:after="240"/>
        <w:ind w:left="567" w:right="70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lastRenderedPageBreak/>
        <w:t>De ser el caso en el que el día once de enero de dos mil veintidós no se haya generado, poseíd</w:t>
      </w:r>
      <w:r>
        <w:rPr>
          <w:rFonts w:ascii="Palatino Linotype" w:eastAsia="Palatino Linotype" w:hAnsi="Palatino Linotype" w:cs="Palatino Linotype"/>
          <w:i/>
          <w:sz w:val="22"/>
          <w:szCs w:val="22"/>
        </w:rPr>
        <w:t>o</w:t>
      </w:r>
      <w:r>
        <w:rPr>
          <w:rFonts w:ascii="Palatino Linotype" w:eastAsia="Palatino Linotype" w:hAnsi="Palatino Linotype" w:cs="Palatino Linotype"/>
          <w:i/>
          <w:color w:val="000000"/>
          <w:sz w:val="22"/>
          <w:szCs w:val="22"/>
        </w:rPr>
        <w:t xml:space="preserve"> o administrado la información que se ordena hacer entrega, bastará con que el Sujeto Obligado lo haga del conocimiento del recurrente, de manera fundada y motivada para dar por satisfecho el derecho de acceso a la información. </w:t>
      </w:r>
    </w:p>
    <w:p w14:paraId="7B6FCDA8"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w:t>
      </w:r>
      <w:r>
        <w:rPr>
          <w:rFonts w:ascii="Palatino Linotype" w:eastAsia="Palatino Linotype" w:hAnsi="Palatino Linotype" w:cs="Palatino Linotype"/>
        </w:rPr>
        <w:t>Notifíquese vía</w:t>
      </w:r>
      <w:r>
        <w:rPr>
          <w:rFonts w:ascii="Palatino Linotype" w:eastAsia="Palatino Linotype" w:hAnsi="Palatino Linotype" w:cs="Palatino Linotype"/>
          <w:b/>
        </w:rPr>
        <w:t xml:space="preserve"> Sistema de Acceso a la Información Mexiquense (SAIMEX),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p>
    <w:p w14:paraId="0B31B140" w14:textId="77777777" w:rsidR="004E6B45" w:rsidRDefault="006A766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C69AA9C" w14:textId="77777777" w:rsidR="004E6B45" w:rsidRDefault="006A7660">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Quinto.  Notifíquese, al recurrente vía Sistema de Acceso a la Información Mexiquense (SAIMEX), </w:t>
      </w:r>
      <w:r>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r>
        <w:rPr>
          <w:rFonts w:ascii="Palatino Linotype" w:eastAsia="Palatino Linotype" w:hAnsi="Palatino Linotype" w:cs="Palatino Linotype"/>
          <w:b/>
        </w:rPr>
        <w:t>.</w:t>
      </w:r>
    </w:p>
    <w:p w14:paraId="4CC2EBA7" w14:textId="54AE960A" w:rsidR="004E6B45" w:rsidRDefault="006A7660">
      <w:pPr>
        <w:spacing w:before="240" w:after="240" w:line="360" w:lineRule="auto"/>
        <w:jc w:val="both"/>
        <w:rPr>
          <w:rFonts w:ascii="Palatino Linotype" w:eastAsia="Palatino Linotype" w:hAnsi="Palatino Linotype" w:cs="Palatino Linotype"/>
        </w:rPr>
        <w:sectPr w:rsidR="004E6B45">
          <w:headerReference w:type="default" r:id="rId23"/>
          <w:footerReference w:type="default" r:id="rId24"/>
          <w:headerReference w:type="first" r:id="rId25"/>
          <w:footerReference w:type="first" r:id="rId26"/>
          <w:pgSz w:w="12240" w:h="15840"/>
          <w:pgMar w:top="1417" w:right="1750" w:bottom="1417" w:left="1701" w:header="708" w:footer="708" w:gutter="0"/>
          <w:pgNumType w:start="1"/>
          <w:cols w:space="720"/>
          <w:titlePg/>
        </w:sectPr>
      </w:pPr>
      <w:bookmarkStart w:id="2" w:name="_heading=h.1fob9te" w:colFirst="0" w:colLast="0"/>
      <w:bookmarkEnd w:id="2"/>
      <w:r>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Pr>
          <w:rFonts w:ascii="Palatino Linotype" w:eastAsia="Palatino Linotype" w:hAnsi="Palatino Linotype" w:cs="Palatino Linotype"/>
        </w:rPr>
        <w:lastRenderedPageBreak/>
        <w:t xml:space="preserve">MUNICIPIOS, CONFORMADO POR LOS COMISIONADOS JOSÉ MARTÍNEZ VILCHIS; MARÍA DEL ROSARIO MEJÍA AYALA; </w:t>
      </w:r>
      <w:r w:rsidR="00F73EF9">
        <w:rPr>
          <w:rFonts w:ascii="Palatino Linotype" w:eastAsia="Palatino Linotype" w:hAnsi="Palatino Linotype" w:cs="Palatino Linotype"/>
        </w:rPr>
        <w:t xml:space="preserve">SHARON CRISTINA MORALES MARTÍNEZ, </w:t>
      </w:r>
      <w:r>
        <w:rPr>
          <w:rFonts w:ascii="Palatino Linotype" w:eastAsia="Palatino Linotype" w:hAnsi="Palatino Linotype" w:cs="Palatino Linotype"/>
        </w:rPr>
        <w:t xml:space="preserve">LUIS GUSTAVO PARRA NORIEGA Y GUADALUPE RAMÍREZ PEÑA; EN LA VIGÉSIMA SESIÓN ORDINARIA CELEBRADA EL UNO DE JUNIO DEL DOS MIL VEINTIDÓS, ANTE EL SECRETARIO TÉCNICO DEL PLENO, </w:t>
      </w:r>
      <w:r>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0A4A32D9" wp14:editId="5B8D5B1D">
                <wp:simplePos x="0" y="0"/>
                <wp:positionH relativeFrom="column">
                  <wp:posOffset>24764</wp:posOffset>
                </wp:positionH>
                <wp:positionV relativeFrom="paragraph">
                  <wp:posOffset>1755775</wp:posOffset>
                </wp:positionV>
                <wp:extent cx="5248275" cy="5695950"/>
                <wp:effectExtent l="0" t="0" r="28575" b="19050"/>
                <wp:wrapNone/>
                <wp:docPr id="1" name="Conector recto 1"/>
                <wp:cNvGraphicFramePr/>
                <a:graphic xmlns:a="http://schemas.openxmlformats.org/drawingml/2006/main">
                  <a:graphicData uri="http://schemas.microsoft.com/office/word/2010/wordprocessingShape">
                    <wps:wsp>
                      <wps:cNvCnPr/>
                      <wps:spPr>
                        <a:xfrm>
                          <a:off x="0" y="0"/>
                          <a:ext cx="5248275" cy="569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491DD3"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95pt,138.25pt" to="415.2pt,58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" strokecolor="black [3040]"/>
            </w:pict>
          </mc:Fallback>
        </mc:AlternateContent>
      </w:r>
      <w:r>
        <w:rPr>
          <w:rFonts w:ascii="Palatino Linotype" w:eastAsia="Palatino Linotype" w:hAnsi="Palatino Linotype" w:cs="Palatino Linotype"/>
        </w:rPr>
        <w:t>ALEXIS TAPIA RAMÍREZ.</w:t>
      </w:r>
    </w:p>
    <w:p w14:paraId="6CD73C5C" w14:textId="77777777" w:rsidR="004E6B45" w:rsidRDefault="004E6B4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18337555" w14:textId="77777777" w:rsidR="004E6B45" w:rsidRDefault="004E6B4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p w14:paraId="0929048A" w14:textId="77777777" w:rsidR="004E6B45" w:rsidRDefault="004E6B45">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p>
    <w:sectPr w:rsidR="004E6B45">
      <w:headerReference w:type="first" r:id="rId27"/>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971C5" w14:textId="77777777" w:rsidR="000B120B" w:rsidRDefault="000B120B">
      <w:r>
        <w:separator/>
      </w:r>
    </w:p>
  </w:endnote>
  <w:endnote w:type="continuationSeparator" w:id="0">
    <w:p w14:paraId="0FAFB818" w14:textId="77777777" w:rsidR="000B120B" w:rsidRDefault="000B1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6401" w14:textId="77777777" w:rsidR="004E6B45" w:rsidRDefault="006A76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64F44F1B" w14:textId="77777777" w:rsidR="004E6B45" w:rsidRDefault="004E6B45">
    <w:pPr>
      <w:pBdr>
        <w:top w:val="nil"/>
        <w:left w:val="nil"/>
        <w:bottom w:val="nil"/>
        <w:right w:val="nil"/>
        <w:between w:val="nil"/>
      </w:pBdr>
      <w:tabs>
        <w:tab w:val="center" w:pos="4252"/>
        <w:tab w:val="right" w:pos="8504"/>
      </w:tabs>
      <w:rPr>
        <w:color w:val="000000"/>
      </w:rPr>
    </w:pPr>
  </w:p>
  <w:p w14:paraId="0B8BA95C" w14:textId="77777777" w:rsidR="004E6B45" w:rsidRDefault="004E6B45">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D7D55" w14:textId="77777777" w:rsidR="004E6B45" w:rsidRDefault="006A7660">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1ADDF442" w14:textId="77777777" w:rsidR="004E6B45" w:rsidRDefault="004E6B45">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0074E" w14:textId="77777777" w:rsidR="000B120B" w:rsidRDefault="000B120B">
      <w:r>
        <w:separator/>
      </w:r>
    </w:p>
  </w:footnote>
  <w:footnote w:type="continuationSeparator" w:id="0">
    <w:p w14:paraId="1F160BDA" w14:textId="77777777" w:rsidR="000B120B" w:rsidRDefault="000B120B">
      <w:r>
        <w:continuationSeparator/>
      </w:r>
    </w:p>
  </w:footnote>
  <w:footnote w:id="1">
    <w:p w14:paraId="119D7ABD" w14:textId="77777777" w:rsidR="004E6B45" w:rsidRDefault="006A766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617A5A62" w14:textId="77777777" w:rsidR="004E6B45" w:rsidRDefault="006A766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8F9C" w14:textId="77777777" w:rsidR="004E6B45" w:rsidRDefault="006A7660">
    <w:pPr>
      <w:widowControl w:val="0"/>
      <w:pBdr>
        <w:top w:val="nil"/>
        <w:left w:val="nil"/>
        <w:bottom w:val="nil"/>
        <w:right w:val="nil"/>
        <w:between w:val="nil"/>
      </w:pBdr>
      <w:spacing w:line="276" w:lineRule="auto"/>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1677A9A9" wp14:editId="07B47624">
          <wp:simplePos x="0" y="0"/>
          <wp:positionH relativeFrom="column">
            <wp:posOffset>-1080130</wp:posOffset>
          </wp:positionH>
          <wp:positionV relativeFrom="paragraph">
            <wp:posOffset>-345435</wp:posOffset>
          </wp:positionV>
          <wp:extent cx="7635600" cy="9943200"/>
          <wp:effectExtent l="0" t="0" r="0" b="0"/>
          <wp:wrapNone/>
          <wp:docPr id="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e"/>
      <w:tblW w:w="6240" w:type="dxa"/>
      <w:tblInd w:w="3746" w:type="dxa"/>
      <w:tblLayout w:type="fixed"/>
      <w:tblLook w:val="0400" w:firstRow="0" w:lastRow="0" w:firstColumn="0" w:lastColumn="0" w:noHBand="0" w:noVBand="1"/>
    </w:tblPr>
    <w:tblGrid>
      <w:gridCol w:w="2553"/>
      <w:gridCol w:w="3687"/>
    </w:tblGrid>
    <w:tr w:rsidR="004E6B45" w14:paraId="4538E1E3" w14:textId="77777777">
      <w:tc>
        <w:tcPr>
          <w:tcW w:w="2553" w:type="dxa"/>
          <w:vAlign w:val="center"/>
        </w:tcPr>
        <w:p w14:paraId="429839A6"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4E87762"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02559/INFOEM/IP/RR/2022</w:t>
          </w:r>
        </w:p>
      </w:tc>
    </w:tr>
    <w:tr w:rsidR="004E6B45" w14:paraId="4F0B797E" w14:textId="77777777">
      <w:trPr>
        <w:trHeight w:val="228"/>
      </w:trPr>
      <w:tc>
        <w:tcPr>
          <w:tcW w:w="2553" w:type="dxa"/>
          <w:vAlign w:val="center"/>
        </w:tcPr>
        <w:p w14:paraId="323EA1E6"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7D5C5A1" w14:textId="77777777" w:rsidR="004E6B45" w:rsidRDefault="006A7660">
          <w:pPr>
            <w:ind w:right="66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4E6B45" w14:paraId="1B8A03FC" w14:textId="77777777">
      <w:tc>
        <w:tcPr>
          <w:tcW w:w="2553" w:type="dxa"/>
          <w:vAlign w:val="center"/>
        </w:tcPr>
        <w:p w14:paraId="0640C5F9"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7DF783D8" w14:textId="77777777" w:rsidR="004E6B45" w:rsidRDefault="006A766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8C7A09C" w14:textId="77777777" w:rsidR="004E6B45" w:rsidRDefault="006A766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p w14:paraId="3D692DC7" w14:textId="77777777" w:rsidR="004E6B45" w:rsidRDefault="004E6B45">
    <w:pPr>
      <w:pBdr>
        <w:top w:val="nil"/>
        <w:left w:val="nil"/>
        <w:bottom w:val="nil"/>
        <w:right w:val="nil"/>
        <w:between w:val="nil"/>
      </w:pBdr>
      <w:tabs>
        <w:tab w:val="center" w:pos="4252"/>
        <w:tab w:val="right" w:pos="8504"/>
        <w:tab w:val="left" w:pos="23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32D4" w14:textId="77777777" w:rsidR="004E6B45" w:rsidRDefault="006A766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r>
      <w:rPr>
        <w:noProof/>
        <w:lang w:val="es-MX"/>
      </w:rPr>
      <w:drawing>
        <wp:anchor distT="0" distB="0" distL="0" distR="0" simplePos="0" relativeHeight="251659264" behindDoc="1" locked="0" layoutInCell="1" hidden="0" allowOverlap="1" wp14:anchorId="3124E9F8" wp14:editId="70308CFB">
          <wp:simplePos x="0" y="0"/>
          <wp:positionH relativeFrom="column">
            <wp:posOffset>-1080129</wp:posOffset>
          </wp:positionH>
          <wp:positionV relativeFrom="paragraph">
            <wp:posOffset>-343529</wp:posOffset>
          </wp:positionV>
          <wp:extent cx="7635600" cy="9943200"/>
          <wp:effectExtent l="0" t="0" r="0" b="0"/>
          <wp:wrapNone/>
          <wp:docPr id="8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d"/>
      <w:tblW w:w="6240" w:type="dxa"/>
      <w:tblInd w:w="3685" w:type="dxa"/>
      <w:tblLayout w:type="fixed"/>
      <w:tblLook w:val="0400" w:firstRow="0" w:lastRow="0" w:firstColumn="0" w:lastColumn="0" w:noHBand="0" w:noVBand="1"/>
    </w:tblPr>
    <w:tblGrid>
      <w:gridCol w:w="2553"/>
      <w:gridCol w:w="3687"/>
    </w:tblGrid>
    <w:tr w:rsidR="004E6B45" w14:paraId="099A76D3" w14:textId="77777777">
      <w:tc>
        <w:tcPr>
          <w:tcW w:w="2553" w:type="dxa"/>
          <w:vAlign w:val="center"/>
        </w:tcPr>
        <w:p w14:paraId="1774C410"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5925381"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02559/INFOEM/IP/RR/2022</w:t>
          </w:r>
        </w:p>
      </w:tc>
    </w:tr>
    <w:tr w:rsidR="004E6B45" w14:paraId="4C8A6BA1" w14:textId="77777777">
      <w:tc>
        <w:tcPr>
          <w:tcW w:w="2553" w:type="dxa"/>
          <w:vAlign w:val="center"/>
        </w:tcPr>
        <w:p w14:paraId="05CD32FB"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2C296EBF" w14:textId="77777777" w:rsidR="004E6B45" w:rsidRDefault="004E6B45">
          <w:pPr>
            <w:rPr>
              <w:rFonts w:ascii="Palatino Linotype" w:eastAsia="Palatino Linotype" w:hAnsi="Palatino Linotype" w:cs="Palatino Linotype"/>
              <w:b/>
              <w:sz w:val="22"/>
              <w:szCs w:val="22"/>
            </w:rPr>
          </w:pPr>
        </w:p>
      </w:tc>
    </w:tr>
    <w:tr w:rsidR="004E6B45" w14:paraId="4245AE13" w14:textId="77777777">
      <w:trPr>
        <w:trHeight w:val="228"/>
      </w:trPr>
      <w:tc>
        <w:tcPr>
          <w:tcW w:w="2553" w:type="dxa"/>
          <w:vAlign w:val="center"/>
        </w:tcPr>
        <w:p w14:paraId="754FDBF2"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13B5D8AA" w14:textId="77777777" w:rsidR="004E6B45" w:rsidRDefault="006A7660">
          <w:pPr>
            <w:ind w:right="7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4E6B45" w14:paraId="10414DB4" w14:textId="77777777">
      <w:tc>
        <w:tcPr>
          <w:tcW w:w="2553" w:type="dxa"/>
          <w:vAlign w:val="center"/>
        </w:tcPr>
        <w:p w14:paraId="0633F136" w14:textId="77777777" w:rsidR="004E6B45" w:rsidRDefault="006A7660">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7" w:type="dxa"/>
          <w:vAlign w:val="center"/>
        </w:tcPr>
        <w:p w14:paraId="11B96416" w14:textId="77777777" w:rsidR="004E6B45" w:rsidRDefault="006A7660">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44E9E3A" w14:textId="77777777" w:rsidR="004E6B45" w:rsidRDefault="004E6B45">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FE312" w14:textId="77777777" w:rsidR="004E6B45" w:rsidRDefault="006A7660">
    <w:pPr>
      <w:pBdr>
        <w:top w:val="nil"/>
        <w:left w:val="nil"/>
        <w:bottom w:val="nil"/>
        <w:right w:val="nil"/>
        <w:between w:val="nil"/>
      </w:pBdr>
      <w:tabs>
        <w:tab w:val="center" w:pos="4252"/>
        <w:tab w:val="right" w:pos="8504"/>
      </w:tabs>
      <w:jc w:val="both"/>
      <w:rPr>
        <w:rFonts w:ascii="Cambria" w:eastAsia="Cambria" w:hAnsi="Cambria" w:cs="Cambria"/>
        <w:color w:val="000000"/>
      </w:rPr>
    </w:pPr>
    <w:r>
      <w:rPr>
        <w:rFonts w:ascii="Cambria" w:eastAsia="Cambria" w:hAnsi="Cambria" w:cs="Cambria"/>
        <w:color w:val="000000"/>
      </w:rPr>
      <w:t xml:space="preserve">                                  </w:t>
    </w:r>
  </w:p>
  <w:p w14:paraId="38570B2C" w14:textId="77777777" w:rsidR="004E6B45" w:rsidRDefault="004E6B45">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7486A"/>
    <w:multiLevelType w:val="multilevel"/>
    <w:tmpl w:val="AF68D414"/>
    <w:lvl w:ilvl="0">
      <w:start w:val="1"/>
      <w:numFmt w:val="decimal"/>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 w15:restartNumberingAfterBreak="0">
    <w:nsid w:val="3A8119FF"/>
    <w:multiLevelType w:val="multilevel"/>
    <w:tmpl w:val="05C6CC9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3067DE6"/>
    <w:multiLevelType w:val="multilevel"/>
    <w:tmpl w:val="75B86FD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6B45"/>
    <w:rsid w:val="000B120B"/>
    <w:rsid w:val="00181422"/>
    <w:rsid w:val="004E6B45"/>
    <w:rsid w:val="006A7660"/>
    <w:rsid w:val="0083409A"/>
    <w:rsid w:val="00D24BB5"/>
    <w:rsid w:val="00F73EF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2782B"/>
  <w15:docId w15:val="{5CED90F0-210C-44F9-B39A-9B4A64F93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E85"/>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table" w:customStyle="1" w:styleId="Tabladelista1clara-nfasis12">
    <w:name w:val="Tabla de lista 1 clara - Énfasis 12"/>
    <w:basedOn w:val="Tablanormal"/>
    <w:next w:val="Tabladelista1clara-nfasis1"/>
    <w:uiPriority w:val="46"/>
    <w:rsid w:val="00C04B32"/>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ipervnculovisitado">
    <w:name w:val="FollowedHyperlink"/>
    <w:basedOn w:val="Fuentedeprrafopredeter"/>
    <w:uiPriority w:val="99"/>
    <w:semiHidden/>
    <w:unhideWhenUsed/>
    <w:rsid w:val="002C16E8"/>
    <w:rPr>
      <w:color w:val="800080" w:themeColor="followedHyperlink"/>
      <w:u w:val="single"/>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108" w:type="dxa"/>
        <w:right w:w="108"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B001C4"/>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6">
    <w:basedOn w:val="TableNormal2"/>
    <w:tblPr>
      <w:tblStyleRowBandSize w:val="1"/>
      <w:tblStyleColBandSize w:val="1"/>
      <w:tblCellMar>
        <w:left w:w="115" w:type="dxa"/>
        <w:right w:w="115" w:type="dxa"/>
      </w:tblCellMar>
    </w:tblPr>
  </w:style>
  <w:style w:type="table" w:customStyle="1" w:styleId="a7">
    <w:basedOn w:val="TableNormal2"/>
    <w:tblPr>
      <w:tblStyleRowBandSize w:val="1"/>
      <w:tblStyleColBandSize w:val="1"/>
      <w:tblCellMar>
        <w:left w:w="115" w:type="dxa"/>
        <w:right w:w="115" w:type="dxa"/>
      </w:tblCellMar>
    </w:tblPr>
  </w:style>
  <w:style w:type="table" w:customStyle="1" w:styleId="a8">
    <w:basedOn w:val="TableNormal2"/>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25"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oleObject" Target="embeddings/oleObject4.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6JNcE2p68ux9dEAHxKPBnrpCcQ==">AMUW2mVwyRewqp7s/q1J7AkjUAAdzzvsvL3lA1NkCyijeM9CiwCaLUWut83hIlu0FJZWWNx226JKvC/OCbzANOLZZW3beVDYu/OblsJuKB3iitIxinYtIDqP74Ey7QBCDpkAKmEFOCqp1853oTinLWEn9di6hVwMig==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8514</Words>
  <Characters>46828</Characters>
  <Application>Microsoft Office Word</Application>
  <DocSecurity>0</DocSecurity>
  <Lines>390</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User 425</cp:lastModifiedBy>
  <cp:revision>5</cp:revision>
  <cp:lastPrinted>2022-06-02T20:43:00Z</cp:lastPrinted>
  <dcterms:created xsi:type="dcterms:W3CDTF">2022-06-01T23:15:00Z</dcterms:created>
  <dcterms:modified xsi:type="dcterms:W3CDTF">2022-06-02T20:43:00Z</dcterms:modified>
</cp:coreProperties>
</file>