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DC4" w:rsidRDefault="00A074C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diecinueve de octubre de dos mil veintidós. </w:t>
      </w:r>
    </w:p>
    <w:p w:rsidR="00487DC4" w:rsidRDefault="00A074C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relativos a los recursos de revisión </w:t>
      </w:r>
      <w:r>
        <w:rPr>
          <w:rFonts w:ascii="Palatino Linotype" w:eastAsia="Palatino Linotype" w:hAnsi="Palatino Linotype" w:cs="Palatino Linotype"/>
          <w:b/>
        </w:rPr>
        <w:t>08064/INFOEM/IP/RR/2022</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08065/INFOEM/IP/RR/2022, 08066/INFOEM/IP/RR/2022 y 08075/INFOEM/IP/RR/2022, </w:t>
      </w:r>
      <w:r>
        <w:rPr>
          <w:rFonts w:ascii="Palatino Linotype" w:eastAsia="Palatino Linotype" w:hAnsi="Palatino Linotype" w:cs="Palatino Linotype"/>
        </w:rPr>
        <w:t xml:space="preserve">interpuestos por </w:t>
      </w:r>
      <w:r>
        <w:rPr>
          <w:rFonts w:ascii="Palatino Linotype" w:eastAsia="Palatino Linotype" w:hAnsi="Palatino Linotype" w:cs="Palatino Linotype"/>
          <w:b/>
        </w:rPr>
        <w:t>un particular que no proporcionó nombre o seudónimo</w:t>
      </w:r>
      <w:r>
        <w:rPr>
          <w:rFonts w:ascii="Palatino Linotype" w:eastAsia="Palatino Linotype" w:hAnsi="Palatino Linotype" w:cs="Palatino Linotype"/>
        </w:rPr>
        <w:t xml:space="preserve">, a quien se le denominada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las respuestas a sus solicitudes de información con número de folio </w:t>
      </w:r>
      <w:r>
        <w:rPr>
          <w:rFonts w:ascii="Palatino Linotype" w:eastAsia="Palatino Linotype" w:hAnsi="Palatino Linotype" w:cs="Palatino Linotype"/>
          <w:b/>
        </w:rPr>
        <w:t xml:space="preserve">02797/DIFMETEPEC/IP/2022, 02798/DIFMETEPEC/IP/2022, 02799/DIFMETEPEC/IP/2022 y 02810/DIFMETEPEC/IP/2022,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Sistema Municipal Para el Desarrollo Integral de la Familia de Metepec,</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487DC4" w:rsidRDefault="00A074CF">
      <w:pPr>
        <w:numPr>
          <w:ilvl w:val="0"/>
          <w:numId w:val="5"/>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rsidR="00487DC4" w:rsidRDefault="00A074C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Solicitudes de acceso a la información. </w:t>
      </w:r>
      <w:r>
        <w:rPr>
          <w:rFonts w:ascii="Palatino Linotype" w:eastAsia="Palatino Linotype" w:hAnsi="Palatino Linotype" w:cs="Palatino Linotype"/>
        </w:rPr>
        <w:t xml:space="preserve">Con fecha diez y once de marzo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solicitudes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487DC4" w:rsidRDefault="00A074CF">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02797/DIFMETEPEC/IP/2022:</w:t>
      </w:r>
    </w:p>
    <w:p w:rsidR="00487DC4" w:rsidRDefault="00A074CF">
      <w:pPr>
        <w:spacing w:before="240" w:after="240"/>
        <w:ind w:left="85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“Solicito el documento en pdf en el que conste el registro para el taller de codependencia llevado a cabo "todos los miércoles" así como el aviso de privacidad del registro” (Sic)</w:t>
      </w:r>
    </w:p>
    <w:p w:rsidR="00487DC4" w:rsidRDefault="00A074CF">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02798/DIFMETEPEC/IP/2022:</w:t>
      </w:r>
    </w:p>
    <w:p w:rsidR="00487DC4" w:rsidRDefault="00A074CF">
      <w:pPr>
        <w:spacing w:before="240" w:after="240"/>
        <w:ind w:left="85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el documento en pdf en el que conste el registro de los asistentes a la videoconferencia "mujer de todos los tiempos"(Sic)</w:t>
      </w:r>
    </w:p>
    <w:p w:rsidR="00487DC4" w:rsidRDefault="00A074CF">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02799/DIFMETEPEC/IP/2022:</w:t>
      </w:r>
    </w:p>
    <w:p w:rsidR="00487DC4" w:rsidRDefault="00A074CF">
      <w:pPr>
        <w:spacing w:before="240" w:after="240"/>
        <w:ind w:left="85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el documento en pdf en el que conste el registro de los asistentes al foro del día internacional de la mujer, el presupuesto destinado a ese evento y las invitaciones efectuadas” (sic)</w:t>
      </w:r>
    </w:p>
    <w:p w:rsidR="00487DC4" w:rsidRDefault="00A074CF">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02810/DIFMETEPEC/IP/2022:</w:t>
      </w:r>
    </w:p>
    <w:p w:rsidR="00487DC4" w:rsidRDefault="00A074CF">
      <w:pPr>
        <w:spacing w:before="240" w:after="240"/>
        <w:ind w:left="85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el documento en pdf en el que conste los asistentes al cine-debate organizado por el dif el 11 de marzo a las 10am” (Sic)</w:t>
      </w: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en ambas solicitudes: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487DC4" w:rsidRDefault="00A074C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Solicitudes de Aclaración, </w:t>
      </w:r>
      <w:r>
        <w:rPr>
          <w:rFonts w:ascii="Palatino Linotype" w:eastAsia="Palatino Linotype" w:hAnsi="Palatino Linotype" w:cs="Palatino Linotype"/>
        </w:rPr>
        <w:t xml:space="preserve">Con fecha diecisiete y dieciocho de marzo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requirió en cada solicitud, al particular que completara o aclarara su solicitud, en los siguientes términos: </w:t>
      </w:r>
    </w:p>
    <w:p w:rsidR="00487DC4" w:rsidRDefault="00A074CF">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articulo 159 de la Ley de Transparencia y Acceso a la Información Pública del Estado de México y Municipios, se le requiere para que dentro del plazo de diez días hábiles realice lo siguiente:</w:t>
      </w:r>
    </w:p>
    <w:p w:rsidR="00487DC4" w:rsidRDefault="00A074CF">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SOLICITUD NO ES CLARA, SE SOLICITA HAGA LA ACLARACION TOTAL DE LA INFORMACIÓN A OBTENER</w:t>
      </w:r>
    </w:p>
    <w:p w:rsidR="00487DC4" w:rsidRDefault="00A074CF">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caso de que no se desahogue el requerimiento señalado dentro del plazo citado se tendrá por no presentada la solicitud de información, quedando a salvo sus </w:t>
      </w:r>
      <w:r>
        <w:rPr>
          <w:rFonts w:ascii="Palatino Linotype" w:eastAsia="Palatino Linotype" w:hAnsi="Palatino Linotype" w:cs="Palatino Linotype"/>
          <w:i/>
          <w:sz w:val="22"/>
          <w:szCs w:val="22"/>
        </w:rPr>
        <w:lastRenderedPageBreak/>
        <w:t>derechos para volver a presentar la solicitud, lo anterior con fundamento en el artículo 159 de la Ley invocada.</w:t>
      </w:r>
    </w:p>
    <w:p w:rsidR="00487DC4" w:rsidRDefault="00A074CF">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487DC4" w:rsidRDefault="00A074CF">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(Sic)</w:t>
      </w:r>
    </w:p>
    <w:p w:rsidR="00487DC4" w:rsidRDefault="00487DC4">
      <w:pPr>
        <w:ind w:left="851" w:right="900"/>
        <w:jc w:val="both"/>
        <w:rPr>
          <w:rFonts w:ascii="Palatino Linotype" w:eastAsia="Palatino Linotype" w:hAnsi="Palatino Linotype" w:cs="Palatino Linotype"/>
          <w:i/>
          <w:sz w:val="22"/>
          <w:szCs w:val="22"/>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Atención a la solicitud de aclaración. </w:t>
      </w:r>
      <w:r>
        <w:rPr>
          <w:rFonts w:ascii="Palatino Linotype" w:eastAsia="Palatino Linotype" w:hAnsi="Palatino Linotype" w:cs="Palatino Linotype"/>
        </w:rPr>
        <w:t>Con fecha diecisiete y veintidós de marzo del dos mil veintidós, el particular aclaró las solicitudes de acceso a la información pública a través del SAIMEX, en los siguientes términos:</w:t>
      </w:r>
    </w:p>
    <w:p w:rsidR="00487DC4" w:rsidRDefault="00487DC4">
      <w:pPr>
        <w:spacing w:line="360" w:lineRule="auto"/>
        <w:jc w:val="both"/>
        <w:rPr>
          <w:rFonts w:ascii="Palatino Linotype" w:eastAsia="Palatino Linotype" w:hAnsi="Palatino Linotype" w:cs="Palatino Linotype"/>
        </w:rPr>
      </w:pPr>
    </w:p>
    <w:p w:rsidR="00487DC4" w:rsidRDefault="00A074CF">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02797/DIFMETEPEC/IP/2022:</w:t>
      </w:r>
    </w:p>
    <w:p w:rsidR="00487DC4" w:rsidRDefault="00A074CF">
      <w:pPr>
        <w:spacing w:before="240" w:after="240"/>
        <w:ind w:left="85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el documento en pdf en el que conste el registro para el taller de codependencia llevado a cabo "todos los miércoles" así como el aviso de privacidad del registro” (Sic)</w:t>
      </w:r>
    </w:p>
    <w:p w:rsidR="00487DC4" w:rsidRDefault="00A074CF">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02798/DIFMETEPEC/IP/2022:</w:t>
      </w:r>
    </w:p>
    <w:p w:rsidR="00487DC4" w:rsidRDefault="00A074CF">
      <w:pPr>
        <w:spacing w:before="240" w:after="240"/>
        <w:ind w:left="85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el documento en pdf en el que conste el registro de los asistentes a la videoconferencia "mujer de todos los tiempos"(Sic)</w:t>
      </w:r>
    </w:p>
    <w:p w:rsidR="00487DC4" w:rsidRDefault="00A074CF">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02799/DIFMETEPEC/IP/2022:</w:t>
      </w:r>
    </w:p>
    <w:p w:rsidR="00487DC4" w:rsidRDefault="00A074CF">
      <w:pPr>
        <w:spacing w:before="240" w:after="240"/>
        <w:ind w:left="85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el documento en pdf en el que conste el registro de los asistentes al foro del día internacional de la mujer, el presupuesto destinado a ese evento y las invitaciones efectuadas” (sic)</w:t>
      </w:r>
    </w:p>
    <w:p w:rsidR="00487DC4" w:rsidRDefault="00A074CF">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02810/DIFMETEPEC/IP/2022:</w:t>
      </w:r>
    </w:p>
    <w:p w:rsidR="00487DC4" w:rsidRDefault="00A074CF">
      <w:pPr>
        <w:spacing w:before="240" w:after="240"/>
        <w:ind w:left="85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el documento en pdf en el que conste los asistentes al cine-debate organizado por el dif el 11 de marzo a las 10am” (Sic)</w:t>
      </w:r>
    </w:p>
    <w:p w:rsidR="00487DC4" w:rsidRDefault="00487DC4">
      <w:pPr>
        <w:spacing w:after="240" w:line="360" w:lineRule="auto"/>
        <w:ind w:right="49"/>
        <w:jc w:val="both"/>
        <w:rPr>
          <w:rFonts w:ascii="Palatino Linotype" w:eastAsia="Palatino Linotype" w:hAnsi="Palatino Linotype" w:cs="Palatino Linotype"/>
          <w:b/>
        </w:rPr>
      </w:pPr>
    </w:p>
    <w:p w:rsidR="00487DC4" w:rsidRDefault="00487DC4">
      <w:pPr>
        <w:spacing w:after="240" w:line="360" w:lineRule="auto"/>
        <w:ind w:right="49"/>
        <w:jc w:val="both"/>
        <w:rPr>
          <w:rFonts w:ascii="Palatino Linotype" w:eastAsia="Palatino Linotype" w:hAnsi="Palatino Linotype" w:cs="Palatino Linotype"/>
          <w:b/>
        </w:rPr>
      </w:pPr>
    </w:p>
    <w:p w:rsidR="00487DC4" w:rsidRDefault="00A074CF">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 Prórroga.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siete y ocho de abril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 la particular la prórroga para atender sus solicitudes de información, medularmente en los siguientes términos: </w:t>
      </w:r>
    </w:p>
    <w:p w:rsidR="00487DC4" w:rsidRDefault="00A074CF">
      <w:pPr>
        <w:spacing w:before="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487DC4" w:rsidRDefault="00A074CF">
      <w:pPr>
        <w:spacing w:before="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APRUEBA PRORROGA.</w:t>
      </w:r>
    </w:p>
    <w:p w:rsidR="00487DC4" w:rsidRDefault="00A074CF">
      <w:pPr>
        <w:spacing w:before="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Licenciado FERNANDO OSCAR ZAPATA NAVARRETE</w:t>
      </w:r>
    </w:p>
    <w:p w:rsidR="00487DC4" w:rsidRDefault="00A074CF">
      <w:pPr>
        <w:spacing w:before="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Responsable de la Unidad de Transparencia” (Sic) </w:t>
      </w:r>
    </w:p>
    <w:p w:rsidR="00487DC4" w:rsidRDefault="00487DC4">
      <w:pPr>
        <w:ind w:left="567" w:right="851"/>
        <w:jc w:val="both"/>
        <w:rPr>
          <w:rFonts w:ascii="Palatino Linotype" w:eastAsia="Palatino Linotype" w:hAnsi="Palatino Linotype" w:cs="Palatino Linotype"/>
          <w:i/>
          <w:sz w:val="22"/>
          <w:szCs w:val="22"/>
        </w:rPr>
      </w:pPr>
    </w:p>
    <w:p w:rsidR="00487DC4" w:rsidRDefault="00487DC4">
      <w:pPr>
        <w:spacing w:line="360" w:lineRule="auto"/>
        <w:jc w:val="both"/>
        <w:rPr>
          <w:rFonts w:ascii="Palatino Linotype" w:eastAsia="Palatino Linotype" w:hAnsi="Palatino Linotype" w:cs="Palatino Linotype"/>
          <w:b/>
        </w:rPr>
      </w:pPr>
    </w:p>
    <w:p w:rsidR="00487DC4" w:rsidRDefault="00A074CF">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5. Respuestas. </w:t>
      </w:r>
      <w:r>
        <w:rPr>
          <w:rFonts w:ascii="Palatino Linotype" w:eastAsia="Palatino Linotype" w:hAnsi="Palatino Linotype" w:cs="Palatino Linotype"/>
        </w:rPr>
        <w:t xml:space="preserve">Con fecha veintiséis y veintisiete de abril de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sus respuestas a las solicitudes de acceso a la información a través del SAIMEX, la cual versa como sigue siendo la misma en cada solicitud:</w:t>
      </w:r>
    </w:p>
    <w:p w:rsidR="00487DC4" w:rsidRDefault="00487DC4">
      <w:pPr>
        <w:spacing w:line="360" w:lineRule="auto"/>
        <w:jc w:val="both"/>
        <w:rPr>
          <w:rFonts w:ascii="Palatino Linotype" w:eastAsia="Palatino Linotype" w:hAnsi="Palatino Linotype" w:cs="Palatino Linotype"/>
        </w:rPr>
      </w:pPr>
    </w:p>
    <w:p w:rsidR="00487DC4" w:rsidRDefault="00A074CF">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rsidR="00487DC4" w:rsidRDefault="00A074CF">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w:t>
      </w:r>
      <w:r>
        <w:rPr>
          <w:rFonts w:ascii="Palatino Linotype" w:eastAsia="Palatino Linotype" w:hAnsi="Palatino Linotype" w:cs="Palatino Linotype"/>
          <w:i/>
          <w:color w:val="000000"/>
          <w:sz w:val="22"/>
          <w:szCs w:val="22"/>
        </w:rPr>
        <w:lastRenderedPageBreak/>
        <w:t xml:space="preserve">Acuerdo de la Primer Sesión Extraordinaria del Comité de Transparencia, de fecha 25 de Enero de 2022, por medio de la cual el Comité de Transparencia aprobó el </w:t>
      </w:r>
      <w:r>
        <w:rPr>
          <w:rFonts w:ascii="Palatino Linotype" w:eastAsia="Palatino Linotype" w:hAnsi="Palatino Linotype" w:cs="Palatino Linotype"/>
          <w:b/>
          <w:i/>
          <w:color w:val="000000"/>
          <w:sz w:val="22"/>
          <w:szCs w:val="22"/>
        </w:rPr>
        <w:t>cambio de modalidad de entrega mediante consulta directa (in situ),</w:t>
      </w:r>
      <w:r>
        <w:rPr>
          <w:rFonts w:ascii="Palatino Linotype" w:eastAsia="Palatino Linotype" w:hAnsi="Palatino Linotype" w:cs="Palatino Linotype"/>
          <w:i/>
          <w:color w:val="000000"/>
          <w:sz w:val="22"/>
          <w:szCs w:val="22"/>
        </w:rPr>
        <w:t xml:space="preserve">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487DC4" w:rsidRDefault="00A074CF">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487DC4" w:rsidRDefault="00A074CF">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Licenciado FERNANDO OSCAR ZAPATA NAVARRETE” (Sic)</w:t>
      </w:r>
    </w:p>
    <w:p w:rsidR="00487DC4" w:rsidRDefault="00487DC4">
      <w:pPr>
        <w:ind w:left="851" w:right="902"/>
        <w:jc w:val="both"/>
        <w:rPr>
          <w:rFonts w:ascii="Palatino Linotype" w:eastAsia="Palatino Linotype" w:hAnsi="Palatino Linotype" w:cs="Palatino Linotype"/>
          <w:i/>
          <w:sz w:val="22"/>
          <w:szCs w:val="22"/>
        </w:rPr>
      </w:pPr>
    </w:p>
    <w:p w:rsidR="00487DC4" w:rsidRDefault="00A074C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sus respuestas el archivo electrónico denominado “</w:t>
      </w:r>
      <w:hyperlink r:id="rId8">
        <w:r>
          <w:rPr>
            <w:rFonts w:ascii="Palatino Linotype" w:eastAsia="Palatino Linotype" w:hAnsi="Palatino Linotype" w:cs="Palatino Linotype"/>
          </w:rPr>
          <w:t>acta primer sesión extraordinaria Comité de transparencia.pdf</w:t>
        </w:r>
      </w:hyperlink>
      <w:r>
        <w:rPr>
          <w:rFonts w:ascii="Palatino Linotype" w:eastAsia="Palatino Linotype" w:hAnsi="Palatino Linotype" w:cs="Palatino Linotype"/>
        </w:rPr>
        <w:t>”, el cual contiene el acta de la primer sesión extraordinaria del Comité de Transparencia 2022-2024 del Sistema Municipal Para el Desarrollo Integral de la Familia de Metepec, por medio de la cual aprobó el cambio de modalidad de entrega mediante consulta directa (in situ).</w:t>
      </w:r>
    </w:p>
    <w:p w:rsidR="00487DC4" w:rsidRDefault="00A074C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Interposición de los recursos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los recursos de revisión a través del SAIMEX en fecha dieciocho de mayo de dos mil veintidós, a través de los cuales expresó lo siguiente, siendo el mismo acto impugnado como motivos de inconformidad:</w:t>
      </w:r>
    </w:p>
    <w:p w:rsidR="00487DC4" w:rsidRDefault="00A074CF">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487DC4" w:rsidRDefault="00A074CF">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respuesta proporcionada por el Sujeto Obligado.” (Sic)</w:t>
      </w:r>
    </w:p>
    <w:p w:rsidR="00487DC4" w:rsidRDefault="00487DC4">
      <w:pPr>
        <w:ind w:left="851" w:right="902"/>
        <w:jc w:val="both"/>
        <w:rPr>
          <w:rFonts w:ascii="Palatino Linotype" w:eastAsia="Palatino Linotype" w:hAnsi="Palatino Linotype" w:cs="Palatino Linotype"/>
          <w:i/>
          <w:color w:val="000000"/>
          <w:sz w:val="22"/>
          <w:szCs w:val="22"/>
        </w:rPr>
      </w:pPr>
    </w:p>
    <w:p w:rsidR="00487DC4" w:rsidRDefault="00A074C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b) Motivos de inconformidad.</w:t>
      </w:r>
    </w:p>
    <w:p w:rsidR="00487DC4" w:rsidRDefault="00A074CF">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w:t>
      </w:r>
      <w:r>
        <w:rPr>
          <w:rFonts w:ascii="Palatino Linotype" w:eastAsia="Palatino Linotype" w:hAnsi="Palatino Linotype" w:cs="Palatino Linotype"/>
          <w:b/>
          <w:i/>
          <w:color w:val="000000"/>
          <w:sz w:val="22"/>
          <w:szCs w:val="22"/>
        </w:rPr>
        <w:t xml:space="preserve">se solicita al Instituto dar vista a la Contraloría Interna y Órgano de Control y Vigilancia en términos de la Ley de Responsabilidades de los Servidores Públicos del Estado y Municipios, para que determine el grado de responsabilidad de quienes </w:t>
      </w:r>
      <w:r>
        <w:rPr>
          <w:rFonts w:ascii="Palatino Linotype" w:eastAsia="Palatino Linotype" w:hAnsi="Palatino Linotype" w:cs="Palatino Linotype"/>
          <w:b/>
          <w:i/>
          <w:color w:val="000000"/>
          <w:sz w:val="22"/>
          <w:szCs w:val="22"/>
        </w:rPr>
        <w:lastRenderedPageBreak/>
        <w:t>incumplan con las obligaciones de la Ley, al considerar posibles causas de responsabilidad administrativa por el incumplimiento a lo anteriormente expuesto, aunado a los supuestos normativos aplicables, previstos por el artículo 222 del mismo ordenamiento jurídico</w:t>
      </w:r>
      <w:r>
        <w:rPr>
          <w:rFonts w:ascii="Palatino Linotype" w:eastAsia="Palatino Linotype" w:hAnsi="Palatino Linotype" w:cs="Palatino Linotype"/>
          <w:i/>
          <w:color w:val="000000"/>
          <w:sz w:val="22"/>
          <w:szCs w:val="22"/>
        </w:rPr>
        <w:t>.” (Sic)</w:t>
      </w:r>
    </w:p>
    <w:p w:rsidR="00487DC4" w:rsidRDefault="00487DC4">
      <w:pPr>
        <w:spacing w:line="360" w:lineRule="auto"/>
        <w:jc w:val="both"/>
        <w:rPr>
          <w:rFonts w:ascii="Palatino Linotype" w:eastAsia="Palatino Linotype" w:hAnsi="Palatino Linotype" w:cs="Palatino Linotype"/>
          <w:b/>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 xml:space="preserve">08064/INFOEM/IP/RR/2022,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08065/INFOEM/IP/RR/2022,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al Comisionado </w:t>
      </w:r>
      <w:r>
        <w:rPr>
          <w:rFonts w:ascii="Palatino Linotype" w:eastAsia="Palatino Linotype" w:hAnsi="Palatino Linotype" w:cs="Palatino Linotype"/>
          <w:b/>
        </w:rPr>
        <w:t>José Martínez Vilchis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08066/INFOEM/IP/RR/2022,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al Comisionado </w:t>
      </w:r>
      <w:r>
        <w:rPr>
          <w:rFonts w:ascii="Palatino Linotype" w:eastAsia="Palatino Linotype" w:hAnsi="Palatino Linotype" w:cs="Palatino Linotype"/>
          <w:b/>
        </w:rPr>
        <w:t>Luis Gustavo Parra Noriega</w:t>
      </w:r>
      <w:r>
        <w:rPr>
          <w:rFonts w:ascii="Palatino Linotype" w:eastAsia="Palatino Linotype" w:hAnsi="Palatino Linotype" w:cs="Palatino Linotype"/>
        </w:rPr>
        <w:t xml:space="preserve"> y </w:t>
      </w:r>
      <w:r>
        <w:rPr>
          <w:rFonts w:ascii="Palatino Linotype" w:eastAsia="Palatino Linotype" w:hAnsi="Palatino Linotype" w:cs="Palatino Linotype"/>
          <w:b/>
        </w:rPr>
        <w:t xml:space="preserve">08075/INFOEM/IP/RR/2021,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al  Comisionado </w:t>
      </w:r>
      <w:r>
        <w:rPr>
          <w:rFonts w:ascii="Palatino Linotype" w:eastAsia="Palatino Linotype" w:hAnsi="Palatino Linotype" w:cs="Palatino Linotype"/>
          <w:b/>
        </w:rPr>
        <w:t>José Martínez Vilchis</w:t>
      </w:r>
      <w:r>
        <w:rPr>
          <w:rFonts w:ascii="Palatino Linotype" w:eastAsia="Palatino Linotype" w:hAnsi="Palatino Linotype" w:cs="Palatino Linotype"/>
        </w:rPr>
        <w:t>, para su análisis, estudio, elaboración del proyecto y presentación ante el Pleno de este Instituto.</w:t>
      </w:r>
    </w:p>
    <w:p w:rsidR="00487DC4" w:rsidRDefault="00A074C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Admisión de los recursos de revisión: </w:t>
      </w:r>
      <w:r>
        <w:rPr>
          <w:rFonts w:ascii="Palatino Linotype" w:eastAsia="Palatino Linotype" w:hAnsi="Palatino Linotype" w:cs="Palatino Linotype"/>
        </w:rPr>
        <w:t xml:space="preserve">En fechas veinticuatro y veinticinco de mayo, ambas fechas del dos mil veintidós, se admitieron a trámite los recursos de revisión que ahora se resuelven, dando un plazo máximo de siete días hábiles para </w:t>
      </w:r>
      <w:r>
        <w:rPr>
          <w:rFonts w:ascii="Palatino Linotype" w:eastAsia="Palatino Linotype" w:hAnsi="Palatino Linotype" w:cs="Palatino Linotype"/>
        </w:rPr>
        <w:lastRenderedPageBreak/>
        <w:t xml:space="preserve">que las partes manifestaran lo que a su derecho resultara conveniente, ofrecieran pruebas, formularan alegatos y el Sujeto Obligado presentara su informe justificado. </w:t>
      </w:r>
    </w:p>
    <w:p w:rsidR="00487DC4" w:rsidRDefault="00A074CF">
      <w:pPr>
        <w:spacing w:before="4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9. Acumulación, </w:t>
      </w:r>
      <w:r>
        <w:rPr>
          <w:rFonts w:ascii="Palatino Linotype" w:eastAsia="Palatino Linotype" w:hAnsi="Palatino Linotype" w:cs="Palatino Linotype"/>
        </w:rPr>
        <w:t xml:space="preserve">en la Vigésima Sesión Ordinaria del Pleno de este Instituto de Transparencia, Acceso a la Información Pública y Protección de Datos Personales del Estado de México y Municipios, celebrada en fecha primero de junio del dos mil veintidós, al advertir la conexidad de causa y con la finalidad de evitar que se dicten resoluciones contradictorias, se acordó la acumulación de los recursos señalados en este fallo; determinando que fuera Ponente,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rsidR="00487DC4" w:rsidRDefault="00A074CF">
      <w:pPr>
        <w:spacing w:before="280"/>
        <w:ind w:left="1134" w:right="13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195.- En la tramitación del recurso de revisión se aplicarán supletoriamente las disposiciones contenidas en el Código de Procedimientos Administrativos del Estado de México.” (Sic)</w:t>
      </w:r>
    </w:p>
    <w:p w:rsidR="00487DC4" w:rsidRDefault="00487DC4">
      <w:pPr>
        <w:ind w:right="1325"/>
        <w:jc w:val="both"/>
        <w:rPr>
          <w:rFonts w:ascii="Palatino Linotype" w:eastAsia="Palatino Linotype" w:hAnsi="Palatino Linotype" w:cs="Palatino Linotype"/>
          <w:i/>
          <w:sz w:val="22"/>
          <w:szCs w:val="22"/>
        </w:rPr>
      </w:pPr>
    </w:p>
    <w:p w:rsidR="00487DC4" w:rsidRDefault="00A074CF">
      <w:pPr>
        <w:ind w:left="1134" w:right="132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rsidR="00487DC4" w:rsidRDefault="00487DC4">
      <w:pPr>
        <w:spacing w:after="240" w:line="360" w:lineRule="auto"/>
        <w:jc w:val="both"/>
        <w:rPr>
          <w:rFonts w:ascii="Palatino Linotype" w:eastAsia="Palatino Linotype" w:hAnsi="Palatino Linotype" w:cs="Palatino Linotype"/>
          <w:b/>
        </w:rPr>
      </w:pPr>
    </w:p>
    <w:p w:rsidR="00487DC4" w:rsidRDefault="00A074CF">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10. Manifestaciones</w:t>
      </w:r>
      <w:r>
        <w:rPr>
          <w:rFonts w:ascii="Palatino Linotype" w:eastAsia="Palatino Linotype" w:hAnsi="Palatino Linotype" w:cs="Palatino Linotype"/>
          <w:color w:val="000000"/>
        </w:rPr>
        <w:t xml:space="preserve">: De las constancias que integran los expedientes en que se actúa </w:t>
      </w:r>
      <w:r>
        <w:rPr>
          <w:rFonts w:ascii="Palatino Linotype" w:eastAsia="Palatino Linotype" w:hAnsi="Palatino Linotype" w:cs="Palatino Linotype"/>
          <w:color w:val="000000"/>
        </w:rPr>
        <w:lastRenderedPageBreak/>
        <w:t>se advierte que el recurrente fue omiso en ofrecer pruebas o expresar alegatos; en términos del artículo 185 fracciones II de la ley que nos ocupa. Por su parte, el Sujeto Obligado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de igual forma, fue omiso en presentar los Informes Justificados correspondientes.</w:t>
      </w:r>
    </w:p>
    <w:p w:rsidR="00487DC4" w:rsidRDefault="00A074CF">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11.-</w:t>
      </w:r>
      <w:r>
        <w:rPr>
          <w:rFonts w:ascii="Palatino Linotype" w:eastAsia="Palatino Linotype" w:hAnsi="Palatino Linotype" w:cs="Palatino Linotype"/>
        </w:rPr>
        <w:t xml:space="preserve"> </w:t>
      </w:r>
      <w:r>
        <w:rPr>
          <w:rFonts w:ascii="Palatino Linotype" w:eastAsia="Palatino Linotype" w:hAnsi="Palatino Linotype" w:cs="Palatino Linotype"/>
          <w:b/>
        </w:rPr>
        <w:t>Ampliación del plazo.</w:t>
      </w:r>
      <w:r>
        <w:rPr>
          <w:rFonts w:ascii="Palatino Linotype" w:eastAsia="Palatino Linotype" w:hAnsi="Palatino Linotype" w:cs="Palatino Linotype"/>
        </w:rPr>
        <w:t xml:space="preserve"> En fecha veintiuno septiembre del año dos mil veintidós y notificado el trece de octubre del año dos mil veintidós únicamente en el recurso de revisión 08075/INFOEM/IP/RR/2022, con fundamento en el artículo 181, párrafo tercero de la Ley de Transparencia y Acceso a la Información Pública del Estado de México y Municipios, se acordó la ampliación del plazo para su resolución.</w:t>
      </w: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487DC4" w:rsidRDefault="00487DC4">
      <w:pPr>
        <w:spacing w:line="360" w:lineRule="auto"/>
        <w:jc w:val="both"/>
        <w:rPr>
          <w:rFonts w:ascii="Palatino Linotype" w:eastAsia="Palatino Linotype" w:hAnsi="Palatino Linotype" w:cs="Palatino Linotype"/>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Pr>
          <w:rFonts w:ascii="Palatino Linotype" w:eastAsia="Palatino Linotype" w:hAnsi="Palatino Linotype" w:cs="Palatino Linotype"/>
        </w:rPr>
        <w:lastRenderedPageBreak/>
        <w:t>órganos jurisdiccionales federales, aplicables también en procedimientos análogos, como el que nos ocupa.</w:t>
      </w:r>
    </w:p>
    <w:p w:rsidR="00487DC4" w:rsidRDefault="00487DC4">
      <w:pPr>
        <w:spacing w:line="360" w:lineRule="auto"/>
        <w:jc w:val="both"/>
        <w:rPr>
          <w:rFonts w:ascii="Palatino Linotype" w:eastAsia="Palatino Linotype" w:hAnsi="Palatino Linotype" w:cs="Palatino Linotype"/>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487DC4" w:rsidRDefault="00487DC4">
      <w:pPr>
        <w:spacing w:line="360" w:lineRule="auto"/>
        <w:jc w:val="both"/>
        <w:rPr>
          <w:rFonts w:ascii="Palatino Linotype" w:eastAsia="Palatino Linotype" w:hAnsi="Palatino Linotype" w:cs="Palatino Linotype"/>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487DC4" w:rsidRDefault="00487DC4">
      <w:pPr>
        <w:spacing w:line="360" w:lineRule="auto"/>
        <w:jc w:val="both"/>
        <w:rPr>
          <w:rFonts w:ascii="Palatino Linotype" w:eastAsia="Palatino Linotype" w:hAnsi="Palatino Linotype" w:cs="Palatino Linotype"/>
        </w:rPr>
      </w:pPr>
    </w:p>
    <w:p w:rsidR="00487DC4" w:rsidRDefault="00A074CF">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487DC4" w:rsidRDefault="00487DC4">
      <w:pPr>
        <w:spacing w:line="360" w:lineRule="auto"/>
        <w:jc w:val="both"/>
        <w:rPr>
          <w:rFonts w:ascii="Palatino Linotype" w:eastAsia="Palatino Linotype" w:hAnsi="Palatino Linotype" w:cs="Palatino Linotype"/>
        </w:rPr>
      </w:pPr>
    </w:p>
    <w:p w:rsidR="00487DC4" w:rsidRDefault="00A074CF">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487DC4" w:rsidRDefault="00487DC4">
      <w:pPr>
        <w:spacing w:line="360" w:lineRule="auto"/>
        <w:ind w:left="927"/>
        <w:jc w:val="both"/>
        <w:rPr>
          <w:rFonts w:ascii="Palatino Linotype" w:eastAsia="Palatino Linotype" w:hAnsi="Palatino Linotype" w:cs="Palatino Linotype"/>
        </w:rPr>
      </w:pPr>
    </w:p>
    <w:p w:rsidR="00487DC4" w:rsidRDefault="00A074CF">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rsidR="00487DC4" w:rsidRDefault="00487DC4">
      <w:pPr>
        <w:spacing w:line="360" w:lineRule="auto"/>
        <w:jc w:val="both"/>
        <w:rPr>
          <w:rFonts w:ascii="Palatino Linotype" w:eastAsia="Palatino Linotype" w:hAnsi="Palatino Linotype" w:cs="Palatino Linotype"/>
        </w:rPr>
      </w:pPr>
    </w:p>
    <w:p w:rsidR="00487DC4" w:rsidRDefault="00A074CF">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rsidR="00487DC4" w:rsidRDefault="00487DC4">
      <w:pPr>
        <w:spacing w:line="360" w:lineRule="auto"/>
        <w:ind w:left="708"/>
        <w:rPr>
          <w:rFonts w:ascii="Palatino Linotype" w:eastAsia="Palatino Linotype" w:hAnsi="Palatino Linotype" w:cs="Palatino Linotype"/>
        </w:rPr>
      </w:pPr>
    </w:p>
    <w:p w:rsidR="00487DC4" w:rsidRDefault="00A074CF">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rsidR="00487DC4" w:rsidRDefault="00487DC4">
      <w:pPr>
        <w:spacing w:line="360" w:lineRule="auto"/>
        <w:jc w:val="both"/>
        <w:rPr>
          <w:rFonts w:ascii="Palatino Linotype" w:eastAsia="Palatino Linotype" w:hAnsi="Palatino Linotype" w:cs="Palatino Linotype"/>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487DC4" w:rsidRDefault="00487DC4">
      <w:pPr>
        <w:spacing w:line="360" w:lineRule="auto"/>
        <w:jc w:val="both"/>
        <w:rPr>
          <w:rFonts w:ascii="Palatino Linotype" w:eastAsia="Palatino Linotype" w:hAnsi="Palatino Linotype" w:cs="Palatino Linotype"/>
        </w:rPr>
      </w:pPr>
    </w:p>
    <w:p w:rsidR="00487DC4" w:rsidRDefault="00A074C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487DC4" w:rsidRDefault="00487DC4">
      <w:pPr>
        <w:spacing w:line="360" w:lineRule="auto"/>
        <w:jc w:val="both"/>
        <w:rPr>
          <w:rFonts w:ascii="Palatino Linotype" w:eastAsia="Palatino Linotype" w:hAnsi="Palatino Linotype" w:cs="Palatino Linotype"/>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487DC4" w:rsidRDefault="00487DC4">
      <w:pPr>
        <w:spacing w:line="360" w:lineRule="auto"/>
        <w:jc w:val="both"/>
        <w:rPr>
          <w:rFonts w:ascii="Palatino Linotype" w:eastAsia="Palatino Linotype" w:hAnsi="Palatino Linotype" w:cs="Palatino Linotype"/>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487DC4" w:rsidRDefault="00487DC4">
      <w:pPr>
        <w:spacing w:line="360" w:lineRule="auto"/>
        <w:jc w:val="both"/>
        <w:rPr>
          <w:rFonts w:ascii="Palatino Linotype" w:eastAsia="Palatino Linotype" w:hAnsi="Palatino Linotype" w:cs="Palatino Linotype"/>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487DC4" w:rsidRDefault="00487DC4">
      <w:pPr>
        <w:spacing w:line="360" w:lineRule="auto"/>
        <w:jc w:val="both"/>
        <w:rPr>
          <w:rFonts w:ascii="Palatino Linotype" w:eastAsia="Palatino Linotype" w:hAnsi="Palatino Linotype" w:cs="Palatino Linotype"/>
          <w:b/>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487DC4" w:rsidRDefault="00487DC4">
      <w:pPr>
        <w:spacing w:line="360" w:lineRule="auto"/>
        <w:jc w:val="both"/>
        <w:rPr>
          <w:rFonts w:ascii="Palatino Linotype" w:eastAsia="Palatino Linotype" w:hAnsi="Palatino Linotype" w:cs="Palatino Linotype"/>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rsidR="00487DC4" w:rsidRDefault="00A074CF">
      <w:pPr>
        <w:widowControl w:val="0"/>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12. Requerimiento adicional. </w:t>
      </w:r>
      <w:r>
        <w:rPr>
          <w:rFonts w:ascii="Palatino Linotype" w:eastAsia="Palatino Linotype" w:hAnsi="Palatino Linotype" w:cs="Palatino Linotype"/>
          <w:color w:val="000000"/>
        </w:rPr>
        <w:t xml:space="preserve">El veintiuno de septiembre de dos mil veintidós, se envió por correo electrónico un requerimiento de información adicional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el cual consistió en lo siguiente:</w:t>
      </w:r>
    </w:p>
    <w:p w:rsidR="00487DC4" w:rsidRDefault="00A074CF">
      <w:pPr>
        <w:widowControl w:val="0"/>
        <w:spacing w:before="240" w:line="360" w:lineRule="auto"/>
        <w:jc w:val="both"/>
        <w:rPr>
          <w:rFonts w:ascii="Palatino Linotype" w:eastAsia="Palatino Linotype" w:hAnsi="Palatino Linotype" w:cs="Palatino Linotype"/>
          <w:color w:val="000000"/>
        </w:rPr>
      </w:pPr>
      <w:r>
        <w:rPr>
          <w:noProof/>
          <w:lang w:val="es-MX" w:eastAsia="es-MX"/>
        </w:rPr>
        <w:drawing>
          <wp:inline distT="0" distB="0" distL="0" distR="0">
            <wp:extent cx="5384800" cy="4838700"/>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5075" t="11266" r="35166" b="15912"/>
                    <a:stretch>
                      <a:fillRect/>
                    </a:stretch>
                  </pic:blipFill>
                  <pic:spPr>
                    <a:xfrm>
                      <a:off x="0" y="0"/>
                      <a:ext cx="5384800" cy="4838700"/>
                    </a:xfrm>
                    <a:prstGeom prst="rect">
                      <a:avLst/>
                    </a:prstGeom>
                    <a:ln/>
                  </pic:spPr>
                </pic:pic>
              </a:graphicData>
            </a:graphic>
          </wp:inline>
        </w:drawing>
      </w:r>
    </w:p>
    <w:p w:rsidR="00487DC4" w:rsidRDefault="00487DC4">
      <w:pPr>
        <w:tabs>
          <w:tab w:val="left" w:pos="426"/>
        </w:tabs>
        <w:spacing w:line="360" w:lineRule="auto"/>
        <w:jc w:val="both"/>
      </w:pPr>
    </w:p>
    <w:p w:rsidR="00487DC4" w:rsidRDefault="00A074CF">
      <w:pPr>
        <w:tabs>
          <w:tab w:val="left" w:pos="426"/>
        </w:tabs>
        <w:spacing w:line="360" w:lineRule="auto"/>
        <w:jc w:val="both"/>
        <w:rPr>
          <w:rFonts w:ascii="Palatino Linotype" w:eastAsia="Palatino Linotype" w:hAnsi="Palatino Linotype" w:cs="Palatino Linotype"/>
          <w:color w:val="000000"/>
        </w:rPr>
      </w:pPr>
      <w:r>
        <w:rPr>
          <w:noProof/>
          <w:lang w:val="es-MX" w:eastAsia="es-MX"/>
        </w:rPr>
        <w:drawing>
          <wp:inline distT="0" distB="0" distL="0" distR="0">
            <wp:extent cx="5397500" cy="2063750"/>
            <wp:effectExtent l="0" t="0" r="0" b="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33718" t="28565" r="35279" b="39650"/>
                    <a:stretch>
                      <a:fillRect/>
                    </a:stretch>
                  </pic:blipFill>
                  <pic:spPr>
                    <a:xfrm>
                      <a:off x="0" y="0"/>
                      <a:ext cx="5397500" cy="2063750"/>
                    </a:xfrm>
                    <a:prstGeom prst="rect">
                      <a:avLst/>
                    </a:prstGeom>
                    <a:ln/>
                  </pic:spPr>
                </pic:pic>
              </a:graphicData>
            </a:graphic>
          </wp:inline>
        </w:drawing>
      </w:r>
    </w:p>
    <w:p w:rsidR="00487DC4" w:rsidRDefault="00487DC4">
      <w:pPr>
        <w:tabs>
          <w:tab w:val="left" w:pos="426"/>
        </w:tabs>
        <w:spacing w:line="360" w:lineRule="auto"/>
        <w:jc w:val="both"/>
        <w:rPr>
          <w:rFonts w:ascii="Palatino Linotype" w:eastAsia="Palatino Linotype" w:hAnsi="Palatino Linotype" w:cs="Palatino Linotype"/>
          <w:color w:val="000000"/>
        </w:rPr>
      </w:pPr>
    </w:p>
    <w:p w:rsidR="00487DC4" w:rsidRDefault="00A074CF">
      <w:pP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13. Atención al requerimiento adicional.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fue omiso en dar atención al requerimiento adicional.</w:t>
      </w:r>
    </w:p>
    <w:p w:rsidR="00487DC4" w:rsidRDefault="00487DC4">
      <w:pPr>
        <w:tabs>
          <w:tab w:val="left" w:pos="426"/>
        </w:tabs>
        <w:spacing w:line="360" w:lineRule="auto"/>
        <w:jc w:val="both"/>
        <w:rPr>
          <w:rFonts w:ascii="Palatino Linotype" w:eastAsia="Palatino Linotype" w:hAnsi="Palatino Linotype" w:cs="Palatino Linotype"/>
          <w:b/>
        </w:rPr>
      </w:pPr>
    </w:p>
    <w:p w:rsidR="00487DC4" w:rsidRDefault="00A074CF">
      <w:pPr>
        <w:tabs>
          <w:tab w:val="left" w:pos="42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14. Cierre de instrucción. </w:t>
      </w:r>
      <w:r>
        <w:rPr>
          <w:rFonts w:ascii="Palatino Linotype" w:eastAsia="Palatino Linotype" w:hAnsi="Palatino Linotype" w:cs="Palatino Linotype"/>
        </w:rPr>
        <w:t>En fecha veintisiete de septiembre del año en curso, la Comisionada ponente determinó los cierres de instrucción en términos de la fracción VI del artículo 185 de la Ley de Transparencia y Acceso a la Información Pública del Estado de México y Municipios.</w:t>
      </w:r>
    </w:p>
    <w:p w:rsidR="00487DC4" w:rsidRDefault="00A074C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rsidR="00487DC4" w:rsidRDefault="00A074CF">
      <w:pPr>
        <w:numPr>
          <w:ilvl w:val="0"/>
          <w:numId w:val="5"/>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 O N S I D E R A N D O:</w:t>
      </w:r>
    </w:p>
    <w:p w:rsidR="00487DC4" w:rsidRDefault="00A074CF">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lastRenderedPageBreak/>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487DC4" w:rsidRDefault="00A074C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 los Recursos de Revisión</w:t>
      </w:r>
      <w:r>
        <w:rPr>
          <w:rFonts w:ascii="Palatino Linotype" w:eastAsia="Palatino Linotype" w:hAnsi="Palatino Linotype" w:cs="Palatino Linotype"/>
        </w:rPr>
        <w:t xml:space="preserve">. 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los presentes medios de impugnación fueron interpuestos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sus respuestas a las solicitudes planteadas por el solicitante el veintiséis y veintisiete de abril del año dos mil veintidós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recursos de revisión el dieciocho de mayo del mismo año, esto es al décimo cuarto y décimo quinto día hábil siguiente de aquel en que tuvo conocimiento de las respuestas, respectivamente</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evidenciándose que la interposición de los recursos se encuentra dentro de los márgenes temporales previstos en el citado precepto legal.</w:t>
      </w:r>
    </w:p>
    <w:p w:rsidR="00487DC4" w:rsidRDefault="00A074CF">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Al mismo tiempo, </w:t>
      </w:r>
      <w:r>
        <w:rPr>
          <w:rFonts w:ascii="Palatino Linotype" w:eastAsia="Palatino Linotype" w:hAnsi="Palatino Linotype" w:cs="Palatino Linotype"/>
        </w:rPr>
        <w:t>por cuanto hace a la procedibilidad de los recursos de revisión, es de suma importancia señalar que la parte recurrente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487DC4" w:rsidRDefault="00487DC4">
      <w:pPr>
        <w:ind w:left="567" w:right="474"/>
        <w:jc w:val="both"/>
        <w:rPr>
          <w:rFonts w:ascii="Palatino Linotype" w:eastAsia="Palatino Linotype" w:hAnsi="Palatino Linotype" w:cs="Palatino Linotype"/>
          <w:i/>
        </w:rPr>
      </w:pPr>
    </w:p>
    <w:p w:rsidR="00487DC4" w:rsidRDefault="00A074CF">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solicitante."(Sic)</w:t>
      </w:r>
    </w:p>
    <w:p w:rsidR="00487DC4" w:rsidRDefault="00487DC4">
      <w:pPr>
        <w:spacing w:line="360" w:lineRule="auto"/>
        <w:jc w:val="both"/>
        <w:rPr>
          <w:i/>
          <w:color w:val="1F1F1F"/>
          <w:sz w:val="22"/>
          <w:szCs w:val="22"/>
        </w:rPr>
      </w:pPr>
    </w:p>
    <w:p w:rsidR="00487DC4" w:rsidRDefault="00A074C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y VIII de la ley de la materia, que a la letra dice:</w:t>
      </w:r>
    </w:p>
    <w:p w:rsidR="00487DC4" w:rsidRDefault="00A074CF">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rsidR="00487DC4" w:rsidRDefault="00A074CF">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La negativa a la información solicitada</w:t>
      </w:r>
    </w:p>
    <w:p w:rsidR="00487DC4" w:rsidRDefault="00A074CF">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87DC4" w:rsidRDefault="00A074CF">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La notificación, entrega o puesta a disposición de información en una modalidad o formato distinto al solicitado;” (Sic)</w:t>
      </w:r>
    </w:p>
    <w:p w:rsidR="00487DC4" w:rsidRDefault="00A074C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Tercero. Materia de la revisión. </w:t>
      </w:r>
      <w:r>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oportuna.</w:t>
      </w:r>
    </w:p>
    <w:p w:rsidR="00487DC4" w:rsidRDefault="00A074C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Es conveniente analizar si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487DC4" w:rsidRDefault="00A074CF">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487DC4" w:rsidRDefault="00A074CF">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Pr>
          <w:rFonts w:ascii="Palatino Linotype" w:eastAsia="Palatino Linotype" w:hAnsi="Palatino Linotype" w:cs="Palatino Linotype"/>
          <w:i/>
          <w:sz w:val="22"/>
          <w:szCs w:val="22"/>
        </w:rPr>
        <w:lastRenderedPageBreak/>
        <w:t>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487DC4" w:rsidRDefault="00A074CF">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 (Sic)</w:t>
      </w:r>
    </w:p>
    <w:p w:rsidR="00487DC4" w:rsidRDefault="00487DC4">
      <w:pPr>
        <w:spacing w:line="360" w:lineRule="auto"/>
        <w:jc w:val="both"/>
        <w:rPr>
          <w:rFonts w:ascii="Palatino Linotype" w:eastAsia="Palatino Linotype" w:hAnsi="Palatino Linotype" w:cs="Palatino Linotype"/>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487DC4" w:rsidRDefault="00487DC4">
      <w:pPr>
        <w:spacing w:line="360" w:lineRule="auto"/>
        <w:jc w:val="both"/>
        <w:rPr>
          <w:rFonts w:ascii="Palatino Linotype" w:eastAsia="Palatino Linotype" w:hAnsi="Palatino Linotype" w:cs="Palatino Linotype"/>
        </w:rPr>
      </w:pPr>
    </w:p>
    <w:p w:rsidR="00487DC4" w:rsidRDefault="00A074CF">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487DC4" w:rsidRDefault="00487DC4">
      <w:pPr>
        <w:ind w:left="567" w:right="758"/>
        <w:jc w:val="both"/>
        <w:rPr>
          <w:rFonts w:ascii="Palatino Linotype" w:eastAsia="Palatino Linotype" w:hAnsi="Palatino Linotype" w:cs="Palatino Linotype"/>
          <w:i/>
          <w:sz w:val="22"/>
          <w:szCs w:val="22"/>
        </w:rPr>
      </w:pPr>
    </w:p>
    <w:p w:rsidR="00487DC4" w:rsidRDefault="00A074CF">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487DC4" w:rsidRDefault="00487DC4">
      <w:pPr>
        <w:spacing w:line="360" w:lineRule="auto"/>
        <w:ind w:right="-93"/>
        <w:jc w:val="both"/>
        <w:rPr>
          <w:rFonts w:ascii="Palatino Linotype" w:eastAsia="Palatino Linotype" w:hAnsi="Palatino Linotype" w:cs="Palatino Linotype"/>
          <w:color w:val="000000"/>
        </w:rPr>
      </w:pPr>
    </w:p>
    <w:p w:rsidR="00487DC4" w:rsidRDefault="00A074CF">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w:t>
      </w:r>
      <w:r>
        <w:rPr>
          <w:rFonts w:ascii="Palatino Linotype" w:eastAsia="Palatino Linotype" w:hAnsi="Palatino Linotype" w:cs="Palatino Linotype"/>
          <w:color w:val="000000"/>
        </w:rPr>
        <w:lastRenderedPageBreak/>
        <w:t xml:space="preserve">proporcionar la información que se les requiera sin necesidad de resumirla, efectuar procedimientos para obtenerla, calcular y practicar investigaciones; en otras palabras, que los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concretaran a proporcionar la información solicitada que tengan en su poder en el estado que se encuentran, sin necesidad de concretarse al interés o términos específicos del solicitante.</w:t>
      </w:r>
    </w:p>
    <w:p w:rsidR="00487DC4" w:rsidRDefault="00487DC4">
      <w:pPr>
        <w:spacing w:line="360" w:lineRule="auto"/>
        <w:ind w:right="-93"/>
        <w:jc w:val="both"/>
        <w:rPr>
          <w:rFonts w:ascii="Palatino Linotype" w:eastAsia="Palatino Linotype" w:hAnsi="Palatino Linotype" w:cs="Palatino Linotype"/>
          <w:color w:val="000000"/>
        </w:rPr>
      </w:pPr>
    </w:p>
    <w:p w:rsidR="00487DC4" w:rsidRDefault="00A074CF">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487DC4" w:rsidRDefault="00487DC4">
      <w:pPr>
        <w:ind w:left="851" w:right="850"/>
        <w:jc w:val="both"/>
        <w:rPr>
          <w:rFonts w:ascii="Palatino Linotype" w:eastAsia="Palatino Linotype" w:hAnsi="Palatino Linotype" w:cs="Palatino Linotype"/>
          <w:color w:val="000000"/>
        </w:rPr>
      </w:pPr>
    </w:p>
    <w:p w:rsidR="00487DC4" w:rsidRDefault="00A074CF">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87DC4" w:rsidRDefault="00A074CF">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487DC4" w:rsidRDefault="00A074CF">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487DC4" w:rsidRDefault="00A074CF">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487DC4" w:rsidRDefault="00A074CF">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487DC4" w:rsidRDefault="00487DC4">
      <w:pPr>
        <w:spacing w:line="360" w:lineRule="auto"/>
        <w:ind w:right="-93"/>
        <w:jc w:val="both"/>
        <w:rPr>
          <w:rFonts w:ascii="Palatino Linotype" w:eastAsia="Palatino Linotype" w:hAnsi="Palatino Linotype" w:cs="Palatino Linotype"/>
          <w:color w:val="000000"/>
        </w:rPr>
      </w:pPr>
    </w:p>
    <w:p w:rsidR="00487DC4" w:rsidRDefault="00A074C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487DC4" w:rsidRDefault="00487DC4">
      <w:pPr>
        <w:spacing w:line="360" w:lineRule="auto"/>
        <w:jc w:val="both"/>
        <w:rPr>
          <w:rFonts w:ascii="Palatino Linotype" w:eastAsia="Palatino Linotype" w:hAnsi="Palatino Linotype" w:cs="Palatino Linotype"/>
          <w:color w:val="000000"/>
        </w:rPr>
      </w:pPr>
    </w:p>
    <w:p w:rsidR="00487DC4" w:rsidRDefault="00A074C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487DC4" w:rsidRDefault="00487DC4">
      <w:pPr>
        <w:spacing w:line="360" w:lineRule="auto"/>
        <w:ind w:right="49"/>
        <w:jc w:val="both"/>
        <w:rPr>
          <w:rFonts w:ascii="Palatino Linotype" w:eastAsia="Palatino Linotype" w:hAnsi="Palatino Linotype" w:cs="Palatino Linotype"/>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rsidR="00487DC4" w:rsidRDefault="00487DC4">
      <w:pPr>
        <w:ind w:left="851" w:right="899"/>
        <w:jc w:val="both"/>
        <w:rPr>
          <w:rFonts w:ascii="Palatino Linotype" w:eastAsia="Palatino Linotype" w:hAnsi="Palatino Linotype" w:cs="Palatino Linotype"/>
          <w:i/>
          <w:sz w:val="22"/>
          <w:szCs w:val="22"/>
        </w:rPr>
      </w:pP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87DC4" w:rsidRDefault="00A074CF">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487DC4" w:rsidRDefault="00487DC4">
      <w:pPr>
        <w:ind w:left="851" w:right="899"/>
        <w:jc w:val="both"/>
        <w:rPr>
          <w:rFonts w:ascii="Palatino Linotype" w:eastAsia="Palatino Linotype" w:hAnsi="Palatino Linotype" w:cs="Palatino Linotype"/>
          <w:sz w:val="22"/>
          <w:szCs w:val="22"/>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487DC4" w:rsidRDefault="00487DC4">
      <w:pPr>
        <w:ind w:left="851" w:right="899"/>
        <w:jc w:val="both"/>
        <w:rPr>
          <w:rFonts w:ascii="Palatino Linotype" w:eastAsia="Palatino Linotype" w:hAnsi="Palatino Linotype" w:cs="Palatino Linotype"/>
        </w:rPr>
      </w:pPr>
    </w:p>
    <w:p w:rsidR="00487DC4" w:rsidRDefault="00A074CF">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487DC4" w:rsidRDefault="00A074CF">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rsidR="00487DC4" w:rsidRDefault="00A074CF">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487DC4" w:rsidRDefault="00487DC4">
      <w:pPr>
        <w:spacing w:line="360" w:lineRule="auto"/>
        <w:jc w:val="both"/>
        <w:rPr>
          <w:rFonts w:ascii="Palatino Linotype" w:eastAsia="Palatino Linotype" w:hAnsi="Palatino Linotype" w:cs="Palatino Linotype"/>
          <w:color w:val="000000"/>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Precisado lo precedente, del análisis de las solicitudes de información motivo de los recursos de revisión que ahora se resuelven, se advierte que el particular requirió al Sistema Municipal Para el Desarrollo Integral de la Familia de Metepec, lo siguiente:</w:t>
      </w:r>
    </w:p>
    <w:p w:rsidR="00487DC4" w:rsidRDefault="00487DC4">
      <w:pPr>
        <w:spacing w:after="240" w:line="360" w:lineRule="auto"/>
        <w:jc w:val="both"/>
        <w:rPr>
          <w:rFonts w:ascii="Palatino Linotype" w:eastAsia="Palatino Linotype" w:hAnsi="Palatino Linotype" w:cs="Palatino Linotype"/>
        </w:rPr>
      </w:pPr>
    </w:p>
    <w:p w:rsidR="00487DC4" w:rsidRDefault="00A074CF">
      <w:pPr>
        <w:numPr>
          <w:ilvl w:val="0"/>
          <w:numId w:val="3"/>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registró para el taller de codependencia llevado a cabo "todos los miércoles" así como el aviso de privacidad del registro.</w:t>
      </w:r>
    </w:p>
    <w:p w:rsidR="00487DC4" w:rsidRDefault="00A074C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registro de los asistentes a la videoconferencia "mujer de todos los tiempos”.</w:t>
      </w:r>
    </w:p>
    <w:p w:rsidR="00487DC4" w:rsidRDefault="00A074C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registro de los asistentes al foro del día internacional de la mujer, el presupuesto destinado a ese evento y las invitaciones efectuadas.</w:t>
      </w:r>
    </w:p>
    <w:p w:rsidR="00487DC4" w:rsidRDefault="00A074CF">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asistentes al cine-debate organizado por el dif el 11 de marzo a las 10am.</w:t>
      </w:r>
    </w:p>
    <w:p w:rsidR="00487DC4" w:rsidRDefault="00A074C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haciendo el cambio de modalidad a consulta directa de la información solicitada.</w:t>
      </w:r>
    </w:p>
    <w:p w:rsidR="00487DC4" w:rsidRDefault="00A074CF">
      <w:pPr>
        <w:shd w:val="clear" w:color="auto" w:fill="FFFFFF"/>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conforme el particular con las respuestas, interpone los recursos de revisión, en lo medular por la negativa de la información solicitada. </w:t>
      </w:r>
    </w:p>
    <w:p w:rsidR="00487DC4" w:rsidRDefault="00A074C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w:t>
      </w:r>
    </w:p>
    <w:p w:rsidR="00487DC4" w:rsidRDefault="00A074C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este Instituto le requiero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mediante correo electrónico precisar la cantidad de información o motivos por los cuales no era posible cargar la información al sistema SAIMEX; circunstancia,  a la cual hizo caso omiso el Sistema Municipal Para el Desarrollo Integral de la Familia de Metepec.</w:t>
      </w:r>
    </w:p>
    <w:p w:rsidR="00487DC4" w:rsidRDefault="00A074CF">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los expedientes en que se actúa, así como de la materia sobre las que versan las solicitudes de acceso a la información pública, se reitera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Estado de México y Municipios; de ahí que los motivos de inconformidad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acontecen parcialmente fundados para revocar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rsidR="00487DC4" w:rsidRDefault="00487DC4">
      <w:pPr>
        <w:spacing w:line="360" w:lineRule="auto"/>
        <w:jc w:val="both"/>
        <w:rPr>
          <w:rFonts w:ascii="Palatino Linotype" w:eastAsia="Palatino Linotype" w:hAnsi="Palatino Linotype" w:cs="Palatino Linotype"/>
        </w:rPr>
      </w:pPr>
    </w:p>
    <w:p w:rsidR="00487DC4" w:rsidRDefault="00A074C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Antes que nada, </w:t>
      </w:r>
      <w:r>
        <w:rPr>
          <w:rFonts w:ascii="Palatino Linotype" w:eastAsia="Palatino Linotype" w:hAnsi="Palatino Linotype" w:cs="Palatino Linotype"/>
          <w:color w:val="000000"/>
        </w:rPr>
        <w:t xml:space="preserve">se debe resaltar que con las manifestaciones hechas valer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las respuestas al hacer el cambio de modalidad a consulta directa, proporcionada en el SAIMEX, </w:t>
      </w:r>
      <w:r>
        <w:rPr>
          <w:rFonts w:ascii="Palatino Linotype" w:eastAsia="Palatino Linotype" w:hAnsi="Palatino Linotype" w:cs="Palatino Linotype"/>
        </w:rPr>
        <w:t xml:space="preserve">éste no niega contar con la información solicitada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sino por el contrario; en consecuencia, la competencia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conocer de la información solicitada, en el caso concreto, se obvia.</w:t>
      </w:r>
    </w:p>
    <w:p w:rsidR="00487DC4" w:rsidRDefault="00A074CF">
      <w:pPr>
        <w:spacing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rPr>
        <w:lastRenderedPageBreak/>
        <w:t xml:space="preserve">Lo anterior es así, ya que el estudio enunciado tiene por objeto determinar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genera, posee o administra la información solicitada</w:t>
      </w:r>
      <w:r>
        <w:rPr>
          <w:rFonts w:ascii="Palatino Linotype" w:eastAsia="Palatino Linotype" w:hAnsi="Palatino Linotype" w:cs="Palatino Linotype"/>
          <w:color w:val="000000"/>
        </w:rPr>
        <w:t>;</w:t>
      </w:r>
      <w:r>
        <w:rPr>
          <w:rFonts w:ascii="Palatino Linotype" w:eastAsia="Palatino Linotype" w:hAnsi="Palatino Linotype" w:cs="Palatino Linotype"/>
        </w:rPr>
        <w:t xml:space="preserve"> sin embargo, en aquellos casos en que éste la asume, ello efectivamente está en su poder; por consiguiente, sería ocioso y a nada práctico nos conduciría su estudio, ya que se insiste, la información pública solicitada fue asumida por el </w:t>
      </w:r>
      <w:r>
        <w:rPr>
          <w:rFonts w:ascii="Palatino Linotype" w:eastAsia="Palatino Linotype" w:hAnsi="Palatino Linotype" w:cs="Palatino Linotype"/>
          <w:b/>
        </w:rPr>
        <w:t>SUJETO OBLIGADO.</w:t>
      </w:r>
    </w:p>
    <w:p w:rsidR="00487DC4" w:rsidRDefault="00A074CF">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sz w:val="22"/>
          <w:szCs w:val="22"/>
          <w:u w:val="single"/>
        </w:rPr>
      </w:pPr>
      <w:r>
        <w:rPr>
          <w:rFonts w:ascii="Palatino Linotype" w:eastAsia="Palatino Linotype" w:hAnsi="Palatino Linotype" w:cs="Palatino Linotype"/>
          <w:b/>
          <w:color w:val="000000"/>
          <w:sz w:val="22"/>
          <w:szCs w:val="22"/>
          <w:u w:val="single"/>
        </w:rPr>
        <w:t>Del cambio de modalidad a consulta directa</w:t>
      </w: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si bien es cierto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sus respuestas se pronunció al respecto de las solicitudes de información, en sentido de que la información se le entregaría a través de modalidad a Consulta Directa; lo cierto es que dicho cambio de modalidad careció de los fundamentos legales y motivos señalados por los artículos 155, fracción V, 158, 160 y 164 de la Ley de Transparencia y Acceso a la Información Pública del Estado de México y Municipios, los cuales establecen lo siguiente: </w:t>
      </w:r>
    </w:p>
    <w:p w:rsidR="00487DC4" w:rsidRDefault="00487DC4">
      <w:pPr>
        <w:ind w:left="851" w:right="851"/>
        <w:jc w:val="both"/>
        <w:rPr>
          <w:rFonts w:ascii="Palatino Linotype" w:eastAsia="Palatino Linotype" w:hAnsi="Palatino Linotype" w:cs="Palatino Linotype"/>
          <w:i/>
          <w:sz w:val="22"/>
          <w:szCs w:val="22"/>
        </w:rPr>
      </w:pPr>
    </w:p>
    <w:p w:rsidR="00487DC4" w:rsidRDefault="00A074C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155. </w:t>
      </w:r>
      <w:r>
        <w:rPr>
          <w:rFonts w:ascii="Palatino Linotype" w:eastAsia="Palatino Linotype" w:hAnsi="Palatino Linotype" w:cs="Palatino Linotype"/>
          <w:b/>
          <w:i/>
          <w:sz w:val="22"/>
          <w:szCs w:val="22"/>
          <w:u w:val="single"/>
        </w:rPr>
        <w:t>Para presentar una solicitud por escrito, no se podrán exigir mayores requisitos que los siguientes</w:t>
      </w:r>
      <w:r>
        <w:rPr>
          <w:rFonts w:ascii="Palatino Linotype" w:eastAsia="Palatino Linotype" w:hAnsi="Palatino Linotype" w:cs="Palatino Linotype"/>
          <w:i/>
          <w:sz w:val="22"/>
          <w:szCs w:val="22"/>
        </w:rPr>
        <w:t xml:space="preserve">: </w:t>
      </w:r>
    </w:p>
    <w:p w:rsidR="00487DC4" w:rsidRDefault="00A074C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87DC4" w:rsidRDefault="00A074C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b/>
          <w:i/>
          <w:sz w:val="22"/>
          <w:szCs w:val="22"/>
          <w:u w:val="single"/>
        </w:rPr>
        <w:t>La modalidad en la que prefiere se otorgue el acceso a la información, la cual podrá ser</w:t>
      </w:r>
      <w:r>
        <w:rPr>
          <w:rFonts w:ascii="Palatino Linotype" w:eastAsia="Palatino Linotype" w:hAnsi="Palatino Linotype" w:cs="Palatino Linotype"/>
          <w:i/>
          <w:sz w:val="22"/>
          <w:szCs w:val="22"/>
        </w:rPr>
        <w:t xml:space="preserve"> verbal, siempre y cuando sea para fines de orientación, </w:t>
      </w:r>
      <w:r>
        <w:rPr>
          <w:rFonts w:ascii="Palatino Linotype" w:eastAsia="Palatino Linotype" w:hAnsi="Palatino Linotype" w:cs="Palatino Linotype"/>
          <w:b/>
          <w:i/>
          <w:sz w:val="22"/>
          <w:szCs w:val="22"/>
          <w:u w:val="single"/>
        </w:rPr>
        <w:t>mediante consulta directa</w:t>
      </w:r>
      <w:r>
        <w:rPr>
          <w:rFonts w:ascii="Palatino Linotype" w:eastAsia="Palatino Linotype" w:hAnsi="Palatino Linotype" w:cs="Palatino Linotype"/>
          <w:i/>
          <w:sz w:val="22"/>
          <w:szCs w:val="22"/>
        </w:rPr>
        <w:t xml:space="preserve">, mediante la expedición de copias simples o certificadas o la reproducción en cualquier otro medio, incluidos los electrónicos. </w:t>
      </w:r>
    </w:p>
    <w:p w:rsidR="00487DC4" w:rsidRDefault="00A074CF">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487DC4" w:rsidRDefault="00487DC4">
      <w:pPr>
        <w:ind w:left="851" w:right="851"/>
        <w:jc w:val="both"/>
        <w:rPr>
          <w:rFonts w:ascii="Palatino Linotype" w:eastAsia="Palatino Linotype" w:hAnsi="Palatino Linotype" w:cs="Palatino Linotype"/>
          <w:b/>
          <w:i/>
          <w:sz w:val="22"/>
          <w:szCs w:val="22"/>
        </w:rPr>
      </w:pPr>
    </w:p>
    <w:p w:rsidR="00487DC4" w:rsidRDefault="00A074C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158. </w:t>
      </w:r>
      <w:r>
        <w:rPr>
          <w:rFonts w:ascii="Palatino Linotype" w:eastAsia="Palatino Linotype" w:hAnsi="Palatino Linotype" w:cs="Palatino Linotype"/>
          <w:i/>
          <w:sz w:val="22"/>
          <w:szCs w:val="22"/>
        </w:rPr>
        <w:t xml:space="preserve">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w:t>
      </w:r>
      <w:r>
        <w:rPr>
          <w:rFonts w:ascii="Palatino Linotype" w:eastAsia="Palatino Linotype" w:hAnsi="Palatino Linotype" w:cs="Palatino Linotype"/>
          <w:i/>
          <w:sz w:val="22"/>
          <w:szCs w:val="22"/>
        </w:rPr>
        <w:lastRenderedPageBreak/>
        <w:t>administrativas y humanas del sujeto obligado para cumplir con la solicitud, en los plazos establecidos para dichos efectos, se podrá poner a disposición del solicitante los documentos en consulta directa, salvo la información clasificada.</w:t>
      </w:r>
    </w:p>
    <w:p w:rsidR="00487DC4" w:rsidRDefault="00A074C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todo caso, se facilitará su copia simple o certificada, así como su reproducción por cualquier medio disponible en las instalaciones del sujeto obligado o que, en su caso, aporte el solicitante.”</w:t>
      </w:r>
    </w:p>
    <w:p w:rsidR="00487DC4" w:rsidRDefault="00487DC4">
      <w:pPr>
        <w:ind w:left="851" w:right="851"/>
        <w:jc w:val="both"/>
        <w:rPr>
          <w:rFonts w:ascii="Palatino Linotype" w:eastAsia="Palatino Linotype" w:hAnsi="Palatino Linotype" w:cs="Palatino Linotype"/>
          <w:b/>
          <w:i/>
          <w:sz w:val="22"/>
          <w:szCs w:val="22"/>
        </w:rPr>
      </w:pPr>
    </w:p>
    <w:p w:rsidR="00487DC4" w:rsidRDefault="00A074C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160.</w:t>
      </w:r>
      <w:r>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487DC4" w:rsidRDefault="00A074C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rsidR="00487DC4" w:rsidRDefault="00487DC4">
      <w:pPr>
        <w:ind w:left="851" w:right="851"/>
        <w:jc w:val="both"/>
        <w:rPr>
          <w:rFonts w:ascii="Palatino Linotype" w:eastAsia="Palatino Linotype" w:hAnsi="Palatino Linotype" w:cs="Palatino Linotype"/>
          <w:i/>
          <w:sz w:val="22"/>
          <w:szCs w:val="22"/>
        </w:rPr>
      </w:pPr>
    </w:p>
    <w:p w:rsidR="00487DC4" w:rsidRDefault="00A074C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164. </w:t>
      </w:r>
      <w:r>
        <w:rPr>
          <w:rFonts w:ascii="Palatino Linotype" w:eastAsia="Palatino Linotype" w:hAnsi="Palatino Linotype" w:cs="Palatino Linotype"/>
          <w:b/>
          <w:i/>
          <w:sz w:val="22"/>
          <w:szCs w:val="22"/>
          <w:u w:val="single"/>
        </w:rPr>
        <w:t>El acceso se dará en la modalidad de entrega</w:t>
      </w:r>
      <w:r>
        <w:rPr>
          <w:rFonts w:ascii="Palatino Linotype" w:eastAsia="Palatino Linotype" w:hAnsi="Palatino Linotype" w:cs="Palatino Linotype"/>
          <w:i/>
          <w:sz w:val="22"/>
          <w:szCs w:val="22"/>
        </w:rPr>
        <w:t xml:space="preserve"> y, en su caso, de envío </w:t>
      </w:r>
      <w:r>
        <w:rPr>
          <w:rFonts w:ascii="Palatino Linotype" w:eastAsia="Palatino Linotype" w:hAnsi="Palatino Linotype" w:cs="Palatino Linotype"/>
          <w:b/>
          <w:i/>
          <w:sz w:val="22"/>
          <w:szCs w:val="22"/>
          <w:u w:val="single"/>
        </w:rPr>
        <w:t>elegidos por el solicitante</w:t>
      </w:r>
      <w:r>
        <w:rPr>
          <w:rFonts w:ascii="Palatino Linotype" w:eastAsia="Palatino Linotype" w:hAnsi="Palatino Linotype" w:cs="Palatino Linotype"/>
          <w:i/>
          <w:sz w:val="22"/>
          <w:szCs w:val="22"/>
        </w:rPr>
        <w:t xml:space="preserve">. Cuando la información no pueda entregarse o enviarse en la modalidad solicitada, el sujeto obligado deberá ofrecer otra u otras modalidades de entrega. </w:t>
      </w:r>
    </w:p>
    <w:p w:rsidR="00487DC4" w:rsidRDefault="00487DC4">
      <w:pPr>
        <w:ind w:left="851" w:right="851"/>
        <w:jc w:val="both"/>
        <w:rPr>
          <w:rFonts w:ascii="Palatino Linotype" w:eastAsia="Palatino Linotype" w:hAnsi="Palatino Linotype" w:cs="Palatino Linotype"/>
          <w:i/>
          <w:sz w:val="16"/>
          <w:szCs w:val="16"/>
        </w:rPr>
      </w:pPr>
    </w:p>
    <w:p w:rsidR="00487DC4" w:rsidRDefault="00A074C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cualquier caso, se deberá fundar y motivar la necesidad de ofrecer otras modalidades.” (Sic)</w:t>
      </w:r>
    </w:p>
    <w:p w:rsidR="00487DC4" w:rsidRDefault="00A074C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preceptos citados se desprende que, al presentar una solicitud de información, el peticionario debe señalar la modalidad en la que prefiere se otorgue el acceso a la información, la cual podrá ser verbal, consulta directa, mediante la expedición de copias simples o certificadas o la reproducción en cualquier otro medio, incluidos los electrónicos.</w:t>
      </w:r>
    </w:p>
    <w:p w:rsidR="00487DC4" w:rsidRDefault="00A074C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sujetos obligados deberán otorgar acceso a los documentos que se encuentren en sus archivos o que estén obligados a documentar de acuerdo con sus facultades, competencias o funciones en el formato en que el solicitante manifieste, conforme a </w:t>
      </w:r>
      <w:r>
        <w:rPr>
          <w:rFonts w:ascii="Palatino Linotype" w:eastAsia="Palatino Linotype" w:hAnsi="Palatino Linotype" w:cs="Palatino Linotype"/>
        </w:rPr>
        <w:lastRenderedPageBreak/>
        <w:t>las características físicas de la información o del lugar donde se encuentre así lo permita</w:t>
      </w:r>
      <w:r>
        <w:t>.</w:t>
      </w:r>
    </w:p>
    <w:p w:rsidR="00487DC4" w:rsidRDefault="00A074C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igual manera, de forma fundada y motivada, cuando así lo determine el </w:t>
      </w:r>
      <w:r>
        <w:rPr>
          <w:rFonts w:ascii="Palatino Linotype" w:eastAsia="Palatino Linotype" w:hAnsi="Palatino Linotype" w:cs="Palatino Linotype"/>
          <w:b/>
        </w:rPr>
        <w:t>SUJETO OBLIGADO</w:t>
      </w:r>
      <w:r>
        <w:rPr>
          <w:rFonts w:ascii="Palatino Linotype" w:eastAsia="Palatino Linotype" w:hAnsi="Palatino Linotype" w:cs="Palatino Linotype"/>
        </w:rPr>
        <w:t>, en aquellos casos en que la información solicitada que ya se encuentre en su posesión implique análisis, estudio o procesamiento de documentos cuya entrega o reproducción sobrepase las capacidades técnicas del sujeto obligado para cumplir con lo requerido, se podrán poner a disposición del solicitante los documentos en consulta directa, salvo la información clasificada o, en todo caso, se facilitará su copia simple o certificada, así como su reproducción por cualquier medio disponible en las instalaciones del sujeto obligado o que, en su caso, aporte el solicitante.</w:t>
      </w:r>
    </w:p>
    <w:p w:rsidR="00487DC4" w:rsidRDefault="00A074C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cuando la información no pueda ser entregada en la modalidad elegida, de manera excepcional,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ofrecer todas las demás modalidades de entrega disponibles, debiendo fundar y motivar la necesidad de modificar la misma.</w:t>
      </w:r>
    </w:p>
    <w:p w:rsidR="00487DC4" w:rsidRDefault="00A074CF">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Siendo las cosas así, cabe invocar el contenido del Capítulo X de Lineamientos Generales en Materia de Clasificación y Desclasificación de la Información, así como para la Elaboración de Versiones Públicas, respecto a la consulta directa, que reza así:</w:t>
      </w:r>
    </w:p>
    <w:p w:rsidR="00487DC4" w:rsidRDefault="00A074CF">
      <w:pPr>
        <w:spacing w:before="120" w:after="120"/>
        <w:ind w:left="851"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rPr>
        <w:t xml:space="preserve">CAPÍTULO X </w:t>
      </w:r>
    </w:p>
    <w:p w:rsidR="00487DC4" w:rsidRDefault="00A074CF">
      <w:pPr>
        <w:spacing w:before="120" w:after="120"/>
        <w:ind w:left="851"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DE LA CONSULTA DIRECTA </w:t>
      </w:r>
    </w:p>
    <w:p w:rsidR="00487DC4" w:rsidRDefault="00A074CF">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lastRenderedPageBreak/>
        <w:t>Sexagésimo séptimo</w:t>
      </w:r>
      <w:r>
        <w:rPr>
          <w:rFonts w:ascii="Palatino Linotype" w:eastAsia="Palatino Linotype" w:hAnsi="Palatino Linotype" w:cs="Palatino Linotype"/>
          <w:i/>
          <w:sz w:val="20"/>
          <w:szCs w:val="2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Pr>
          <w:rFonts w:ascii="Palatino Linotype" w:eastAsia="Palatino Linotype" w:hAnsi="Palatino Linotype" w:cs="Palatino Linotype"/>
          <w:b/>
          <w:i/>
          <w:sz w:val="20"/>
          <w:szCs w:val="20"/>
        </w:rPr>
        <w:t>deberá emitir la resolución en la que funde y motive la clasificación</w:t>
      </w:r>
      <w:r>
        <w:rPr>
          <w:rFonts w:ascii="Palatino Linotype" w:eastAsia="Palatino Linotype" w:hAnsi="Palatino Linotype" w:cs="Palatino Linotype"/>
          <w:i/>
          <w:sz w:val="20"/>
          <w:szCs w:val="20"/>
        </w:rPr>
        <w:t xml:space="preserve"> de las partes o secciones que no podrán dejarse a la vista del solicitante. </w:t>
      </w:r>
    </w:p>
    <w:p w:rsidR="00487DC4" w:rsidRDefault="00A074CF">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Sexagésimo octavo</w:t>
      </w:r>
      <w:r>
        <w:rPr>
          <w:rFonts w:ascii="Palatino Linotype" w:eastAsia="Palatino Linotype" w:hAnsi="Palatino Linotype" w:cs="Palatino Linotype"/>
          <w:i/>
          <w:sz w:val="20"/>
          <w:szCs w:val="20"/>
        </w:rPr>
        <w:t xml:space="preserve">. En la </w:t>
      </w:r>
      <w:r>
        <w:rPr>
          <w:rFonts w:ascii="Palatino Linotype" w:eastAsia="Palatino Linotype" w:hAnsi="Palatino Linotype" w:cs="Palatino Linotype"/>
          <w:b/>
          <w:i/>
          <w:sz w:val="20"/>
          <w:szCs w:val="20"/>
        </w:rPr>
        <w:t>resolución del Comité de Transparencia</w:t>
      </w:r>
      <w:r>
        <w:rPr>
          <w:rFonts w:ascii="Palatino Linotype" w:eastAsia="Palatino Linotype" w:hAnsi="Palatino Linotype" w:cs="Palatino Linotype"/>
          <w:i/>
          <w:sz w:val="20"/>
          <w:szCs w:val="2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rsidR="00487DC4" w:rsidRDefault="00A074CF">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Sexagésimo noveno</w:t>
      </w:r>
      <w:r>
        <w:rPr>
          <w:rFonts w:ascii="Palatino Linotype" w:eastAsia="Palatino Linotype" w:hAnsi="Palatino Linotype" w:cs="Palatino Linotype"/>
          <w:i/>
          <w:sz w:val="20"/>
          <w:szCs w:val="2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rsidR="00487DC4" w:rsidRDefault="00A074CF">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Septuagésimo</w:t>
      </w:r>
      <w:r>
        <w:rPr>
          <w:rFonts w:ascii="Palatino Linotype" w:eastAsia="Palatino Linotype" w:hAnsi="Palatino Linotype" w:cs="Palatino Linotype"/>
          <w:i/>
          <w:sz w:val="20"/>
          <w:szCs w:val="20"/>
        </w:rPr>
        <w:t xml:space="preserve">. Para el desahogo de las actuaciones tendientes a permitir la consulta directa, en los casos en que ésta resulte procedente, los sujetos obligados deberán observar lo siguiente: </w:t>
      </w:r>
    </w:p>
    <w:p w:rsidR="00487DC4" w:rsidRDefault="00A074CF">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w:t>
      </w:r>
      <w:r>
        <w:rPr>
          <w:rFonts w:ascii="Palatino Linotype" w:eastAsia="Palatino Linotype" w:hAnsi="Palatino Linotype" w:cs="Palatino Linotype"/>
          <w:i/>
          <w:sz w:val="20"/>
          <w:szCs w:val="2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487DC4" w:rsidRDefault="00A074CF">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II.</w:t>
      </w:r>
      <w:r>
        <w:rPr>
          <w:rFonts w:ascii="Palatino Linotype" w:eastAsia="Palatino Linotype" w:hAnsi="Palatino Linotype" w:cs="Palatino Linotype"/>
          <w:i/>
          <w:sz w:val="20"/>
          <w:szCs w:val="20"/>
        </w:rPr>
        <w:t xml:space="preserve"> En su caso, la procedencia de los ajustes razonables solicitados y/o la procedencia de acceso en la lengua indígena requerida; </w:t>
      </w:r>
    </w:p>
    <w:p w:rsidR="00487DC4" w:rsidRDefault="00A074CF">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III.</w:t>
      </w:r>
      <w:r>
        <w:rPr>
          <w:rFonts w:ascii="Palatino Linotype" w:eastAsia="Palatino Linotype" w:hAnsi="Palatino Linotype" w:cs="Palatino Linotype"/>
          <w:i/>
          <w:sz w:val="20"/>
          <w:szCs w:val="2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rsidR="00487DC4" w:rsidRDefault="00A074CF">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IV.</w:t>
      </w:r>
      <w:r>
        <w:rPr>
          <w:rFonts w:ascii="Palatino Linotype" w:eastAsia="Palatino Linotype" w:hAnsi="Palatino Linotype" w:cs="Palatino Linotype"/>
          <w:i/>
          <w:sz w:val="20"/>
          <w:szCs w:val="20"/>
        </w:rPr>
        <w:t xml:space="preserve"> Proporcionar al solicitante las facilidades y asistencia requerida para la consulta de los documentos;</w:t>
      </w:r>
    </w:p>
    <w:p w:rsidR="00487DC4" w:rsidRDefault="00A074CF">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w:t>
      </w:r>
      <w:r>
        <w:rPr>
          <w:rFonts w:ascii="Palatino Linotype" w:eastAsia="Palatino Linotype" w:hAnsi="Palatino Linotype" w:cs="Palatino Linotype"/>
          <w:i/>
          <w:sz w:val="20"/>
          <w:szCs w:val="20"/>
        </w:rPr>
        <w:t xml:space="preserve"> Abstenerse de requerir al solicitante que acredite interés alguno; </w:t>
      </w:r>
    </w:p>
    <w:p w:rsidR="00487DC4" w:rsidRDefault="00A074CF">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lastRenderedPageBreak/>
        <w:t>VI.</w:t>
      </w:r>
      <w:r>
        <w:rPr>
          <w:rFonts w:ascii="Palatino Linotype" w:eastAsia="Palatino Linotype" w:hAnsi="Palatino Linotype" w:cs="Palatino Linotype"/>
          <w:i/>
          <w:sz w:val="20"/>
          <w:szCs w:val="20"/>
        </w:rPr>
        <w:t xml:space="preserve"> Adoptar las medidas técnicas, físicas, administrativas y demás que resulten necesarias para garantizar la integridad de la información a consultar, de conformidad con las características específicas del documento solicitado, tales como: </w:t>
      </w:r>
    </w:p>
    <w:p w:rsidR="00487DC4" w:rsidRDefault="00A074CF">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w:t>
      </w:r>
      <w:r>
        <w:rPr>
          <w:rFonts w:ascii="Palatino Linotype" w:eastAsia="Palatino Linotype" w:hAnsi="Palatino Linotype" w:cs="Palatino Linotype"/>
          <w:i/>
          <w:sz w:val="20"/>
          <w:szCs w:val="20"/>
        </w:rPr>
        <w:t xml:space="preserve"> Contar con instalaciones y mobiliario adecuado para asegurar tanto la integridad del documento consultado, como para proporcionar al solicitante las mejores condiciones para poder llevar a cabo la consulta directa; </w:t>
      </w:r>
    </w:p>
    <w:p w:rsidR="00487DC4" w:rsidRDefault="00A074CF">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b)</w:t>
      </w:r>
      <w:r>
        <w:rPr>
          <w:rFonts w:ascii="Palatino Linotype" w:eastAsia="Palatino Linotype" w:hAnsi="Palatino Linotype" w:cs="Palatino Linotype"/>
          <w:i/>
          <w:sz w:val="20"/>
          <w:szCs w:val="20"/>
        </w:rPr>
        <w:t xml:space="preserve"> Equipo y personal de vigilancia;</w:t>
      </w:r>
    </w:p>
    <w:p w:rsidR="00487DC4" w:rsidRDefault="00A074CF">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c)</w:t>
      </w:r>
      <w:r>
        <w:rPr>
          <w:rFonts w:ascii="Palatino Linotype" w:eastAsia="Palatino Linotype" w:hAnsi="Palatino Linotype" w:cs="Palatino Linotype"/>
          <w:i/>
          <w:sz w:val="20"/>
          <w:szCs w:val="20"/>
        </w:rPr>
        <w:t xml:space="preserve"> Plan de acción contra robo o vandalismo; </w:t>
      </w:r>
    </w:p>
    <w:p w:rsidR="00487DC4" w:rsidRDefault="00A074CF">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d)</w:t>
      </w:r>
      <w:r>
        <w:rPr>
          <w:rFonts w:ascii="Palatino Linotype" w:eastAsia="Palatino Linotype" w:hAnsi="Palatino Linotype" w:cs="Palatino Linotype"/>
          <w:i/>
          <w:sz w:val="20"/>
          <w:szCs w:val="20"/>
        </w:rPr>
        <w:t xml:space="preserve"> Extintores de fuego de gas inocuo; </w:t>
      </w:r>
    </w:p>
    <w:p w:rsidR="00487DC4" w:rsidRDefault="00A074CF">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e)</w:t>
      </w:r>
      <w:r>
        <w:rPr>
          <w:rFonts w:ascii="Palatino Linotype" w:eastAsia="Palatino Linotype" w:hAnsi="Palatino Linotype" w:cs="Palatino Linotype"/>
          <w:i/>
          <w:sz w:val="20"/>
          <w:szCs w:val="20"/>
        </w:rPr>
        <w:t xml:space="preserve"> Registro e identificación del personal autorizado para el tratamiento de los documentos o expedientes a revisar;</w:t>
      </w:r>
    </w:p>
    <w:p w:rsidR="00487DC4" w:rsidRDefault="00A074CF">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f)</w:t>
      </w:r>
      <w:r>
        <w:rPr>
          <w:rFonts w:ascii="Palatino Linotype" w:eastAsia="Palatino Linotype" w:hAnsi="Palatino Linotype" w:cs="Palatino Linotype"/>
          <w:i/>
          <w:sz w:val="20"/>
          <w:szCs w:val="20"/>
        </w:rPr>
        <w:t xml:space="preserve"> Registro e identificación de los particulares autorizados para llevar a cabo la consulta directa, y </w:t>
      </w:r>
    </w:p>
    <w:p w:rsidR="00487DC4" w:rsidRDefault="00A074CF">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g)</w:t>
      </w:r>
      <w:r>
        <w:rPr>
          <w:rFonts w:ascii="Palatino Linotype" w:eastAsia="Palatino Linotype" w:hAnsi="Palatino Linotype" w:cs="Palatino Linotype"/>
          <w:i/>
          <w:sz w:val="20"/>
          <w:szCs w:val="20"/>
        </w:rPr>
        <w:t xml:space="preserve"> Las demás que, a criterio de los sujetos obligados, resulten necesarias. </w:t>
      </w:r>
    </w:p>
    <w:p w:rsidR="00487DC4" w:rsidRDefault="00A074CF">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VII.</w:t>
      </w:r>
      <w:r>
        <w:rPr>
          <w:rFonts w:ascii="Palatino Linotype" w:eastAsia="Palatino Linotype" w:hAnsi="Palatino Linotype" w:cs="Palatino Linotype"/>
          <w:i/>
          <w:sz w:val="20"/>
          <w:szCs w:val="20"/>
        </w:rPr>
        <w:t xml:space="preserve"> Hacer del conocimiento del solicitante, previo al acceso a la información, las reglas a que se sujetará la consulta para garantizar la integridad de los documentos, y</w:t>
      </w:r>
    </w:p>
    <w:p w:rsidR="00487DC4" w:rsidRDefault="00A074CF">
      <w:pPr>
        <w:spacing w:before="120" w:after="12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VIII.</w:t>
      </w:r>
      <w:r>
        <w:rPr>
          <w:rFonts w:ascii="Palatino Linotype" w:eastAsia="Palatino Linotype" w:hAnsi="Palatino Linotype" w:cs="Palatino Linotype"/>
          <w:i/>
          <w:sz w:val="20"/>
          <w:szCs w:val="20"/>
        </w:rPr>
        <w:t xml:space="preserve"> Para el caso de documentos que contengan partes o secciones clasificadas como reservadas o confidenciales, el sujeto obligado deberá hacer del conocimiento del solicitante, </w:t>
      </w:r>
      <w:r>
        <w:rPr>
          <w:rFonts w:ascii="Palatino Linotype" w:eastAsia="Palatino Linotype" w:hAnsi="Palatino Linotype" w:cs="Palatino Linotype"/>
          <w:b/>
          <w:i/>
          <w:sz w:val="20"/>
          <w:szCs w:val="20"/>
        </w:rPr>
        <w:t xml:space="preserve">previo al acceso a la información, la resolución debidamente fundada y motivada del Comité de Transparencia, en la que se clasificaron las partes o secciones que no podrán dejarse a la vista del solicitante. </w:t>
      </w:r>
    </w:p>
    <w:p w:rsidR="00487DC4" w:rsidRDefault="00A074CF">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Septuagésimo primero. </w:t>
      </w:r>
      <w:r>
        <w:rPr>
          <w:rFonts w:ascii="Palatino Linotype" w:eastAsia="Palatino Linotype" w:hAnsi="Palatino Linotype" w:cs="Palatino Linotype"/>
          <w:i/>
          <w:sz w:val="20"/>
          <w:szCs w:val="20"/>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487DC4" w:rsidRDefault="00A074CF">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El solicitante deberá observar en todo momento las reglas que el sujeto obligado haya hecho de su conocimiento para efectos de la conservación de los documentos. </w:t>
      </w:r>
    </w:p>
    <w:p w:rsidR="00487DC4" w:rsidRDefault="00A074CF">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Septuagésimo segundo.</w:t>
      </w:r>
      <w:r>
        <w:rPr>
          <w:rFonts w:ascii="Palatino Linotype" w:eastAsia="Palatino Linotype" w:hAnsi="Palatino Linotype" w:cs="Palatino Linotype"/>
          <w:i/>
          <w:sz w:val="20"/>
          <w:szCs w:val="20"/>
        </w:rPr>
        <w:t xml:space="preserve"> El solicitante deberá realizar la consulta de los documentos requeridos en el lugar, horarios y con la persona destinada para tal efecto. </w:t>
      </w:r>
    </w:p>
    <w:p w:rsidR="00487DC4" w:rsidRDefault="00A074CF">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487DC4" w:rsidRDefault="00A074CF">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lastRenderedPageBreak/>
        <w:t>Septuagésimo tercero</w:t>
      </w:r>
      <w:r>
        <w:rPr>
          <w:rFonts w:ascii="Palatino Linotype" w:eastAsia="Palatino Linotype" w:hAnsi="Palatino Linotype" w:cs="Palatino Linotype"/>
          <w:i/>
          <w:sz w:val="20"/>
          <w:szCs w:val="2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487DC4" w:rsidRDefault="00A074CF">
      <w:pPr>
        <w:spacing w:before="120" w:after="120"/>
        <w:ind w:left="851" w:right="902"/>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rPr>
        <w:t xml:space="preserve">La información deberá ser entregada sin costo, cuando implique la entrega de no más de veinte hojas simples.”(Sic) </w:t>
      </w:r>
    </w:p>
    <w:p w:rsidR="00487DC4" w:rsidRDefault="00487DC4">
      <w:pPr>
        <w:spacing w:line="360" w:lineRule="auto"/>
        <w:ind w:right="51"/>
        <w:jc w:val="both"/>
        <w:rPr>
          <w:rFonts w:ascii="Palatino Linotype" w:eastAsia="Palatino Linotype" w:hAnsi="Palatino Linotype" w:cs="Palatino Linotype"/>
        </w:rPr>
      </w:pPr>
    </w:p>
    <w:p w:rsidR="00487DC4" w:rsidRDefault="00A074CF">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justificó el impedimento para remitir la información solicitada vía SAIMEX, siendo aplicable por analogía el criterio de interpretación 08/17, emitido por el Instituto Nacional de Transparencia, Acceso a la Información y Protección de Datos Personales, INAI, que es del tenor literal siguiente:</w:t>
      </w:r>
    </w:p>
    <w:p w:rsidR="00487DC4" w:rsidRDefault="00487DC4">
      <w:pPr>
        <w:spacing w:line="360" w:lineRule="auto"/>
        <w:ind w:right="51"/>
        <w:jc w:val="both"/>
        <w:rPr>
          <w:rFonts w:ascii="Palatino Linotype" w:eastAsia="Palatino Linotype" w:hAnsi="Palatino Linotype" w:cs="Palatino Linotype"/>
        </w:rPr>
      </w:pPr>
    </w:p>
    <w:p w:rsidR="00487DC4" w:rsidRDefault="00A074CF">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Pr>
          <w:rFonts w:ascii="Palatino Linotype" w:eastAsia="Palatino Linotype" w:hAnsi="Palatino Linotype" w:cs="Palatino Linotype"/>
          <w:b/>
          <w:i/>
          <w:sz w:val="22"/>
          <w:szCs w:val="22"/>
        </w:rPr>
        <w:t xml:space="preserve">a) justifique el impedimento para atender la misma </w:t>
      </w:r>
      <w:r>
        <w:rPr>
          <w:rFonts w:ascii="Palatino Linotype" w:eastAsia="Palatino Linotype" w:hAnsi="Palatino Linotype" w:cs="Palatino Linotype"/>
          <w:i/>
          <w:sz w:val="22"/>
          <w:szCs w:val="22"/>
        </w:rPr>
        <w:t xml:space="preserve">y </w:t>
      </w:r>
      <w:r>
        <w:rPr>
          <w:rFonts w:ascii="Palatino Linotype" w:eastAsia="Palatino Linotype" w:hAnsi="Palatino Linotype" w:cs="Palatino Linotype"/>
          <w:b/>
          <w:i/>
          <w:sz w:val="22"/>
          <w:szCs w:val="22"/>
        </w:rPr>
        <w:t>b) se notifique al particular la disposición de la información en todas las modalidades que permita el documento de que se trate</w:t>
      </w:r>
      <w:r>
        <w:rPr>
          <w:rFonts w:ascii="Palatino Linotype" w:eastAsia="Palatino Linotype" w:hAnsi="Palatino Linotype" w:cs="Palatino Linotype"/>
          <w:i/>
          <w:sz w:val="22"/>
          <w:szCs w:val="22"/>
        </w:rPr>
        <w:t>, procurando reducir, en todo momento, los costos de entrega.”</w:t>
      </w:r>
    </w:p>
    <w:p w:rsidR="00487DC4" w:rsidRDefault="00487DC4">
      <w:pPr>
        <w:spacing w:before="120" w:line="360" w:lineRule="auto"/>
        <w:jc w:val="both"/>
        <w:rPr>
          <w:rFonts w:ascii="Palatino Linotype" w:eastAsia="Palatino Linotype" w:hAnsi="Palatino Linotype" w:cs="Palatino Linotype"/>
          <w:b/>
        </w:rPr>
      </w:pPr>
    </w:p>
    <w:p w:rsidR="00487DC4" w:rsidRDefault="00A074C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w:t>
      </w:r>
      <w:r>
        <w:rPr>
          <w:rFonts w:ascii="Palatino Linotype" w:eastAsia="Palatino Linotype" w:hAnsi="Palatino Linotype" w:cs="Palatino Linotype"/>
          <w:color w:val="000000"/>
        </w:rPr>
        <w:lastRenderedPageBreak/>
        <w:t>jurisprudencia en relación a qué debe entenderse por fundamentación y motivación, en los siguientes términos:</w:t>
      </w:r>
    </w:p>
    <w:p w:rsidR="00487DC4" w:rsidRDefault="00487DC4">
      <w:pPr>
        <w:jc w:val="both"/>
        <w:rPr>
          <w:rFonts w:ascii="Palatino Linotype" w:eastAsia="Palatino Linotype" w:hAnsi="Palatino Linotype" w:cs="Palatino Linotype"/>
          <w:color w:val="000000"/>
        </w:rPr>
      </w:pPr>
    </w:p>
    <w:p w:rsidR="00487DC4" w:rsidRDefault="00A074CF">
      <w:pPr>
        <w:ind w:left="851" w:right="141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FUNDAMENTACIÓN Y MOTIVACIÓN. </w:t>
      </w:r>
      <w:r>
        <w:rPr>
          <w:rFonts w:ascii="Palatino Linotype" w:eastAsia="Palatino Linotype" w:hAnsi="Palatino Linotype" w:cs="Palatino Linotype"/>
          <w:i/>
          <w:color w:val="000000"/>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487DC4" w:rsidRDefault="00487DC4">
      <w:pPr>
        <w:ind w:left="851" w:right="902"/>
        <w:jc w:val="both"/>
        <w:rPr>
          <w:rFonts w:ascii="Palatino Linotype" w:eastAsia="Palatino Linotype" w:hAnsi="Palatino Linotype" w:cs="Palatino Linotype"/>
          <w:i/>
          <w:color w:val="000000"/>
          <w:sz w:val="22"/>
          <w:szCs w:val="22"/>
        </w:rPr>
      </w:pPr>
    </w:p>
    <w:p w:rsidR="00487DC4" w:rsidRDefault="00A074C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487DC4" w:rsidRDefault="00487DC4">
      <w:pPr>
        <w:spacing w:line="360" w:lineRule="auto"/>
        <w:jc w:val="both"/>
        <w:rPr>
          <w:rFonts w:ascii="Palatino Linotype" w:eastAsia="Palatino Linotype" w:hAnsi="Palatino Linotype" w:cs="Palatino Linotype"/>
          <w:color w:val="000000"/>
        </w:rPr>
      </w:pPr>
    </w:p>
    <w:p w:rsidR="00487DC4" w:rsidRDefault="00A074C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rsidR="00487DC4" w:rsidRDefault="00487DC4">
      <w:pPr>
        <w:jc w:val="both"/>
        <w:rPr>
          <w:rFonts w:ascii="Palatino Linotype" w:eastAsia="Palatino Linotype" w:hAnsi="Palatino Linotype" w:cs="Palatino Linotype"/>
          <w:color w:val="000000"/>
        </w:rPr>
      </w:pPr>
    </w:p>
    <w:p w:rsidR="00487DC4" w:rsidRDefault="00A074CF">
      <w:pPr>
        <w:ind w:left="851" w:right="141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“FUNDAMENTACIÓN Y MOTIVACIÓN. EL ASPECTO FORMAL DE LA GARANTÍA Y SU FINALIDAD SE TRADUCEN EN EXPLICAR, JUSTIFICAR, POSIBILITAR LA DEFENSA Y COMUNICAR LA DECISIÓN</w:t>
      </w:r>
      <w:r>
        <w:rPr>
          <w:rFonts w:ascii="Palatino Linotype" w:eastAsia="Palatino Linotype" w:hAnsi="Palatino Linotype" w:cs="Palatino Linotype"/>
          <w:i/>
          <w:color w:val="000000"/>
          <w:sz w:val="22"/>
          <w:szCs w:val="22"/>
        </w:rPr>
        <w:t xml:space="preserve">. El contenido formal de la garantía de legalidad prevista en el artículo 16 constitucional relativa a la </w:t>
      </w:r>
      <w:r>
        <w:rPr>
          <w:rFonts w:ascii="Palatino Linotype" w:eastAsia="Palatino Linotype" w:hAnsi="Palatino Linotype" w:cs="Palatino Linotype"/>
          <w:b/>
          <w:i/>
          <w:color w:val="000000"/>
          <w:sz w:val="22"/>
          <w:szCs w:val="22"/>
        </w:rPr>
        <w:t xml:space="preserve">fundamentación y motivación tiene como propósito primordial y ratio que el justiciable conozca el "para qué" de la conducta de la autoridad, lo que se traduce en darle a conocer en detalle y de manera completa la esencia de todas las circunstancias y </w:t>
      </w:r>
      <w:r>
        <w:rPr>
          <w:rFonts w:ascii="Palatino Linotype" w:eastAsia="Palatino Linotype" w:hAnsi="Palatino Linotype" w:cs="Palatino Linotype"/>
          <w:b/>
          <w:i/>
          <w:color w:val="000000"/>
          <w:sz w:val="22"/>
          <w:szCs w:val="22"/>
        </w:rPr>
        <w:lastRenderedPageBreak/>
        <w:t>condiciones que determinaron el acto de voluntad, de manera que sea evidente y muy claro para el afectado poder cuestionar y controvertir el mérito de la decisión, permitiéndole una real y auténtica defensa</w:t>
      </w:r>
      <w:r>
        <w:rPr>
          <w:rFonts w:ascii="Palatino Linotype" w:eastAsia="Palatino Linotype" w:hAnsi="Palatino Linotype" w:cs="Palatino Linotype"/>
          <w:i/>
          <w:color w:val="000000"/>
          <w:sz w:val="22"/>
          <w:szCs w:val="22"/>
        </w:rPr>
        <w:t xml:space="preserve">. Por tanto, </w:t>
      </w:r>
      <w:r>
        <w:rPr>
          <w:rFonts w:ascii="Palatino Linotype" w:eastAsia="Palatino Linotype" w:hAnsi="Palatino Linotype" w:cs="Palatino Linotype"/>
          <w:b/>
          <w:i/>
          <w:color w:val="000000"/>
          <w:sz w:val="22"/>
          <w:szCs w:val="22"/>
        </w:rPr>
        <w:t>no basta que el acto de autoridad apenas observe una motivación pro forma pero de una manera incongruente, insuficiente o imprecisa</w:t>
      </w:r>
      <w:r>
        <w:rPr>
          <w:rFonts w:ascii="Palatino Linotype" w:eastAsia="Palatino Linotype" w:hAnsi="Palatino Linotype" w:cs="Palatino Linotype"/>
          <w:i/>
          <w:color w:val="000000"/>
          <w:sz w:val="22"/>
          <w:szCs w:val="22"/>
        </w:rPr>
        <w:t>, que impida la finalidad del conocimiento, comprobación y defensa pertinente</w:t>
      </w:r>
      <w:r>
        <w:rPr>
          <w:rFonts w:ascii="Palatino Linotype" w:eastAsia="Palatino Linotype" w:hAnsi="Palatino Linotype" w:cs="Palatino Linotype"/>
          <w:b/>
          <w:i/>
          <w:color w:val="000000"/>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eastAsia="Palatino Linotype" w:hAnsi="Palatino Linotype" w:cs="Palatino Linotype"/>
          <w:i/>
          <w:color w:val="000000"/>
          <w:sz w:val="22"/>
          <w:szCs w:val="22"/>
        </w:rPr>
        <w:t>.” (Sic)</w:t>
      </w:r>
    </w:p>
    <w:p w:rsidR="00487DC4" w:rsidRDefault="00A074CF">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487DC4" w:rsidRDefault="00487DC4">
      <w:pPr>
        <w:ind w:left="851" w:right="902"/>
        <w:jc w:val="both"/>
        <w:rPr>
          <w:rFonts w:ascii="Palatino Linotype" w:eastAsia="Palatino Linotype" w:hAnsi="Palatino Linotype" w:cs="Palatino Linotype"/>
          <w:i/>
          <w:color w:val="000000"/>
          <w:sz w:val="22"/>
          <w:szCs w:val="22"/>
        </w:rPr>
      </w:pPr>
    </w:p>
    <w:p w:rsidR="00487DC4" w:rsidRDefault="00A074CF">
      <w:pPr>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rsidR="00487DC4" w:rsidRDefault="00487DC4">
      <w:pPr>
        <w:spacing w:line="360" w:lineRule="auto"/>
        <w:jc w:val="both"/>
        <w:rPr>
          <w:rFonts w:ascii="Palatino Linotype" w:eastAsia="Palatino Linotype" w:hAnsi="Palatino Linotype" w:cs="Palatino Linotype"/>
          <w:color w:val="000000"/>
        </w:rPr>
      </w:pPr>
    </w:p>
    <w:p w:rsidR="00487DC4" w:rsidRDefault="00A074C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la respuesta proporcionada carece de la debía motivación, la cual consiste en que las determinaciones emitidas en materia de transparencia y acceso a la información deben estar debidamente </w:t>
      </w:r>
      <w:r>
        <w:rPr>
          <w:rFonts w:ascii="Palatino Linotype" w:eastAsia="Palatino Linotype" w:hAnsi="Palatino Linotype" w:cs="Palatino Linotype"/>
          <w:b/>
          <w:color w:val="000000"/>
        </w:rPr>
        <w:t>fundadas</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rPr>
        <w:t>motivadas</w:t>
      </w:r>
      <w:r>
        <w:rPr>
          <w:rFonts w:ascii="Palatino Linotype" w:eastAsia="Palatino Linotype" w:hAnsi="Palatino Linotype" w:cs="Palatino Linotype"/>
          <w:color w:val="000000"/>
        </w:rPr>
        <w:t xml:space="preserve">, pues en ellas no solo deben </w:t>
      </w:r>
      <w:r>
        <w:rPr>
          <w:rFonts w:ascii="Palatino Linotype" w:eastAsia="Palatino Linotype" w:hAnsi="Palatino Linotype" w:cs="Palatino Linotype"/>
          <w:b/>
          <w:color w:val="000000"/>
        </w:rPr>
        <w:t>citarse los preceptos legales aplicables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sino las circunstancias especiales, razones particulares o causas inmediatas que se hayan tenido en consideración para su emisión, </w:t>
      </w:r>
      <w:r>
        <w:rPr>
          <w:rFonts w:ascii="Palatino Linotype" w:eastAsia="Palatino Linotype" w:hAnsi="Palatino Linotype" w:cs="Palatino Linotype"/>
          <w:color w:val="000000"/>
        </w:rPr>
        <w:t xml:space="preserve">debiendo existir una adecuación entre los </w:t>
      </w:r>
      <w:r>
        <w:rPr>
          <w:rFonts w:ascii="Palatino Linotype" w:eastAsia="Palatino Linotype" w:hAnsi="Palatino Linotype" w:cs="Palatino Linotype"/>
          <w:b/>
          <w:color w:val="000000"/>
        </w:rPr>
        <w:t>motivos aducidos</w:t>
      </w:r>
      <w:r>
        <w:rPr>
          <w:rFonts w:ascii="Palatino Linotype" w:eastAsia="Palatino Linotype" w:hAnsi="Palatino Linotype" w:cs="Palatino Linotype"/>
          <w:color w:val="000000"/>
        </w:rPr>
        <w:t xml:space="preserve"> y las </w:t>
      </w:r>
      <w:r>
        <w:rPr>
          <w:rFonts w:ascii="Palatino Linotype" w:eastAsia="Palatino Linotype" w:hAnsi="Palatino Linotype" w:cs="Palatino Linotype"/>
          <w:color w:val="000000"/>
        </w:rPr>
        <w:lastRenderedPageBreak/>
        <w:t>normas aplicadas al caso concreto, cuestión que simplemente no aconteció en el presente caso; sirve de apoyo al razonamiento anterior, la siguiente Jurisprudencia emitida por el Poder Judicial de la Federación:</w:t>
      </w:r>
    </w:p>
    <w:p w:rsidR="00487DC4" w:rsidRDefault="00487DC4">
      <w:pPr>
        <w:jc w:val="both"/>
        <w:rPr>
          <w:rFonts w:ascii="Palatino Linotype" w:eastAsia="Palatino Linotype" w:hAnsi="Palatino Linotype" w:cs="Palatino Linotype"/>
          <w:color w:val="000000"/>
        </w:rPr>
      </w:pPr>
    </w:p>
    <w:p w:rsidR="00487DC4" w:rsidRDefault="00A074CF">
      <w:pPr>
        <w:ind w:left="851" w:right="141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FUNDAMENTACIÓN Y MOTIVACIÓN. LA DIFERENCIA ENTRE LA FALTA Y LA INDEBIDA SATISFACCIÓN DE AMBOS REQUISITOS CONSTITUCIONALES TRASCIENDE AL ORDEN EN QUE DEBEN ESTUDIARSE LOS CONCEPTOS DE VIOLACIÓN Y A LOS EFECTOS DEL FALLO PROTECTOR.</w:t>
      </w:r>
    </w:p>
    <w:p w:rsidR="00487DC4" w:rsidRDefault="00A074CF">
      <w:pPr>
        <w:ind w:left="851" w:right="141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La falta de fundamentación y motivación es una violación formal </w:t>
      </w:r>
      <w:r>
        <w:rPr>
          <w:rFonts w:ascii="Palatino Linotype" w:eastAsia="Palatino Linotype" w:hAnsi="Palatino Linotype" w:cs="Palatino Linotype"/>
          <w:i/>
          <w:color w:val="000000"/>
          <w:sz w:val="22"/>
          <w:szCs w:val="22"/>
        </w:rPr>
        <w:t xml:space="preserve">diversa a la indebida o incorrecta fundamentación y motivación, que es una violación material o de fondo, siendo distintos los efectos que genera la existencia de una u otra, por lo que el estudio de aquella omisión debe hacerse de manera previa. En efecto, el artículo 16 constitucional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w:t>
      </w:r>
      <w:r>
        <w:rPr>
          <w:rFonts w:ascii="Palatino Linotype" w:eastAsia="Palatino Linotype" w:hAnsi="Palatino Linotype" w:cs="Palatino Linotype"/>
          <w:b/>
          <w:i/>
          <w:color w:val="000000"/>
          <w:sz w:val="22"/>
          <w:szCs w:val="22"/>
        </w:rPr>
        <w:t xml:space="preserve">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w:t>
      </w:r>
      <w:r>
        <w:rPr>
          <w:rFonts w:ascii="Palatino Linotype" w:eastAsia="Palatino Linotype" w:hAnsi="Palatino Linotype" w:cs="Palatino Linotype"/>
          <w:i/>
          <w:color w:val="000000"/>
          <w:sz w:val="22"/>
          <w:szCs w:val="22"/>
        </w:rPr>
        <w:t xml:space="preserve">De manera que la falta de fundamentación y motivación significa la carencia o ausencia de tales requisitos, mientras que </w:t>
      </w:r>
      <w:r>
        <w:rPr>
          <w:rFonts w:ascii="Palatino Linotype" w:eastAsia="Palatino Linotype" w:hAnsi="Palatino Linotype" w:cs="Palatino Linotype"/>
          <w:b/>
          <w:i/>
          <w:color w:val="000000"/>
          <w:sz w:val="22"/>
          <w:szCs w:val="22"/>
        </w:rPr>
        <w:t>la indebida o incorrecta fundamentación y motivación entraña la presencia de ambos requisitos constitucionales, pero con un desajuste entre la aplicación de normas y los razonamientos formulados por la autoridad con el caso concreto</w:t>
      </w:r>
      <w:r>
        <w:rPr>
          <w:rFonts w:ascii="Palatino Linotype" w:eastAsia="Palatino Linotype" w:hAnsi="Palatino Linotype" w:cs="Palatino Linotype"/>
          <w:i/>
          <w:color w:val="000000"/>
          <w:sz w:val="22"/>
          <w:szCs w:val="22"/>
        </w:rPr>
        <w:t xml:space="preserve">. La diferencia </w:t>
      </w:r>
      <w:r>
        <w:rPr>
          <w:rFonts w:ascii="Palatino Linotype" w:eastAsia="Palatino Linotype" w:hAnsi="Palatino Linotype" w:cs="Palatino Linotype"/>
          <w:i/>
          <w:color w:val="000000"/>
          <w:sz w:val="22"/>
          <w:szCs w:val="22"/>
        </w:rPr>
        <w:lastRenderedPageBreak/>
        <w:t xml:space="preserve">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w:t>
      </w:r>
      <w:r>
        <w:rPr>
          <w:rFonts w:ascii="Palatino Linotype" w:eastAsia="Palatino Linotype" w:hAnsi="Palatino Linotype" w:cs="Palatino Linotype"/>
          <w:b/>
          <w:i/>
          <w:color w:val="000000"/>
          <w:sz w:val="22"/>
          <w:szCs w:val="22"/>
        </w:rPr>
        <w:t>segundo caso consiste en una violación material o de fondo porque se ha cumplido con la forma mediante la expresión de fundamentos y motivos, pero unos y otros son incorrectos</w:t>
      </w:r>
      <w:r>
        <w:rPr>
          <w:rFonts w:ascii="Palatino Linotype" w:eastAsia="Palatino Linotype" w:hAnsi="Palatino Linotype" w:cs="Palatino Linotype"/>
          <w:i/>
          <w:color w:val="000000"/>
          <w:sz w:val="22"/>
          <w:szCs w:val="22"/>
        </w:rPr>
        <w:t xml:space="preserve">,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w:t>
      </w:r>
      <w:r>
        <w:rPr>
          <w:rFonts w:ascii="Palatino Linotype" w:eastAsia="Palatino Linotype" w:hAnsi="Palatino Linotype" w:cs="Palatino Linotype"/>
          <w:b/>
          <w:i/>
          <w:color w:val="000000"/>
          <w:sz w:val="22"/>
          <w:szCs w:val="22"/>
        </w:rPr>
        <w:t>subsane la irregularidad expresando la fundamentación y motivación antes ausente</w:t>
      </w:r>
      <w:r>
        <w:rPr>
          <w:rFonts w:ascii="Palatino Linotype" w:eastAsia="Palatino Linotype" w:hAnsi="Palatino Linotype" w:cs="Palatino Linotype"/>
          <w:i/>
          <w:color w:val="000000"/>
          <w:sz w:val="22"/>
          <w:szCs w:val="22"/>
        </w:rPr>
        <w:t>,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rsidR="00487DC4" w:rsidRDefault="00A074CF">
      <w:pPr>
        <w:ind w:left="851" w:right="141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487DC4" w:rsidRDefault="00487DC4">
      <w:pPr>
        <w:spacing w:line="360" w:lineRule="auto"/>
        <w:jc w:val="both"/>
        <w:rPr>
          <w:rFonts w:ascii="Palatino Linotype" w:eastAsia="Palatino Linotype" w:hAnsi="Palatino Linotype" w:cs="Palatino Linotype"/>
        </w:rPr>
      </w:pPr>
    </w:p>
    <w:p w:rsidR="00487DC4" w:rsidRDefault="00A074CF">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Máxime, que de la información de la Dirección de Informática de este Instituto, en específico por el área de soporte técnico, que remitió a esta esta ponencia a través de correo electrónico oficial de fecha veintiuno de septiembre del año en curso, en donde informó respecto de las solicitudes de información número que: “a la fecha no se tiene reportado llamada alguna, ni tampoco se tiene registro de incidencia por </w:t>
      </w:r>
      <w:r>
        <w:rPr>
          <w:rFonts w:ascii="Palatino Linotype" w:eastAsia="Palatino Linotype" w:hAnsi="Palatino Linotype" w:cs="Palatino Linotype"/>
        </w:rPr>
        <w:lastRenderedPageBreak/>
        <w:t>parte del Sujeto Obligado en comento”, como así se aprecia en la siguiente imagen que de manera ilustrativa se inserta, a continuación.</w:t>
      </w:r>
    </w:p>
    <w:p w:rsidR="00487DC4" w:rsidRDefault="00487DC4">
      <w:pPr>
        <w:spacing w:line="360" w:lineRule="auto"/>
        <w:ind w:right="-93"/>
        <w:jc w:val="both"/>
      </w:pPr>
    </w:p>
    <w:p w:rsidR="00487DC4" w:rsidRDefault="00A074CF">
      <w:pPr>
        <w:spacing w:line="360" w:lineRule="auto"/>
        <w:ind w:right="-93"/>
        <w:jc w:val="both"/>
        <w:rPr>
          <w:rFonts w:ascii="Palatino Linotype" w:eastAsia="Palatino Linotype" w:hAnsi="Palatino Linotype" w:cs="Palatino Linotype"/>
        </w:rPr>
      </w:pPr>
      <w:r>
        <w:rPr>
          <w:noProof/>
          <w:lang w:val="es-MX" w:eastAsia="es-MX"/>
        </w:rPr>
        <w:drawing>
          <wp:inline distT="0" distB="0" distL="0" distR="0">
            <wp:extent cx="5594350" cy="1397000"/>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17764" t="32388" r="1676" b="46086"/>
                    <a:stretch>
                      <a:fillRect/>
                    </a:stretch>
                  </pic:blipFill>
                  <pic:spPr>
                    <a:xfrm>
                      <a:off x="0" y="0"/>
                      <a:ext cx="5594350" cy="1397000"/>
                    </a:xfrm>
                    <a:prstGeom prst="rect">
                      <a:avLst/>
                    </a:prstGeom>
                    <a:ln/>
                  </pic:spPr>
                </pic:pic>
              </a:graphicData>
            </a:graphic>
          </wp:inline>
        </w:drawing>
      </w:r>
    </w:p>
    <w:p w:rsidR="00487DC4" w:rsidRDefault="00A074CF">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del mismo correo electrónico se advierte que el SAIMEX, tiene la capacidad de adjuntar archivos con un peso de hasta 500mb, un equivalente a 8, 000 fojas; por ello, es conveniente traer a colación las actas ducentésima sexagésima sesión extraordinaria y ducentésima sexagésima primera sesión extraordinaria, en donde se advierte que los oficios asciende a la cantidad de 609 para el mes de febrero del 2022 y 677 para el mes de enero del 2022, dando un total de 1,286 oficios, lo que no excede a la cantidad del SAIMEX de 8,000 fojas.</w:t>
      </w:r>
    </w:p>
    <w:p w:rsidR="00487DC4" w:rsidRDefault="00487DC4">
      <w:pPr>
        <w:shd w:val="clear" w:color="auto" w:fill="FFFFFF"/>
        <w:spacing w:line="360" w:lineRule="auto"/>
        <w:jc w:val="both"/>
        <w:rPr>
          <w:rFonts w:ascii="Palatino Linotype" w:eastAsia="Palatino Linotype" w:hAnsi="Palatino Linotype" w:cs="Palatino Linotype"/>
        </w:rPr>
      </w:pPr>
    </w:p>
    <w:p w:rsidR="00487DC4" w:rsidRDefault="00A074CF">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Precisado lo anterior, se procedió hacer una búsqueda por este Organismo Garante, sobre los eventos referidos por el particular en sus solicitudes de acceso a la información pública, localizándose lo siguiente:</w:t>
      </w:r>
    </w:p>
    <w:p w:rsidR="00487DC4" w:rsidRDefault="00487DC4">
      <w:pPr>
        <w:shd w:val="clear" w:color="auto" w:fill="FFFFFF"/>
        <w:spacing w:line="360" w:lineRule="auto"/>
        <w:jc w:val="both"/>
        <w:rPr>
          <w:rFonts w:ascii="Palatino Linotype" w:eastAsia="Palatino Linotype" w:hAnsi="Palatino Linotype" w:cs="Palatino Linotype"/>
        </w:rPr>
      </w:pPr>
    </w:p>
    <w:p w:rsidR="00487DC4" w:rsidRDefault="00487DC4">
      <w:pPr>
        <w:shd w:val="clear" w:color="auto" w:fill="FFFFFF"/>
        <w:spacing w:line="360" w:lineRule="auto"/>
        <w:jc w:val="both"/>
      </w:pPr>
    </w:p>
    <w:p w:rsidR="00487DC4" w:rsidRDefault="00A074CF">
      <w:pPr>
        <w:shd w:val="clear" w:color="auto" w:fill="FFFFFF"/>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473700" cy="2165350"/>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31568" t="7443" r="38108" b="70227"/>
                    <a:stretch>
                      <a:fillRect/>
                    </a:stretch>
                  </pic:blipFill>
                  <pic:spPr>
                    <a:xfrm>
                      <a:off x="0" y="0"/>
                      <a:ext cx="5473700" cy="2165350"/>
                    </a:xfrm>
                    <a:prstGeom prst="rect">
                      <a:avLst/>
                    </a:prstGeom>
                    <a:ln/>
                  </pic:spPr>
                </pic:pic>
              </a:graphicData>
            </a:graphic>
          </wp:inline>
        </w:drawing>
      </w:r>
    </w:p>
    <w:p w:rsidR="00487DC4" w:rsidRDefault="00A074CF">
      <w:pPr>
        <w:shd w:val="clear" w:color="auto" w:fill="FFFFFF"/>
        <w:spacing w:line="360" w:lineRule="auto"/>
        <w:jc w:val="both"/>
        <w:rPr>
          <w:rFonts w:ascii="Palatino Linotype" w:eastAsia="Palatino Linotype" w:hAnsi="Palatino Linotype" w:cs="Palatino Linotype"/>
        </w:rPr>
      </w:pPr>
      <w:r>
        <w:rPr>
          <w:noProof/>
          <w:lang w:val="es-MX" w:eastAsia="es-MX"/>
        </w:rPr>
        <w:drawing>
          <wp:inline distT="0" distB="0" distL="0" distR="0">
            <wp:extent cx="5270500" cy="4089400"/>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36660" t="21323" r="36524" b="32206"/>
                    <a:stretch>
                      <a:fillRect/>
                    </a:stretch>
                  </pic:blipFill>
                  <pic:spPr>
                    <a:xfrm>
                      <a:off x="0" y="0"/>
                      <a:ext cx="5270500" cy="4089400"/>
                    </a:xfrm>
                    <a:prstGeom prst="rect">
                      <a:avLst/>
                    </a:prstGeom>
                    <a:ln/>
                  </pic:spPr>
                </pic:pic>
              </a:graphicData>
            </a:graphic>
          </wp:inline>
        </w:drawing>
      </w:r>
    </w:p>
    <w:p w:rsidR="00487DC4" w:rsidRDefault="00487DC4">
      <w:pPr>
        <w:spacing w:line="360" w:lineRule="auto"/>
        <w:jc w:val="both"/>
        <w:rPr>
          <w:rFonts w:ascii="Palatino Linotype" w:eastAsia="Palatino Linotype" w:hAnsi="Palatino Linotype" w:cs="Palatino Linotype"/>
        </w:rPr>
      </w:pPr>
    </w:p>
    <w:p w:rsidR="00487DC4" w:rsidRDefault="00487DC4">
      <w:pPr>
        <w:spacing w:line="360" w:lineRule="auto"/>
        <w:jc w:val="both"/>
        <w:rPr>
          <w:rFonts w:ascii="Palatino Linotype" w:eastAsia="Palatino Linotype" w:hAnsi="Palatino Linotype" w:cs="Palatino Linotype"/>
        </w:rPr>
      </w:pPr>
    </w:p>
    <w:p w:rsidR="00487DC4" w:rsidRDefault="00A074CF">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461000" cy="1454150"/>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57932" t="17099" r="13781" b="70428"/>
                    <a:stretch>
                      <a:fillRect/>
                    </a:stretch>
                  </pic:blipFill>
                  <pic:spPr>
                    <a:xfrm>
                      <a:off x="0" y="0"/>
                      <a:ext cx="5461000" cy="1454150"/>
                    </a:xfrm>
                    <a:prstGeom prst="rect">
                      <a:avLst/>
                    </a:prstGeom>
                    <a:ln/>
                  </pic:spPr>
                </pic:pic>
              </a:graphicData>
            </a:graphic>
          </wp:inline>
        </w:drawing>
      </w: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base a lo anterior, podemos concluir que hay un indicio de que si existieron o se llevaron a cabo dichos eventos, sirve de sustento a lo anterior </w:t>
      </w:r>
      <w:r>
        <w:rPr>
          <w:rFonts w:ascii="Palatino Linotype" w:eastAsia="Palatino Linotype" w:hAnsi="Palatino Linotype" w:cs="Palatino Linotype"/>
          <w:color w:val="000000"/>
        </w:rPr>
        <w:t>las siguientes tesis jurisprudenciales</w:t>
      </w:r>
      <w:r>
        <w:rPr>
          <w:rFonts w:ascii="Palatino Linotype" w:eastAsia="Palatino Linotype" w:hAnsi="Palatino Linotype" w:cs="Palatino Linotype"/>
        </w:rPr>
        <w:t>:</w:t>
      </w:r>
    </w:p>
    <w:p w:rsidR="00487DC4" w:rsidRDefault="00487DC4">
      <w:pPr>
        <w:pBdr>
          <w:top w:val="nil"/>
          <w:left w:val="nil"/>
          <w:bottom w:val="nil"/>
          <w:right w:val="nil"/>
          <w:between w:val="nil"/>
        </w:pBdr>
        <w:spacing w:line="360" w:lineRule="auto"/>
        <w:ind w:left="851" w:firstLine="707"/>
        <w:jc w:val="both"/>
        <w:rPr>
          <w:rFonts w:ascii="Palatino Linotype" w:eastAsia="Palatino Linotype" w:hAnsi="Palatino Linotype" w:cs="Palatino Linotype"/>
          <w:color w:val="000000"/>
          <w:sz w:val="22"/>
          <w:szCs w:val="22"/>
        </w:rPr>
      </w:pPr>
    </w:p>
    <w:p w:rsidR="00487DC4" w:rsidRDefault="00A074CF">
      <w:pPr>
        <w:ind w:left="567" w:right="616"/>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HECHOS NOTORIOS. CONCEPTOS GENERAL Y JURÍDICO</w:t>
      </w:r>
    </w:p>
    <w:p w:rsidR="00487DC4" w:rsidRDefault="00A074CF">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Conforme al artículo </w:t>
      </w:r>
      <w:hyperlink r:id="rId15">
        <w:r>
          <w:rPr>
            <w:rFonts w:ascii="Palatino Linotype" w:eastAsia="Palatino Linotype" w:hAnsi="Palatino Linotype" w:cs="Palatino Linotype"/>
            <w:b/>
            <w:i/>
            <w:sz w:val="22"/>
            <w:szCs w:val="22"/>
          </w:rPr>
          <w:t>88 del Código Federal de Procedimientos Civiles</w:t>
        </w:r>
      </w:hyperlink>
      <w:r>
        <w:rPr>
          <w:rFonts w:ascii="Palatino Linotype" w:eastAsia="Palatino Linotype" w:hAnsi="Palatino Linotype" w:cs="Palatino Linotype"/>
          <w:b/>
          <w:i/>
          <w:sz w:val="22"/>
          <w:szCs w:val="22"/>
        </w:rPr>
        <w:t xml:space="preserve"> los tribunales pueden invocar hechos notorios aunque no hayan sido alegados ni probados por las partes.</w:t>
      </w:r>
      <w:r>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Pr>
          <w:rFonts w:ascii="Palatino Linotype" w:eastAsia="Palatino Linotype" w:hAnsi="Palatino Linotype" w:cs="Palatino Linotype"/>
          <w:b/>
          <w:i/>
          <w:sz w:val="22"/>
          <w:szCs w:val="22"/>
        </w:rPr>
        <w:t>, a las vicisitudes de la vida pública actual o a circunstancias comúnmente conocidas en un determinado lugar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de modo que toda persona de ese medio esté en condiciones de saberlo</w:t>
      </w:r>
      <w:r>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487DC4" w:rsidRDefault="00487DC4">
      <w:pPr>
        <w:ind w:left="567" w:right="616"/>
        <w:rPr>
          <w:rFonts w:ascii="Palatino Linotype" w:eastAsia="Palatino Linotype" w:hAnsi="Palatino Linotype" w:cs="Palatino Linotype"/>
          <w:i/>
          <w:sz w:val="22"/>
          <w:szCs w:val="22"/>
        </w:rPr>
      </w:pPr>
    </w:p>
    <w:p w:rsidR="00487DC4" w:rsidRDefault="00A074CF">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rsidR="00487DC4" w:rsidRDefault="00A074CF">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rsidR="00487DC4" w:rsidRDefault="00A074CF">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rsidR="00487DC4" w:rsidRDefault="00487DC4">
      <w:pPr>
        <w:ind w:left="567" w:right="616"/>
        <w:jc w:val="both"/>
        <w:rPr>
          <w:rFonts w:ascii="Palatino Linotype" w:eastAsia="Palatino Linotype" w:hAnsi="Palatino Linotype" w:cs="Palatino Linotype"/>
          <w:i/>
          <w:sz w:val="22"/>
          <w:szCs w:val="22"/>
        </w:rPr>
      </w:pPr>
    </w:p>
    <w:p w:rsidR="00487DC4" w:rsidRDefault="00A074CF">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PÁGINAS WEB O ELECTRÓNICAS. SU CONTENIDO ES UN HECHO NOTORIO Y SUSCEPTIBLE DE SER VALORADO EN UNA DECISIÓN JUDICIAL.</w:t>
      </w:r>
      <w:r>
        <w:rPr>
          <w:color w:val="000000"/>
          <w:sz w:val="22"/>
          <w:szCs w:val="22"/>
        </w:rPr>
        <w:t xml:space="preserve"> </w:t>
      </w:r>
      <w:r>
        <w:rPr>
          <w:rFonts w:ascii="Palatino Linotype" w:eastAsia="Palatino Linotype" w:hAnsi="Palatino Linotype" w:cs="Palatino Linotype"/>
          <w:i/>
          <w:color w:val="000000"/>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Mardygras,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Pag. 2470 Jurisprudencia(Común) un hecho notorio que puede invocarse por los tribunales, en términos del artículo 88 del Código Federal de Procedimientos Civiles, de </w:t>
      </w:r>
      <w:r>
        <w:rPr>
          <w:rFonts w:ascii="Palatino Linotype" w:eastAsia="Palatino Linotype" w:hAnsi="Palatino Linotype" w:cs="Palatino Linotype"/>
          <w:i/>
          <w:color w:val="000000"/>
          <w:sz w:val="22"/>
          <w:szCs w:val="22"/>
        </w:rPr>
        <w:lastRenderedPageBreak/>
        <w:t>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rsidR="00487DC4" w:rsidRDefault="00A074C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ese contexto,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tiene la obligación de documentar todo lo relacionado con sus atribuciones, en cualquier soporte documental, 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487DC4" w:rsidRDefault="00487DC4">
      <w:pPr>
        <w:ind w:left="851" w:right="899"/>
        <w:jc w:val="both"/>
        <w:rPr>
          <w:rFonts w:ascii="Palatino Linotype" w:eastAsia="Palatino Linotype" w:hAnsi="Palatino Linotype" w:cs="Palatino Linotype"/>
        </w:rPr>
      </w:pPr>
    </w:p>
    <w:p w:rsidR="00487DC4" w:rsidRDefault="00A074CF">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lastRenderedPageBreak/>
        <w:t>“</w:t>
      </w:r>
      <w:r>
        <w:rPr>
          <w:rFonts w:ascii="Palatino Linotype" w:eastAsia="Palatino Linotype" w:hAnsi="Palatino Linotype" w:cs="Palatino Linotype"/>
          <w:b/>
          <w:i/>
          <w:sz w:val="22"/>
          <w:szCs w:val="22"/>
        </w:rPr>
        <w:t>CRITERIO 0002-11</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487DC4" w:rsidRDefault="00A074CF">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487DC4" w:rsidRDefault="00A074CF">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rsidR="00487DC4" w:rsidRDefault="00487DC4">
      <w:pPr>
        <w:spacing w:line="360" w:lineRule="auto"/>
        <w:jc w:val="both"/>
        <w:rPr>
          <w:rFonts w:ascii="Palatino Linotype" w:eastAsia="Palatino Linotype" w:hAnsi="Palatino Linotype" w:cs="Palatino Linotype"/>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consiguiente, es responsabilidad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conservar todos los soportes documentales en el ejercicio de sus atribuciones y de lo que se haya publicado en la red social de referencia, así como en cualquier otra que se administró, ello derivado de que si bien, las redes sociales digitales no se encuentran reguladas por ninguna norma para su procedimiento de creación y eliminación;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el ejercicio de sus funciones de comunicación social la utiliza como un medio a través del cual comparte contenido de tipo fotográfico, escrito o de vídeo, que se tuvo que haber respaldado, por el simple hecho de generarlo derivado de su función como autoridad y por el fin que se persiguió con la difusión en dicha plataforma.</w:t>
      </w:r>
    </w:p>
    <w:p w:rsidR="00487DC4" w:rsidRDefault="00A074C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Ello es así, ya que la conservación de los archivos, ya sea físicos o digitales, es una responsabilidad encomendada para cualquier autoridad, entidad, órgano y organismo de los poderes Legislativo, Ejecutivo y Judicial, Ayuntamientos, órganos autónomos, partidos políticos, fideicomisos y fondos públicos, así como de cualquier persona física, moral o sindicato que reciba y ejerza recursos públicos o realice actos de autoridad de la federación, las entidades federativas y los municipios, según lo dispuesto en la Ley General de Archivos.</w:t>
      </w:r>
    </w:p>
    <w:p w:rsidR="00487DC4" w:rsidRDefault="00A074C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dicha norma, se define al archivo como el conjunto organizado de documentos producidos o recibidos por los sujetos obligados en el ejercicio de sus atribuciones y funciones, con independencia del soporte, espacio o lugar que se resguarden; de igual forma, señala que la conservación es el conjunto de procedimientos y medidas destinados a asegurar la prevención de aliteraciones físicas de los documentos en papel y la preservación de documentos digitales a largo plazo.</w:t>
      </w:r>
    </w:p>
    <w:p w:rsidR="00487DC4" w:rsidRDefault="00A074C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manera, que la Ley fija que al igual que en materia de transparencia y acceso a la información pública, toda la información contenida en documentos de archivo producidos, obtenidos, adquiridos, transformados o en posesión de los Sujetos Obligados es pública; por lo que destaca que el Estado mexicano deberá garantizar la organización, conservación y preservación de los archivos con el objeto de respetar el derecho a la verdad y el acceso a la información contenida en los archivos, por lo cual indica en su artículo 7 que los sujetos obligados deberán producir, registrar, organizar y conservar los documentos de archivo sobre todo acto que </w:t>
      </w:r>
      <w:r>
        <w:rPr>
          <w:rFonts w:ascii="Palatino Linotype" w:eastAsia="Palatino Linotype" w:hAnsi="Palatino Linotype" w:cs="Palatino Linotype"/>
        </w:rPr>
        <w:lastRenderedPageBreak/>
        <w:t>derive del ejercicio de sus facultades, competencias o funciones de acuerdo con lo establecido en las disposiciones jurídicas correspondientes.</w:t>
      </w:r>
    </w:p>
    <w:p w:rsidR="00487DC4" w:rsidRDefault="00A074C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Sobre el tema de avisos de privacidad, el artículo 4, fracción V, 29, 30, 31, 32 y33 de la Ley de Protección de Datos Personales en Posesión de Sujetos Obligados del Estado de México y Municipios, señalan la definición, tipos y en que este se compone, como se advierte en seguida:</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“Glosario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4. Para los efectos de esta Ley se entenderá por:</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Aviso de Privacidad: al documento físico, electrónico o en cualquier formato generado por el responsable que es puesto a disposición del Titular con el objeto de informarle los propósitos del tratamiento al que serán sometidos sus datos personales</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Comunicación del Aviso de Privacidad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29.</w:t>
      </w:r>
      <w:r>
        <w:rPr>
          <w:rFonts w:ascii="Palatino Linotype" w:eastAsia="Palatino Linotype" w:hAnsi="Palatino Linotype" w:cs="Palatino Linotype"/>
          <w:i/>
          <w:sz w:val="22"/>
          <w:szCs w:val="22"/>
        </w:rPr>
        <w:t xml:space="preserve"> Los responsables pondrán a disposición de la o el titular en formatos impresos, digitales, visuales, sonoros o de cualquier otra tecnología, el aviso de privacidad, en las modalidades simplificado e integral.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Del Aviso de Privacidad Integral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30</w:t>
      </w:r>
      <w:r>
        <w:rPr>
          <w:rFonts w:ascii="Palatino Linotype" w:eastAsia="Palatino Linotype" w:hAnsi="Palatino Linotype" w:cs="Palatino Linotype"/>
          <w:i/>
          <w:sz w:val="22"/>
          <w:szCs w:val="22"/>
        </w:rPr>
        <w:t>. Cuando los datos hayan sido obtenidos personalmente de la o el titular, el aviso de privacidad integral deberá ser facilitado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Cuando los datos se obtengan de manera indirecta, el responsable adoptará los mecanismos necesarios para que la o el titular acceda al aviso de privacidad integral, salvo que exista constancia de que la o el titular ya fue informado del contenido del aviso de privacidad.</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Contenido del Aviso de Privacidad Integral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31. El aviso de privacidad integral contendrá la información siguiente: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 La denominación del responsable.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 El nombre y cargo del administrador, así como el área o unidad administrativa a la que se encuentra adscrito</w:t>
      </w:r>
      <w:r>
        <w:rPr>
          <w:rFonts w:ascii="Palatino Linotype" w:eastAsia="Palatino Linotype" w:hAnsi="Palatino Linotype" w:cs="Palatino Linotype"/>
          <w:i/>
          <w:sz w:val="22"/>
          <w:szCs w:val="22"/>
        </w:rPr>
        <w:t xml:space="preserve">.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El nombre del sistema de datos personales o base de datos al que serán incorporados los datos personales.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Los datos personales que serán sometidos a tratamiento, identificando los que son sensibles.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El carácter obligatorio o facultativo de la entrega de los datos personales.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Las consecuencias de la negativa a suministrarlos.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Las finalidades del tratamiento para las cuales se obtienen los datos personales, distinguiendo aquéllas que requieran el consentimiento de la o el titular.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Cuando se realicen transferencias de datos personales se informará: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Destinatario de los datos.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Finalidad de la transferencia.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El fundamento que autoriza la transferencia.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Los datos personales a transferir.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 Las implicaciones de otorgar, el consentimiento expreso. Cuando se realicen transferencias de datos personales que requieran consentimiento, se acreditará el otorgamiento.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Los mecanismos y medios estarán disponibles para el uso previo al tratamiento de los datos personales, para que la o el titular, pueda manifestar su negativa para la finalidad y transferencia que requieran el consentimiento de la o el titular.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 Los mecanismos, medios y procedimientos disponibles para ejercer los derechos ARCO, indicando la dirección electrónica del sistema para presentar sus solicitudes.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 La indicación por la cual la o el titular podrá revocar el consentimiento para el tratamiento de sus datos, detallando el procedimiento a seguir para tal efecto. XII. Cuando aplique, las opciones y medios que el responsable ofrezca a las o los titulares para limitar el uso o divulgación, o la portabilidad de datos.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XIII.Los medios a través de los cuales el responsable comunicará a los titulares los cambios al aviso de privacidad,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XIV. El cargo y domicilio del encargado, indicando su nombre o el medio por el cual se pueda conocer su identidad.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 El domicilio del responsable, y en su caso, cargo y domicilio del encargado, indicando su nombre o el medio por el cual se pueda conocer su identidad.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XVI. El fundamento legal que faculta al responsable para llevar a cabo el tratamiento.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XVII.El procedimiento para que se ejerza el derecho a la portabilidad.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XVIII. El domicilio de la Unidad de Transparencia.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XIX. Datos de contacto del Instituto, incluidos domicilio, dirección del portal informativo, correo electrónico y teléfono del Centro de Atención Telefónica, para que la o el titular pueda recibir asesoría o presentar denuncias por violaciones a las disposiciones de la Ley.”</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Del Aviso de Privacidad Simplificado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32</w:t>
      </w:r>
      <w:r>
        <w:rPr>
          <w:rFonts w:ascii="Palatino Linotype" w:eastAsia="Palatino Linotype" w:hAnsi="Palatino Linotype" w:cs="Palatino Linotype"/>
          <w:i/>
          <w:sz w:val="22"/>
          <w:szCs w:val="22"/>
        </w:rPr>
        <w:t xml:space="preserve">. Cuando los datos sean obtenidos directamente de la o el titular, por cualquier medio electrónico, óptico, sonoro, visual o a través de cualquier otra tecnología, el aviso de privacidad será puesto a disposición en lugar visible, previendo los medios o mecanismos para que la o el titular conozca el texto completo del aviso. La puesta a disposición del aviso de privacidad, no exime al responsable de su obligación de proveer los mecanismos para que la o el titular pueda conocer el contenido del aviso de privacidad integral. Contenido del Aviso de Privacidad Simplificado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33. El aviso de privacidad simplificado deberá contener, al menos, la información a que se refieren las fracciones I, VII, VIII y IX del artículo relativo al contenido del aviso de privacidad integral. (Sic)</w:t>
      </w:r>
    </w:p>
    <w:p w:rsidR="00487DC4" w:rsidRDefault="00A074C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Dentro de la que se destaca la señalada en la fracción II del artículo 31 de la Ley en cita, en donde se deberá anotar el área del Sujeto Obligado que será la encargada del tratamiento de los datos personales que recabe.</w:t>
      </w: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lo procedente es ordenar el documento en donde conste lo siguiente:</w:t>
      </w:r>
    </w:p>
    <w:p w:rsidR="00487DC4" w:rsidRDefault="00487DC4">
      <w:pPr>
        <w:spacing w:line="360" w:lineRule="auto"/>
        <w:jc w:val="both"/>
        <w:rPr>
          <w:rFonts w:ascii="Palatino Linotype" w:eastAsia="Palatino Linotype" w:hAnsi="Palatino Linotype" w:cs="Palatino Linotype"/>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registró para el taller de codependencia llevado a cabo "todos los miércoles", así como el aviso de privacidad del registro.</w:t>
      </w: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Verdana" w:eastAsia="Verdana" w:hAnsi="Verdana" w:cs="Verdana"/>
          <w:color w:val="000000"/>
          <w:sz w:val="14"/>
          <w:szCs w:val="14"/>
        </w:rPr>
        <w:t xml:space="preserve"> </w:t>
      </w:r>
      <w:r>
        <w:rPr>
          <w:rFonts w:ascii="Palatino Linotype" w:eastAsia="Palatino Linotype" w:hAnsi="Palatino Linotype" w:cs="Palatino Linotype"/>
        </w:rPr>
        <w:t>El registro de los asistentes a la videoconferencia "mujer de todos los tiempos"</w:t>
      </w: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w:t>
      </w:r>
      <w:r>
        <w:rPr>
          <w:rFonts w:ascii="Verdana" w:eastAsia="Verdana" w:hAnsi="Verdana" w:cs="Verdana"/>
          <w:color w:val="000000"/>
          <w:sz w:val="14"/>
          <w:szCs w:val="14"/>
        </w:rPr>
        <w:t xml:space="preserve"> </w:t>
      </w:r>
      <w:r>
        <w:rPr>
          <w:rFonts w:ascii="Palatino Linotype" w:eastAsia="Palatino Linotype" w:hAnsi="Palatino Linotype" w:cs="Palatino Linotype"/>
        </w:rPr>
        <w:t>El registro de los asistentes al foro del día internacional de la mujer, el presupuesto destinado a ese evento y las invitaciones efectuadas.</w:t>
      </w: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Verdana" w:eastAsia="Verdana" w:hAnsi="Verdana" w:cs="Verdana"/>
          <w:color w:val="000000"/>
          <w:sz w:val="14"/>
          <w:szCs w:val="14"/>
        </w:rPr>
        <w:t xml:space="preserve"> </w:t>
      </w:r>
      <w:r>
        <w:rPr>
          <w:rFonts w:ascii="Palatino Linotype" w:eastAsia="Palatino Linotype" w:hAnsi="Palatino Linotype" w:cs="Palatino Linotype"/>
        </w:rPr>
        <w:t>Los asistentes al cine-debate organizado el 11 de marzo del año 2022.</w:t>
      </w:r>
    </w:p>
    <w:p w:rsidR="00487DC4" w:rsidRDefault="00487DC4">
      <w:pPr>
        <w:spacing w:line="360" w:lineRule="auto"/>
        <w:jc w:val="both"/>
        <w:rPr>
          <w:rFonts w:ascii="Palatino Linotype" w:eastAsia="Palatino Linotype" w:hAnsi="Palatino Linotype" w:cs="Palatino Linotype"/>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pasa desapercibido, que dichos eventos son meramente sociales; es decir, que fueron realizados para que acudieran ciudadanos o gobernados, entre otros; por ello, es evidente que contenga información que debe ser protegida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como puede ser el nombre, domicilio y firmar de particulares que los hace identificables, en términos de lo señalado por el artículo </w:t>
      </w:r>
    </w:p>
    <w:p w:rsidR="00487DC4" w:rsidRDefault="00487DC4">
      <w:pPr>
        <w:spacing w:line="360" w:lineRule="auto"/>
        <w:jc w:val="both"/>
        <w:rPr>
          <w:rFonts w:ascii="Palatino Linotype" w:eastAsia="Palatino Linotype" w:hAnsi="Palatino Linotype" w:cs="Palatino Linotype"/>
        </w:rPr>
      </w:pP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143. Para los efectos de esta Ley se considera información confidencial, la clasificada como tal, de manera permanente, por su naturaleza, cuando: </w:t>
      </w:r>
    </w:p>
    <w:p w:rsidR="00487DC4" w:rsidRDefault="00A074C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identificable…”(Sic)</w:t>
      </w:r>
    </w:p>
    <w:p w:rsidR="00487DC4" w:rsidRDefault="00487DC4">
      <w:pPr>
        <w:ind w:left="851" w:right="899"/>
        <w:jc w:val="both"/>
        <w:rPr>
          <w:rFonts w:ascii="Palatino Linotype" w:eastAsia="Palatino Linotype" w:hAnsi="Palatino Linotype" w:cs="Palatino Linotype"/>
          <w:i/>
          <w:sz w:val="22"/>
          <w:szCs w:val="22"/>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se deberá proteger la información relacionada a los grupos vulnerables, ya que estos son definidos por los Criterios para que los Sujetos Obligados Garanticen Condiciones de Accesibilidad que Permitan el Ejercicio de los Derechos Humanos De Acceso A La Información Y Protección De Datos Personales A Grupos Vulnerables en su disposición segunda fracción VIII, como:</w:t>
      </w:r>
    </w:p>
    <w:p w:rsidR="00487DC4" w:rsidRDefault="00487DC4">
      <w:pPr>
        <w:spacing w:line="360" w:lineRule="auto"/>
        <w:ind w:right="50"/>
        <w:jc w:val="both"/>
        <w:rPr>
          <w:rFonts w:ascii="Palatino Linotype" w:eastAsia="Palatino Linotype" w:hAnsi="Palatino Linotype" w:cs="Palatino Linotype"/>
        </w:rPr>
      </w:pPr>
    </w:p>
    <w:p w:rsidR="00487DC4" w:rsidRDefault="00A074C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VIII. Grupos vulnerables: Grupos sociales en situación de vulnerabilidad, es decir, aquellos núcleos de población y/o personas que por diferentes factores o la combinación de ellos, enfrentan situaciones de riesgo o discriminación que les impiden ejercer, en igualdad de condiciones, los derechos humanos de acceso a la </w:t>
      </w:r>
      <w:r>
        <w:rPr>
          <w:rFonts w:ascii="Palatino Linotype" w:eastAsia="Palatino Linotype" w:hAnsi="Palatino Linotype" w:cs="Palatino Linotype"/>
          <w:b/>
          <w:i/>
          <w:sz w:val="22"/>
          <w:szCs w:val="22"/>
        </w:rPr>
        <w:lastRenderedPageBreak/>
        <w:t>información y protección de datos personales, y por lo tanto, requieren de la atención e implementación de acciones, medidas y políticas por parte de los sujetos obligados. Entre éstos se encuentran las personas pertenecientes a los pueblos indígenas, afrodescendientes, personas con discapacidad, mujeres, niñas, niños, adolescentes, personas adultas mayores y migrantes;…”</w:t>
      </w:r>
      <w:r>
        <w:rPr>
          <w:rFonts w:ascii="Palatino Linotype" w:eastAsia="Palatino Linotype" w:hAnsi="Palatino Linotype" w:cs="Palatino Linotype"/>
          <w:i/>
          <w:sz w:val="22"/>
          <w:szCs w:val="22"/>
        </w:rPr>
        <w:t xml:space="preserve"> (Sic)</w:t>
      </w:r>
    </w:p>
    <w:p w:rsidR="00487DC4" w:rsidRDefault="00487DC4">
      <w:pPr>
        <w:spacing w:line="360" w:lineRule="auto"/>
        <w:ind w:right="50"/>
        <w:jc w:val="both"/>
        <w:rPr>
          <w:rFonts w:ascii="Palatino Linotype" w:eastAsia="Palatino Linotype" w:hAnsi="Palatino Linotype" w:cs="Palatino Linotype"/>
        </w:rPr>
      </w:pPr>
    </w:p>
    <w:p w:rsidR="00487DC4" w:rsidRDefault="00A074CF">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Esto es, que pueden ser sectores de la población en condiciones de pobreza o necesidad, así como datos sensibles relacionados como origen racial o étnico, estado de salud, física o mental, o en su defecto con datos personales relacionados con niños, niñas y adolescentes, cuyo tratamiento merece especial atención por parte de todo Sujeto Obligado, tal como se encuentra previsto en los artículos 4, fracciones XI y XII; 5,  6, 7, 8, 15, entre otros  de la Ley de Protección de Datos Personales en Posesión de Sujetos Obligados del Estado de México y Municipios, referidos.</w:t>
      </w:r>
    </w:p>
    <w:p w:rsidR="00487DC4" w:rsidRDefault="00487DC4">
      <w:pPr>
        <w:spacing w:line="360" w:lineRule="auto"/>
        <w:ind w:right="51"/>
        <w:jc w:val="both"/>
        <w:rPr>
          <w:rFonts w:ascii="Palatino Linotype" w:eastAsia="Palatino Linotype" w:hAnsi="Palatino Linotype" w:cs="Palatino Linotype"/>
        </w:rPr>
      </w:pPr>
    </w:p>
    <w:p w:rsidR="00487DC4" w:rsidRDefault="00A074C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no escapa de la óptica de este Organismo Garante que el particular, a través de su recurso de revisión, solicitó a este Instituto, se le diera vista a la Contraloría Interna y Órgano de Control y Vigilancia en términos de la Ley de 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 de Transparencia y Acceso a la Información Pública del Estado de México y Municipios, sin embargo, es preciso hacer de su conocimiento que el recurso de revisión no es la vía para instaurar procedimientos de responsabilidad administrativa, no obstante, se dejan a </w:t>
      </w:r>
      <w:r>
        <w:rPr>
          <w:rFonts w:ascii="Palatino Linotype" w:eastAsia="Palatino Linotype" w:hAnsi="Palatino Linotype" w:cs="Palatino Linotype"/>
        </w:rPr>
        <w:lastRenderedPageBreak/>
        <w:t>salvo sus derechos para que en caso de considerarlo oportuno a sus intereses, ejerza dicha acción ante las instancias correspondientes.</w:t>
      </w:r>
    </w:p>
    <w:p w:rsidR="00487DC4" w:rsidRDefault="00487DC4">
      <w:pPr>
        <w:rPr>
          <w:rFonts w:ascii="Palatino Linotype" w:eastAsia="Palatino Linotype" w:hAnsi="Palatino Linotype" w:cs="Palatino Linotype"/>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sin menoscabar el derecho a la protección de los datos personales de terceros.</w:t>
      </w:r>
    </w:p>
    <w:p w:rsidR="00487DC4" w:rsidRDefault="00487DC4">
      <w:pPr>
        <w:spacing w:line="360" w:lineRule="auto"/>
        <w:jc w:val="both"/>
        <w:rPr>
          <w:rFonts w:ascii="Palatino Linotype" w:eastAsia="Palatino Linotype" w:hAnsi="Palatino Linotype" w:cs="Palatino Linotype"/>
        </w:rPr>
      </w:pPr>
    </w:p>
    <w:p w:rsidR="00487DC4" w:rsidRDefault="00A074CF">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487DC4" w:rsidRDefault="00487DC4">
      <w:pPr>
        <w:spacing w:after="240" w:line="360" w:lineRule="auto"/>
        <w:ind w:right="50"/>
        <w:jc w:val="both"/>
        <w:rPr>
          <w:rFonts w:ascii="Palatino Linotype" w:eastAsia="Palatino Linotype" w:hAnsi="Palatino Linotype" w:cs="Palatino Linotype"/>
        </w:rPr>
      </w:pPr>
    </w:p>
    <w:p w:rsidR="00487DC4" w:rsidRDefault="00A074CF">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487DC4" w:rsidRDefault="00A074C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487DC4" w:rsidRDefault="00A074C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487DC4" w:rsidRDefault="00A074C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487DC4" w:rsidRDefault="00A074C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487DC4" w:rsidRDefault="00487DC4">
      <w:pPr>
        <w:ind w:left="993" w:right="1041"/>
        <w:jc w:val="both"/>
        <w:rPr>
          <w:rFonts w:ascii="Palatino Linotype" w:eastAsia="Palatino Linotype" w:hAnsi="Palatino Linotype" w:cs="Palatino Linotype"/>
          <w:i/>
          <w:sz w:val="22"/>
          <w:szCs w:val="22"/>
        </w:rPr>
      </w:pPr>
    </w:p>
    <w:p w:rsidR="00487DC4" w:rsidRDefault="00A074C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487DC4" w:rsidRDefault="00487DC4">
      <w:pPr>
        <w:ind w:left="993" w:right="1041"/>
        <w:jc w:val="both"/>
        <w:rPr>
          <w:rFonts w:ascii="Palatino Linotype" w:eastAsia="Palatino Linotype" w:hAnsi="Palatino Linotype" w:cs="Palatino Linotype"/>
          <w:i/>
          <w:sz w:val="22"/>
          <w:szCs w:val="22"/>
        </w:rPr>
      </w:pPr>
    </w:p>
    <w:p w:rsidR="00487DC4" w:rsidRDefault="00A074CF">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487DC4" w:rsidRDefault="00487DC4">
      <w:pPr>
        <w:ind w:left="993" w:right="1041"/>
        <w:jc w:val="both"/>
        <w:rPr>
          <w:rFonts w:ascii="Palatino Linotype" w:eastAsia="Palatino Linotype" w:hAnsi="Palatino Linotype" w:cs="Palatino Linotype"/>
          <w:b/>
          <w:i/>
          <w:sz w:val="22"/>
          <w:szCs w:val="22"/>
        </w:rPr>
      </w:pPr>
    </w:p>
    <w:p w:rsidR="00487DC4" w:rsidRDefault="00A074C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487DC4" w:rsidRDefault="00A074C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487DC4" w:rsidRDefault="00A074C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487DC4" w:rsidRDefault="00A074C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487DC4" w:rsidRDefault="00487DC4">
      <w:pPr>
        <w:ind w:left="993" w:right="1041"/>
        <w:jc w:val="both"/>
        <w:rPr>
          <w:rFonts w:ascii="Palatino Linotype" w:eastAsia="Palatino Linotype" w:hAnsi="Palatino Linotype" w:cs="Palatino Linotype"/>
          <w:i/>
          <w:sz w:val="22"/>
          <w:szCs w:val="22"/>
        </w:rPr>
      </w:pPr>
    </w:p>
    <w:p w:rsidR="00487DC4" w:rsidRDefault="00A074CF">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 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487DC4" w:rsidRDefault="00487DC4">
      <w:pPr>
        <w:spacing w:line="360" w:lineRule="auto"/>
        <w:ind w:right="51"/>
        <w:jc w:val="both"/>
        <w:rPr>
          <w:rFonts w:ascii="Palatino Linotype" w:eastAsia="Palatino Linotype" w:hAnsi="Palatino Linotype" w:cs="Palatino Linotype"/>
        </w:rPr>
      </w:pPr>
    </w:p>
    <w:p w:rsidR="00487DC4" w:rsidRDefault="00A074CF">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487DC4" w:rsidRDefault="00487DC4">
      <w:pPr>
        <w:spacing w:line="360" w:lineRule="auto"/>
        <w:ind w:right="50"/>
        <w:jc w:val="both"/>
        <w:rPr>
          <w:rFonts w:ascii="Palatino Linotype" w:eastAsia="Palatino Linotype" w:hAnsi="Palatino Linotype" w:cs="Palatino Linotype"/>
        </w:rPr>
      </w:pPr>
    </w:p>
    <w:p w:rsidR="00487DC4" w:rsidRDefault="00A074CF">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sino que ello deberá realizarse en </w:t>
      </w:r>
      <w:r>
        <w:rPr>
          <w:rFonts w:ascii="Palatino Linotype" w:eastAsia="Palatino Linotype" w:hAnsi="Palatino Linotype" w:cs="Palatino Linotype"/>
        </w:rPr>
        <w:lastRenderedPageBreak/>
        <w:t>términos de lo que disponen los artículos 49 fracción VIII, 53, fracción X y 59, fracción V, de la Ley en consulta, cuyo sentido literal es el siguiente:</w:t>
      </w:r>
    </w:p>
    <w:p w:rsidR="00487DC4" w:rsidRDefault="00487DC4">
      <w:pPr>
        <w:spacing w:line="360" w:lineRule="auto"/>
        <w:ind w:right="51"/>
        <w:jc w:val="both"/>
        <w:rPr>
          <w:rFonts w:ascii="Palatino Linotype" w:eastAsia="Palatino Linotype" w:hAnsi="Palatino Linotype" w:cs="Palatino Linotype"/>
        </w:rPr>
      </w:pPr>
    </w:p>
    <w:p w:rsidR="00487DC4" w:rsidRDefault="00A074CF">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487DC4" w:rsidRDefault="00A074CF">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487DC4" w:rsidRDefault="00A074CF">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487DC4" w:rsidRDefault="00A074CF">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487DC4" w:rsidRDefault="00A074CF">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487DC4" w:rsidRDefault="00A074CF">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propuesta…”(Sic)</w:t>
      </w:r>
    </w:p>
    <w:p w:rsidR="00487DC4" w:rsidRDefault="00487DC4">
      <w:pPr>
        <w:ind w:left="992" w:right="1043"/>
        <w:jc w:val="both"/>
        <w:rPr>
          <w:rFonts w:ascii="Palatino Linotype" w:eastAsia="Palatino Linotype" w:hAnsi="Palatino Linotype" w:cs="Palatino Linotype"/>
          <w:i/>
          <w:sz w:val="22"/>
          <w:szCs w:val="22"/>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487DC4" w:rsidRDefault="00487DC4">
      <w:pPr>
        <w:spacing w:line="360" w:lineRule="auto"/>
        <w:jc w:val="both"/>
        <w:rPr>
          <w:rFonts w:ascii="Palatino Linotype" w:eastAsia="Palatino Linotype" w:hAnsi="Palatino Linotype" w:cs="Palatino Linotype"/>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rsidR="00487DC4" w:rsidRDefault="00487DC4">
      <w:pPr>
        <w:spacing w:line="360" w:lineRule="auto"/>
        <w:jc w:val="both"/>
        <w:rPr>
          <w:rFonts w:ascii="Palatino Linotype" w:eastAsia="Palatino Linotype" w:hAnsi="Palatino Linotype" w:cs="Palatino Linotype"/>
        </w:rPr>
      </w:pPr>
    </w:p>
    <w:p w:rsidR="00487DC4" w:rsidRDefault="00A074CF">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487DC4" w:rsidRDefault="00487DC4">
      <w:pPr>
        <w:spacing w:before="240" w:after="240"/>
        <w:ind w:left="993" w:right="1041"/>
        <w:jc w:val="both"/>
        <w:rPr>
          <w:rFonts w:ascii="Palatino Linotype" w:eastAsia="Palatino Linotype" w:hAnsi="Palatino Linotype" w:cs="Palatino Linotype"/>
          <w:i/>
          <w:sz w:val="22"/>
          <w:szCs w:val="22"/>
        </w:rPr>
      </w:pPr>
    </w:p>
    <w:p w:rsidR="00487DC4" w:rsidRDefault="00A074C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487DC4" w:rsidRDefault="00A074CF">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w:t>
      </w:r>
      <w:r>
        <w:rPr>
          <w:rFonts w:ascii="Palatino Linotype" w:eastAsia="Palatino Linotype" w:hAnsi="Palatino Linotype" w:cs="Palatino Linotype"/>
        </w:rPr>
        <w:lastRenderedPageBreak/>
        <w:t xml:space="preserve">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487DC4" w:rsidRDefault="00487DC4">
      <w:pPr>
        <w:ind w:left="709" w:right="709"/>
        <w:jc w:val="both"/>
        <w:rPr>
          <w:rFonts w:ascii="Palatino Linotype" w:eastAsia="Palatino Linotype" w:hAnsi="Palatino Linotype" w:cs="Palatino Linotype"/>
          <w:b/>
          <w:i/>
          <w:sz w:val="22"/>
          <w:szCs w:val="22"/>
        </w:rPr>
      </w:pPr>
    </w:p>
    <w:p w:rsidR="00487DC4" w:rsidRDefault="00A074CF">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w:t>
      </w:r>
      <w:r>
        <w:rPr>
          <w:rFonts w:ascii="Palatino Linotype" w:eastAsia="Palatino Linotype" w:hAnsi="Palatino Linotype" w:cs="Palatino Linotype"/>
          <w:i/>
          <w:sz w:val="22"/>
          <w:szCs w:val="22"/>
        </w:rPr>
        <w:lastRenderedPageBreak/>
        <w:t>conocimientos técnicos y legales que le permitan manejar adecuadamente la información clasificada, en los términos de los Lineamientos para la Organización y Conservación de Archivos.</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87DC4" w:rsidRDefault="00A074CF">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487DC4" w:rsidRDefault="00A074CF">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487DC4" w:rsidRDefault="00A074C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87DC4" w:rsidRDefault="00A074CF">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2"/>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487DC4">
        <w:trPr>
          <w:jc w:val="center"/>
        </w:trPr>
        <w:tc>
          <w:tcPr>
            <w:tcW w:w="1159" w:type="dxa"/>
            <w:tcBorders>
              <w:top w:val="nil"/>
              <w:left w:val="nil"/>
              <w:bottom w:val="single" w:sz="4" w:space="0" w:color="000000"/>
              <w:right w:val="single" w:sz="4" w:space="0" w:color="000000"/>
            </w:tcBorders>
          </w:tcPr>
          <w:p w:rsidR="00487DC4" w:rsidRDefault="00487DC4">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487DC4" w:rsidRDefault="00A074CF">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487DC4" w:rsidRDefault="00A074CF">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487DC4">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487DC4" w:rsidRDefault="00A074CF">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487DC4" w:rsidRDefault="00A074CF">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487DC4" w:rsidRDefault="00A074CF">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487DC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487DC4" w:rsidRDefault="00487DC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487DC4" w:rsidRDefault="00A074CF">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487DC4" w:rsidRDefault="00A074CF">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487DC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487DC4" w:rsidRDefault="00487DC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487DC4" w:rsidRDefault="00A074CF">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487DC4" w:rsidRDefault="00A074CF">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87DC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487DC4" w:rsidRDefault="00487DC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487DC4" w:rsidRDefault="00A074CF">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487DC4" w:rsidRDefault="00A074CF">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487DC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487DC4" w:rsidRDefault="00487DC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487DC4" w:rsidRDefault="00A074CF">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487DC4" w:rsidRDefault="00A074CF">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487DC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487DC4" w:rsidRDefault="00487DC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487DC4" w:rsidRDefault="00A074CF">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487DC4" w:rsidRDefault="00A074CF">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487DC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487DC4" w:rsidRDefault="00487DC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487DC4" w:rsidRDefault="00A074CF">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487DC4" w:rsidRDefault="00A074CF">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87DC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487DC4" w:rsidRDefault="00487DC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487DC4" w:rsidRDefault="00A074CF">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487DC4" w:rsidRDefault="00A074CF">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487DC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487DC4" w:rsidRDefault="00487DC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487DC4" w:rsidRDefault="00A074CF">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487DC4" w:rsidRDefault="00A074CF">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487DC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487DC4" w:rsidRDefault="00487DC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487DC4" w:rsidRDefault="00A074CF">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487DC4" w:rsidRDefault="00A074CF">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487DC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487DC4" w:rsidRDefault="00487DC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487DC4" w:rsidRDefault="00A074CF">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487DC4" w:rsidRDefault="00A074CF">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487DC4" w:rsidRDefault="00487DC4">
      <w:pPr>
        <w:spacing w:before="240" w:line="360" w:lineRule="auto"/>
        <w:ind w:right="51"/>
        <w:jc w:val="both"/>
        <w:rPr>
          <w:rFonts w:ascii="Palatino Linotype" w:eastAsia="Palatino Linotype" w:hAnsi="Palatino Linotype" w:cs="Palatino Linotype"/>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487DC4" w:rsidRDefault="00487DC4">
      <w:pPr>
        <w:spacing w:line="360" w:lineRule="auto"/>
        <w:jc w:val="both"/>
        <w:rPr>
          <w:rFonts w:ascii="Palatino Linotype" w:eastAsia="Palatino Linotype" w:hAnsi="Palatino Linotype" w:cs="Palatino Linotype"/>
        </w:rPr>
      </w:pPr>
    </w:p>
    <w:p w:rsidR="00487DC4" w:rsidRDefault="00A074CF">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487DC4" w:rsidRDefault="00487DC4">
      <w:pPr>
        <w:spacing w:line="360" w:lineRule="auto"/>
        <w:jc w:val="both"/>
        <w:rPr>
          <w:rFonts w:ascii="Palatino Linotype" w:eastAsia="Palatino Linotype" w:hAnsi="Palatino Linotype" w:cs="Palatino Linotype"/>
        </w:rPr>
      </w:pPr>
    </w:p>
    <w:p w:rsidR="00487DC4" w:rsidRDefault="00A074C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487DC4" w:rsidRDefault="00487DC4">
      <w:pPr>
        <w:spacing w:line="360" w:lineRule="auto"/>
        <w:jc w:val="both"/>
        <w:rPr>
          <w:rFonts w:ascii="Palatino Linotype" w:eastAsia="Palatino Linotype" w:hAnsi="Palatino Linotype" w:cs="Palatino Linotype"/>
        </w:rPr>
      </w:pPr>
    </w:p>
    <w:p w:rsidR="00487DC4" w:rsidRDefault="00A074C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Pr>
          <w:rFonts w:ascii="Palatino Linotype" w:eastAsia="Palatino Linotype" w:hAnsi="Palatino Linotype" w:cs="Palatino Linotype"/>
        </w:rPr>
        <w:lastRenderedPageBreak/>
        <w:t>la Ley de Transparencia y Acceso a la Información Pública del Estado de México y Municipios, este Pleno:</w:t>
      </w:r>
    </w:p>
    <w:p w:rsidR="00487DC4" w:rsidRDefault="00A074CF">
      <w:pPr>
        <w:numPr>
          <w:ilvl w:val="0"/>
          <w:numId w:val="5"/>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bookmarkStart w:id="1" w:name="_GoBack"/>
      <w:bookmarkEnd w:id="1"/>
    </w:p>
    <w:p w:rsidR="00487DC4" w:rsidRDefault="00A074CF">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parcialmente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los Recursos de Revisión </w:t>
      </w:r>
      <w:r>
        <w:rPr>
          <w:rFonts w:ascii="Palatino Linotype" w:eastAsia="Palatino Linotype" w:hAnsi="Palatino Linotype" w:cs="Palatino Linotype"/>
          <w:b/>
        </w:rPr>
        <w:t>08064/INFOEM/IP/RR/2022</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08065/INFOEM/IP/RR/2022, 08066/INFOEM/IP/RR/2022 y 08075/INFOEM/IP/RR/2022;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REVOCAN </w:t>
      </w:r>
      <w:r>
        <w:rPr>
          <w:rFonts w:ascii="Palatino Linotype" w:eastAsia="Palatino Linotype" w:hAnsi="Palatino Linotype" w:cs="Palatino Linotype"/>
        </w:rPr>
        <w:t xml:space="preserve">las respuestas emitidas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487DC4" w:rsidRDefault="00A074C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Cuarto y Quinto, haga entrega vía SAIMEX, </w:t>
      </w:r>
      <w:r>
        <w:rPr>
          <w:rFonts w:ascii="Palatino Linotype" w:eastAsia="Palatino Linotype" w:hAnsi="Palatino Linotype" w:cs="Palatino Linotype"/>
          <w:highlight w:val="white"/>
        </w:rPr>
        <w:t>en versión pública</w:t>
      </w:r>
      <w:r>
        <w:rPr>
          <w:rFonts w:ascii="Palatino Linotype" w:eastAsia="Palatino Linotype" w:hAnsi="Palatino Linotype" w:cs="Palatino Linotype"/>
        </w:rPr>
        <w:t>, del documento o documentos en donde conste lo siguiente:</w:t>
      </w:r>
    </w:p>
    <w:p w:rsidR="00487DC4" w:rsidRDefault="00A074C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formato “pdf” o en el que se haya generado:</w:t>
      </w:r>
    </w:p>
    <w:p w:rsidR="00487DC4" w:rsidRDefault="00A074C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registró para el taller de codependencia llevado a cabo "todos los miércoles" y el aviso de privacidad del registro, realizado por la presente administración al diez de marzo de dos mil veintidós. </w:t>
      </w:r>
    </w:p>
    <w:p w:rsidR="00487DC4" w:rsidRDefault="00A074C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registro de los asistentes a la videoconferencia "mujer de todos los tiempos", realizado por la presente administración al diez de marzo de dos mil veintidós. </w:t>
      </w:r>
    </w:p>
    <w:p w:rsidR="00487DC4" w:rsidRDefault="00A074C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El registro de los asistentes al foro del día internacional de la mujer, el presupuesto destinado a ese evento y las invitaciones efectuada</w:t>
      </w:r>
      <w:r>
        <w:rPr>
          <w:rFonts w:ascii="Palatino Linotype" w:eastAsia="Palatino Linotype" w:hAnsi="Palatino Linotype" w:cs="Palatino Linotype"/>
        </w:rPr>
        <w:t>s</w:t>
      </w:r>
      <w:r>
        <w:rPr>
          <w:rFonts w:ascii="Palatino Linotype" w:eastAsia="Palatino Linotype" w:hAnsi="Palatino Linotype" w:cs="Palatino Linotype"/>
          <w:color w:val="000000"/>
        </w:rPr>
        <w:t>, realizado por la presente administración</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al diez de marzo de dos mil veintidós.</w:t>
      </w:r>
    </w:p>
    <w:p w:rsidR="00487DC4" w:rsidRDefault="00A074C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asistentes al cine-debate organizado el 11 de marzo del año 2022.</w:t>
      </w:r>
    </w:p>
    <w:p w:rsidR="00487DC4" w:rsidRDefault="00A074CF">
      <w:pPr>
        <w:pBdr>
          <w:top w:val="nil"/>
          <w:left w:val="nil"/>
          <w:bottom w:val="nil"/>
          <w:right w:val="nil"/>
          <w:between w:val="nil"/>
        </w:pBdr>
        <w:spacing w:before="240" w:after="240" w:line="360" w:lineRule="auto"/>
        <w:ind w:left="1080"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del recurrente, mismo que igualmente hará de su conocimiento</w:t>
      </w:r>
      <w:r>
        <w:rPr>
          <w:rFonts w:ascii="Palatino Linotype" w:eastAsia="Palatino Linotype" w:hAnsi="Palatino Linotype" w:cs="Palatino Linotype"/>
          <w:color w:val="000000"/>
          <w:sz w:val="22"/>
          <w:szCs w:val="22"/>
        </w:rPr>
        <w:t>.</w:t>
      </w:r>
    </w:p>
    <w:p w:rsidR="00487DC4" w:rsidRDefault="00A074CF">
      <w:pPr>
        <w:pBdr>
          <w:top w:val="nil"/>
          <w:left w:val="nil"/>
          <w:bottom w:val="nil"/>
          <w:right w:val="nil"/>
          <w:between w:val="nil"/>
        </w:pBdr>
        <w:spacing w:before="240" w:after="240" w:line="360" w:lineRule="auto"/>
        <w:ind w:left="1080"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Para el caso de la información que se ordena en el numeral “3”, no se haya generado bastará con que así lo haga del conocimiento de la parte Recurrente de manera fundada y motivada, en términos del segundo párrafo del artículo 19 de la Ley de Transparencia y Acceso a la Información Pública del Estado de México y Municipios.</w:t>
      </w:r>
    </w:p>
    <w:p w:rsidR="00487DC4" w:rsidRDefault="00A074CF">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al Responsable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487DC4" w:rsidRDefault="00487DC4">
      <w:pPr>
        <w:spacing w:line="360" w:lineRule="auto"/>
        <w:jc w:val="both"/>
        <w:rPr>
          <w:rFonts w:ascii="Palatino Linotype" w:eastAsia="Palatino Linotype" w:hAnsi="Palatino Linotype" w:cs="Palatino Linotype"/>
          <w:b/>
        </w:rPr>
      </w:pPr>
    </w:p>
    <w:p w:rsidR="00487DC4" w:rsidRDefault="00A074C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Notifíquese,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vía Sistema de Acceso a la Información Mexiquense (SAIMEX),</w:t>
      </w:r>
      <w:r>
        <w:rPr>
          <w:rFonts w:ascii="Palatino Linotype" w:eastAsia="Palatino Linotype" w:hAnsi="Palatino Linotype" w:cs="Palatino Linotype"/>
        </w:rPr>
        <w:t xml:space="preserve"> </w:t>
      </w:r>
      <w:r>
        <w:rPr>
          <w:rFonts w:ascii="Palatino Linotype" w:eastAsia="Palatino Linotype" w:hAnsi="Palatino Linotype" w:cs="Palatino Linotype"/>
          <w:highlight w:val="white"/>
        </w:rPr>
        <w:t xml:space="preserve">la presente resolución, </w:t>
      </w:r>
      <w:r>
        <w:rPr>
          <w:rFonts w:ascii="Palatino Linotype" w:eastAsia="Palatino Linotype" w:hAnsi="Palatino Linotype" w:cs="Palatino Linotype"/>
        </w:rPr>
        <w:t xml:space="preserve">así como, que de conformidad con </w:t>
      </w:r>
      <w:r>
        <w:rPr>
          <w:rFonts w:ascii="Palatino Linotype" w:eastAsia="Palatino Linotype" w:hAnsi="Palatino Linotype" w:cs="Palatino Linotype"/>
        </w:rPr>
        <w:lastRenderedPageBreak/>
        <w:t xml:space="preserve">lo establecido en el artículo 196 de la Ley de Transparencia y Acceso a la Información Pública del Estado de México y Municipios, en caso de que considere que le causa algún perjuicio podrá impugnarla </w:t>
      </w:r>
      <w:r>
        <w:rPr>
          <w:rFonts w:ascii="Palatino Linotype" w:eastAsia="Palatino Linotype" w:hAnsi="Palatino Linotype" w:cs="Palatino Linotype"/>
          <w:b/>
        </w:rPr>
        <w:t>vía Juicio de Amparo</w:t>
      </w:r>
      <w:r>
        <w:rPr>
          <w:rFonts w:ascii="Palatino Linotype" w:eastAsia="Palatino Linotype" w:hAnsi="Palatino Linotype" w:cs="Palatino Linotype"/>
        </w:rPr>
        <w:t xml:space="preserve"> en los términos de las leyes aplicables.</w:t>
      </w:r>
    </w:p>
    <w:p w:rsidR="00487DC4" w:rsidRDefault="00A074C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487DC4" w:rsidRDefault="00A074CF">
      <w:pPr>
        <w:spacing w:before="240" w:after="240" w:line="360" w:lineRule="auto"/>
        <w:jc w:val="both"/>
        <w:rPr>
          <w:rFonts w:ascii="Palatino Linotype" w:eastAsia="Palatino Linotype" w:hAnsi="Palatino Linotype" w:cs="Palatino Linotype"/>
        </w:rPr>
        <w:sectPr w:rsidR="00487DC4">
          <w:headerReference w:type="default" r:id="rId16"/>
          <w:footerReference w:type="default" r:id="rId17"/>
          <w:headerReference w:type="first" r:id="rId18"/>
          <w:footerReference w:type="first" r:id="rId19"/>
          <w:pgSz w:w="12240" w:h="15840"/>
          <w:pgMar w:top="2041" w:right="1701" w:bottom="1701" w:left="1701" w:header="709" w:footer="709" w:gutter="0"/>
          <w:pgNumType w:start="1"/>
          <w:cols w:space="720"/>
          <w:titlePg/>
        </w:sectPr>
      </w:pPr>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DIECINUEVE</w:t>
      </w:r>
      <w:r>
        <w:rPr>
          <w:rFonts w:ascii="Palatino Linotype" w:eastAsia="Palatino Linotype" w:hAnsi="Palatino Linotype" w:cs="Palatino Linotype"/>
        </w:rPr>
        <w:t xml:space="preserve"> DE OCTUBRE DEL DOS MIL VEINTIDÓS, ANTE EL SECRETARIO TÉCNICO DEL PLENO ALEXIS TAPIA RAMÍREZ.     </w:t>
      </w:r>
    </w:p>
    <w:p w:rsidR="00487DC4" w:rsidRDefault="00487DC4">
      <w:pPr>
        <w:spacing w:before="240" w:after="240" w:line="360" w:lineRule="auto"/>
        <w:jc w:val="both"/>
        <w:rPr>
          <w:rFonts w:ascii="Palatino Linotype" w:eastAsia="Palatino Linotype" w:hAnsi="Palatino Linotype" w:cs="Palatino Linotype"/>
        </w:rPr>
      </w:pPr>
    </w:p>
    <w:p w:rsidR="00600D13" w:rsidRDefault="00600D13">
      <w:pPr>
        <w:spacing w:before="240" w:after="240" w:line="360" w:lineRule="auto"/>
        <w:jc w:val="both"/>
        <w:rPr>
          <w:rFonts w:ascii="Palatino Linotype" w:eastAsia="Palatino Linotype" w:hAnsi="Palatino Linotype" w:cs="Palatino Linotype"/>
        </w:rPr>
      </w:pPr>
    </w:p>
    <w:p w:rsidR="00600D13" w:rsidRDefault="00600D13">
      <w:pPr>
        <w:spacing w:before="240" w:after="240" w:line="360" w:lineRule="auto"/>
        <w:jc w:val="both"/>
        <w:rPr>
          <w:rFonts w:ascii="Palatino Linotype" w:eastAsia="Palatino Linotype" w:hAnsi="Palatino Linotype" w:cs="Palatino Linotype"/>
        </w:rPr>
      </w:pPr>
    </w:p>
    <w:p w:rsidR="00600D13" w:rsidRDefault="00600D13">
      <w:pPr>
        <w:spacing w:before="240" w:after="240" w:line="360" w:lineRule="auto"/>
        <w:jc w:val="both"/>
        <w:rPr>
          <w:rFonts w:ascii="Palatino Linotype" w:eastAsia="Palatino Linotype" w:hAnsi="Palatino Linotype" w:cs="Palatino Linotype"/>
        </w:rPr>
      </w:pPr>
    </w:p>
    <w:sectPr w:rsidR="00600D13">
      <w:headerReference w:type="first" r:id="rId20"/>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81F" w:rsidRDefault="00C1281F">
      <w:r>
        <w:separator/>
      </w:r>
    </w:p>
  </w:endnote>
  <w:endnote w:type="continuationSeparator" w:id="0">
    <w:p w:rsidR="00C1281F" w:rsidRDefault="00C12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DC4" w:rsidRDefault="00A074C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964F7">
      <w:rPr>
        <w:rFonts w:ascii="Arial" w:eastAsia="Arial" w:hAnsi="Arial" w:cs="Arial"/>
        <w:b/>
        <w:noProof/>
        <w:color w:val="000000"/>
        <w:sz w:val="20"/>
        <w:szCs w:val="20"/>
      </w:rPr>
      <w:t>56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964F7">
      <w:rPr>
        <w:rFonts w:ascii="Arial" w:eastAsia="Arial" w:hAnsi="Arial" w:cs="Arial"/>
        <w:b/>
        <w:noProof/>
        <w:color w:val="000000"/>
        <w:sz w:val="20"/>
        <w:szCs w:val="20"/>
      </w:rPr>
      <w:t>59</w:t>
    </w:r>
    <w:r>
      <w:rPr>
        <w:rFonts w:ascii="Arial" w:eastAsia="Arial" w:hAnsi="Arial" w:cs="Arial"/>
        <w:b/>
        <w:color w:val="000000"/>
        <w:sz w:val="20"/>
        <w:szCs w:val="20"/>
      </w:rPr>
      <w:fldChar w:fldCharType="end"/>
    </w:r>
  </w:p>
  <w:p w:rsidR="00487DC4" w:rsidRDefault="00487DC4">
    <w:pPr>
      <w:pBdr>
        <w:top w:val="nil"/>
        <w:left w:val="nil"/>
        <w:bottom w:val="nil"/>
        <w:right w:val="nil"/>
        <w:between w:val="nil"/>
      </w:pBdr>
      <w:tabs>
        <w:tab w:val="center" w:pos="4252"/>
        <w:tab w:val="right" w:pos="8504"/>
      </w:tabs>
      <w:rPr>
        <w:color w:val="000000"/>
      </w:rPr>
    </w:pPr>
  </w:p>
  <w:p w:rsidR="00487DC4" w:rsidRDefault="00487DC4">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DC4" w:rsidRDefault="00A074C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964F7">
      <w:rPr>
        <w:rFonts w:ascii="Arial" w:eastAsia="Arial" w:hAnsi="Arial" w:cs="Arial"/>
        <w:b/>
        <w:noProof/>
        <w:color w:val="000000"/>
        <w:sz w:val="20"/>
        <w:szCs w:val="20"/>
      </w:rPr>
      <w:t>59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964F7">
      <w:rPr>
        <w:rFonts w:ascii="Arial" w:eastAsia="Arial" w:hAnsi="Arial" w:cs="Arial"/>
        <w:b/>
        <w:noProof/>
        <w:color w:val="000000"/>
        <w:sz w:val="20"/>
        <w:szCs w:val="20"/>
      </w:rPr>
      <w:t>59</w:t>
    </w:r>
    <w:r>
      <w:rPr>
        <w:rFonts w:ascii="Arial" w:eastAsia="Arial" w:hAnsi="Arial" w:cs="Arial"/>
        <w:b/>
        <w:color w:val="000000"/>
        <w:sz w:val="20"/>
        <w:szCs w:val="20"/>
      </w:rPr>
      <w:fldChar w:fldCharType="end"/>
    </w:r>
  </w:p>
  <w:p w:rsidR="00487DC4" w:rsidRDefault="00487DC4">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81F" w:rsidRDefault="00C1281F">
      <w:r>
        <w:separator/>
      </w:r>
    </w:p>
  </w:footnote>
  <w:footnote w:type="continuationSeparator" w:id="0">
    <w:p w:rsidR="00C1281F" w:rsidRDefault="00C128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DC4" w:rsidRDefault="00487DC4">
    <w:pPr>
      <w:widowControl w:val="0"/>
      <w:pBdr>
        <w:top w:val="nil"/>
        <w:left w:val="nil"/>
        <w:bottom w:val="nil"/>
        <w:right w:val="nil"/>
        <w:between w:val="nil"/>
      </w:pBdr>
      <w:spacing w:line="276" w:lineRule="auto"/>
      <w:rPr>
        <w:rFonts w:ascii="Calibri" w:eastAsia="Calibri" w:hAnsi="Calibri" w:cs="Calibri"/>
        <w:color w:val="000000"/>
      </w:rPr>
    </w:pPr>
  </w:p>
  <w:tbl>
    <w:tblPr>
      <w:tblStyle w:val="a4"/>
      <w:tblW w:w="5528" w:type="dxa"/>
      <w:tblInd w:w="3261" w:type="dxa"/>
      <w:tblLayout w:type="fixed"/>
      <w:tblLook w:val="0400" w:firstRow="0" w:lastRow="0" w:firstColumn="0" w:lastColumn="0" w:noHBand="0" w:noVBand="1"/>
    </w:tblPr>
    <w:tblGrid>
      <w:gridCol w:w="2551"/>
      <w:gridCol w:w="2977"/>
    </w:tblGrid>
    <w:tr w:rsidR="00487DC4">
      <w:tc>
        <w:tcPr>
          <w:tcW w:w="2551" w:type="dxa"/>
          <w:vAlign w:val="center"/>
        </w:tcPr>
        <w:p w:rsidR="00487DC4" w:rsidRDefault="00A074C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487DC4" w:rsidRDefault="00A074C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08064/INFOEM/IP/RR/2022 y acumulado.</w:t>
          </w:r>
        </w:p>
      </w:tc>
    </w:tr>
    <w:tr w:rsidR="00487DC4">
      <w:trPr>
        <w:trHeight w:val="228"/>
      </w:trPr>
      <w:tc>
        <w:tcPr>
          <w:tcW w:w="2551" w:type="dxa"/>
          <w:vAlign w:val="center"/>
        </w:tcPr>
        <w:p w:rsidR="00487DC4" w:rsidRDefault="00A074C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487DC4" w:rsidRDefault="00A074C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Metepec.</w:t>
          </w:r>
        </w:p>
      </w:tc>
    </w:tr>
    <w:tr w:rsidR="00487DC4">
      <w:tc>
        <w:tcPr>
          <w:tcW w:w="2551" w:type="dxa"/>
          <w:vAlign w:val="center"/>
        </w:tcPr>
        <w:p w:rsidR="00487DC4" w:rsidRDefault="00A074C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487DC4" w:rsidRDefault="00A074C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87DC4" w:rsidRDefault="00A074CF">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-695769</wp:posOffset>
          </wp:positionH>
          <wp:positionV relativeFrom="paragraph">
            <wp:posOffset>-1200944</wp:posOffset>
          </wp:positionV>
          <wp:extent cx="7809876" cy="10165823"/>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DC4" w:rsidRDefault="00A074CF">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-846159</wp:posOffset>
          </wp:positionH>
          <wp:positionV relativeFrom="paragraph">
            <wp:posOffset>-171230</wp:posOffset>
          </wp:positionV>
          <wp:extent cx="7809876" cy="10165823"/>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3"/>
      <w:tblW w:w="5670" w:type="dxa"/>
      <w:tblInd w:w="3119" w:type="dxa"/>
      <w:tblLayout w:type="fixed"/>
      <w:tblLook w:val="0400" w:firstRow="0" w:lastRow="0" w:firstColumn="0" w:lastColumn="0" w:noHBand="0" w:noVBand="1"/>
    </w:tblPr>
    <w:tblGrid>
      <w:gridCol w:w="2551"/>
      <w:gridCol w:w="3119"/>
    </w:tblGrid>
    <w:tr w:rsidR="00487DC4">
      <w:tc>
        <w:tcPr>
          <w:tcW w:w="2551" w:type="dxa"/>
          <w:vAlign w:val="center"/>
        </w:tcPr>
        <w:p w:rsidR="00487DC4" w:rsidRDefault="00A074C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487DC4" w:rsidRDefault="00A074C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08064/INFOEM/IP/RR/2022 y acumulados.</w:t>
          </w:r>
        </w:p>
      </w:tc>
    </w:tr>
    <w:tr w:rsidR="00487DC4">
      <w:tc>
        <w:tcPr>
          <w:tcW w:w="2551" w:type="dxa"/>
          <w:vAlign w:val="center"/>
        </w:tcPr>
        <w:p w:rsidR="00487DC4" w:rsidRDefault="00A074CF">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487DC4" w:rsidRDefault="00487DC4">
          <w:pPr>
            <w:jc w:val="both"/>
            <w:rPr>
              <w:rFonts w:ascii="Palatino Linotype" w:eastAsia="Palatino Linotype" w:hAnsi="Palatino Linotype" w:cs="Palatino Linotype"/>
              <w:b/>
              <w:sz w:val="22"/>
              <w:szCs w:val="22"/>
            </w:rPr>
          </w:pPr>
        </w:p>
      </w:tc>
    </w:tr>
    <w:tr w:rsidR="00487DC4">
      <w:trPr>
        <w:trHeight w:val="228"/>
      </w:trPr>
      <w:tc>
        <w:tcPr>
          <w:tcW w:w="2551" w:type="dxa"/>
          <w:vAlign w:val="center"/>
        </w:tcPr>
        <w:p w:rsidR="00487DC4" w:rsidRDefault="00A074C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487DC4" w:rsidRDefault="00A074C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Metepec.</w:t>
          </w:r>
        </w:p>
      </w:tc>
    </w:tr>
    <w:tr w:rsidR="00487DC4">
      <w:tc>
        <w:tcPr>
          <w:tcW w:w="2551" w:type="dxa"/>
          <w:vAlign w:val="center"/>
        </w:tcPr>
        <w:p w:rsidR="00487DC4" w:rsidRDefault="00A074C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487DC4" w:rsidRDefault="00A074C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87DC4" w:rsidRDefault="00487DC4">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DC4" w:rsidRDefault="00487DC4">
    <w:pPr>
      <w:pBdr>
        <w:top w:val="nil"/>
        <w:left w:val="nil"/>
        <w:bottom w:val="nil"/>
        <w:right w:val="nil"/>
        <w:between w:val="nil"/>
      </w:pBdr>
      <w:tabs>
        <w:tab w:val="center" w:pos="4252"/>
        <w:tab w:val="right" w:pos="8504"/>
      </w:tabs>
      <w:jc w:val="both"/>
      <w:rPr>
        <w:rFonts w:ascii="Calibri" w:eastAsia="Calibri" w:hAnsi="Calibri" w:cs="Calibri"/>
        <w:color w:val="000000"/>
      </w:rPr>
    </w:pPr>
  </w:p>
  <w:p w:rsidR="00487DC4" w:rsidRDefault="00487DC4">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DC693A"/>
    <w:multiLevelType w:val="multilevel"/>
    <w:tmpl w:val="5AB43E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EA75FF0"/>
    <w:multiLevelType w:val="multilevel"/>
    <w:tmpl w:val="973C833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2144530"/>
    <w:multiLevelType w:val="multilevel"/>
    <w:tmpl w:val="EBDA8A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9062F83"/>
    <w:multiLevelType w:val="multilevel"/>
    <w:tmpl w:val="D72C423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C8C1420"/>
    <w:multiLevelType w:val="multilevel"/>
    <w:tmpl w:val="7D7469E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DC4"/>
    <w:rsid w:val="00487DC4"/>
    <w:rsid w:val="00600D13"/>
    <w:rsid w:val="006964F7"/>
    <w:rsid w:val="008163BF"/>
    <w:rsid w:val="00A074CF"/>
    <w:rsid w:val="00C1281F"/>
    <w:rsid w:val="00C37B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71BC79-C7CD-4A55-8AFD-DFADBFA0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15453.page"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QOAg0qIfJjE+Q+3O/ZkUY/0+hw==">AMUW2mUu3P0AU3LqkIHamw7qwfvlsWtD6wecKDWlZedDjhPax/OOL12yGlBg8hfq/5qPaDB5sxhXHEG8lQCIMFpfiqp/aGlJ1BkwQdoi8V0GG5p/KelmQxPLjujtQSxXxaBCEgO2k+ly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14870</Words>
  <Characters>81788</Characters>
  <Application>Microsoft Office Word</Application>
  <DocSecurity>0</DocSecurity>
  <Lines>681</Lines>
  <Paragraphs>192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96466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cp:lastModifiedBy>
  <cp:revision>2</cp:revision>
  <cp:lastPrinted>2022-10-20T15:21:00Z</cp:lastPrinted>
  <dcterms:created xsi:type="dcterms:W3CDTF">2022-11-04T02:06:00Z</dcterms:created>
  <dcterms:modified xsi:type="dcterms:W3CDTF">2022-11-04T02:06:00Z</dcterms:modified>
</cp:coreProperties>
</file>