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6A6244C"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21148">
        <w:rPr>
          <w:rFonts w:ascii="Palatino Linotype" w:eastAsia="Times New Roman" w:hAnsi="Palatino Linotype" w:cs="Arial"/>
          <w:color w:val="000000"/>
          <w:sz w:val="24"/>
          <w:szCs w:val="24"/>
          <w:lang w:eastAsia="es-MX"/>
        </w:rPr>
        <w:t>cuatro</w:t>
      </w:r>
      <w:r w:rsidR="00073E92">
        <w:rPr>
          <w:rFonts w:ascii="Palatino Linotype" w:eastAsia="Times New Roman" w:hAnsi="Palatino Linotype" w:cs="Arial"/>
          <w:color w:val="000000"/>
          <w:sz w:val="24"/>
          <w:szCs w:val="24"/>
          <w:lang w:eastAsia="es-MX"/>
        </w:rPr>
        <w:t xml:space="preserve"> de febrero de dos mil veintidós.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F9B75EB" w14:textId="277FBF7A" w:rsidR="00073E92" w:rsidRPr="00073E92"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073E92">
        <w:rPr>
          <w:rFonts w:ascii="Palatino Linotype" w:hAnsi="Palatino Linotype" w:cs="Arial"/>
          <w:b/>
          <w:sz w:val="24"/>
        </w:rPr>
        <w:t>05950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 xml:space="preserve">C. </w:t>
      </w:r>
      <w:r w:rsidR="00710CD9">
        <w:rPr>
          <w:rFonts w:ascii="Palatino Linotype" w:hAnsi="Palatino Linotype" w:cs="Arial"/>
          <w:b/>
          <w:sz w:val="24"/>
        </w:rPr>
        <w:t>xxxxxxxxxxxxxxxxxxxxxx</w:t>
      </w:r>
      <w:bookmarkStart w:id="0" w:name="_GoBack"/>
      <w:bookmarkEnd w:id="0"/>
      <w:r w:rsidR="00073E92">
        <w:rPr>
          <w:rFonts w:ascii="Palatino Linotype" w:hAnsi="Palatino Linotype" w:cs="Arial"/>
          <w:b/>
          <w:sz w:val="24"/>
        </w:rPr>
        <w:t xml:space="preserve">, </w:t>
      </w:r>
      <w:r w:rsidR="00073E92">
        <w:rPr>
          <w:rFonts w:ascii="Palatino Linotype" w:hAnsi="Palatino Linotype" w:cs="Arial"/>
          <w:sz w:val="24"/>
        </w:rPr>
        <w:t xml:space="preserve">en lo sucesivo </w:t>
      </w:r>
      <w:r w:rsidR="00073E92">
        <w:rPr>
          <w:rFonts w:ascii="Palatino Linotype" w:hAnsi="Palatino Linotype" w:cs="Arial"/>
          <w:b/>
          <w:sz w:val="24"/>
        </w:rPr>
        <w:t xml:space="preserve">El Recurrente, </w:t>
      </w:r>
      <w:r w:rsidR="00073E92">
        <w:rPr>
          <w:rFonts w:ascii="Palatino Linotype" w:hAnsi="Palatino Linotype" w:cs="Arial"/>
          <w:sz w:val="24"/>
        </w:rPr>
        <w:t xml:space="preserve">en contra de la respuesta del </w:t>
      </w:r>
      <w:r w:rsidR="00073E92">
        <w:rPr>
          <w:rFonts w:ascii="Palatino Linotype" w:hAnsi="Palatino Linotype" w:cs="Arial"/>
          <w:b/>
          <w:sz w:val="24"/>
        </w:rPr>
        <w:t xml:space="preserve">Ayuntamiento de </w:t>
      </w:r>
      <w:proofErr w:type="spellStart"/>
      <w:r w:rsidR="00073E92">
        <w:rPr>
          <w:rFonts w:ascii="Palatino Linotype" w:hAnsi="Palatino Linotype" w:cs="Arial"/>
          <w:b/>
          <w:sz w:val="24"/>
        </w:rPr>
        <w:t>Temascalcingo</w:t>
      </w:r>
      <w:proofErr w:type="spellEnd"/>
      <w:r w:rsidR="00073E92">
        <w:rPr>
          <w:rFonts w:ascii="Palatino Linotype" w:hAnsi="Palatino Linotype" w:cs="Arial"/>
          <w:b/>
          <w:sz w:val="24"/>
        </w:rPr>
        <w:t xml:space="preserve">, </w:t>
      </w:r>
      <w:r w:rsidR="00073E92">
        <w:rPr>
          <w:rFonts w:ascii="Palatino Linotype" w:hAnsi="Palatino Linotype" w:cs="Arial"/>
          <w:sz w:val="24"/>
        </w:rPr>
        <w:t xml:space="preserve">en lo sucesivo </w:t>
      </w:r>
      <w:r w:rsidR="00073E92">
        <w:rPr>
          <w:rFonts w:ascii="Palatino Linotype" w:hAnsi="Palatino Linotype" w:cs="Arial"/>
          <w:b/>
          <w:sz w:val="24"/>
        </w:rPr>
        <w:t xml:space="preserve">El Sujeto Obligado, </w:t>
      </w:r>
      <w:r w:rsidR="00073E92">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8763471" w14:textId="4968889B" w:rsidR="00073E92"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073E92">
        <w:rPr>
          <w:rFonts w:ascii="Palatino Linotype" w:hAnsi="Palatino Linotype" w:cs="Arial"/>
          <w:sz w:val="24"/>
        </w:rPr>
        <w:t xml:space="preserve">tres de noviembre de dos mil veintiuno, </w:t>
      </w:r>
      <w:r w:rsidR="00073E92">
        <w:rPr>
          <w:rFonts w:ascii="Palatino Linotype" w:hAnsi="Palatino Linotype" w:cs="Arial"/>
          <w:b/>
          <w:sz w:val="24"/>
        </w:rPr>
        <w:t xml:space="preserve">El Recurrente, </w:t>
      </w:r>
      <w:r w:rsidR="00073E92">
        <w:rPr>
          <w:rFonts w:ascii="Palatino Linotype" w:hAnsi="Palatino Linotype" w:cs="Arial"/>
          <w:sz w:val="24"/>
        </w:rPr>
        <w:t>presentó a través del Sistema de Acceso de Información Mexiquense (</w:t>
      </w:r>
      <w:r w:rsidR="00073E92">
        <w:rPr>
          <w:rFonts w:ascii="Palatino Linotype" w:hAnsi="Palatino Linotype" w:cs="Arial"/>
          <w:b/>
          <w:sz w:val="24"/>
        </w:rPr>
        <w:t>SAIMEX)</w:t>
      </w:r>
      <w:r w:rsidR="00073E92">
        <w:rPr>
          <w:rFonts w:ascii="Palatino Linotype" w:hAnsi="Palatino Linotype" w:cs="Arial"/>
          <w:sz w:val="24"/>
        </w:rPr>
        <w:t xml:space="preserve"> ante </w:t>
      </w:r>
      <w:r w:rsidR="00073E92">
        <w:rPr>
          <w:rFonts w:ascii="Palatino Linotype" w:hAnsi="Palatino Linotype" w:cs="Arial"/>
          <w:b/>
          <w:sz w:val="24"/>
        </w:rPr>
        <w:t>El Sujeto Obligado</w:t>
      </w:r>
      <w:r w:rsidR="00073E92">
        <w:rPr>
          <w:rFonts w:ascii="Palatino Linotype" w:hAnsi="Palatino Linotype" w:cs="Arial"/>
          <w:sz w:val="24"/>
        </w:rPr>
        <w:t xml:space="preserve">, solicitud de acceso a la información pública, registrada bajo el número de expediente </w:t>
      </w:r>
      <w:r w:rsidR="00073E92">
        <w:rPr>
          <w:rFonts w:ascii="Palatino Linotype" w:hAnsi="Palatino Linotype" w:cs="Arial"/>
          <w:b/>
          <w:sz w:val="24"/>
        </w:rPr>
        <w:t xml:space="preserve">00100/TMASCALC/IP/2021, </w:t>
      </w:r>
      <w:r w:rsidR="00073E92">
        <w:rPr>
          <w:rFonts w:ascii="Palatino Linotype" w:hAnsi="Palatino Linotype" w:cs="Arial"/>
          <w:sz w:val="24"/>
        </w:rPr>
        <w:t xml:space="preserve">mediante la cual solicitó información en el </w:t>
      </w:r>
      <w:proofErr w:type="gramStart"/>
      <w:r w:rsidR="00073E92">
        <w:rPr>
          <w:rFonts w:ascii="Palatino Linotype" w:hAnsi="Palatino Linotype" w:cs="Arial"/>
          <w:sz w:val="24"/>
        </w:rPr>
        <w:t>tenor</w:t>
      </w:r>
      <w:proofErr w:type="gramEnd"/>
      <w:r w:rsidR="00073E92">
        <w:rPr>
          <w:rFonts w:ascii="Palatino Linotype" w:hAnsi="Palatino Linotype" w:cs="Arial"/>
          <w:sz w:val="24"/>
        </w:rPr>
        <w:t xml:space="preserve"> siguiente: </w:t>
      </w:r>
    </w:p>
    <w:p w14:paraId="22BD0B55" w14:textId="7A3F2FF8" w:rsidR="00073E92" w:rsidRPr="00073E92" w:rsidRDefault="00073E92" w:rsidP="00073E92">
      <w:pPr>
        <w:pStyle w:val="Citas"/>
        <w:rPr>
          <w:b/>
          <w:sz w:val="24"/>
        </w:rPr>
      </w:pPr>
      <w:r>
        <w:t xml:space="preserve">“se requiere el censo más reciente, con el que se factura el alumbrado público del municipio, firmado por la Comisión Federal de Electricidad y el Municipio. </w:t>
      </w:r>
      <w:proofErr w:type="gramStart"/>
      <w:r>
        <w:t>se</w:t>
      </w:r>
      <w:proofErr w:type="gramEnd"/>
      <w:r>
        <w:t xml:space="preserve"> requiere información sobre la recaudación del DAP más reciente.” </w:t>
      </w:r>
      <w:r>
        <w:rPr>
          <w:b/>
        </w:rPr>
        <w:t>[Sic]</w:t>
      </w:r>
    </w:p>
    <w:p w14:paraId="0EF3086D" w14:textId="77777777" w:rsidR="00073E92" w:rsidRDefault="00073E92" w:rsidP="00073E92">
      <w:pPr>
        <w:pStyle w:val="Citas"/>
        <w:rPr>
          <w:sz w:val="24"/>
        </w:rPr>
      </w:pPr>
    </w:p>
    <w:p w14:paraId="3133175C" w14:textId="77777777" w:rsidR="00073E92" w:rsidRDefault="00073E92" w:rsidP="006D5803">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De forma complementaria, adjuntó el documento electrónico </w:t>
      </w:r>
      <w:r>
        <w:rPr>
          <w:rFonts w:ascii="Palatino Linotype" w:hAnsi="Palatino Linotype" w:cs="Arial"/>
          <w:b/>
          <w:sz w:val="24"/>
        </w:rPr>
        <w:t xml:space="preserve">“solicitud de información.docx”, </w:t>
      </w:r>
      <w:r>
        <w:rPr>
          <w:rFonts w:ascii="Palatino Linotype" w:hAnsi="Palatino Linotype" w:cs="Arial"/>
          <w:sz w:val="24"/>
        </w:rPr>
        <w:t>cuyo contenido literal es el siguiente:</w:t>
      </w:r>
    </w:p>
    <w:p w14:paraId="68C670C1" w14:textId="66637F45" w:rsidR="00073E92" w:rsidRPr="00073E92" w:rsidRDefault="00073E92" w:rsidP="00073E92">
      <w:pPr>
        <w:pStyle w:val="Citas"/>
        <w:ind w:left="1211"/>
      </w:pPr>
      <w:r>
        <w:t xml:space="preserve">“1. </w:t>
      </w:r>
      <w:r w:rsidRPr="00073E92">
        <w:t>Se requiere ¿cuánto se factura mensualmente en alumbrado público? y ¿cuánto se recauda por derechos de alumbrado público?, y en su caso, el adeudo que se genera y ¿si ya se pagó o no la diferencia entre facturación y DAP? o ¿si existe un saldo a favor del municipio?, Se requiere la información mes por mes del periodo de 1° de enero de 2020 al 31 de octubre de 2021. Se solicita adicionalmente, los avisos recibos emitidos mes con mes por la Comisión Federal de Electricidad por el mismo periodo.</w:t>
      </w:r>
    </w:p>
    <w:p w14:paraId="1FE07EF2" w14:textId="0D3B41B2" w:rsidR="00073E92" w:rsidRPr="00073E92" w:rsidRDefault="00073E92" w:rsidP="00073E92">
      <w:pPr>
        <w:pStyle w:val="Citas"/>
        <w:ind w:left="1211"/>
      </w:pPr>
      <w:r>
        <w:t xml:space="preserve">2. </w:t>
      </w:r>
      <w:r w:rsidRPr="00073E92">
        <w:t xml:space="preserve">Se solicita el </w:t>
      </w:r>
      <w:r w:rsidRPr="00DF75B7">
        <w:t>censo</w:t>
      </w:r>
      <w:r w:rsidRPr="00073E92">
        <w:rPr>
          <w:color w:val="FF0000"/>
        </w:rPr>
        <w:t xml:space="preserve"> </w:t>
      </w:r>
      <w:r w:rsidRPr="00073E92">
        <w:t>de alumbrado público firmado por la Comisión Federal de Electricidad (CFE) de los ejercicios 2020 o en su caso, el censo más reciente del municipio en colaboración de la CFE, en el que se desglose la siguiente información:</w:t>
      </w:r>
    </w:p>
    <w:p w14:paraId="0A33F056" w14:textId="77777777" w:rsidR="00073E92" w:rsidRPr="00073E92" w:rsidRDefault="00073E92" w:rsidP="00FB1D16">
      <w:pPr>
        <w:pStyle w:val="Citas"/>
        <w:numPr>
          <w:ilvl w:val="0"/>
          <w:numId w:val="1"/>
        </w:numPr>
      </w:pPr>
      <w:r w:rsidRPr="00073E92">
        <w:t>Cantidad de luminarias y balastros, el tipo de equipos, la capacidad (</w:t>
      </w:r>
      <w:r w:rsidRPr="00073E92">
        <w:rPr>
          <w:b/>
        </w:rPr>
        <w:t>potencia</w:t>
      </w:r>
      <w:r w:rsidRPr="00073E92">
        <w:t>), la ubicación (</w:t>
      </w:r>
      <w:r w:rsidRPr="00073E92">
        <w:rPr>
          <w:b/>
        </w:rPr>
        <w:t>calle y/o colonia y/o delegación</w:t>
      </w:r>
      <w:r w:rsidRPr="00073E92">
        <w:t>), y el tipo de poste en el que están montadas las luminarias (</w:t>
      </w:r>
      <w:r w:rsidRPr="00073E92">
        <w:rPr>
          <w:b/>
        </w:rPr>
        <w:t>lámina, concreto, madera</w:t>
      </w:r>
      <w:r w:rsidRPr="00073E92">
        <w:rPr>
          <w:b/>
          <w:spacing w:val="1"/>
        </w:rPr>
        <w:t xml:space="preserve"> </w:t>
      </w:r>
      <w:r w:rsidRPr="00073E92">
        <w:rPr>
          <w:b/>
        </w:rPr>
        <w:t>etcétera</w:t>
      </w:r>
      <w:r w:rsidRPr="00073E92">
        <w:t>).</w:t>
      </w:r>
    </w:p>
    <w:p w14:paraId="29EED22D" w14:textId="77777777" w:rsidR="00073E92" w:rsidRPr="00073E92" w:rsidRDefault="00073E92" w:rsidP="00FB1D16">
      <w:pPr>
        <w:pStyle w:val="Citas"/>
        <w:numPr>
          <w:ilvl w:val="0"/>
          <w:numId w:val="1"/>
        </w:numPr>
      </w:pPr>
      <w:r w:rsidRPr="00073E92">
        <w:t xml:space="preserve">El </w:t>
      </w:r>
      <w:r w:rsidRPr="00073E92">
        <w:rPr>
          <w:b/>
        </w:rPr>
        <w:t xml:space="preserve">Registro Permanente de Usuario </w:t>
      </w:r>
      <w:r w:rsidRPr="00073E92">
        <w:t xml:space="preserve">(RPU o </w:t>
      </w:r>
      <w:proofErr w:type="spellStart"/>
      <w:r w:rsidRPr="00073E92">
        <w:t>RPUs</w:t>
      </w:r>
      <w:proofErr w:type="spellEnd"/>
      <w:r w:rsidRPr="00073E92">
        <w:t xml:space="preserve">) asignado (s) al servicio de alumbrado público municipal </w:t>
      </w:r>
      <w:r w:rsidRPr="00073E92">
        <w:rPr>
          <w:b/>
        </w:rPr>
        <w:t>tanto del servicio estimado como del servicio</w:t>
      </w:r>
      <w:r w:rsidRPr="00073E92">
        <w:rPr>
          <w:b/>
          <w:spacing w:val="-4"/>
        </w:rPr>
        <w:t xml:space="preserve"> </w:t>
      </w:r>
      <w:r w:rsidRPr="00073E92">
        <w:rPr>
          <w:b/>
        </w:rPr>
        <w:t>medido</w:t>
      </w:r>
      <w:r w:rsidRPr="00073E92">
        <w:t>.</w:t>
      </w:r>
    </w:p>
    <w:p w14:paraId="4A01D0FB" w14:textId="77777777" w:rsidR="00073E92" w:rsidRPr="00073E92" w:rsidRDefault="00073E92" w:rsidP="00FB1D16">
      <w:pPr>
        <w:pStyle w:val="Citas"/>
        <w:numPr>
          <w:ilvl w:val="0"/>
          <w:numId w:val="1"/>
        </w:numPr>
        <w:rPr>
          <w:b/>
        </w:rPr>
      </w:pPr>
      <w:r w:rsidRPr="00073E92">
        <w:t xml:space="preserve">La cantidad desglosada de luminarias y balastros instalados, el tipo de equipos y su capacidad (potencia) </w:t>
      </w:r>
      <w:r w:rsidRPr="00073E92">
        <w:rPr>
          <w:b/>
        </w:rPr>
        <w:t>instalados en las avenidas principales del</w:t>
      </w:r>
      <w:r w:rsidRPr="00073E92">
        <w:rPr>
          <w:b/>
          <w:spacing w:val="-1"/>
        </w:rPr>
        <w:t xml:space="preserve"> </w:t>
      </w:r>
      <w:r w:rsidRPr="00073E92">
        <w:rPr>
          <w:b/>
        </w:rPr>
        <w:t>municipio.</w:t>
      </w:r>
    </w:p>
    <w:p w14:paraId="1D343567" w14:textId="40954AD3" w:rsidR="00073E92" w:rsidRPr="00073E92" w:rsidRDefault="00073E92" w:rsidP="00FB1D16">
      <w:pPr>
        <w:pStyle w:val="Citas"/>
        <w:numPr>
          <w:ilvl w:val="0"/>
          <w:numId w:val="1"/>
        </w:numPr>
      </w:pPr>
      <w:r w:rsidRPr="00073E92">
        <w:lastRenderedPageBreak/>
        <w:t xml:space="preserve">La cantidad de luminarias y balastros instalados, el tipo de equipos y su capacidad (potencia) instalados que </w:t>
      </w:r>
      <w:r w:rsidRPr="00073E92">
        <w:rPr>
          <w:b/>
        </w:rPr>
        <w:t>poseen equipo de medición</w:t>
      </w:r>
      <w:r w:rsidRPr="00073E92">
        <w:t>.</w:t>
      </w:r>
      <w:r>
        <w:t xml:space="preserve">” </w:t>
      </w:r>
      <w:r>
        <w:rPr>
          <w:b/>
        </w:rPr>
        <w:t xml:space="preserve">[Sic] </w:t>
      </w:r>
    </w:p>
    <w:p w14:paraId="284BBE4E" w14:textId="4EF8D344" w:rsidR="006D5803" w:rsidRDefault="00073E92" w:rsidP="00073E92">
      <w:pPr>
        <w:spacing w:before="24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rPr>
        <w:t xml:space="preserve"> </w:t>
      </w:r>
      <w:r w:rsidR="00985AD2">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029956B8" w14:textId="77777777" w:rsidR="00073E92" w:rsidRDefault="00073E92" w:rsidP="00073E92">
      <w:pPr>
        <w:spacing w:before="240" w:line="360" w:lineRule="auto"/>
        <w:jc w:val="both"/>
        <w:rPr>
          <w:rFonts w:ascii="Palatino Linotype" w:eastAsia="Times New Roman" w:hAnsi="Palatino Linotype" w:cs="Times New Roman"/>
          <w:sz w:val="24"/>
          <w:szCs w:val="24"/>
          <w:lang w:val="es-ES_tradnl" w:eastAsia="es-ES"/>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E1DC372" w14:textId="43A65837" w:rsidR="00073E92"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veintitrés de noviembre de </w:t>
      </w:r>
      <w:r w:rsidR="007C53E1">
        <w:rPr>
          <w:rFonts w:ascii="Palatino Linotype" w:hAnsi="Palatino Linotype" w:cs="Arial"/>
          <w:sz w:val="24"/>
          <w:szCs w:val="24"/>
        </w:rPr>
        <w:t>dos mil veintiuno</w:t>
      </w:r>
      <w:r>
        <w:rPr>
          <w:rFonts w:ascii="Palatino Linotype" w:hAnsi="Palatino Linotype" w:cs="Arial"/>
          <w:sz w:val="24"/>
          <w:szCs w:val="24"/>
        </w:rPr>
        <w:t xml:space="preserve">,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14:paraId="09388253" w14:textId="5120DBBA" w:rsidR="00073E92" w:rsidRPr="00073E92" w:rsidRDefault="00073E92" w:rsidP="00073E92">
      <w:pPr>
        <w:pStyle w:val="Citas"/>
        <w:rPr>
          <w:sz w:val="24"/>
          <w:szCs w:val="24"/>
        </w:rPr>
      </w:pPr>
      <w:r>
        <w:t>“RECURRENTE PRESENTE: Por medio del presente reciba un cordial y atento saludo, al mismo tiempo me dirijo a Usted en relación a la solicitud de información, recibida a través de la plataforma SAIMEX. Se adjunta la respuesta emitida por el área señalada en el oficio.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w:t>
      </w:r>
    </w:p>
    <w:p w14:paraId="458871F6" w14:textId="77777777" w:rsidR="00073E92" w:rsidRDefault="00073E92" w:rsidP="00073E92">
      <w:pPr>
        <w:spacing w:before="240" w:line="360" w:lineRule="auto"/>
        <w:jc w:val="both"/>
        <w:rPr>
          <w:rFonts w:ascii="Palatino Linotype" w:hAnsi="Palatino Linotype" w:cs="Arial"/>
          <w:sz w:val="24"/>
          <w:szCs w:val="24"/>
        </w:rPr>
      </w:pPr>
    </w:p>
    <w:p w14:paraId="1E88C449" w14:textId="17A51324" w:rsidR="00073E92"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“100.pdf”, </w:t>
      </w:r>
      <w:r w:rsidR="007E24F0">
        <w:rPr>
          <w:rFonts w:ascii="Palatino Linotype" w:hAnsi="Palatino Linotype" w:cs="Arial"/>
          <w:sz w:val="24"/>
          <w:szCs w:val="24"/>
        </w:rPr>
        <w:t xml:space="preserve">cuyo contenido será materia de </w:t>
      </w:r>
      <w:r w:rsidR="00DF75B7">
        <w:rPr>
          <w:rFonts w:ascii="Palatino Linotype" w:hAnsi="Palatino Linotype" w:cs="Arial"/>
          <w:sz w:val="24"/>
          <w:szCs w:val="24"/>
        </w:rPr>
        <w:t>análisis</w:t>
      </w:r>
      <w:r w:rsidR="007E24F0">
        <w:rPr>
          <w:rFonts w:ascii="Palatino Linotype" w:hAnsi="Palatino Linotype" w:cs="Arial"/>
          <w:sz w:val="24"/>
          <w:szCs w:val="24"/>
        </w:rPr>
        <w:t xml:space="preserve"> en el considerando respectivo. </w:t>
      </w:r>
    </w:p>
    <w:p w14:paraId="32DBFF68" w14:textId="77777777" w:rsidR="00DF75B7" w:rsidRPr="007E24F0" w:rsidRDefault="00DF75B7"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17D442BA" w14:textId="0881F712" w:rsidR="007E24F0" w:rsidRPr="007E24F0"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7E24F0">
        <w:rPr>
          <w:rFonts w:ascii="Palatino Linotype" w:hAnsi="Palatino Linotype" w:cs="Arial"/>
          <w:sz w:val="24"/>
          <w:szCs w:val="24"/>
        </w:rPr>
        <w:t xml:space="preserve">veintinueve de noviembre de dos mil veintiuno, el cual fue registrado en el sistema electrónico con el expediente número </w:t>
      </w:r>
      <w:r w:rsidR="007E24F0">
        <w:rPr>
          <w:rFonts w:ascii="Palatino Linotype" w:hAnsi="Palatino Linotype" w:cs="Arial"/>
          <w:b/>
          <w:sz w:val="24"/>
          <w:szCs w:val="24"/>
        </w:rPr>
        <w:t xml:space="preserve">05950/INFOEM/IP/RR/2021, </w:t>
      </w:r>
      <w:r w:rsidR="007E24F0">
        <w:rPr>
          <w:rFonts w:ascii="Palatino Linotype" w:hAnsi="Palatino Linotype" w:cs="Arial"/>
          <w:sz w:val="24"/>
          <w:szCs w:val="24"/>
        </w:rPr>
        <w:t xml:space="preserve">en el cual arguye las siguientes manifestaciones: </w:t>
      </w:r>
    </w:p>
    <w:p w14:paraId="340DAA60" w14:textId="77777777"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B4E0576" w14:textId="18F71982" w:rsidR="00073E92" w:rsidRPr="00C2092D" w:rsidRDefault="00073E92" w:rsidP="00073E92">
      <w:pPr>
        <w:pStyle w:val="Citas"/>
        <w:rPr>
          <w:b/>
          <w:sz w:val="24"/>
        </w:rPr>
      </w:pPr>
      <w:r w:rsidRPr="007E24F0">
        <w:t>“</w:t>
      </w:r>
      <w:r w:rsidR="007E24F0" w:rsidRPr="007E24F0">
        <w:t xml:space="preserve">Folio No. 00100/TMASCALC/IP/2021, mediante el cual el Sujeto Obligado (municipio de </w:t>
      </w:r>
      <w:proofErr w:type="spellStart"/>
      <w:r w:rsidR="007E24F0" w:rsidRPr="007E24F0">
        <w:t>Temascalsingo</w:t>
      </w:r>
      <w:proofErr w:type="spellEnd"/>
      <w:r w:rsidR="007E24F0" w:rsidRPr="007E24F0">
        <w:t xml:space="preserve"> en el Estado de México) no me ha proporcionado la información solicitada, misma que ha sido clara y precisa. Fecha de la solicitud: 02 de noviembre del 2021.</w:t>
      </w:r>
      <w:r w:rsidRPr="007E24F0">
        <w:t xml:space="preserve">” </w:t>
      </w:r>
      <w:r>
        <w:rPr>
          <w:b/>
        </w:rPr>
        <w:t xml:space="preserve">[Sic] </w:t>
      </w:r>
    </w:p>
    <w:p w14:paraId="4B343883" w14:textId="77777777" w:rsidR="00073E92" w:rsidRDefault="00073E92" w:rsidP="00073E9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D68DFB8" w14:textId="6029F163" w:rsidR="00073E92" w:rsidRDefault="00073E92" w:rsidP="00073E92">
      <w:pPr>
        <w:pStyle w:val="Citas"/>
        <w:rPr>
          <w:b/>
        </w:rPr>
      </w:pPr>
      <w:r w:rsidRPr="007E24F0">
        <w:t>“</w:t>
      </w:r>
      <w:r w:rsidR="007E24F0" w:rsidRPr="007E24F0">
        <w:t>EL sujeto obligado no ha dado respuesta a mi solicitud del día 02 de noviembre de 2021, con No. de Folio: 00100/TMASCALC/IP/2021</w:t>
      </w:r>
      <w:r w:rsidRPr="007E24F0">
        <w:t>”</w:t>
      </w:r>
      <w:r>
        <w:t xml:space="preserve"> </w:t>
      </w:r>
      <w:r>
        <w:rPr>
          <w:b/>
        </w:rPr>
        <w:t xml:space="preserve">[Sic] </w:t>
      </w:r>
    </w:p>
    <w:p w14:paraId="2B5B5F6D" w14:textId="77777777" w:rsidR="00073E92" w:rsidRDefault="00073E92" w:rsidP="00073E92">
      <w:pPr>
        <w:pStyle w:val="Citas"/>
        <w:ind w:left="0"/>
        <w:rPr>
          <w:b/>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059E6D4" w14:textId="77777777" w:rsidR="007E24F0" w:rsidRDefault="00073E92" w:rsidP="007E24F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E24F0">
        <w:rPr>
          <w:rFonts w:ascii="Palatino Linotype" w:hAnsi="Palatino Linotype" w:cs="Arial"/>
          <w:sz w:val="24"/>
          <w:szCs w:val="24"/>
        </w:rPr>
        <w:t xml:space="preserve">dos de diciembre de dos mil veintiuno, </w:t>
      </w:r>
      <w:r w:rsidR="007E24F0">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441E39F5" w14:textId="12BB73EC" w:rsidR="007E24F0" w:rsidRDefault="007E24F0" w:rsidP="00073E92">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3F91807" w14:textId="5F0F11A6" w:rsidR="007E24F0" w:rsidRDefault="00073E92" w:rsidP="00073E9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7E24F0">
        <w:rPr>
          <w:rFonts w:ascii="Palatino Linotype" w:hAnsi="Palatino Linotype" w:cs="Arial"/>
          <w:sz w:val="24"/>
          <w:szCs w:val="24"/>
        </w:rPr>
        <w:t xml:space="preserve">ocho de diciembre de dos mil veintiuno, mismo que fue puesto a la vista el trece de diciembre de dos mil veintiuno. </w:t>
      </w:r>
    </w:p>
    <w:p w14:paraId="57D33ED1" w14:textId="200BF79A" w:rsidR="00073E92"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instrucción con fecha </w:t>
      </w:r>
      <w:r w:rsidR="007E24F0">
        <w:rPr>
          <w:rFonts w:ascii="Palatino Linotype" w:hAnsi="Palatino Linotype" w:cs="Arial"/>
          <w:b/>
          <w:bCs/>
          <w:sz w:val="24"/>
          <w:szCs w:val="24"/>
        </w:rPr>
        <w:t>veinte de diciembre</w:t>
      </w:r>
      <w:r>
        <w:rPr>
          <w:rFonts w:ascii="Palatino Linotype" w:hAnsi="Palatino Linotype" w:cs="Arial"/>
          <w:b/>
          <w:bCs/>
          <w:sz w:val="24"/>
          <w:szCs w:val="24"/>
        </w:rPr>
        <w:t xml:space="preserve"> de dos mil veintiuno,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F40334B" w14:textId="3850C27F" w:rsidR="00DF75B7" w:rsidRDefault="00DF75B7" w:rsidP="00DF75B7">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treinta y uno de enero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25166C24" w14:textId="77777777" w:rsidR="00073E92" w:rsidRDefault="00073E92" w:rsidP="00073E92">
      <w:pPr>
        <w:spacing w:before="240" w:line="360" w:lineRule="auto"/>
        <w:jc w:val="both"/>
        <w:rPr>
          <w:rFonts w:ascii="Palatino Linotype" w:eastAsia="Times New Roman" w:hAnsi="Palatino Linotype" w:cs="Times New Roman"/>
          <w:sz w:val="24"/>
          <w:szCs w:val="24"/>
          <w:lang w:val="es-ES_tradnl" w:eastAsia="es-ES"/>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2DD15E" w14:textId="77777777"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E189D39"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E665DD4" w14:textId="26E9E606" w:rsidR="007E24F0" w:rsidRPr="002B5A2F" w:rsidRDefault="002B5A2F" w:rsidP="006D580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 xml:space="preserve">de manera objetiva se precisa que versa en conocer la siguiente información: </w:t>
      </w:r>
    </w:p>
    <w:p w14:paraId="614DAE0D" w14:textId="60888F9E" w:rsidR="003B2317" w:rsidRDefault="003B2317" w:rsidP="00FB1D16">
      <w:pPr>
        <w:pStyle w:val="Prrafodelista"/>
        <w:numPr>
          <w:ilvl w:val="0"/>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Monto facturado mensualmente del periodo comprendido del uno de enero de dos mil veinte al treinta y uno de octubre de dos mil veintiuno. </w:t>
      </w:r>
    </w:p>
    <w:p w14:paraId="55C0CD15" w14:textId="4804DC19" w:rsidR="003B2317" w:rsidRDefault="003B2317" w:rsidP="00FB1D16">
      <w:pPr>
        <w:pStyle w:val="Prrafodelista"/>
        <w:numPr>
          <w:ilvl w:val="0"/>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recaudada por derechos de alumbrado público, del uno de enero de dos mil veinte al treinta y uno de octubre de dos mil veintiuno. </w:t>
      </w:r>
    </w:p>
    <w:p w14:paraId="2C29AD3D" w14:textId="44C4AB1B" w:rsidR="003B2317" w:rsidRPr="00840299" w:rsidRDefault="003B2317" w:rsidP="00FB1D16">
      <w:pPr>
        <w:pStyle w:val="Sinespaciado"/>
        <w:numPr>
          <w:ilvl w:val="0"/>
          <w:numId w:val="2"/>
        </w:numPr>
        <w:spacing w:line="360" w:lineRule="auto"/>
        <w:jc w:val="both"/>
        <w:rPr>
          <w:rFonts w:ascii="Palatino Linotype" w:hAnsi="Palatino Linotype"/>
        </w:rPr>
      </w:pPr>
      <w:r w:rsidRPr="00840299">
        <w:rPr>
          <w:rFonts w:ascii="Palatino Linotype" w:hAnsi="Palatino Linotype"/>
        </w:rPr>
        <w:t xml:space="preserve">Adeudo que se genera y si ya se pagó, del </w:t>
      </w:r>
      <w:r>
        <w:rPr>
          <w:rFonts w:ascii="Palatino Linotype" w:hAnsi="Palatino Linotype"/>
        </w:rPr>
        <w:t xml:space="preserve">uno de enero de dos mil veinte al treinta y uno de octubre de dos mil veintiuno. </w:t>
      </w:r>
    </w:p>
    <w:p w14:paraId="0DB731F9" w14:textId="6E22C485" w:rsidR="003B2317" w:rsidRPr="006321C8" w:rsidRDefault="003B2317" w:rsidP="00FB1D16">
      <w:pPr>
        <w:pStyle w:val="Prrafodelista"/>
        <w:numPr>
          <w:ilvl w:val="0"/>
          <w:numId w:val="2"/>
        </w:numPr>
        <w:tabs>
          <w:tab w:val="left" w:pos="709"/>
        </w:tabs>
        <w:spacing w:before="240" w:line="360" w:lineRule="auto"/>
        <w:ind w:right="51"/>
        <w:jc w:val="both"/>
        <w:rPr>
          <w:rFonts w:ascii="Palatino Linotype" w:hAnsi="Palatino Linotype"/>
        </w:rPr>
      </w:pPr>
      <w:r w:rsidRPr="00840299">
        <w:rPr>
          <w:rFonts w:ascii="Palatino Linotype" w:hAnsi="Palatino Linotype"/>
        </w:rPr>
        <w:t xml:space="preserve">Diferencia entre facturación y </w:t>
      </w:r>
      <w:r w:rsidRPr="006321C8">
        <w:rPr>
          <w:rFonts w:ascii="Palatino Linotype" w:hAnsi="Palatino Linotype"/>
        </w:rPr>
        <w:t xml:space="preserve">DAP, del uno de enero de dos mil veinte al treinta y uno de octubre de dos mil veintiuno. </w:t>
      </w:r>
    </w:p>
    <w:p w14:paraId="4211424C" w14:textId="7FD8F7D4" w:rsidR="003B2317" w:rsidRPr="006321C8" w:rsidRDefault="00721D87" w:rsidP="00FB1D16">
      <w:pPr>
        <w:pStyle w:val="Sinespaciado"/>
        <w:numPr>
          <w:ilvl w:val="0"/>
          <w:numId w:val="2"/>
        </w:numPr>
        <w:tabs>
          <w:tab w:val="left" w:pos="709"/>
        </w:tabs>
        <w:spacing w:before="240" w:line="360" w:lineRule="auto"/>
        <w:ind w:right="51"/>
        <w:jc w:val="both"/>
        <w:rPr>
          <w:rFonts w:ascii="Palatino Linotype" w:hAnsi="Palatino Linotype"/>
        </w:rPr>
      </w:pPr>
      <w:r w:rsidRPr="006321C8">
        <w:rPr>
          <w:rFonts w:ascii="Palatino Linotype" w:hAnsi="Palatino Linotype"/>
        </w:rPr>
        <w:t>Sald</w:t>
      </w:r>
      <w:r w:rsidR="003B2317" w:rsidRPr="006321C8">
        <w:rPr>
          <w:rFonts w:ascii="Palatino Linotype" w:hAnsi="Palatino Linotype"/>
        </w:rPr>
        <w:t>o a favor del municipio, del uno de enero de dos mil veinte al treinta y uno de octubre de dos mil veintiuno.</w:t>
      </w:r>
    </w:p>
    <w:p w14:paraId="1C51186D" w14:textId="0414930F" w:rsidR="003B2317" w:rsidRPr="006321C8" w:rsidRDefault="003B2317" w:rsidP="00FB1D16">
      <w:pPr>
        <w:pStyle w:val="Prrafodelista"/>
        <w:numPr>
          <w:ilvl w:val="0"/>
          <w:numId w:val="2"/>
        </w:numPr>
        <w:tabs>
          <w:tab w:val="left" w:pos="709"/>
        </w:tabs>
        <w:spacing w:before="240" w:line="360" w:lineRule="auto"/>
        <w:ind w:right="51"/>
        <w:jc w:val="both"/>
        <w:rPr>
          <w:rFonts w:ascii="Palatino Linotype" w:hAnsi="Palatino Linotype"/>
        </w:rPr>
      </w:pPr>
      <w:r w:rsidRPr="006321C8">
        <w:rPr>
          <w:rFonts w:ascii="Palatino Linotype" w:hAnsi="Palatino Linotype"/>
        </w:rPr>
        <w:t xml:space="preserve">Avisos recibos emitidos por la Comisión Federal de Electricidad, del uno de enero de dos mil veinte al treinta y uno de octubre de dos mil veintiuno. </w:t>
      </w:r>
    </w:p>
    <w:p w14:paraId="245A5043" w14:textId="2D2741EF" w:rsidR="003B2317" w:rsidRDefault="00721D87" w:rsidP="00FB1D16">
      <w:pPr>
        <w:pStyle w:val="Prrafodelista"/>
        <w:numPr>
          <w:ilvl w:val="0"/>
          <w:numId w:val="2"/>
        </w:numPr>
        <w:tabs>
          <w:tab w:val="left" w:pos="709"/>
        </w:tabs>
        <w:spacing w:before="240" w:line="360" w:lineRule="auto"/>
        <w:ind w:right="51"/>
        <w:jc w:val="both"/>
        <w:rPr>
          <w:rFonts w:ascii="Palatino Linotype" w:hAnsi="Palatino Linotype"/>
        </w:rPr>
      </w:pPr>
      <w:r w:rsidRPr="006321C8">
        <w:rPr>
          <w:rFonts w:ascii="Palatino Linotype" w:hAnsi="Palatino Linotype"/>
        </w:rPr>
        <w:t>Censo de alumbrado público firmado por la Comisión Federal de Electricidad</w:t>
      </w:r>
      <w:r>
        <w:rPr>
          <w:rFonts w:ascii="Palatino Linotype" w:hAnsi="Palatino Linotype"/>
        </w:rPr>
        <w:t xml:space="preserve"> correspondiente al ejercicio 2020 o en su caso, el más reciente en el que se desglose la siguiente información:</w:t>
      </w:r>
    </w:p>
    <w:p w14:paraId="561934EE" w14:textId="2AFC375A" w:rsidR="00721D87" w:rsidRDefault="00721D87" w:rsidP="00FB1D16">
      <w:pPr>
        <w:pStyle w:val="Prrafodelista"/>
        <w:numPr>
          <w:ilvl w:val="1"/>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 luminarias y balastros, tipo de equipos, capacidad (potencia), ubicación (calle y/o colonia y/o delegación) y el tipo de poste </w:t>
      </w:r>
      <w:r>
        <w:rPr>
          <w:rFonts w:ascii="Palatino Linotype" w:hAnsi="Palatino Linotype"/>
        </w:rPr>
        <w:lastRenderedPageBreak/>
        <w:t xml:space="preserve">en el que están montadas las luminarias (lámina, concreto, madera, otros). </w:t>
      </w:r>
    </w:p>
    <w:p w14:paraId="725AA6DE" w14:textId="0FDFBBEA" w:rsidR="00721D87" w:rsidRDefault="00721D87" w:rsidP="00FB1D16">
      <w:pPr>
        <w:pStyle w:val="Prrafodelista"/>
        <w:numPr>
          <w:ilvl w:val="1"/>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Registro Permanente de Usuario (RPU o </w:t>
      </w:r>
      <w:proofErr w:type="spellStart"/>
      <w:r>
        <w:rPr>
          <w:rFonts w:ascii="Palatino Linotype" w:hAnsi="Palatino Linotype"/>
        </w:rPr>
        <w:t>RPUs</w:t>
      </w:r>
      <w:proofErr w:type="spellEnd"/>
      <w:r>
        <w:rPr>
          <w:rFonts w:ascii="Palatino Linotype" w:hAnsi="Palatino Linotype"/>
        </w:rPr>
        <w:t xml:space="preserve">) asignado al servicio de alumbrado público municipal tanto del servicio estimado como del servicio medido. </w:t>
      </w:r>
    </w:p>
    <w:p w14:paraId="615B8A91" w14:textId="3B8B65FE" w:rsidR="00721D87" w:rsidRDefault="00721D87" w:rsidP="00FB1D16">
      <w:pPr>
        <w:pStyle w:val="Prrafodelista"/>
        <w:numPr>
          <w:ilvl w:val="1"/>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desglosada de luminarias y balastros instalados, el tipo de equipos y su capacidad (potencia), instalados en las avenidas principales del municipio. </w:t>
      </w:r>
    </w:p>
    <w:p w14:paraId="6D74F943" w14:textId="0E4B1EFA" w:rsidR="00721D87" w:rsidRDefault="00721D87" w:rsidP="00FB1D16">
      <w:pPr>
        <w:pStyle w:val="Prrafodelista"/>
        <w:numPr>
          <w:ilvl w:val="1"/>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Cantidad de luminarias y balastros instalados, el tipo de equipos y su capacidad (potencia) instalados que poseen equipo de medición. </w:t>
      </w:r>
    </w:p>
    <w:p w14:paraId="61BF2E23" w14:textId="77777777" w:rsidR="00721D87" w:rsidRDefault="00721D87" w:rsidP="00721D87">
      <w:pPr>
        <w:tabs>
          <w:tab w:val="left" w:pos="709"/>
        </w:tabs>
        <w:spacing w:before="240" w:line="360" w:lineRule="auto"/>
        <w:ind w:right="51"/>
        <w:jc w:val="both"/>
        <w:rPr>
          <w:rFonts w:ascii="Palatino Linotype" w:hAnsi="Palatino Linotype"/>
        </w:rPr>
      </w:pPr>
    </w:p>
    <w:p w14:paraId="450E81C7" w14:textId="39E41BF0" w:rsidR="00297A36" w:rsidRPr="001300BF" w:rsidRDefault="00297A36" w:rsidP="00297A36">
      <w:pPr>
        <w:pStyle w:val="Sinespaciado"/>
        <w:spacing w:line="360" w:lineRule="auto"/>
        <w:jc w:val="both"/>
        <w:rPr>
          <w:rFonts w:ascii="Palatino Linotype" w:hAnsi="Palatino Linotype"/>
        </w:rPr>
      </w:pPr>
      <w:r>
        <w:rPr>
          <w:rFonts w:ascii="Palatino Linotype" w:hAnsi="Palatino Linotype" w:cs="Arial"/>
        </w:rPr>
        <w:t xml:space="preserve">Así las cosas, </w:t>
      </w:r>
      <w:r w:rsidRPr="001300BF">
        <w:rPr>
          <w:rFonts w:ascii="Palatino Linotype" w:eastAsia="Arial Unicode MS" w:hAnsi="Palatino Linotype" w:cs="Arial"/>
        </w:rPr>
        <w:t>es de subrayar que el artículo 4, fracción I</w:t>
      </w:r>
      <w:r>
        <w:rPr>
          <w:rFonts w:ascii="Palatino Linotype" w:eastAsia="Arial Unicode MS" w:hAnsi="Palatino Linotype" w:cs="Arial"/>
        </w:rPr>
        <w:t>I</w:t>
      </w:r>
      <w:r w:rsidRPr="001300BF">
        <w:rPr>
          <w:rFonts w:ascii="Palatino Linotype" w:eastAsia="Arial Unicode MS" w:hAnsi="Palatino Linotype" w:cs="Arial"/>
        </w:rPr>
        <w:t xml:space="preserve">, de </w:t>
      </w:r>
      <w:r w:rsidRPr="001300BF">
        <w:rPr>
          <w:rStyle w:val="apple-style-span"/>
          <w:rFonts w:ascii="Palatino Linotype" w:hAnsi="Palatino Linotype" w:cs="Arial"/>
          <w:color w:val="000000"/>
        </w:rPr>
        <w:t>la Ley de Fiscalización Superior del Estado de México, señala que son sujetos de fiscalización los municipios del Estado de México:</w:t>
      </w:r>
    </w:p>
    <w:p w14:paraId="589577BF" w14:textId="77777777" w:rsidR="00297A36" w:rsidRPr="00480F25" w:rsidRDefault="00297A36" w:rsidP="00297A36">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b/>
          <w:i/>
          <w:sz w:val="22"/>
          <w:szCs w:val="22"/>
        </w:rPr>
        <w:t>“</w:t>
      </w:r>
      <w:r w:rsidRPr="00480F25">
        <w:rPr>
          <w:rFonts w:ascii="Palatino Linotype" w:hAnsi="Palatino Linotype"/>
          <w:b/>
          <w:i/>
          <w:sz w:val="22"/>
          <w:szCs w:val="22"/>
        </w:rPr>
        <w:t>Artículo 4.</w:t>
      </w:r>
      <w:r w:rsidRPr="00480F25">
        <w:rPr>
          <w:rFonts w:ascii="Palatino Linotype" w:hAnsi="Palatino Linotype"/>
          <w:i/>
          <w:sz w:val="22"/>
          <w:szCs w:val="22"/>
        </w:rPr>
        <w:t xml:space="preserve"> Son sujetos de fiscalización</w:t>
      </w:r>
    </w:p>
    <w:p w14:paraId="791FCD06" w14:textId="12258590" w:rsidR="00297A36" w:rsidRDefault="00297A36" w:rsidP="00FB1D16">
      <w:pPr>
        <w:pStyle w:val="Sinespaciado"/>
        <w:numPr>
          <w:ilvl w:val="0"/>
          <w:numId w:val="4"/>
        </w:numPr>
        <w:spacing w:before="240" w:after="160" w:line="360" w:lineRule="auto"/>
        <w:ind w:right="851"/>
        <w:jc w:val="both"/>
        <w:rPr>
          <w:rFonts w:ascii="Palatino Linotype" w:hAnsi="Palatino Linotype"/>
          <w:i/>
          <w:sz w:val="22"/>
          <w:szCs w:val="22"/>
        </w:rPr>
      </w:pPr>
      <w:r w:rsidRPr="00480F25">
        <w:rPr>
          <w:rFonts w:ascii="Palatino Linotype" w:hAnsi="Palatino Linotype"/>
          <w:i/>
          <w:sz w:val="22"/>
          <w:szCs w:val="22"/>
        </w:rPr>
        <w:t>Los municipios del Estado de México</w:t>
      </w:r>
    </w:p>
    <w:p w14:paraId="54095BEF" w14:textId="77777777" w:rsidR="00297A36" w:rsidRPr="008A0101" w:rsidRDefault="00297A36" w:rsidP="00297A36">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14:paraId="0618CA4D" w14:textId="77777777" w:rsidR="00297A36" w:rsidRDefault="00297A36" w:rsidP="00297A36">
      <w:pPr>
        <w:pStyle w:val="Sinespaciado"/>
        <w:spacing w:line="360" w:lineRule="auto"/>
        <w:jc w:val="both"/>
        <w:rPr>
          <w:rFonts w:ascii="Palatino Linotype" w:hAnsi="Palatino Linotype"/>
        </w:rPr>
      </w:pPr>
    </w:p>
    <w:p w14:paraId="0015A3B9" w14:textId="77777777" w:rsidR="00297A36" w:rsidRDefault="00297A36" w:rsidP="00297A36">
      <w:pPr>
        <w:pStyle w:val="Sinespaciado"/>
        <w:spacing w:line="360" w:lineRule="auto"/>
        <w:jc w:val="both"/>
        <w:rPr>
          <w:rFonts w:ascii="Palatino Linotype" w:hAnsi="Palatino Linotype"/>
        </w:rPr>
      </w:pPr>
      <w:r w:rsidRPr="007108CC">
        <w:rPr>
          <w:rFonts w:ascii="Palatino Linotype" w:hAnsi="Palatino Linotype"/>
        </w:rPr>
        <w:t xml:space="preserve">En este contexto los artículos 161, segundo párrafo del artículo 162, 292 segundo párrafo, 292 BIS, y 293, del Código Financiero del Estado de México y Municipios </w:t>
      </w:r>
      <w:r w:rsidRPr="007108CC">
        <w:rPr>
          <w:rFonts w:ascii="Palatino Linotype" w:hAnsi="Palatino Linotype"/>
        </w:rPr>
        <w:lastRenderedPageBreak/>
        <w:t>señalan expresamente como será elaborado el proyecto del Presupuesto de Egresos Municipal, tal como se cita a continuación:</w:t>
      </w:r>
    </w:p>
    <w:p w14:paraId="464CFCCF" w14:textId="5FC74D11" w:rsidR="00297A36" w:rsidRDefault="00297A36" w:rsidP="00297A36">
      <w:pPr>
        <w:pStyle w:val="Citas"/>
      </w:pPr>
      <w:r>
        <w:t xml:space="preserve">“Artículo 161.- Por la prestación del servicio de alumbrado público se pagará bimestralmente: </w:t>
      </w:r>
    </w:p>
    <w:p w14:paraId="0A6DC69C" w14:textId="77777777" w:rsidR="00297A36" w:rsidRDefault="00297A36" w:rsidP="00297A36">
      <w:pPr>
        <w:pStyle w:val="Citas"/>
      </w:pPr>
      <w:r>
        <w:t xml:space="preserve">I. El 10% del cargo a cubrir por la recepción del servicio contratado cuando se apliquen las tarifas 1, 2 y 3 del acuerdo que autoriza el ajuste de las tarifas para el suministro y venta de energía eléctrica. </w:t>
      </w:r>
    </w:p>
    <w:p w14:paraId="76B91F61" w14:textId="77777777" w:rsidR="00297A36" w:rsidRDefault="00297A36" w:rsidP="00297A36">
      <w:pPr>
        <w:pStyle w:val="Citas"/>
      </w:pPr>
      <w:r>
        <w:t>II. El 2.5% en aquellos casos en que se apliquen las tarifas H-M u O-M y H-S o H-T, el mismo no podrá exceder de 5 veces el valor diario de la Unidad de Medida y Actualización vigente, elevado al mes</w:t>
      </w:r>
    </w:p>
    <w:p w14:paraId="50DDDD14" w14:textId="36F5B30A"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 xml:space="preserve">Artículo 162.- </w:t>
      </w:r>
      <w:r w:rsidRPr="008A0101">
        <w:rPr>
          <w:rFonts w:ascii="Palatino Linotype" w:hAnsi="Palatino Linotype"/>
          <w:i/>
          <w:sz w:val="22"/>
          <w:szCs w:val="22"/>
        </w:rPr>
        <w:t>(…)</w:t>
      </w:r>
    </w:p>
    <w:p w14:paraId="2C043E43" w14:textId="77777777" w:rsidR="00297A36" w:rsidRDefault="00297A36" w:rsidP="00297A36">
      <w:pPr>
        <w:pStyle w:val="Citas"/>
      </w:pPr>
      <w: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14:paraId="6A77343C" w14:textId="39D557F9"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b/>
          <w:i/>
          <w:sz w:val="22"/>
          <w:szCs w:val="22"/>
        </w:rPr>
      </w:pPr>
      <w:r w:rsidRPr="008A0101">
        <w:rPr>
          <w:rFonts w:ascii="Palatino Linotype" w:hAnsi="Palatino Linotype"/>
          <w:b/>
          <w:i/>
          <w:sz w:val="22"/>
          <w:szCs w:val="22"/>
        </w:rPr>
        <w:t>Artículo 292.-</w:t>
      </w:r>
    </w:p>
    <w:p w14:paraId="7A1BD82E"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14:paraId="489CB7CF" w14:textId="77777777" w:rsidR="00297A36"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u w:val="single"/>
        </w:rPr>
        <w:t>Para el caso de los Municipios</w:t>
      </w:r>
      <w:r w:rsidRPr="008A0101">
        <w:rPr>
          <w:rFonts w:ascii="Palatino Linotype" w:hAnsi="Palatino Linotype"/>
          <w:i/>
          <w:sz w:val="22"/>
          <w:szCs w:val="22"/>
        </w:rPr>
        <w:t xml:space="preserve">, el Proyecto de Presupuesto se integrará con los recursos que se destinen al Ayuntamiento y a los organismos municipales. </w:t>
      </w:r>
    </w:p>
    <w:p w14:paraId="19415C9E" w14:textId="3F445D8F"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lastRenderedPageBreak/>
        <w:t xml:space="preserve">La distribución será conforme a lo siguiente: </w:t>
      </w:r>
    </w:p>
    <w:p w14:paraId="7B8ACF45"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 xml:space="preserve">I. El gasto programable comprende los siguientes capítulos: </w:t>
      </w:r>
    </w:p>
    <w:p w14:paraId="173E7AE9"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14:paraId="52FE0566"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b/>
          <w:i/>
          <w:sz w:val="22"/>
          <w:szCs w:val="22"/>
          <w:u w:val="single"/>
        </w:rPr>
      </w:pPr>
      <w:r w:rsidRPr="008A0101">
        <w:rPr>
          <w:rFonts w:ascii="Palatino Linotype" w:hAnsi="Palatino Linotype"/>
          <w:b/>
          <w:i/>
          <w:sz w:val="22"/>
          <w:szCs w:val="22"/>
          <w:u w:val="single"/>
        </w:rPr>
        <w:t xml:space="preserve">f). 6000 Inversión Pública. </w:t>
      </w:r>
    </w:p>
    <w:p w14:paraId="76220234"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14:paraId="11BB712A"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II. El gasto no programable comprende los siguientes capítulos</w:t>
      </w:r>
    </w:p>
    <w:p w14:paraId="5EF11DDD"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w:t>
      </w:r>
    </w:p>
    <w:p w14:paraId="63139DAC" w14:textId="77777777" w:rsidR="00297A36"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i/>
          <w:sz w:val="22"/>
        </w:rPr>
        <w:t xml:space="preserve">b). </w:t>
      </w:r>
      <w:r w:rsidRPr="008A0101">
        <w:rPr>
          <w:rFonts w:ascii="Palatino Linotype" w:hAnsi="Palatino Linotype"/>
          <w:b/>
          <w:i/>
          <w:sz w:val="22"/>
          <w:u w:val="single"/>
        </w:rPr>
        <w:t>9000 Deuda Pública.</w:t>
      </w:r>
      <w:r w:rsidRPr="008A0101">
        <w:rPr>
          <w:rFonts w:ascii="Palatino Linotype" w:hAnsi="Palatino Linotype"/>
          <w:i/>
          <w:sz w:val="22"/>
        </w:rPr>
        <w:cr/>
      </w:r>
      <w:r>
        <w:rPr>
          <w:rFonts w:ascii="Palatino Linotype" w:hAnsi="Palatino Linotype"/>
          <w:i/>
          <w:sz w:val="22"/>
        </w:rPr>
        <w:t>(…)</w:t>
      </w:r>
    </w:p>
    <w:p w14:paraId="0294A907"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rPr>
      </w:pPr>
      <w:r w:rsidRPr="008A0101">
        <w:rPr>
          <w:rFonts w:ascii="Palatino Linotype" w:hAnsi="Palatino Linotype"/>
          <w:b/>
          <w:i/>
          <w:sz w:val="22"/>
        </w:rPr>
        <w:t xml:space="preserve">Artículo 293.- </w:t>
      </w:r>
      <w:r w:rsidRPr="008A0101">
        <w:rPr>
          <w:rFonts w:ascii="Palatino Linotype" w:hAnsi="Palatino Linotype"/>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14:paraId="1C252758" w14:textId="77777777" w:rsidR="00297A36" w:rsidRPr="008A0101" w:rsidRDefault="00297A36" w:rsidP="00297A36">
      <w:pPr>
        <w:pStyle w:val="Sinespaciado"/>
        <w:spacing w:before="240" w:after="160" w:line="360" w:lineRule="auto"/>
        <w:ind w:left="851" w:right="851"/>
        <w:jc w:val="both"/>
        <w:rPr>
          <w:rFonts w:ascii="Palatino Linotype" w:hAnsi="Palatino Linotype"/>
          <w:b/>
          <w:i/>
        </w:rPr>
      </w:pPr>
      <w:r w:rsidRPr="008A0101">
        <w:rPr>
          <w:rFonts w:ascii="Palatino Linotype" w:hAnsi="Palatino Linotype"/>
          <w:i/>
          <w:sz w:val="22"/>
        </w:rPr>
        <w:t xml:space="preserve">En el caso de los municipios, corresponderá a su Tesorería emitir el Clasificador por Objeto del Gasto, el cual deberá guardar congruencia y homogeneidad con el que determine la Secretaría en términos del párrafo anterior.” </w:t>
      </w:r>
      <w:r w:rsidRPr="008A0101">
        <w:rPr>
          <w:rFonts w:ascii="Palatino Linotype" w:hAnsi="Palatino Linotype"/>
          <w:b/>
          <w:i/>
          <w:sz w:val="22"/>
        </w:rPr>
        <w:t>[Sic]</w:t>
      </w:r>
    </w:p>
    <w:p w14:paraId="58631E7B" w14:textId="77777777" w:rsidR="00297A36" w:rsidRPr="00A5202A" w:rsidRDefault="00297A36" w:rsidP="00297A36">
      <w:pPr>
        <w:pStyle w:val="Sinespaciado"/>
        <w:spacing w:line="360" w:lineRule="auto"/>
        <w:jc w:val="both"/>
        <w:rPr>
          <w:rFonts w:ascii="Palatino Linotype" w:hAnsi="Palatino Linotype"/>
        </w:rPr>
      </w:pPr>
    </w:p>
    <w:p w14:paraId="6D953869" w14:textId="77777777" w:rsidR="00297A36" w:rsidRPr="00A5202A" w:rsidRDefault="00297A36" w:rsidP="00297A36">
      <w:pPr>
        <w:pStyle w:val="Sinespaciado"/>
        <w:spacing w:line="360" w:lineRule="auto"/>
        <w:jc w:val="both"/>
        <w:rPr>
          <w:rFonts w:ascii="Palatino Linotype" w:hAnsi="Palatino Linotype"/>
        </w:rPr>
      </w:pPr>
      <w:r w:rsidRPr="00A5202A">
        <w:rPr>
          <w:rFonts w:ascii="Palatino Linotype" w:eastAsia="Arial Unicode MS" w:hAnsi="Palatino Linotype"/>
        </w:rPr>
        <w:t xml:space="preserve">Bajo ese tenor la Ley Orgánica Municipal del Estado de México dispone que el presidente municipal presentará anualmente al Ayuntamiento a más tardar el 20 de diciembre el proyecto del presupuesto de egresos y la forma en que estará integrado </w:t>
      </w:r>
      <w:r w:rsidRPr="00A5202A">
        <w:rPr>
          <w:rFonts w:ascii="Palatino Linotype" w:eastAsia="Arial Unicode MS" w:hAnsi="Palatino Linotype"/>
        </w:rPr>
        <w:lastRenderedPageBreak/>
        <w:t>el proyecto del presupuesto de egresos que habrá de ser aprobado por el cabildo municipal, tal como se transcribe a continuación:</w:t>
      </w:r>
    </w:p>
    <w:p w14:paraId="10A20B49"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“Artículo 99.</w:t>
      </w:r>
      <w:r w:rsidRPr="008A0101">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33979BCE"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u w:val="single"/>
        </w:rPr>
      </w:pPr>
      <w:r w:rsidRPr="008A0101">
        <w:rPr>
          <w:rFonts w:ascii="Palatino Linotype" w:hAnsi="Palatino Linotype"/>
          <w:b/>
          <w:i/>
          <w:sz w:val="22"/>
          <w:szCs w:val="22"/>
          <w:u w:val="single"/>
        </w:rPr>
        <w:t>Artículo 100.- El presupuesto de egresos deberá contener las previsiones de gasto público que habrán de realizar los municipios.</w:t>
      </w:r>
    </w:p>
    <w:p w14:paraId="5A40EEB9"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b/>
          <w:i/>
          <w:sz w:val="22"/>
          <w:szCs w:val="22"/>
        </w:rPr>
        <w:t>Artículo 101.-</w:t>
      </w:r>
      <w:r w:rsidRPr="008A0101">
        <w:rPr>
          <w:rFonts w:ascii="Palatino Linotype" w:hAnsi="Palatino Linotype"/>
          <w:i/>
          <w:sz w:val="22"/>
          <w:szCs w:val="22"/>
        </w:rPr>
        <w:t xml:space="preserve"> El proyecto del presupuesto de egresos se integrará básicamente con:</w:t>
      </w:r>
    </w:p>
    <w:p w14:paraId="08131497"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 Los programas en que se señalen objetivos, metas y unidades responsables para su ejecución, así como la valuación estimada del programa;</w:t>
      </w:r>
    </w:p>
    <w:p w14:paraId="5F098F1D" w14:textId="7777777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II. Estimación de los ingresos y gastos del ejercicio fiscal calendarizados;</w:t>
      </w:r>
    </w:p>
    <w:p w14:paraId="3CC61D3A" w14:textId="77777777" w:rsidR="00297A36"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8A0101">
        <w:rPr>
          <w:rFonts w:ascii="Palatino Linotype" w:hAnsi="Palatino Linotype"/>
          <w:i/>
          <w:sz w:val="22"/>
          <w:szCs w:val="22"/>
        </w:rPr>
        <w:t xml:space="preserve">III. Situación de la deuda pública. </w:t>
      </w:r>
    </w:p>
    <w:p w14:paraId="0CC43676" w14:textId="175C1197" w:rsidR="00297A36" w:rsidRPr="008A0101" w:rsidRDefault="00297A36" w:rsidP="00297A36">
      <w:pPr>
        <w:pStyle w:val="Prrafodelista"/>
        <w:autoSpaceDE w:val="0"/>
        <w:autoSpaceDN w:val="0"/>
        <w:adjustRightInd w:val="0"/>
        <w:spacing w:before="240" w:after="160" w:line="360" w:lineRule="auto"/>
        <w:ind w:left="851" w:right="851"/>
        <w:jc w:val="both"/>
        <w:rPr>
          <w:rFonts w:ascii="Palatino Linotype" w:hAnsi="Palatino Linotype"/>
          <w:b/>
        </w:rPr>
      </w:pPr>
      <w:r w:rsidRPr="008A0101">
        <w:rPr>
          <w:rFonts w:ascii="Palatino Linotype" w:hAnsi="Palatino Linotype"/>
          <w:i/>
          <w:sz w:val="22"/>
          <w:szCs w:val="22"/>
        </w:rPr>
        <w:t xml:space="preserve">El proyecto de presupuesto de egresos deberá realizarse con base en los criterios de proporcionalidad y equidad, considerando las necesidades básicas de las localidades que integran al municipio.” </w:t>
      </w:r>
      <w:r w:rsidRPr="008A0101">
        <w:rPr>
          <w:rFonts w:ascii="Palatino Linotype" w:hAnsi="Palatino Linotype"/>
          <w:b/>
          <w:i/>
          <w:sz w:val="22"/>
          <w:szCs w:val="22"/>
        </w:rPr>
        <w:t>[Sic]</w:t>
      </w:r>
    </w:p>
    <w:p w14:paraId="5E6A080F" w14:textId="77777777" w:rsidR="00297A36" w:rsidRDefault="00297A36" w:rsidP="00297A36">
      <w:pPr>
        <w:pStyle w:val="Sinespaciado"/>
        <w:spacing w:line="360" w:lineRule="auto"/>
        <w:ind w:left="567" w:right="567"/>
        <w:jc w:val="both"/>
        <w:rPr>
          <w:rFonts w:ascii="Palatino Linotype" w:hAnsi="Palatino Linotype"/>
        </w:rPr>
      </w:pPr>
    </w:p>
    <w:p w14:paraId="24C41452" w14:textId="77777777" w:rsidR="00297A36" w:rsidRPr="0084462A" w:rsidRDefault="00297A36" w:rsidP="00297A36">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14:paraId="3AC04234" w14:textId="77777777" w:rsidR="00297A36" w:rsidRDefault="00297A36" w:rsidP="00297A36">
      <w:pPr>
        <w:pStyle w:val="Sinespaciado"/>
        <w:spacing w:line="360" w:lineRule="auto"/>
        <w:jc w:val="both"/>
        <w:rPr>
          <w:rFonts w:ascii="Palatino Linotype" w:hAnsi="Palatino Linotype"/>
        </w:rPr>
      </w:pPr>
      <w:r w:rsidRPr="0084462A">
        <w:rPr>
          <w:rFonts w:ascii="Palatino Linotype" w:hAnsi="Palatino Linotype"/>
        </w:rPr>
        <w:lastRenderedPageBreak/>
        <w:t>Adicionalmente, la Ley Orgánica Municipal del Estado de México, establece lo siguiente:</w:t>
      </w:r>
    </w:p>
    <w:p w14:paraId="7CB8A58B" w14:textId="77777777" w:rsidR="00297A36" w:rsidRPr="004A2580" w:rsidRDefault="00297A36" w:rsidP="00297A36">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C747E0">
        <w:rPr>
          <w:rFonts w:ascii="Palatino Linotype" w:hAnsi="Palatino Linotype"/>
          <w:b/>
          <w:i/>
        </w:rPr>
        <w:t>Artículo 31.-</w:t>
      </w:r>
      <w:r w:rsidRPr="004A2580">
        <w:rPr>
          <w:rFonts w:ascii="Palatino Linotype" w:hAnsi="Palatino Linotype"/>
          <w:i/>
        </w:rPr>
        <w:t xml:space="preserve"> Son atribuciones de los ayuntamientos:</w:t>
      </w:r>
    </w:p>
    <w:p w14:paraId="52B3D1D6" w14:textId="77777777" w:rsidR="00297A36" w:rsidRDefault="00297A36" w:rsidP="00297A36">
      <w:pPr>
        <w:tabs>
          <w:tab w:val="left" w:pos="709"/>
        </w:tabs>
        <w:spacing w:before="240" w:line="360" w:lineRule="auto"/>
        <w:ind w:left="851" w:right="851"/>
        <w:jc w:val="both"/>
        <w:rPr>
          <w:rFonts w:ascii="Palatino Linotype" w:hAnsi="Palatino Linotype"/>
          <w:b/>
          <w:i/>
        </w:rPr>
      </w:pPr>
      <w:r>
        <w:rPr>
          <w:rFonts w:ascii="Palatino Linotype" w:hAnsi="Palatino Linotype"/>
          <w:b/>
          <w:i/>
        </w:rPr>
        <w:t>(…)</w:t>
      </w:r>
    </w:p>
    <w:p w14:paraId="5785E0D2" w14:textId="77777777" w:rsidR="00297A36" w:rsidRDefault="00297A36" w:rsidP="00297A36">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14:paraId="460ECF93" w14:textId="77777777" w:rsidR="00297A36" w:rsidRDefault="00297A36" w:rsidP="00297A36">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14:paraId="413E1AD6" w14:textId="77777777" w:rsidR="00297A36" w:rsidRPr="004A2580" w:rsidRDefault="00297A36" w:rsidP="00297A36">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Pr>
          <w:rFonts w:ascii="Palatino Linotype" w:hAnsi="Palatino Linotype"/>
          <w:i/>
        </w:rPr>
        <w:t>…)</w:t>
      </w:r>
    </w:p>
    <w:p w14:paraId="069854D2" w14:textId="77777777" w:rsidR="00297A36" w:rsidRDefault="00297A36" w:rsidP="00297A36">
      <w:pPr>
        <w:tabs>
          <w:tab w:val="left" w:pos="709"/>
        </w:tabs>
        <w:spacing w:before="240" w:line="360" w:lineRule="auto"/>
        <w:ind w:left="851" w:right="851"/>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14:paraId="1CFA9DEF" w14:textId="77777777" w:rsidR="00297A36" w:rsidRPr="004A2580" w:rsidRDefault="00297A36" w:rsidP="00297A36">
      <w:pPr>
        <w:tabs>
          <w:tab w:val="left" w:pos="709"/>
        </w:tabs>
        <w:spacing w:before="240" w:line="360" w:lineRule="auto"/>
        <w:ind w:left="851" w:right="851"/>
        <w:jc w:val="both"/>
        <w:rPr>
          <w:rFonts w:ascii="Palatino Linotype" w:hAnsi="Palatino Linotype"/>
          <w:i/>
        </w:rPr>
      </w:pPr>
      <w:r>
        <w:rPr>
          <w:rFonts w:ascii="Palatino Linotype" w:hAnsi="Palatino Linotype"/>
          <w:b/>
          <w:i/>
        </w:rPr>
        <w:t>(…)</w:t>
      </w:r>
    </w:p>
    <w:p w14:paraId="5589A2A7" w14:textId="77777777" w:rsidR="00297A36" w:rsidRPr="004A2580" w:rsidRDefault="00297A36" w:rsidP="00297A36">
      <w:pPr>
        <w:tabs>
          <w:tab w:val="left" w:pos="709"/>
        </w:tabs>
        <w:spacing w:before="240" w:line="360" w:lineRule="auto"/>
        <w:ind w:left="851" w:right="851"/>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14:paraId="1C31CFCA"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14:paraId="3DFD3A2C"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lastRenderedPageBreak/>
        <w:t xml:space="preserve">Planear y coordinar los proyectos de obras públicas y servicios relacionados con las mismas que autorice el Ayuntamiento, una vez que se cumplan los requisitos de licitación y otros que determine la ley de la materia; </w:t>
      </w:r>
    </w:p>
    <w:p w14:paraId="36AD6FE5"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14:paraId="36AA69BA"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14:paraId="42A6CDA0"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14:paraId="142B50CA"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14:paraId="5CC70ACE"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14:paraId="5AF66E3B"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14:paraId="3AEFAEC4"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w:t>
      </w:r>
      <w:r w:rsidRPr="004A2580">
        <w:rPr>
          <w:rFonts w:ascii="Palatino Linotype" w:hAnsi="Palatino Linotype"/>
          <w:i/>
          <w:sz w:val="22"/>
          <w:szCs w:val="22"/>
        </w:rPr>
        <w:lastRenderedPageBreak/>
        <w:t xml:space="preserve">los planes, programas, especificaciones técnicas, controles y procedimientos administrativos aprobados; </w:t>
      </w:r>
    </w:p>
    <w:p w14:paraId="18106D2C"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14:paraId="4938EDE7"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280B843F"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14:paraId="5CDD29BF"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14:paraId="2B975B74"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14:paraId="689C4D86"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4F570C75"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14:paraId="5985CB3B"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84462A">
        <w:rPr>
          <w:rFonts w:ascii="Palatino Linotype" w:hAnsi="Palatino Linotype"/>
          <w:b/>
          <w:i/>
          <w:sz w:val="22"/>
          <w:szCs w:val="22"/>
          <w:u w:val="single"/>
        </w:rPr>
        <w:t xml:space="preserve">Ejecutar y mantener las obras públicas que acuerde el Ayuntamiento, de acuerdo a la legislación y normatividad aplicable, a los planes, </w:t>
      </w:r>
      <w:r w:rsidRPr="0084462A">
        <w:rPr>
          <w:rFonts w:ascii="Palatino Linotype" w:hAnsi="Palatino Linotype"/>
          <w:b/>
          <w:i/>
          <w:sz w:val="22"/>
          <w:szCs w:val="22"/>
          <w:u w:val="single"/>
        </w:rPr>
        <w:lastRenderedPageBreak/>
        <w:t>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14:paraId="7CD27165"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14:paraId="30551D2A"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14:paraId="4C4C9645"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14:paraId="312DAFE1"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14:paraId="40C12A46"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14:paraId="4D7F899C"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14:paraId="30CEF8C5" w14:textId="77777777" w:rsidR="00297A36" w:rsidRPr="004A2580"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14:paraId="0F2A61E8" w14:textId="77777777" w:rsidR="00297A36" w:rsidRPr="0084462A"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w:t>
      </w:r>
      <w:r w:rsidRPr="0084462A">
        <w:rPr>
          <w:rFonts w:ascii="Palatino Linotype" w:hAnsi="Palatino Linotype"/>
          <w:i/>
          <w:sz w:val="22"/>
          <w:szCs w:val="22"/>
        </w:rPr>
        <w:lastRenderedPageBreak/>
        <w:t xml:space="preserve">dichos actos señale la legislación y normatividad respectiva, vigilando su correcta ejecución; y </w:t>
      </w:r>
    </w:p>
    <w:p w14:paraId="67FAA791" w14:textId="77777777" w:rsidR="00297A36" w:rsidRPr="0084462A" w:rsidRDefault="00297A36" w:rsidP="00FB1D16">
      <w:pPr>
        <w:pStyle w:val="Prrafodelista"/>
        <w:numPr>
          <w:ilvl w:val="0"/>
          <w:numId w:val="3"/>
        </w:numPr>
        <w:tabs>
          <w:tab w:val="left" w:pos="709"/>
        </w:tabs>
        <w:spacing w:before="240" w:after="160" w:line="360" w:lineRule="auto"/>
        <w:ind w:left="851" w:right="851" w:firstLine="0"/>
        <w:jc w:val="both"/>
        <w:rPr>
          <w:rFonts w:ascii="Palatino Linotype" w:hAnsi="Palatino Linotype"/>
        </w:rPr>
      </w:pPr>
      <w:r w:rsidRPr="0084462A">
        <w:rPr>
          <w:rFonts w:ascii="Palatino Linotype" w:hAnsi="Palatino Linotype"/>
          <w:i/>
          <w:sz w:val="22"/>
          <w:szCs w:val="22"/>
        </w:rPr>
        <w:t>Las demás que les señalen las disposiciones aplicables.</w:t>
      </w:r>
      <w:r>
        <w:rPr>
          <w:rFonts w:ascii="Palatino Linotype" w:hAnsi="Palatino Linotype"/>
          <w:b/>
          <w:i/>
          <w:sz w:val="22"/>
          <w:szCs w:val="22"/>
        </w:rPr>
        <w:t>” [Sic]</w:t>
      </w:r>
    </w:p>
    <w:p w14:paraId="3AA93A7B" w14:textId="77777777" w:rsidR="00297A36" w:rsidRDefault="00297A36" w:rsidP="00297A36">
      <w:pPr>
        <w:pStyle w:val="Sinespaciado"/>
        <w:spacing w:line="360" w:lineRule="auto"/>
        <w:jc w:val="both"/>
        <w:rPr>
          <w:rFonts w:ascii="Palatino Linotype" w:hAnsi="Palatino Linotype"/>
        </w:rPr>
      </w:pPr>
    </w:p>
    <w:p w14:paraId="15FB5EEA" w14:textId="77777777" w:rsidR="00297A36" w:rsidRDefault="00297A36" w:rsidP="00297A36">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14:paraId="0935659E" w14:textId="77777777" w:rsidR="00297A36" w:rsidRPr="0084462A" w:rsidRDefault="00297A36" w:rsidP="00297A36">
      <w:pPr>
        <w:pStyle w:val="Sinespaciado"/>
        <w:spacing w:line="360" w:lineRule="auto"/>
        <w:jc w:val="both"/>
        <w:rPr>
          <w:rFonts w:ascii="Palatino Linotype" w:hAnsi="Palatino Linotype"/>
        </w:rPr>
      </w:pPr>
    </w:p>
    <w:p w14:paraId="6774E66F" w14:textId="77777777" w:rsidR="00297A36" w:rsidRDefault="00297A36" w:rsidP="00297A36">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14:paraId="60880536" w14:textId="77777777" w:rsidR="00297A36" w:rsidRPr="0084462A" w:rsidRDefault="00297A36" w:rsidP="00297A36">
      <w:pPr>
        <w:pStyle w:val="Sinespaciado"/>
        <w:spacing w:line="360" w:lineRule="auto"/>
        <w:jc w:val="both"/>
        <w:rPr>
          <w:rFonts w:ascii="Palatino Linotype" w:hAnsi="Palatino Linotype"/>
        </w:rPr>
      </w:pPr>
    </w:p>
    <w:p w14:paraId="0AB92FB5" w14:textId="77777777" w:rsidR="00297A36" w:rsidRDefault="00297A36" w:rsidP="00297A36">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w:t>
      </w:r>
      <w:r>
        <w:rPr>
          <w:rFonts w:ascii="Palatino Linotype" w:hAnsi="Palatino Linotype"/>
          <w:b/>
        </w:rPr>
        <w:t>Sujeto O</w:t>
      </w:r>
      <w:r w:rsidRPr="00FD3445">
        <w:rPr>
          <w:rFonts w:ascii="Palatino Linotype" w:hAnsi="Palatino Linotype"/>
          <w:b/>
        </w:rPr>
        <w:t>bligado</w:t>
      </w:r>
      <w:r w:rsidRPr="0084462A">
        <w:rPr>
          <w:rFonts w:ascii="Palatino Linotype" w:hAnsi="Palatino Linotype"/>
        </w:rPr>
        <w:t>, es por ello que deberán tener actualizado su registro o censo de luminarias para que sean atendidas con exactitud, para aquellas las acciones relacionadas a la instalación, manteniendo o reemplazo.</w:t>
      </w:r>
    </w:p>
    <w:p w14:paraId="334FD7DB" w14:textId="77777777" w:rsidR="006321C8" w:rsidRDefault="006321C8" w:rsidP="00297A36">
      <w:pPr>
        <w:pStyle w:val="Sinespaciado"/>
        <w:spacing w:line="360" w:lineRule="auto"/>
        <w:jc w:val="both"/>
        <w:rPr>
          <w:rFonts w:ascii="Palatino Linotype" w:hAnsi="Palatino Linotype"/>
        </w:rPr>
      </w:pPr>
    </w:p>
    <w:p w14:paraId="0D55E230" w14:textId="5E575A29" w:rsidR="00AE09FB" w:rsidRDefault="00297A36" w:rsidP="00297A36">
      <w:pPr>
        <w:pStyle w:val="Sinespaciado"/>
        <w:spacing w:line="360" w:lineRule="auto"/>
        <w:jc w:val="both"/>
        <w:rPr>
          <w:rFonts w:ascii="Palatino Linotype" w:hAnsi="Palatino Linotype"/>
        </w:rPr>
      </w:pPr>
      <w:r>
        <w:rPr>
          <w:rFonts w:ascii="Palatino Linotype" w:hAnsi="Palatino Linotype"/>
        </w:rPr>
        <w:t xml:space="preserve">Adicionalmente, no debe soslayarse lo establecido en </w:t>
      </w:r>
      <w:r w:rsidR="004E1AC5">
        <w:rPr>
          <w:rFonts w:ascii="Palatino Linotype" w:hAnsi="Palatino Linotype"/>
        </w:rPr>
        <w:t xml:space="preserve">el artículo 95 fracciones I, II y IV de la Ley Orgánica Municipal del Estado de México, así como los </w:t>
      </w:r>
      <w:r w:rsidR="00AE09FB">
        <w:rPr>
          <w:rFonts w:ascii="Palatino Linotype" w:hAnsi="Palatino Linotype"/>
        </w:rPr>
        <w:t xml:space="preserve"> </w:t>
      </w:r>
      <w:r w:rsidR="004E1AC5">
        <w:rPr>
          <w:rFonts w:ascii="Palatino Linotype" w:hAnsi="Palatino Linotype"/>
        </w:rPr>
        <w:t xml:space="preserve">numerales </w:t>
      </w:r>
      <w:r w:rsidR="00C1625D" w:rsidRPr="00C1625D">
        <w:rPr>
          <w:rFonts w:ascii="Palatino Linotype" w:hAnsi="Palatino Linotype"/>
        </w:rPr>
        <w:t xml:space="preserve">80 </w:t>
      </w:r>
      <w:proofErr w:type="gramStart"/>
      <w:r w:rsidR="00C1625D" w:rsidRPr="00C1625D">
        <w:rPr>
          <w:rFonts w:ascii="Palatino Linotype" w:hAnsi="Palatino Linotype"/>
        </w:rPr>
        <w:lastRenderedPageBreak/>
        <w:t>fracción</w:t>
      </w:r>
      <w:proofErr w:type="gramEnd"/>
      <w:r w:rsidR="00C1625D" w:rsidRPr="00C1625D">
        <w:rPr>
          <w:rFonts w:ascii="Palatino Linotype" w:hAnsi="Palatino Linotype"/>
        </w:rPr>
        <w:t xml:space="preserve"> II, 98, 99 y 100</w:t>
      </w:r>
      <w:r w:rsidR="00AE09FB">
        <w:rPr>
          <w:rFonts w:ascii="Palatino Linotype" w:hAnsi="Palatino Linotype"/>
        </w:rPr>
        <w:t xml:space="preserve"> del Bando Municipal 2021 del </w:t>
      </w:r>
      <w:r w:rsidR="00AE09FB">
        <w:rPr>
          <w:rFonts w:ascii="Palatino Linotype" w:hAnsi="Palatino Linotype"/>
          <w:b/>
        </w:rPr>
        <w:t xml:space="preserve">Sujeto Obligado, </w:t>
      </w:r>
      <w:r w:rsidR="00AE09FB">
        <w:rPr>
          <w:rFonts w:ascii="Palatino Linotype" w:hAnsi="Palatino Linotype"/>
        </w:rPr>
        <w:t xml:space="preserve">normatividad invocada cuyo contenido literal es el siguiente: </w:t>
      </w:r>
    </w:p>
    <w:p w14:paraId="2CDBD02E" w14:textId="5B296259" w:rsidR="004E1AC5" w:rsidRPr="004E1AC5" w:rsidRDefault="004E1AC5" w:rsidP="004E1AC5">
      <w:pPr>
        <w:pStyle w:val="Citas"/>
        <w:jc w:val="center"/>
        <w:rPr>
          <w:b/>
        </w:rPr>
      </w:pPr>
      <w:r w:rsidRPr="004E1AC5">
        <w:rPr>
          <w:b/>
        </w:rPr>
        <w:t>Ley Orgánica Municipal del Estado de México</w:t>
      </w:r>
    </w:p>
    <w:p w14:paraId="3B3285A8" w14:textId="4D3681E5" w:rsidR="004E1AC5" w:rsidRDefault="004E1AC5" w:rsidP="004E1AC5">
      <w:pPr>
        <w:pStyle w:val="Citas"/>
      </w:pPr>
      <w:r>
        <w:t xml:space="preserve">“Artículo 95.- Son atribuciones del tesorero municipal: </w:t>
      </w:r>
    </w:p>
    <w:p w14:paraId="205BC510" w14:textId="77777777" w:rsidR="004E1AC5" w:rsidRDefault="004E1AC5" w:rsidP="004E1AC5">
      <w:pPr>
        <w:pStyle w:val="Citas"/>
      </w:pPr>
      <w:r>
        <w:t xml:space="preserve">I. Administrar la hacienda pública municipal, de conformidad con las disposiciones legales aplicables; </w:t>
      </w:r>
    </w:p>
    <w:p w14:paraId="07CE44AA" w14:textId="7BA3BE37" w:rsidR="004E1AC5" w:rsidRDefault="004E1AC5" w:rsidP="004E1AC5">
      <w:pPr>
        <w:pStyle w:val="Citas"/>
      </w:pPr>
      <w:r>
        <w:t>II. Determinar, liquidar, recaudar, fiscalizar y administrar las contribuciones en los términos de los ordenamientos jurídicos aplicables y, en su caso, aplicar el procedimiento administrativo de ejecución en términos de las disposiciones aplicables;</w:t>
      </w:r>
    </w:p>
    <w:p w14:paraId="3E864256" w14:textId="08BA28E7" w:rsidR="004E1AC5" w:rsidRDefault="004E1AC5" w:rsidP="004E1AC5">
      <w:pPr>
        <w:pStyle w:val="Citas"/>
      </w:pPr>
      <w:r>
        <w:t>(…)</w:t>
      </w:r>
    </w:p>
    <w:p w14:paraId="68BFDFE9" w14:textId="0799D1E0" w:rsidR="004E1AC5" w:rsidRDefault="004E1AC5" w:rsidP="004E1AC5">
      <w:pPr>
        <w:pStyle w:val="Citas"/>
      </w:pPr>
      <w:r>
        <w:t>IV. Llevar los registros contables, financieros y administrativos de los ingresos, egresos, e inventarios;</w:t>
      </w:r>
    </w:p>
    <w:p w14:paraId="3F220B41" w14:textId="550FB681" w:rsidR="004E1AC5" w:rsidRPr="004E1AC5" w:rsidRDefault="004E1AC5" w:rsidP="004E1AC5">
      <w:pPr>
        <w:pStyle w:val="Citas"/>
        <w:rPr>
          <w:b/>
        </w:rPr>
      </w:pPr>
      <w:r>
        <w:t xml:space="preserve">(…)” </w:t>
      </w:r>
      <w:r>
        <w:rPr>
          <w:b/>
        </w:rPr>
        <w:t xml:space="preserve">[Sic] </w:t>
      </w:r>
    </w:p>
    <w:p w14:paraId="0F2CD9F8" w14:textId="77777777" w:rsidR="004E1AC5" w:rsidRDefault="004E1AC5" w:rsidP="004E1AC5">
      <w:pPr>
        <w:pStyle w:val="Citas"/>
      </w:pPr>
    </w:p>
    <w:p w14:paraId="56D95910" w14:textId="268328F9" w:rsidR="004E1AC5" w:rsidRPr="004E1AC5" w:rsidRDefault="004E1AC5" w:rsidP="004E1AC5">
      <w:pPr>
        <w:pStyle w:val="Citas"/>
        <w:jc w:val="center"/>
        <w:rPr>
          <w:b/>
        </w:rPr>
      </w:pPr>
      <w:r>
        <w:rPr>
          <w:b/>
        </w:rPr>
        <w:t xml:space="preserve">Bando Municipal de </w:t>
      </w:r>
      <w:proofErr w:type="spellStart"/>
      <w:r w:rsidR="00BB2E89">
        <w:rPr>
          <w:b/>
        </w:rPr>
        <w:t>Temascalcingo</w:t>
      </w:r>
      <w:proofErr w:type="spellEnd"/>
    </w:p>
    <w:p w14:paraId="4EAD527A" w14:textId="0299317F" w:rsidR="00C1625D" w:rsidRPr="00C1625D" w:rsidRDefault="00C1625D" w:rsidP="00C1625D">
      <w:pPr>
        <w:pStyle w:val="Citas"/>
      </w:pPr>
      <w:r>
        <w:t>“</w:t>
      </w:r>
      <w:r w:rsidRPr="00C1625D">
        <w:t>Artículo 80.- De conformidad con lo dispuesto por el artículo 115, fracción III de la Constitución Política de los Estados Unidos Mexicanos, así como lo estipulado en el artículo 125 de la Ley Orgánica Municipal del Estado de México, tomando en cuenta las necesidades del municipio, es competencia del Ayuntamiento prestar los siguientes servicios públicos:</w:t>
      </w:r>
    </w:p>
    <w:p w14:paraId="653432CB" w14:textId="512AD8B8" w:rsidR="00C1625D" w:rsidRPr="00C1625D" w:rsidRDefault="00C1625D" w:rsidP="00C1625D">
      <w:pPr>
        <w:pStyle w:val="Citas"/>
      </w:pPr>
      <w:r w:rsidRPr="00C1625D">
        <w:lastRenderedPageBreak/>
        <w:t>(…)</w:t>
      </w:r>
    </w:p>
    <w:p w14:paraId="73C8F3AA" w14:textId="72296690" w:rsidR="00C1625D" w:rsidRPr="00C1625D" w:rsidRDefault="00C1625D" w:rsidP="00C1625D">
      <w:pPr>
        <w:pStyle w:val="Citas"/>
      </w:pPr>
      <w:r w:rsidRPr="00C1625D">
        <w:t>II. Alumbrado público.</w:t>
      </w:r>
    </w:p>
    <w:p w14:paraId="39508944" w14:textId="5CB6F479" w:rsidR="00C1625D" w:rsidRPr="00C1625D" w:rsidRDefault="00C1625D" w:rsidP="00C1625D">
      <w:pPr>
        <w:pStyle w:val="Citas"/>
      </w:pPr>
      <w:r w:rsidRPr="00C1625D">
        <w:t>(…)</w:t>
      </w:r>
    </w:p>
    <w:p w14:paraId="4482B136" w14:textId="77777777" w:rsidR="00C1625D" w:rsidRPr="00C1625D" w:rsidRDefault="00BB2E89" w:rsidP="00C1625D">
      <w:pPr>
        <w:pStyle w:val="Citas"/>
      </w:pPr>
      <w:r w:rsidRPr="00C1625D">
        <w:t xml:space="preserve">Artículo 98.- El servicio de alumbrado público, tiene por objeto la colocación y mantenimiento de lámparas o luminarias en vialidades, plazas, áreas e instalaciones públicas, siendo corresponsables en el cuidado de las mismas, el Ayuntamiento y la población del Municipio. </w:t>
      </w:r>
    </w:p>
    <w:p w14:paraId="65DDA840" w14:textId="77777777" w:rsidR="00C1625D" w:rsidRPr="00C1625D" w:rsidRDefault="00BB2E89" w:rsidP="00C1625D">
      <w:pPr>
        <w:pStyle w:val="Citas"/>
      </w:pPr>
      <w:r w:rsidRPr="00C1625D">
        <w:t xml:space="preserve">Artículo 99.- El servicio se prestará con respeto absoluto a las normas técnicas que al efecto dicte la Comisión Federal de Electricidad. </w:t>
      </w:r>
    </w:p>
    <w:p w14:paraId="3FB7D166" w14:textId="77777777" w:rsidR="00C1625D" w:rsidRPr="00C1625D" w:rsidRDefault="00BB2E89" w:rsidP="00C1625D">
      <w:pPr>
        <w:pStyle w:val="Citas"/>
      </w:pPr>
      <w:r w:rsidRPr="00C1625D">
        <w:t xml:space="preserve">Artículo 100.- Compete al Ayuntamiento la administración, conservación, mantenimiento y vigilancia del servicio de alumbrado público, por lo que son atribuciones y obligaciones las siguientes: </w:t>
      </w:r>
    </w:p>
    <w:p w14:paraId="682D0E3E" w14:textId="77777777" w:rsidR="00C1625D" w:rsidRPr="00C1625D" w:rsidRDefault="00BB2E89" w:rsidP="00C1625D">
      <w:pPr>
        <w:pStyle w:val="Citas"/>
      </w:pPr>
      <w:r w:rsidRPr="00C1625D">
        <w:t>I. Coordinar los trabajos con otras dependencias o instituciones cuando se afecten o involucren las instal</w:t>
      </w:r>
      <w:r w:rsidR="00C1625D" w:rsidRPr="00C1625D">
        <w:t xml:space="preserve">aciones de alumbrado público. </w:t>
      </w:r>
    </w:p>
    <w:p w14:paraId="6C7CADB9" w14:textId="77777777" w:rsidR="00C1625D" w:rsidRPr="00C1625D" w:rsidRDefault="00BB2E89" w:rsidP="00C1625D">
      <w:pPr>
        <w:pStyle w:val="Citas"/>
      </w:pPr>
      <w:r w:rsidRPr="00C1625D">
        <w:t xml:space="preserve"> II. Documentar las modificaciones y/o ampliaciones de las instalaciones cuando éstas se realicen. </w:t>
      </w:r>
    </w:p>
    <w:p w14:paraId="575D1F5A" w14:textId="093D04B5" w:rsidR="00AE09FB" w:rsidRDefault="00BB2E89" w:rsidP="00C1625D">
      <w:pPr>
        <w:pStyle w:val="Citas"/>
        <w:rPr>
          <w:b/>
        </w:rPr>
      </w:pPr>
      <w:r w:rsidRPr="00C1625D">
        <w:t>III. Rendir los peritajes y avalúos que les soliciten, como de los daños a las instalaciones de alumbrado público. El monto del avalúo cubrirá el importe de la reparación y las maniobras realizadas con motivo de las mismas y se hará efectivo el cobro a través de la Tesorería Municipal.</w:t>
      </w:r>
      <w:r w:rsidR="00C1625D">
        <w:t xml:space="preserve">” </w:t>
      </w:r>
      <w:r w:rsidR="00C1625D">
        <w:rPr>
          <w:b/>
        </w:rPr>
        <w:t xml:space="preserve">[Sic] </w:t>
      </w:r>
    </w:p>
    <w:p w14:paraId="700BA16F" w14:textId="77777777" w:rsidR="00C1625D" w:rsidRPr="00C1625D" w:rsidRDefault="00C1625D" w:rsidP="00C1625D">
      <w:pPr>
        <w:pStyle w:val="Citas"/>
        <w:rPr>
          <w:b/>
        </w:rPr>
      </w:pPr>
    </w:p>
    <w:p w14:paraId="0281A47E" w14:textId="13B4559B" w:rsidR="00AE09FB" w:rsidRDefault="00AE09FB" w:rsidP="00AE09FB">
      <w:pPr>
        <w:pStyle w:val="Sinespaciado"/>
        <w:spacing w:line="360" w:lineRule="auto"/>
        <w:jc w:val="both"/>
        <w:rPr>
          <w:rFonts w:ascii="Palatino Linotype" w:hAnsi="Palatino Linotype"/>
        </w:rPr>
      </w:pPr>
      <w:r>
        <w:rPr>
          <w:rFonts w:ascii="Palatino Linotype" w:hAnsi="Palatino Linotype"/>
        </w:rPr>
        <w:lastRenderedPageBreak/>
        <w:t xml:space="preserve">Adicionalmente, como se mencionó en el antecedente segundo, en fecha veintitrés de noviembre de dos mil veintiuno, </w:t>
      </w:r>
      <w:r>
        <w:rPr>
          <w:rFonts w:ascii="Palatino Linotype" w:hAnsi="Palatino Linotype"/>
          <w:b/>
        </w:rPr>
        <w:t xml:space="preserve">El Sujeto Obligado </w:t>
      </w:r>
      <w:r>
        <w:rPr>
          <w:rFonts w:ascii="Palatino Linotype" w:hAnsi="Palatino Linotype"/>
        </w:rPr>
        <w:t xml:space="preserve">rindió su respuesta a la solicitud de información formulada por </w:t>
      </w:r>
      <w:r>
        <w:rPr>
          <w:rFonts w:ascii="Palatino Linotype" w:hAnsi="Palatino Linotype"/>
          <w:b/>
        </w:rPr>
        <w:t xml:space="preserve">El Recurrente, </w:t>
      </w:r>
      <w:r>
        <w:rPr>
          <w:rFonts w:ascii="Palatino Linotype" w:hAnsi="Palatino Linotype"/>
        </w:rPr>
        <w:t>adicionalmente adjuntó la siguiente información:</w:t>
      </w:r>
    </w:p>
    <w:p w14:paraId="0844E9E9" w14:textId="45512FDB" w:rsidR="00AE09FB" w:rsidRPr="00ED3C5C" w:rsidRDefault="00AE09FB" w:rsidP="00FB1D16">
      <w:pPr>
        <w:pStyle w:val="Sinespaciado"/>
        <w:numPr>
          <w:ilvl w:val="0"/>
          <w:numId w:val="5"/>
        </w:numPr>
        <w:spacing w:line="360" w:lineRule="auto"/>
        <w:jc w:val="both"/>
        <w:rPr>
          <w:rFonts w:ascii="Palatino Linotype" w:hAnsi="Palatino Linotype"/>
          <w:b/>
        </w:rPr>
      </w:pPr>
      <w:r>
        <w:rPr>
          <w:rFonts w:ascii="Palatino Linotype" w:hAnsi="Palatino Linotype"/>
          <w:b/>
        </w:rPr>
        <w:t>“</w:t>
      </w:r>
      <w:r w:rsidR="00AD6CC6">
        <w:rPr>
          <w:rFonts w:ascii="Palatino Linotype" w:hAnsi="Palatino Linotype"/>
          <w:b/>
        </w:rPr>
        <w:t xml:space="preserve">100.pdf”: </w:t>
      </w:r>
      <w:r w:rsidR="00AD6CC6">
        <w:rPr>
          <w:rFonts w:ascii="Palatino Linotype" w:hAnsi="Palatino Linotype"/>
        </w:rPr>
        <w:t xml:space="preserve">Oficio </w:t>
      </w:r>
      <w:r w:rsidR="00AD6CC6">
        <w:rPr>
          <w:rFonts w:ascii="Palatino Linotype" w:hAnsi="Palatino Linotype"/>
          <w:b/>
        </w:rPr>
        <w:t xml:space="preserve">MTM/UT/194/21 </w:t>
      </w:r>
      <w:r w:rsidR="00AD6CC6">
        <w:rPr>
          <w:rFonts w:ascii="Palatino Linotype" w:hAnsi="Palatino Linotype"/>
        </w:rPr>
        <w:t xml:space="preserve">signado por el Titular de la Unidad de Transparencia y dirigido al Director de Servicios Públicos, en lo medular </w:t>
      </w:r>
      <w:r w:rsidR="00ED3C5C">
        <w:rPr>
          <w:rFonts w:ascii="Palatino Linotype" w:hAnsi="Palatino Linotype"/>
        </w:rPr>
        <w:t xml:space="preserve">le requiere dar respuesta a la solicitud de información </w:t>
      </w:r>
      <w:r w:rsidR="00ED3C5C">
        <w:rPr>
          <w:rFonts w:ascii="Palatino Linotype" w:hAnsi="Palatino Linotype"/>
          <w:b/>
        </w:rPr>
        <w:t xml:space="preserve">00100/TMASCALC/IP/2021 </w:t>
      </w:r>
      <w:r w:rsidR="00ED3C5C">
        <w:rPr>
          <w:rFonts w:ascii="Palatino Linotype" w:hAnsi="Palatino Linotype"/>
        </w:rPr>
        <w:t xml:space="preserve">en un plazo que no exceda de tres días hábiles; de fecha diez de noviembre de dos mil veintiuno. </w:t>
      </w:r>
    </w:p>
    <w:p w14:paraId="36E68A37" w14:textId="77777777" w:rsidR="00ED3C5C" w:rsidRDefault="00ED3C5C" w:rsidP="00ED3C5C">
      <w:pPr>
        <w:pStyle w:val="Sinespaciado"/>
        <w:spacing w:line="360" w:lineRule="auto"/>
        <w:jc w:val="both"/>
        <w:rPr>
          <w:rFonts w:ascii="Palatino Linotype" w:hAnsi="Palatino Linotype"/>
          <w:b/>
        </w:rPr>
      </w:pPr>
    </w:p>
    <w:p w14:paraId="47981D11" w14:textId="70B16EE8" w:rsidR="00ED3C5C" w:rsidRDefault="00ED3C5C" w:rsidP="00ED3C5C">
      <w:pPr>
        <w:pStyle w:val="INFOEM"/>
        <w:ind w:left="0" w:right="72"/>
        <w:rPr>
          <w:i w:val="0"/>
          <w:iCs/>
          <w:sz w:val="24"/>
          <w:szCs w:val="24"/>
        </w:rPr>
      </w:pPr>
      <w:r>
        <w:rPr>
          <w:i w:val="0"/>
          <w:iCs/>
          <w:sz w:val="24"/>
          <w:szCs w:val="24"/>
        </w:rPr>
        <w:t xml:space="preserve">Inconforme con la respuesta del </w:t>
      </w:r>
      <w:r>
        <w:rPr>
          <w:b/>
          <w:i w:val="0"/>
          <w:iCs/>
          <w:sz w:val="24"/>
          <w:szCs w:val="24"/>
        </w:rPr>
        <w:t xml:space="preserve">Sujeto Obligado, El Recurrente </w:t>
      </w:r>
      <w:r>
        <w:rPr>
          <w:i w:val="0"/>
          <w:iCs/>
          <w:sz w:val="24"/>
          <w:szCs w:val="24"/>
        </w:rPr>
        <w:t>interpuso recurso de revisión en fecha veintinueve de noviembre, admitiéndose el dos de diciembre, ambos de dos mil veintiuno. Señalando como razones o motivos de inconformidad:</w:t>
      </w:r>
    </w:p>
    <w:p w14:paraId="61F8AA99" w14:textId="7E224F29" w:rsidR="00ED3C5C" w:rsidRDefault="00ED3C5C" w:rsidP="00ED3C5C">
      <w:pPr>
        <w:pStyle w:val="Citas"/>
        <w:rPr>
          <w:b/>
        </w:rPr>
      </w:pPr>
      <w:r>
        <w:t xml:space="preserve">“EL sujeto obligado no ha dado respuesta a mi solicitud del día 02 de noviembre de 2021, con No. de Folio: 00100/TMASCALC/IP/2021” </w:t>
      </w:r>
      <w:r>
        <w:rPr>
          <w:b/>
        </w:rPr>
        <w:t xml:space="preserve">[Sic] </w:t>
      </w:r>
    </w:p>
    <w:p w14:paraId="0543C1EC" w14:textId="77777777" w:rsidR="00ED3C5C" w:rsidRDefault="00ED3C5C" w:rsidP="00ED3C5C">
      <w:pPr>
        <w:pStyle w:val="Citas"/>
        <w:ind w:left="0"/>
        <w:rPr>
          <w:b/>
          <w:iCs/>
          <w:sz w:val="24"/>
          <w:szCs w:val="24"/>
        </w:rPr>
      </w:pPr>
    </w:p>
    <w:p w14:paraId="31A826F4" w14:textId="404A61B0" w:rsidR="00ED3C5C" w:rsidRDefault="00ED3C5C" w:rsidP="00ED3C5C">
      <w:pPr>
        <w:pStyle w:val="Citas"/>
        <w:ind w:left="0" w:right="0"/>
        <w:rPr>
          <w:i w:val="0"/>
          <w:sz w:val="24"/>
          <w:szCs w:val="24"/>
        </w:rPr>
      </w:pPr>
      <w:r w:rsidRPr="00B82A24">
        <w:rPr>
          <w:i w:val="0"/>
          <w:sz w:val="24"/>
          <w:szCs w:val="24"/>
        </w:rPr>
        <w:t xml:space="preserve">Es decir, los motivos de inconformidad esgrimidos por </w:t>
      </w:r>
      <w:r w:rsidR="007F18CC">
        <w:rPr>
          <w:i w:val="0"/>
          <w:sz w:val="24"/>
          <w:szCs w:val="24"/>
        </w:rPr>
        <w:t>el</w:t>
      </w:r>
      <w:r w:rsidRPr="00B82A24">
        <w:rPr>
          <w:i w:val="0"/>
          <w:sz w:val="24"/>
          <w:szCs w:val="24"/>
        </w:rPr>
        <w:t xml:space="preserve"> particular se encuentran encauzados a resaltar</w:t>
      </w:r>
      <w:r>
        <w:rPr>
          <w:i w:val="0"/>
          <w:sz w:val="24"/>
          <w:szCs w:val="24"/>
        </w:rPr>
        <w:t xml:space="preserve"> la actualización de la causal de procedencia inmersa en el numeral 179, fracción I de la Ley de Transparencia y Acceso a la Información Pública del Estado de México y Municipios, porción normativa que dispone a la literalidad lo siguiente: </w:t>
      </w:r>
    </w:p>
    <w:p w14:paraId="1AEB39FB" w14:textId="77777777" w:rsidR="00ED3C5C" w:rsidRPr="00ED3C5C" w:rsidRDefault="00ED3C5C" w:rsidP="00ED3C5C">
      <w:pPr>
        <w:pStyle w:val="Citas"/>
      </w:pPr>
      <w:r w:rsidRPr="00ED3C5C">
        <w:lastRenderedPageBreak/>
        <w:t>“Artículo 179. El recurso de revisión es un medio de protección que la Ley otorga a los particulares, para hacer valer su derecho de acceso a la información pública, y procederá en contra de las siguientes causas:</w:t>
      </w:r>
    </w:p>
    <w:p w14:paraId="4D1C15C5" w14:textId="77777777" w:rsidR="00ED3C5C" w:rsidRPr="00ED3C5C" w:rsidRDefault="00ED3C5C" w:rsidP="00ED3C5C">
      <w:pPr>
        <w:pStyle w:val="Citas"/>
      </w:pPr>
      <w:r w:rsidRPr="00ED3C5C">
        <w:t>(…)</w:t>
      </w:r>
    </w:p>
    <w:p w14:paraId="497BFA43" w14:textId="3F81BAEF" w:rsidR="00ED3C5C" w:rsidRPr="00ED3C5C" w:rsidRDefault="00ED3C5C" w:rsidP="00ED3C5C">
      <w:pPr>
        <w:pStyle w:val="Citas"/>
        <w:rPr>
          <w:b/>
          <w:u w:val="single"/>
        </w:rPr>
      </w:pPr>
      <w:r w:rsidRPr="00ED3C5C">
        <w:rPr>
          <w:b/>
          <w:u w:val="single"/>
        </w:rPr>
        <w:t xml:space="preserve">I. La negativa a la información solicitada  </w:t>
      </w:r>
    </w:p>
    <w:p w14:paraId="13732F1D" w14:textId="343CB20F" w:rsidR="00ED3C5C" w:rsidRDefault="00ED3C5C" w:rsidP="00ED3C5C">
      <w:pPr>
        <w:pStyle w:val="Citas"/>
        <w:rPr>
          <w:b/>
        </w:rPr>
      </w:pPr>
      <w:r w:rsidRPr="00ED3C5C">
        <w:t>(…)” [Sic</w:t>
      </w:r>
      <w:r>
        <w:rPr>
          <w:b/>
        </w:rPr>
        <w:t>]</w:t>
      </w:r>
    </w:p>
    <w:p w14:paraId="582AD1A0" w14:textId="77777777" w:rsidR="00C1625D" w:rsidRPr="00ED3C5C" w:rsidRDefault="00C1625D" w:rsidP="00ED3C5C">
      <w:pPr>
        <w:pStyle w:val="Citas"/>
        <w:rPr>
          <w:i w:val="0"/>
          <w:iCs/>
          <w:sz w:val="24"/>
          <w:szCs w:val="24"/>
        </w:rPr>
      </w:pPr>
    </w:p>
    <w:p w14:paraId="112B50F2" w14:textId="3720BA64" w:rsidR="00ED3C5C" w:rsidRDefault="00ED3C5C" w:rsidP="00ED3C5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 en fecha ocho de diciembre de dos mil veintiuno. Adjuntando para tal efecto lo siguiente:</w:t>
      </w:r>
    </w:p>
    <w:p w14:paraId="7D9B5AD4" w14:textId="3D5F0B63" w:rsidR="00ED3C5C" w:rsidRPr="00ED3C5C" w:rsidRDefault="00ED3C5C" w:rsidP="00FB1D16">
      <w:pPr>
        <w:pStyle w:val="Prrafodelista"/>
        <w:numPr>
          <w:ilvl w:val="0"/>
          <w:numId w:val="7"/>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“Documento 10.pdf”: </w:t>
      </w:r>
      <w:r>
        <w:rPr>
          <w:rFonts w:ascii="Palatino Linotype" w:hAnsi="Palatino Linotype" w:cs="Arial"/>
          <w:color w:val="000000"/>
          <w:lang w:val="es-ES_tradnl"/>
        </w:rPr>
        <w:t xml:space="preserve">Compila lo siguiente: </w:t>
      </w:r>
    </w:p>
    <w:p w14:paraId="218D1B5A" w14:textId="7BBC0AFD" w:rsidR="00ED3C5C" w:rsidRPr="00ED3C5C" w:rsidRDefault="00ED3C5C" w:rsidP="00FB1D16">
      <w:pPr>
        <w:pStyle w:val="Prrafodelista"/>
        <w:numPr>
          <w:ilvl w:val="0"/>
          <w:numId w:val="8"/>
        </w:numPr>
        <w:spacing w:line="360" w:lineRule="auto"/>
        <w:jc w:val="both"/>
        <w:rPr>
          <w:rFonts w:ascii="Palatino Linotype" w:hAnsi="Palatino Linotype" w:cs="Arial"/>
          <w:b/>
          <w:color w:val="000000"/>
          <w:lang w:val="es-ES_tradnl"/>
        </w:rPr>
      </w:pPr>
      <w:r>
        <w:rPr>
          <w:rFonts w:ascii="Palatino Linotype" w:hAnsi="Palatino Linotype"/>
        </w:rPr>
        <w:t xml:space="preserve">Oficio </w:t>
      </w:r>
      <w:r>
        <w:rPr>
          <w:rFonts w:ascii="Palatino Linotype" w:hAnsi="Palatino Linotype"/>
          <w:b/>
        </w:rPr>
        <w:t xml:space="preserve">MTM/UT/194/21 </w:t>
      </w:r>
      <w:r>
        <w:rPr>
          <w:rFonts w:ascii="Palatino Linotype" w:hAnsi="Palatino Linotype"/>
        </w:rPr>
        <w:t xml:space="preserve">signado por el Titular de la Unidad de Transparencia y dirigido al Director de Servicios Públicos, en lo medular le requiere dar respuesta a la solicitud de información </w:t>
      </w:r>
      <w:r>
        <w:rPr>
          <w:rFonts w:ascii="Palatino Linotype" w:hAnsi="Palatino Linotype"/>
          <w:b/>
        </w:rPr>
        <w:t xml:space="preserve">00100/TMASCALC/IP/2021 </w:t>
      </w:r>
      <w:r>
        <w:rPr>
          <w:rFonts w:ascii="Palatino Linotype" w:hAnsi="Palatino Linotype"/>
        </w:rPr>
        <w:t>en un plazo que no exceda de tres días hábiles; de fecha diez de noviembre de dos mil veintiuno.</w:t>
      </w:r>
    </w:p>
    <w:p w14:paraId="77FE97CC" w14:textId="6D6A7BAE" w:rsidR="00ED3C5C" w:rsidRPr="00ED3C5C" w:rsidRDefault="00ED3C5C" w:rsidP="00FB1D16">
      <w:pPr>
        <w:pStyle w:val="Prrafodelista"/>
        <w:numPr>
          <w:ilvl w:val="0"/>
          <w:numId w:val="8"/>
        </w:numPr>
        <w:spacing w:line="360" w:lineRule="auto"/>
        <w:jc w:val="both"/>
        <w:rPr>
          <w:rFonts w:ascii="Palatino Linotype" w:hAnsi="Palatino Linotype" w:cs="Arial"/>
          <w:b/>
          <w:color w:val="000000"/>
          <w:lang w:val="es-ES_tradnl"/>
        </w:rPr>
      </w:pPr>
      <w:r>
        <w:rPr>
          <w:rFonts w:ascii="Palatino Linotype" w:hAnsi="Palatino Linotype"/>
        </w:rPr>
        <w:t xml:space="preserve">Oficio </w:t>
      </w:r>
      <w:r>
        <w:rPr>
          <w:rFonts w:ascii="Palatino Linotype" w:hAnsi="Palatino Linotype"/>
          <w:b/>
        </w:rPr>
        <w:t xml:space="preserve">MTM/DSP/27/2021 </w:t>
      </w:r>
      <w:r>
        <w:rPr>
          <w:rFonts w:ascii="Palatino Linotype" w:hAnsi="Palatino Linotype"/>
        </w:rPr>
        <w:t xml:space="preserve">signado por el Director de Servicios Públicos y dirigido al Titular de la Unidad de Transparencia, en síntesis refiere que envió un oficio a la Comisión Federal de Electricidad pidiendo que se entregara el censo correspondiente, sin embargo, no ha obtenido respuesta; de fecha doce de noviembre de dos mil veintiuno. </w:t>
      </w:r>
    </w:p>
    <w:p w14:paraId="2917C20A" w14:textId="14A40F5C" w:rsidR="00ED3C5C" w:rsidRPr="00DE4454" w:rsidRDefault="00ED3C5C" w:rsidP="00FB1D16">
      <w:pPr>
        <w:pStyle w:val="Prrafodelista"/>
        <w:numPr>
          <w:ilvl w:val="0"/>
          <w:numId w:val="8"/>
        </w:numPr>
        <w:spacing w:line="360" w:lineRule="auto"/>
        <w:jc w:val="both"/>
        <w:rPr>
          <w:rFonts w:ascii="Palatino Linotype" w:hAnsi="Palatino Linotype" w:cs="Arial"/>
          <w:b/>
          <w:color w:val="000000"/>
          <w:lang w:val="es-ES_tradnl"/>
        </w:rPr>
      </w:pPr>
      <w:r>
        <w:rPr>
          <w:rFonts w:ascii="Palatino Linotype" w:hAnsi="Palatino Linotype"/>
        </w:rPr>
        <w:lastRenderedPageBreak/>
        <w:t xml:space="preserve">Oficio </w:t>
      </w:r>
      <w:r>
        <w:rPr>
          <w:rFonts w:ascii="Palatino Linotype" w:hAnsi="Palatino Linotype"/>
          <w:b/>
        </w:rPr>
        <w:t xml:space="preserve">MTM/DSP/016/2021 </w:t>
      </w:r>
      <w:r>
        <w:rPr>
          <w:rFonts w:ascii="Palatino Linotype" w:hAnsi="Palatino Linotype"/>
        </w:rPr>
        <w:t>signado por el Director de Servicios Públicos y dirigido a la Comisión Federal de E</w:t>
      </w:r>
      <w:r w:rsidR="00DE4454">
        <w:rPr>
          <w:rFonts w:ascii="Palatino Linotype" w:hAnsi="Palatino Linotype"/>
        </w:rPr>
        <w:t>lectricidad, de fecha veintitrés de abril de dos mil veintiuno, en términos generales resulta de nuestro interés el siguiente extracto:</w:t>
      </w:r>
    </w:p>
    <w:p w14:paraId="74EE083F" w14:textId="640EE6F7" w:rsidR="00DE4454" w:rsidRDefault="00DE4454" w:rsidP="00DE4454">
      <w:pPr>
        <w:pStyle w:val="Prrafodelista"/>
        <w:spacing w:line="360" w:lineRule="auto"/>
        <w:ind w:left="1080"/>
        <w:jc w:val="both"/>
        <w:rPr>
          <w:rFonts w:ascii="Palatino Linotype" w:hAnsi="Palatino Linotype"/>
          <w:i/>
        </w:rPr>
      </w:pPr>
      <w:r>
        <w:rPr>
          <w:rFonts w:ascii="Palatino Linotype" w:hAnsi="Palatino Linotype"/>
          <w:i/>
        </w:rPr>
        <w:t xml:space="preserve">“(…) </w:t>
      </w:r>
    </w:p>
    <w:p w14:paraId="4F394B69" w14:textId="455D2AF8" w:rsidR="00DE4454" w:rsidRPr="00DE4454" w:rsidRDefault="00DE4454" w:rsidP="00DE4454">
      <w:pPr>
        <w:pStyle w:val="Prrafodelista"/>
        <w:spacing w:line="360" w:lineRule="auto"/>
        <w:ind w:left="1080"/>
        <w:jc w:val="both"/>
        <w:rPr>
          <w:rFonts w:ascii="Palatino Linotype" w:hAnsi="Palatino Linotype" w:cs="Arial"/>
          <w:b/>
          <w:i/>
          <w:color w:val="000000"/>
          <w:lang w:val="es-ES_tradnl"/>
        </w:rPr>
      </w:pPr>
      <w:r>
        <w:rPr>
          <w:rFonts w:ascii="Palatino Linotype" w:hAnsi="Palatino Linotype"/>
          <w:i/>
        </w:rPr>
        <w:t xml:space="preserve">Por medio del presente me permito enviarle un cordial y afectuoso saludo, así mismo le solicito amablemente tenga a bien proporcionarme el </w:t>
      </w:r>
      <w:r>
        <w:rPr>
          <w:rFonts w:ascii="Palatino Linotype" w:hAnsi="Palatino Linotype"/>
          <w:b/>
          <w:i/>
        </w:rPr>
        <w:t xml:space="preserve">CENSO 2020 DE ALUMBRADO PÚBLICO, </w:t>
      </w:r>
      <w:r>
        <w:rPr>
          <w:rFonts w:ascii="Palatino Linotype" w:hAnsi="Palatino Linotype"/>
          <w:i/>
        </w:rPr>
        <w:t xml:space="preserve">realizado en todo el Municipio” </w:t>
      </w:r>
      <w:r>
        <w:rPr>
          <w:rFonts w:ascii="Palatino Linotype" w:hAnsi="Palatino Linotype"/>
          <w:b/>
          <w:i/>
        </w:rPr>
        <w:t>[Sic]</w:t>
      </w:r>
    </w:p>
    <w:p w14:paraId="0CF3F811" w14:textId="10434BA5" w:rsidR="00ED3C5C" w:rsidRPr="00ED3C5C" w:rsidRDefault="00ED3C5C" w:rsidP="00FB1D16">
      <w:pPr>
        <w:pStyle w:val="Prrafodelista"/>
        <w:numPr>
          <w:ilvl w:val="0"/>
          <w:numId w:val="7"/>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“informe justificado 100.pdf”: </w:t>
      </w:r>
      <w:r w:rsidR="00DE4454">
        <w:rPr>
          <w:rFonts w:ascii="Palatino Linotype" w:hAnsi="Palatino Linotype" w:cs="Arial"/>
          <w:color w:val="000000"/>
          <w:lang w:val="es-ES_tradnl"/>
        </w:rPr>
        <w:t xml:space="preserve">Oficio </w:t>
      </w:r>
      <w:r w:rsidR="00DE4454">
        <w:rPr>
          <w:rFonts w:ascii="Palatino Linotype" w:hAnsi="Palatino Linotype" w:cs="Arial"/>
          <w:b/>
          <w:color w:val="000000"/>
          <w:lang w:val="es-ES_tradnl"/>
        </w:rPr>
        <w:t xml:space="preserve">MTM/UT/0217/21 </w:t>
      </w:r>
      <w:r w:rsidR="00DE4454">
        <w:rPr>
          <w:rFonts w:ascii="Palatino Linotype" w:hAnsi="Palatino Linotype" w:cs="Arial"/>
          <w:color w:val="000000"/>
          <w:lang w:val="es-ES_tradnl"/>
        </w:rPr>
        <w:t xml:space="preserve">signado por el Titular de la Unidad de Transparencia y dirigido al Comisionado Ponente, </w:t>
      </w:r>
      <w:r w:rsidR="00027921">
        <w:rPr>
          <w:rFonts w:ascii="Palatino Linotype" w:hAnsi="Palatino Linotype" w:cs="Arial"/>
          <w:color w:val="000000"/>
          <w:lang w:val="es-ES_tradnl"/>
        </w:rPr>
        <w:t xml:space="preserve">en términos generales describe diversos antecedentes y ratifica la respuesta primigenia; de fecha ocho de diciembre de dos mil veintiuno. </w:t>
      </w:r>
    </w:p>
    <w:p w14:paraId="6747E5FD" w14:textId="77777777" w:rsidR="00ED3C5C" w:rsidRDefault="00ED3C5C" w:rsidP="00ED3C5C">
      <w:pPr>
        <w:spacing w:after="0" w:line="360" w:lineRule="auto"/>
        <w:jc w:val="both"/>
        <w:rPr>
          <w:rFonts w:ascii="Palatino Linotype" w:hAnsi="Palatino Linotype" w:cs="Arial"/>
          <w:color w:val="000000"/>
          <w:sz w:val="24"/>
          <w:lang w:val="es-ES_tradnl"/>
        </w:rPr>
      </w:pPr>
    </w:p>
    <w:p w14:paraId="46E9DC28" w14:textId="77777777" w:rsidR="00027921" w:rsidRPr="001C649D" w:rsidRDefault="00027921" w:rsidP="00027921">
      <w:pPr>
        <w:spacing w:after="0" w:line="360" w:lineRule="auto"/>
        <w:jc w:val="both"/>
        <w:rPr>
          <w:rFonts w:ascii="Palatino Linotype" w:hAnsi="Palatino Linotype"/>
          <w:noProof/>
          <w:sz w:val="24"/>
          <w:szCs w:val="24"/>
          <w:lang w:eastAsia="es-MX"/>
        </w:rPr>
      </w:pPr>
      <w:r w:rsidRPr="001C649D">
        <w:rPr>
          <w:rFonts w:ascii="Palatino Linotype" w:hAnsi="Palatino Linotype"/>
          <w:noProof/>
          <w:sz w:val="24"/>
          <w:szCs w:val="24"/>
          <w:lang w:eastAsia="es-MX"/>
        </w:rPr>
        <w:t>Hasta aquí lo expuesto deben de arribarse a las siguientes consideraciones:</w:t>
      </w:r>
    </w:p>
    <w:p w14:paraId="14AFCC9E" w14:textId="756BF41D" w:rsidR="00027921" w:rsidRPr="009D1B1E" w:rsidRDefault="00027921"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sidRPr="00BB739A">
        <w:rPr>
          <w:rFonts w:ascii="Palatino Linotype" w:hAnsi="Palatino Linotype" w:cs="Arial"/>
          <w:color w:val="000000"/>
        </w:rPr>
        <w:t>A través del derecho de acceso a la información</w:t>
      </w:r>
      <w:r>
        <w:rPr>
          <w:rFonts w:ascii="Palatino Linotype" w:hAnsi="Palatino Linotype" w:cs="Arial"/>
          <w:color w:val="000000"/>
        </w:rPr>
        <w:t xml:space="preserve"> fueron formulados diversos requerimientos vinculados con </w:t>
      </w:r>
      <w:r w:rsidR="00BB2E89">
        <w:rPr>
          <w:rFonts w:ascii="Palatino Linotype" w:hAnsi="Palatino Linotype" w:cs="Arial"/>
          <w:color w:val="000000"/>
        </w:rPr>
        <w:t xml:space="preserve">ingresos, egresos, así como </w:t>
      </w:r>
      <w:r>
        <w:rPr>
          <w:rFonts w:ascii="Palatino Linotype" w:hAnsi="Palatino Linotype" w:cs="Arial"/>
          <w:color w:val="000000"/>
        </w:rPr>
        <w:t xml:space="preserve">el Censo 2020 de alumbrado </w:t>
      </w:r>
      <w:r w:rsidRPr="009D1B1E">
        <w:rPr>
          <w:rFonts w:ascii="Palatino Linotype" w:hAnsi="Palatino Linotype" w:cs="Arial"/>
          <w:b/>
          <w:color w:val="000000"/>
          <w:u w:val="single"/>
        </w:rPr>
        <w:t>o en su def</w:t>
      </w:r>
      <w:r w:rsidR="004E1AC5">
        <w:rPr>
          <w:rFonts w:ascii="Palatino Linotype" w:hAnsi="Palatino Linotype" w:cs="Arial"/>
          <w:b/>
          <w:color w:val="000000"/>
          <w:u w:val="single"/>
        </w:rPr>
        <w:t>ecto con el censo más reciente (2019, 2018, 2017, otros)</w:t>
      </w:r>
    </w:p>
    <w:p w14:paraId="530B95BF" w14:textId="3B9B8F2C" w:rsidR="009D1B1E" w:rsidRDefault="00027921" w:rsidP="00FB1D16">
      <w:pPr>
        <w:pStyle w:val="Prrafodelista"/>
        <w:numPr>
          <w:ilvl w:val="0"/>
          <w:numId w:val="9"/>
        </w:numPr>
        <w:autoSpaceDE w:val="0"/>
        <w:autoSpaceDN w:val="0"/>
        <w:adjustRightInd w:val="0"/>
        <w:spacing w:line="360" w:lineRule="auto"/>
        <w:jc w:val="both"/>
        <w:rPr>
          <w:rFonts w:ascii="Palatino Linotype" w:hAnsi="Palatino Linotype" w:cs="Arial"/>
        </w:rPr>
      </w:pPr>
      <w:r w:rsidRPr="008071F1">
        <w:rPr>
          <w:rFonts w:ascii="Palatino Linotype" w:hAnsi="Palatino Linotype" w:cs="Arial"/>
        </w:rPr>
        <w:t xml:space="preserve">Que de una interpretación sistemática </w:t>
      </w:r>
      <w:r w:rsidR="00BB2E89">
        <w:rPr>
          <w:rFonts w:ascii="Palatino Linotype" w:hAnsi="Palatino Linotype" w:cs="Arial"/>
        </w:rPr>
        <w:t>al artículo</w:t>
      </w:r>
      <w:r w:rsidRPr="008071F1">
        <w:rPr>
          <w:rFonts w:ascii="Palatino Linotype" w:hAnsi="Palatino Linotype" w:cs="Arial"/>
        </w:rPr>
        <w:t xml:space="preserve"> </w:t>
      </w:r>
      <w:r w:rsidR="00BB2E89">
        <w:rPr>
          <w:rFonts w:ascii="Palatino Linotype" w:hAnsi="Palatino Linotype"/>
        </w:rPr>
        <w:t xml:space="preserve">95 fracciones I, II y IV de la Ley Orgánica Municipal del Estado de México, así como los  numerales </w:t>
      </w:r>
      <w:r w:rsidR="00C1625D" w:rsidRPr="00C1625D">
        <w:rPr>
          <w:rFonts w:ascii="Palatino Linotype" w:hAnsi="Palatino Linotype"/>
        </w:rPr>
        <w:t>80 fracción II, 98, 99 y 100</w:t>
      </w:r>
      <w:r w:rsidR="00BB2E89">
        <w:rPr>
          <w:rFonts w:ascii="Palatino Linotype" w:hAnsi="Palatino Linotype"/>
        </w:rPr>
        <w:t xml:space="preserve"> del Bando Municipal 2021 del </w:t>
      </w:r>
      <w:r w:rsidR="00BB2E89">
        <w:rPr>
          <w:rFonts w:ascii="Palatino Linotype" w:hAnsi="Palatino Linotype"/>
          <w:b/>
        </w:rPr>
        <w:t>Sujeto Obligado</w:t>
      </w:r>
      <w:r w:rsidR="00BB2E89">
        <w:rPr>
          <w:rFonts w:ascii="Palatino Linotype" w:hAnsi="Palatino Linotype"/>
        </w:rPr>
        <w:t xml:space="preserve"> </w:t>
      </w:r>
      <w:r w:rsidR="009D1B1E">
        <w:rPr>
          <w:rFonts w:ascii="Palatino Linotype" w:hAnsi="Palatino Linotype"/>
        </w:rPr>
        <w:t>se advierte que el</w:t>
      </w:r>
      <w:r w:rsidR="00BB2E89">
        <w:rPr>
          <w:rFonts w:ascii="Palatino Linotype" w:hAnsi="Palatino Linotype"/>
        </w:rPr>
        <w:t xml:space="preserve"> Tesorero Municipal así como el</w:t>
      </w:r>
      <w:r w:rsidR="009D1B1E">
        <w:rPr>
          <w:rFonts w:ascii="Palatino Linotype" w:hAnsi="Palatino Linotype"/>
        </w:rPr>
        <w:t xml:space="preserve"> Director de Servicios Públicos </w:t>
      </w:r>
      <w:r w:rsidR="00BB2E89">
        <w:rPr>
          <w:rFonts w:ascii="Palatino Linotype" w:hAnsi="Palatino Linotype"/>
        </w:rPr>
        <w:t>fungen como los sujetos habilitados competentes</w:t>
      </w:r>
      <w:r w:rsidR="009D1B1E">
        <w:rPr>
          <w:rFonts w:ascii="Palatino Linotype" w:hAnsi="Palatino Linotype"/>
        </w:rPr>
        <w:t xml:space="preserve"> para atender la solicitud de información. </w:t>
      </w:r>
    </w:p>
    <w:p w14:paraId="252C2186" w14:textId="77777777" w:rsidR="00BB2E89" w:rsidRPr="009D1B1E" w:rsidRDefault="009D1B1E" w:rsidP="00FB1D16">
      <w:pPr>
        <w:pStyle w:val="Prrafodelista"/>
        <w:numPr>
          <w:ilvl w:val="0"/>
          <w:numId w:val="9"/>
        </w:numPr>
        <w:autoSpaceDE w:val="0"/>
        <w:autoSpaceDN w:val="0"/>
        <w:adjustRightInd w:val="0"/>
        <w:spacing w:line="360" w:lineRule="auto"/>
        <w:jc w:val="both"/>
        <w:rPr>
          <w:rFonts w:ascii="Palatino Linotype" w:hAnsi="Palatino Linotype" w:cs="Arial"/>
          <w:b/>
          <w:u w:val="single"/>
        </w:rPr>
      </w:pPr>
      <w:r>
        <w:rPr>
          <w:rFonts w:ascii="Palatino Linotype" w:hAnsi="Palatino Linotype" w:cs="Arial"/>
        </w:rPr>
        <w:lastRenderedPageBreak/>
        <w:t xml:space="preserve">Mediante respuesta, </w:t>
      </w:r>
      <w:r>
        <w:rPr>
          <w:rFonts w:ascii="Palatino Linotype" w:hAnsi="Palatino Linotype" w:cs="Arial"/>
          <w:b/>
        </w:rPr>
        <w:t xml:space="preserve">El Sujeto Obligado </w:t>
      </w:r>
      <w:r>
        <w:rPr>
          <w:rFonts w:ascii="Palatino Linotype" w:hAnsi="Palatino Linotype" w:cs="Arial"/>
        </w:rPr>
        <w:t xml:space="preserve">se limitó a señalar que requirió el Censo 2020 de alumbrado público a la Comisión Federal de Electricidad, es decir, no tomó en consideración la voluntad del particular al </w:t>
      </w:r>
      <w:r w:rsidR="00BB2E89">
        <w:rPr>
          <w:rFonts w:ascii="Palatino Linotype" w:hAnsi="Palatino Linotype" w:cs="Arial"/>
        </w:rPr>
        <w:t>precisar</w:t>
      </w:r>
      <w:r>
        <w:rPr>
          <w:rFonts w:ascii="Palatino Linotype" w:hAnsi="Palatino Linotype" w:cs="Arial"/>
        </w:rPr>
        <w:t xml:space="preserve"> </w:t>
      </w:r>
      <w:r>
        <w:rPr>
          <w:rFonts w:ascii="Palatino Linotype" w:hAnsi="Palatino Linotype" w:cs="Arial"/>
          <w:i/>
        </w:rPr>
        <w:t xml:space="preserve">“de los ejercicios 2020 </w:t>
      </w:r>
      <w:r w:rsidRPr="009D1B1E">
        <w:rPr>
          <w:rFonts w:ascii="Palatino Linotype" w:hAnsi="Palatino Linotype" w:cs="Arial"/>
          <w:b/>
          <w:i/>
          <w:u w:val="single"/>
        </w:rPr>
        <w:t>o en su caso, el censo más reciente en colaboración de la CFE”</w:t>
      </w:r>
      <w:r w:rsidR="00BB2E89">
        <w:rPr>
          <w:rFonts w:ascii="Palatino Linotype" w:hAnsi="Palatino Linotype" w:cs="Arial"/>
          <w:b/>
          <w:i/>
          <w:u w:val="single"/>
        </w:rPr>
        <w:t xml:space="preserve"> </w:t>
      </w:r>
      <w:r w:rsidR="00BB2E89">
        <w:rPr>
          <w:rFonts w:ascii="Palatino Linotype" w:hAnsi="Palatino Linotype" w:cs="Arial"/>
          <w:b/>
          <w:color w:val="000000"/>
          <w:u w:val="single"/>
        </w:rPr>
        <w:t>(2019, 2018, 2017, otros)</w:t>
      </w:r>
    </w:p>
    <w:p w14:paraId="3524D8AB" w14:textId="79605ED1" w:rsidR="00027921" w:rsidRDefault="009D1B1E" w:rsidP="00FB1D16">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Asimismo, mediante etapa de manifestaciones </w:t>
      </w:r>
      <w:r>
        <w:rPr>
          <w:rFonts w:ascii="Palatino Linotype" w:hAnsi="Palatino Linotype" w:cs="Arial"/>
          <w:b/>
        </w:rPr>
        <w:t xml:space="preserve">El Sujeto Obligado </w:t>
      </w:r>
      <w:r>
        <w:rPr>
          <w:rFonts w:ascii="Palatino Linotype" w:hAnsi="Palatino Linotype" w:cs="Arial"/>
        </w:rPr>
        <w:t xml:space="preserve">se limitó a confirmar la respuesta primigenia, luego entonces, no se colmó el derecho de acceso a la información pública. </w:t>
      </w:r>
    </w:p>
    <w:p w14:paraId="45BB0CD1" w14:textId="77777777" w:rsidR="00027921" w:rsidRDefault="00027921" w:rsidP="00027921">
      <w:pPr>
        <w:spacing w:after="0" w:line="360" w:lineRule="auto"/>
        <w:jc w:val="both"/>
        <w:rPr>
          <w:rFonts w:ascii="Palatino Linotype" w:hAnsi="Palatino Linotype" w:cs="Arial"/>
          <w:color w:val="000000"/>
          <w:lang w:val="es-ES_tradnl"/>
        </w:rPr>
      </w:pPr>
    </w:p>
    <w:p w14:paraId="33E78CF0" w14:textId="77777777" w:rsidR="00027921" w:rsidRDefault="00027921" w:rsidP="00027921">
      <w:pPr>
        <w:spacing w:after="0" w:line="360" w:lineRule="auto"/>
        <w:jc w:val="both"/>
        <w:rPr>
          <w:rFonts w:ascii="Palatino Linotype" w:hAnsi="Palatino Linotype" w:cs="Arial"/>
          <w:color w:val="000000"/>
          <w:lang w:val="es-ES_tradnl"/>
        </w:rPr>
      </w:pPr>
    </w:p>
    <w:p w14:paraId="73DC3A11" w14:textId="77777777" w:rsidR="00C1625D" w:rsidRDefault="00027921" w:rsidP="004E1AC5">
      <w:pPr>
        <w:spacing w:line="360" w:lineRule="auto"/>
        <w:contextualSpacing/>
        <w:jc w:val="both"/>
        <w:rPr>
          <w:rFonts w:ascii="Palatino Linotype" w:eastAsia="MS Mincho" w:hAnsi="Palatino Linotype"/>
          <w:b/>
          <w:sz w:val="24"/>
          <w:szCs w:val="24"/>
        </w:rPr>
      </w:pPr>
      <w:r w:rsidRPr="008A7548">
        <w:rPr>
          <w:rFonts w:ascii="Palatino Linotype" w:eastAsia="MS Mincho" w:hAnsi="Palatino Linotype"/>
          <w:sz w:val="24"/>
          <w:szCs w:val="24"/>
        </w:rPr>
        <w:t xml:space="preserve">Con base en lo anteriormente expuesto, resulta procedente ordenar </w:t>
      </w:r>
      <w:r>
        <w:rPr>
          <w:rFonts w:ascii="Palatino Linotype" w:eastAsia="MS Mincho" w:hAnsi="Palatino Linotype"/>
          <w:sz w:val="24"/>
          <w:szCs w:val="24"/>
        </w:rPr>
        <w:t>una búsqueda exhaustiva y razonable, a efecto de entregar</w:t>
      </w:r>
      <w:r w:rsidR="009D1B1E">
        <w:rPr>
          <w:rFonts w:ascii="Palatino Linotype" w:eastAsia="MS Mincho" w:hAnsi="Palatino Linotype"/>
          <w:sz w:val="24"/>
          <w:szCs w:val="24"/>
        </w:rPr>
        <w:t xml:space="preserve"> la información precisada en los párrafos iniciales del considerando </w:t>
      </w:r>
      <w:r w:rsidR="009D1B1E">
        <w:rPr>
          <w:rFonts w:ascii="Palatino Linotype" w:eastAsia="MS Mincho" w:hAnsi="Palatino Linotype"/>
          <w:b/>
          <w:sz w:val="24"/>
          <w:szCs w:val="24"/>
        </w:rPr>
        <w:t xml:space="preserve">CUARTO. </w:t>
      </w:r>
    </w:p>
    <w:p w14:paraId="07184B30" w14:textId="72364546" w:rsidR="009D1B1E" w:rsidRDefault="00027921" w:rsidP="004E1AC5">
      <w:pPr>
        <w:spacing w:line="360" w:lineRule="auto"/>
        <w:contextualSpacing/>
        <w:jc w:val="both"/>
        <w:rPr>
          <w:rFonts w:ascii="Palatino Linotype" w:hAnsi="Palatino Linotype" w:cs="Arial"/>
          <w:color w:val="000000"/>
          <w:sz w:val="24"/>
          <w:lang w:val="es-ES_tradnl"/>
        </w:rPr>
      </w:pPr>
      <w:r w:rsidRPr="008A7548">
        <w:rPr>
          <w:rFonts w:ascii="Palatino Linotype" w:eastAsia="MS Mincho" w:hAnsi="Palatino Linotype"/>
          <w:sz w:val="24"/>
          <w:szCs w:val="24"/>
        </w:rPr>
        <w:t xml:space="preserve"> </w:t>
      </w:r>
      <w:r w:rsidR="009D1B1E">
        <w:rPr>
          <w:rFonts w:ascii="Palatino Linotype" w:hAnsi="Palatino Linotype" w:cs="Arial"/>
          <w:color w:val="000000"/>
          <w:sz w:val="24"/>
          <w:lang w:val="es-ES_tradnl"/>
        </w:rPr>
        <w:t xml:space="preserve">Finalmente, con relación a los requerimientos identificados con los numerales </w:t>
      </w:r>
      <w:r w:rsidR="004E1AC5">
        <w:rPr>
          <w:rFonts w:ascii="Palatino Linotype" w:hAnsi="Palatino Linotype" w:cs="Arial"/>
          <w:color w:val="000000"/>
          <w:sz w:val="24"/>
          <w:lang w:val="es-ES_tradnl"/>
        </w:rPr>
        <w:t xml:space="preserve">5 y 6, una vez realizada la búsqueda exhaustiva y razonable de no encontrarse con el soporte documental requerido bastará con que así lo manifieste en etapa de cumplimiento. </w:t>
      </w:r>
    </w:p>
    <w:p w14:paraId="102CFFCD" w14:textId="77777777" w:rsidR="004E1AC5" w:rsidRDefault="004E1AC5" w:rsidP="00ED3C5C">
      <w:pPr>
        <w:spacing w:after="0" w:line="360" w:lineRule="auto"/>
        <w:jc w:val="both"/>
        <w:rPr>
          <w:rFonts w:ascii="Palatino Linotype" w:hAnsi="Palatino Linotype" w:cs="Arial"/>
          <w:color w:val="000000"/>
          <w:sz w:val="24"/>
          <w:lang w:val="es-ES_tradnl"/>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225E2D9" w14:textId="4A0C2C65" w:rsidR="00BB2E89" w:rsidRPr="000F5B7E"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00100/TMASCALC/IP/2021</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527C49FD" w14:textId="77777777" w:rsidR="00BB2E89"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52F60BB" w14:textId="77777777" w:rsidR="00BB2E89" w:rsidRDefault="00BB2E89" w:rsidP="00BB2E89">
      <w:pPr>
        <w:spacing w:line="360" w:lineRule="auto"/>
        <w:contextualSpacing/>
        <w:jc w:val="both"/>
        <w:rPr>
          <w:rFonts w:ascii="Palatino Linotype" w:eastAsia="MS Mincho" w:hAnsi="Palatino Linotype"/>
        </w:rPr>
      </w:pPr>
    </w:p>
    <w:p w14:paraId="2FEEC8A3" w14:textId="77777777" w:rsidR="00BB2E89" w:rsidRPr="00413327" w:rsidRDefault="00BB2E89" w:rsidP="00BB2E8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693E83B" w14:textId="31ACCCF4" w:rsidR="00BB2E89" w:rsidRDefault="00BB2E89" w:rsidP="00BB2E89">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cs="Arial"/>
          <w:b/>
          <w:sz w:val="24"/>
          <w:szCs w:val="24"/>
        </w:rPr>
        <w:t>00100/TMASCALC/IP/2021</w:t>
      </w:r>
      <w:r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w:t>
      </w:r>
      <w:r>
        <w:rPr>
          <w:rFonts w:ascii="Palatino Linotype" w:hAnsi="Palatino Linotype" w:cs="Arial"/>
          <w:sz w:val="24"/>
          <w:szCs w:val="24"/>
        </w:rPr>
        <w:lastRenderedPageBreak/>
        <w:t xml:space="preserve">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3412987" w14:textId="77777777" w:rsidR="00BB2E89" w:rsidRDefault="00BB2E89" w:rsidP="00BB2E89">
      <w:pPr>
        <w:spacing w:before="240" w:line="360" w:lineRule="auto"/>
        <w:jc w:val="both"/>
        <w:rPr>
          <w:rFonts w:ascii="Palatino Linotype" w:hAnsi="Palatino Linotype" w:cs="Arial"/>
          <w:sz w:val="24"/>
          <w:szCs w:val="24"/>
        </w:rPr>
      </w:pPr>
    </w:p>
    <w:p w14:paraId="2A30D136" w14:textId="621EB2A0" w:rsidR="00BB2E89" w:rsidRDefault="00BB2E89" w:rsidP="00BB2E89">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6321C8">
        <w:rPr>
          <w:rFonts w:ascii="Palatino Linotype" w:hAnsi="Palatino Linotype" w:cs="Arial"/>
        </w:rPr>
        <w:t>al</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Pr>
          <w:rFonts w:ascii="Palatino Linotype" w:hAnsi="Palatino Linotype" w:cs="Arial"/>
        </w:rPr>
        <w:t>Sistema de Acceso a la Información Mexiquense (</w:t>
      </w:r>
      <w:r w:rsidRPr="001C7462">
        <w:rPr>
          <w:rFonts w:ascii="Palatino Linotype" w:hAnsi="Palatino Linotype" w:cs="Arial"/>
          <w:b/>
        </w:rPr>
        <w:t>SAIMEX</w:t>
      </w:r>
      <w:r>
        <w:rPr>
          <w:rFonts w:ascii="Palatino Linotype" w:hAnsi="Palatino Linotype" w:cs="Arial"/>
          <w:b/>
        </w:rPr>
        <w:t>)</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006321C8">
        <w:rPr>
          <w:rFonts w:ascii="Palatino Linotype" w:hAnsi="Palatino Linotype" w:cs="Arial"/>
        </w:rPr>
        <w:t xml:space="preserve"> y a la mayor desagregación posible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0825F52F" w14:textId="3790148B" w:rsidR="00BB2E89" w:rsidRPr="0097069C" w:rsidRDefault="00BB2E89" w:rsidP="00FB1D16">
      <w:pPr>
        <w:pStyle w:val="Prrafodelista"/>
        <w:numPr>
          <w:ilvl w:val="0"/>
          <w:numId w:val="10"/>
        </w:numPr>
        <w:tabs>
          <w:tab w:val="left" w:pos="709"/>
        </w:tabs>
        <w:spacing w:before="240" w:line="360" w:lineRule="auto"/>
        <w:ind w:right="51"/>
        <w:jc w:val="both"/>
        <w:rPr>
          <w:rFonts w:ascii="Palatino Linotype" w:hAnsi="Palatino Linotype"/>
          <w:i/>
        </w:rPr>
      </w:pPr>
      <w:r w:rsidRPr="0097069C">
        <w:rPr>
          <w:rFonts w:ascii="Palatino Linotype" w:hAnsi="Palatino Linotype"/>
          <w:i/>
        </w:rPr>
        <w:t xml:space="preserve">Monto facturado mensualmente </w:t>
      </w:r>
      <w:r w:rsidR="006321C8" w:rsidRPr="0097069C">
        <w:rPr>
          <w:rFonts w:ascii="Palatino Linotype" w:hAnsi="Palatino Linotype"/>
          <w:i/>
        </w:rPr>
        <w:t xml:space="preserve">en alumbrado público </w:t>
      </w:r>
      <w:r w:rsidRPr="0097069C">
        <w:rPr>
          <w:rFonts w:ascii="Palatino Linotype" w:hAnsi="Palatino Linotype"/>
          <w:i/>
        </w:rPr>
        <w:t xml:space="preserve">del periodo comprendido del uno de enero de dos mil veinte al treinta y uno de octubre de dos mil veintiuno. </w:t>
      </w:r>
    </w:p>
    <w:p w14:paraId="333BC8C4" w14:textId="77777777" w:rsidR="00BB2E89" w:rsidRPr="0097069C" w:rsidRDefault="00BB2E89" w:rsidP="00FB1D16">
      <w:pPr>
        <w:pStyle w:val="Prrafodelista"/>
        <w:numPr>
          <w:ilvl w:val="0"/>
          <w:numId w:val="10"/>
        </w:numPr>
        <w:tabs>
          <w:tab w:val="left" w:pos="709"/>
        </w:tabs>
        <w:spacing w:before="240" w:line="360" w:lineRule="auto"/>
        <w:ind w:right="51"/>
        <w:jc w:val="both"/>
        <w:rPr>
          <w:rFonts w:ascii="Palatino Linotype" w:hAnsi="Palatino Linotype"/>
          <w:i/>
        </w:rPr>
      </w:pPr>
      <w:r w:rsidRPr="0097069C">
        <w:rPr>
          <w:rFonts w:ascii="Palatino Linotype" w:hAnsi="Palatino Linotype"/>
          <w:i/>
        </w:rPr>
        <w:t xml:space="preserve">Cantidad recaudada por derechos de alumbrado público, del uno de enero de dos mil veinte al treinta y uno de octubre de dos mil veintiuno. </w:t>
      </w:r>
    </w:p>
    <w:p w14:paraId="1791E5FD" w14:textId="77777777" w:rsidR="00BB2E89" w:rsidRPr="0097069C" w:rsidRDefault="00BB2E89" w:rsidP="00FB1D16">
      <w:pPr>
        <w:pStyle w:val="Sinespaciado"/>
        <w:numPr>
          <w:ilvl w:val="0"/>
          <w:numId w:val="10"/>
        </w:numPr>
        <w:spacing w:line="360" w:lineRule="auto"/>
        <w:jc w:val="both"/>
        <w:rPr>
          <w:rFonts w:ascii="Palatino Linotype" w:hAnsi="Palatino Linotype"/>
          <w:i/>
        </w:rPr>
      </w:pPr>
      <w:r w:rsidRPr="0097069C">
        <w:rPr>
          <w:rFonts w:ascii="Palatino Linotype" w:hAnsi="Palatino Linotype"/>
          <w:i/>
        </w:rPr>
        <w:t xml:space="preserve">Adeudo que se genera y si ya se pagó, del uno de enero de dos mil veinte al treinta y uno de octubre de dos mil veintiuno. </w:t>
      </w:r>
    </w:p>
    <w:p w14:paraId="5330EC22" w14:textId="77777777" w:rsidR="00BB2E89" w:rsidRPr="0097069C" w:rsidRDefault="00BB2E89" w:rsidP="00FB1D16">
      <w:pPr>
        <w:pStyle w:val="Prrafodelista"/>
        <w:numPr>
          <w:ilvl w:val="0"/>
          <w:numId w:val="10"/>
        </w:numPr>
        <w:tabs>
          <w:tab w:val="left" w:pos="709"/>
        </w:tabs>
        <w:spacing w:before="240" w:line="360" w:lineRule="auto"/>
        <w:ind w:right="51"/>
        <w:jc w:val="both"/>
        <w:rPr>
          <w:rFonts w:ascii="Palatino Linotype" w:hAnsi="Palatino Linotype"/>
          <w:i/>
        </w:rPr>
      </w:pPr>
      <w:r w:rsidRPr="0097069C">
        <w:rPr>
          <w:rFonts w:ascii="Palatino Linotype" w:hAnsi="Palatino Linotype"/>
          <w:i/>
        </w:rPr>
        <w:t xml:space="preserve">Diferencia entre facturación y DAP, del uno de enero de dos mil veinte al treinta y uno de octubre de dos mil veintiuno. </w:t>
      </w:r>
    </w:p>
    <w:p w14:paraId="16DFAA4C" w14:textId="77777777" w:rsidR="00BB2E89" w:rsidRPr="0097069C" w:rsidRDefault="00BB2E89" w:rsidP="00FB1D16">
      <w:pPr>
        <w:pStyle w:val="Sinespaciado"/>
        <w:numPr>
          <w:ilvl w:val="0"/>
          <w:numId w:val="10"/>
        </w:numPr>
        <w:tabs>
          <w:tab w:val="left" w:pos="709"/>
        </w:tabs>
        <w:spacing w:before="240" w:line="360" w:lineRule="auto"/>
        <w:ind w:right="51"/>
        <w:jc w:val="both"/>
        <w:rPr>
          <w:rFonts w:ascii="Palatino Linotype" w:hAnsi="Palatino Linotype"/>
          <w:i/>
        </w:rPr>
      </w:pPr>
      <w:r w:rsidRPr="0097069C">
        <w:rPr>
          <w:rFonts w:ascii="Palatino Linotype" w:hAnsi="Palatino Linotype"/>
          <w:i/>
        </w:rPr>
        <w:t>Saldo a favor del municipio, del uno de enero de dos mil veinte al treinta y uno de octubre de dos mil veintiuno.</w:t>
      </w:r>
    </w:p>
    <w:p w14:paraId="1D94E633" w14:textId="77777777" w:rsidR="00BB2E89" w:rsidRPr="00BB2E89" w:rsidRDefault="00BB2E89" w:rsidP="00FB1D16">
      <w:pPr>
        <w:pStyle w:val="Prrafodelista"/>
        <w:numPr>
          <w:ilvl w:val="0"/>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t xml:space="preserve">Avisos recibos emitidos por la Comisión Federal de Electricidad, del uno de enero de dos mil veinte al treinta y uno de octubre de dos mil veintiuno. </w:t>
      </w:r>
    </w:p>
    <w:p w14:paraId="744FFC07" w14:textId="77777777" w:rsidR="00BB2E89" w:rsidRPr="00BB2E89" w:rsidRDefault="00BB2E89" w:rsidP="00FB1D16">
      <w:pPr>
        <w:pStyle w:val="Prrafodelista"/>
        <w:numPr>
          <w:ilvl w:val="0"/>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lastRenderedPageBreak/>
        <w:t>Censo de alumbrado público firmado por la Comisión Federal de Electricidad correspondiente al ejercicio 2020 o en su caso, el más reciente en el que se desglose la siguiente información:</w:t>
      </w:r>
    </w:p>
    <w:p w14:paraId="3B84A004" w14:textId="77777777" w:rsidR="00BB2E89" w:rsidRPr="00BB2E89" w:rsidRDefault="00BB2E89" w:rsidP="00FB1D16">
      <w:pPr>
        <w:pStyle w:val="Prrafodelista"/>
        <w:numPr>
          <w:ilvl w:val="1"/>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t xml:space="preserve">Cantidad de luminarias y balastros, tipo de equipos, capacidad (potencia), ubicación (calle y/o colonia y/o delegación) y el tipo de poste en el que están montadas las luminarias (lámina, concreto, madera, otros). </w:t>
      </w:r>
    </w:p>
    <w:p w14:paraId="69FB7C83" w14:textId="77777777" w:rsidR="00BB2E89" w:rsidRPr="00BB2E89" w:rsidRDefault="00BB2E89" w:rsidP="00FB1D16">
      <w:pPr>
        <w:pStyle w:val="Prrafodelista"/>
        <w:numPr>
          <w:ilvl w:val="1"/>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t xml:space="preserve">Registro Permanente de Usuario (RPU o </w:t>
      </w:r>
      <w:proofErr w:type="spellStart"/>
      <w:r w:rsidRPr="00BB2E89">
        <w:rPr>
          <w:rFonts w:ascii="Palatino Linotype" w:hAnsi="Palatino Linotype"/>
          <w:i/>
        </w:rPr>
        <w:t>RPUs</w:t>
      </w:r>
      <w:proofErr w:type="spellEnd"/>
      <w:r w:rsidRPr="00BB2E89">
        <w:rPr>
          <w:rFonts w:ascii="Palatino Linotype" w:hAnsi="Palatino Linotype"/>
          <w:i/>
        </w:rPr>
        <w:t xml:space="preserve">) asignado al servicio de alumbrado público municipal tanto del servicio estimado como del servicio medido. </w:t>
      </w:r>
    </w:p>
    <w:p w14:paraId="6FE49D3B" w14:textId="77777777" w:rsidR="00BB2E89" w:rsidRPr="00BB2E89" w:rsidRDefault="00BB2E89" w:rsidP="00FB1D16">
      <w:pPr>
        <w:pStyle w:val="Prrafodelista"/>
        <w:numPr>
          <w:ilvl w:val="1"/>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t xml:space="preserve">Cantidad desglosada de luminarias y balastros instalados, el tipo de equipos y su capacidad (potencia), instalados en las avenidas principales del municipio. </w:t>
      </w:r>
    </w:p>
    <w:p w14:paraId="3070D300" w14:textId="77777777" w:rsidR="00BB2E89" w:rsidRPr="00BB2E89" w:rsidRDefault="00BB2E89" w:rsidP="00FB1D16">
      <w:pPr>
        <w:pStyle w:val="Prrafodelista"/>
        <w:numPr>
          <w:ilvl w:val="1"/>
          <w:numId w:val="10"/>
        </w:numPr>
        <w:tabs>
          <w:tab w:val="left" w:pos="709"/>
        </w:tabs>
        <w:spacing w:before="240" w:line="360" w:lineRule="auto"/>
        <w:ind w:right="51"/>
        <w:jc w:val="both"/>
        <w:rPr>
          <w:rFonts w:ascii="Palatino Linotype" w:hAnsi="Palatino Linotype"/>
          <w:i/>
        </w:rPr>
      </w:pPr>
      <w:r w:rsidRPr="00BB2E89">
        <w:rPr>
          <w:rFonts w:ascii="Palatino Linotype" w:hAnsi="Palatino Linotype"/>
          <w:i/>
        </w:rPr>
        <w:t xml:space="preserve">Cantidad de luminarias y balastros instalados, el tipo de equipos y su capacidad (potencia) instalados que poseen equipo de medición. </w:t>
      </w:r>
    </w:p>
    <w:p w14:paraId="185514AF" w14:textId="77777777" w:rsidR="00BB2E89" w:rsidRDefault="00BB2E89" w:rsidP="00BB2E89">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79931616" w14:textId="270C832B" w:rsidR="00BB2E89" w:rsidRDefault="00BB2E89" w:rsidP="00BB2E89">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previamente referida en los numerales </w:t>
      </w:r>
      <w:r w:rsidR="00DE1FC5">
        <w:rPr>
          <w:rFonts w:ascii="Palatino Linotype" w:hAnsi="Palatino Linotype" w:cs="Arial"/>
          <w:i/>
        </w:rPr>
        <w:t xml:space="preserve"> </w:t>
      </w:r>
      <w:r>
        <w:rPr>
          <w:rFonts w:ascii="Palatino Linotype" w:hAnsi="Palatino Linotype" w:cs="Arial"/>
          <w:i/>
        </w:rPr>
        <w:t xml:space="preserve">5 y 6, bastará con que El Sujeto Obligado lo haga del conocimiento del Recurrente. </w:t>
      </w:r>
    </w:p>
    <w:p w14:paraId="19ABE676"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2B4FCC7"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p>
    <w:p w14:paraId="24525C2D" w14:textId="77777777" w:rsidR="00BB2E89"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6E3D2" w14:textId="77777777" w:rsidR="00BB2E89" w:rsidRPr="005751B7"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7EAEFA" w14:textId="77777777" w:rsidR="00BB2E89" w:rsidRPr="00F77047" w:rsidRDefault="00BB2E89" w:rsidP="00BB2E89">
      <w:pPr>
        <w:spacing w:after="0" w:line="360" w:lineRule="auto"/>
        <w:jc w:val="both"/>
        <w:rPr>
          <w:rFonts w:ascii="Palatino Linotype" w:eastAsia="Times New Roman" w:hAnsi="Palatino Linotype" w:cs="Arial"/>
          <w:b/>
          <w:sz w:val="18"/>
          <w:szCs w:val="24"/>
          <w:lang w:eastAsia="es-ES"/>
        </w:rPr>
      </w:pPr>
    </w:p>
    <w:p w14:paraId="560B95CB" w14:textId="77777777" w:rsidR="00BB2E89" w:rsidRDefault="00BB2E89" w:rsidP="00BB2E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a través del Sistema de Acceso a la Información Mexiquense</w:t>
      </w:r>
      <w:r w:rsidRPr="00C1625D">
        <w:rPr>
          <w:rFonts w:ascii="Palatino Linotype" w:hAnsi="Palatino Linotype" w:cs="Arial"/>
          <w:b/>
          <w:sz w:val="24"/>
          <w:szCs w:val="24"/>
        </w:rPr>
        <w:t xml:space="preserve"> (SAIMEX)</w:t>
      </w:r>
      <w:r w:rsidRPr="00C1625D">
        <w:rPr>
          <w:rFonts w:ascii="Palatino Linotype" w:hAnsi="Palatino Linotype" w:cs="Arial"/>
          <w:sz w:val="24"/>
          <w:szCs w:val="24"/>
        </w:rPr>
        <w:t>,</w:t>
      </w:r>
      <w:r w:rsidRPr="00C1625D">
        <w:rPr>
          <w:rFonts w:ascii="Palatino Linotype" w:hAnsi="Palatino Linotype" w:cs="Arial"/>
        </w:rPr>
        <w:t xml:space="preserve"> </w:t>
      </w:r>
      <w:r w:rsidRPr="00C1625D">
        <w:rPr>
          <w:rFonts w:ascii="Palatino Linotype" w:eastAsia="Times New Roman" w:hAnsi="Palatino Linotype" w:cs="Arial"/>
          <w:sz w:val="24"/>
          <w:szCs w:val="24"/>
          <w:lang w:eastAsia="es-ES"/>
        </w:rPr>
        <w:t xml:space="preserve">y hágase de su conocimiento que, </w:t>
      </w:r>
      <w:r w:rsidRPr="00C1625D">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7E1954EC" w14:textId="77777777" w:rsidR="004E1AC5" w:rsidRDefault="004E1AC5" w:rsidP="00ED3C5C">
      <w:pPr>
        <w:spacing w:after="0" w:line="360" w:lineRule="auto"/>
        <w:jc w:val="both"/>
        <w:rPr>
          <w:rFonts w:ascii="Palatino Linotype" w:hAnsi="Palatino Linotype" w:cs="Arial"/>
          <w:color w:val="000000"/>
          <w:sz w:val="24"/>
          <w:lang w:val="es-ES_tradnl"/>
        </w:rPr>
      </w:pPr>
    </w:p>
    <w:p w14:paraId="6FA0E6FD" w14:textId="5F6FAF60"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lastRenderedPageBreak/>
        <w:t xml:space="preserve">MEJÍA AYALA, SHARON CRISTINA MORALES MARTÍNEZ (AUSENCIA JUSTIFICADA), LUIS GUSTAVO PARRA NORIEGA Y GUADALUPE RAMÍREZ PEÑA; EN LA </w:t>
      </w:r>
      <w:r>
        <w:rPr>
          <w:rFonts w:ascii="Palatino Linotype" w:hAnsi="Palatino Linotype" w:cs="Arial"/>
        </w:rPr>
        <w:t>CUARTA</w:t>
      </w:r>
      <w:r w:rsidRPr="00266B85">
        <w:rPr>
          <w:rFonts w:ascii="Palatino Linotype" w:hAnsi="Palatino Linotype" w:cs="Arial"/>
        </w:rPr>
        <w:t xml:space="preserve">  SESIÓN ORDINARIA CELEBRADA EL </w:t>
      </w:r>
      <w:r w:rsidR="00221148">
        <w:rPr>
          <w:rFonts w:ascii="Palatino Linotype" w:hAnsi="Palatino Linotype" w:cs="Arial"/>
        </w:rPr>
        <w:t>CUATRO</w:t>
      </w:r>
      <w:r>
        <w:rPr>
          <w:rFonts w:ascii="Palatino Linotype" w:hAnsi="Palatino Linotype" w:cs="Arial"/>
        </w:rPr>
        <w:t xml:space="preserve"> DE FEBRERO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0ACA7651"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CB984C9" w14:textId="0AA663EC"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2C54146D" wp14:editId="6ED88C5C">
                <wp:simplePos x="0" y="0"/>
                <wp:positionH relativeFrom="column">
                  <wp:posOffset>-92583</wp:posOffset>
                </wp:positionH>
                <wp:positionV relativeFrom="paragraph">
                  <wp:posOffset>55397</wp:posOffset>
                </wp:positionV>
                <wp:extent cx="6159398" cy="5457140"/>
                <wp:effectExtent l="0" t="0" r="32385" b="29845"/>
                <wp:wrapNone/>
                <wp:docPr id="4" name="Conector recto 4"/>
                <wp:cNvGraphicFramePr/>
                <a:graphic xmlns:a="http://schemas.openxmlformats.org/drawingml/2006/main">
                  <a:graphicData uri="http://schemas.microsoft.com/office/word/2010/wordprocessingShape">
                    <wps:wsp>
                      <wps:cNvCnPr/>
                      <wps:spPr>
                        <a:xfrm>
                          <a:off x="0" y="0"/>
                          <a:ext cx="6159398" cy="54571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46814"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4.35pt" to="477.7pt,4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" strokecolor="#5b9bd5 [3204]" strokeweight=".5pt">
                <v:stroke joinstyle="miter"/>
              </v:line>
            </w:pict>
          </mc:Fallback>
        </mc:AlternateContent>
      </w:r>
    </w:p>
    <w:p w14:paraId="5427E88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FCD19"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BF3F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0A9022" w14:textId="77777777" w:rsidR="00C1625D" w:rsidRPr="00280B8B"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E2106F" w14:textId="77777777" w:rsidR="00C1625D" w:rsidRDefault="00C1625D" w:rsidP="00ED3C5C">
      <w:pPr>
        <w:spacing w:after="0" w:line="360" w:lineRule="auto"/>
        <w:jc w:val="both"/>
        <w:rPr>
          <w:rFonts w:ascii="Palatino Linotype" w:hAnsi="Palatino Linotype" w:cs="Arial"/>
          <w:color w:val="000000"/>
          <w:sz w:val="24"/>
          <w:lang w:val="es-ES_tradnl"/>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E8CC4" w14:textId="77777777" w:rsidR="007368FC" w:rsidRDefault="007368FC" w:rsidP="006168E4">
      <w:pPr>
        <w:spacing w:after="0" w:line="240" w:lineRule="auto"/>
      </w:pPr>
      <w:r>
        <w:separator/>
      </w:r>
    </w:p>
  </w:endnote>
  <w:endnote w:type="continuationSeparator" w:id="0">
    <w:p w14:paraId="71270640" w14:textId="77777777" w:rsidR="007368FC" w:rsidRDefault="007368F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027921" w:rsidRPr="000B69FA" w:rsidRDefault="0002792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0CD9">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0CD9">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027921" w:rsidRPr="000B69FA" w:rsidRDefault="0002792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0C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0CD9">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E4F3F" w14:textId="77777777" w:rsidR="007368FC" w:rsidRDefault="007368FC" w:rsidP="006168E4">
      <w:pPr>
        <w:spacing w:after="0" w:line="240" w:lineRule="auto"/>
      </w:pPr>
      <w:r>
        <w:separator/>
      </w:r>
    </w:p>
  </w:footnote>
  <w:footnote w:type="continuationSeparator" w:id="0">
    <w:p w14:paraId="7FC1E801" w14:textId="77777777" w:rsidR="007368FC" w:rsidRDefault="007368FC" w:rsidP="006168E4">
      <w:pPr>
        <w:spacing w:after="0" w:line="240" w:lineRule="auto"/>
      </w:pPr>
      <w:r>
        <w:continuationSeparator/>
      </w:r>
    </w:p>
  </w:footnote>
  <w:footnote w:id="1">
    <w:p w14:paraId="20C5DAAB" w14:textId="77777777" w:rsidR="00027921" w:rsidRPr="005552A8" w:rsidRDefault="00027921"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027921" w:rsidRPr="005552A8" w:rsidRDefault="00027921"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027921" w:rsidRDefault="0002792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27921" w14:paraId="17981A04" w14:textId="77777777" w:rsidTr="00073E92">
      <w:trPr>
        <w:trHeight w:val="227"/>
      </w:trPr>
      <w:tc>
        <w:tcPr>
          <w:tcW w:w="5529" w:type="dxa"/>
          <w:hideMark/>
        </w:tcPr>
        <w:p w14:paraId="0E414BC5" w14:textId="19670DF2" w:rsidR="00027921" w:rsidRDefault="0002792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EE57BB6" w:rsidR="00027921" w:rsidRPr="00B4142F" w:rsidRDefault="0002792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05950/INFOEM/IP/RR/2021</w:t>
          </w:r>
        </w:p>
      </w:tc>
    </w:tr>
    <w:tr w:rsidR="00027921" w14:paraId="637042F0" w14:textId="77777777" w:rsidTr="00073E92">
      <w:trPr>
        <w:trHeight w:val="242"/>
      </w:trPr>
      <w:tc>
        <w:tcPr>
          <w:tcW w:w="5529" w:type="dxa"/>
          <w:hideMark/>
        </w:tcPr>
        <w:p w14:paraId="412AD568" w14:textId="582E7AD7" w:rsidR="00027921" w:rsidRDefault="0002792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6CEADC9" w:rsidR="00027921" w:rsidRPr="00F06FED" w:rsidRDefault="00BB2E89" w:rsidP="00D414E0">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Temascalcingo</w:t>
          </w:r>
          <w:proofErr w:type="spellEnd"/>
        </w:p>
      </w:tc>
    </w:tr>
    <w:tr w:rsidR="00027921" w14:paraId="21BFE746" w14:textId="77777777" w:rsidTr="00073E92">
      <w:trPr>
        <w:trHeight w:val="342"/>
      </w:trPr>
      <w:tc>
        <w:tcPr>
          <w:tcW w:w="5529" w:type="dxa"/>
          <w:hideMark/>
        </w:tcPr>
        <w:p w14:paraId="64C4E314" w14:textId="2A83840C" w:rsidR="00027921" w:rsidRDefault="0002792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027921" w:rsidRDefault="0002792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027921" w:rsidRDefault="000279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27921" w14:paraId="385FD437" w14:textId="77777777" w:rsidTr="00073E92">
      <w:trPr>
        <w:trHeight w:val="227"/>
      </w:trPr>
      <w:tc>
        <w:tcPr>
          <w:tcW w:w="5529" w:type="dxa"/>
          <w:hideMark/>
        </w:tcPr>
        <w:p w14:paraId="272860E8" w14:textId="6340DBC0" w:rsidR="00027921" w:rsidRDefault="000279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0144AAB" w:rsidR="00027921" w:rsidRPr="00B4142F" w:rsidRDefault="0002792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05950/INFOEM/IP/RR/2021</w:t>
          </w:r>
        </w:p>
      </w:tc>
    </w:tr>
    <w:tr w:rsidR="00027921" w14:paraId="33FC5097" w14:textId="77777777" w:rsidTr="00073E92">
      <w:trPr>
        <w:trHeight w:val="196"/>
      </w:trPr>
      <w:tc>
        <w:tcPr>
          <w:tcW w:w="5529" w:type="dxa"/>
          <w:hideMark/>
        </w:tcPr>
        <w:p w14:paraId="4F5D01E5" w14:textId="77777777" w:rsidR="00027921" w:rsidRDefault="000279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EC8CA0F" w:rsidR="00027921" w:rsidRPr="00F06FED" w:rsidRDefault="00710CD9"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r w:rsidR="00027921">
            <w:rPr>
              <w:rFonts w:ascii="Palatino Linotype" w:hAnsi="Palatino Linotype" w:cs="Arial"/>
            </w:rPr>
            <w:t xml:space="preserve"> </w:t>
          </w:r>
        </w:p>
      </w:tc>
    </w:tr>
    <w:tr w:rsidR="00027921" w14:paraId="178280DE" w14:textId="77777777" w:rsidTr="00073E92">
      <w:trPr>
        <w:trHeight w:val="242"/>
      </w:trPr>
      <w:tc>
        <w:tcPr>
          <w:tcW w:w="5529" w:type="dxa"/>
          <w:hideMark/>
        </w:tcPr>
        <w:p w14:paraId="71AC708B" w14:textId="77777777" w:rsidR="00027921" w:rsidRDefault="0002792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27277F" w:rsidR="00027921" w:rsidRDefault="00027921" w:rsidP="00073E92">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Temascalcingo</w:t>
          </w:r>
          <w:proofErr w:type="spellEnd"/>
        </w:p>
      </w:tc>
    </w:tr>
    <w:tr w:rsidR="00027921" w14:paraId="0518978B" w14:textId="77777777" w:rsidTr="00073E92">
      <w:trPr>
        <w:trHeight w:val="342"/>
      </w:trPr>
      <w:tc>
        <w:tcPr>
          <w:tcW w:w="5529" w:type="dxa"/>
          <w:hideMark/>
        </w:tcPr>
        <w:p w14:paraId="04968A43" w14:textId="7BE2A222" w:rsidR="00027921" w:rsidRDefault="0002792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027921" w:rsidRDefault="0002792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027921" w:rsidRDefault="0002792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4"/>
  </w:num>
  <w:num w:numId="2">
    <w:abstractNumId w:val="7"/>
  </w:num>
  <w:num w:numId="3">
    <w:abstractNumId w:val="8"/>
  </w:num>
  <w:num w:numId="4">
    <w:abstractNumId w:val="5"/>
  </w:num>
  <w:num w:numId="5">
    <w:abstractNumId w:val="0"/>
  </w:num>
  <w:num w:numId="6">
    <w:abstractNumId w:val="2"/>
  </w:num>
  <w:num w:numId="7">
    <w:abstractNumId w:val="3"/>
  </w:num>
  <w:num w:numId="8">
    <w:abstractNumId w:val="6"/>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14E7"/>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A9D"/>
    <w:rsid w:val="0021501E"/>
    <w:rsid w:val="00215192"/>
    <w:rsid w:val="0021530C"/>
    <w:rsid w:val="002205C0"/>
    <w:rsid w:val="00221148"/>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5A2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C2632"/>
    <w:rsid w:val="003C2A8E"/>
    <w:rsid w:val="003C7873"/>
    <w:rsid w:val="003C78F7"/>
    <w:rsid w:val="003D0A89"/>
    <w:rsid w:val="003D11E5"/>
    <w:rsid w:val="003D153C"/>
    <w:rsid w:val="003D305F"/>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4792"/>
    <w:rsid w:val="004F4DF1"/>
    <w:rsid w:val="004F74F7"/>
    <w:rsid w:val="00502F50"/>
    <w:rsid w:val="00503655"/>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0EEE"/>
    <w:rsid w:val="006214B9"/>
    <w:rsid w:val="00621940"/>
    <w:rsid w:val="006223C1"/>
    <w:rsid w:val="0062421A"/>
    <w:rsid w:val="00624FE9"/>
    <w:rsid w:val="00625866"/>
    <w:rsid w:val="006300D6"/>
    <w:rsid w:val="00630382"/>
    <w:rsid w:val="006321C8"/>
    <w:rsid w:val="0063265C"/>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4735"/>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0CD9"/>
    <w:rsid w:val="00711536"/>
    <w:rsid w:val="007129C0"/>
    <w:rsid w:val="00713390"/>
    <w:rsid w:val="007142B5"/>
    <w:rsid w:val="00716BFE"/>
    <w:rsid w:val="00720774"/>
    <w:rsid w:val="00721D87"/>
    <w:rsid w:val="007234D1"/>
    <w:rsid w:val="00731428"/>
    <w:rsid w:val="0073157A"/>
    <w:rsid w:val="00735209"/>
    <w:rsid w:val="007368FC"/>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4BB0"/>
    <w:rsid w:val="00855544"/>
    <w:rsid w:val="00856D15"/>
    <w:rsid w:val="0086020D"/>
    <w:rsid w:val="00863327"/>
    <w:rsid w:val="008671BD"/>
    <w:rsid w:val="00867B2F"/>
    <w:rsid w:val="00867FEE"/>
    <w:rsid w:val="00870F44"/>
    <w:rsid w:val="00874015"/>
    <w:rsid w:val="00876A75"/>
    <w:rsid w:val="0087786C"/>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641B"/>
    <w:rsid w:val="00B564E0"/>
    <w:rsid w:val="00B57F47"/>
    <w:rsid w:val="00B61063"/>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61A5"/>
    <w:rsid w:val="00BA18D5"/>
    <w:rsid w:val="00BA1FC4"/>
    <w:rsid w:val="00BA49CC"/>
    <w:rsid w:val="00BA4D1F"/>
    <w:rsid w:val="00BA7AD1"/>
    <w:rsid w:val="00BB0B9D"/>
    <w:rsid w:val="00BB1CC2"/>
    <w:rsid w:val="00BB2250"/>
    <w:rsid w:val="00BB2E89"/>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2525"/>
    <w:rsid w:val="00EC4F33"/>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30AEF"/>
    <w:rsid w:val="00F3229A"/>
    <w:rsid w:val="00F32406"/>
    <w:rsid w:val="00F378B2"/>
    <w:rsid w:val="00F403EA"/>
    <w:rsid w:val="00F40B51"/>
    <w:rsid w:val="00F40E4D"/>
    <w:rsid w:val="00F41DE4"/>
    <w:rsid w:val="00F41F3D"/>
    <w:rsid w:val="00F42499"/>
    <w:rsid w:val="00F42753"/>
    <w:rsid w:val="00F44DC5"/>
    <w:rsid w:val="00F44ECF"/>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7C26-28EA-4390-9FCB-8A3FD1DE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Pages>36</Pages>
  <Words>6912</Words>
  <Characters>38021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2018-12-04T20:35:00Z</cp:lastPrinted>
  <dcterms:created xsi:type="dcterms:W3CDTF">2022-01-17T23:40:00Z</dcterms:created>
  <dcterms:modified xsi:type="dcterms:W3CDTF">2022-03-04T04:47:00Z</dcterms:modified>
</cp:coreProperties>
</file>