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C9A8D" w14:textId="77777777" w:rsidR="00AF3BC4" w:rsidRDefault="00BC6429">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mayo de dos mil veintidós.</w:t>
      </w:r>
    </w:p>
    <w:p w14:paraId="7961DC93" w14:textId="3C3A3E6C" w:rsidR="00AF3BC4" w:rsidRDefault="00BC6429">
      <w:pPr>
        <w:spacing w:line="360" w:lineRule="auto"/>
        <w:jc w:val="both"/>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color w:val="000000"/>
          <w:sz w:val="24"/>
          <w:szCs w:val="24"/>
        </w:rPr>
        <w:t>02394/INFOEM/IP/RR/2022</w:t>
      </w:r>
      <w:r>
        <w:rPr>
          <w:rFonts w:ascii="Palatino Linotype" w:eastAsia="Palatino Linotype" w:hAnsi="Palatino Linotype" w:cs="Palatino Linotype"/>
          <w:sz w:val="24"/>
          <w:szCs w:val="24"/>
        </w:rPr>
        <w:t>, interpuesto por</w:t>
      </w:r>
      <w:r>
        <w:rPr>
          <w:rFonts w:ascii="Palatino Linotype" w:eastAsia="Palatino Linotype" w:hAnsi="Palatino Linotype" w:cs="Palatino Linotype"/>
          <w:b/>
          <w:sz w:val="24"/>
          <w:szCs w:val="24"/>
        </w:rPr>
        <w:t xml:space="preserve"> </w:t>
      </w:r>
      <w:proofErr w:type="spellStart"/>
      <w:r w:rsidR="00A5195D">
        <w:rPr>
          <w:rFonts w:ascii="Palatino Linotype" w:eastAsia="Palatino Linotype" w:hAnsi="Palatino Linotype" w:cs="Palatino Linotype"/>
          <w:b/>
          <w:sz w:val="24"/>
          <w:szCs w:val="24"/>
        </w:rPr>
        <w:t>xxxxx</w:t>
      </w:r>
      <w:bookmarkStart w:id="0" w:name="_GoBack"/>
      <w:bookmarkEnd w:id="0"/>
      <w:proofErr w:type="spellEnd"/>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00009/CHAPAMOT/IP/2022,</w:t>
      </w:r>
      <w:r>
        <w:rPr>
          <w:rFonts w:ascii="Palatino Linotype" w:eastAsia="Palatino Linotype" w:hAnsi="Palatino Linotype" w:cs="Palatino Linotype"/>
          <w:sz w:val="24"/>
          <w:szCs w:val="24"/>
        </w:rPr>
        <w:t xml:space="preserve"> por parte del</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Ayuntamiento de Chapa de Mota</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3A57ECF0" w14:textId="77777777" w:rsidR="00AF3BC4" w:rsidRDefault="00BC6429">
      <w:pPr>
        <w:spacing w:before="240" w:after="24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14:paraId="5A297EA4" w14:textId="77777777" w:rsidR="00AF3BC4" w:rsidRDefault="00BC6429">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veinte de enero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presentó a </w:t>
      </w:r>
      <w:r>
        <w:rPr>
          <w:rFonts w:ascii="Palatino Linotype" w:eastAsia="Palatino Linotype" w:hAnsi="Palatino Linotype" w:cs="Palatino Linotype"/>
          <w:color w:val="000000"/>
          <w:sz w:val="24"/>
          <w:szCs w:val="24"/>
        </w:rPr>
        <w:t xml:space="preserve">través de la Plataforma Nacional de Transparencia vinculada al Sistema de Acceso a la Información Mexiquense, en lo subsecuente el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la solicitud de acceso a la información pública, a la que se le asignó el número de folio </w:t>
      </w:r>
      <w:r w:rsidR="00EF7B5A" w:rsidRPr="00EF7B5A">
        <w:rPr>
          <w:rFonts w:ascii="Palatino Linotype" w:eastAsia="Palatino Linotype" w:hAnsi="Palatino Linotype" w:cs="Palatino Linotype"/>
          <w:b/>
          <w:sz w:val="24"/>
          <w:szCs w:val="24"/>
        </w:rPr>
        <w:t>00009/CHAPAMOT/IP/2022</w:t>
      </w:r>
      <w:r w:rsidR="00EF7B5A">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mediante la cual requirió la información siguiente: </w:t>
      </w:r>
    </w:p>
    <w:p w14:paraId="04EC300D" w14:textId="77777777" w:rsidR="00AF3BC4" w:rsidRDefault="00BC6429">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“CON FUNDAMENTO EN LA LEY DE TRANSPARENCIA DEL EDOMEX, SOLICITAMOS EN VERSION PUBLICA, TODOS Y CADA UNO DE LOS CORTES DE CAJA </w:t>
      </w:r>
      <w:proofErr w:type="gramStart"/>
      <w:r>
        <w:rPr>
          <w:rFonts w:ascii="Palatino Linotype" w:eastAsia="Palatino Linotype" w:hAnsi="Palatino Linotype" w:cs="Palatino Linotype"/>
          <w:i/>
          <w:color w:val="000000"/>
        </w:rPr>
        <w:t>ELABORADOS ,</w:t>
      </w:r>
      <w:proofErr w:type="gramEnd"/>
      <w:r>
        <w:rPr>
          <w:rFonts w:ascii="Palatino Linotype" w:eastAsia="Palatino Linotype" w:hAnsi="Palatino Linotype" w:cs="Palatino Linotype"/>
          <w:i/>
          <w:color w:val="000000"/>
        </w:rPr>
        <w:t xml:space="preserve"> EN EL PERIODO DEL 01 DE ENERO AL 27 DE FEBRERO DE 2020 “(Sic)</w:t>
      </w:r>
    </w:p>
    <w:p w14:paraId="73FC075C" w14:textId="77777777" w:rsidR="00AF3BC4" w:rsidRDefault="00BC6429">
      <w:pPr>
        <w:pBdr>
          <w:top w:val="nil"/>
          <w:left w:val="nil"/>
          <w:bottom w:val="nil"/>
          <w:right w:val="nil"/>
          <w:between w:val="nil"/>
        </w:pBdr>
        <w:spacing w:after="0" w:line="240" w:lineRule="auto"/>
        <w:ind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lastRenderedPageBreak/>
        <w:t xml:space="preserve">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adjuntó un archivo, el cual no se puede visualizar.</w:t>
      </w:r>
    </w:p>
    <w:p w14:paraId="26B34DCF" w14:textId="77777777" w:rsidR="00AF3BC4" w:rsidRDefault="00BC6429">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color w:val="000000"/>
          <w:sz w:val="24"/>
          <w:szCs w:val="24"/>
        </w:rPr>
        <w:t xml:space="preserve">Modalidad de Entrega: </w:t>
      </w:r>
      <w:r>
        <w:rPr>
          <w:rFonts w:ascii="Palatino Linotype" w:eastAsia="Palatino Linotype" w:hAnsi="Palatino Linotype" w:cs="Palatino Linotype"/>
          <w:color w:val="000000"/>
          <w:sz w:val="24"/>
          <w:szCs w:val="24"/>
        </w:rPr>
        <w:t>Toda vez que la solicitud se presentó 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través de la Plataforma Nacional de Transparencia, se entiende que la información se requiere a través de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como se aprecia a continuación:</w:t>
      </w:r>
    </w:p>
    <w:p w14:paraId="47BCBB91" w14:textId="77777777" w:rsidR="00AF3BC4" w:rsidRDefault="00BC6429">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noProof/>
          <w:sz w:val="24"/>
          <w:szCs w:val="24"/>
        </w:rPr>
        <w:drawing>
          <wp:inline distT="114300" distB="114300" distL="114300" distR="114300" wp14:anchorId="1064B7FD" wp14:editId="02F32700">
            <wp:extent cx="5612130" cy="1333500"/>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1333500"/>
                    </a:xfrm>
                    <a:prstGeom prst="rect">
                      <a:avLst/>
                    </a:prstGeom>
                    <a:ln/>
                  </pic:spPr>
                </pic:pic>
              </a:graphicData>
            </a:graphic>
          </wp:inline>
        </w:drawing>
      </w:r>
    </w:p>
    <w:p w14:paraId="2E747A73"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once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458A6046" w14:textId="77777777" w:rsidR="00AF3BC4" w:rsidRDefault="00BC6429">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9C36BE" w14:textId="77777777" w:rsidR="00AF3BC4" w:rsidRDefault="00BC6429">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Por este conducto le envió un cordial saludo y en atención a la solicitud con número de folio 00009/CHAPAMOT/IP/2022, del sistema SAIMEX, donde solicita los cortes de caja del periodo 01 de Enero al 27 de febrero del año 2020, por este medio remito en archivo adjunto la relación de los cortes de caja </w:t>
      </w:r>
      <w:proofErr w:type="gramStart"/>
      <w:r>
        <w:rPr>
          <w:rFonts w:ascii="Palatino Linotype" w:eastAsia="Palatino Linotype" w:hAnsi="Palatino Linotype" w:cs="Palatino Linotype"/>
          <w:i/>
        </w:rPr>
        <w:t>solicitados</w:t>
      </w:r>
      <w:proofErr w:type="gramEnd"/>
      <w:r>
        <w:rPr>
          <w:rFonts w:ascii="Palatino Linotype" w:eastAsia="Palatino Linotype" w:hAnsi="Palatino Linotype" w:cs="Palatino Linotype"/>
          <w:i/>
        </w:rPr>
        <w:t>.</w:t>
      </w:r>
    </w:p>
    <w:p w14:paraId="4BED04A5" w14:textId="77777777" w:rsidR="00AF3BC4" w:rsidRDefault="00BC6429">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5ED7FDD0" w14:textId="77777777" w:rsidR="00AF3BC4" w:rsidRDefault="00BC6429">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 E. MARIBEL ALCANTARA CASTILLO</w:t>
      </w:r>
    </w:p>
    <w:p w14:paraId="1F310688"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los archivos electrónicos denominados:</w:t>
      </w:r>
    </w:p>
    <w:p w14:paraId="36D44D73" w14:textId="77777777" w:rsidR="00AF3BC4" w:rsidRDefault="00BC6429">
      <w:pPr>
        <w:spacing w:line="360" w:lineRule="auto"/>
        <w:jc w:val="both"/>
        <w:rPr>
          <w:rFonts w:ascii="Palatino Linotype" w:eastAsia="Palatino Linotype" w:hAnsi="Palatino Linotype" w:cs="Palatino Linotype"/>
          <w:b/>
          <w:i/>
          <w:sz w:val="24"/>
          <w:szCs w:val="24"/>
          <w:u w:val="single"/>
        </w:rPr>
      </w:pPr>
      <w:bookmarkStart w:id="1" w:name="_heading=h.gjdgxs" w:colFirst="0" w:colLast="0"/>
      <w:bookmarkEnd w:id="1"/>
      <w:r>
        <w:rPr>
          <w:rFonts w:ascii="Palatino Linotype" w:eastAsia="Palatino Linotype" w:hAnsi="Palatino Linotype" w:cs="Palatino Linotype"/>
          <w:b/>
          <w:i/>
          <w:sz w:val="24"/>
          <w:szCs w:val="24"/>
          <w:u w:val="single"/>
        </w:rPr>
        <w:t xml:space="preserve">RESPUESTA SAIMEX 00009.pdf </w:t>
      </w:r>
    </w:p>
    <w:p w14:paraId="09ABF78B" w14:textId="77777777" w:rsidR="00AF3BC4" w:rsidRDefault="00BC6429">
      <w:pPr>
        <w:spacing w:line="360" w:lineRule="auto"/>
        <w:jc w:val="center"/>
        <w:rPr>
          <w:rFonts w:ascii="Palatino Linotype" w:eastAsia="Palatino Linotype" w:hAnsi="Palatino Linotype" w:cs="Palatino Linotype"/>
          <w:b/>
          <w:i/>
          <w:sz w:val="24"/>
          <w:szCs w:val="24"/>
          <w:u w:val="single"/>
        </w:rPr>
      </w:pPr>
      <w:r>
        <w:rPr>
          <w:noProof/>
        </w:rPr>
        <w:drawing>
          <wp:inline distT="0" distB="0" distL="0" distR="0" wp14:anchorId="452BE66B" wp14:editId="40337249">
            <wp:extent cx="3565379" cy="5132578"/>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4284" t="15993" r="34827" b="4948"/>
                    <a:stretch>
                      <a:fillRect/>
                    </a:stretch>
                  </pic:blipFill>
                  <pic:spPr>
                    <a:xfrm>
                      <a:off x="0" y="0"/>
                      <a:ext cx="3565379" cy="5132578"/>
                    </a:xfrm>
                    <a:prstGeom prst="rect">
                      <a:avLst/>
                    </a:prstGeom>
                    <a:ln/>
                  </pic:spPr>
                </pic:pic>
              </a:graphicData>
            </a:graphic>
          </wp:inline>
        </w:drawing>
      </w:r>
    </w:p>
    <w:p w14:paraId="25443CE8" w14:textId="77777777" w:rsidR="00AF3BC4" w:rsidRDefault="00BC6429">
      <w:pPr>
        <w:spacing w:line="360" w:lineRule="auto"/>
        <w:jc w:val="both"/>
        <w:rPr>
          <w:rFonts w:ascii="Palatino Linotype" w:eastAsia="Palatino Linotype" w:hAnsi="Palatino Linotype" w:cs="Palatino Linotype"/>
          <w:b/>
          <w:i/>
          <w:sz w:val="24"/>
          <w:szCs w:val="24"/>
          <w:u w:val="single"/>
        </w:rPr>
      </w:pPr>
      <w:r>
        <w:rPr>
          <w:rFonts w:ascii="Palatino Linotype" w:eastAsia="Palatino Linotype" w:hAnsi="Palatino Linotype" w:cs="Palatino Linotype"/>
          <w:b/>
          <w:i/>
          <w:sz w:val="24"/>
          <w:szCs w:val="24"/>
          <w:u w:val="single"/>
        </w:rPr>
        <w:t>SAIMEEX CORTE CAJA.pdf</w:t>
      </w:r>
    </w:p>
    <w:p w14:paraId="45E1469B" w14:textId="77777777" w:rsidR="00AF3BC4" w:rsidRDefault="00AF3BC4">
      <w:pPr>
        <w:spacing w:line="360" w:lineRule="auto"/>
        <w:jc w:val="both"/>
      </w:pPr>
    </w:p>
    <w:p w14:paraId="6E5E763B" w14:textId="77777777" w:rsidR="00AF3BC4" w:rsidRDefault="00BC6429">
      <w:pPr>
        <w:spacing w:line="360" w:lineRule="auto"/>
        <w:jc w:val="center"/>
        <w:rPr>
          <w:rFonts w:ascii="Palatino Linotype" w:eastAsia="Palatino Linotype" w:hAnsi="Palatino Linotype" w:cs="Palatino Linotype"/>
          <w:b/>
          <w:i/>
          <w:sz w:val="24"/>
          <w:szCs w:val="24"/>
          <w:u w:val="single"/>
        </w:rPr>
      </w:pPr>
      <w:r>
        <w:rPr>
          <w:noProof/>
        </w:rPr>
        <w:lastRenderedPageBreak/>
        <w:drawing>
          <wp:inline distT="0" distB="0" distL="0" distR="0" wp14:anchorId="10B43C14" wp14:editId="6D7191C5">
            <wp:extent cx="3573373" cy="47011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4454" t="20516" r="37373" b="13584"/>
                    <a:stretch>
                      <a:fillRect/>
                    </a:stretch>
                  </pic:blipFill>
                  <pic:spPr>
                    <a:xfrm>
                      <a:off x="0" y="0"/>
                      <a:ext cx="3573373" cy="4701100"/>
                    </a:xfrm>
                    <a:prstGeom prst="rect">
                      <a:avLst/>
                    </a:prstGeom>
                    <a:ln/>
                  </pic:spPr>
                </pic:pic>
              </a:graphicData>
            </a:graphic>
          </wp:inline>
        </w:drawing>
      </w:r>
    </w:p>
    <w:p w14:paraId="38EAB20A" w14:textId="77777777" w:rsidR="00AF3BC4" w:rsidRDefault="00BC6429">
      <w:pPr>
        <w:jc w:val="center"/>
      </w:pPr>
      <w:r>
        <w:rPr>
          <w:noProof/>
        </w:rPr>
        <w:lastRenderedPageBreak/>
        <w:drawing>
          <wp:inline distT="0" distB="0" distL="0" distR="0" wp14:anchorId="38F22FD9" wp14:editId="3E226648">
            <wp:extent cx="3473185" cy="2520373"/>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4452" t="23398" r="37373" b="40253"/>
                    <a:stretch>
                      <a:fillRect/>
                    </a:stretch>
                  </pic:blipFill>
                  <pic:spPr>
                    <a:xfrm>
                      <a:off x="0" y="0"/>
                      <a:ext cx="3473185" cy="2520373"/>
                    </a:xfrm>
                    <a:prstGeom prst="rect">
                      <a:avLst/>
                    </a:prstGeom>
                    <a:ln/>
                  </pic:spPr>
                </pic:pic>
              </a:graphicData>
            </a:graphic>
          </wp:inline>
        </w:drawing>
      </w:r>
    </w:p>
    <w:p w14:paraId="1EBD062C"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veintiocho de febrero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02394/INFOEM/IP/RR/2022</w:t>
      </w:r>
      <w:r>
        <w:rPr>
          <w:rFonts w:ascii="Palatino Linotype" w:eastAsia="Palatino Linotype" w:hAnsi="Palatino Linotype" w:cs="Palatino Linotype"/>
          <w:sz w:val="24"/>
          <w:szCs w:val="24"/>
        </w:rPr>
        <w:t>, en el cual manifiesta, lo siguiente:</w:t>
      </w:r>
    </w:p>
    <w:p w14:paraId="54A285F9" w14:textId="77777777" w:rsidR="00AF3BC4" w:rsidRDefault="00BC6429">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79FA7FF0" w14:textId="77777777" w:rsidR="00AF3BC4" w:rsidRDefault="00BC6429">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falta de información</w:t>
      </w:r>
      <w:r>
        <w:rPr>
          <w:rFonts w:ascii="Palatino Linotype" w:eastAsia="Palatino Linotype" w:hAnsi="Palatino Linotype" w:cs="Palatino Linotype"/>
          <w:i/>
        </w:rPr>
        <w:t>” [sic]</w:t>
      </w:r>
    </w:p>
    <w:p w14:paraId="1A0B1C44" w14:textId="77777777" w:rsidR="00AF3BC4" w:rsidRDefault="00BC6429">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37481CC5" w14:textId="77777777" w:rsidR="00AF3BC4" w:rsidRDefault="00BC642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señaló razones o motivos de inconformidad)</w:t>
      </w:r>
    </w:p>
    <w:p w14:paraId="648470A7"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Cabe resaltar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adjuntó un archivo denominado  </w:t>
      </w:r>
      <w:r>
        <w:rPr>
          <w:rFonts w:ascii="Palatino Linotype" w:eastAsia="Palatino Linotype" w:hAnsi="Palatino Linotype" w:cs="Palatino Linotype"/>
          <w:b/>
          <w:i/>
          <w:sz w:val="24"/>
          <w:szCs w:val="24"/>
          <w:u w:val="single"/>
        </w:rPr>
        <w:t>Archivo1646076739256.</w:t>
      </w:r>
      <w:r>
        <w:rPr>
          <w:rFonts w:ascii="Palatino Linotype" w:eastAsia="Palatino Linotype" w:hAnsi="Palatino Linotype" w:cs="Palatino Linotype"/>
          <w:sz w:val="24"/>
          <w:szCs w:val="24"/>
        </w:rPr>
        <w:t xml:space="preserve"> El cual no es posible visualizar </w:t>
      </w:r>
    </w:p>
    <w:p w14:paraId="47E2B49F"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5F381E90"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cuatro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06F95C3F" w14:textId="77777777" w:rsidR="00AF3BC4" w:rsidRDefault="00BC6429">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De las constancias que obran en el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justificado, del mismo modo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tal como se advierte a continuación:</w:t>
      </w:r>
    </w:p>
    <w:p w14:paraId="27549FE0" w14:textId="77777777" w:rsidR="00AF3BC4" w:rsidRDefault="00BC6429">
      <w:pPr>
        <w:spacing w:line="360" w:lineRule="auto"/>
        <w:jc w:val="both"/>
        <w:rPr>
          <w:rFonts w:ascii="Palatino Linotype" w:eastAsia="Palatino Linotype" w:hAnsi="Palatino Linotype" w:cs="Palatino Linotype"/>
          <w:b/>
          <w:sz w:val="24"/>
          <w:szCs w:val="24"/>
        </w:rPr>
      </w:pPr>
      <w:r>
        <w:rPr>
          <w:noProof/>
        </w:rPr>
        <w:drawing>
          <wp:inline distT="0" distB="0" distL="0" distR="0" wp14:anchorId="48BAB8D0" wp14:editId="3E50E98A">
            <wp:extent cx="5846231" cy="1680496"/>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5091" t="25648" r="52986" b="52927"/>
                    <a:stretch>
                      <a:fillRect/>
                    </a:stretch>
                  </pic:blipFill>
                  <pic:spPr>
                    <a:xfrm>
                      <a:off x="0" y="0"/>
                      <a:ext cx="5846231" cy="1680496"/>
                    </a:xfrm>
                    <a:prstGeom prst="rect">
                      <a:avLst/>
                    </a:prstGeom>
                    <a:ln/>
                  </pic:spPr>
                </pic:pic>
              </a:graphicData>
            </a:graphic>
          </wp:inline>
        </w:drawing>
      </w:r>
    </w:p>
    <w:p w14:paraId="748616AF" w14:textId="77777777" w:rsidR="00AF3BC4" w:rsidRDefault="00BC6429">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color w:val="000000"/>
          <w:sz w:val="24"/>
          <w:szCs w:val="24"/>
        </w:rPr>
        <w:lastRenderedPageBreak/>
        <w:t xml:space="preserve">7. AMPLIACIÓN DEL PLAZO. </w:t>
      </w: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diecisiete de mayo del año dos mil veintidós</w:t>
      </w:r>
      <w:r>
        <w:rPr>
          <w:rFonts w:ascii="Palatino Linotype" w:eastAsia="Palatino Linotype" w:hAnsi="Palatino Linotype" w:cs="Palatino Linotype"/>
          <w:color w:val="000000"/>
          <w:sz w:val="24"/>
          <w:szCs w:val="24"/>
        </w:rPr>
        <w:t>, con fundamento en el artículo 181, párrafo tercero de la Ley de Transparencia y Acceso a la Información Pública del Estado de México y Municipios, se acordó la ampliación del plazo para su resolución.</w:t>
      </w:r>
    </w:p>
    <w:p w14:paraId="57212E42" w14:textId="77777777" w:rsidR="00AF3BC4" w:rsidRDefault="00BC6429">
      <w:pPr>
        <w:spacing w:before="120" w:after="12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DEL CIERRE DE INSTRUCCIÓN. </w:t>
      </w:r>
      <w:r>
        <w:rPr>
          <w:rFonts w:ascii="Palatino Linotype" w:eastAsia="Palatino Linotype" w:hAnsi="Palatino Linotype" w:cs="Palatino Linotype"/>
          <w:color w:val="000000"/>
          <w:sz w:val="24"/>
          <w:szCs w:val="24"/>
        </w:rPr>
        <w:t xml:space="preserve">El diecisiete de mayo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2EF88F64" w14:textId="77777777" w:rsidR="00AF3BC4" w:rsidRDefault="00BC6429">
      <w:pPr>
        <w:spacing w:before="120" w:after="120" w:line="360" w:lineRule="auto"/>
        <w:ind w:right="49"/>
        <w:jc w:val="both"/>
        <w:rPr>
          <w:rFonts w:ascii="Palatino Linotype" w:eastAsia="Palatino Linotype" w:hAnsi="Palatino Linotype" w:cs="Palatino Linotype"/>
          <w:b/>
          <w:sz w:val="24"/>
          <w:szCs w:val="24"/>
        </w:rPr>
      </w:pPr>
      <w:r>
        <w:rPr>
          <w:rFonts w:ascii="Palatino Linotype" w:eastAsia="Palatino Linotype" w:hAnsi="Palatino Linotype" w:cs="Palatino Linotype"/>
          <w:color w:val="000000"/>
          <w:sz w:val="24"/>
          <w:szCs w:val="24"/>
        </w:rPr>
        <w:t>En razón de que fue debidamente sustanciado el expediente electrónico y no existe diligencia pendiente de desahogo, se emite la Resolución que conforme a Derecho proceda, de acuerdo con los siguientes:</w:t>
      </w:r>
    </w:p>
    <w:p w14:paraId="10A1BB02" w14:textId="77777777" w:rsidR="00AF3BC4" w:rsidRDefault="00BC6429">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279000BD"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w:t>
      </w:r>
      <w:r>
        <w:rPr>
          <w:rFonts w:ascii="Palatino Linotype" w:eastAsia="Palatino Linotype" w:hAnsi="Palatino Linotype" w:cs="Palatino Linotype"/>
          <w:sz w:val="24"/>
          <w:szCs w:val="24"/>
        </w:rPr>
        <w:lastRenderedPageBreak/>
        <w:t>Acceso a la Información Pública del Estado de México y Municipios; 9, fracciones I y XXIV y 11 del Reglamento Interior del Instituto de Transparencia, Acceso a la Información Pública y Protección de Datos Personales del Estado de México y Municipios.</w:t>
      </w:r>
    </w:p>
    <w:p w14:paraId="5A79114D" w14:textId="77777777" w:rsidR="00AF3BC4" w:rsidRDefault="00BC6429">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998B1D" w14:textId="77777777" w:rsidR="00AF3BC4" w:rsidRDefault="00BC6429">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ésta fue pronunciada el día once de febrero de dos mil veintidós, 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veintiocho de febrero de dos mil veintidós, esto es al décimo primer día hábil siguiente de aquel en que tuvo conocimiento de la respuesta</w:t>
      </w:r>
      <w:r>
        <w:rPr>
          <w:rFonts w:ascii="Palatino Linotype" w:eastAsia="Palatino Linotype" w:hAnsi="Palatino Linotype" w:cs="Palatino Linotype"/>
          <w:sz w:val="24"/>
          <w:szCs w:val="24"/>
          <w:highlight w:val="white"/>
        </w:rPr>
        <w:t>;</w:t>
      </w:r>
      <w:r>
        <w:rPr>
          <w:rFonts w:ascii="Palatino Linotype" w:eastAsia="Palatino Linotype" w:hAnsi="Palatino Linotype" w:cs="Palatino Linotype"/>
          <w:sz w:val="24"/>
          <w:szCs w:val="24"/>
        </w:rPr>
        <w:t xml:space="preserve"> evidenciándose que la interposición del recurso se encuentra dentro de los márgenes temporales previstos en el citado precepto legal.</w:t>
      </w:r>
    </w:p>
    <w:p w14:paraId="2A7AD711" w14:textId="77777777" w:rsidR="00AF3BC4" w:rsidRDefault="00BC6429">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así como, en la que se interpuso el recurso de revisión, éste se encuentra dentro de los márgenes temporales previstos en el citado precepto legal.</w:t>
      </w:r>
    </w:p>
    <w:p w14:paraId="459960A5" w14:textId="77777777" w:rsidR="00AF3BC4" w:rsidRDefault="00BC6429">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proporcionó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81D7FFF" w14:textId="77777777" w:rsidR="00AF3BC4" w:rsidRDefault="00BC6429">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"Las solicitudes anónimas, </w:t>
      </w:r>
      <w:r>
        <w:rPr>
          <w:rFonts w:ascii="Palatino Linotype" w:eastAsia="Palatino Linotype" w:hAnsi="Palatino Linotype" w:cs="Palatino Linotype"/>
          <w:b/>
          <w:i/>
        </w:rPr>
        <w:t>con nombre incompleto</w:t>
      </w:r>
      <w:r>
        <w:rPr>
          <w:rFonts w:ascii="Palatino Linotype" w:eastAsia="Palatino Linotype" w:hAnsi="Palatino Linotype" w:cs="Palatino Linotype"/>
          <w:i/>
        </w:rPr>
        <w:t xml:space="preserve">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0EC41C40" w14:textId="77777777" w:rsidR="00AF3BC4" w:rsidRDefault="00BC6429">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147C8916" w14:textId="77777777" w:rsidR="00AF3BC4" w:rsidRDefault="00BC642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08A3CF90" w14:textId="77777777" w:rsidR="00AF3BC4" w:rsidRDefault="00BC642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0F5E6E21" w14:textId="77777777" w:rsidR="00AF3BC4" w:rsidRDefault="00BC642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34B39EE9" w14:textId="77777777" w:rsidR="00AF3BC4" w:rsidRDefault="00BC642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 La entrega de información incompleta;” (Sic)</w:t>
      </w:r>
    </w:p>
    <w:p w14:paraId="69E42FF3"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72107F46" w14:textId="77777777" w:rsidR="00AF3BC4" w:rsidRDefault="00BC6429">
      <w:pPr>
        <w:pBdr>
          <w:top w:val="nil"/>
          <w:left w:val="nil"/>
          <w:bottom w:val="nil"/>
          <w:right w:val="nil"/>
          <w:between w:val="nil"/>
        </w:pBdr>
        <w:spacing w:before="8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7DEFA640" w14:textId="77777777" w:rsidR="00AF3BC4" w:rsidRDefault="00BC6429">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C9CEF9" w14:textId="77777777" w:rsidR="00AF3BC4" w:rsidRDefault="00BC6429">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Pr>
          <w:rFonts w:ascii="Palatino Linotype" w:eastAsia="Palatino Linotype" w:hAnsi="Palatino Linotype" w:cs="Palatino Linotype"/>
          <w:i/>
        </w:rPr>
        <w:lastRenderedPageBreak/>
        <w:t>clasificada excepcionalmente como reservada temporalmente por razones de interés público, en los términos de las causas legítimas y estrictamente necesarias previstas por esta Ley.”</w:t>
      </w:r>
    </w:p>
    <w:p w14:paraId="72160BAF" w14:textId="77777777" w:rsidR="00AF3BC4" w:rsidRDefault="00BC6429">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2CB21B3" w14:textId="77777777" w:rsidR="00AF3BC4" w:rsidRDefault="00BC6429">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5D8A3DF" w14:textId="77777777" w:rsidR="00AF3BC4" w:rsidRDefault="00BC6429">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1385AA" w14:textId="77777777" w:rsidR="00AF3BC4" w:rsidRDefault="00BC6429">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14:paraId="4EFBBAED" w14:textId="77777777" w:rsidR="00AF3BC4" w:rsidRDefault="00BC6429">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3EECCB" w14:textId="77777777" w:rsidR="00AF3BC4" w:rsidRDefault="00BC642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14:paraId="4B0EE14A" w14:textId="77777777" w:rsidR="00AF3BC4" w:rsidRDefault="00BC6429">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14E5C0E8" w14:textId="77777777" w:rsidR="00AF3BC4" w:rsidRDefault="00BC6429">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D2642C5" w14:textId="77777777" w:rsidR="00AF3BC4" w:rsidRDefault="00BC6429">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w:t>
      </w:r>
      <w:r>
        <w:rPr>
          <w:rFonts w:ascii="Palatino Linotype" w:eastAsia="Palatino Linotype" w:hAnsi="Palatino Linotype" w:cs="Palatino Linotype"/>
          <w:i/>
        </w:rPr>
        <w:lastRenderedPageBreak/>
        <w:t>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14:paraId="4FDC6C23"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2D5C1F" w14:textId="77777777" w:rsidR="00AF3BC4" w:rsidRDefault="00BC6429">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2533F033" w14:textId="77777777" w:rsidR="00AF3BC4" w:rsidRDefault="00BC6429">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928D52" w14:textId="77777777" w:rsidR="00AF3BC4" w:rsidRDefault="00BC6429">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154476DB" w14:textId="77777777" w:rsidR="00AF3BC4" w:rsidRDefault="00BC6429">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7E9070E4" w14:textId="77777777" w:rsidR="00AF3BC4" w:rsidRDefault="00BC642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0647EA05" w14:textId="77777777" w:rsidR="00AF3BC4" w:rsidRDefault="00BC6429">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0FE979CB" w14:textId="77777777" w:rsidR="00AF3BC4" w:rsidRDefault="00AF3BC4">
      <w:pPr>
        <w:spacing w:after="0" w:line="360" w:lineRule="auto"/>
        <w:jc w:val="both"/>
        <w:rPr>
          <w:rFonts w:ascii="Palatino Linotype" w:eastAsia="Palatino Linotype" w:hAnsi="Palatino Linotype" w:cs="Palatino Linotype"/>
          <w:color w:val="FF0000"/>
          <w:sz w:val="24"/>
          <w:szCs w:val="24"/>
        </w:rPr>
      </w:pPr>
    </w:p>
    <w:p w14:paraId="0AF20829" w14:textId="77777777" w:rsidR="00AF3BC4" w:rsidRDefault="00BC6429">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14:paraId="022FD534" w14:textId="77777777" w:rsidR="00AF3BC4" w:rsidRDefault="00BC6429">
      <w:pPr>
        <w:spacing w:line="360" w:lineRule="auto"/>
        <w:ind w:left="1275"/>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Los cortes de caja </w:t>
      </w:r>
      <w:r>
        <w:rPr>
          <w:rFonts w:ascii="Palatino Linotype" w:eastAsia="Palatino Linotype" w:hAnsi="Palatino Linotype" w:cs="Palatino Linotype"/>
          <w:b/>
          <w:sz w:val="24"/>
          <w:szCs w:val="24"/>
        </w:rPr>
        <w:t xml:space="preserve">correspondientes al </w:t>
      </w:r>
      <w:r>
        <w:rPr>
          <w:rFonts w:ascii="Palatino Linotype" w:eastAsia="Palatino Linotype" w:hAnsi="Palatino Linotype" w:cs="Palatino Linotype"/>
          <w:b/>
          <w:color w:val="000000"/>
          <w:sz w:val="24"/>
          <w:szCs w:val="24"/>
        </w:rPr>
        <w:t xml:space="preserve">periodo del 01 de enero al 27 de febrero de 2020. </w:t>
      </w:r>
    </w:p>
    <w:p w14:paraId="0012EA3C"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 xml:space="preserve">adjunta el oficio UTCHM/025/02/2022/EXT, signado por la PLCI. Mónica Guadalupe Pérez Meléndez, Titular de la Unidad de Transparencia, mediante el cual menciona que anexa el oficio de respuesta a su petición. </w:t>
      </w:r>
    </w:p>
    <w:p w14:paraId="70B0B811" w14:textId="77777777" w:rsidR="00AF3BC4" w:rsidRDefault="00BC6429">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Asimismo se adjuntó el</w:t>
      </w:r>
      <w:r>
        <w:rPr>
          <w:rFonts w:ascii="Palatino Linotype" w:eastAsia="Palatino Linotype" w:hAnsi="Palatino Linotype" w:cs="Palatino Linotype"/>
          <w:color w:val="000000"/>
          <w:sz w:val="24"/>
          <w:szCs w:val="24"/>
        </w:rPr>
        <w:t xml:space="preserve"> archivo electrónico </w:t>
      </w:r>
      <w:r>
        <w:rPr>
          <w:rFonts w:ascii="Palatino Linotype" w:eastAsia="Palatino Linotype" w:hAnsi="Palatino Linotype" w:cs="Palatino Linotype"/>
          <w:b/>
          <w:i/>
          <w:sz w:val="24"/>
          <w:szCs w:val="24"/>
          <w:u w:val="single"/>
        </w:rPr>
        <w:t>SAIMEEX CORTE CAJA.pdf</w:t>
      </w:r>
      <w:r>
        <w:rPr>
          <w:rFonts w:ascii="Palatino Linotype" w:eastAsia="Palatino Linotype" w:hAnsi="Palatino Linotype" w:cs="Palatino Linotype"/>
          <w:color w:val="000000"/>
          <w:sz w:val="24"/>
          <w:szCs w:val="24"/>
        </w:rPr>
        <w:t xml:space="preserve"> el cual de acuer</w:t>
      </w:r>
      <w:r>
        <w:rPr>
          <w:rFonts w:ascii="Palatino Linotype" w:eastAsia="Palatino Linotype" w:hAnsi="Palatino Linotype" w:cs="Palatino Linotype"/>
          <w:sz w:val="24"/>
          <w:szCs w:val="24"/>
        </w:rPr>
        <w:t xml:space="preserve">do a los registros que obran en el expediente electrónico, particularmente en </w:t>
      </w:r>
      <w:r>
        <w:rPr>
          <w:rFonts w:ascii="Palatino Linotype" w:eastAsia="Palatino Linotype" w:hAnsi="Palatino Linotype" w:cs="Palatino Linotype"/>
          <w:color w:val="000000"/>
          <w:sz w:val="24"/>
          <w:szCs w:val="24"/>
        </w:rPr>
        <w:t xml:space="preserve">el apartado de requerimientos, se advierte que </w:t>
      </w:r>
      <w:r>
        <w:rPr>
          <w:rFonts w:ascii="Palatino Linotype" w:eastAsia="Palatino Linotype" w:hAnsi="Palatino Linotype" w:cs="Palatino Linotype"/>
          <w:sz w:val="24"/>
          <w:szCs w:val="24"/>
        </w:rPr>
        <w:t xml:space="preserve">fue remitido por </w:t>
      </w:r>
      <w:r>
        <w:rPr>
          <w:rFonts w:ascii="Palatino Linotype" w:eastAsia="Palatino Linotype" w:hAnsi="Palatino Linotype" w:cs="Palatino Linotype"/>
          <w:color w:val="000000"/>
          <w:sz w:val="24"/>
          <w:szCs w:val="24"/>
        </w:rPr>
        <w:t xml:space="preserve">el Lic. </w:t>
      </w:r>
      <w:r>
        <w:rPr>
          <w:rFonts w:ascii="Palatino Linotype" w:eastAsia="Palatino Linotype" w:hAnsi="Palatino Linotype" w:cs="Palatino Linotype"/>
          <w:b/>
          <w:color w:val="000000"/>
          <w:sz w:val="24"/>
          <w:szCs w:val="24"/>
          <w:u w:val="single"/>
        </w:rPr>
        <w:t xml:space="preserve">En Contaduría Armando Miranda Jiménez, Tesorero Municipal, </w:t>
      </w:r>
      <w:r>
        <w:rPr>
          <w:rFonts w:ascii="Palatino Linotype" w:eastAsia="Palatino Linotype" w:hAnsi="Palatino Linotype" w:cs="Palatino Linotype"/>
          <w:color w:val="000000"/>
          <w:sz w:val="24"/>
          <w:szCs w:val="24"/>
        </w:rPr>
        <w:t xml:space="preserve">tal y como se observa a continuación: </w:t>
      </w:r>
    </w:p>
    <w:p w14:paraId="469264D2" w14:textId="77777777" w:rsidR="00AF3BC4" w:rsidRDefault="00BC6429">
      <w:pPr>
        <w:spacing w:line="360" w:lineRule="auto"/>
        <w:jc w:val="both"/>
        <w:rPr>
          <w:rFonts w:ascii="Palatino Linotype" w:eastAsia="Palatino Linotype" w:hAnsi="Palatino Linotype" w:cs="Palatino Linotype"/>
          <w:color w:val="000000"/>
          <w:sz w:val="24"/>
          <w:szCs w:val="24"/>
        </w:rPr>
      </w:pPr>
      <w:r>
        <w:rPr>
          <w:noProof/>
        </w:rPr>
        <w:drawing>
          <wp:inline distT="0" distB="0" distL="0" distR="0" wp14:anchorId="411C3524" wp14:editId="722F7008">
            <wp:extent cx="5663119" cy="627186"/>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4270" t="24743" r="23624" b="64997"/>
                    <a:stretch>
                      <a:fillRect/>
                    </a:stretch>
                  </pic:blipFill>
                  <pic:spPr>
                    <a:xfrm>
                      <a:off x="0" y="0"/>
                      <a:ext cx="5663119" cy="627186"/>
                    </a:xfrm>
                    <a:prstGeom prst="rect">
                      <a:avLst/>
                    </a:prstGeom>
                    <a:ln/>
                  </pic:spPr>
                </pic:pic>
              </a:graphicData>
            </a:graphic>
          </wp:inline>
        </w:drawing>
      </w:r>
    </w:p>
    <w:p w14:paraId="7932B6E9" w14:textId="77777777" w:rsidR="00EF7B5A" w:rsidRDefault="00EF7B5A">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pasa desapercibido </w:t>
      </w:r>
      <w:r w:rsidR="003822BD">
        <w:rPr>
          <w:rFonts w:ascii="Palatino Linotype" w:eastAsia="Palatino Linotype" w:hAnsi="Palatino Linotype" w:cs="Palatino Linotype"/>
          <w:color w:val="000000"/>
          <w:sz w:val="24"/>
          <w:szCs w:val="24"/>
        </w:rPr>
        <w:t>mencionar</w:t>
      </w:r>
      <w:r>
        <w:rPr>
          <w:rFonts w:ascii="Palatino Linotype" w:eastAsia="Palatino Linotype" w:hAnsi="Palatino Linotype" w:cs="Palatino Linotype"/>
          <w:color w:val="000000"/>
          <w:sz w:val="24"/>
          <w:szCs w:val="24"/>
        </w:rPr>
        <w:t xml:space="preserve"> que en el portal del IPOMEX del </w:t>
      </w:r>
      <w:r w:rsidRPr="00EF7B5A">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se determina que el Lic. </w:t>
      </w:r>
      <w:r w:rsidRPr="00EF7B5A">
        <w:rPr>
          <w:rFonts w:ascii="Palatino Linotype" w:eastAsia="Palatino Linotype" w:hAnsi="Palatino Linotype" w:cs="Palatino Linotype"/>
          <w:color w:val="000000"/>
          <w:sz w:val="24"/>
          <w:szCs w:val="24"/>
        </w:rPr>
        <w:t xml:space="preserve">En Contaduría Armando Miranda Jiménez, </w:t>
      </w:r>
      <w:r w:rsidR="003822BD">
        <w:rPr>
          <w:rFonts w:ascii="Palatino Linotype" w:eastAsia="Palatino Linotype" w:hAnsi="Palatino Linotype" w:cs="Palatino Linotype"/>
          <w:color w:val="000000"/>
          <w:sz w:val="24"/>
          <w:szCs w:val="24"/>
        </w:rPr>
        <w:t>se desempeña</w:t>
      </w:r>
      <w:r w:rsidRPr="00EF7B5A">
        <w:rPr>
          <w:rFonts w:ascii="Palatino Linotype" w:eastAsia="Palatino Linotype" w:hAnsi="Palatino Linotype" w:cs="Palatino Linotype"/>
          <w:color w:val="000000"/>
          <w:sz w:val="24"/>
          <w:szCs w:val="24"/>
        </w:rPr>
        <w:t xml:space="preserve"> como Tesorero Municipal</w:t>
      </w:r>
      <w:r>
        <w:rPr>
          <w:rFonts w:ascii="Palatino Linotype" w:eastAsia="Palatino Linotype" w:hAnsi="Palatino Linotype" w:cs="Palatino Linotype"/>
          <w:color w:val="000000"/>
          <w:sz w:val="24"/>
          <w:szCs w:val="24"/>
          <w:u w:val="single"/>
        </w:rPr>
        <w:t>,</w:t>
      </w:r>
      <w:r w:rsidRPr="00EF7B5A">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tal como se aprecia en la liga siguiente liga electrónica:</w:t>
      </w:r>
    </w:p>
    <w:p w14:paraId="299FF4B1" w14:textId="77777777" w:rsidR="00EF7B5A" w:rsidRDefault="001E4DD1">
      <w:pPr>
        <w:spacing w:line="360" w:lineRule="auto"/>
        <w:jc w:val="both"/>
        <w:rPr>
          <w:rFonts w:ascii="Palatino Linotype" w:eastAsia="Palatino Linotype" w:hAnsi="Palatino Linotype" w:cs="Palatino Linotype"/>
          <w:color w:val="000000"/>
          <w:sz w:val="24"/>
          <w:szCs w:val="24"/>
        </w:rPr>
      </w:pPr>
      <w:hyperlink r:id="rId14" w:history="1">
        <w:r w:rsidR="00EF7B5A" w:rsidRPr="00A843D1">
          <w:rPr>
            <w:rStyle w:val="Hipervnculo"/>
            <w:rFonts w:ascii="Palatino Linotype" w:eastAsia="Palatino Linotype" w:hAnsi="Palatino Linotype" w:cs="Palatino Linotype"/>
            <w:sz w:val="24"/>
            <w:szCs w:val="24"/>
          </w:rPr>
          <w:t>https://www.ipomex.org.mx/ipo3/lgt/indice/CHAPADEMOTA/art_92_vii/4/0/50891.web</w:t>
        </w:r>
      </w:hyperlink>
      <w:r w:rsidR="00EF7B5A">
        <w:rPr>
          <w:rFonts w:ascii="Palatino Linotype" w:eastAsia="Palatino Linotype" w:hAnsi="Palatino Linotype" w:cs="Palatino Linotype"/>
          <w:color w:val="000000"/>
          <w:sz w:val="24"/>
          <w:szCs w:val="24"/>
        </w:rPr>
        <w:t xml:space="preserve"> </w:t>
      </w:r>
    </w:p>
    <w:p w14:paraId="787B0170" w14:textId="77777777" w:rsidR="00EF7B5A" w:rsidRDefault="003822BD">
      <w:pPr>
        <w:spacing w:line="360" w:lineRule="auto"/>
        <w:jc w:val="both"/>
        <w:rPr>
          <w:rFonts w:ascii="Palatino Linotype" w:eastAsia="Palatino Linotype" w:hAnsi="Palatino Linotype" w:cs="Palatino Linotype"/>
          <w:color w:val="000000"/>
          <w:sz w:val="24"/>
          <w:szCs w:val="24"/>
        </w:rPr>
      </w:pPr>
      <w:r>
        <w:rPr>
          <w:noProof/>
        </w:rPr>
        <mc:AlternateContent>
          <mc:Choice Requires="wps">
            <w:drawing>
              <wp:anchor distT="0" distB="0" distL="114300" distR="114300" simplePos="0" relativeHeight="251659264" behindDoc="0" locked="0" layoutInCell="1" allowOverlap="1" wp14:anchorId="20E9C776" wp14:editId="4395CAB7">
                <wp:simplePos x="0" y="0"/>
                <wp:positionH relativeFrom="column">
                  <wp:posOffset>177165</wp:posOffset>
                </wp:positionH>
                <wp:positionV relativeFrom="paragraph">
                  <wp:posOffset>749936</wp:posOffset>
                </wp:positionV>
                <wp:extent cx="5086350" cy="93345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5086350" cy="933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3B7F08" id="Rectángulo 3" o:spid="_x0000_s1026" style="position:absolute;margin-left:13.95pt;margin-top:59.05pt;width:400.5pt;height: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EAoQIAAJEFAAAOAAAAZHJzL2Uyb0RvYy54bWysVM1u2zAMvg/YOwi6r3b+utaoUwQtMgwo&#10;2qDt0LMiS7EBWdQk5W9vs2fZi42SbDfoih2G5aBQJvmR/ETy6vrQKrIT1jWgSzo6yykRmkPV6E1J&#10;vz0vP11Q4jzTFVOgRUmPwtHr+ccPV3tTiDHUoCphCYJoV+xNSWvvTZFljteiZe4MjNColGBb5vFq&#10;N1ll2R7RW5WN8/w824OtjAUunMOvt0lJ5xFfSsH9g5ROeKJKirn5eNp4rsOZza9YsbHM1A3v0mD/&#10;kEXLGo1BB6hb5hnZ2uYPqLbhFhxIf8ahzUDKhotYA1Yzyt9U81QzI2ItSI4zA03u/8Hy+93KkqYq&#10;6YQSzVp8okck7ddPvdkqIJNA0N64Au2ezMp2N4diqPYgbRv+sQ5yiKQeB1LFwROOH2f5xflkhtxz&#10;1F1OJlOUESZ79TbW+S8CWhKEklqMH7lkuzvnk2lvEoJpWDZK4XdWKE32mPnFKM+jhwPVVEEblM5u&#10;1jfKkh3Dt18uc/x1gU/MMA2lMZtQY6oqSv6oRArwKCTSg3WMU4TQmGKAZZwL7UdJVbNKpGiz02C9&#10;R6xZaQQMyBKzHLA7gN4ygfTYiYHOPriK2NeDc1f635wHjxgZtB+c20aDfa8yhVV1kZN9T1KiJrC0&#10;huqIzWMhTZUzfNngC94x51fM4hjho+Nq8A94SAX4UtBJlNRgf7z3Pdhjd6OWkj2OZUnd9y2zghL1&#10;VWPfX46m0zDH8TKdfR7jxZ5q1qcavW1vAF9/hEvI8CgGe696UVpoX3CDLEJUVDHNMXZJubf95can&#10;dYE7iIvFIprh7Brm7/ST4QE8sBo69Pnwwqzp2tjjANxDP8KseNPNyTZ4alhsPcgmtvorrx3fOPex&#10;cbodFRbL6T1avW7S+W8AAAD//wMAUEsDBBQABgAIAAAAIQC76lu83QAAAAoBAAAPAAAAZHJzL2Rv&#10;d25yZXYueG1sTI/BTsMwEETvSPyDtUjcqOMI2jTEqRASILgRqHrdxksSJbaj2G3C37Oc4LgzT7Mz&#10;xW6xgzjTFDrvNKhVAoJc7U3nGg2fH083GYgQ0RkcvCMN3xRgV15eFJgbP7t3OlexERziQo4a2hjH&#10;XMpQt2QxrPxIjr0vP1mMfE6NNBPOHG4HmSbJWlrsHH9ocaTHluq+OlkNr3M6dIcG316qvtr3/vZZ&#10;bbZW6+ur5eEeRKQl/sHwW5+rQ8mdjv7kTBCDhnSzZZJ1lSkQDGRpxsqRnfWdAlkW8v+E8gcAAP//&#10;AwBQSwECLQAUAAYACAAAACEAtoM4kv4AAADhAQAAEwAAAAAAAAAAAAAAAAAAAAAAW0NvbnRlbnRf&#10;VHlwZXNdLnhtbFBLAQItABQABgAIAAAAIQA4/SH/1gAAAJQBAAALAAAAAAAAAAAAAAAAAC8BAABf&#10;cmVscy8ucmVsc1BLAQItABQABgAIAAAAIQAzuxEAoQIAAJEFAAAOAAAAAAAAAAAAAAAAAC4CAABk&#10;cnMvZTJvRG9jLnhtbFBLAQItABQABgAIAAAAIQC76lu83QAAAAoBAAAPAAAAAAAAAAAAAAAAAPsE&#10;AABkcnMvZG93bnJldi54bWxQSwUGAAAAAAQABADzAAAABQYAAAAA&#10;" filled="f" strokecolor="red" strokeweight="3pt"/>
            </w:pict>
          </mc:Fallback>
        </mc:AlternateContent>
      </w:r>
      <w:r w:rsidR="00EF7B5A">
        <w:rPr>
          <w:noProof/>
        </w:rPr>
        <w:drawing>
          <wp:inline distT="0" distB="0" distL="0" distR="0" wp14:anchorId="648EA7F1" wp14:editId="4FCDC41B">
            <wp:extent cx="5438775" cy="44209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92" t="41642" r="41785" b="16415"/>
                    <a:stretch/>
                  </pic:blipFill>
                  <pic:spPr bwMode="auto">
                    <a:xfrm>
                      <a:off x="0" y="0"/>
                      <a:ext cx="5466612" cy="4443620"/>
                    </a:xfrm>
                    <a:prstGeom prst="rect">
                      <a:avLst/>
                    </a:prstGeom>
                    <a:ln>
                      <a:noFill/>
                    </a:ln>
                    <a:extLst>
                      <a:ext uri="{53640926-AAD7-44D8-BBD7-CCE9431645EC}">
                        <a14:shadowObscured xmlns:a14="http://schemas.microsoft.com/office/drawing/2010/main"/>
                      </a:ext>
                    </a:extLst>
                  </pic:spPr>
                </pic:pic>
              </a:graphicData>
            </a:graphic>
          </wp:inline>
        </w:drawing>
      </w:r>
    </w:p>
    <w:p w14:paraId="21F32F68" w14:textId="77777777" w:rsidR="00AF3BC4" w:rsidRDefault="003822B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Precisado lo anterior, e</w:t>
      </w:r>
      <w:r w:rsidR="00BC6429">
        <w:rPr>
          <w:rFonts w:ascii="Palatino Linotype" w:eastAsia="Palatino Linotype" w:hAnsi="Palatino Linotype" w:cs="Palatino Linotype"/>
          <w:sz w:val="24"/>
          <w:szCs w:val="24"/>
        </w:rPr>
        <w:t xml:space="preserve">l archivo remitido por el Tesorero Municipal del </w:t>
      </w:r>
      <w:r w:rsidRPr="003822BD">
        <w:rPr>
          <w:rFonts w:ascii="Palatino Linotype" w:eastAsia="Palatino Linotype" w:hAnsi="Palatino Linotype" w:cs="Palatino Linotype"/>
          <w:b/>
          <w:sz w:val="24"/>
          <w:szCs w:val="24"/>
        </w:rPr>
        <w:t>SUJETO OBLIGADO</w:t>
      </w:r>
      <w:r w:rsidR="00BC6429">
        <w:rPr>
          <w:rFonts w:ascii="Palatino Linotype" w:eastAsia="Palatino Linotype" w:hAnsi="Palatino Linotype" w:cs="Palatino Linotype"/>
          <w:sz w:val="24"/>
          <w:szCs w:val="24"/>
        </w:rPr>
        <w:t>, contiene lo siguiente:</w:t>
      </w:r>
    </w:p>
    <w:p w14:paraId="096E7D3B" w14:textId="77777777" w:rsidR="00AF3BC4" w:rsidRDefault="00BC6429">
      <w:pPr>
        <w:spacing w:line="360" w:lineRule="auto"/>
        <w:jc w:val="center"/>
        <w:rPr>
          <w:sz w:val="24"/>
          <w:szCs w:val="24"/>
        </w:rPr>
      </w:pPr>
      <w:r>
        <w:rPr>
          <w:noProof/>
        </w:rPr>
        <w:lastRenderedPageBreak/>
        <w:drawing>
          <wp:inline distT="0" distB="0" distL="0" distR="0" wp14:anchorId="23E92DCE" wp14:editId="438F0430">
            <wp:extent cx="4857750" cy="411480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4454" t="20516" r="37373" b="13584"/>
                    <a:stretch>
                      <a:fillRect/>
                    </a:stretch>
                  </pic:blipFill>
                  <pic:spPr>
                    <a:xfrm>
                      <a:off x="0" y="0"/>
                      <a:ext cx="4857750" cy="4114800"/>
                    </a:xfrm>
                    <a:prstGeom prst="rect">
                      <a:avLst/>
                    </a:prstGeom>
                    <a:ln/>
                  </pic:spPr>
                </pic:pic>
              </a:graphicData>
            </a:graphic>
          </wp:inline>
        </w:drawing>
      </w:r>
    </w:p>
    <w:p w14:paraId="6EC6E8BE" w14:textId="77777777" w:rsidR="00AF3BC4" w:rsidRDefault="00BC6429">
      <w:pPr>
        <w:spacing w:line="360" w:lineRule="auto"/>
        <w:jc w:val="center"/>
        <w:rPr>
          <w:sz w:val="24"/>
          <w:szCs w:val="24"/>
        </w:rPr>
      </w:pPr>
      <w:r>
        <w:rPr>
          <w:noProof/>
        </w:rPr>
        <w:drawing>
          <wp:inline distT="0" distB="0" distL="0" distR="0" wp14:anchorId="60A082CC" wp14:editId="08C6B264">
            <wp:extent cx="4712059" cy="2569210"/>
            <wp:effectExtent l="0" t="0" r="0" b="254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4452" t="23398" r="37373" b="40253"/>
                    <a:stretch>
                      <a:fillRect/>
                    </a:stretch>
                  </pic:blipFill>
                  <pic:spPr>
                    <a:xfrm>
                      <a:off x="0" y="0"/>
                      <a:ext cx="4722361" cy="2574827"/>
                    </a:xfrm>
                    <a:prstGeom prst="rect">
                      <a:avLst/>
                    </a:prstGeom>
                    <a:ln/>
                  </pic:spPr>
                </pic:pic>
              </a:graphicData>
            </a:graphic>
          </wp:inline>
        </w:drawing>
      </w:r>
    </w:p>
    <w:p w14:paraId="5FDBB696"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Conocida la respuesta por el particular, al no estar conforme con los términos de la misma, presentó el recurso de revisión que nos ocupa, mediante el cual señaló como motivo de inconformidad, en lo medular por la falta de información en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0AF8722F" w14:textId="77777777" w:rsidR="00AF3BC4" w:rsidRDefault="00BC6429">
      <w:pPr>
        <w:tabs>
          <w:tab w:val="left" w:pos="8647"/>
        </w:tabs>
        <w:spacing w:before="240" w:after="120" w:line="360" w:lineRule="auto"/>
        <w:ind w:right="141"/>
        <w:jc w:val="both"/>
        <w:rPr>
          <w:sz w:val="24"/>
          <w:szCs w:val="24"/>
        </w:rPr>
      </w:pPr>
      <w:r>
        <w:rPr>
          <w:rFonts w:ascii="Palatino Linotype" w:eastAsia="Palatino Linotype" w:hAnsi="Palatino Linotype" w:cs="Palatino Linotype"/>
          <w:sz w:val="24"/>
          <w:szCs w:val="24"/>
        </w:rPr>
        <w:t xml:space="preserve">Cabe resaltar que </w:t>
      </w:r>
      <w:r>
        <w:rPr>
          <w:rFonts w:ascii="Palatino Linotype" w:eastAsia="Palatino Linotype" w:hAnsi="Palatino Linotype" w:cs="Palatino Linotype"/>
          <w:color w:val="000000"/>
          <w:sz w:val="24"/>
          <w:szCs w:val="24"/>
        </w:rPr>
        <w:t xml:space="preserve">durante la etapa de manifestaciones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xml:space="preserve"> también </w:t>
      </w:r>
      <w:r>
        <w:rPr>
          <w:rFonts w:ascii="Palatino Linotype" w:eastAsia="Palatino Linotype" w:hAnsi="Palatino Linotype" w:cs="Palatino Linotype"/>
          <w:sz w:val="24"/>
          <w:szCs w:val="24"/>
        </w:rPr>
        <w:t>resultó</w:t>
      </w:r>
      <w:r>
        <w:rPr>
          <w:rFonts w:ascii="Palatino Linotype" w:eastAsia="Palatino Linotype" w:hAnsi="Palatino Linotype" w:cs="Palatino Linotype"/>
          <w:color w:val="000000"/>
          <w:sz w:val="24"/>
          <w:szCs w:val="24"/>
        </w:rPr>
        <w:t xml:space="preserve"> omiso de remitir su informe justificado conforme a derecho les corresponde. </w:t>
      </w:r>
      <w:r>
        <w:rPr>
          <w:sz w:val="24"/>
          <w:szCs w:val="24"/>
        </w:rPr>
        <w:t xml:space="preserve"> </w:t>
      </w:r>
    </w:p>
    <w:p w14:paraId="784138CE"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advierte que el documento remitido por el tesorero municipal se desglosa la información relativa a los cortes de caja correspondiente al periodo  del primero de enero de dos mil veinte al veintisiete de febrero de dos mil veinte, como se aprecia a continuación:</w:t>
      </w:r>
    </w:p>
    <w:p w14:paraId="792D3ED4" w14:textId="77777777" w:rsidR="00AF3BC4" w:rsidRDefault="00BC6429">
      <w:pPr>
        <w:spacing w:line="360" w:lineRule="auto"/>
        <w:jc w:val="both"/>
        <w:rPr>
          <w:sz w:val="24"/>
          <w:szCs w:val="24"/>
        </w:rPr>
      </w:pPr>
      <w:r>
        <w:rPr>
          <w:noProof/>
        </w:rPr>
        <w:drawing>
          <wp:inline distT="0" distB="0" distL="0" distR="0" wp14:anchorId="49B6577B" wp14:editId="7346E984">
            <wp:extent cx="5612130" cy="333375"/>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385" t="44357" r="385" b="51117"/>
                    <a:stretch>
                      <a:fillRect/>
                    </a:stretch>
                  </pic:blipFill>
                  <pic:spPr>
                    <a:xfrm>
                      <a:off x="0" y="0"/>
                      <a:ext cx="5612130" cy="333375"/>
                    </a:xfrm>
                    <a:prstGeom prst="rect">
                      <a:avLst/>
                    </a:prstGeom>
                    <a:ln/>
                  </pic:spPr>
                </pic:pic>
              </a:graphicData>
            </a:graphic>
          </wp:inline>
        </w:drawing>
      </w:r>
    </w:p>
    <w:p w14:paraId="57D03EEE" w14:textId="77777777" w:rsidR="00AF3BC4" w:rsidRDefault="00BC6429">
      <w:pPr>
        <w:spacing w:line="360" w:lineRule="auto"/>
        <w:jc w:val="both"/>
        <w:rPr>
          <w:sz w:val="24"/>
          <w:szCs w:val="24"/>
        </w:rPr>
      </w:pPr>
      <w:r>
        <w:rPr>
          <w:noProof/>
        </w:rPr>
        <w:drawing>
          <wp:inline distT="0" distB="0" distL="0" distR="0" wp14:anchorId="02795302" wp14:editId="0372367E">
            <wp:extent cx="5612130" cy="352425"/>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85999" b="9776"/>
                    <a:stretch>
                      <a:fillRect/>
                    </a:stretch>
                  </pic:blipFill>
                  <pic:spPr>
                    <a:xfrm>
                      <a:off x="0" y="0"/>
                      <a:ext cx="5612130" cy="352425"/>
                    </a:xfrm>
                    <a:prstGeom prst="rect">
                      <a:avLst/>
                    </a:prstGeom>
                    <a:ln/>
                  </pic:spPr>
                </pic:pic>
              </a:graphicData>
            </a:graphic>
          </wp:inline>
        </w:drawing>
      </w:r>
    </w:p>
    <w:p w14:paraId="6B0B0A4C" w14:textId="77777777" w:rsidR="00AF3BC4" w:rsidRDefault="00AF3BC4">
      <w:pPr>
        <w:spacing w:line="360" w:lineRule="auto"/>
        <w:jc w:val="both"/>
        <w:rPr>
          <w:rFonts w:ascii="Palatino Linotype" w:eastAsia="Palatino Linotype" w:hAnsi="Palatino Linotype" w:cs="Palatino Linotype"/>
          <w:sz w:val="24"/>
          <w:szCs w:val="24"/>
        </w:rPr>
      </w:pPr>
    </w:p>
    <w:p w14:paraId="2196FDA6" w14:textId="77777777" w:rsidR="00AF3BC4" w:rsidRDefault="00BC6429">
      <w:pPr>
        <w:spacing w:line="360" w:lineRule="auto"/>
        <w:jc w:val="center"/>
        <w:rPr>
          <w:rFonts w:ascii="Palatino Linotype" w:eastAsia="Palatino Linotype" w:hAnsi="Palatino Linotype" w:cs="Palatino Linotype"/>
          <w:sz w:val="24"/>
          <w:szCs w:val="24"/>
        </w:rPr>
      </w:pPr>
      <w:r>
        <w:rPr>
          <w:noProof/>
        </w:rPr>
        <w:drawing>
          <wp:inline distT="0" distB="0" distL="0" distR="0" wp14:anchorId="4FA12D2F" wp14:editId="754F3163">
            <wp:extent cx="5467350" cy="1114425"/>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4454" t="20516" r="37373" b="73404"/>
                    <a:stretch>
                      <a:fillRect/>
                    </a:stretch>
                  </pic:blipFill>
                  <pic:spPr>
                    <a:xfrm>
                      <a:off x="0" y="0"/>
                      <a:ext cx="5467350" cy="1114425"/>
                    </a:xfrm>
                    <a:prstGeom prst="rect">
                      <a:avLst/>
                    </a:prstGeom>
                    <a:ln/>
                  </pic:spPr>
                </pic:pic>
              </a:graphicData>
            </a:graphic>
          </wp:inline>
        </w:drawing>
      </w:r>
    </w:p>
    <w:p w14:paraId="388D7C7B" w14:textId="77777777" w:rsidR="00AF3BC4" w:rsidRDefault="00AF3BC4">
      <w:pPr>
        <w:spacing w:line="360" w:lineRule="auto"/>
        <w:jc w:val="both"/>
        <w:rPr>
          <w:rFonts w:ascii="Palatino Linotype" w:eastAsia="Palatino Linotype" w:hAnsi="Palatino Linotype" w:cs="Palatino Linotype"/>
          <w:sz w:val="24"/>
          <w:szCs w:val="24"/>
        </w:rPr>
      </w:pPr>
    </w:p>
    <w:p w14:paraId="26ED56D9"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Asimismo, en dicho documento se advierte el desglose del monto recibido en efectivo, y mediante terminal, así como la suma total, de igual manera contiene los nombres de los servidores públicos responsables de su elaboración y revisión, como se advierte de la imagen anterior. </w:t>
      </w:r>
    </w:p>
    <w:p w14:paraId="7A298657"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se estima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otorgó un correcto acceso a la información, al proporcionar la información que obra en sus archivos, pero que además corresponde con lo solicitado. </w:t>
      </w:r>
    </w:p>
    <w:p w14:paraId="2613AAB2"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no se omite comentar que, la información fue remitida por el servidor público habilitado de generarla lo anterior es así ya que la Ley Orgánica Municipal del Estado de México prevé en su artículo 93 que la tesorería, será el órgano recaudador del ayuntamiento y administra los ingresos del mismo. Enlistando las atribuciones que tiene el titular de dicho ente en el artículo 95, que a la letra establece lo siguiente:</w:t>
      </w:r>
    </w:p>
    <w:p w14:paraId="5B884880"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“Artículo 95.- Son atribuciones del tesorero municipal:</w:t>
      </w:r>
    </w:p>
    <w:p w14:paraId="16524E8A"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I. Administrar la hacienda pública municipal, de conformidad con las</w:t>
      </w:r>
      <w:r w:rsidR="003822BD">
        <w:rPr>
          <w:rFonts w:ascii="Palatino Linotype" w:hAnsi="Palatino Linotype"/>
          <w:i/>
        </w:rPr>
        <w:t xml:space="preserve"> disposiciones legales </w:t>
      </w:r>
      <w:r w:rsidRPr="003822BD">
        <w:rPr>
          <w:rFonts w:ascii="Palatino Linotype" w:hAnsi="Palatino Linotype"/>
          <w:i/>
        </w:rPr>
        <w:t>aplicables;</w:t>
      </w:r>
    </w:p>
    <w:p w14:paraId="6E9BB728"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II. Determinar, liquidar, recaudar, fiscalizar y administrar las</w:t>
      </w:r>
      <w:r w:rsidR="003822BD">
        <w:rPr>
          <w:rFonts w:ascii="Palatino Linotype" w:hAnsi="Palatino Linotype"/>
          <w:i/>
        </w:rPr>
        <w:t xml:space="preserve"> </w:t>
      </w:r>
      <w:r w:rsidRPr="003822BD">
        <w:rPr>
          <w:rFonts w:ascii="Palatino Linotype" w:hAnsi="Palatino Linotype"/>
          <w:i/>
        </w:rPr>
        <w:t>contribuciones en los términos de los ordenamientos jurídicos aplicables</w:t>
      </w:r>
      <w:r w:rsidR="003822BD">
        <w:rPr>
          <w:rFonts w:ascii="Palatino Linotype" w:hAnsi="Palatino Linotype"/>
          <w:i/>
        </w:rPr>
        <w:t xml:space="preserve"> </w:t>
      </w:r>
      <w:r w:rsidRPr="003822BD">
        <w:rPr>
          <w:rFonts w:ascii="Palatino Linotype" w:hAnsi="Palatino Linotype"/>
          <w:i/>
        </w:rPr>
        <w:t xml:space="preserve">y, en su caso, aplicar el </w:t>
      </w:r>
      <w:r w:rsidR="003822BD">
        <w:rPr>
          <w:rFonts w:ascii="Palatino Linotype" w:hAnsi="Palatino Linotype"/>
          <w:i/>
        </w:rPr>
        <w:t xml:space="preserve">procedimiento administrativo de </w:t>
      </w:r>
      <w:r w:rsidRPr="003822BD">
        <w:rPr>
          <w:rFonts w:ascii="Palatino Linotype" w:hAnsi="Palatino Linotype"/>
          <w:i/>
        </w:rPr>
        <w:t>ejecución en</w:t>
      </w:r>
      <w:r w:rsidR="003822BD">
        <w:rPr>
          <w:rFonts w:ascii="Palatino Linotype" w:hAnsi="Palatino Linotype"/>
          <w:i/>
        </w:rPr>
        <w:t xml:space="preserve"> </w:t>
      </w:r>
      <w:r w:rsidRPr="003822BD">
        <w:rPr>
          <w:rFonts w:ascii="Palatino Linotype" w:hAnsi="Palatino Linotype"/>
          <w:i/>
        </w:rPr>
        <w:t>términos de las disposiciones aplicables;</w:t>
      </w:r>
    </w:p>
    <w:p w14:paraId="66CE6E1E"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III. Imponer las sanciones administrativas que procedan por infracciones</w:t>
      </w:r>
      <w:r w:rsidR="003822BD">
        <w:rPr>
          <w:rFonts w:ascii="Palatino Linotype" w:hAnsi="Palatino Linotype"/>
          <w:i/>
        </w:rPr>
        <w:t xml:space="preserve"> </w:t>
      </w:r>
      <w:r w:rsidRPr="003822BD">
        <w:rPr>
          <w:rFonts w:ascii="Palatino Linotype" w:hAnsi="Palatino Linotype"/>
          <w:i/>
        </w:rPr>
        <w:t>a las disposiciones fiscales;</w:t>
      </w:r>
    </w:p>
    <w:p w14:paraId="18636704"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IV. Llevar los registros contables, financieros y administrativos de los</w:t>
      </w:r>
      <w:r w:rsidR="003822BD">
        <w:rPr>
          <w:rFonts w:ascii="Palatino Linotype" w:hAnsi="Palatino Linotype"/>
          <w:i/>
        </w:rPr>
        <w:t xml:space="preserve"> </w:t>
      </w:r>
      <w:r w:rsidRPr="003822BD">
        <w:rPr>
          <w:rFonts w:ascii="Palatino Linotype" w:hAnsi="Palatino Linotype"/>
          <w:i/>
        </w:rPr>
        <w:t>ingresos, egresos, e inventarios;</w:t>
      </w:r>
    </w:p>
    <w:p w14:paraId="3873D06E"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lastRenderedPageBreak/>
        <w:t>V. Proporcionar oportunamente al ayuntamiento todos los datos o</w:t>
      </w:r>
      <w:r w:rsidR="003822BD">
        <w:rPr>
          <w:rFonts w:ascii="Palatino Linotype" w:hAnsi="Palatino Linotype"/>
          <w:i/>
        </w:rPr>
        <w:t xml:space="preserve"> </w:t>
      </w:r>
      <w:r w:rsidRPr="003822BD">
        <w:rPr>
          <w:rFonts w:ascii="Palatino Linotype" w:hAnsi="Palatino Linotype"/>
          <w:i/>
        </w:rPr>
        <w:t>informes que sean necesarios para la formulación del Presupuesto de</w:t>
      </w:r>
      <w:r w:rsidR="003822BD">
        <w:rPr>
          <w:rFonts w:ascii="Palatino Linotype" w:hAnsi="Palatino Linotype"/>
          <w:i/>
        </w:rPr>
        <w:t xml:space="preserve"> </w:t>
      </w:r>
      <w:r w:rsidRPr="003822BD">
        <w:rPr>
          <w:rFonts w:ascii="Palatino Linotype" w:hAnsi="Palatino Linotype"/>
          <w:i/>
        </w:rPr>
        <w:t>Egresos Municipales, vigilando que se ajuste a las disposiciones de esta</w:t>
      </w:r>
      <w:r w:rsidR="003822BD">
        <w:rPr>
          <w:rFonts w:ascii="Palatino Linotype" w:hAnsi="Palatino Linotype"/>
          <w:i/>
        </w:rPr>
        <w:t xml:space="preserve"> </w:t>
      </w:r>
      <w:r w:rsidRPr="003822BD">
        <w:rPr>
          <w:rFonts w:ascii="Palatino Linotype" w:hAnsi="Palatino Linotype"/>
          <w:i/>
        </w:rPr>
        <w:t>Ley y otros ordenamientos aplicables;</w:t>
      </w:r>
    </w:p>
    <w:p w14:paraId="4E0FECD8"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VI. Presentar anualmente al ayuntamiento un informe de la situación</w:t>
      </w:r>
      <w:r w:rsidR="003822BD">
        <w:rPr>
          <w:rFonts w:ascii="Palatino Linotype" w:hAnsi="Palatino Linotype"/>
          <w:i/>
        </w:rPr>
        <w:t xml:space="preserve"> </w:t>
      </w:r>
      <w:r w:rsidRPr="003822BD">
        <w:rPr>
          <w:rFonts w:ascii="Palatino Linotype" w:hAnsi="Palatino Linotype"/>
          <w:i/>
        </w:rPr>
        <w:t>contable financiera de la Tesorería Municipal;</w:t>
      </w:r>
    </w:p>
    <w:p w14:paraId="53FDEEFD"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VI Bis. Proporcionar para la formulación del proyecto de Presupuesto de</w:t>
      </w:r>
      <w:r w:rsidR="003822BD">
        <w:rPr>
          <w:rFonts w:ascii="Palatino Linotype" w:hAnsi="Palatino Linotype"/>
          <w:i/>
        </w:rPr>
        <w:t xml:space="preserve"> </w:t>
      </w:r>
      <w:r w:rsidRPr="003822BD">
        <w:rPr>
          <w:rFonts w:ascii="Palatino Linotype" w:hAnsi="Palatino Linotype"/>
          <w:i/>
        </w:rPr>
        <w:t>Egresos Municipales la información financiera relativa a la solución o en</w:t>
      </w:r>
      <w:r w:rsidR="003822BD">
        <w:rPr>
          <w:rFonts w:ascii="Palatino Linotype" w:hAnsi="Palatino Linotype"/>
          <w:i/>
        </w:rPr>
        <w:t xml:space="preserve"> </w:t>
      </w:r>
      <w:r w:rsidRPr="003822BD">
        <w:rPr>
          <w:rFonts w:ascii="Palatino Linotype" w:hAnsi="Palatino Linotype"/>
          <w:i/>
        </w:rPr>
        <w:t>su caso, el pago de los litigios laborales;</w:t>
      </w:r>
    </w:p>
    <w:p w14:paraId="4FC6358D"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VII. Diseñar y aprobar las formas oficiales de manifestaciones, avisos y</w:t>
      </w:r>
      <w:r w:rsidR="003822BD">
        <w:rPr>
          <w:rFonts w:ascii="Palatino Linotype" w:hAnsi="Palatino Linotype"/>
          <w:i/>
        </w:rPr>
        <w:t xml:space="preserve"> </w:t>
      </w:r>
      <w:r w:rsidRPr="003822BD">
        <w:rPr>
          <w:rFonts w:ascii="Palatino Linotype" w:hAnsi="Palatino Linotype"/>
          <w:i/>
        </w:rPr>
        <w:t>declaraciones y demás documentos requeridos;</w:t>
      </w:r>
    </w:p>
    <w:p w14:paraId="020153AB"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VIII. Participar en la formulación de Convenios Fiscales y ejercer las</w:t>
      </w:r>
      <w:r w:rsidR="003822BD">
        <w:rPr>
          <w:rFonts w:ascii="Palatino Linotype" w:hAnsi="Palatino Linotype"/>
          <w:i/>
        </w:rPr>
        <w:t xml:space="preserve"> </w:t>
      </w:r>
      <w:r w:rsidRPr="003822BD">
        <w:rPr>
          <w:rFonts w:ascii="Palatino Linotype" w:hAnsi="Palatino Linotype"/>
          <w:i/>
        </w:rPr>
        <w:t>atribuciones que le correspondan en el ámbito de su competencia;</w:t>
      </w:r>
    </w:p>
    <w:p w14:paraId="07F37AC0"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IX. Proponer al ayuntamiento la cancelación de cuentas incobrables;</w:t>
      </w:r>
    </w:p>
    <w:p w14:paraId="22B8D100"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X. Custodiar y ejercer las garantías que se otorguen en favor de la</w:t>
      </w:r>
      <w:r w:rsidR="003822BD">
        <w:rPr>
          <w:rFonts w:ascii="Palatino Linotype" w:hAnsi="Palatino Linotype"/>
          <w:i/>
        </w:rPr>
        <w:t xml:space="preserve"> </w:t>
      </w:r>
      <w:r w:rsidRPr="003822BD">
        <w:rPr>
          <w:rFonts w:ascii="Palatino Linotype" w:hAnsi="Palatino Linotype"/>
          <w:i/>
        </w:rPr>
        <w:t>hacienda municipal;</w:t>
      </w:r>
    </w:p>
    <w:p w14:paraId="2736AEC8"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XI. Proponer la política de ingresos de la tesorería municipal;</w:t>
      </w:r>
    </w:p>
    <w:p w14:paraId="77DBE550"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XII. Intervenir en la elaboración del programa financiero municipal;</w:t>
      </w:r>
    </w:p>
    <w:p w14:paraId="49F92E87"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XIII. Elaborar y mantener actualizado el Padrón de Contribuyentes;</w:t>
      </w:r>
    </w:p>
    <w:p w14:paraId="777AC808"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XIV. Ministrar a su inmediato antecesor todos los datos oficiales que le</w:t>
      </w:r>
      <w:r w:rsidR="003822BD">
        <w:rPr>
          <w:rFonts w:ascii="Palatino Linotype" w:hAnsi="Palatino Linotype"/>
          <w:i/>
        </w:rPr>
        <w:t xml:space="preserve"> solicitare, </w:t>
      </w:r>
      <w:r w:rsidRPr="003822BD">
        <w:rPr>
          <w:rFonts w:ascii="Palatino Linotype" w:hAnsi="Palatino Linotype"/>
          <w:i/>
        </w:rPr>
        <w:t>para contestar los pliegos de observaciones y alcances que</w:t>
      </w:r>
      <w:r w:rsidR="003822BD">
        <w:rPr>
          <w:rFonts w:ascii="Palatino Linotype" w:hAnsi="Palatino Linotype"/>
          <w:i/>
        </w:rPr>
        <w:t xml:space="preserve"> </w:t>
      </w:r>
      <w:r w:rsidRPr="003822BD">
        <w:rPr>
          <w:rFonts w:ascii="Palatino Linotype" w:hAnsi="Palatino Linotype"/>
          <w:i/>
        </w:rPr>
        <w:t>formule y deduzca el Órgano Superior de Fiscalización del Estado de</w:t>
      </w:r>
      <w:r w:rsidR="003822BD">
        <w:rPr>
          <w:rFonts w:ascii="Palatino Linotype" w:hAnsi="Palatino Linotype"/>
          <w:i/>
        </w:rPr>
        <w:t xml:space="preserve"> </w:t>
      </w:r>
      <w:r w:rsidRPr="003822BD">
        <w:rPr>
          <w:rFonts w:ascii="Palatino Linotype" w:hAnsi="Palatino Linotype"/>
          <w:i/>
        </w:rPr>
        <w:t>México;</w:t>
      </w:r>
    </w:p>
    <w:p w14:paraId="3C58D6B0"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XV. Solicitar a las instancias competentes, la práctica de revisiones</w:t>
      </w:r>
      <w:r w:rsidR="003822BD">
        <w:rPr>
          <w:rFonts w:ascii="Palatino Linotype" w:hAnsi="Palatino Linotype"/>
          <w:i/>
        </w:rPr>
        <w:t xml:space="preserve"> </w:t>
      </w:r>
      <w:r w:rsidRPr="003822BD">
        <w:rPr>
          <w:rFonts w:ascii="Palatino Linotype" w:hAnsi="Palatino Linotype"/>
          <w:i/>
        </w:rPr>
        <w:t>circunstanciadas, de conformidad con las normas que rigen en materia</w:t>
      </w:r>
      <w:r w:rsidR="003822BD">
        <w:rPr>
          <w:rFonts w:ascii="Palatino Linotype" w:hAnsi="Palatino Linotype"/>
          <w:i/>
        </w:rPr>
        <w:t xml:space="preserve"> </w:t>
      </w:r>
      <w:r w:rsidRPr="003822BD">
        <w:rPr>
          <w:rFonts w:ascii="Palatino Linotype" w:hAnsi="Palatino Linotype"/>
          <w:i/>
        </w:rPr>
        <w:t>de control y evaluación gubernamental en el ámbito municipal;</w:t>
      </w:r>
    </w:p>
    <w:p w14:paraId="3730FA7A"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XVI. Glosar oportunamente las cuentas del ayuntamiento;</w:t>
      </w:r>
    </w:p>
    <w:p w14:paraId="6D05DA4F" w14:textId="77777777" w:rsidR="00AF3BC4" w:rsidRPr="003822BD" w:rsidRDefault="00BC6429" w:rsidP="003822BD">
      <w:pPr>
        <w:ind w:left="851" w:right="900"/>
        <w:jc w:val="both"/>
        <w:rPr>
          <w:rFonts w:ascii="Palatino Linotype" w:hAnsi="Palatino Linotype"/>
          <w:i/>
        </w:rPr>
      </w:pPr>
      <w:r w:rsidRPr="003822BD">
        <w:rPr>
          <w:rFonts w:ascii="Palatino Linotype" w:hAnsi="Palatino Linotype"/>
          <w:i/>
        </w:rPr>
        <w:t>XVII. Contestar oportunamente los pliegos de observaciones y</w:t>
      </w:r>
      <w:r w:rsidR="003822BD">
        <w:rPr>
          <w:rFonts w:ascii="Palatino Linotype" w:hAnsi="Palatino Linotype"/>
          <w:i/>
        </w:rPr>
        <w:t xml:space="preserve"> </w:t>
      </w:r>
      <w:r w:rsidRPr="003822BD">
        <w:rPr>
          <w:rFonts w:ascii="Palatino Linotype" w:hAnsi="Palatino Linotype"/>
          <w:i/>
        </w:rPr>
        <w:t>responsabilidad que haga el Órgano Superior de Fiscalización del</w:t>
      </w:r>
      <w:r w:rsidR="003822BD">
        <w:rPr>
          <w:rFonts w:ascii="Palatino Linotype" w:hAnsi="Palatino Linotype"/>
          <w:i/>
        </w:rPr>
        <w:t xml:space="preserve"> </w:t>
      </w:r>
      <w:r w:rsidRPr="003822BD">
        <w:rPr>
          <w:rFonts w:ascii="Palatino Linotype" w:hAnsi="Palatino Linotype"/>
          <w:i/>
        </w:rPr>
        <w:t xml:space="preserve">Estado de México, así como </w:t>
      </w:r>
      <w:r w:rsidRPr="003822BD">
        <w:rPr>
          <w:rFonts w:ascii="Palatino Linotype" w:hAnsi="Palatino Linotype"/>
          <w:i/>
        </w:rPr>
        <w:lastRenderedPageBreak/>
        <w:t>atender en tiempo y forma las solicitudes de</w:t>
      </w:r>
      <w:r w:rsidR="003822BD">
        <w:rPr>
          <w:rFonts w:ascii="Palatino Linotype" w:hAnsi="Palatino Linotype"/>
          <w:i/>
        </w:rPr>
        <w:t xml:space="preserve"> </w:t>
      </w:r>
      <w:r w:rsidRPr="003822BD">
        <w:rPr>
          <w:rFonts w:ascii="Palatino Linotype" w:hAnsi="Palatino Linotype"/>
          <w:i/>
        </w:rPr>
        <w:t>información que éste requiera, informando al Ayuntamiento;</w:t>
      </w:r>
    </w:p>
    <w:p w14:paraId="1494E730" w14:textId="77777777" w:rsidR="00C07A39" w:rsidRDefault="00C07A3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igual forma el Bando Municipal 2022, del Ayuntamiento de Chapa de Mota, refiere lo siguiente:</w:t>
      </w:r>
    </w:p>
    <w:p w14:paraId="2F75D1DD" w14:textId="77777777" w:rsidR="00C07A39" w:rsidRPr="00C07A39" w:rsidRDefault="00C07A39" w:rsidP="00C07A39">
      <w:pPr>
        <w:spacing w:line="360" w:lineRule="auto"/>
        <w:ind w:left="851" w:right="900"/>
        <w:contextualSpacing/>
        <w:jc w:val="both"/>
        <w:rPr>
          <w:rFonts w:ascii="Palatino Linotype" w:eastAsia="Palatino Linotype" w:hAnsi="Palatino Linotype" w:cs="Palatino Linotype"/>
          <w:i/>
          <w:sz w:val="24"/>
          <w:szCs w:val="24"/>
        </w:rPr>
      </w:pPr>
      <w:r w:rsidRPr="00C07A39">
        <w:rPr>
          <w:rFonts w:ascii="Palatino Linotype" w:hAnsi="Palatino Linotype"/>
          <w:i/>
        </w:rPr>
        <w:t xml:space="preserve">ARTÍCULO 100. La Tesorería Municipal es el órgano encargado de la </w:t>
      </w:r>
      <w:r w:rsidRPr="00C07A39">
        <w:rPr>
          <w:rFonts w:ascii="Palatino Linotype" w:hAnsi="Palatino Linotype"/>
          <w:b/>
          <w:i/>
          <w:u w:val="single"/>
        </w:rPr>
        <w:t>recaudación de los ingresos Municipales</w:t>
      </w:r>
      <w:r w:rsidRPr="00C07A39">
        <w:rPr>
          <w:rFonts w:ascii="Palatino Linotype" w:hAnsi="Palatino Linotype"/>
          <w:i/>
        </w:rPr>
        <w:t xml:space="preserve"> y responsable de realizar las erogaciones que haga el Ayuntamiento por conducto de las dependencias administrativas, de conformidad con las disposiciones legales aplicables.</w:t>
      </w:r>
    </w:p>
    <w:p w14:paraId="5600D251" w14:textId="77777777" w:rsidR="00C07A39" w:rsidRDefault="00C07A39" w:rsidP="00C07A39">
      <w:pPr>
        <w:spacing w:line="360" w:lineRule="auto"/>
        <w:contextualSpacing/>
        <w:jc w:val="both"/>
        <w:rPr>
          <w:rFonts w:ascii="Palatino Linotype" w:eastAsia="Palatino Linotype" w:hAnsi="Palatino Linotype" w:cs="Palatino Linotype"/>
          <w:sz w:val="24"/>
          <w:szCs w:val="24"/>
        </w:rPr>
      </w:pPr>
    </w:p>
    <w:p w14:paraId="78914EC1" w14:textId="77777777" w:rsidR="00AF3BC4" w:rsidRDefault="00BC6429" w:rsidP="00C07A39">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al haber existido un pronunciamiento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fin de dar respuesta a la solicitud planteada, este Instituto no está facultado para manifestarse sobre la veracidad de la información proporcionada, pues este Organismo Garante conforme al artículo 36 de la Ley de la Materia. </w:t>
      </w:r>
    </w:p>
    <w:p w14:paraId="79874070" w14:textId="77777777" w:rsidR="00AF3BC4" w:rsidRDefault="00BC642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4C0127B" w14:textId="77777777" w:rsidR="00AF3BC4" w:rsidRDefault="00BC6429">
      <w:pPr>
        <w:ind w:left="851" w:right="1041"/>
        <w:jc w:val="both"/>
        <w:rPr>
          <w:rFonts w:ascii="Palatino Linotype" w:eastAsia="Palatino Linotype" w:hAnsi="Palatino Linotype" w:cs="Palatino Linotype"/>
          <w:i/>
        </w:rPr>
      </w:pP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w:t>
      </w:r>
      <w:r>
        <w:rPr>
          <w:rFonts w:ascii="Palatino Linotype" w:eastAsia="Palatino Linotype" w:hAnsi="Palatino Linotype" w:cs="Palatino Linotype"/>
          <w:i/>
        </w:rPr>
        <w:lastRenderedPageBreak/>
        <w:t xml:space="preserve">en los artículos 49 y 50 de la Ley Federal de Transparencia y Acceso a la Información Pública Gubernamental no se prevé una causal que permita al Instituto Federal de Acceso a la Información y Protección de Datos conocer, vía recurso revisión, al respecto. “ </w:t>
      </w:r>
    </w:p>
    <w:p w14:paraId="6791D405" w14:textId="77777777" w:rsidR="003822BD" w:rsidRPr="003822BD" w:rsidRDefault="00BC6429" w:rsidP="003822BD">
      <w:pPr>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Criterio 31/10</w:t>
      </w:r>
      <w:r>
        <w:rPr>
          <w:rFonts w:ascii="Palatino Linotype" w:eastAsia="Palatino Linotype" w:hAnsi="Palatino Linotype" w:cs="Palatino Linotype"/>
          <w:b/>
          <w:i/>
        </w:rPr>
        <w:t>”</w:t>
      </w:r>
      <w:r>
        <w:rPr>
          <w:rFonts w:ascii="Palatino Linotype" w:eastAsia="Palatino Linotype" w:hAnsi="Palatino Linotype" w:cs="Palatino Linotype"/>
          <w:i/>
        </w:rPr>
        <w:t xml:space="preserve"> (sic)</w:t>
      </w:r>
    </w:p>
    <w:p w14:paraId="607FADC3" w14:textId="77777777" w:rsidR="00AF3BC4" w:rsidRDefault="00BC6429">
      <w:pPr>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En mérito de lo expuesto, esta Autoridad estima que las razones o motivos de inconformidad hechos valer por el </w:t>
      </w:r>
      <w:r>
        <w:rPr>
          <w:rFonts w:ascii="Palatino Linotype" w:eastAsia="Palatino Linotype" w:hAnsi="Palatino Linotype" w:cs="Palatino Linotype"/>
          <w:b/>
          <w:color w:val="222222"/>
          <w:sz w:val="24"/>
          <w:szCs w:val="24"/>
        </w:rPr>
        <w:t>RECURRENTE</w:t>
      </w:r>
      <w:r>
        <w:rPr>
          <w:rFonts w:ascii="Palatino Linotype" w:eastAsia="Palatino Linotype" w:hAnsi="Palatino Linotype" w:cs="Palatino Linotype"/>
          <w:color w:val="222222"/>
          <w:sz w:val="24"/>
          <w:szCs w:val="24"/>
        </w:rPr>
        <w:t xml:space="preserve"> devienen infundados; por lo que, lo procedente es </w:t>
      </w:r>
      <w:r>
        <w:rPr>
          <w:rFonts w:ascii="Palatino Linotype" w:eastAsia="Palatino Linotype" w:hAnsi="Palatino Linotype" w:cs="Palatino Linotype"/>
          <w:b/>
          <w:color w:val="222222"/>
          <w:sz w:val="24"/>
          <w:szCs w:val="24"/>
        </w:rPr>
        <w:t>CONFIRMAR</w:t>
      </w:r>
      <w:r>
        <w:rPr>
          <w:rFonts w:ascii="Palatino Linotype" w:eastAsia="Palatino Linotype" w:hAnsi="Palatino Linotype" w:cs="Palatino Linotype"/>
          <w:color w:val="222222"/>
          <w:sz w:val="24"/>
          <w:szCs w:val="24"/>
        </w:rPr>
        <w:t xml:space="preserve"> la respuesta del </w:t>
      </w:r>
      <w:r>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w:t>
      </w:r>
    </w:p>
    <w:p w14:paraId="1D3A0BE7" w14:textId="77777777" w:rsidR="00AF3BC4" w:rsidRDefault="00BC6429">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w:t>
      </w:r>
      <w:r>
        <w:rPr>
          <w:rFonts w:ascii="Palatino Linotype" w:eastAsia="Palatino Linotype" w:hAnsi="Palatino Linotype" w:cs="Palatino Linotype"/>
          <w:sz w:val="24"/>
          <w:szCs w:val="24"/>
          <w:highlight w:val="white"/>
        </w:rPr>
        <w:t xml:space="preserve">párrafos trigésimo, trigésimo primero y trigésimo segundo fracciones IV y V </w:t>
      </w:r>
      <w:r>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 la Información Pública del Estado de México y Municipios, este Pleno:</w:t>
      </w:r>
    </w:p>
    <w:p w14:paraId="56E74C46" w14:textId="77777777" w:rsidR="00AF3BC4" w:rsidRDefault="00BC6429">
      <w:pPr>
        <w:spacing w:before="240" w:after="24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0265EB7B" w14:textId="77777777" w:rsidR="00AF3BC4" w:rsidRDefault="00BC6429">
      <w:pPr>
        <w:spacing w:before="240" w:after="240" w:line="360" w:lineRule="auto"/>
        <w:ind w:right="49"/>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color w:val="222222"/>
          <w:sz w:val="24"/>
          <w:szCs w:val="24"/>
          <w:highlight w:val="white"/>
        </w:rPr>
        <w:t xml:space="preserve">Resultan infundados los motivos de inconformidad aducidos por el </w:t>
      </w:r>
      <w:r>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en el recurso de revisión </w:t>
      </w:r>
      <w:r>
        <w:rPr>
          <w:rFonts w:ascii="Palatino Linotype" w:eastAsia="Palatino Linotype" w:hAnsi="Palatino Linotype" w:cs="Palatino Linotype"/>
          <w:b/>
          <w:color w:val="222222"/>
          <w:sz w:val="24"/>
          <w:szCs w:val="24"/>
          <w:highlight w:val="white"/>
        </w:rPr>
        <w:t xml:space="preserve">02394/INFOEM/IP/RR/2022, </w:t>
      </w:r>
      <w:r>
        <w:rPr>
          <w:rFonts w:ascii="Palatino Linotype" w:eastAsia="Palatino Linotype" w:hAnsi="Palatino Linotype" w:cs="Palatino Linotype"/>
          <w:color w:val="222222"/>
          <w:sz w:val="24"/>
          <w:szCs w:val="24"/>
          <w:highlight w:val="white"/>
        </w:rPr>
        <w:t xml:space="preserve">por lo que, en términos del Considerando Cuarto de esta resolución, se </w:t>
      </w:r>
      <w:r>
        <w:rPr>
          <w:rFonts w:ascii="Palatino Linotype" w:eastAsia="Palatino Linotype" w:hAnsi="Palatino Linotype" w:cs="Palatino Linotype"/>
          <w:b/>
          <w:color w:val="222222"/>
          <w:sz w:val="24"/>
          <w:szCs w:val="24"/>
          <w:highlight w:val="white"/>
        </w:rPr>
        <w:t>CONFIRMA</w:t>
      </w:r>
      <w:r>
        <w:rPr>
          <w:rFonts w:ascii="Palatino Linotype" w:eastAsia="Palatino Linotype" w:hAnsi="Palatino Linotype" w:cs="Palatino Linotype"/>
          <w:color w:val="222222"/>
          <w:sz w:val="24"/>
          <w:szCs w:val="24"/>
          <w:highlight w:val="white"/>
        </w:rPr>
        <w:t xml:space="preserve"> las respuesta del </w:t>
      </w:r>
      <w:r>
        <w:rPr>
          <w:rFonts w:ascii="Palatino Linotype" w:eastAsia="Palatino Linotype" w:hAnsi="Palatino Linotype" w:cs="Palatino Linotype"/>
          <w:b/>
          <w:color w:val="222222"/>
          <w:sz w:val="24"/>
          <w:szCs w:val="24"/>
          <w:highlight w:val="white"/>
        </w:rPr>
        <w:t>SUJETO OBLIGADO.</w:t>
      </w:r>
    </w:p>
    <w:p w14:paraId="1B077D31" w14:textId="77777777" w:rsidR="00AF3BC4" w:rsidRDefault="00BC6429">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b/>
          <w:sz w:val="24"/>
          <w:szCs w:val="24"/>
          <w:highlight w:val="white"/>
        </w:rPr>
        <w:t>. NOTIFÍQUESE </w:t>
      </w:r>
      <w:r>
        <w:rPr>
          <w:rFonts w:ascii="Palatino Linotype" w:eastAsia="Palatino Linotype" w:hAnsi="Palatino Linotype" w:cs="Palatino Linotype"/>
          <w:sz w:val="24"/>
          <w:szCs w:val="24"/>
        </w:rPr>
        <w:t xml:space="preserve">vía SAIMEX 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para su conocimiento.</w:t>
      </w:r>
    </w:p>
    <w:p w14:paraId="095A7A6D" w14:textId="77777777" w:rsidR="00AF3BC4" w:rsidRDefault="00BC6429">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w:t>
      </w:r>
      <w:r>
        <w:rPr>
          <w:rFonts w:ascii="Palatino Linotype" w:eastAsia="Palatino Linotype" w:hAnsi="Palatino Linotype" w:cs="Palatino Linotype"/>
          <w:b/>
          <w:sz w:val="24"/>
          <w:szCs w:val="24"/>
          <w:highlight w:val="white"/>
        </w:rPr>
        <w:t> </w:t>
      </w:r>
      <w:r>
        <w:rPr>
          <w:rFonts w:ascii="Palatino Linotype" w:eastAsia="Palatino Linotype" w:hAnsi="Palatino Linotype" w:cs="Palatino Linotype"/>
          <w:sz w:val="24"/>
          <w:szCs w:val="24"/>
        </w:rPr>
        <w:t>vía SAIMEX</w:t>
      </w:r>
      <w:r>
        <w:rPr>
          <w:rFonts w:ascii="Palatino Linotype" w:eastAsia="Palatino Linotype" w:hAnsi="Palatino Linotype" w:cs="Palatino Linotype"/>
          <w:b/>
          <w:sz w:val="24"/>
          <w:szCs w:val="24"/>
        </w:rPr>
        <w:t xml:space="preserve"> a</w:t>
      </w:r>
      <w:r>
        <w:rPr>
          <w:rFonts w:ascii="Palatino Linotype" w:eastAsia="Palatino Linotype" w:hAnsi="Palatino Linotype" w:cs="Palatino Linotype"/>
          <w:b/>
          <w:color w:val="000000"/>
          <w:sz w:val="24"/>
          <w:szCs w:val="24"/>
        </w:rPr>
        <w:t>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xml:space="preserve">, la presente resolución, además que de conformidad con lo establecido en el artículo 196 de la Ley de </w:t>
      </w:r>
      <w:r>
        <w:rPr>
          <w:rFonts w:ascii="Palatino Linotype" w:eastAsia="Palatino Linotype" w:hAnsi="Palatino Linotype" w:cs="Palatino Linotype"/>
          <w:sz w:val="24"/>
          <w:szCs w:val="24"/>
        </w:rPr>
        <w:lastRenderedPageBreak/>
        <w:t>Transparencia y Acceso a la Información Pública del Estado de México y Municipios, podrá impugnarla vía Juicio de Amparo en los términos de las leyes aplicables.</w:t>
      </w:r>
    </w:p>
    <w:p w14:paraId="6F1765DC" w14:textId="77777777" w:rsidR="00AF3BC4" w:rsidRDefault="00BC6429">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DE MAYO DE DOS MIL VEINTIDÓS, ANTE EL SECRETARIO TÉCNICO DEL PLENO ALEXIS TAPIA RAMÍREZ.</w:t>
      </w:r>
    </w:p>
    <w:p w14:paraId="6FABA6F3" w14:textId="77777777" w:rsidR="00AF3BC4" w:rsidRDefault="00AF3BC4">
      <w:pPr>
        <w:spacing w:line="360" w:lineRule="auto"/>
        <w:jc w:val="both"/>
        <w:rPr>
          <w:rFonts w:ascii="Palatino Linotype" w:eastAsia="Palatino Linotype" w:hAnsi="Palatino Linotype" w:cs="Palatino Linotype"/>
          <w:sz w:val="24"/>
          <w:szCs w:val="24"/>
        </w:rPr>
      </w:pPr>
    </w:p>
    <w:p w14:paraId="2730A633" w14:textId="066ED641" w:rsidR="00AF3BC4" w:rsidRDefault="00AF3BC4">
      <w:pPr>
        <w:spacing w:line="360" w:lineRule="auto"/>
        <w:jc w:val="both"/>
        <w:rPr>
          <w:sz w:val="24"/>
          <w:szCs w:val="24"/>
        </w:rPr>
      </w:pPr>
    </w:p>
    <w:p w14:paraId="651E3143" w14:textId="5254B347" w:rsidR="00F46136" w:rsidRDefault="00F46136">
      <w:pPr>
        <w:spacing w:line="360" w:lineRule="auto"/>
        <w:jc w:val="both"/>
        <w:rPr>
          <w:sz w:val="24"/>
          <w:szCs w:val="24"/>
        </w:rPr>
      </w:pPr>
    </w:p>
    <w:p w14:paraId="166E7FC4" w14:textId="282834EE" w:rsidR="00F46136" w:rsidRDefault="00F46136">
      <w:pPr>
        <w:spacing w:line="360" w:lineRule="auto"/>
        <w:jc w:val="both"/>
        <w:rPr>
          <w:sz w:val="24"/>
          <w:szCs w:val="24"/>
        </w:rPr>
      </w:pPr>
    </w:p>
    <w:p w14:paraId="2983672D" w14:textId="311A0596" w:rsidR="00F46136" w:rsidRDefault="00F46136">
      <w:pPr>
        <w:spacing w:line="360" w:lineRule="auto"/>
        <w:jc w:val="both"/>
        <w:rPr>
          <w:sz w:val="24"/>
          <w:szCs w:val="24"/>
        </w:rPr>
      </w:pPr>
    </w:p>
    <w:p w14:paraId="4E5515F8" w14:textId="3138BA10" w:rsidR="00F46136" w:rsidRDefault="00F46136">
      <w:pPr>
        <w:spacing w:line="360" w:lineRule="auto"/>
        <w:jc w:val="both"/>
        <w:rPr>
          <w:sz w:val="24"/>
          <w:szCs w:val="24"/>
        </w:rPr>
      </w:pPr>
    </w:p>
    <w:p w14:paraId="6846D206" w14:textId="7FF424B1" w:rsidR="00F46136" w:rsidRDefault="00F46136">
      <w:pPr>
        <w:spacing w:line="360" w:lineRule="auto"/>
        <w:jc w:val="both"/>
        <w:rPr>
          <w:sz w:val="24"/>
          <w:szCs w:val="24"/>
        </w:rPr>
      </w:pPr>
    </w:p>
    <w:p w14:paraId="54308573" w14:textId="647C5D06" w:rsidR="00F46136" w:rsidRDefault="00F46136">
      <w:pPr>
        <w:spacing w:line="360" w:lineRule="auto"/>
        <w:jc w:val="both"/>
        <w:rPr>
          <w:sz w:val="24"/>
          <w:szCs w:val="24"/>
        </w:rPr>
      </w:pPr>
    </w:p>
    <w:p w14:paraId="12099DA1" w14:textId="15F0D2ED" w:rsidR="00F46136" w:rsidRDefault="00F46136">
      <w:pPr>
        <w:spacing w:line="360" w:lineRule="auto"/>
        <w:jc w:val="both"/>
        <w:rPr>
          <w:sz w:val="24"/>
          <w:szCs w:val="24"/>
        </w:rPr>
      </w:pPr>
    </w:p>
    <w:p w14:paraId="52D892BB" w14:textId="5981F875" w:rsidR="00F46136" w:rsidRDefault="00F46136">
      <w:pPr>
        <w:spacing w:line="360" w:lineRule="auto"/>
        <w:jc w:val="both"/>
        <w:rPr>
          <w:sz w:val="24"/>
          <w:szCs w:val="24"/>
        </w:rPr>
      </w:pPr>
    </w:p>
    <w:p w14:paraId="6A258940" w14:textId="3D0F59E8" w:rsidR="00F46136" w:rsidRDefault="00F46136">
      <w:pPr>
        <w:spacing w:line="360" w:lineRule="auto"/>
        <w:jc w:val="both"/>
        <w:rPr>
          <w:sz w:val="24"/>
          <w:szCs w:val="24"/>
        </w:rPr>
      </w:pPr>
    </w:p>
    <w:p w14:paraId="10F8E436" w14:textId="3757B7AC" w:rsidR="00F46136" w:rsidRDefault="00F46136">
      <w:pPr>
        <w:spacing w:line="360" w:lineRule="auto"/>
        <w:jc w:val="both"/>
        <w:rPr>
          <w:sz w:val="24"/>
          <w:szCs w:val="24"/>
        </w:rPr>
      </w:pPr>
    </w:p>
    <w:p w14:paraId="3B2E02F9" w14:textId="6F34DADA" w:rsidR="00F46136" w:rsidRDefault="00F46136">
      <w:pPr>
        <w:spacing w:line="360" w:lineRule="auto"/>
        <w:jc w:val="both"/>
        <w:rPr>
          <w:sz w:val="24"/>
          <w:szCs w:val="24"/>
        </w:rPr>
      </w:pPr>
    </w:p>
    <w:p w14:paraId="59BCD993" w14:textId="3CF3CA53" w:rsidR="00F46136" w:rsidRDefault="00F46136">
      <w:pPr>
        <w:spacing w:line="360" w:lineRule="auto"/>
        <w:jc w:val="both"/>
        <w:rPr>
          <w:sz w:val="24"/>
          <w:szCs w:val="24"/>
        </w:rPr>
      </w:pPr>
    </w:p>
    <w:p w14:paraId="6FA59789" w14:textId="77777777" w:rsidR="00F46136" w:rsidRDefault="00F46136">
      <w:pPr>
        <w:spacing w:line="360" w:lineRule="auto"/>
        <w:jc w:val="both"/>
        <w:rPr>
          <w:sz w:val="24"/>
          <w:szCs w:val="24"/>
        </w:rPr>
      </w:pPr>
    </w:p>
    <w:sectPr w:rsidR="00F46136">
      <w:headerReference w:type="default" r:id="rId18"/>
      <w:footerReference w:type="default" r:id="rId19"/>
      <w:headerReference w:type="first" r:id="rId20"/>
      <w:footerReference w:type="first" r:id="rId2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9212D" w14:textId="77777777" w:rsidR="001E4DD1" w:rsidRDefault="001E4DD1">
      <w:pPr>
        <w:spacing w:after="0" w:line="240" w:lineRule="auto"/>
      </w:pPr>
      <w:r>
        <w:separator/>
      </w:r>
    </w:p>
  </w:endnote>
  <w:endnote w:type="continuationSeparator" w:id="0">
    <w:p w14:paraId="04DEA4A1" w14:textId="77777777" w:rsidR="001E4DD1" w:rsidRDefault="001E4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117EA" w14:textId="77777777" w:rsidR="00AF3BC4" w:rsidRDefault="00BC6429">
    <w:pP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5195D">
      <w:rPr>
        <w:rFonts w:ascii="Arial" w:eastAsia="Arial" w:hAnsi="Arial" w:cs="Arial"/>
        <w:b/>
        <w:noProof/>
        <w:color w:val="000000"/>
        <w:sz w:val="20"/>
        <w:szCs w:val="20"/>
      </w:rPr>
      <w:t>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5195D">
      <w:rPr>
        <w:rFonts w:ascii="Arial" w:eastAsia="Arial" w:hAnsi="Arial" w:cs="Arial"/>
        <w:b/>
        <w:noProof/>
        <w:color w:val="000000"/>
        <w:sz w:val="20"/>
        <w:szCs w:val="20"/>
      </w:rPr>
      <w:t>23</w:t>
    </w:r>
    <w:r>
      <w:rPr>
        <w:rFonts w:ascii="Arial" w:eastAsia="Arial" w:hAnsi="Arial" w:cs="Arial"/>
        <w:b/>
        <w:color w:val="000000"/>
        <w:sz w:val="20"/>
        <w:szCs w:val="20"/>
      </w:rPr>
      <w:fldChar w:fldCharType="end"/>
    </w:r>
  </w:p>
  <w:p w14:paraId="04AF6552" w14:textId="77777777" w:rsidR="00AF3BC4" w:rsidRDefault="00AF3BC4">
    <w:pPr>
      <w:tabs>
        <w:tab w:val="center" w:pos="4419"/>
        <w:tab w:val="right" w:pos="8838"/>
      </w:tabs>
      <w:spacing w:after="0" w:line="240" w:lineRule="auto"/>
      <w:rPr>
        <w:color w:val="000000"/>
      </w:rPr>
    </w:pPr>
  </w:p>
  <w:p w14:paraId="57CEB130" w14:textId="77777777" w:rsidR="00AF3BC4" w:rsidRDefault="00AF3BC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2148C" w14:textId="77777777" w:rsidR="00AF3BC4" w:rsidRDefault="00BC6429">
    <w:pP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5195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5195D">
      <w:rPr>
        <w:rFonts w:ascii="Arial" w:eastAsia="Arial" w:hAnsi="Arial" w:cs="Arial"/>
        <w:b/>
        <w:noProof/>
        <w:color w:val="000000"/>
        <w:sz w:val="20"/>
        <w:szCs w:val="20"/>
      </w:rPr>
      <w:t>23</w:t>
    </w:r>
    <w:r>
      <w:rPr>
        <w:rFonts w:ascii="Arial" w:eastAsia="Arial" w:hAnsi="Arial" w:cs="Arial"/>
        <w:b/>
        <w:color w:val="000000"/>
        <w:sz w:val="20"/>
        <w:szCs w:val="20"/>
      </w:rPr>
      <w:fldChar w:fldCharType="end"/>
    </w:r>
  </w:p>
  <w:p w14:paraId="20BB43D2" w14:textId="77777777" w:rsidR="00AF3BC4" w:rsidRDefault="00AF3BC4">
    <w:pPr>
      <w:tabs>
        <w:tab w:val="center" w:pos="4419"/>
        <w:tab w:val="right" w:pos="8838"/>
      </w:tabs>
      <w:spacing w:after="0" w:line="240" w:lineRule="auto"/>
      <w:rPr>
        <w:color w:val="000000"/>
      </w:rPr>
    </w:pPr>
  </w:p>
  <w:p w14:paraId="4B258B4E" w14:textId="77777777" w:rsidR="00AF3BC4" w:rsidRDefault="00AF3BC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B0218" w14:textId="77777777" w:rsidR="001E4DD1" w:rsidRDefault="001E4DD1">
      <w:pPr>
        <w:spacing w:after="0" w:line="240" w:lineRule="auto"/>
      </w:pPr>
      <w:r>
        <w:separator/>
      </w:r>
    </w:p>
  </w:footnote>
  <w:footnote w:type="continuationSeparator" w:id="0">
    <w:p w14:paraId="0EBB8523" w14:textId="77777777" w:rsidR="001E4DD1" w:rsidRDefault="001E4DD1">
      <w:pPr>
        <w:spacing w:after="0" w:line="240" w:lineRule="auto"/>
      </w:pPr>
      <w:r>
        <w:continuationSeparator/>
      </w:r>
    </w:p>
  </w:footnote>
  <w:footnote w:id="1">
    <w:p w14:paraId="50FA3C16" w14:textId="77777777" w:rsidR="00AF3BC4" w:rsidRDefault="00BC6429">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ADFF9A0" w14:textId="77777777" w:rsidR="00AF3BC4" w:rsidRDefault="00BC642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6D783C99" w14:textId="77777777" w:rsidR="00AF3BC4" w:rsidRDefault="00BC642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439E2" w14:textId="77777777" w:rsidR="00AF3BC4" w:rsidRDefault="00EF7B5A">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0B99A09F" wp14:editId="1FB3B4A7">
          <wp:simplePos x="0" y="0"/>
          <wp:positionH relativeFrom="column">
            <wp:posOffset>-902335</wp:posOffset>
          </wp:positionH>
          <wp:positionV relativeFrom="paragraph">
            <wp:posOffset>-208280</wp:posOffset>
          </wp:positionV>
          <wp:extent cx="7772400" cy="9810750"/>
          <wp:effectExtent l="0" t="0" r="0" b="0"/>
          <wp:wrapNone/>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72400" cy="9810750"/>
                  </a:xfrm>
                  <a:prstGeom prst="rect">
                    <a:avLst/>
                  </a:prstGeom>
                  <a:ln/>
                </pic:spPr>
              </pic:pic>
            </a:graphicData>
          </a:graphic>
        </wp:anchor>
      </w:drawing>
    </w:r>
  </w:p>
  <w:tbl>
    <w:tblPr>
      <w:tblStyle w:val="a0"/>
      <w:tblW w:w="10479" w:type="dxa"/>
      <w:tblInd w:w="-1281" w:type="dxa"/>
      <w:tblLayout w:type="fixed"/>
      <w:tblLook w:val="0400" w:firstRow="0" w:lastRow="0" w:firstColumn="0" w:lastColumn="0" w:noHBand="0" w:noVBand="1"/>
    </w:tblPr>
    <w:tblGrid>
      <w:gridCol w:w="5576"/>
      <w:gridCol w:w="4903"/>
    </w:tblGrid>
    <w:tr w:rsidR="00AF3BC4" w14:paraId="242AF3EF" w14:textId="77777777">
      <w:trPr>
        <w:trHeight w:val="245"/>
      </w:trPr>
      <w:tc>
        <w:tcPr>
          <w:tcW w:w="5576" w:type="dxa"/>
        </w:tcPr>
        <w:p w14:paraId="096D78B5" w14:textId="77777777" w:rsidR="00AF3BC4" w:rsidRDefault="00BC642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14:paraId="47BC76EB" w14:textId="77777777" w:rsidR="00AF3BC4" w:rsidRDefault="00BC642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02394/INFOEM/IP/RR/2022</w:t>
          </w:r>
        </w:p>
      </w:tc>
    </w:tr>
    <w:tr w:rsidR="00AF3BC4" w14:paraId="172FD46F" w14:textId="77777777">
      <w:trPr>
        <w:trHeight w:val="211"/>
      </w:trPr>
      <w:tc>
        <w:tcPr>
          <w:tcW w:w="5576" w:type="dxa"/>
        </w:tcPr>
        <w:p w14:paraId="1EDCD425" w14:textId="77777777" w:rsidR="00AF3BC4" w:rsidRDefault="00BC642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18C34B63" w14:textId="77777777" w:rsidR="00AF3BC4" w:rsidRDefault="00AF3BC4">
          <w:pPr>
            <w:spacing w:after="120"/>
            <w:ind w:left="-486" w:right="214" w:firstLine="567"/>
            <w:jc w:val="right"/>
            <w:rPr>
              <w:rFonts w:ascii="Palatino Linotype" w:eastAsia="Palatino Linotype" w:hAnsi="Palatino Linotype" w:cs="Palatino Linotype"/>
              <w:sz w:val="24"/>
              <w:szCs w:val="24"/>
            </w:rPr>
          </w:pPr>
        </w:p>
      </w:tc>
    </w:tr>
    <w:tr w:rsidR="00AF3BC4" w14:paraId="2F898E40" w14:textId="77777777">
      <w:trPr>
        <w:trHeight w:val="262"/>
      </w:trPr>
      <w:tc>
        <w:tcPr>
          <w:tcW w:w="5576" w:type="dxa"/>
        </w:tcPr>
        <w:p w14:paraId="20F55408" w14:textId="77777777" w:rsidR="00AF3BC4" w:rsidRDefault="00BC642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7EA58919" w14:textId="77777777" w:rsidR="00AF3BC4" w:rsidRDefault="00BC642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Chapa de Mota.</w:t>
          </w:r>
        </w:p>
      </w:tc>
    </w:tr>
    <w:tr w:rsidR="00AF3BC4" w14:paraId="5E0683FE" w14:textId="77777777">
      <w:trPr>
        <w:trHeight w:val="371"/>
      </w:trPr>
      <w:tc>
        <w:tcPr>
          <w:tcW w:w="5576" w:type="dxa"/>
        </w:tcPr>
        <w:p w14:paraId="4B2304FE" w14:textId="77777777" w:rsidR="00AF3BC4" w:rsidRDefault="00BC642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198352A7" w14:textId="77777777" w:rsidR="00AF3BC4" w:rsidRDefault="00BC642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B02915F" w14:textId="77777777" w:rsidR="00AF3BC4" w:rsidRDefault="00AF3BC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9B601" w14:textId="77777777" w:rsidR="00AF3BC4" w:rsidRDefault="00EF7B5A">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r>
      <w:rPr>
        <w:noProof/>
      </w:rPr>
      <w:drawing>
        <wp:anchor distT="0" distB="0" distL="0" distR="0" simplePos="0" relativeHeight="251660288" behindDoc="1" locked="0" layoutInCell="1" hidden="0" allowOverlap="1" wp14:anchorId="4C2629AF" wp14:editId="6F19EF32">
          <wp:simplePos x="0" y="0"/>
          <wp:positionH relativeFrom="column">
            <wp:posOffset>-946150</wp:posOffset>
          </wp:positionH>
          <wp:positionV relativeFrom="paragraph">
            <wp:posOffset>-285750</wp:posOffset>
          </wp:positionV>
          <wp:extent cx="7772400" cy="9810750"/>
          <wp:effectExtent l="0" t="0" r="0" b="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72400" cy="9810750"/>
                  </a:xfrm>
                  <a:prstGeom prst="rect">
                    <a:avLst/>
                  </a:prstGeom>
                  <a:ln/>
                </pic:spPr>
              </pic:pic>
            </a:graphicData>
          </a:graphic>
        </wp:anchor>
      </w:drawing>
    </w:r>
  </w:p>
  <w:tbl>
    <w:tblPr>
      <w:tblStyle w:val="a"/>
      <w:tblW w:w="10479" w:type="dxa"/>
      <w:tblInd w:w="-1281" w:type="dxa"/>
      <w:tblLayout w:type="fixed"/>
      <w:tblLook w:val="0400" w:firstRow="0" w:lastRow="0" w:firstColumn="0" w:lastColumn="0" w:noHBand="0" w:noVBand="1"/>
    </w:tblPr>
    <w:tblGrid>
      <w:gridCol w:w="5576"/>
      <w:gridCol w:w="4903"/>
    </w:tblGrid>
    <w:tr w:rsidR="00AF3BC4" w14:paraId="2D798250" w14:textId="77777777" w:rsidTr="00EF7B5A">
      <w:trPr>
        <w:trHeight w:val="245"/>
      </w:trPr>
      <w:tc>
        <w:tcPr>
          <w:tcW w:w="5576" w:type="dxa"/>
          <w:shd w:val="clear" w:color="auto" w:fill="auto"/>
        </w:tcPr>
        <w:p w14:paraId="5807FAD6" w14:textId="77777777" w:rsidR="00AF3BC4" w:rsidRPr="00EF7B5A" w:rsidRDefault="00BC6429">
          <w:pPr>
            <w:spacing w:after="120"/>
            <w:ind w:right="204"/>
            <w:jc w:val="right"/>
            <w:rPr>
              <w:rFonts w:ascii="Palatino Linotype" w:eastAsia="Palatino Linotype" w:hAnsi="Palatino Linotype" w:cs="Palatino Linotype"/>
              <w:b/>
              <w:sz w:val="24"/>
              <w:szCs w:val="24"/>
            </w:rPr>
          </w:pPr>
          <w:r w:rsidRPr="00EF7B5A">
            <w:rPr>
              <w:rFonts w:ascii="Palatino Linotype" w:eastAsia="Palatino Linotype" w:hAnsi="Palatino Linotype" w:cs="Palatino Linotype"/>
              <w:b/>
              <w:sz w:val="24"/>
              <w:szCs w:val="24"/>
            </w:rPr>
            <w:t>Recurso de Revisión N°:</w:t>
          </w:r>
        </w:p>
      </w:tc>
      <w:tc>
        <w:tcPr>
          <w:tcW w:w="4903" w:type="dxa"/>
          <w:shd w:val="clear" w:color="auto" w:fill="auto"/>
        </w:tcPr>
        <w:p w14:paraId="452EBF9B" w14:textId="77777777" w:rsidR="00AF3BC4" w:rsidRPr="00EF7B5A" w:rsidRDefault="00BC6429" w:rsidP="00EF7B5A">
          <w:pPr>
            <w:spacing w:after="120"/>
            <w:ind w:left="-486" w:right="214" w:firstLine="1408"/>
            <w:jc w:val="right"/>
            <w:rPr>
              <w:rFonts w:ascii="Palatino Linotype" w:eastAsia="Palatino Linotype" w:hAnsi="Palatino Linotype" w:cs="Palatino Linotype"/>
              <w:sz w:val="24"/>
              <w:szCs w:val="24"/>
            </w:rPr>
          </w:pPr>
          <w:r w:rsidRPr="00EF7B5A">
            <w:rPr>
              <w:rFonts w:ascii="Palatino Linotype" w:eastAsia="Palatino Linotype" w:hAnsi="Palatino Linotype" w:cs="Palatino Linotype"/>
              <w:sz w:val="24"/>
              <w:szCs w:val="24"/>
            </w:rPr>
            <w:t>02394/INFOEM/IP/RR/2022</w:t>
          </w:r>
        </w:p>
      </w:tc>
    </w:tr>
    <w:tr w:rsidR="00AF3BC4" w14:paraId="065EED8F" w14:textId="77777777">
      <w:trPr>
        <w:trHeight w:val="211"/>
      </w:trPr>
      <w:tc>
        <w:tcPr>
          <w:tcW w:w="5576" w:type="dxa"/>
        </w:tcPr>
        <w:p w14:paraId="29890B35" w14:textId="77777777" w:rsidR="00AF3BC4" w:rsidRDefault="00BC642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097FC96C" w14:textId="41036A90" w:rsidR="00AF3BC4" w:rsidRDefault="00A5195D">
          <w:pPr>
            <w:spacing w:after="120"/>
            <w:ind w:left="-486" w:right="214" w:firstLine="567"/>
            <w:jc w:val="right"/>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xxxxx</w:t>
          </w:r>
          <w:proofErr w:type="spellEnd"/>
        </w:p>
      </w:tc>
    </w:tr>
    <w:tr w:rsidR="00AF3BC4" w14:paraId="1F5061FA" w14:textId="77777777">
      <w:trPr>
        <w:trHeight w:val="262"/>
      </w:trPr>
      <w:tc>
        <w:tcPr>
          <w:tcW w:w="5576" w:type="dxa"/>
        </w:tcPr>
        <w:p w14:paraId="02CC38B5" w14:textId="77777777" w:rsidR="00AF3BC4" w:rsidRDefault="00BC642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6FA81C3E" w14:textId="77777777" w:rsidR="00AF3BC4" w:rsidRDefault="00BC642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Chapa de Mota.</w:t>
          </w:r>
        </w:p>
      </w:tc>
    </w:tr>
    <w:tr w:rsidR="00AF3BC4" w14:paraId="7DF37B63" w14:textId="77777777">
      <w:trPr>
        <w:trHeight w:val="371"/>
      </w:trPr>
      <w:tc>
        <w:tcPr>
          <w:tcW w:w="5576" w:type="dxa"/>
        </w:tcPr>
        <w:p w14:paraId="69CB6A24" w14:textId="77777777" w:rsidR="00AF3BC4" w:rsidRDefault="00BC642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3BB3DB5E" w14:textId="77777777" w:rsidR="00AF3BC4" w:rsidRDefault="00BC642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0D187CB" w14:textId="77777777" w:rsidR="00AF3BC4" w:rsidRDefault="00AF3BC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C0C12"/>
    <w:multiLevelType w:val="multilevel"/>
    <w:tmpl w:val="6DD4DC5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BC4"/>
    <w:rsid w:val="001E4DD1"/>
    <w:rsid w:val="003822BD"/>
    <w:rsid w:val="00747BB7"/>
    <w:rsid w:val="00905BEB"/>
    <w:rsid w:val="00A5195D"/>
    <w:rsid w:val="00AC10EB"/>
    <w:rsid w:val="00AF3BC4"/>
    <w:rsid w:val="00BC6429"/>
    <w:rsid w:val="00C07A39"/>
    <w:rsid w:val="00EF7B5A"/>
    <w:rsid w:val="00F461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FCED8"/>
  <w15:docId w15:val="{FC75AB48-3A22-4FF2-8D1E-E3CBBAC4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F4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82F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2F47"/>
  </w:style>
  <w:style w:type="paragraph" w:styleId="Piedepgina">
    <w:name w:val="footer"/>
    <w:basedOn w:val="Normal"/>
    <w:link w:val="PiedepginaCar"/>
    <w:uiPriority w:val="99"/>
    <w:unhideWhenUsed/>
    <w:rsid w:val="00D82F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2F47"/>
  </w:style>
  <w:style w:type="paragraph" w:styleId="NormalWeb">
    <w:name w:val="Normal (Web)"/>
    <w:basedOn w:val="Normal"/>
    <w:uiPriority w:val="99"/>
    <w:unhideWhenUsed/>
    <w:rsid w:val="00D82F4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EF7B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CHAPADEMOTA/art_92_vii/4/0/50891.web"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ZiVjfa51RVwWKALkp7s0Z9BL7Q==">AMUW2mUuRvG9lOwRLiFoYKGx5rDPVt7rdD0nJ2j1PdSN+xCCKNzQkpAsi+EWzqMC5w7R00MUZ5ihVtCRWf1npmWzp8Ns4d5VLE5G18sVD7HYDn67dCBiDOYe1BctUkSLXj6rxqkF0ON3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3906</Words>
  <Characters>21487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25343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2022-05-30T05:51:00Z</cp:lastPrinted>
  <dcterms:created xsi:type="dcterms:W3CDTF">2022-05-19T18:23:00Z</dcterms:created>
  <dcterms:modified xsi:type="dcterms:W3CDTF">2022-06-02T18:27:00Z</dcterms:modified>
</cp:coreProperties>
</file>