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w:t>
      </w:r>
      <w:bookmarkStart w:id="0" w:name="_GoBack"/>
      <w:bookmarkEnd w:id="0"/>
      <w:r>
        <w:rPr>
          <w:rFonts w:ascii="Palatino Linotype" w:eastAsia="Palatino Linotype" w:hAnsi="Palatino Linotype" w:cs="Palatino Linotype"/>
        </w:rPr>
        <w:t xml:space="preserve">sparencia, Acceso a la Información Pública y Protección de Datos Personales del Estado de México y Municipios, con domicilio en Metepec, Estado de México; a dieciséis de marzo de dos mil veintidós. </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05834/INFOEM/IP/RR/2021</w:t>
      </w:r>
      <w:r>
        <w:rPr>
          <w:rFonts w:ascii="Palatino Linotype" w:eastAsia="Palatino Linotype" w:hAnsi="Palatino Linotype" w:cs="Palatino Linotype"/>
        </w:rPr>
        <w:t xml:space="preserve">, interpuesto </w:t>
      </w:r>
      <w:r w:rsidR="00065C6F" w:rsidRPr="00065C6F">
        <w:rPr>
          <w:rFonts w:ascii="Palatino Linotype" w:eastAsia="Palatino Linotype" w:hAnsi="Palatino Linotype" w:cs="Palatino Linotype"/>
          <w:b/>
        </w:rPr>
        <w:t>Xxxxxx Xxxxxxxxx Xxxxxxxx</w:t>
      </w:r>
      <w:r w:rsidR="00065C6F">
        <w:rPr>
          <w:rFonts w:ascii="Palatino Linotype" w:eastAsia="Palatino Linotype" w:hAnsi="Palatino Linotype" w:cs="Palatino Linotype"/>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identificado en su calidad de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 la </w:t>
      </w:r>
      <w:r>
        <w:rPr>
          <w:rFonts w:ascii="Palatino Linotype" w:eastAsia="Palatino Linotype" w:hAnsi="Palatino Linotype" w:cs="Palatino Linotype"/>
          <w:b/>
        </w:rPr>
        <w:t xml:space="preserve">Universidad Tecnológica del Sur del Estado de México,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2C169F" w:rsidRDefault="000417EE">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dieciocho de octubre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00020/UTSEM/IP/2021, </w:t>
      </w:r>
      <w:r>
        <w:rPr>
          <w:rFonts w:ascii="Palatino Linotype" w:eastAsia="Palatino Linotype" w:hAnsi="Palatino Linotype" w:cs="Palatino Linotype"/>
        </w:rPr>
        <w:t xml:space="preserve">mediante la cual requirió la información siguiente: </w:t>
      </w:r>
    </w:p>
    <w:p w:rsidR="002C169F" w:rsidRDefault="000417EE">
      <w:pPr>
        <w:spacing w:line="360" w:lineRule="auto"/>
        <w:ind w:left="851" w:right="616"/>
        <w:jc w:val="both"/>
        <w:rPr>
          <w:rFonts w:ascii="Palatino Linotype" w:eastAsia="Palatino Linotype" w:hAnsi="Palatino Linotype" w:cs="Palatino Linotype"/>
          <w:b/>
          <w:i/>
          <w:sz w:val="22"/>
          <w:szCs w:val="22"/>
        </w:rPr>
      </w:pPr>
      <w:bookmarkStart w:id="1" w:name="_heading=h.gjdgxs" w:colFirst="0" w:colLast="0"/>
      <w:bookmarkEnd w:id="1"/>
      <w:r>
        <w:rPr>
          <w:rFonts w:ascii="Palatino Linotype" w:eastAsia="Palatino Linotype" w:hAnsi="Palatino Linotype" w:cs="Palatino Linotype"/>
          <w:i/>
          <w:sz w:val="22"/>
          <w:szCs w:val="22"/>
        </w:rPr>
        <w:t xml:space="preserve">“Con fundamento en el articulo 70 de la Ley General de Transparencia y Acceso a la Información Pública, en el artículo 12 de la Ley de Transparencia y Acceso a la Información Pública del Estado de México y Municipios, se solicitan los documentos oficiales siguientes, sellados y firmados, en forma física y electrónica, de: a) Lista de Contrataciones nuevas y de personal promocionado, plaza asignada y duración o tipo de contratación, esto de los años 2020 y 2021, Así como el desglose de las cláusulas </w:t>
      </w:r>
      <w:r>
        <w:rPr>
          <w:rFonts w:ascii="Palatino Linotype" w:eastAsia="Palatino Linotype" w:hAnsi="Palatino Linotype" w:cs="Palatino Linotype"/>
          <w:i/>
          <w:sz w:val="22"/>
          <w:szCs w:val="22"/>
        </w:rPr>
        <w:lastRenderedPageBreak/>
        <w:t>17 y 18 del CCT que se llevaron acabo al respecto; b) Relación de Personal con Licencia Temporal, fecha de la licencia y duración de licencia, por los años 2020 y 2021; c) La nomina de la primera quincena de Octubre de 2021; y d) Seguimiento y Evidencias al momento de lo que se a hecho por cumplir con la promoción del Personal Académico de Tiempo Completo, según lo acordado y estipulado en la cláusula 99 del CCT. Gracias!!!.” (sic)</w:t>
      </w:r>
    </w:p>
    <w:p w:rsidR="002C169F" w:rsidRDefault="002C169F">
      <w:pPr>
        <w:ind w:right="900"/>
        <w:jc w:val="both"/>
        <w:rPr>
          <w:rFonts w:ascii="Palatino Linotype" w:eastAsia="Palatino Linotype" w:hAnsi="Palatino Linotype" w:cs="Palatino Linotype"/>
        </w:rPr>
      </w:pP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Sistema de Acceso a la Información Mexiquense (SAIMEX).</w:t>
      </w: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2. Prórroga. </w:t>
      </w:r>
      <w:r>
        <w:rPr>
          <w:rFonts w:ascii="Palatino Linotype" w:eastAsia="Palatino Linotype" w:hAnsi="Palatino Linotype" w:cs="Palatino Linotype"/>
        </w:rPr>
        <w:t xml:space="preserve"> El </w:t>
      </w:r>
      <w:r>
        <w:rPr>
          <w:rFonts w:ascii="Palatino Linotype" w:eastAsia="Palatino Linotype" w:hAnsi="Palatino Linotype" w:cs="Palatino Linotype"/>
          <w:b/>
        </w:rPr>
        <w:t>ocho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manifestó:   </w:t>
      </w:r>
    </w:p>
    <w:p w:rsidR="002C169F" w:rsidRDefault="000417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00020/UTSEM/IP/2021, mediante el cual se solicitan los documentos oficiales siguientes, sellados y firmados, en forma física y electrónica, de: a) Lista de Contrataciones nuevas y de personal promocionado, plaza asignada y duración o tipo de contratación, esto de los años 2020 y 2021, Así como el desglose de las cláusulas 17 y 18 del CCT que se llevaron a cabo al respecto; b) Relación de Personal con Licencia Temporal, fecha de la licencia y duración de licencia, por los años 2020 y 2021; c) La nómina de la primera quincena de Octubre de 2021; y d) Seguimiento y Evidencias al momento de lo que se a hecho por cumplir con la promoción del Personal Académico de Tiempo Completo, según lo acordado y estipulado en la cláusula 99 del CC; al respecto se solicita una prórroga para la elaboración de la versión publica de la información solicitada. Con fundamento en los artículos 49, fracción VIII y 163 párrafo segundo de la Ley de Transparencia y Acceso a la Información Pública del Estado de México y Municipios, se autorizó una prórroga por 7 días, la cual ha sido fundada y motivada para realizar la elaboración de la versión pública, por parte del Comité de Transparencia de la Universidad Tecnológica del Sur del Estado de México, bajo número de ACUERDO: UTSEM/35-SE-CT-001/2021 y una vez generada, esta sea presentada ante este mismo Comité, para su validación.” (sic)</w:t>
      </w:r>
    </w:p>
    <w:p w:rsidR="002C169F" w:rsidRDefault="002C169F">
      <w:pPr>
        <w:ind w:right="900"/>
        <w:jc w:val="both"/>
        <w:rPr>
          <w:rFonts w:ascii="Palatino Linotype" w:eastAsia="Palatino Linotype" w:hAnsi="Palatino Linotype" w:cs="Palatino Linotype"/>
          <w:i/>
          <w:sz w:val="22"/>
          <w:szCs w:val="22"/>
        </w:rPr>
      </w:pPr>
    </w:p>
    <w:p w:rsidR="002C169F" w:rsidRDefault="000417E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Asimismo, remitió el archivo electrónico identificado como “</w:t>
      </w:r>
      <w:r>
        <w:rPr>
          <w:rFonts w:ascii="Palatino Linotype" w:eastAsia="Palatino Linotype" w:hAnsi="Palatino Linotype" w:cs="Palatino Linotype"/>
          <w:b/>
          <w:i/>
        </w:rPr>
        <w:t xml:space="preserve">Acta XXXV 03 11 2021.pdf” </w:t>
      </w:r>
      <w:r>
        <w:rPr>
          <w:rFonts w:ascii="Palatino Linotype" w:eastAsia="Palatino Linotype" w:hAnsi="Palatino Linotype" w:cs="Palatino Linotype"/>
        </w:rPr>
        <w:t xml:space="preserve">cuyo contenido se trata del Acta de la Trigésima Quinta Sesión Extraordinaria del Comité de Transparencia de la Universidad Tecnológica del Sur del Estado de México, celebrada el día tres de noviembre del año dos mil veintiuno, en la que se aprobó la prórroga solicitada por el Suplente de la Dirección de Administración y Finanzas ´para generar la versión publica de la documentación solicitada.  </w:t>
      </w:r>
    </w:p>
    <w:p w:rsidR="002C169F" w:rsidRDefault="000417EE">
      <w:pPr>
        <w:spacing w:before="240" w:after="240" w:line="360" w:lineRule="auto"/>
        <w:ind w:right="49"/>
        <w:jc w:val="both"/>
        <w:rPr>
          <w:rFonts w:ascii="Palatino Linotype" w:eastAsia="Palatino Linotype" w:hAnsi="Palatino Linotype" w:cs="Palatino Linotype"/>
          <w:i/>
          <w:sz w:val="22"/>
          <w:szCs w:val="22"/>
        </w:rPr>
      </w:pPr>
      <w:r>
        <w:rPr>
          <w:rFonts w:ascii="Palatino Linotype" w:eastAsia="Palatino Linotype" w:hAnsi="Palatino Linotype" w:cs="Palatino Linotype"/>
          <w:b/>
        </w:rPr>
        <w:t xml:space="preserve">3. Respuesta. </w:t>
      </w:r>
      <w:r>
        <w:rPr>
          <w:rFonts w:ascii="Palatino Linotype" w:eastAsia="Palatino Linotype" w:hAnsi="Palatino Linotype" w:cs="Palatino Linotype"/>
        </w:rPr>
        <w:t xml:space="preserve">El </w:t>
      </w:r>
      <w:r>
        <w:rPr>
          <w:rFonts w:ascii="Palatino Linotype" w:eastAsia="Palatino Linotype" w:hAnsi="Palatino Linotype" w:cs="Palatino Linotype"/>
          <w:b/>
        </w:rPr>
        <w:t>diecinueve de noviembre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a la solicitud de información en los siguientes términos: </w:t>
      </w:r>
    </w:p>
    <w:p w:rsidR="002C169F" w:rsidRDefault="000417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atención a su solicitud 00020/UTSEM/IP/2021, mediante el cual solicita los documentos oficiales siguientes, sellados y firmados, en forma física y electrónica, de: a) Lista de Contrataciones nuevas y de personal promocionado, plaza asignada y duración o tipo de contratación, esto de los años 2020 y 2021, Así como el desglose de las cláusulas 17 y 18 del CCT que se llevaron a cabo al respecto; b) Relación de Personal con Licencia Temporal, fecha de la licencia y duración de licencia, por los años 2020 y 2021; c) La nómina de la primera quincena de Octubre de 2021; y d) Seguimiento y Evidencias al momento de lo que se ha hecho por cumplir con la promoción del Personal Académico de Tiempo Completo, según lo acordado y estipulado en la cláusula 99 del CCT, al respecto y de conformidad con lo establecido por el artículo 47 párrafo sexto 49, fracción VIII y 137 de la Ley de Transparencia y Acceso a la Información Pública del Estado de México y Municipios se aprueba la versión pública de la documentación consistente en la nómina correspondiente a la Primera quincena de octubre de 2021 bajo número de ACUERDO: UTSEM/36-SE-CT-001/2021; y con fundamento en el Art. 12, párrafo segundo de la Ley de Transparencia y Acceso a la Información Pública del Estado de México y Municipios se proporciona la información solicitada..” (sic)</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Pronunciamiento al que adjuntó los archivos electrónicos descritos en el siguiente orden:</w:t>
      </w:r>
    </w:p>
    <w:p w:rsidR="002C169F" w:rsidRDefault="000417EE">
      <w:pPr>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lastRenderedPageBreak/>
        <w:t xml:space="preserve">A)CONTRATACIONES 20-21.pdf: </w:t>
      </w:r>
      <w:r>
        <w:rPr>
          <w:rFonts w:ascii="Palatino Linotype" w:eastAsia="Palatino Linotype" w:hAnsi="Palatino Linotype" w:cs="Palatino Linotype"/>
          <w:color w:val="000000"/>
        </w:rPr>
        <w:t xml:space="preserve">Contiene la lista de contrataciones nuevas y de personal promocionado, correspondientes a los años 2020 y 2021 con un total de diez registros con el nombre, plaza asignada, fecha y tipo de contratación.  </w:t>
      </w:r>
    </w:p>
    <w:p w:rsidR="002C169F" w:rsidRDefault="000417E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A)CLAUSULAS 17 Y 18 CCT.pdf: </w:t>
      </w:r>
      <w:r>
        <w:rPr>
          <w:rFonts w:ascii="Palatino Linotype" w:eastAsia="Palatino Linotype" w:hAnsi="Palatino Linotype" w:cs="Palatino Linotype"/>
          <w:color w:val="000000"/>
        </w:rPr>
        <w:t xml:space="preserve">Integrado por la página 1, 7 y 32 del Contrato Colectivo de Trabajo celebrado entre la Universidad Tecnológica del Sur del Estado de México y el Sindicato denominado Asociación de Servidores Públicos Académicos y Administrativos de la Universidad Tecnológica del Sur del Estado de México. </w:t>
      </w:r>
    </w:p>
    <w:p w:rsidR="002C169F" w:rsidRDefault="000417E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B)LICENCIAS 20-21.pdf: </w:t>
      </w:r>
      <w:r>
        <w:rPr>
          <w:rFonts w:ascii="Palatino Linotype" w:eastAsia="Palatino Linotype" w:hAnsi="Palatino Linotype" w:cs="Palatino Linotype"/>
          <w:color w:val="000000"/>
        </w:rPr>
        <w:t xml:space="preserve">Contiene la relación de personal con licencia temporal correspondiente a los años 2020 y 2021, en la que se observa el nombre del servidor público, fecha y duración. </w:t>
      </w:r>
    </w:p>
    <w:p w:rsidR="002C169F" w:rsidRDefault="000417E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D)Oficio número 514.3.133-2021.pdf: </w:t>
      </w:r>
      <w:r>
        <w:rPr>
          <w:rFonts w:ascii="Palatino Linotype" w:eastAsia="Palatino Linotype" w:hAnsi="Palatino Linotype" w:cs="Palatino Linotype"/>
          <w:color w:val="000000"/>
        </w:rPr>
        <w:t xml:space="preserve">Integrado por ocho páginas en las que se observan diversos oficios relacionados con el trámite y autorización de plazas. </w:t>
      </w:r>
    </w:p>
    <w:p w:rsidR="002C169F" w:rsidRDefault="000417EE">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C)1ER QNA DE OCTUBRE 2021.pdf: </w:t>
      </w:r>
      <w:r>
        <w:rPr>
          <w:rFonts w:ascii="Palatino Linotype" w:eastAsia="Palatino Linotype" w:hAnsi="Palatino Linotype" w:cs="Palatino Linotype"/>
          <w:color w:val="000000"/>
        </w:rPr>
        <w:t xml:space="preserve">Consiste en la versión pública de la nómina correspondiente a la primer quincena de octubre de dos mil veintiuno. </w:t>
      </w:r>
    </w:p>
    <w:p w:rsidR="002C169F" w:rsidRDefault="000417EE">
      <w:pPr>
        <w:numPr>
          <w:ilvl w:val="0"/>
          <w:numId w:val="1"/>
        </w:numPr>
        <w:pBdr>
          <w:top w:val="nil"/>
          <w:left w:val="nil"/>
          <w:bottom w:val="nil"/>
          <w:right w:val="nil"/>
          <w:between w:val="nil"/>
        </w:pBdr>
        <w:spacing w:after="240" w:line="360" w:lineRule="auto"/>
        <w:ind w:right="49"/>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Acta XXXVI - 18 nov 2021 - 16-35.pdf: </w:t>
      </w:r>
      <w:r>
        <w:rPr>
          <w:rFonts w:ascii="Palatino Linotype" w:eastAsia="Palatino Linotype" w:hAnsi="Palatino Linotype" w:cs="Palatino Linotype"/>
          <w:color w:val="000000"/>
        </w:rPr>
        <w:t xml:space="preserve">Se trata del Acta de la Trigésima Sexta Sesión Extraordinaria del Comité de Transparencia de la Universidad Tecnológica del Sur del Estado de México celebrada el día dieciocho de noviembre de dos mil veintiuno que sustenta la versión pública de la nómina correspondiente a la segunda quincena del mes de octubre de dos mil veintiuno. </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lastRenderedPageBreak/>
        <w:t xml:space="preserve">4.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veintitrés de noviembre de dos mil veintiuno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con la respuesta, presentó el recurso de revisión en el que manifestó lo siguiente:</w:t>
      </w:r>
    </w:p>
    <w:p w:rsidR="002C169F" w:rsidRDefault="000417EE">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2C169F" w:rsidRDefault="002C169F">
      <w:pPr>
        <w:spacing w:line="360" w:lineRule="auto"/>
        <w:ind w:left="851" w:right="900"/>
        <w:jc w:val="both"/>
        <w:rPr>
          <w:rFonts w:ascii="Palatino Linotype" w:eastAsia="Palatino Linotype" w:hAnsi="Palatino Linotype" w:cs="Palatino Linotype"/>
          <w:i/>
          <w:sz w:val="2"/>
          <w:szCs w:val="2"/>
        </w:rPr>
      </w:pPr>
    </w:p>
    <w:p w:rsidR="002C169F" w:rsidRDefault="000417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“Con fundamento en el articulo 70 de la Ley General de Transparencia y Acceso a la Información Pública, en el artículo 12 de la Ley de Transparencia y Acceso a la Información Pública del Estado de México y Municipios, se solicitan los documentos oficiales siguientes, sellados y firmados, en forma física y electrónica, de: a) Lista de Contrataciones nuevas y de personal promocionado, plaza asignada y duración o tipo de contratación, esto de los años 2020 y 2021, Así como el desglose de las cláusulas 17 y 18 del CCT que se llevaron acabo al respecto; b) Relación de Personal con Licencia Temporal, fecha de la licencia y duración de licencia, por los años 2020 y 2021; c) La nomina de la primera quincena de Octubre de 2021; y d) Seguimiento y Evidencias al momento de lo que se a hecho por cumplir con la promoción del Personal Académico de Tiempo Completo, según lo acordado y estipulado en la cláusula 99 del CCT." (sic)</w:t>
      </w:r>
    </w:p>
    <w:p w:rsidR="002C169F" w:rsidRDefault="002C169F">
      <w:pPr>
        <w:spacing w:line="360" w:lineRule="auto"/>
        <w:jc w:val="both"/>
        <w:rPr>
          <w:rFonts w:ascii="Palatino Linotype" w:eastAsia="Palatino Linotype" w:hAnsi="Palatino Linotype" w:cs="Palatino Linotype"/>
          <w:sz w:val="2"/>
          <w:szCs w:val="2"/>
        </w:rPr>
      </w:pPr>
    </w:p>
    <w:p w:rsidR="002C169F" w:rsidRDefault="002C169F">
      <w:pPr>
        <w:spacing w:line="360" w:lineRule="auto"/>
        <w:jc w:val="both"/>
        <w:rPr>
          <w:rFonts w:ascii="Palatino Linotype" w:eastAsia="Palatino Linotype" w:hAnsi="Palatino Linotype" w:cs="Palatino Linotype"/>
          <w:sz w:val="2"/>
          <w:szCs w:val="2"/>
        </w:rPr>
      </w:pPr>
    </w:p>
    <w:p w:rsidR="002C169F" w:rsidRDefault="002C169F">
      <w:pPr>
        <w:spacing w:line="360" w:lineRule="auto"/>
        <w:jc w:val="both"/>
        <w:rPr>
          <w:rFonts w:ascii="Palatino Linotype" w:eastAsia="Palatino Linotype" w:hAnsi="Palatino Linotype" w:cs="Palatino Linotype"/>
          <w:sz w:val="2"/>
          <w:szCs w:val="2"/>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Y Razones o motivos de inconformidad</w:t>
      </w:r>
      <w:r>
        <w:rPr>
          <w:rFonts w:ascii="Palatino Linotype" w:eastAsia="Palatino Linotype" w:hAnsi="Palatino Linotype" w:cs="Palatino Linotype"/>
        </w:rPr>
        <w:t>:</w:t>
      </w:r>
    </w:p>
    <w:p w:rsidR="002C169F" w:rsidRDefault="002C169F">
      <w:pPr>
        <w:spacing w:line="360" w:lineRule="auto"/>
        <w:jc w:val="both"/>
        <w:rPr>
          <w:rFonts w:ascii="Palatino Linotype" w:eastAsia="Palatino Linotype" w:hAnsi="Palatino Linotype" w:cs="Palatino Linotype"/>
          <w:sz w:val="2"/>
          <w:szCs w:val="2"/>
        </w:rPr>
      </w:pPr>
    </w:p>
    <w:p w:rsidR="002C169F" w:rsidRDefault="000417EE">
      <w:pPr>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“Derivado de la Solicitud expuesta, la información que se entrega es INCOMPLETA en el inciso a), que dice: (a) Lista de Contrataciones nuevas y de personal promocionado, plaza asignada y duración o tipo de contratación, esto de los años 2020 y 2021, Así como el desglose de las cláusulas 17 y 18 del CCT que se llevaron acabo al respecto), derivado de eso comento: La información solicitada no corresponde a la contestada derivado de que se pide el desglose de las Clausulas del CCT en donde se ESPECIFIQUE y DESARROLLE todo el procedimiento cuando se lleva a cabo una contratación nueva desde: El oficio de requerimiento de vacantes o promociones dirigido al sindicato y la respuesta de este, la convocatoria, evaluaciones, y el dictamen de la comisión paritaria que se crea para la evaluación de personal nuevo.” (sic)</w:t>
      </w:r>
    </w:p>
    <w:p w:rsidR="002C169F" w:rsidRDefault="002C169F">
      <w:pPr>
        <w:ind w:right="900"/>
        <w:jc w:val="both"/>
        <w:rPr>
          <w:rFonts w:ascii="Palatino Linotype" w:eastAsia="Palatino Linotype" w:hAnsi="Palatino Linotype" w:cs="Palatino Linotype"/>
          <w:i/>
          <w:sz w:val="22"/>
          <w:szCs w:val="22"/>
        </w:rPr>
      </w:pP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5.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a efecto de que analizara sobre su admisión o su desechamiento.</w:t>
      </w:r>
    </w:p>
    <w:p w:rsidR="002C169F" w:rsidRDefault="000417E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6.</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veintinueve de noviembre de dos mil veintiuno, </w:t>
      </w:r>
      <w:r>
        <w:rPr>
          <w:rFonts w:ascii="Palatino Linotype" w:eastAsia="Palatino Linotype" w:hAnsi="Palatino Linotype" w:cs="Palatino Linotype"/>
        </w:rPr>
        <w:t>este Instituto de Transparencia, Acceso a la Información Pública y Protección de Datos Personales del Estado de México y Municipios, admitió a trámite el recurso de revisión, dando un plazo máximo de siete días hábiles para que las partes manifestaran lo que a su derecho resultara conveniente, ofrecieran pruebas, formularan alegatos y el Sujeto Obligado presentara su informe justificado.</w:t>
      </w:r>
    </w:p>
    <w:p w:rsidR="002C169F" w:rsidRDefault="000417E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7.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tres</w:t>
      </w:r>
      <w:r>
        <w:rPr>
          <w:rFonts w:ascii="Palatino Linotype" w:eastAsia="Palatino Linotype" w:hAnsi="Palatino Linotype" w:cs="Palatino Linotype"/>
        </w:rPr>
        <w:t xml:space="preserve"> </w:t>
      </w:r>
      <w:r>
        <w:rPr>
          <w:rFonts w:ascii="Palatino Linotype" w:eastAsia="Palatino Linotype" w:hAnsi="Palatino Linotype" w:cs="Palatino Linotype"/>
          <w:b/>
        </w:rPr>
        <w:t>de diciembre de dos mil veintiuno</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y adjuntó los archivos electrónicos siguientes: </w:t>
      </w:r>
    </w:p>
    <w:p w:rsidR="002C169F" w:rsidRDefault="000417EE">
      <w:pPr>
        <w:widowControl w:val="0"/>
        <w:numPr>
          <w:ilvl w:val="0"/>
          <w:numId w:val="1"/>
        </w:numPr>
        <w:pBdr>
          <w:top w:val="nil"/>
          <w:left w:val="nil"/>
          <w:bottom w:val="nil"/>
          <w:right w:val="nil"/>
          <w:between w:val="nil"/>
        </w:pBdr>
        <w:spacing w:before="240" w:line="360" w:lineRule="auto"/>
        <w:ind w:right="49"/>
        <w:jc w:val="both"/>
        <w:rPr>
          <w:rFonts w:ascii="Palatino Linotype" w:eastAsia="Palatino Linotype" w:hAnsi="Palatino Linotype" w:cs="Palatino Linotype"/>
          <w:b/>
          <w:i/>
          <w:color w:val="000000"/>
        </w:rPr>
      </w:pPr>
      <w:r>
        <w:rPr>
          <w:rFonts w:ascii="Palatino Linotype" w:eastAsia="Palatino Linotype" w:hAnsi="Palatino Linotype" w:cs="Palatino Linotype"/>
          <w:b/>
          <w:i/>
          <w:color w:val="000000"/>
        </w:rPr>
        <w:t xml:space="preserve">“oficio envío informe.pdf”:  </w:t>
      </w:r>
      <w:r>
        <w:rPr>
          <w:rFonts w:ascii="Palatino Linotype" w:eastAsia="Palatino Linotype" w:hAnsi="Palatino Linotype" w:cs="Palatino Linotype"/>
          <w:color w:val="000000"/>
        </w:rPr>
        <w:t xml:space="preserve">Oficio número 210C0901000100L/037/2021 de fecha 03 de diciembre de 2021, suscrito y signado por el Subdirectora de Planeación y Evaluación y Titular de la Unidad de Transparencia de la Universidad Tecnológica del Sur del Estado de México, por medio del cual remitió el Informe Justificado. </w:t>
      </w:r>
    </w:p>
    <w:p w:rsidR="002C169F" w:rsidRDefault="000417EE">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i/>
          <w:color w:val="000000"/>
        </w:rPr>
        <w:t>“evidencias recurso de revisión.rar”</w:t>
      </w:r>
      <w:r>
        <w:rPr>
          <w:rFonts w:ascii="Palatino Linotype" w:eastAsia="Palatino Linotype" w:hAnsi="Palatino Linotype" w:cs="Palatino Linotype"/>
          <w:color w:val="000000"/>
        </w:rPr>
        <w:t xml:space="preserve">, Contiene los archivos electrónicos con los documentos entregados en respuesta a la solicitud de información, tal como se aprecia en la captura de pantalla que se inserta </w:t>
      </w:r>
    </w:p>
    <w:p w:rsidR="002C169F" w:rsidRDefault="000417EE">
      <w:pPr>
        <w:widowControl w:val="0"/>
        <w:pBdr>
          <w:top w:val="nil"/>
          <w:left w:val="nil"/>
          <w:bottom w:val="nil"/>
          <w:right w:val="nil"/>
          <w:between w:val="nil"/>
        </w:pBdr>
        <w:spacing w:line="360" w:lineRule="auto"/>
        <w:ind w:left="720" w:right="49"/>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rPr>
        <w:lastRenderedPageBreak/>
        <w:drawing>
          <wp:inline distT="0" distB="0" distL="0" distR="0">
            <wp:extent cx="5058481" cy="2810267"/>
            <wp:effectExtent l="0" t="0" r="0" b="0"/>
            <wp:docPr id="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058481" cy="2810267"/>
                    </a:xfrm>
                    <a:prstGeom prst="rect">
                      <a:avLst/>
                    </a:prstGeom>
                    <a:ln/>
                  </pic:spPr>
                </pic:pic>
              </a:graphicData>
            </a:graphic>
          </wp:inline>
        </w:drawing>
      </w:r>
    </w:p>
    <w:p w:rsidR="002C169F" w:rsidRDefault="000417EE">
      <w:pPr>
        <w:widowControl w:val="0"/>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 xml:space="preserve">“INFORME JUSTIFICADO, PRUEBAS Y ALEGATOS.PDF” </w:t>
      </w:r>
      <w:r>
        <w:rPr>
          <w:rFonts w:ascii="Palatino Linotype" w:eastAsia="Palatino Linotype" w:hAnsi="Palatino Linotype" w:cs="Palatino Linotype"/>
          <w:color w:val="000000"/>
        </w:rPr>
        <w:t xml:space="preserve">Integrado por tres páginas por medio del cual el Servidor Público Habilitado y Suplente del Titular de la Dirección de Administración y Finanzas rindió el informe justificado que, en su parte sustantiva, se observa lo siguiente: </w:t>
      </w:r>
    </w:p>
    <w:p w:rsidR="002C169F" w:rsidRDefault="000417EE">
      <w:pPr>
        <w:widowControl w:val="0"/>
        <w:pBdr>
          <w:top w:val="nil"/>
          <w:left w:val="nil"/>
          <w:bottom w:val="nil"/>
          <w:right w:val="nil"/>
          <w:between w:val="nil"/>
        </w:pBdr>
        <w:spacing w:after="240" w:line="360" w:lineRule="auto"/>
        <w:ind w:left="720" w:right="49"/>
        <w:jc w:val="both"/>
        <w:rPr>
          <w:rFonts w:ascii="Palatino Linotype" w:eastAsia="Palatino Linotype" w:hAnsi="Palatino Linotype" w:cs="Palatino Linotype"/>
          <w:b/>
          <w:color w:val="000000"/>
        </w:rPr>
      </w:pPr>
      <w:r>
        <w:rPr>
          <w:rFonts w:ascii="Palatino Linotype" w:eastAsia="Palatino Linotype" w:hAnsi="Palatino Linotype" w:cs="Palatino Linotype"/>
          <w:b/>
          <w:noProof/>
          <w:color w:val="000000"/>
          <w:lang w:val="es-MX"/>
        </w:rPr>
        <w:drawing>
          <wp:inline distT="0" distB="0" distL="0" distR="0">
            <wp:extent cx="5106118" cy="2819797"/>
            <wp:effectExtent l="0" t="0" r="0" b="0"/>
            <wp:docPr id="2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106118" cy="2819797"/>
                    </a:xfrm>
                    <a:prstGeom prst="rect">
                      <a:avLst/>
                    </a:prstGeom>
                    <a:ln/>
                  </pic:spPr>
                </pic:pic>
              </a:graphicData>
            </a:graphic>
          </wp:inline>
        </w:drawing>
      </w:r>
    </w:p>
    <w:p w:rsidR="002C169F" w:rsidRDefault="000417EE">
      <w:pPr>
        <w:widowControl w:val="0"/>
        <w:spacing w:before="240" w:after="240" w:line="360" w:lineRule="auto"/>
        <w:ind w:left="360" w:right="49"/>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Documentos que mediante acuerdo de fecha siete de diciembre de dos mil veintiuno se pusieron a la vista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quien no realizó manifestaciones, ni formuló alegatos y tampoco ofreció medios de prueba. </w:t>
      </w:r>
    </w:p>
    <w:p w:rsidR="002C169F" w:rsidRDefault="000417EE">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8. Cierre de instrucción. </w:t>
      </w:r>
      <w:r>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Pr>
          <w:rFonts w:ascii="Palatino Linotype" w:eastAsia="Palatino Linotype" w:hAnsi="Palatino Linotype" w:cs="Palatino Linotype"/>
          <w:b/>
        </w:rPr>
        <w:t>catorce de diciembre de dos mil veintiuno</w:t>
      </w:r>
      <w:r>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9. Ampliación del plazo para emitir resolución. </w:t>
      </w:r>
      <w:r>
        <w:rPr>
          <w:rFonts w:ascii="Palatino Linotype" w:eastAsia="Palatino Linotype" w:hAnsi="Palatino Linotype" w:cs="Palatino Linotype"/>
        </w:rPr>
        <w:t xml:space="preserve">El </w:t>
      </w:r>
      <w:r>
        <w:rPr>
          <w:rFonts w:ascii="Palatino Linotype" w:eastAsia="Palatino Linotype" w:hAnsi="Palatino Linotype" w:cs="Palatino Linotype"/>
          <w:b/>
        </w:rPr>
        <w:t>veintisiete de enero de dos mil veintidós</w:t>
      </w:r>
      <w:r>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rsidR="002C169F" w:rsidRDefault="000417EE">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rsidR="002C169F" w:rsidRDefault="000417EE">
      <w:pPr>
        <w:spacing w:before="240" w:after="240" w:line="360" w:lineRule="auto"/>
        <w:jc w:val="both"/>
        <w:rPr>
          <w:rFonts w:ascii="Palatino Linotype" w:eastAsia="Palatino Linotype" w:hAnsi="Palatino Linotype" w:cs="Palatino Linotype"/>
        </w:rPr>
      </w:pPr>
      <w:bookmarkStart w:id="3" w:name="_heading=h.1fob9te" w:colFirst="0" w:colLast="0"/>
      <w:bookmarkEnd w:id="3"/>
      <w:r>
        <w:rPr>
          <w:rFonts w:ascii="Palatino Linotype" w:eastAsia="Palatino Linotype" w:hAnsi="Palatino Linotype" w:cs="Palatino Linotype"/>
          <w:b/>
        </w:rPr>
        <w:t>Segundo. Oportunidad y Procedibilidad del Recurso de Revisión</w:t>
      </w:r>
      <w:r>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toda vez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respondió a la solicitud de información el </w:t>
      </w:r>
      <w:r>
        <w:rPr>
          <w:rFonts w:ascii="Palatino Linotype" w:eastAsia="Palatino Linotype" w:hAnsi="Palatino Linotype" w:cs="Palatino Linotype"/>
          <w:b/>
        </w:rPr>
        <w:t xml:space="preserve">diecinueve de noviembre de dos mil veintiuno, </w:t>
      </w:r>
      <w:r>
        <w:rPr>
          <w:rFonts w:ascii="Palatino Linotype" w:eastAsia="Palatino Linotype" w:hAnsi="Palatino Linotype" w:cs="Palatino Linotype"/>
        </w:rPr>
        <w:t xml:space="preserve">mientras que el recurso de revisión se interpuso el </w:t>
      </w:r>
      <w:r>
        <w:rPr>
          <w:rFonts w:ascii="Palatino Linotype" w:eastAsia="Palatino Linotype" w:hAnsi="Palatino Linotype" w:cs="Palatino Linotype"/>
          <w:b/>
        </w:rPr>
        <w:t>veintitrés de noviembre de dos mil veintiuno</w:t>
      </w:r>
      <w:r>
        <w:rPr>
          <w:rFonts w:ascii="Palatino Linotype" w:eastAsia="Palatino Linotype" w:hAnsi="Palatino Linotype" w:cs="Palatino Linotype"/>
        </w:rPr>
        <w:t>, esto es, el segundo día hábil posterior en que tuvo conocimiento de la respuesta impugnada.</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Finalmente, se advierte que resulta procedente la interposición del recurso, según lo manifestado por el recurrente en sus motivos de inconformidad, de acuerdo al artículo 179, fracciones V y VI del ordenamiento legal citado, que a la letra dice: </w:t>
      </w:r>
    </w:p>
    <w:p w:rsidR="002C169F" w:rsidRDefault="000417EE">
      <w:pPr>
        <w:tabs>
          <w:tab w:val="left" w:pos="7088"/>
        </w:tabs>
        <w:spacing w:before="120" w:after="120"/>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179.</w:t>
      </w:r>
      <w:r>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2C169F" w:rsidRDefault="000417EE">
      <w:pPr>
        <w:tabs>
          <w:tab w:val="left" w:pos="7088"/>
        </w:tabs>
        <w:spacing w:before="120" w:after="120"/>
        <w:ind w:left="993" w:right="616"/>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w:t>
      </w:r>
    </w:p>
    <w:p w:rsidR="002C169F" w:rsidRDefault="000417EE">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La entrega de información incompleta;</w:t>
      </w:r>
    </w:p>
    <w:p w:rsidR="002C169F" w:rsidRDefault="000417EE">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 entrega de información que no corresponde con lo solicitado;</w:t>
      </w:r>
    </w:p>
    <w:p w:rsidR="002C169F" w:rsidRDefault="000417EE">
      <w:pPr>
        <w:tabs>
          <w:tab w:val="left" w:pos="7088"/>
        </w:tabs>
        <w:spacing w:before="120" w:after="120"/>
        <w:ind w:left="993"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w:t>
      </w:r>
    </w:p>
    <w:p w:rsidR="002C169F" w:rsidRDefault="000417E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TERCERO. Materia de la revisión. </w:t>
      </w:r>
      <w:r>
        <w:rPr>
          <w:rFonts w:ascii="Palatino Linotype" w:eastAsia="Palatino Linotype" w:hAnsi="Palatino Linotype" w:cs="Palatino Linotype"/>
        </w:rPr>
        <w:t xml:space="preserve">De las constancias que integran el expediente electrónico se advierte que el tema sobre el que este Instituto se pronunciará será: </w:t>
      </w:r>
      <w:r>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Pr>
          <w:rFonts w:ascii="Palatino Linotype" w:eastAsia="Palatino Linotype" w:hAnsi="Palatino Linotype" w:cs="Palatino Linotype"/>
        </w:rPr>
        <w:t xml:space="preserve">de la </w:t>
      </w:r>
      <w:r>
        <w:rPr>
          <w:rFonts w:ascii="Palatino Linotype" w:eastAsia="Palatino Linotype" w:hAnsi="Palatino Linotype" w:cs="Palatino Linotype"/>
          <w:b/>
        </w:rPr>
        <w:t>RECURRENTE</w:t>
      </w:r>
      <w:r>
        <w:rPr>
          <w:rFonts w:ascii="Palatino Linotype" w:eastAsia="Palatino Linotype" w:hAnsi="Palatino Linotype" w:cs="Palatino Linotype"/>
        </w:rPr>
        <w:t>, o en su defecto, en caso de ser procedente, ordenar la entrega de información.</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Estudio del asunto. </w:t>
      </w:r>
      <w:r>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2C169F" w:rsidRDefault="000417EE">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lastRenderedPageBreak/>
        <w:t>Artículo 1o. En los Estados Unidos Mexicanos todas las personas gozarán de los derechos humanos reconocidos en esta Constitución y en los tratados internacionales de los que el Estado Mexicano sea parte</w:t>
      </w:r>
      <w:r>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2C169F" w:rsidRDefault="000417EE">
      <w:pPr>
        <w:tabs>
          <w:tab w:val="left" w:pos="709"/>
        </w:tabs>
        <w:ind w:left="851" w:right="850"/>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2C169F" w:rsidRDefault="000417EE">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2C169F" w:rsidRDefault="000417EE">
      <w:pPr>
        <w:tabs>
          <w:tab w:val="left" w:pos="709"/>
        </w:tabs>
        <w:ind w:left="851" w:right="85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6o.</w:t>
      </w:r>
    </w:p>
    <w:p w:rsidR="002C169F" w:rsidRDefault="000417EE">
      <w:pPr>
        <w:ind w:left="851" w:right="90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 Para el ejercicio del derecho de acceso a la información, la Federación y </w:t>
      </w:r>
      <w:r>
        <w:rPr>
          <w:rFonts w:ascii="Palatino Linotype" w:eastAsia="Palatino Linotype" w:hAnsi="Palatino Linotype" w:cs="Palatino Linotype"/>
          <w:b/>
          <w:i/>
          <w:sz w:val="22"/>
          <w:szCs w:val="22"/>
          <w:u w:val="single"/>
        </w:rPr>
        <w:t>las entidades federativas</w:t>
      </w:r>
      <w:r>
        <w:rPr>
          <w:rFonts w:ascii="Palatino Linotype" w:eastAsia="Palatino Linotype" w:hAnsi="Palatino Linotype" w:cs="Palatino Linotype"/>
          <w:b/>
          <w:i/>
          <w:sz w:val="22"/>
          <w:szCs w:val="22"/>
        </w:rPr>
        <w:t>,</w:t>
      </w:r>
      <w:r>
        <w:rPr>
          <w:rFonts w:ascii="Palatino Linotype" w:eastAsia="Palatino Linotype" w:hAnsi="Palatino Linotype" w:cs="Palatino Linotype"/>
          <w:i/>
          <w:sz w:val="22"/>
          <w:szCs w:val="22"/>
        </w:rPr>
        <w:t xml:space="preserve"> en el ámbito de sus respectivas competencias, se regirán por los siguientes principios y bases:</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 </w:t>
      </w:r>
      <w:r>
        <w:rPr>
          <w:rFonts w:ascii="Palatino Linotype" w:eastAsia="Palatino Linotype" w:hAnsi="Palatino Linotype" w:cs="Palatino Linotype"/>
          <w:b/>
          <w:i/>
          <w:sz w:val="22"/>
          <w:szCs w:val="22"/>
          <w:u w:val="single"/>
        </w:rPr>
        <w:t>Toda la información en posesión de cualquier autoridad, entidad, órgano y organismo de los Poderes</w:t>
      </w:r>
      <w:r>
        <w:rPr>
          <w:rFonts w:ascii="Palatino Linotype" w:eastAsia="Palatino Linotype" w:hAnsi="Palatino Linotype" w:cs="Palatino Linotype"/>
          <w:i/>
          <w:sz w:val="22"/>
          <w:szCs w:val="22"/>
        </w:rPr>
        <w:t xml:space="preserve"> Ejecutivo, Legislativo </w:t>
      </w:r>
      <w:r>
        <w:rPr>
          <w:rFonts w:ascii="Palatino Linotype" w:eastAsia="Palatino Linotype" w:hAnsi="Palatino Linotype" w:cs="Palatino Linotype"/>
          <w:b/>
          <w:i/>
          <w:sz w:val="22"/>
          <w:szCs w:val="22"/>
          <w:u w:val="single"/>
        </w:rPr>
        <w:t>y Judicial</w:t>
      </w:r>
      <w:r>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Pr>
          <w:rFonts w:ascii="Palatino Linotype" w:eastAsia="Palatino Linotype" w:hAnsi="Palatino Linotype" w:cs="Palatino Linotype"/>
          <w:b/>
          <w:i/>
          <w:sz w:val="22"/>
          <w:szCs w:val="22"/>
        </w:rPr>
        <w:t>es pública y sólo podrá ser reservada temporalmente por razones de interés público y seguridad nacional,</w:t>
      </w:r>
      <w:r>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b/>
          <w:i/>
          <w:sz w:val="22"/>
          <w:szCs w:val="22"/>
        </w:rPr>
      </w:pPr>
      <w:r>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 xml:space="preserve">III. </w:t>
      </w:r>
      <w:r>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Pr>
          <w:rFonts w:ascii="Palatino Linotype" w:eastAsia="Palatino Linotype" w:hAnsi="Palatino Linotype" w:cs="Palatino Linotype"/>
          <w:i/>
          <w:sz w:val="22"/>
          <w:szCs w:val="22"/>
        </w:rPr>
        <w:t xml:space="preserve"> a sus datos personales o a la rectificación de éstos.</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IV. </w:t>
      </w:r>
      <w:r>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2C169F" w:rsidRDefault="002C169F">
      <w:pPr>
        <w:ind w:left="851" w:right="851"/>
        <w:jc w:val="both"/>
        <w:rPr>
          <w:rFonts w:ascii="Palatino Linotype" w:eastAsia="Palatino Linotype" w:hAnsi="Palatino Linotype" w:cs="Palatino Linotype"/>
          <w:i/>
          <w:sz w:val="22"/>
          <w:szCs w:val="22"/>
        </w:rPr>
      </w:pP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 </w:t>
      </w:r>
      <w:r>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 </w:t>
      </w:r>
      <w:r>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VII. </w:t>
      </w:r>
      <w:r>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2C169F" w:rsidRDefault="002C169F">
      <w:pPr>
        <w:ind w:right="851"/>
        <w:jc w:val="both"/>
        <w:rPr>
          <w:rFonts w:ascii="Palatino Linotype" w:eastAsia="Palatino Linotype" w:hAnsi="Palatino Linotype" w:cs="Palatino Linotype"/>
          <w:i/>
          <w:sz w:val="22"/>
          <w:szCs w:val="22"/>
        </w:rPr>
      </w:pP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2C169F" w:rsidRDefault="000417EE">
      <w:pPr>
        <w:spacing w:before="120" w:line="360" w:lineRule="auto"/>
        <w:jc w:val="both"/>
        <w:rPr>
          <w:rFonts w:ascii="Palatino Linotype" w:eastAsia="Palatino Linotype" w:hAnsi="Palatino Linotype" w:cs="Palatino Linotype"/>
        </w:rPr>
      </w:pPr>
      <w:r>
        <w:rPr>
          <w:rFonts w:ascii="Palatino Linotype" w:eastAsia="Palatino Linotype" w:hAnsi="Palatino Linotype" w:cs="Palatino Linotype"/>
          <w:color w:val="000000"/>
        </w:rPr>
        <w:t>En primer lugar</w:t>
      </w:r>
      <w:r>
        <w:rPr>
          <w:rFonts w:ascii="Palatino Linotype" w:eastAsia="Palatino Linotype" w:hAnsi="Palatino Linotype" w:cs="Palatino Linotype"/>
        </w:rPr>
        <w:t xml:space="preserve">, es conveniente analizar si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w:t>
      </w:r>
      <w:r>
        <w:rPr>
          <w:rFonts w:ascii="Palatino Linotype" w:eastAsia="Palatino Linotype" w:hAnsi="Palatino Linotype" w:cs="Palatino Linotype"/>
        </w:rPr>
        <w:lastRenderedPageBreak/>
        <w:t xml:space="preserve">Pública del Estado de México y Municipios en su </w:t>
      </w:r>
      <w:r>
        <w:rPr>
          <w:rFonts w:ascii="Palatino Linotype" w:eastAsia="Palatino Linotype" w:hAnsi="Palatino Linotype" w:cs="Palatino Linotype"/>
          <w:color w:val="000000"/>
        </w:rPr>
        <w:t>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2C169F" w:rsidRDefault="000417EE">
      <w:pPr>
        <w:spacing w:before="240"/>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4.</w:t>
      </w:r>
      <w:r>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2C169F" w:rsidRDefault="000417E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2C169F" w:rsidRDefault="000417EE">
      <w:pPr>
        <w:ind w:left="709" w:right="76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Pr>
          <w:rFonts w:ascii="Palatino Linotype" w:eastAsia="Palatino Linotype" w:hAnsi="Palatino Linotype" w:cs="Palatino Linotype"/>
          <w:i/>
          <w:sz w:val="22"/>
          <w:szCs w:val="22"/>
        </w:rPr>
        <w:t>.”(Sic)</w:t>
      </w:r>
    </w:p>
    <w:p w:rsidR="002C169F" w:rsidRDefault="002C169F">
      <w:pPr>
        <w:ind w:left="709" w:right="760"/>
        <w:jc w:val="both"/>
        <w:rPr>
          <w:rFonts w:ascii="Palatino Linotype" w:eastAsia="Palatino Linotype" w:hAnsi="Palatino Linotype" w:cs="Palatino Linotype"/>
          <w:i/>
        </w:rPr>
      </w:pP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w:t>
      </w:r>
      <w:r>
        <w:rPr>
          <w:rFonts w:ascii="Palatino Linotype" w:eastAsia="Palatino Linotype" w:hAnsi="Palatino Linotype" w:cs="Palatino Linotype"/>
        </w:rPr>
        <w:lastRenderedPageBreak/>
        <w:t>y Acceso a la Información Pública del Estado de México y Municipios, el cual a la letra dice:</w:t>
      </w:r>
    </w:p>
    <w:p w:rsidR="002C169F" w:rsidRDefault="000417E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12.-</w:t>
      </w:r>
      <w:r>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2C169F" w:rsidRDefault="000417EE">
      <w:pPr>
        <w:ind w:left="567" w:right="758"/>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rsidR="002C169F" w:rsidRDefault="002C169F">
      <w:pPr>
        <w:spacing w:line="360" w:lineRule="auto"/>
        <w:ind w:right="-93"/>
        <w:jc w:val="both"/>
        <w:rPr>
          <w:rFonts w:ascii="Palatino Linotype" w:eastAsia="Palatino Linotype" w:hAnsi="Palatino Linotype" w:cs="Palatino Linotype"/>
          <w:color w:val="000000"/>
        </w:rPr>
      </w:pPr>
    </w:p>
    <w:p w:rsidR="002C169F" w:rsidRDefault="000417EE">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En esa tesitura, el artículo 24 en su último párrafo de la Ley de la Materia, dispone que los Sujetos Obligados </w:t>
      </w:r>
      <w:r>
        <w:rPr>
          <w:rFonts w:ascii="Palatino Linotype" w:eastAsia="Palatino Linotype" w:hAnsi="Palatino Linotype" w:cs="Palatino Linotype"/>
          <w:color w:val="000000"/>
        </w:rPr>
        <w:t xml:space="preserve">sólo proporcionarán la información pública que </w:t>
      </w:r>
      <w:r>
        <w:rPr>
          <w:rFonts w:ascii="Palatino Linotype" w:eastAsia="Palatino Linotype" w:hAnsi="Palatino Linotype" w:cs="Palatino Linotype"/>
        </w:rPr>
        <w:t>generen</w:t>
      </w:r>
      <w:r>
        <w:rPr>
          <w:rFonts w:ascii="Palatino Linotype" w:eastAsia="Palatino Linotype" w:hAnsi="Palatino Linotype" w:cs="Palatino Linotype"/>
          <w:color w:val="000000"/>
        </w:rPr>
        <w:t>,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rsidR="002C169F" w:rsidRDefault="002C169F">
      <w:pPr>
        <w:spacing w:line="360" w:lineRule="auto"/>
        <w:jc w:val="both"/>
        <w:rPr>
          <w:rFonts w:ascii="Palatino Linotype" w:eastAsia="Palatino Linotype" w:hAnsi="Palatino Linotype" w:cs="Palatino Linotype"/>
          <w:color w:val="000000"/>
        </w:rPr>
      </w:pPr>
    </w:p>
    <w:p w:rsidR="002C169F" w:rsidRDefault="000417EE">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2C169F" w:rsidRDefault="002C169F">
      <w:pPr>
        <w:spacing w:line="360" w:lineRule="auto"/>
        <w:ind w:right="49"/>
        <w:jc w:val="both"/>
        <w:rPr>
          <w:rFonts w:ascii="Palatino Linotype" w:eastAsia="Palatino Linotype" w:hAnsi="Palatino Linotype" w:cs="Palatino Linotype"/>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otra parte, conviene mencionar que la Ley de Transparencia vigente en el Estado de México refiere: </w:t>
      </w: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Pr>
          <w:rFonts w:ascii="Palatino Linotype" w:eastAsia="Palatino Linotype" w:hAnsi="Palatino Linotype" w:cs="Palatino Linotype"/>
          <w:i/>
          <w:sz w:val="22"/>
          <w:szCs w:val="22"/>
        </w:rPr>
        <w:t xml:space="preserve"> y reutilización de la información que generen.</w:t>
      </w:r>
    </w:p>
    <w:p w:rsidR="002C169F" w:rsidRDefault="002C169F">
      <w:pPr>
        <w:ind w:left="851" w:right="851"/>
        <w:jc w:val="both"/>
        <w:rPr>
          <w:rFonts w:ascii="Palatino Linotype" w:eastAsia="Palatino Linotype" w:hAnsi="Palatino Linotype" w:cs="Palatino Linotype"/>
          <w:b/>
          <w:i/>
          <w:sz w:val="22"/>
          <w:szCs w:val="22"/>
        </w:rPr>
      </w:pP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xml:space="preserve">Artículo 19. </w:t>
      </w:r>
      <w:r>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Pr>
          <w:rFonts w:ascii="Palatino Linotype" w:eastAsia="Palatino Linotype" w:hAnsi="Palatino Linotype" w:cs="Palatino Linotype"/>
          <w:i/>
          <w:sz w:val="22"/>
          <w:szCs w:val="22"/>
        </w:rPr>
        <w:t>.</w:t>
      </w:r>
    </w:p>
    <w:p w:rsidR="002C169F" w:rsidRDefault="002C169F">
      <w:pPr>
        <w:ind w:left="851" w:right="851"/>
        <w:jc w:val="both"/>
        <w:rPr>
          <w:rFonts w:ascii="Palatino Linotype" w:eastAsia="Palatino Linotype" w:hAnsi="Palatino Linotype" w:cs="Palatino Linotype"/>
          <w:i/>
          <w:sz w:val="22"/>
          <w:szCs w:val="22"/>
        </w:rPr>
      </w:pP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2C169F" w:rsidRDefault="002C169F">
      <w:pPr>
        <w:ind w:left="851" w:right="851"/>
        <w:jc w:val="both"/>
        <w:rPr>
          <w:rFonts w:ascii="Palatino Linotype" w:eastAsia="Palatino Linotype" w:hAnsi="Palatino Linotype" w:cs="Palatino Linotype"/>
          <w:i/>
          <w:sz w:val="22"/>
          <w:szCs w:val="22"/>
        </w:rPr>
      </w:pP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2C169F" w:rsidRDefault="002C169F">
      <w:pPr>
        <w:ind w:left="851" w:right="851"/>
        <w:jc w:val="both"/>
        <w:rPr>
          <w:rFonts w:ascii="Palatino Linotype" w:eastAsia="Palatino Linotype" w:hAnsi="Palatino Linotype" w:cs="Palatino Linotype"/>
          <w:i/>
          <w:sz w:val="22"/>
          <w:szCs w:val="22"/>
        </w:rPr>
      </w:pPr>
    </w:p>
    <w:p w:rsidR="002C169F" w:rsidRDefault="000417EE">
      <w:pPr>
        <w:ind w:left="851" w:right="851"/>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Énfasis añadido.</w:t>
      </w:r>
    </w:p>
    <w:p w:rsidR="002C169F" w:rsidRDefault="002C169F">
      <w:pPr>
        <w:spacing w:line="360" w:lineRule="auto"/>
        <w:jc w:val="both"/>
        <w:rPr>
          <w:rFonts w:ascii="Palatino Linotype" w:eastAsia="Palatino Linotype" w:hAnsi="Palatino Linotype" w:cs="Palatino Linotype"/>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2C169F" w:rsidRDefault="002C169F">
      <w:pPr>
        <w:spacing w:line="360" w:lineRule="auto"/>
        <w:jc w:val="both"/>
        <w:rPr>
          <w:rFonts w:ascii="Palatino Linotype" w:eastAsia="Palatino Linotype" w:hAnsi="Palatino Linotype" w:cs="Palatino Linotype"/>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2C169F" w:rsidRDefault="002C169F">
      <w:pPr>
        <w:ind w:left="851" w:right="899"/>
        <w:jc w:val="both"/>
        <w:rPr>
          <w:rFonts w:ascii="Palatino Linotype" w:eastAsia="Palatino Linotype" w:hAnsi="Palatino Linotype" w:cs="Palatino Linotype"/>
          <w:i/>
          <w:sz w:val="22"/>
          <w:szCs w:val="22"/>
        </w:rPr>
      </w:pP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 xml:space="preserve">Artículo 3. </w:t>
      </w:r>
      <w:r>
        <w:rPr>
          <w:rFonts w:ascii="Palatino Linotype" w:eastAsia="Palatino Linotype" w:hAnsi="Palatino Linotype" w:cs="Palatino Linotype"/>
          <w:i/>
          <w:sz w:val="22"/>
          <w:szCs w:val="22"/>
        </w:rPr>
        <w:t>Para los efectos de la presente Ley se entenderá por:</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ind w:left="851" w:right="899"/>
        <w:jc w:val="both"/>
        <w:rPr>
          <w:rFonts w:ascii="Palatino Linotype" w:eastAsia="Palatino Linotype" w:hAnsi="Palatino Linotype" w:cs="Palatino Linotype"/>
          <w:i/>
          <w:color w:val="000000"/>
          <w:sz w:val="22"/>
          <w:szCs w:val="22"/>
        </w:rPr>
      </w:pPr>
      <w:r>
        <w:rPr>
          <w:rFonts w:ascii="Palatino Linotype" w:eastAsia="Palatino Linotype" w:hAnsi="Palatino Linotype" w:cs="Palatino Linotype"/>
          <w:b/>
          <w:i/>
          <w:color w:val="000000"/>
          <w:sz w:val="22"/>
          <w:szCs w:val="22"/>
        </w:rPr>
        <w:t>XI. Documento:</w:t>
      </w:r>
      <w:r>
        <w:rPr>
          <w:rFonts w:ascii="Palatino Linotype" w:eastAsia="Palatino Linotype" w:hAnsi="Palatino Linotype" w:cs="Palatino Linotype"/>
          <w:i/>
          <w:color w:val="000000"/>
          <w:sz w:val="22"/>
          <w:szCs w:val="22"/>
        </w:rPr>
        <w:t xml:space="preserve"> Los expedientes, reportes, estudios, actas</w:t>
      </w: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2C169F" w:rsidRDefault="002C169F">
      <w:pPr>
        <w:ind w:left="851" w:right="899"/>
        <w:jc w:val="both"/>
        <w:rPr>
          <w:rFonts w:ascii="Palatino Linotype" w:eastAsia="Palatino Linotype" w:hAnsi="Palatino Linotype" w:cs="Palatino Linotype"/>
          <w:sz w:val="22"/>
          <w:szCs w:val="22"/>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2C169F" w:rsidRDefault="002C169F">
      <w:pPr>
        <w:ind w:left="851" w:right="899"/>
        <w:jc w:val="both"/>
        <w:rPr>
          <w:rFonts w:ascii="Palatino Linotype" w:eastAsia="Palatino Linotype" w:hAnsi="Palatino Linotype" w:cs="Palatino Linotype"/>
        </w:rPr>
      </w:pPr>
    </w:p>
    <w:p w:rsidR="002C169F" w:rsidRDefault="000417EE">
      <w:pPr>
        <w:ind w:left="851" w:right="899"/>
        <w:jc w:val="both"/>
        <w:rPr>
          <w:rFonts w:ascii="Palatino Linotype" w:eastAsia="Palatino Linotype" w:hAnsi="Palatino Linotype" w:cs="Palatino Linotype"/>
          <w:b/>
          <w:i/>
          <w:sz w:val="22"/>
          <w:szCs w:val="22"/>
        </w:rPr>
      </w:pPr>
      <w:r>
        <w:rPr>
          <w:rFonts w:ascii="Palatino Linotype" w:eastAsia="Palatino Linotype" w:hAnsi="Palatino Linotype" w:cs="Palatino Linotype"/>
          <w:b/>
          <w:sz w:val="22"/>
          <w:szCs w:val="22"/>
        </w:rPr>
        <w:t>“</w:t>
      </w:r>
      <w:r>
        <w:rPr>
          <w:rFonts w:ascii="Palatino Linotype" w:eastAsia="Palatino Linotype" w:hAnsi="Palatino Linotype" w:cs="Palatino Linotype"/>
          <w:b/>
          <w:i/>
          <w:sz w:val="22"/>
          <w:szCs w:val="22"/>
        </w:rPr>
        <w:t>CRITERIO 0002-11</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INFORMACIÓN PÚBLICA, CONCEPTO DE, EN MATERIA DE TRANSPARENCIA. INTERPRETACIÓN SISTEMÁTICA DE LOS ARTÍCULOS 2°, FRACCIÓN V, XV, Y XVI, 3°, 4°, 11 Y 41.</w:t>
      </w:r>
      <w:r>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consecuencia el acceso a la información se refiere a que se cumplan cualquiera de los siguientes tres supuestos:</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rsidR="002C169F" w:rsidRDefault="000417EE">
      <w:pPr>
        <w:ind w:left="851" w:right="899"/>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rsidR="002C169F" w:rsidRDefault="000417E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ahí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Pr>
          <w:rFonts w:ascii="Palatino Linotype" w:eastAsia="Palatino Linotype" w:hAnsi="Palatino Linotype" w:cs="Palatino Linotype"/>
          <w:vertAlign w:val="superscript"/>
        </w:rPr>
        <w:footnoteReference w:id="1"/>
      </w:r>
      <w:r>
        <w:rPr>
          <w:rFonts w:ascii="Palatino Linotype" w:eastAsia="Palatino Linotype" w:hAnsi="Palatino Linotype" w:cs="Palatino Linotype"/>
        </w:rPr>
        <w:t xml:space="preserve">, así como de interés público, es decir, aquella que resulta relevante o beneficiosa para la sociedad y no simplemente de interés individual, y cuya divulgación resulta útil para que el público comprenda las </w:t>
      </w:r>
      <w:r>
        <w:rPr>
          <w:rFonts w:ascii="Palatino Linotype" w:eastAsia="Palatino Linotype" w:hAnsi="Palatino Linotype" w:cs="Palatino Linotype"/>
        </w:rPr>
        <w:lastRenderedPageBreak/>
        <w:t>actividades que llevan a cabo los Sujetos Obligados</w:t>
      </w:r>
      <w:r>
        <w:rPr>
          <w:rFonts w:ascii="Palatino Linotype" w:eastAsia="Palatino Linotype" w:hAnsi="Palatino Linotype" w:cs="Palatino Linotype"/>
          <w:vertAlign w:val="superscript"/>
        </w:rPr>
        <w:footnoteReference w:id="2"/>
      </w:r>
      <w:r>
        <w:rPr>
          <w:rFonts w:ascii="Palatino Linotype" w:eastAsia="Palatino Linotype" w:hAnsi="Palatino Linotype" w:cs="Palatino Linotype"/>
        </w:rPr>
        <w:t>, como pudiera tratarse de aquella relacionada con las obligaciones de trasparencia señaladas en los artículos 92 y 100 de la Ley de la Materia.</w:t>
      </w:r>
    </w:p>
    <w:p w:rsidR="002C169F" w:rsidRDefault="000417EE">
      <w:pPr>
        <w:pBdr>
          <w:top w:val="nil"/>
          <w:left w:val="nil"/>
          <w:bottom w:val="nil"/>
          <w:right w:val="nil"/>
          <w:between w:val="nil"/>
        </w:pBdr>
        <w:tabs>
          <w:tab w:val="left" w:pos="426"/>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Bajo ese contexto, el Pleno de este Instituto considera necesario mencionar que, por cuestiones de técnica jurídica, así como para determinar si la respuesta emitida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atendi</w:t>
      </w:r>
      <w:r>
        <w:rPr>
          <w:rFonts w:ascii="Palatino Linotype" w:eastAsia="Palatino Linotype" w:hAnsi="Palatino Linotype" w:cs="Palatino Linotype"/>
        </w:rPr>
        <w:t>ó</w:t>
      </w:r>
      <w:r>
        <w:rPr>
          <w:rFonts w:ascii="Palatino Linotype" w:eastAsia="Palatino Linotype" w:hAnsi="Palatino Linotype" w:cs="Palatino Linotype"/>
          <w:color w:val="000000"/>
        </w:rPr>
        <w:t xml:space="preserve"> de manera puntual a todos y cada uno de los requerimientos formulados por </w:t>
      </w:r>
      <w:r>
        <w:rPr>
          <w:rFonts w:ascii="Palatino Linotype" w:eastAsia="Palatino Linotype" w:hAnsi="Palatino Linotype" w:cs="Palatino Linotype"/>
        </w:rPr>
        <w:t xml:space="preserve">el </w:t>
      </w:r>
      <w:r>
        <w:rPr>
          <w:rFonts w:ascii="Palatino Linotype" w:eastAsia="Palatino Linotype" w:hAnsi="Palatino Linotype" w:cs="Palatino Linotype"/>
          <w:color w:val="000000"/>
        </w:rPr>
        <w:t xml:space="preserve"> hoy recurrente, se considera pertinente elaborar un cuadro de análisis, mismo que se inserta a continuación.</w:t>
      </w:r>
    </w:p>
    <w:tbl>
      <w:tblPr>
        <w:tblStyle w:val="a"/>
        <w:tblW w:w="8880"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50"/>
        <w:gridCol w:w="6330"/>
      </w:tblGrid>
      <w:tr w:rsidR="002C169F">
        <w:tc>
          <w:tcPr>
            <w:tcW w:w="2550" w:type="dxa"/>
            <w:shd w:val="clear" w:color="auto" w:fill="BFBFBF"/>
          </w:tcPr>
          <w:p w:rsidR="002C169F" w:rsidRDefault="000417EE">
            <w:pPr>
              <w:ind w:firstLine="114"/>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Información requerida.</w:t>
            </w:r>
          </w:p>
        </w:tc>
        <w:tc>
          <w:tcPr>
            <w:tcW w:w="6330" w:type="dxa"/>
            <w:shd w:val="clear" w:color="auto" w:fill="BFBFBF"/>
          </w:tcPr>
          <w:p w:rsidR="002C169F" w:rsidRDefault="000417EE">
            <w:pPr>
              <w:ind w:firstLine="114"/>
              <w:jc w:val="center"/>
              <w:rPr>
                <w:rFonts w:ascii="Palatino Linotype" w:eastAsia="Palatino Linotype" w:hAnsi="Palatino Linotype" w:cs="Palatino Linotype"/>
                <w:b/>
                <w:i/>
                <w:sz w:val="20"/>
                <w:szCs w:val="20"/>
              </w:rPr>
            </w:pPr>
            <w:r>
              <w:rPr>
                <w:rFonts w:ascii="Palatino Linotype" w:eastAsia="Palatino Linotype" w:hAnsi="Palatino Linotype" w:cs="Palatino Linotype"/>
                <w:b/>
                <w:i/>
                <w:sz w:val="20"/>
                <w:szCs w:val="20"/>
              </w:rPr>
              <w:t>Respuesta</w:t>
            </w:r>
          </w:p>
        </w:tc>
      </w:tr>
      <w:tr w:rsidR="002C169F">
        <w:tc>
          <w:tcPr>
            <w:tcW w:w="2550" w:type="dxa"/>
          </w:tcPr>
          <w:p w:rsidR="002C169F" w:rsidRDefault="000417EE">
            <w:pPr>
              <w:numPr>
                <w:ilvl w:val="0"/>
                <w:numId w:val="2"/>
              </w:numPr>
              <w:pBdr>
                <w:top w:val="nil"/>
                <w:left w:val="nil"/>
                <w:bottom w:val="nil"/>
                <w:right w:val="nil"/>
                <w:between w:val="nil"/>
              </w:pBdr>
              <w:ind w:left="313" w:hanging="313"/>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Lista de Contrataciones nuevas y de personal proporcionado, plaza asignada y duración o tipo de contratación; así como el desglose de las cláusulas 17 y 18 del Contrato Colectivo de Trabajo que se llevaron a cabo al respecto;</w:t>
            </w:r>
          </w:p>
        </w:tc>
        <w:tc>
          <w:tcPr>
            <w:tcW w:w="6330" w:type="dxa"/>
          </w:tcPr>
          <w:p w:rsidR="002C169F" w:rsidRDefault="000417EE">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w:drawing>
                <wp:inline distT="0" distB="0" distL="0" distR="0">
                  <wp:extent cx="4351633" cy="3856263"/>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4351633" cy="3856263"/>
                          </a:xfrm>
                          <a:prstGeom prst="rect">
                            <a:avLst/>
                          </a:prstGeom>
                          <a:ln/>
                        </pic:spPr>
                      </pic:pic>
                    </a:graphicData>
                  </a:graphic>
                </wp:inline>
              </w:drawing>
            </w:r>
          </w:p>
          <w:p w:rsidR="002C169F" w:rsidRDefault="002C169F">
            <w:pPr>
              <w:jc w:val="both"/>
              <w:rPr>
                <w:rFonts w:ascii="Palatino Linotype" w:eastAsia="Palatino Linotype" w:hAnsi="Palatino Linotype" w:cs="Palatino Linotype"/>
                <w:sz w:val="20"/>
                <w:szCs w:val="20"/>
              </w:rPr>
            </w:pPr>
          </w:p>
          <w:p w:rsidR="002C169F" w:rsidRDefault="000417EE">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w:lastRenderedPageBreak/>
              <w:drawing>
                <wp:inline distT="0" distB="0" distL="0" distR="0">
                  <wp:extent cx="4404937" cy="3410520"/>
                  <wp:effectExtent l="0" t="0" r="0" b="0"/>
                  <wp:docPr id="2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4404937" cy="3410520"/>
                          </a:xfrm>
                          <a:prstGeom prst="rect">
                            <a:avLst/>
                          </a:prstGeom>
                          <a:ln/>
                        </pic:spPr>
                      </pic:pic>
                    </a:graphicData>
                  </a:graphic>
                </wp:inline>
              </w:drawing>
            </w:r>
          </w:p>
        </w:tc>
      </w:tr>
      <w:tr w:rsidR="002C169F">
        <w:tc>
          <w:tcPr>
            <w:tcW w:w="2550" w:type="dxa"/>
          </w:tcPr>
          <w:p w:rsidR="002C169F" w:rsidRDefault="000417EE">
            <w:pPr>
              <w:numPr>
                <w:ilvl w:val="0"/>
                <w:numId w:val="2"/>
              </w:numPr>
              <w:pBdr>
                <w:top w:val="nil"/>
                <w:left w:val="nil"/>
                <w:bottom w:val="nil"/>
                <w:right w:val="nil"/>
                <w:between w:val="nil"/>
              </w:pBdr>
              <w:ind w:left="313" w:hanging="313"/>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Relación de personal con licencia temporal, fecha de la licencia y duración de la licencia de los años 2020 y 2021;</w:t>
            </w:r>
          </w:p>
        </w:tc>
        <w:tc>
          <w:tcPr>
            <w:tcW w:w="6330" w:type="dxa"/>
          </w:tcPr>
          <w:p w:rsidR="002C169F" w:rsidRDefault="000417EE">
            <w:pPr>
              <w:jc w:val="both"/>
              <w:rPr>
                <w:rFonts w:ascii="Palatino Linotype" w:eastAsia="Palatino Linotype" w:hAnsi="Palatino Linotype" w:cs="Palatino Linotype"/>
                <w:sz w:val="20"/>
                <w:szCs w:val="20"/>
              </w:rPr>
            </w:pPr>
            <w:r>
              <w:rPr>
                <w:rFonts w:ascii="Palatino Linotype" w:eastAsia="Palatino Linotype" w:hAnsi="Palatino Linotype" w:cs="Palatino Linotype"/>
                <w:noProof/>
                <w:sz w:val="20"/>
                <w:szCs w:val="20"/>
                <w:lang w:val="es-MX"/>
              </w:rPr>
              <w:drawing>
                <wp:inline distT="0" distB="0" distL="0" distR="0">
                  <wp:extent cx="4467860" cy="3512820"/>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4467860" cy="3512820"/>
                          </a:xfrm>
                          <a:prstGeom prst="rect">
                            <a:avLst/>
                          </a:prstGeom>
                          <a:ln/>
                        </pic:spPr>
                      </pic:pic>
                    </a:graphicData>
                  </a:graphic>
                </wp:inline>
              </w:drawing>
            </w:r>
          </w:p>
        </w:tc>
      </w:tr>
      <w:tr w:rsidR="002C169F">
        <w:tc>
          <w:tcPr>
            <w:tcW w:w="2550" w:type="dxa"/>
          </w:tcPr>
          <w:p w:rsidR="002C169F" w:rsidRDefault="000417EE">
            <w:pPr>
              <w:numPr>
                <w:ilvl w:val="0"/>
                <w:numId w:val="2"/>
              </w:numPr>
              <w:pBdr>
                <w:top w:val="nil"/>
                <w:left w:val="nil"/>
                <w:bottom w:val="nil"/>
                <w:right w:val="nil"/>
                <w:between w:val="nil"/>
              </w:pBdr>
              <w:ind w:left="313" w:hanging="313"/>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lastRenderedPageBreak/>
              <w:t>La nómina de la primera quincena de octubre de 2021</w:t>
            </w:r>
          </w:p>
        </w:tc>
        <w:tc>
          <w:tcPr>
            <w:tcW w:w="6330" w:type="dxa"/>
          </w:tcPr>
          <w:p w:rsidR="002C169F" w:rsidRDefault="000417EE">
            <w:pPr>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4467860" cy="1268730"/>
                  <wp:effectExtent l="0" t="0" r="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467860" cy="1268730"/>
                          </a:xfrm>
                          <a:prstGeom prst="rect">
                            <a:avLst/>
                          </a:prstGeom>
                          <a:ln/>
                        </pic:spPr>
                      </pic:pic>
                    </a:graphicData>
                  </a:graphic>
                </wp:inline>
              </w:drawing>
            </w:r>
          </w:p>
        </w:tc>
      </w:tr>
      <w:tr w:rsidR="002C169F">
        <w:tc>
          <w:tcPr>
            <w:tcW w:w="2550" w:type="dxa"/>
          </w:tcPr>
          <w:p w:rsidR="002C169F" w:rsidRDefault="000417EE">
            <w:pPr>
              <w:numPr>
                <w:ilvl w:val="0"/>
                <w:numId w:val="2"/>
              </w:numPr>
              <w:pBdr>
                <w:top w:val="nil"/>
                <w:left w:val="nil"/>
                <w:bottom w:val="nil"/>
                <w:right w:val="nil"/>
                <w:between w:val="nil"/>
              </w:pBdr>
              <w:ind w:left="313" w:hanging="313"/>
              <w:jc w:val="both"/>
              <w:rPr>
                <w:rFonts w:ascii="Palatino Linotype" w:eastAsia="Palatino Linotype" w:hAnsi="Palatino Linotype" w:cs="Palatino Linotype"/>
                <w:i/>
                <w:color w:val="000000"/>
                <w:sz w:val="20"/>
                <w:szCs w:val="20"/>
              </w:rPr>
            </w:pPr>
            <w:r>
              <w:rPr>
                <w:rFonts w:ascii="Palatino Linotype" w:eastAsia="Palatino Linotype" w:hAnsi="Palatino Linotype" w:cs="Palatino Linotype"/>
                <w:i/>
                <w:color w:val="000000"/>
                <w:sz w:val="20"/>
                <w:szCs w:val="20"/>
              </w:rPr>
              <w:t xml:space="preserve">Seguimiento y Evidencias al momento de lo que se a hecho por cumplir con la promoción del Personal Académico de Tiempo Completo </w:t>
            </w:r>
          </w:p>
        </w:tc>
        <w:tc>
          <w:tcPr>
            <w:tcW w:w="6330" w:type="dxa"/>
          </w:tcPr>
          <w:p w:rsidR="002C169F" w:rsidRDefault="000417EE">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Entregó el archivo electrónico identificado como </w:t>
            </w:r>
            <w:r>
              <w:rPr>
                <w:rFonts w:ascii="Palatino Linotype" w:eastAsia="Palatino Linotype" w:hAnsi="Palatino Linotype" w:cs="Palatino Linotype"/>
                <w:b/>
                <w:i/>
              </w:rPr>
              <w:t xml:space="preserve">Oficio número 514.3.133-2021.pd </w:t>
            </w:r>
            <w:r>
              <w:rPr>
                <w:rFonts w:ascii="Palatino Linotype" w:eastAsia="Palatino Linotype" w:hAnsi="Palatino Linotype" w:cs="Palatino Linotype"/>
              </w:rPr>
              <w:t xml:space="preserve">integrado por ocho páginas en las que se observan diversos oficios relacionados con el trámite y autorización de plazas. </w:t>
            </w:r>
          </w:p>
        </w:tc>
      </w:tr>
    </w:tbl>
    <w:p w:rsidR="002C169F" w:rsidRDefault="002C169F">
      <w:pPr>
        <w:spacing w:before="240" w:after="240" w:line="360" w:lineRule="auto"/>
        <w:ind w:right="48"/>
        <w:jc w:val="both"/>
        <w:rPr>
          <w:rFonts w:ascii="Palatino Linotype" w:eastAsia="Palatino Linotype" w:hAnsi="Palatino Linotype" w:cs="Palatino Linotype"/>
        </w:rPr>
      </w:pPr>
    </w:p>
    <w:p w:rsidR="002C169F" w:rsidRDefault="000417EE">
      <w:pPr>
        <w:spacing w:before="240" w:after="240" w:line="360" w:lineRule="auto"/>
        <w:ind w:right="48"/>
        <w:jc w:val="both"/>
        <w:rPr>
          <w:rFonts w:ascii="Palatino Linotype" w:eastAsia="Palatino Linotype" w:hAnsi="Palatino Linotype" w:cs="Palatino Linotype"/>
          <w:i/>
        </w:rPr>
      </w:pPr>
      <w:r>
        <w:rPr>
          <w:rFonts w:ascii="Palatino Linotype" w:eastAsia="Palatino Linotype" w:hAnsi="Palatino Linotype" w:cs="Palatino Linotype"/>
        </w:rPr>
        <w:t xml:space="preserve">Es de señalar que una vez notificada la respuesta y posterior a su análisis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manifestó inconformidad respecto a la respuesta otorgada por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 al  inciso a) referente a: “</w:t>
      </w:r>
      <w:r>
        <w:rPr>
          <w:rFonts w:ascii="Palatino Linotype" w:eastAsia="Palatino Linotype" w:hAnsi="Palatino Linotype" w:cs="Palatino Linotype"/>
          <w:i/>
          <w:sz w:val="20"/>
          <w:szCs w:val="20"/>
        </w:rPr>
        <w:t>d</w:t>
      </w:r>
      <w:r>
        <w:rPr>
          <w:rFonts w:ascii="Palatino Linotype" w:eastAsia="Palatino Linotype" w:hAnsi="Palatino Linotype" w:cs="Palatino Linotype"/>
          <w:i/>
        </w:rPr>
        <w:t>esglose de las cláusulas 17 y 18 del Contrato Colectivo de Trabajo que se llevaron a cabo al respecto.”</w:t>
      </w:r>
    </w:p>
    <w:p w:rsidR="002C169F" w:rsidRDefault="000417E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Derivado de lo anterior, resulta importante precisar que en relación a los motivos de inconformidad,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no se inconforma por la respuesta a la totalidad de los puntos que conforman su solicitud de información, en ese sentido debe señalarse que el análisis del presente recurso no versará sobre la información sobre la que no se expresó agravio alguno; lo anterior es así, debido a que cuando la parte recurrente impugna la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y no expresa razón o motivo de inconformidad en contra de todos los rubros de la respuesta que pudieran ser un agravio a su derecho, los mismos deben estimarse atendidos. Sirve de apoyo </w:t>
      </w:r>
      <w:r>
        <w:rPr>
          <w:rFonts w:ascii="Palatino Linotype" w:eastAsia="Palatino Linotype" w:hAnsi="Palatino Linotype" w:cs="Palatino Linotype"/>
        </w:rPr>
        <w:lastRenderedPageBreak/>
        <w:t>a lo anterior, por analogía, la Tesis Jurisprudencial Número 3ª./J.7/91, publicada en el Semanario Judicial de la Federación y su Gaceta bajo el número de registro 174,177, que establece lo siguiente:</w:t>
      </w:r>
    </w:p>
    <w:p w:rsidR="002C169F" w:rsidRDefault="000417EE">
      <w:pPr>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sz w:val="22"/>
          <w:szCs w:val="22"/>
        </w:rPr>
        <w:t>“</w:t>
      </w:r>
      <w:r>
        <w:rPr>
          <w:rFonts w:ascii="Palatino Linotype" w:eastAsia="Palatino Linotype" w:hAnsi="Palatino Linotype" w:cs="Palatino Linotype"/>
          <w:b/>
          <w:i/>
          <w:sz w:val="22"/>
          <w:szCs w:val="22"/>
        </w:rPr>
        <w:t>REVISIÓN EN AMPARO. LOS RESOLUTIVOS NO COMBATIDOS DEBEN DECLARARSE FIRMES</w:t>
      </w:r>
      <w:r>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2C169F" w:rsidRDefault="002C169F">
      <w:pPr>
        <w:ind w:left="851" w:right="902"/>
        <w:jc w:val="both"/>
        <w:rPr>
          <w:rFonts w:ascii="Palatino Linotype" w:eastAsia="Palatino Linotype" w:hAnsi="Palatino Linotype" w:cs="Palatino Linotype"/>
          <w:sz w:val="22"/>
          <w:szCs w:val="22"/>
        </w:rPr>
      </w:pPr>
    </w:p>
    <w:p w:rsidR="002C169F" w:rsidRDefault="000417EE">
      <w:pPr>
        <w:spacing w:before="280" w:after="28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Así, la parte de la solicitud sobre la que no se expresó inconformidad, debe declararse consentida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ya que no pueden producirse efectos jurídicos tendentes a revocar, confirmar o modificar la parte de la respuesta con relación a la parte de la solicitud que no fue motivo de disenso,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p>
    <w:p w:rsidR="002C169F" w:rsidRDefault="000417EE">
      <w:pPr>
        <w:spacing w:before="240" w:line="360" w:lineRule="auto"/>
        <w:ind w:left="851" w:right="616"/>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ACTOS CONSENTIDOS. SON LOS QUE NO SE IMPUGNAN MEDIANTE EL RECURSO IDÓNEO</w:t>
      </w:r>
      <w:r>
        <w:rPr>
          <w:rFonts w:ascii="Palatino Linotype" w:eastAsia="Palatino Linotype" w:hAnsi="Palatino Linotype" w:cs="Palatino Linotype"/>
          <w:i/>
          <w:sz w:val="22"/>
          <w:szCs w:val="22"/>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w:t>
      </w:r>
      <w:r>
        <w:rPr>
          <w:rFonts w:ascii="Palatino Linotype" w:eastAsia="Palatino Linotype" w:hAnsi="Palatino Linotype" w:cs="Palatino Linotype"/>
          <w:i/>
          <w:sz w:val="22"/>
          <w:szCs w:val="22"/>
        </w:rPr>
        <w:lastRenderedPageBreak/>
        <w:t>el acto reclamado en amparo, lo que significa consentimiento del mismo por falta de impugnación eficaz.”</w:t>
      </w:r>
    </w:p>
    <w:p w:rsidR="002C169F" w:rsidRDefault="000417EE">
      <w:pPr>
        <w:tabs>
          <w:tab w:val="left" w:pos="709"/>
        </w:tabs>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t xml:space="preserve">En este tenor, es oportuno recapitular que el entonces solicitante, requirió al </w:t>
      </w:r>
      <w:r>
        <w:rPr>
          <w:rFonts w:ascii="Palatino Linotype" w:eastAsia="Palatino Linotype" w:hAnsi="Palatino Linotype" w:cs="Palatino Linotype"/>
          <w:b/>
        </w:rPr>
        <w:t>SUJETO OBLIGADO “</w:t>
      </w:r>
      <w:r>
        <w:rPr>
          <w:rFonts w:ascii="Palatino Linotype" w:eastAsia="Palatino Linotype" w:hAnsi="Palatino Linotype" w:cs="Palatino Linotype"/>
          <w:i/>
        </w:rPr>
        <w:t xml:space="preserve">a) Lista de Contrataciones nuevas y de personal promocionado, plaza asignada y duración o tipo de contratación, esto de los años 2020 y 2021, Así como el </w:t>
      </w:r>
      <w:r>
        <w:rPr>
          <w:rFonts w:ascii="Palatino Linotype" w:eastAsia="Palatino Linotype" w:hAnsi="Palatino Linotype" w:cs="Palatino Linotype"/>
          <w:i/>
          <w:u w:val="single"/>
        </w:rPr>
        <w:t>desglose de las cláusulas 17 y 18 del CCT que se llevaron acabo al respecto</w:t>
      </w:r>
      <w:r>
        <w:rPr>
          <w:rFonts w:ascii="Palatino Linotype" w:eastAsia="Palatino Linotype" w:hAnsi="Palatino Linotype" w:cs="Palatino Linotype"/>
          <w:i/>
        </w:rPr>
        <w:t>”</w:t>
      </w:r>
    </w:p>
    <w:p w:rsidR="002C169F" w:rsidRDefault="000417EE">
      <w:pPr>
        <w:spacing w:before="240" w:after="240" w:line="360" w:lineRule="auto"/>
        <w:ind w:right="49"/>
        <w:jc w:val="both"/>
        <w:rPr>
          <w:rFonts w:ascii="Palatino Linotype" w:eastAsia="Palatino Linotype" w:hAnsi="Palatino Linotype" w:cs="Palatino Linotype"/>
          <w:b/>
          <w:i/>
        </w:rPr>
      </w:pPr>
      <w:r>
        <w:rPr>
          <w:rFonts w:ascii="Palatino Linotype" w:eastAsia="Palatino Linotype" w:hAnsi="Palatino Linotype" w:cs="Palatino Linotype"/>
        </w:rPr>
        <w:t xml:space="preserve">En respuesta a la solicitud de información,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remitió el listado de contrataciones nuevas y de personal promocionado, correspondiente a los años 2020 y 2021; relación integrada por diez registros, que contiene el nombre, plaza asignada, fecha y tipo de contratación; asimismo entregó tres páginas 1, 7 y 32 del Contrato Colectivo de Trabajo celebrado entre la Universidad Tecnológica del Sur del Estado de México y el Sindicato denominado Asociación de Servidores Públicos Académicos y Administrativos de la Universidad Tecnológica del Sur del Estado de México, en las que se observan las cláusulas 17 y 18.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inconforme con la información enviada sobre este rubro manifestó que solicitó el desglose de las cláusulas 17 y 18 del Contrato Colectivo de Trabajo, en donde se especifique y desarrolle todo el procedimiento cuando se lleva a cabo una contratación nueva, es decir, oficio de requerimiento de vacantes o promociones dirigido al Sindicato y la respuesta de este, la convocatoria, evaluaciones y el dictamen de comisión que se crea para la evaluación de personal nuevo. </w:t>
      </w:r>
    </w:p>
    <w:p w:rsidR="002C169F" w:rsidRDefault="000417EE">
      <w:pPr>
        <w:tabs>
          <w:tab w:val="left" w:pos="709"/>
        </w:tabs>
        <w:spacing w:before="240" w:after="240" w:line="360" w:lineRule="auto"/>
        <w:jc w:val="both"/>
        <w:rPr>
          <w:rFonts w:ascii="Palatino Linotype" w:eastAsia="Palatino Linotype" w:hAnsi="Palatino Linotype" w:cs="Palatino Linotype"/>
          <w:i/>
        </w:rPr>
      </w:pPr>
      <w:r>
        <w:rPr>
          <w:rFonts w:ascii="Palatino Linotype" w:eastAsia="Palatino Linotype" w:hAnsi="Palatino Linotype" w:cs="Palatino Linotype"/>
        </w:rPr>
        <w:lastRenderedPageBreak/>
        <w:t xml:space="preserve">Es de referir, que a través del informe justificado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ratificó la respuesta inicial y manifestó que se anexaron las cláusulas “</w:t>
      </w:r>
      <w:r>
        <w:rPr>
          <w:rFonts w:ascii="Palatino Linotype" w:eastAsia="Palatino Linotype" w:hAnsi="Palatino Linotype" w:cs="Palatino Linotype"/>
          <w:i/>
        </w:rPr>
        <w:t>desglosadas tal cual se encuentren en el documento, dando atención con esto al inciso a) en la parte den de solicitan: el desglose delas cláusulas 17 y 18 del CCT que se llevaron a cabo al respecto.”</w:t>
      </w:r>
    </w:p>
    <w:p w:rsidR="002C169F" w:rsidRDefault="000417EE">
      <w:pPr>
        <w:tabs>
          <w:tab w:val="left" w:pos="7938"/>
        </w:tabs>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 xml:space="preserve">Es este sentido, es de señalar que en atención al pronunciamiento del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tanto en la solicitud inicial como en las razones o motivos de inconformidad, se advierte que al no ser especialista en la materia, probablemente por error involuntario al momento de formular la solicitud no precisó de forma concreta su interés de acceder a las documentales que acrediten la aplicación de las cláusulas de referencia, por lo que a fin </w:t>
      </w:r>
      <w:r>
        <w:rPr>
          <w:rFonts w:ascii="Palatino Linotype" w:eastAsia="Palatino Linotype" w:hAnsi="Palatino Linotype" w:cs="Palatino Linotype"/>
          <w:color w:val="000000"/>
        </w:rPr>
        <w:t xml:space="preserve">de no dejar sin defensa al particular se realiza la suplencia de la deficiencia de la solicitud a fin de garantizar el derecho de acceso  la información del particular, lo anterior en términos de lo establecido en el artículo 13 de la Ley en la materia que cita: </w:t>
      </w:r>
    </w:p>
    <w:p w:rsidR="002C169F" w:rsidRDefault="000417EE">
      <w:pPr>
        <w:tabs>
          <w:tab w:val="left" w:pos="7938"/>
        </w:tabs>
        <w:spacing w:before="240" w:after="240" w:line="360" w:lineRule="auto"/>
        <w:ind w:left="567" w:right="616"/>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 xml:space="preserve">Artículo 13. El Instituto, en el ámbito de sus atribuciones, deberá suplir cualquier deficiencia para garantizar el ejercicio del derecho de acceso a la información.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tal motivo, se procede el análisis del contenido de las cláusulas 17 y 18, con el objeto de determinar si mediante su aplicación se generan documentos que por su naturaleza revistan el carácter de público y por lo tanto susceptibles de entregarse.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este sentido, conviene reiterar que el Contrato Colectivo de Trabajo celebrado entre la Universidad Tecnológica del Sur del Estado de México y el Sindicato denominado Asociación de Servidores Públicos Académicos y Administrativos de </w:t>
      </w:r>
      <w:r>
        <w:rPr>
          <w:rFonts w:ascii="Palatino Linotype" w:eastAsia="Palatino Linotype" w:hAnsi="Palatino Linotype" w:cs="Palatino Linotype"/>
        </w:rPr>
        <w:lastRenderedPageBreak/>
        <w:t xml:space="preserve">la Universidad Tecnológica del Sur del Estado de México en las cláusulas 17 y 18 establece: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w:drawing>
          <wp:inline distT="0" distB="0" distL="0" distR="0">
            <wp:extent cx="5669280" cy="4048760"/>
            <wp:effectExtent l="12700" t="12700" r="12700" b="12700"/>
            <wp:docPr id="2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5669280" cy="4048760"/>
                    </a:xfrm>
                    <a:prstGeom prst="rect">
                      <a:avLst/>
                    </a:prstGeom>
                    <a:ln w="12700">
                      <a:solidFill>
                        <a:srgbClr val="000000"/>
                      </a:solidFill>
                      <a:prstDash val="solid"/>
                    </a:ln>
                  </pic:spPr>
                </pic:pic>
              </a:graphicData>
            </a:graphic>
          </wp:inline>
        </w:drawing>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la imagen inserta, se advierte en primer lugar que la cláusula 18 señala que para la contratación de los trabajadores,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verificar que cumplan con las requisitos, presentado la documentación y acreditación de la experiencia requerida de acuerdo al puesto que se pretende ocupar y que para tal efecto deberá una comisión integrada por tres integrantes de la Universidad Tecnológica del Sur del Estado de México y tres integrantes del Sindicato quienes realizarán los exámenes correspondientes y emitir un dictamen.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otro lado, la cláusula 18 establece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deberá comunicar al Sindicato la necesidad de cubrir las vacantes y los requisitos que se deben cubrir.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mérito de lo anterior, es de señalar que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respondió que en el año dos mil veinte y dos mil veintiuno se realizaron contrataciones nuevas y de personal promocionado; por lo tanto, de la propia manifestación se advierte que en cumplimiento a las cláusulas establecidas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debió generar las documentales que sustentan el procedimiento establecido en dichas disposiciones. </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Discernimiento que encuentra sustento en lo dispuesto en los artículos 18 y 166, párrafo primero de la Ley de Transparencia y Acceso a la Información Pública de la entidad que establecen:</w:t>
      </w:r>
    </w:p>
    <w:p w:rsidR="002C169F" w:rsidRDefault="000417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rPr>
        <w:t>“</w:t>
      </w:r>
      <w:r>
        <w:rPr>
          <w:rFonts w:ascii="Palatino Linotype" w:eastAsia="Palatino Linotype" w:hAnsi="Palatino Linotype" w:cs="Palatino Linotype"/>
          <w:b/>
          <w:i/>
          <w:sz w:val="22"/>
          <w:szCs w:val="22"/>
        </w:rPr>
        <w:t>Artículo 18.</w:t>
      </w:r>
      <w:r>
        <w:rPr>
          <w:rFonts w:ascii="Palatino Linotype" w:eastAsia="Palatino Linotype" w:hAnsi="Palatino Linotype" w:cs="Palatino Linotype"/>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2C169F" w:rsidRDefault="002C169F">
      <w:pPr>
        <w:ind w:left="851" w:right="900"/>
        <w:jc w:val="both"/>
        <w:rPr>
          <w:rFonts w:ascii="Palatino Linotype" w:eastAsia="Palatino Linotype" w:hAnsi="Palatino Linotype" w:cs="Palatino Linotype"/>
          <w:i/>
          <w:sz w:val="22"/>
          <w:szCs w:val="22"/>
        </w:rPr>
      </w:pPr>
    </w:p>
    <w:p w:rsidR="002C169F" w:rsidRDefault="000417EE">
      <w:pPr>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166.</w:t>
      </w:r>
      <w:r>
        <w:rPr>
          <w:rFonts w:ascii="Palatino Linotype" w:eastAsia="Palatino Linotype" w:hAnsi="Palatino Linotype" w:cs="Palatino Linotype"/>
          <w:i/>
          <w:sz w:val="22"/>
          <w:szCs w:val="22"/>
        </w:rPr>
        <w:t xml:space="preserve"> La obligación de acceso a la información pública se tendrá por cumplida cuando el solicitante tenga a su disposición la información requerida, o cuando realice la consulta de la misma en el lugar en el que ésta se localice.</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De los artículos transcritos se colige que los Sujetos Obligados  deberán documentar  todo acto que derive del ejercicio de sus facultades, competencias o funciones, considerando desde su origen la eventual publicidad y reutilización de la información que generen, consecuentemente, toda la información generada, obtenida, adquirida, transformada, administrada o en posesión de ellos,  es pública y accesible  de manera permanente a cualquier persona bajo el principio de máxima </w:t>
      </w:r>
      <w:r>
        <w:rPr>
          <w:rFonts w:ascii="Palatino Linotype" w:eastAsia="Palatino Linotype" w:hAnsi="Palatino Linotype" w:cs="Palatino Linotype"/>
        </w:rPr>
        <w:lastRenderedPageBreak/>
        <w:t xml:space="preserve">publicidad, teniéndose por cumplida la obligación de acceso a la información pública cuando el solicitante tenga su disposición la información requerida o haya realizado la consulta de la misma en el lugar en que ésta se localice, lo que en caso concreto incumplió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consiguiente, el Pleno de este Instituto determina dable ordenar la entrega del soporte documental que sustente el cumplimiento de lo establecido en las cláusulas 17 y 18 del Contrato Colectivo de Trabajo celebrado entre la Universidad Tecnológica del Sur del Estado de México y el Sindicato denominado Asociación de Servidores Públicos Académicos y Administrativos de la Universidad Tecnológica del Sur del Estado de México, para las contrataciones nuevas y de personal promocionado en los años dos mil veinte  y dos mil veintiuno, de ser procedente en versión pública en términos del considerando siguiente. </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Quinto. Versión Pública. </w:t>
      </w:r>
      <w:r>
        <w:rPr>
          <w:rFonts w:ascii="Palatino Linotype" w:eastAsia="Palatino Linotype" w:hAnsi="Palatino Linotype" w:cs="Palatino Linotype"/>
        </w:rPr>
        <w:t>Como fue debidamente apuntado, el </w:t>
      </w:r>
      <w:r>
        <w:rPr>
          <w:rFonts w:ascii="Palatino Linotype" w:eastAsia="Palatino Linotype" w:hAnsi="Palatino Linotype" w:cs="Palatino Linotype"/>
          <w:b/>
        </w:rPr>
        <w:t>Sujeto Obligado</w:t>
      </w:r>
      <w:r>
        <w:rPr>
          <w:rFonts w:ascii="Palatino Linotype" w:eastAsia="Palatino Linotype" w:hAnsi="Palatino Linotype" w:cs="Palatino Linotype"/>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elaborar la versión pública, atento a lo siguiente:</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El derecho de acceso a la información pública tiene como limitante el respeto a la intimidad y a la vida privada de las personas, es por ello que este Instituto debe cuidar que los datos personales que obren en poder de los Sujetos Obligados sean </w:t>
      </w:r>
      <w:r>
        <w:rPr>
          <w:rFonts w:ascii="Palatino Linotype" w:eastAsia="Palatino Linotype" w:hAnsi="Palatino Linotype" w:cs="Palatino Linotype"/>
        </w:rPr>
        <w:lastRenderedPageBreak/>
        <w:t>protegidos y únicamente se den a conocer aquéllos que garanticen la rendición de cuentas y la transparencia en el ejercicio de las atribuciones que tienen conferidas.</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Al respecto, los artículos 3, fracciones IX, XX, XXI, XXXII, XLV; 6, 91, 137, 143 fracción I, de la Ley de Transparencia y Acceso a la Información Pública del Estado de México y Municipios vigente establecen:</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w:t>
      </w: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3.</w:t>
      </w:r>
      <w:r>
        <w:rPr>
          <w:rFonts w:ascii="Palatino Linotype" w:eastAsia="Palatino Linotype" w:hAnsi="Palatino Linotype" w:cs="Palatino Linotype"/>
          <w:i/>
          <w:sz w:val="22"/>
          <w:szCs w:val="22"/>
        </w:rPr>
        <w:t xml:space="preserve"> Para los efectos de la presente Ley se entenderá por:</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IX. Datos personales</w:t>
      </w:r>
      <w:r>
        <w:rPr>
          <w:rFonts w:ascii="Palatino Linotype" w:eastAsia="Palatino Linotype" w:hAnsi="Palatino Linotype" w:cs="Palatino Linotype"/>
          <w:i/>
          <w:sz w:val="22"/>
          <w:szCs w:val="22"/>
        </w:rPr>
        <w:t>: La información concerniente a una persona, identificada o identificable según lo dispuesto por la Ley de Protección de Datos Personales del Estado de México;</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 Información clasificada</w:t>
      </w:r>
      <w:r>
        <w:rPr>
          <w:rFonts w:ascii="Palatino Linotype" w:eastAsia="Palatino Linotype" w:hAnsi="Palatino Linotype" w:cs="Palatino Linotype"/>
          <w:i/>
          <w:sz w:val="22"/>
          <w:szCs w:val="22"/>
        </w:rPr>
        <w:t>: Aquella considerada por la presente Ley como reservada o confidencial;</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XXI. Información confidencial</w:t>
      </w:r>
      <w:r>
        <w:rPr>
          <w:rFonts w:ascii="Palatino Linotype" w:eastAsia="Palatino Linotype" w:hAnsi="Palatino Linotype" w:cs="Palatino Linotype"/>
          <w:i/>
          <w:sz w:val="22"/>
          <w:szCs w:val="22"/>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lastRenderedPageBreak/>
        <w:t>XXXII. Protección de Datos Personales</w:t>
      </w:r>
      <w:r>
        <w:rPr>
          <w:rFonts w:ascii="Palatino Linotype" w:eastAsia="Palatino Linotype" w:hAnsi="Palatino Linotype" w:cs="Palatino Linotype"/>
          <w:i/>
          <w:sz w:val="22"/>
          <w:szCs w:val="22"/>
        </w:rPr>
        <w:t>: Derecho humano que tutela la privacidad de datos personales en poder de los sujetos obligados y sujetos particulares;</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tabs>
          <w:tab w:val="left" w:pos="1276"/>
        </w:tabs>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XLV. Versión pública</w:t>
      </w:r>
      <w:r>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6</w:t>
      </w:r>
      <w:r>
        <w:rPr>
          <w:rFonts w:ascii="Palatino Linotype" w:eastAsia="Palatino Linotype" w:hAnsi="Palatino Linotype" w:cs="Palatino Linotype"/>
          <w:i/>
          <w:sz w:val="22"/>
          <w:szCs w:val="22"/>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91.</w:t>
      </w:r>
      <w:r>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r>
        <w:rPr>
          <w:rFonts w:ascii="Palatino Linotype" w:eastAsia="Palatino Linotype" w:hAnsi="Palatino Linotype" w:cs="Palatino Linotype"/>
          <w:i/>
          <w:sz w:val="22"/>
          <w:szCs w:val="22"/>
        </w:rPr>
        <w:br/>
        <w:t>(…)</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137.</w:t>
      </w:r>
      <w:r>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2C169F" w:rsidRDefault="000417EE">
      <w:pPr>
        <w:spacing w:before="120" w:after="120" w:line="276" w:lineRule="auto"/>
        <w:ind w:left="851"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 Artículo 143.</w:t>
      </w:r>
      <w:r>
        <w:rPr>
          <w:rFonts w:ascii="Palatino Linotype" w:eastAsia="Palatino Linotype" w:hAnsi="Palatino Linotype" w:cs="Palatino Linotype"/>
          <w:i/>
          <w:sz w:val="22"/>
          <w:szCs w:val="22"/>
        </w:rPr>
        <w:t xml:space="preserve"> Para los efectos de esta Ley se considera información confidencial, la clasificada como tal, de manera permanente, por su naturaleza, cuando:</w:t>
      </w:r>
    </w:p>
    <w:p w:rsidR="002C169F" w:rsidRDefault="000417EE">
      <w:pPr>
        <w:spacing w:before="120" w:after="120" w:line="276" w:lineRule="auto"/>
        <w:ind w:left="1134" w:right="902"/>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rsidR="002C169F" w:rsidRDefault="000417E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w:t>
      </w:r>
      <w:r>
        <w:rPr>
          <w:rFonts w:ascii="Palatino Linotype" w:eastAsia="Palatino Linotype" w:hAnsi="Palatino Linotype" w:cs="Palatino Linotype"/>
        </w:rPr>
        <w:lastRenderedPageBreak/>
        <w:t xml:space="preserve">interés público como información que debe ser clasificada, se hará la entrega del mismo, testando las secciones o datos que deban ser clasificados; por ende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deberá proceder a testar los datos personales que se encuentre contenidos en los documentos a entregar para satisfacer el derecho de acceso a la información pública de la parte Recurrente,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2C169F" w:rsidRDefault="000417E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rsidR="002C169F" w:rsidRDefault="000417EE">
      <w:pPr>
        <w:spacing w:before="240" w:after="240" w:line="360" w:lineRule="auto"/>
        <w:ind w:right="50"/>
        <w:jc w:val="both"/>
        <w:rPr>
          <w:rFonts w:ascii="Palatino Linotype" w:eastAsia="Palatino Linotype" w:hAnsi="Palatino Linotype" w:cs="Palatino Linotype"/>
        </w:rPr>
      </w:pPr>
      <w:r>
        <w:rPr>
          <w:rFonts w:ascii="Palatino Linotype" w:eastAsia="Palatino Linotype" w:hAnsi="Palatino Linotype" w:cs="Palatino Linotype"/>
        </w:rPr>
        <w:t xml:space="preserve">Asimismo, es de señalar que la clasificación de la información no opera con la simple supresión de datos que se haga en los documentos de que se trate o con la </w:t>
      </w:r>
      <w:r>
        <w:rPr>
          <w:rFonts w:ascii="Palatino Linotype" w:eastAsia="Palatino Linotype" w:hAnsi="Palatino Linotype" w:cs="Palatino Linotype"/>
        </w:rPr>
        <w:lastRenderedPageBreak/>
        <w:t>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2C169F" w:rsidRDefault="000417EE">
      <w:pPr>
        <w:spacing w:before="120"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49.</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Los Comités de Transparencia</w:t>
      </w:r>
      <w:r>
        <w:rPr>
          <w:rFonts w:ascii="Palatino Linotype" w:eastAsia="Palatino Linotype" w:hAnsi="Palatino Linotype" w:cs="Palatino Linotype"/>
          <w:i/>
          <w:sz w:val="22"/>
          <w:szCs w:val="22"/>
        </w:rPr>
        <w:t xml:space="preserve"> tendrán las siguientes atribuciones:</w:t>
      </w:r>
    </w:p>
    <w:p w:rsidR="002C169F" w:rsidRDefault="000417EE">
      <w:pPr>
        <w:spacing w:before="120" w:after="120" w:line="276"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VIII. Aprobar, modificar o revocar la clasificación de la información</w:t>
      </w:r>
      <w:r>
        <w:rPr>
          <w:rFonts w:ascii="Palatino Linotype" w:eastAsia="Palatino Linotype" w:hAnsi="Palatino Linotype" w:cs="Palatino Linotype"/>
          <w:i/>
          <w:sz w:val="22"/>
          <w:szCs w:val="22"/>
        </w:rPr>
        <w:t>…”</w:t>
      </w:r>
    </w:p>
    <w:p w:rsidR="002C169F" w:rsidRDefault="000417EE">
      <w:pPr>
        <w:spacing w:before="120"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53.</w:t>
      </w:r>
      <w:r>
        <w:rPr>
          <w:rFonts w:ascii="Palatino Linotype" w:eastAsia="Palatino Linotype" w:hAnsi="Palatino Linotype" w:cs="Palatino Linotype"/>
          <w:i/>
          <w:sz w:val="22"/>
          <w:szCs w:val="22"/>
        </w:rPr>
        <w:t xml:space="preserve"> Las </w:t>
      </w:r>
      <w:r>
        <w:rPr>
          <w:rFonts w:ascii="Palatino Linotype" w:eastAsia="Palatino Linotype" w:hAnsi="Palatino Linotype" w:cs="Palatino Linotype"/>
          <w:b/>
          <w:i/>
          <w:sz w:val="22"/>
          <w:szCs w:val="22"/>
        </w:rPr>
        <w:t>Unidades de Transparencia</w:t>
      </w:r>
      <w:r>
        <w:rPr>
          <w:rFonts w:ascii="Palatino Linotype" w:eastAsia="Palatino Linotype" w:hAnsi="Palatino Linotype" w:cs="Palatino Linotype"/>
          <w:i/>
          <w:sz w:val="22"/>
          <w:szCs w:val="22"/>
        </w:rPr>
        <w:t xml:space="preserve"> tendrán las siguientes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w:t>
      </w:r>
    </w:p>
    <w:p w:rsidR="002C169F" w:rsidRDefault="000417EE">
      <w:pPr>
        <w:spacing w:before="120" w:after="120" w:line="276" w:lineRule="auto"/>
        <w:ind w:left="993"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 Presentar ante el Comité, el proyecto de clasificación de información</w:t>
      </w:r>
      <w:r>
        <w:rPr>
          <w:rFonts w:ascii="Palatino Linotype" w:eastAsia="Palatino Linotype" w:hAnsi="Palatino Linotype" w:cs="Palatino Linotype"/>
          <w:i/>
          <w:sz w:val="22"/>
          <w:szCs w:val="22"/>
        </w:rPr>
        <w:t xml:space="preserve">…” </w:t>
      </w:r>
    </w:p>
    <w:p w:rsidR="002C169F" w:rsidRDefault="000417EE">
      <w:pPr>
        <w:spacing w:before="120"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“Artículo 59.</w:t>
      </w:r>
      <w:r>
        <w:rPr>
          <w:rFonts w:ascii="Palatino Linotype" w:eastAsia="Palatino Linotype" w:hAnsi="Palatino Linotype" w:cs="Palatino Linotype"/>
          <w:i/>
          <w:sz w:val="22"/>
          <w:szCs w:val="22"/>
        </w:rPr>
        <w:t xml:space="preserve"> Los </w:t>
      </w:r>
      <w:r>
        <w:rPr>
          <w:rFonts w:ascii="Palatino Linotype" w:eastAsia="Palatino Linotype" w:hAnsi="Palatino Linotype" w:cs="Palatino Linotype"/>
          <w:b/>
          <w:i/>
          <w:sz w:val="22"/>
          <w:szCs w:val="22"/>
        </w:rPr>
        <w:t>servidores públicos habilitados</w:t>
      </w:r>
      <w:r>
        <w:rPr>
          <w:rFonts w:ascii="Palatino Linotype" w:eastAsia="Palatino Linotype" w:hAnsi="Palatino Linotype" w:cs="Palatino Linotype"/>
          <w:i/>
          <w:sz w:val="22"/>
          <w:szCs w:val="22"/>
        </w:rPr>
        <w:t xml:space="preserve"> tendrán las </w:t>
      </w:r>
      <w:r>
        <w:rPr>
          <w:rFonts w:ascii="Palatino Linotype" w:eastAsia="Palatino Linotype" w:hAnsi="Palatino Linotype" w:cs="Palatino Linotype"/>
          <w:b/>
          <w:i/>
          <w:sz w:val="22"/>
          <w:szCs w:val="22"/>
        </w:rPr>
        <w:t>funciones</w:t>
      </w:r>
      <w:r>
        <w:rPr>
          <w:rFonts w:ascii="Palatino Linotype" w:eastAsia="Palatino Linotype" w:hAnsi="Palatino Linotype" w:cs="Palatino Linotype"/>
          <w:i/>
          <w:sz w:val="22"/>
          <w:szCs w:val="22"/>
        </w:rPr>
        <w:t xml:space="preserve"> siguientes:</w:t>
      </w:r>
    </w:p>
    <w:p w:rsidR="002C169F" w:rsidRDefault="000417EE">
      <w:pPr>
        <w:spacing w:before="120" w:after="120" w:line="276"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V. Integrar y presentar al responsable de la Unidad de Transparencia la propuesta de clasificación de información</w:t>
      </w:r>
      <w:r>
        <w:rPr>
          <w:rFonts w:ascii="Palatino Linotype" w:eastAsia="Palatino Linotype" w:hAnsi="Palatino Linotype" w:cs="Palatino Linotype"/>
          <w:i/>
          <w:sz w:val="22"/>
          <w:szCs w:val="22"/>
        </w:rPr>
        <w:t>, la cual tendrá los fundamentos y argumentos en que se basa dicha propuesta…”</w:t>
      </w:r>
    </w:p>
    <w:p w:rsidR="002C169F" w:rsidRDefault="002C169F">
      <w:pPr>
        <w:spacing w:before="120"/>
        <w:ind w:left="992" w:right="1043"/>
        <w:jc w:val="both"/>
        <w:rPr>
          <w:rFonts w:ascii="Palatino Linotype" w:eastAsia="Palatino Linotype" w:hAnsi="Palatino Linotype" w:cs="Palatino Linotype"/>
          <w:i/>
          <w:sz w:val="22"/>
          <w:szCs w:val="22"/>
        </w:rPr>
      </w:pPr>
    </w:p>
    <w:p w:rsidR="002C169F" w:rsidRDefault="000417EE">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rsidR="002C169F" w:rsidRDefault="000417EE">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Por último, respecto a la versión pública de los documentos que contenga la información solicitada, cabe señalar que el Comité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Décimo Primero de los “Lineamientos Generales en materia de Clasificación y Desclasificación de la Información, así como para la elaboración de Versiones Públicas”, que literalmente expresan:</w:t>
      </w:r>
    </w:p>
    <w:p w:rsidR="002C169F" w:rsidRDefault="000417EE">
      <w:pPr>
        <w:tabs>
          <w:tab w:val="left" w:pos="8222"/>
        </w:tabs>
        <w:spacing w:before="120" w:after="120"/>
        <w:ind w:left="851" w:right="1134"/>
        <w:jc w:val="both"/>
        <w:rPr>
          <w:rFonts w:ascii="Palatino Linotype" w:eastAsia="Palatino Linotype" w:hAnsi="Palatino Linotype" w:cs="Palatino Linotype"/>
          <w:b/>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Artículo 132.</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La clasificación de la información se llevará a cabo en el momento en que:</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Se generen versiones públicas para dar cumplimiento a las obligaciones de transparencia previstas en esta Ley</w:t>
      </w:r>
      <w:r>
        <w:rPr>
          <w:rFonts w:ascii="Palatino Linotype" w:eastAsia="Palatino Linotype" w:hAnsi="Palatino Linotype" w:cs="Palatino Linotype"/>
          <w:i/>
          <w:sz w:val="22"/>
          <w:szCs w:val="22"/>
        </w:rPr>
        <w:t>.”</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Segundo.-</w:t>
      </w:r>
      <w:r>
        <w:rPr>
          <w:rFonts w:ascii="Palatino Linotype" w:eastAsia="Palatino Linotype" w:hAnsi="Palatino Linotype" w:cs="Palatino Linotype"/>
          <w:i/>
          <w:sz w:val="22"/>
          <w:szCs w:val="22"/>
        </w:rPr>
        <w:t xml:space="preserve"> Para efectos de los presentes Lineamientos Generales, se entenderá por:</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XVIII.</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Versión pública:</w:t>
      </w:r>
      <w:r>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Pr>
          <w:rFonts w:ascii="Palatino Linotype" w:eastAsia="Palatino Linotype" w:hAnsi="Palatino Linotype" w:cs="Palatino Linotype"/>
          <w:b/>
          <w:i/>
          <w:sz w:val="22"/>
          <w:szCs w:val="22"/>
        </w:rPr>
        <w:t>fundando y motivando la</w:t>
      </w:r>
      <w:r>
        <w:rPr>
          <w:rFonts w:ascii="Palatino Linotype" w:eastAsia="Palatino Linotype" w:hAnsi="Palatino Linotype" w:cs="Palatino Linotype"/>
          <w:i/>
          <w:sz w:val="22"/>
          <w:szCs w:val="22"/>
        </w:rPr>
        <w:t xml:space="preserve"> reserva o </w:t>
      </w:r>
      <w:r>
        <w:rPr>
          <w:rFonts w:ascii="Palatino Linotype" w:eastAsia="Palatino Linotype" w:hAnsi="Palatino Linotype" w:cs="Palatino Linotype"/>
          <w:b/>
          <w:i/>
          <w:sz w:val="22"/>
          <w:szCs w:val="22"/>
        </w:rPr>
        <w:t>confidencialidad</w:t>
      </w:r>
      <w:r>
        <w:rPr>
          <w:rFonts w:ascii="Palatino Linotype" w:eastAsia="Palatino Linotype" w:hAnsi="Palatino Linotype" w:cs="Palatino Linotype"/>
          <w:i/>
          <w:sz w:val="22"/>
          <w:szCs w:val="22"/>
        </w:rPr>
        <w:t>, a través de la resolución que para tal efecto emita el Comité de Transparencia.</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Cuarto.</w:t>
      </w:r>
      <w:r>
        <w:rPr>
          <w:rFonts w:ascii="Palatino Linotype" w:eastAsia="Palatino Linotype" w:hAnsi="Palatino Linotype" w:cs="Palatino Linotype"/>
          <w:i/>
          <w:sz w:val="22"/>
          <w:szCs w:val="22"/>
        </w:rPr>
        <w:t xml:space="preserve"> </w:t>
      </w:r>
      <w:r>
        <w:rPr>
          <w:rFonts w:ascii="Palatino Linotype" w:eastAsia="Palatino Linotype" w:hAnsi="Palatino Linotype" w:cs="Palatino Linotype"/>
          <w:b/>
          <w:i/>
          <w:sz w:val="22"/>
          <w:szCs w:val="22"/>
        </w:rPr>
        <w:t>Para clasificar la información como</w:t>
      </w:r>
      <w:r>
        <w:rPr>
          <w:rFonts w:ascii="Palatino Linotype" w:eastAsia="Palatino Linotype" w:hAnsi="Palatino Linotype" w:cs="Palatino Linotype"/>
          <w:i/>
          <w:sz w:val="22"/>
          <w:szCs w:val="22"/>
        </w:rPr>
        <w:t xml:space="preserve"> reservada o </w:t>
      </w:r>
      <w:r>
        <w:rPr>
          <w:rFonts w:ascii="Palatino Linotype" w:eastAsia="Palatino Linotype" w:hAnsi="Palatino Linotype" w:cs="Palatino Linotype"/>
          <w:b/>
          <w:i/>
          <w:sz w:val="22"/>
          <w:szCs w:val="22"/>
        </w:rPr>
        <w:t>confidencial, de manera total o parcial, el titular del área del sujeto obligado deberá atender lo dispuesto por el Título Sexto de la Ley General</w:t>
      </w:r>
      <w:r>
        <w:rPr>
          <w:rFonts w:ascii="Palatino Linotype" w:eastAsia="Palatino Linotype" w:hAnsi="Palatino Linotype" w:cs="Palatino Linotype"/>
          <w:i/>
          <w:sz w:val="22"/>
          <w:szCs w:val="22"/>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Los sujetos obligados deberán aplicar, de manera estricta, las excepciones al derecho de acceso a la información y sólo podrán invocarlas cuando acrediten su procedencia.</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Quinto.</w:t>
      </w:r>
      <w:r>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Sexto.</w:t>
      </w:r>
      <w:r>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Séptimo.</w:t>
      </w:r>
      <w:r>
        <w:rPr>
          <w:rFonts w:ascii="Palatino Linotype" w:eastAsia="Palatino Linotype" w:hAnsi="Palatino Linotype" w:cs="Palatino Linotype"/>
          <w:i/>
          <w:sz w:val="22"/>
          <w:szCs w:val="22"/>
        </w:rPr>
        <w:t xml:space="preserve"> La clasificación de la información se llevará a cabo en el momento en que:</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w:t>
      </w:r>
      <w:r>
        <w:rPr>
          <w:rFonts w:ascii="Palatino Linotype" w:eastAsia="Palatino Linotype" w:hAnsi="Palatino Linotype" w:cs="Palatino Linotype"/>
          <w:i/>
          <w:sz w:val="22"/>
          <w:szCs w:val="22"/>
        </w:rPr>
        <w:t xml:space="preserve"> Se reciba una solicitud de acceso a la información;</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w:t>
      </w:r>
      <w:r>
        <w:rPr>
          <w:rFonts w:ascii="Palatino Linotype" w:eastAsia="Palatino Linotype" w:hAnsi="Palatino Linotype" w:cs="Palatino Linotype"/>
          <w:i/>
          <w:sz w:val="22"/>
          <w:szCs w:val="22"/>
        </w:rPr>
        <w:t xml:space="preserve"> Se determine mediante resolución de autoridad competente, o</w:t>
      </w:r>
    </w:p>
    <w:p w:rsidR="002C169F" w:rsidRDefault="000417EE">
      <w:pPr>
        <w:tabs>
          <w:tab w:val="left" w:pos="8222"/>
        </w:tabs>
        <w:spacing w:before="120" w:after="120"/>
        <w:ind w:left="1134"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III.</w:t>
      </w:r>
      <w:r>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Octavo.</w:t>
      </w:r>
      <w:r>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lastRenderedPageBreak/>
        <w:t>En caso de referirse a información reservada, la motivación de la clasificación también deberá comprender las circunstancias que justifican el establecimiento de determinado plazo de reserva.</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Noveno.</w:t>
      </w:r>
      <w:r>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w:t>
      </w:r>
      <w:r>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rsidR="002C169F" w:rsidRDefault="000417EE">
      <w:pPr>
        <w:tabs>
          <w:tab w:val="left" w:pos="8222"/>
        </w:tabs>
        <w:spacing w:before="120" w:after="120"/>
        <w:ind w:left="851" w:right="1134"/>
        <w:jc w:val="both"/>
        <w:rPr>
          <w:rFonts w:ascii="Palatino Linotype" w:eastAsia="Palatino Linotype" w:hAnsi="Palatino Linotype" w:cs="Palatino Linotype"/>
          <w:i/>
          <w:sz w:val="22"/>
          <w:szCs w:val="22"/>
        </w:rPr>
      </w:pPr>
      <w:r>
        <w:rPr>
          <w:rFonts w:ascii="Palatino Linotype" w:eastAsia="Palatino Linotype" w:hAnsi="Palatino Linotype" w:cs="Palatino Linotype"/>
          <w:b/>
          <w:i/>
          <w:sz w:val="22"/>
          <w:szCs w:val="22"/>
        </w:rPr>
        <w:t>Décimo primero.</w:t>
      </w:r>
      <w:r>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(Sic)</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Asimismo, deberá observar los numerales Quincuagésimo tercero y Quincuagésimo quinto de los Lineamientos Generales en Materia de Clasificación y Desclasificación de la Información supraindicados, que establecen los formatos para la clasificación parcial y total de los documentos, conforme a lo siguiente: </w:t>
      </w:r>
    </w:p>
    <w:tbl>
      <w:tblPr>
        <w:tblStyle w:val="a0"/>
        <w:tblW w:w="882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993"/>
        <w:gridCol w:w="3421"/>
        <w:gridCol w:w="968"/>
        <w:gridCol w:w="3446"/>
      </w:tblGrid>
      <w:tr w:rsidR="002C169F" w:rsidTr="002C16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rsidR="002C169F" w:rsidRDefault="000417EE">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Parcial</w:t>
            </w:r>
          </w:p>
        </w:tc>
        <w:tc>
          <w:tcPr>
            <w:tcW w:w="4414" w:type="dxa"/>
            <w:gridSpan w:val="2"/>
          </w:tcPr>
          <w:p w:rsidR="002C169F" w:rsidRDefault="000417EE">
            <w:pPr>
              <w:jc w:val="center"/>
              <w:cnfStyle w:val="100000000000" w:firstRow="1"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Total</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lastRenderedPageBreak/>
              <w:t>Concepto</w:t>
            </w:r>
          </w:p>
        </w:tc>
        <w:tc>
          <w:tcPr>
            <w:tcW w:w="3421" w:type="dxa"/>
          </w:tcPr>
          <w:p w:rsidR="002C169F" w:rsidRDefault="000417E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c>
          <w:tcPr>
            <w:tcW w:w="968" w:type="dxa"/>
          </w:tcPr>
          <w:p w:rsidR="002C169F" w:rsidRDefault="000417E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Concepto</w:t>
            </w:r>
          </w:p>
        </w:tc>
        <w:tc>
          <w:tcPr>
            <w:tcW w:w="3446" w:type="dxa"/>
          </w:tcPr>
          <w:p w:rsidR="002C169F" w:rsidRDefault="000417EE">
            <w:pPr>
              <w:jc w:val="center"/>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Dónde</w:t>
            </w:r>
          </w:p>
        </w:tc>
      </w:tr>
      <w:tr w:rsidR="002C169F" w:rsidTr="002C169F">
        <w:tc>
          <w:tcPr>
            <w:cnfStyle w:val="001000000000" w:firstRow="0" w:lastRow="0" w:firstColumn="1" w:lastColumn="0" w:oddVBand="0" w:evenVBand="0" w:oddHBand="0" w:evenHBand="0" w:firstRowFirstColumn="0" w:firstRowLastColumn="0" w:lastRowFirstColumn="0" w:lastRowLastColumn="0"/>
            <w:tcW w:w="8828" w:type="dxa"/>
            <w:gridSpan w:val="4"/>
          </w:tcPr>
          <w:p w:rsidR="002C169F" w:rsidRDefault="000417EE">
            <w:pPr>
              <w:jc w:val="center"/>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Sello oficial o logotipo del sujeto obligado</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clasificación</w:t>
            </w:r>
          </w:p>
        </w:tc>
        <w:tc>
          <w:tcPr>
            <w:tcW w:w="3421"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clasificación</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Área</w:t>
            </w:r>
          </w:p>
        </w:tc>
        <w:tc>
          <w:tcPr>
            <w:tcW w:w="3421"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del cual es titular quien clasifica.</w:t>
            </w: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Área</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área de la cual es el titular quien clasifica.</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Información reservada</w:t>
            </w:r>
          </w:p>
        </w:tc>
        <w:tc>
          <w:tcPr>
            <w:tcW w:w="3421"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Reservado</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RESERVADA.</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Periodo de reserva</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Ampliación del periodo de reserva</w:t>
            </w:r>
          </w:p>
        </w:tc>
        <w:tc>
          <w:tcPr>
            <w:tcW w:w="3421"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Confidencial</w:t>
            </w:r>
          </w:p>
        </w:tc>
        <w:tc>
          <w:tcPr>
            <w:tcW w:w="3421"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Ampliación del periodo de reserva</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Fundamento legal</w:t>
            </w:r>
          </w:p>
        </w:tc>
        <w:tc>
          <w:tcPr>
            <w:tcW w:w="3421"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Confidencial</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Leyenda de información CONFIDENCIAL.</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del titular del área</w:t>
            </w:r>
          </w:p>
        </w:tc>
        <w:tc>
          <w:tcPr>
            <w:tcW w:w="3421"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Fundamento legal</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Fecha de desclasificación</w:t>
            </w:r>
          </w:p>
        </w:tc>
        <w:tc>
          <w:tcPr>
            <w:tcW w:w="3421"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 el documento.</w:t>
            </w: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del titular del área</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clasifica.</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0417EE">
            <w:pPr>
              <w:jc w:val="both"/>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y cargo del servidor público</w:t>
            </w:r>
          </w:p>
        </w:tc>
        <w:tc>
          <w:tcPr>
            <w:tcW w:w="3421"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Fecha de desclasificación</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Se anotará la fecha en que se desclasifica.</w:t>
            </w:r>
          </w:p>
        </w:tc>
      </w:tr>
      <w:tr w:rsidR="002C169F" w:rsidTr="002C16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2C169F" w:rsidRDefault="002C169F">
            <w:pPr>
              <w:jc w:val="both"/>
              <w:rPr>
                <w:rFonts w:ascii="Palatino Linotype" w:eastAsia="Palatino Linotype" w:hAnsi="Palatino Linotype" w:cs="Palatino Linotype"/>
                <w:sz w:val="12"/>
                <w:szCs w:val="12"/>
              </w:rPr>
            </w:pPr>
          </w:p>
        </w:tc>
        <w:tc>
          <w:tcPr>
            <w:tcW w:w="3421" w:type="dxa"/>
          </w:tcPr>
          <w:p w:rsidR="002C169F" w:rsidRDefault="002C169F">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Partes o secciones reservadas o confidenciales</w:t>
            </w:r>
          </w:p>
        </w:tc>
        <w:tc>
          <w:tcPr>
            <w:tcW w:w="3446" w:type="dxa"/>
          </w:tcPr>
          <w:p w:rsidR="002C169F" w:rsidRDefault="000417EE">
            <w:pPr>
              <w:jc w:val="both"/>
              <w:cnfStyle w:val="000000100000" w:firstRow="0" w:lastRow="0" w:firstColumn="0" w:lastColumn="0" w:oddVBand="0" w:evenVBand="0" w:oddHBand="1"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2C169F" w:rsidTr="002C169F">
        <w:tc>
          <w:tcPr>
            <w:cnfStyle w:val="001000000000" w:firstRow="0" w:lastRow="0" w:firstColumn="1" w:lastColumn="0" w:oddVBand="0" w:evenVBand="0" w:oddHBand="0" w:evenHBand="0" w:firstRowFirstColumn="0" w:firstRowLastColumn="0" w:lastRowFirstColumn="0" w:lastRowLastColumn="0"/>
            <w:tcW w:w="993" w:type="dxa"/>
          </w:tcPr>
          <w:p w:rsidR="002C169F" w:rsidRDefault="002C169F">
            <w:pPr>
              <w:jc w:val="both"/>
              <w:rPr>
                <w:rFonts w:ascii="Palatino Linotype" w:eastAsia="Palatino Linotype" w:hAnsi="Palatino Linotype" w:cs="Palatino Linotype"/>
                <w:sz w:val="12"/>
                <w:szCs w:val="12"/>
              </w:rPr>
            </w:pPr>
          </w:p>
        </w:tc>
        <w:tc>
          <w:tcPr>
            <w:tcW w:w="3421" w:type="dxa"/>
          </w:tcPr>
          <w:p w:rsidR="002C169F" w:rsidRDefault="002C169F">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p>
        </w:tc>
        <w:tc>
          <w:tcPr>
            <w:tcW w:w="968"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b/>
                <w:sz w:val="12"/>
                <w:szCs w:val="12"/>
              </w:rPr>
            </w:pPr>
            <w:r>
              <w:rPr>
                <w:rFonts w:ascii="Palatino Linotype" w:eastAsia="Palatino Linotype" w:hAnsi="Palatino Linotype" w:cs="Palatino Linotype"/>
                <w:b/>
                <w:sz w:val="12"/>
                <w:szCs w:val="12"/>
              </w:rPr>
              <w:t>Rúbrica y cargo del servidor público</w:t>
            </w:r>
          </w:p>
        </w:tc>
        <w:tc>
          <w:tcPr>
            <w:tcW w:w="3446" w:type="dxa"/>
          </w:tcPr>
          <w:p w:rsidR="002C169F" w:rsidRDefault="000417EE">
            <w:pPr>
              <w:jc w:val="both"/>
              <w:cnfStyle w:val="000000000000" w:firstRow="0" w:lastRow="0" w:firstColumn="0" w:lastColumn="0" w:oddVBand="0" w:evenVBand="0" w:oddHBand="0" w:evenHBand="0" w:firstRowFirstColumn="0" w:firstRowLastColumn="0" w:lastRowFirstColumn="0" w:lastRowLastColumn="0"/>
              <w:rPr>
                <w:rFonts w:ascii="Palatino Linotype" w:eastAsia="Palatino Linotype" w:hAnsi="Palatino Linotype" w:cs="Palatino Linotype"/>
                <w:sz w:val="12"/>
                <w:szCs w:val="12"/>
              </w:rPr>
            </w:pPr>
            <w:r>
              <w:rPr>
                <w:rFonts w:ascii="Palatino Linotype" w:eastAsia="Palatino Linotype" w:hAnsi="Palatino Linotype" w:cs="Palatino Linotype"/>
                <w:sz w:val="12"/>
                <w:szCs w:val="12"/>
              </w:rPr>
              <w:t>Rúbrica autógrafa de quien desclasifica.</w:t>
            </w:r>
          </w:p>
        </w:tc>
      </w:tr>
    </w:tbl>
    <w:p w:rsidR="002C169F" w:rsidRDefault="002C169F">
      <w:pPr>
        <w:tabs>
          <w:tab w:val="left" w:pos="7938"/>
        </w:tabs>
        <w:spacing w:line="360" w:lineRule="auto"/>
        <w:jc w:val="both"/>
        <w:rPr>
          <w:rFonts w:ascii="Palatino Linotype" w:eastAsia="Palatino Linotype" w:hAnsi="Palatino Linotype" w:cs="Palatino Linotype"/>
        </w:rPr>
      </w:pPr>
    </w:p>
    <w:p w:rsidR="002C169F" w:rsidRDefault="000417EE">
      <w:pPr>
        <w:tabs>
          <w:tab w:val="left" w:pos="7938"/>
        </w:tabs>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rsidR="002C169F" w:rsidRDefault="002C169F">
      <w:pPr>
        <w:tabs>
          <w:tab w:val="left" w:pos="7938"/>
        </w:tabs>
        <w:spacing w:line="360" w:lineRule="auto"/>
        <w:jc w:val="both"/>
        <w:rPr>
          <w:rFonts w:ascii="Palatino Linotype" w:eastAsia="Palatino Linotype" w:hAnsi="Palatino Linotype" w:cs="Palatino Linotype"/>
        </w:rPr>
      </w:pPr>
    </w:p>
    <w:p w:rsidR="002C169F" w:rsidRDefault="000417EE">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 xml:space="preserve">Es así que, en mérito de lo expuesto en líneas anteriores, resultan fundadas las razones o motivos de inconformidad hechos valer por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dentro del recurso de revisión </w:t>
      </w:r>
      <w:r>
        <w:rPr>
          <w:rFonts w:ascii="Palatino Linotype" w:eastAsia="Palatino Linotype" w:hAnsi="Palatino Linotype" w:cs="Palatino Linotype"/>
          <w:b/>
        </w:rPr>
        <w:t>05834/INFOEM/IP/RR/2021</w:t>
      </w:r>
      <w:r>
        <w:rPr>
          <w:rFonts w:ascii="Palatino Linotype" w:eastAsia="Palatino Linotype" w:hAnsi="Palatino Linotype" w:cs="Palatino Linotype"/>
        </w:rPr>
        <w:t xml:space="preserve">; por ello, y con fundamento en la fracción III del numeral 186 de la Ley de Transparencia y Acceso a la Información Pública del Estado de México y Municipios, se </w:t>
      </w:r>
      <w:r>
        <w:rPr>
          <w:rFonts w:ascii="Palatino Linotype" w:eastAsia="Palatino Linotype" w:hAnsi="Palatino Linotype" w:cs="Palatino Linotype"/>
          <w:b/>
        </w:rPr>
        <w:t>MODIFICA</w:t>
      </w:r>
      <w:r>
        <w:rPr>
          <w:rFonts w:ascii="Palatino Linotype" w:eastAsia="Palatino Linotype" w:hAnsi="Palatino Linotype" w:cs="Palatino Linotype"/>
        </w:rPr>
        <w:t xml:space="preserve"> la respuesta a la solicitud de información número </w:t>
      </w:r>
      <w:r>
        <w:rPr>
          <w:rFonts w:ascii="Palatino Linotype" w:eastAsia="Palatino Linotype" w:hAnsi="Palatino Linotype" w:cs="Palatino Linotype"/>
          <w:b/>
        </w:rPr>
        <w:t>00020/UTSEM/IP/2021</w:t>
      </w:r>
      <w:r>
        <w:rPr>
          <w:rFonts w:ascii="Palatino Linotype" w:eastAsia="Palatino Linotype" w:hAnsi="Palatino Linotype" w:cs="Palatino Linotype"/>
        </w:rPr>
        <w:t>.</w:t>
      </w:r>
    </w:p>
    <w:p w:rsidR="002C169F" w:rsidRDefault="000417EE">
      <w:pPr>
        <w:tabs>
          <w:tab w:val="left" w:pos="709"/>
        </w:tabs>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Así, con fundamento en lo prescrito en los 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rsidR="002C169F" w:rsidRDefault="000417EE">
      <w:pPr>
        <w:numPr>
          <w:ilvl w:val="0"/>
          <w:numId w:val="4"/>
        </w:num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 E S U E L V E:</w:t>
      </w:r>
    </w:p>
    <w:p w:rsidR="002C169F" w:rsidRDefault="000417EE">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PRIMERO. </w:t>
      </w:r>
      <w:r>
        <w:rPr>
          <w:rFonts w:ascii="Palatino Linotype" w:eastAsia="Palatino Linotype" w:hAnsi="Palatino Linotype" w:cs="Palatino Linotype"/>
        </w:rPr>
        <w:t xml:space="preserve">Resultan fundados los motivos de inconformidad hechos valer por el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 xml:space="preserve">en el recurso de revisión </w:t>
      </w:r>
      <w:r>
        <w:rPr>
          <w:rFonts w:ascii="Palatino Linotype" w:eastAsia="Palatino Linotype" w:hAnsi="Palatino Linotype" w:cs="Palatino Linotype"/>
          <w:b/>
        </w:rPr>
        <w:t xml:space="preserve">05834/INFOEM/IP/RR/2021, </w:t>
      </w:r>
      <w:r>
        <w:rPr>
          <w:rFonts w:ascii="Palatino Linotype" w:eastAsia="Palatino Linotype" w:hAnsi="Palatino Linotype" w:cs="Palatino Linotype"/>
        </w:rPr>
        <w:t>por lo que, en términos del Considerando Cuarto de la presente resolución, se</w:t>
      </w:r>
      <w:r>
        <w:rPr>
          <w:rFonts w:ascii="Palatino Linotype" w:eastAsia="Palatino Linotype" w:hAnsi="Palatino Linotype" w:cs="Palatino Linotype"/>
          <w:b/>
        </w:rPr>
        <w:t xml:space="preserve"> MODIFICA </w:t>
      </w:r>
      <w:r>
        <w:rPr>
          <w:rFonts w:ascii="Palatino Linotype" w:eastAsia="Palatino Linotype" w:hAnsi="Palatino Linotype" w:cs="Palatino Linotype"/>
        </w:rPr>
        <w:t>la respuesta</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del </w:t>
      </w:r>
      <w:r>
        <w:rPr>
          <w:rFonts w:ascii="Palatino Linotype" w:eastAsia="Palatino Linotype" w:hAnsi="Palatino Linotype" w:cs="Palatino Linotype"/>
          <w:b/>
        </w:rPr>
        <w:t>SUJETO OBLIGADO.</w:t>
      </w:r>
    </w:p>
    <w:p w:rsidR="002C169F" w:rsidRDefault="000417EE">
      <w:pPr>
        <w:spacing w:before="240" w:after="360" w:line="360" w:lineRule="auto"/>
        <w:jc w:val="both"/>
        <w:rPr>
          <w:rFonts w:ascii="Palatino Linotype" w:eastAsia="Palatino Linotype" w:hAnsi="Palatino Linotype" w:cs="Palatino Linotype"/>
          <w:b/>
        </w:rPr>
      </w:pPr>
      <w:r>
        <w:rPr>
          <w:rFonts w:ascii="Palatino Linotype" w:eastAsia="Palatino Linotype" w:hAnsi="Palatino Linotype" w:cs="Palatino Linotype"/>
          <w:b/>
          <w:highlight w:val="white"/>
        </w:rPr>
        <w:t xml:space="preserve">SEGUNDO. </w:t>
      </w:r>
      <w:r>
        <w:rPr>
          <w:rFonts w:ascii="Palatino Linotype" w:eastAsia="Palatino Linotype" w:hAnsi="Palatino Linotype" w:cs="Palatino Linotype"/>
        </w:rPr>
        <w:t xml:space="preserve">Se Ordena al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términos de los Considerandos </w:t>
      </w:r>
      <w:r>
        <w:rPr>
          <w:rFonts w:ascii="Palatino Linotype" w:eastAsia="Palatino Linotype" w:hAnsi="Palatino Linotype" w:cs="Palatino Linotype"/>
          <w:b/>
        </w:rPr>
        <w:t>Cuarto y Quinto</w:t>
      </w:r>
      <w:r>
        <w:rPr>
          <w:rFonts w:ascii="Palatino Linotype" w:eastAsia="Palatino Linotype" w:hAnsi="Palatino Linotype" w:cs="Palatino Linotype"/>
        </w:rPr>
        <w:t xml:space="preserve"> de esta resolución, haga entrega vía Sistema de Acceso a la Información Mexiquense (SAIMEX), de ser el caso, en versión pública,</w:t>
      </w:r>
      <w:r>
        <w:rPr>
          <w:rFonts w:ascii="Palatino Linotype" w:eastAsia="Palatino Linotype" w:hAnsi="Palatino Linotype" w:cs="Palatino Linotype"/>
          <w:b/>
        </w:rPr>
        <w:t xml:space="preserve"> </w:t>
      </w:r>
      <w:r>
        <w:rPr>
          <w:rFonts w:ascii="Palatino Linotype" w:eastAsia="Palatino Linotype" w:hAnsi="Palatino Linotype" w:cs="Palatino Linotype"/>
        </w:rPr>
        <w:t>la siguiente información:</w:t>
      </w:r>
    </w:p>
    <w:p w:rsidR="002C169F" w:rsidRDefault="000417EE">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color w:val="000000"/>
        </w:rPr>
        <w:lastRenderedPageBreak/>
        <w:t>Soporte documental que sustente el cumplimiento de lo establecido en las cláusulas 17 y 18 del Contrato Colectivo de Trabajo celebrado entre la Universidad Tecnológica del Sur del Estado de México y el Sindicato denominado Asociación de Servidores Públicos Académicos y Administrativos de la Universidad Tecnológica del Sur del Estado de México, para las contrataciones nuevas y de personal promocionado en los años dos mil veinte  y dos mil veintiuno</w:t>
      </w:r>
    </w:p>
    <w:p w:rsidR="002C169F" w:rsidRDefault="000417EE">
      <w:pPr>
        <w:spacing w:before="120" w:after="120"/>
        <w:ind w:left="709" w:right="49"/>
        <w:jc w:val="both"/>
        <w:rPr>
          <w:rFonts w:ascii="Palatino Linotype" w:eastAsia="Palatino Linotype" w:hAnsi="Palatino Linotype" w:cs="Palatino Linotype"/>
          <w:i/>
        </w:rPr>
      </w:pPr>
      <w:r>
        <w:rPr>
          <w:rFonts w:ascii="Palatino Linotype" w:eastAsia="Palatino Linotype" w:hAnsi="Palatino Linotype" w:cs="Palatino Linotype"/>
          <w:i/>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2C169F" w:rsidRDefault="000417EE">
      <w:pPr>
        <w:pBdr>
          <w:top w:val="nil"/>
          <w:left w:val="nil"/>
          <w:bottom w:val="nil"/>
          <w:right w:val="nil"/>
          <w:between w:val="nil"/>
        </w:pBd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TERCERO. Notifíquese, vía SAIMEX </w:t>
      </w:r>
      <w:r>
        <w:rPr>
          <w:rFonts w:ascii="Palatino Linotype" w:eastAsia="Palatino Linotype" w:hAnsi="Palatino Linotype" w:cs="Palatino Linotype"/>
        </w:rPr>
        <w:t>al Responsable de la Unidad de Transparencia del Sujeto Obligado la presente resolución, para que conforme a los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misma</w:t>
      </w:r>
      <w:r>
        <w:rPr>
          <w:rFonts w:ascii="Palatino Linotype" w:eastAsia="Palatino Linotype" w:hAnsi="Palatino Linotype" w:cs="Palatino Linotype"/>
          <w:b/>
        </w:rPr>
        <w:t>.</w:t>
      </w:r>
    </w:p>
    <w:p w:rsidR="002C169F" w:rsidRDefault="000417EE">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 xml:space="preserve">CUARTO. </w:t>
      </w:r>
      <w:r>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2C169F" w:rsidRDefault="000417EE">
      <w:pPr>
        <w:spacing w:before="240" w:after="240" w:line="360" w:lineRule="auto"/>
        <w:jc w:val="both"/>
        <w:rPr>
          <w:rFonts w:ascii="Palatino Linotype" w:eastAsia="Palatino Linotype" w:hAnsi="Palatino Linotype" w:cs="Palatino Linotype"/>
        </w:rPr>
      </w:pPr>
      <w:bookmarkStart w:id="5" w:name="_heading=h.2et92p0" w:colFirst="0" w:colLast="0"/>
      <w:bookmarkEnd w:id="5"/>
      <w:r>
        <w:rPr>
          <w:rFonts w:ascii="Palatino Linotype" w:eastAsia="Palatino Linotype" w:hAnsi="Palatino Linotype" w:cs="Palatino Linotype"/>
          <w:b/>
        </w:rPr>
        <w:lastRenderedPageBreak/>
        <w:t>QUINTO</w:t>
      </w:r>
      <w:r>
        <w:rPr>
          <w:rFonts w:ascii="Palatino Linotype" w:eastAsia="Palatino Linotype" w:hAnsi="Palatino Linotype" w:cs="Palatino Linotype"/>
          <w:b/>
          <w:sz w:val="28"/>
          <w:szCs w:val="28"/>
        </w:rPr>
        <w:t>.</w:t>
      </w:r>
      <w:r>
        <w:rPr>
          <w:rFonts w:ascii="Palatino Linotype" w:eastAsia="Palatino Linotype" w:hAnsi="Palatino Linotype" w:cs="Palatino Linotype"/>
          <w:b/>
        </w:rPr>
        <w:t xml:space="preserve">  Notifíquese </w:t>
      </w:r>
      <w:r>
        <w:rPr>
          <w:rFonts w:ascii="Palatino Linotype" w:eastAsia="Palatino Linotype" w:hAnsi="Palatino Linotype" w:cs="Palatino Linotype"/>
        </w:rPr>
        <w:t xml:space="preserve">a el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vía SAIMEX,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2C169F" w:rsidRDefault="000417EE">
      <w:pPr>
        <w:spacing w:before="240" w:after="240" w:line="360" w:lineRule="auto"/>
        <w:jc w:val="both"/>
        <w:rPr>
          <w:rFonts w:ascii="Palatino Linotype" w:eastAsia="Palatino Linotype" w:hAnsi="Palatino Linotype" w:cs="Palatino Linotype"/>
          <w:sz w:val="20"/>
          <w:szCs w:val="20"/>
        </w:rPr>
      </w:pPr>
      <w:r>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SESIÓN ORDINARIA CELEBRADA EL DIECISÉIS DE MARZO DE DOS MIL VEINTIDÓS, ANTE EL SECRETARIO TÉCNICO DEL PLENO, ALEXIS TAPIA RAMÍREZ.</w:t>
      </w: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p w:rsidR="002C169F" w:rsidRDefault="002C169F">
      <w:pPr>
        <w:spacing w:before="240" w:after="240"/>
        <w:jc w:val="both"/>
        <w:rPr>
          <w:rFonts w:ascii="Palatino Linotype" w:eastAsia="Palatino Linotype" w:hAnsi="Palatino Linotype" w:cs="Palatino Linotype"/>
          <w:sz w:val="20"/>
          <w:szCs w:val="20"/>
        </w:rPr>
      </w:pPr>
    </w:p>
    <w:sectPr w:rsidR="002C169F">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A71" w:rsidRDefault="001E1A71">
      <w:r>
        <w:separator/>
      </w:r>
    </w:p>
  </w:endnote>
  <w:endnote w:type="continuationSeparator" w:id="0">
    <w:p w:rsidR="001E1A71" w:rsidRDefault="001E1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9F" w:rsidRDefault="000417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59FF">
      <w:rPr>
        <w:rFonts w:ascii="Palatino Linotype" w:eastAsia="Palatino Linotype" w:hAnsi="Palatino Linotype" w:cs="Palatino Linotype"/>
        <w:b/>
        <w:noProof/>
        <w:color w:val="000000"/>
        <w:sz w:val="20"/>
        <w:szCs w:val="20"/>
      </w:rPr>
      <w:t>7</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59F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2C169F" w:rsidRDefault="002C169F">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9F" w:rsidRDefault="000417EE">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1159FF">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1159FF">
      <w:rPr>
        <w:rFonts w:ascii="Palatino Linotype" w:eastAsia="Palatino Linotype" w:hAnsi="Palatino Linotype" w:cs="Palatino Linotype"/>
        <w:b/>
        <w:noProof/>
        <w:color w:val="000000"/>
        <w:sz w:val="20"/>
        <w:szCs w:val="20"/>
      </w:rPr>
      <w:t>39</w:t>
    </w:r>
    <w:r>
      <w:rPr>
        <w:rFonts w:ascii="Palatino Linotype" w:eastAsia="Palatino Linotype" w:hAnsi="Palatino Linotype" w:cs="Palatino Linotype"/>
        <w:b/>
        <w:color w:val="000000"/>
        <w:sz w:val="20"/>
        <w:szCs w:val="20"/>
      </w:rPr>
      <w:fldChar w:fldCharType="end"/>
    </w:r>
  </w:p>
  <w:p w:rsidR="002C169F" w:rsidRDefault="002C169F">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A71" w:rsidRDefault="001E1A71">
      <w:r>
        <w:separator/>
      </w:r>
    </w:p>
  </w:footnote>
  <w:footnote w:type="continuationSeparator" w:id="0">
    <w:p w:rsidR="001E1A71" w:rsidRDefault="001E1A71">
      <w:r>
        <w:continuationSeparator/>
      </w:r>
    </w:p>
  </w:footnote>
  <w:footnote w:id="1">
    <w:p w:rsidR="002C169F" w:rsidRDefault="000417EE">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2C169F" w:rsidRDefault="000417EE">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9F" w:rsidRDefault="000417E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-1080134</wp:posOffset>
          </wp:positionH>
          <wp:positionV relativeFrom="paragraph">
            <wp:posOffset>-396401</wp:posOffset>
          </wp:positionV>
          <wp:extent cx="7809865" cy="10165715"/>
          <wp:effectExtent l="0" t="0" r="0" b="0"/>
          <wp:wrapNone/>
          <wp:docPr id="2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2C169F">
      <w:tc>
        <w:tcPr>
          <w:tcW w:w="2489" w:type="dxa"/>
          <w:shd w:val="clear" w:color="auto" w:fill="auto"/>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2C169F" w:rsidRDefault="000417E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05834/INFOEM/IP/RR/2021</w:t>
          </w:r>
        </w:p>
      </w:tc>
    </w:tr>
    <w:tr w:rsidR="002C169F">
      <w:trPr>
        <w:trHeight w:val="228"/>
      </w:trPr>
      <w:tc>
        <w:tcPr>
          <w:tcW w:w="2489" w:type="dxa"/>
          <w:shd w:val="clear" w:color="auto" w:fill="auto"/>
          <w:vAlign w:val="center"/>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2C169F" w:rsidRDefault="000417E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Tecnológica del Sur del Estado de México</w:t>
          </w:r>
        </w:p>
      </w:tc>
    </w:tr>
    <w:tr w:rsidR="002C169F">
      <w:tc>
        <w:tcPr>
          <w:tcW w:w="2489" w:type="dxa"/>
          <w:shd w:val="clear" w:color="auto" w:fill="auto"/>
          <w:vAlign w:val="center"/>
        </w:tcPr>
        <w:p w:rsidR="002C169F" w:rsidRDefault="000417EE">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2C169F" w:rsidRDefault="000417EE">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C169F" w:rsidRDefault="000417EE">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69F" w:rsidRDefault="002C169F">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2"/>
      <w:tblW w:w="5953" w:type="dxa"/>
      <w:tblInd w:w="3261" w:type="dxa"/>
      <w:tblLayout w:type="fixed"/>
      <w:tblLook w:val="0400" w:firstRow="0" w:lastRow="0" w:firstColumn="0" w:lastColumn="0" w:noHBand="0" w:noVBand="1"/>
    </w:tblPr>
    <w:tblGrid>
      <w:gridCol w:w="2551"/>
      <w:gridCol w:w="3402"/>
    </w:tblGrid>
    <w:tr w:rsidR="002C169F">
      <w:tc>
        <w:tcPr>
          <w:tcW w:w="2551" w:type="dxa"/>
          <w:shd w:val="clear" w:color="auto" w:fill="auto"/>
          <w:vAlign w:val="center"/>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2C169F" w:rsidRDefault="000417EE">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05834/INFOEM/IP/RR/2021</w:t>
          </w:r>
        </w:p>
      </w:tc>
    </w:tr>
    <w:tr w:rsidR="002C169F">
      <w:trPr>
        <w:trHeight w:val="130"/>
      </w:trPr>
      <w:tc>
        <w:tcPr>
          <w:tcW w:w="2551" w:type="dxa"/>
          <w:shd w:val="clear" w:color="auto" w:fill="auto"/>
          <w:vAlign w:val="center"/>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2C169F" w:rsidRDefault="00065C6F" w:rsidP="00065C6F">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Xxxxxx</w:t>
          </w:r>
          <w:r w:rsidR="000417EE">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Xxxxxxxxx</w:t>
          </w:r>
          <w:r w:rsidR="000417EE">
            <w:rPr>
              <w:rFonts w:ascii="Palatino Linotype" w:eastAsia="Palatino Linotype" w:hAnsi="Palatino Linotype" w:cs="Palatino Linotype"/>
              <w:b/>
              <w:sz w:val="22"/>
              <w:szCs w:val="22"/>
            </w:rPr>
            <w:t xml:space="preserve"> </w:t>
          </w:r>
          <w:r>
            <w:rPr>
              <w:rFonts w:ascii="Palatino Linotype" w:eastAsia="Palatino Linotype" w:hAnsi="Palatino Linotype" w:cs="Palatino Linotype"/>
              <w:b/>
              <w:sz w:val="22"/>
              <w:szCs w:val="22"/>
            </w:rPr>
            <w:t>Xxxxxxxx</w:t>
          </w:r>
        </w:p>
      </w:tc>
    </w:tr>
    <w:tr w:rsidR="002C169F">
      <w:trPr>
        <w:trHeight w:val="228"/>
      </w:trPr>
      <w:tc>
        <w:tcPr>
          <w:tcW w:w="2551" w:type="dxa"/>
          <w:shd w:val="clear" w:color="auto" w:fill="auto"/>
          <w:vAlign w:val="center"/>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2C169F" w:rsidRDefault="000417EE">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Universidad Tecnológica del Sur del Estado de México</w:t>
          </w:r>
        </w:p>
      </w:tc>
    </w:tr>
    <w:tr w:rsidR="002C169F">
      <w:tc>
        <w:tcPr>
          <w:tcW w:w="2551" w:type="dxa"/>
          <w:shd w:val="clear" w:color="auto" w:fill="auto"/>
          <w:vAlign w:val="center"/>
        </w:tcPr>
        <w:p w:rsidR="002C169F" w:rsidRDefault="000417EE">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2C169F" w:rsidRDefault="000417EE">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2C169F" w:rsidRDefault="000417EE">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simplePos x="0" y="0"/>
          <wp:positionH relativeFrom="column">
            <wp:posOffset>0</wp:posOffset>
          </wp:positionH>
          <wp:positionV relativeFrom="paragraph">
            <wp:posOffset>-1963419</wp:posOffset>
          </wp:positionV>
          <wp:extent cx="7809865" cy="10165715"/>
          <wp:effectExtent l="0" t="0" r="0" b="0"/>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31517"/>
    <w:multiLevelType w:val="multilevel"/>
    <w:tmpl w:val="8FB48950"/>
    <w:lvl w:ilvl="0">
      <w:start w:val="1"/>
      <w:numFmt w:val="lowerLetter"/>
      <w:lvlText w:val="%1)"/>
      <w:lvlJc w:val="left"/>
      <w:pPr>
        <w:ind w:left="720" w:hanging="360"/>
      </w:pPr>
      <w:rPr>
        <w:rFonts w:ascii="Palatino Linotype" w:eastAsia="Palatino Linotype" w:hAnsi="Palatino Linotype" w:cs="Palatino Linotyp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D9D1A28"/>
    <w:multiLevelType w:val="multilevel"/>
    <w:tmpl w:val="3B2C4F32"/>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5A345301"/>
    <w:multiLevelType w:val="multilevel"/>
    <w:tmpl w:val="16B8F6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DD9262C"/>
    <w:multiLevelType w:val="multilevel"/>
    <w:tmpl w:val="6452FD04"/>
    <w:lvl w:ilvl="0">
      <w:start w:val="1"/>
      <w:numFmt w:val="lowerLetter"/>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69F"/>
    <w:rsid w:val="000417EE"/>
    <w:rsid w:val="00065C6F"/>
    <w:rsid w:val="001159FF"/>
    <w:rsid w:val="001E1A71"/>
    <w:rsid w:val="00235A1E"/>
    <w:rsid w:val="002C169F"/>
    <w:rsid w:val="005B3D22"/>
    <w:rsid w:val="00794C30"/>
    <w:rsid w:val="00BC0BB5"/>
    <w:rsid w:val="00E72D87"/>
    <w:rsid w:val="00F56EC0"/>
    <w:rsid w:val="00F82D5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5BD51-C2B1-4AAB-A930-70F9E8A31D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
    <w:rPr>
      <w:sz w:val="22"/>
      <w:szCs w:val="22"/>
    </w:rPr>
    <w:tblPr>
      <w:tblStyleRowBandSize w:val="1"/>
      <w:tblStyleColBandSize w:val="1"/>
      <w:tblCellMar>
        <w:left w:w="108" w:type="dxa"/>
        <w:right w:w="108" w:type="dxa"/>
      </w:tblCellMar>
    </w:tblPr>
  </w:style>
  <w:style w:type="table" w:customStyle="1" w:styleId="a0">
    <w:basedOn w:val="TableNormal"/>
    <w:rPr>
      <w:sz w:val="22"/>
      <w:szCs w:val="22"/>
    </w:rPr>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EVHXZYCfIqjx/T+P7tJl0GK9itQ==">AMUW2mXodGSaw6+249rFM4TtR3c3zWRC0GoPDdYxInkUH59XpTNFuuno1luRAoptEy6T+Kdofk3j4/EgDPW2StHagQkKYL+HfK4H49+/JXzQpa1CuG2xDq+ZmkBY9+pbFjtnfsmHD5loxxirkHYSVpbvJlu9zSfkzKkI391X5tuLr6bfjOCZSbq70h38aVNSh68i5wkXLoOB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39</Pages>
  <Words>9256</Words>
  <Characters>50914</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3</cp:revision>
  <dcterms:created xsi:type="dcterms:W3CDTF">2022-04-05T18:01:00Z</dcterms:created>
  <dcterms:modified xsi:type="dcterms:W3CDTF">2022-04-06T00:16:00Z</dcterms:modified>
</cp:coreProperties>
</file>