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6963" w:rsidR="00066B31" w:rsidP="00A158AB" w:rsidRDefault="00066B31" w14:paraId="03223C84" w14:textId="47D6F5D5">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7C614B">
        <w:rPr>
          <w:rFonts w:cs="Tahoma"/>
        </w:rPr>
        <w:t>treinta y uno</w:t>
      </w:r>
      <w:r w:rsidR="00480903">
        <w:rPr>
          <w:rFonts w:cs="Tahoma"/>
        </w:rPr>
        <w:t xml:space="preserve"> de</w:t>
      </w:r>
      <w:r w:rsidR="008449DD">
        <w:rPr>
          <w:rFonts w:cs="Tahoma"/>
        </w:rPr>
        <w:t xml:space="preserve"> </w:t>
      </w:r>
      <w:r w:rsidR="007C614B">
        <w:rPr>
          <w:rFonts w:cs="Tahoma"/>
        </w:rPr>
        <w:t>agosto</w:t>
      </w:r>
      <w:r w:rsidRPr="00446963">
        <w:rPr>
          <w:rFonts w:cs="Tahoma"/>
        </w:rPr>
        <w:t xml:space="preserve"> de dos mil veintidós.</w:t>
      </w:r>
    </w:p>
    <w:p w:rsidRPr="00446963" w:rsidR="00066B31" w:rsidP="00A158AB" w:rsidRDefault="00066B31" w14:paraId="53783A9E" w14:textId="77777777">
      <w:pPr>
        <w:spacing w:after="0" w:line="360" w:lineRule="auto"/>
        <w:rPr>
          <w:rFonts w:cs="Tahoma"/>
          <w:bCs/>
        </w:rPr>
      </w:pPr>
    </w:p>
    <w:p w:rsidRPr="00446963" w:rsidR="00066B31" w:rsidP="00A158AB" w:rsidRDefault="00066B31" w14:paraId="466D8EC0" w14:textId="425F1941">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AC7866" w:rsidR="00AC7866">
        <w:t>10331/INFOEM/IP/RR/2022</w:t>
      </w:r>
      <w:r w:rsidRPr="00446963">
        <w:rPr>
          <w:rFonts w:cs="Tahoma"/>
        </w:rPr>
        <w:t>, interpuesto por</w:t>
      </w:r>
      <w:r w:rsidR="00480903">
        <w:rPr>
          <w:rFonts w:cs="Tahoma"/>
        </w:rPr>
        <w:t xml:space="preserve"> </w:t>
      </w:r>
      <w:r w:rsidR="00786BB8">
        <w:rPr>
          <w:rFonts w:cs="Tahoma"/>
        </w:rPr>
        <w:t>el</w:t>
      </w:r>
      <w:r>
        <w:t xml:space="preserve"> </w:t>
      </w:r>
      <w:r w:rsidRPr="00446963">
        <w:rPr>
          <w:rFonts w:cs="Tahoma"/>
        </w:rPr>
        <w:t xml:space="preserve">Recurrente o Particular, en contra de la respuesta del Sujeto Obligado, </w:t>
      </w:r>
      <w:r w:rsidRPr="00EA3060" w:rsidR="00EA3060">
        <w:rPr>
          <w:rFonts w:cs="Tahoma"/>
        </w:rPr>
        <w:t>Ayuntamiento de Metepec</w:t>
      </w:r>
      <w:r w:rsidRPr="00446963">
        <w:rPr>
          <w:rFonts w:cs="Tahoma"/>
        </w:rPr>
        <w:t xml:space="preserve">, a la solicitud de información con número </w:t>
      </w:r>
      <w:r w:rsidRPr="00AC7866" w:rsidR="00AC7866">
        <w:t>03427/METEPEC/IP/2022</w:t>
      </w:r>
      <w:r w:rsidRPr="00446963">
        <w:rPr>
          <w:rFonts w:cs="Tahoma"/>
        </w:rPr>
        <w:t>, se emite la presente Resolución, con base en los Antecedentes y Considerandos que</w:t>
      </w:r>
      <w:r w:rsidRPr="00446963">
        <w:rPr>
          <w:rFonts w:cs="Tahoma"/>
          <w:bCs/>
        </w:rPr>
        <w:t xml:space="preserve"> se exponen a continuación:</w:t>
      </w:r>
    </w:p>
    <w:p w:rsidRPr="00446963" w:rsidR="00066B31" w:rsidP="00A158AB" w:rsidRDefault="00066B31" w14:paraId="740A33F0" w14:textId="77777777">
      <w:pPr>
        <w:tabs>
          <w:tab w:val="left" w:pos="6735"/>
        </w:tabs>
        <w:spacing w:after="0" w:line="360" w:lineRule="auto"/>
        <w:rPr>
          <w:rFonts w:cs="Tahoma"/>
        </w:rPr>
      </w:pPr>
    </w:p>
    <w:p w:rsidRPr="00446963" w:rsidR="00066B31" w:rsidP="00A158AB"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A158AB" w:rsidRDefault="00066B31" w14:paraId="700501D6" w14:textId="77777777">
      <w:pPr>
        <w:spacing w:after="0" w:line="360" w:lineRule="auto"/>
      </w:pPr>
    </w:p>
    <w:p w:rsidRPr="00446963" w:rsidR="00066B31" w:rsidP="00A158AB"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A158AB"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A158AB" w:rsidRDefault="00066B31" w14:paraId="55087599" w14:textId="3CDDD381">
      <w:pPr>
        <w:tabs>
          <w:tab w:val="left" w:pos="567"/>
        </w:tabs>
        <w:spacing w:after="0" w:line="360" w:lineRule="auto"/>
        <w:ind w:right="-28"/>
        <w:rPr>
          <w:rFonts w:cs="Tahoma"/>
        </w:rPr>
      </w:pPr>
      <w:r w:rsidRPr="00446963">
        <w:rPr>
          <w:rFonts w:cs="Tahoma"/>
        </w:rPr>
        <w:t xml:space="preserve">Con fecha </w:t>
      </w:r>
      <w:r w:rsidR="00AC7866">
        <w:rPr>
          <w:rFonts w:cs="Tahoma"/>
        </w:rPr>
        <w:t>once</w:t>
      </w:r>
      <w:r w:rsidR="00985E40">
        <w:rPr>
          <w:rFonts w:cs="Tahoma"/>
        </w:rPr>
        <w:t xml:space="preserve"> de </w:t>
      </w:r>
      <w:r w:rsidR="00AC7866">
        <w:rPr>
          <w:rFonts w:cs="Tahoma"/>
        </w:rPr>
        <w:t>mayo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AC7866" w:rsidR="00AC7866">
        <w:t>03427/METEPEC/IP/2022</w:t>
      </w:r>
      <w:r w:rsidRPr="005D7D5D">
        <w:rPr>
          <w:rFonts w:cs="Tahoma"/>
        </w:rPr>
        <w:t>,</w:t>
      </w:r>
      <w:r>
        <w:rPr>
          <w:rFonts w:cs="Tahoma"/>
        </w:rPr>
        <w:t xml:space="preserve"> ante el </w:t>
      </w:r>
      <w:r w:rsidRPr="00EA3060" w:rsidR="00EA3060">
        <w:rPr>
          <w:rFonts w:cs="Tahoma"/>
        </w:rPr>
        <w:t>Ayuntamiento de Metepec</w:t>
      </w:r>
      <w:r>
        <w:rPr>
          <w:rFonts w:cs="Tahoma"/>
        </w:rPr>
        <w:t>,</w:t>
      </w:r>
      <w:r w:rsidRPr="005D7D5D">
        <w:rPr>
          <w:rFonts w:cs="Tahoma"/>
        </w:rPr>
        <w:t xml:space="preserve"> en los siguientes términos:</w:t>
      </w:r>
    </w:p>
    <w:p w:rsidRPr="00446963" w:rsidR="00FB4AE8" w:rsidP="00A158AB"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A158AB"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503D6C2D" w:rsidRDefault="00AC7866" w14:paraId="6572CF93" w14:textId="6C4C380C">
      <w:pPr>
        <w:tabs>
          <w:tab w:val="left" w:pos="4667"/>
        </w:tabs>
        <w:spacing w:after="0" w:line="360" w:lineRule="auto"/>
        <w:ind w:left="567" w:right="567"/>
        <w:rPr>
          <w:rFonts w:cs="Tahoma"/>
          <w:i w:val="1"/>
          <w:iCs w:val="1"/>
          <w:sz w:val="20"/>
          <w:szCs w:val="20"/>
        </w:rPr>
      </w:pPr>
      <w:r w:rsidRPr="503D6C2D" w:rsidR="503D6C2D">
        <w:rPr>
          <w:i w:val="1"/>
          <w:iCs w:val="1"/>
          <w:color w:val="000000" w:themeColor="text1" w:themeTint="FF" w:themeShade="FF"/>
          <w:sz w:val="20"/>
          <w:szCs w:val="20"/>
          <w:highlight w:val="black"/>
        </w:rPr>
        <w:t>XXXX</w:t>
      </w:r>
      <w:r w:rsidRPr="503D6C2D" w:rsidR="503D6C2D">
        <w:rPr>
          <w:i w:val="1"/>
          <w:iCs w:val="1"/>
          <w:color w:val="000000" w:themeColor="text1" w:themeTint="FF" w:themeShade="FF"/>
          <w:sz w:val="20"/>
          <w:szCs w:val="20"/>
        </w:rPr>
        <w:t xml:space="preserve">: Quiero saber si con el presupuesto de la Unidad de Transparencia se han realizado compras de vaselina, </w:t>
      </w:r>
      <w:proofErr w:type="spellStart"/>
      <w:r w:rsidRPr="503D6C2D" w:rsidR="503D6C2D">
        <w:rPr>
          <w:i w:val="1"/>
          <w:iCs w:val="1"/>
          <w:color w:val="000000" w:themeColor="text1" w:themeTint="FF" w:themeShade="FF"/>
          <w:sz w:val="20"/>
          <w:szCs w:val="20"/>
        </w:rPr>
        <w:t>plugs</w:t>
      </w:r>
      <w:proofErr w:type="spellEnd"/>
      <w:r w:rsidRPr="503D6C2D" w:rsidR="503D6C2D">
        <w:rPr>
          <w:i w:val="1"/>
          <w:iCs w:val="1"/>
          <w:color w:val="000000" w:themeColor="text1" w:themeTint="FF" w:themeShade="FF"/>
          <w:sz w:val="20"/>
          <w:szCs w:val="20"/>
        </w:rPr>
        <w:t xml:space="preserve">, banderas </w:t>
      </w:r>
      <w:proofErr w:type="spellStart"/>
      <w:r w:rsidRPr="503D6C2D" w:rsidR="503D6C2D">
        <w:rPr>
          <w:i w:val="1"/>
          <w:iCs w:val="1"/>
          <w:color w:val="000000" w:themeColor="text1" w:themeTint="FF" w:themeShade="FF"/>
          <w:sz w:val="20"/>
          <w:szCs w:val="20"/>
        </w:rPr>
        <w:t>lgbt</w:t>
      </w:r>
      <w:proofErr w:type="spellEnd"/>
      <w:r w:rsidRPr="503D6C2D" w:rsidR="503D6C2D">
        <w:rPr>
          <w:i w:val="1"/>
          <w:iCs w:val="1"/>
          <w:color w:val="000000" w:themeColor="text1" w:themeTint="FF" w:themeShade="FF"/>
          <w:sz w:val="20"/>
          <w:szCs w:val="20"/>
        </w:rPr>
        <w:t>, en apoyo a familiares de los servidores públicos adscritos a esa área.</w:t>
      </w:r>
      <w:r w:rsidRPr="503D6C2D" w:rsidR="503D6C2D">
        <w:rPr>
          <w:rFonts w:cs="Tahoma"/>
          <w:i w:val="1"/>
          <w:iCs w:val="1"/>
          <w:sz w:val="20"/>
          <w:szCs w:val="20"/>
        </w:rPr>
        <w:t xml:space="preserve">” </w:t>
      </w:r>
      <w:r w:rsidRPr="503D6C2D" w:rsidR="503D6C2D">
        <w:rPr>
          <w:rFonts w:eastAsia="Times New Roman" w:cs="Arial"/>
          <w:i w:val="1"/>
          <w:iCs w:val="1"/>
          <w:sz w:val="20"/>
          <w:szCs w:val="20"/>
          <w:lang w:eastAsia="es-ES"/>
        </w:rPr>
        <w:t>(Sic).</w:t>
      </w:r>
    </w:p>
    <w:p w:rsidRPr="00DF6F08" w:rsidR="00FB4AE8" w:rsidP="00A158AB" w:rsidRDefault="00FB4AE8" w14:paraId="190C62D5" w14:textId="77777777">
      <w:pPr>
        <w:tabs>
          <w:tab w:val="left" w:pos="4667"/>
        </w:tabs>
        <w:spacing w:after="0" w:line="360" w:lineRule="auto"/>
        <w:ind w:left="567" w:right="567"/>
        <w:rPr>
          <w:rFonts w:cs="Tahoma"/>
          <w:bCs/>
          <w:i/>
          <w:sz w:val="20"/>
          <w:szCs w:val="20"/>
        </w:rPr>
      </w:pPr>
    </w:p>
    <w:p w:rsidRPr="00DF6F08" w:rsidR="00066B31" w:rsidP="00A158AB"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A158AB"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00386C97" w:rsidP="00A158AB" w:rsidRDefault="00386C97" w14:paraId="51B42CA1" w14:textId="77777777">
      <w:pPr>
        <w:autoSpaceDE w:val="0"/>
        <w:autoSpaceDN w:val="0"/>
        <w:adjustRightInd w:val="0"/>
        <w:spacing w:after="0" w:line="360" w:lineRule="auto"/>
        <w:rPr>
          <w:rFonts w:eastAsia="Times New Roman" w:cs="Tahoma"/>
          <w:b/>
          <w:bCs/>
          <w:color w:val="auto"/>
          <w:szCs w:val="24"/>
          <w:lang w:eastAsia="es-ES"/>
        </w:rPr>
      </w:pPr>
    </w:p>
    <w:p w:rsidRPr="0081647F" w:rsidR="0081647F" w:rsidP="00A158AB" w:rsidRDefault="00EA3060" w14:paraId="0CEDCDD1" w14:textId="38B14A91">
      <w:pPr>
        <w:autoSpaceDE w:val="0"/>
        <w:autoSpaceDN w:val="0"/>
        <w:adjustRightInd w:val="0"/>
        <w:spacing w:after="0" w:line="360" w:lineRule="auto"/>
        <w:rPr>
          <w:rFonts w:eastAsia="Times New Roman" w:cs="Tahoma"/>
          <w:b/>
          <w:bCs/>
          <w:color w:val="auto"/>
          <w:szCs w:val="24"/>
          <w:lang w:eastAsia="es-ES"/>
        </w:rPr>
      </w:pPr>
      <w:r>
        <w:rPr>
          <w:rFonts w:eastAsia="Times New Roman" w:cs="Tahoma"/>
          <w:b/>
          <w:color w:val="auto"/>
          <w:szCs w:val="24"/>
          <w:lang w:eastAsia="es-ES"/>
        </w:rPr>
        <w:t xml:space="preserve">II. </w:t>
      </w:r>
      <w:r w:rsidRPr="0081647F" w:rsidR="0081647F">
        <w:rPr>
          <w:rFonts w:eastAsia="Times New Roman" w:cs="Tahoma"/>
          <w:b/>
          <w:color w:val="auto"/>
          <w:szCs w:val="24"/>
          <w:lang w:eastAsia="es-ES"/>
        </w:rPr>
        <w:t>Respuesta</w:t>
      </w:r>
      <w:r w:rsidRPr="0081647F" w:rsidR="0081647F">
        <w:rPr>
          <w:rFonts w:eastAsia="Times New Roman" w:cs="Tahoma"/>
          <w:b/>
          <w:bCs/>
          <w:color w:val="auto"/>
          <w:szCs w:val="24"/>
          <w:lang w:eastAsia="es-ES"/>
        </w:rPr>
        <w:t xml:space="preserve"> del Sujeto Obligado.</w:t>
      </w:r>
    </w:p>
    <w:p w:rsidR="0081647F" w:rsidP="00A158AB" w:rsidRDefault="00B571D7" w14:paraId="2E17B962" w14:textId="4E940659">
      <w:pPr>
        <w:autoSpaceDE w:val="0"/>
        <w:autoSpaceDN w:val="0"/>
        <w:adjustRightInd w:val="0"/>
        <w:spacing w:after="0" w:line="360" w:lineRule="auto"/>
        <w:rPr>
          <w:rFonts w:eastAsia="Times New Roman" w:cs="Tahoma"/>
          <w:color w:val="auto"/>
          <w:szCs w:val="24"/>
          <w:lang w:eastAsia="es-ES"/>
        </w:rPr>
      </w:pPr>
      <w:r>
        <w:rPr>
          <w:rFonts w:eastAsia="Times New Roman" w:cs="Tahoma"/>
          <w:bCs/>
          <w:color w:val="auto"/>
          <w:szCs w:val="24"/>
          <w:lang w:eastAsia="es-ES"/>
        </w:rPr>
        <w:lastRenderedPageBreak/>
        <w:t>Con fecha</w:t>
      </w:r>
      <w:r w:rsidRPr="0081647F" w:rsidR="0081647F">
        <w:rPr>
          <w:rFonts w:eastAsia="Times New Roman" w:cs="Tahoma"/>
          <w:bCs/>
          <w:color w:val="auto"/>
          <w:szCs w:val="24"/>
          <w:lang w:eastAsia="es-ES"/>
        </w:rPr>
        <w:t xml:space="preserve"> </w:t>
      </w:r>
      <w:r w:rsidR="00122B57">
        <w:rPr>
          <w:rFonts w:eastAsia="Times New Roman" w:cs="Tahoma"/>
          <w:bCs/>
          <w:color w:val="auto"/>
          <w:szCs w:val="24"/>
          <w:lang w:eastAsia="es-ES"/>
        </w:rPr>
        <w:t>diecisiete</w:t>
      </w:r>
      <w:r w:rsidR="0081647F">
        <w:rPr>
          <w:rFonts w:eastAsia="Times New Roman" w:cs="Tahoma"/>
          <w:bCs/>
          <w:color w:val="auto"/>
          <w:szCs w:val="24"/>
          <w:lang w:eastAsia="es-ES"/>
        </w:rPr>
        <w:t xml:space="preserve"> de </w:t>
      </w:r>
      <w:r w:rsidR="00122B57">
        <w:rPr>
          <w:rFonts w:eastAsia="Times New Roman" w:cs="Tahoma"/>
          <w:bCs/>
          <w:color w:val="auto"/>
          <w:szCs w:val="24"/>
          <w:lang w:eastAsia="es-ES"/>
        </w:rPr>
        <w:t>mayo</w:t>
      </w:r>
      <w:r w:rsidRPr="0081647F" w:rsidR="0081647F">
        <w:rPr>
          <w:rFonts w:eastAsia="Times New Roman" w:cs="Tahoma"/>
          <w:bCs/>
          <w:color w:val="auto"/>
          <w:szCs w:val="24"/>
          <w:lang w:eastAsia="es-ES"/>
        </w:rPr>
        <w:t xml:space="preserve"> de dos mil veintidós, el</w:t>
      </w:r>
      <w:r w:rsidRPr="0081647F" w:rsidR="0081647F">
        <w:rPr>
          <w:rFonts w:eastAsia="Times New Roman" w:cs="Tahoma"/>
          <w:b/>
          <w:color w:val="auto"/>
          <w:szCs w:val="24"/>
          <w:lang w:eastAsia="es-ES"/>
        </w:rPr>
        <w:t xml:space="preserve"> </w:t>
      </w:r>
      <w:r w:rsidRPr="0081647F" w:rsidR="0081647F">
        <w:rPr>
          <w:rFonts w:eastAsia="Times New Roman" w:cs="Tahoma"/>
          <w:color w:val="auto"/>
          <w:szCs w:val="24"/>
          <w:lang w:eastAsia="es-ES"/>
        </w:rPr>
        <w:t>Sujeto Obligado dio respuesta a la solicitud de acceso a la información a través del Sistema de Acceso a la Información Mexiquense (SAIMEX), a través del oficio número</w:t>
      </w:r>
      <w:r w:rsidR="00122B57">
        <w:rPr>
          <w:rFonts w:eastAsia="Times New Roman" w:cs="Tahoma"/>
          <w:color w:val="auto"/>
          <w:szCs w:val="24"/>
          <w:lang w:eastAsia="es-ES"/>
        </w:rPr>
        <w:t xml:space="preserve"> UT</w:t>
      </w:r>
      <w:r w:rsidR="00EF2ACF">
        <w:rPr>
          <w:rFonts w:eastAsia="Times New Roman" w:cs="Tahoma"/>
          <w:color w:val="auto"/>
          <w:szCs w:val="24"/>
          <w:lang w:eastAsia="es-ES"/>
        </w:rPr>
        <w:t>/</w:t>
      </w:r>
      <w:r w:rsidR="00122B57">
        <w:rPr>
          <w:rFonts w:eastAsia="Times New Roman" w:cs="Tahoma"/>
          <w:color w:val="auto"/>
          <w:szCs w:val="24"/>
          <w:lang w:eastAsia="es-ES"/>
        </w:rPr>
        <w:t>MET</w:t>
      </w:r>
      <w:r w:rsidR="00EF2ACF">
        <w:rPr>
          <w:rFonts w:eastAsia="Times New Roman" w:cs="Tahoma"/>
          <w:color w:val="auto"/>
          <w:szCs w:val="24"/>
          <w:lang w:eastAsia="es-ES"/>
        </w:rPr>
        <w:t>/OP/</w:t>
      </w:r>
      <w:r w:rsidR="00122B57">
        <w:rPr>
          <w:rFonts w:eastAsia="Times New Roman" w:cs="Tahoma"/>
          <w:color w:val="auto"/>
          <w:szCs w:val="24"/>
          <w:lang w:eastAsia="es-ES"/>
        </w:rPr>
        <w:t>9</w:t>
      </w:r>
      <w:r w:rsidR="00EF2ACF">
        <w:rPr>
          <w:rFonts w:eastAsia="Times New Roman" w:cs="Tahoma"/>
          <w:color w:val="auto"/>
          <w:szCs w:val="24"/>
          <w:lang w:eastAsia="es-ES"/>
        </w:rPr>
        <w:t>1</w:t>
      </w:r>
      <w:r w:rsidR="00122B57">
        <w:rPr>
          <w:rFonts w:eastAsia="Times New Roman" w:cs="Tahoma"/>
          <w:color w:val="auto"/>
          <w:szCs w:val="24"/>
          <w:lang w:eastAsia="es-ES"/>
        </w:rPr>
        <w:t>0</w:t>
      </w:r>
      <w:r w:rsidR="00EF2ACF">
        <w:rPr>
          <w:rFonts w:eastAsia="Times New Roman" w:cs="Tahoma"/>
          <w:color w:val="auto"/>
          <w:szCs w:val="24"/>
          <w:lang w:eastAsia="es-ES"/>
        </w:rPr>
        <w:t>/2022</w:t>
      </w:r>
      <w:r w:rsidRPr="0081647F" w:rsidR="0081647F">
        <w:rPr>
          <w:rFonts w:eastAsia="Times New Roman" w:cs="Tahoma"/>
          <w:color w:val="auto"/>
          <w:szCs w:val="24"/>
          <w:lang w:eastAsia="es-ES"/>
        </w:rPr>
        <w:t xml:space="preserve">, </w:t>
      </w:r>
      <w:r w:rsidR="0081647F">
        <w:rPr>
          <w:rFonts w:eastAsia="Times New Roman" w:cs="Tahoma"/>
          <w:color w:val="auto"/>
          <w:szCs w:val="24"/>
          <w:lang w:eastAsia="es-ES"/>
        </w:rPr>
        <w:t xml:space="preserve">del </w:t>
      </w:r>
      <w:r w:rsidR="00122B57">
        <w:rPr>
          <w:rFonts w:eastAsia="Times New Roman" w:cs="Tahoma"/>
          <w:color w:val="auto"/>
          <w:szCs w:val="24"/>
          <w:lang w:eastAsia="es-ES"/>
        </w:rPr>
        <w:t>trece</w:t>
      </w:r>
      <w:r w:rsidR="0081647F">
        <w:rPr>
          <w:rFonts w:eastAsia="Times New Roman" w:cs="Tahoma"/>
          <w:color w:val="auto"/>
          <w:szCs w:val="24"/>
          <w:lang w:eastAsia="es-ES"/>
        </w:rPr>
        <w:t xml:space="preserve"> de</w:t>
      </w:r>
      <w:r w:rsidR="00EF2ACF">
        <w:rPr>
          <w:rFonts w:eastAsia="Times New Roman" w:cs="Tahoma"/>
          <w:color w:val="auto"/>
          <w:szCs w:val="24"/>
          <w:lang w:eastAsia="es-ES"/>
        </w:rPr>
        <w:t xml:space="preserve">l mismo mes y </w:t>
      </w:r>
      <w:r w:rsidR="0081647F">
        <w:rPr>
          <w:rFonts w:eastAsia="Times New Roman" w:cs="Tahoma"/>
          <w:color w:val="auto"/>
          <w:szCs w:val="24"/>
          <w:lang w:eastAsia="es-ES"/>
        </w:rPr>
        <w:t>año</w:t>
      </w:r>
      <w:r w:rsidRPr="0081647F" w:rsidR="0081647F">
        <w:rPr>
          <w:rFonts w:eastAsia="Times New Roman" w:cs="Tahoma"/>
          <w:color w:val="auto"/>
          <w:szCs w:val="24"/>
          <w:lang w:eastAsia="es-ES"/>
        </w:rPr>
        <w:t xml:space="preserve">, suscrito por </w:t>
      </w:r>
      <w:r w:rsidR="0081647F">
        <w:rPr>
          <w:rFonts w:eastAsia="Times New Roman" w:cs="Tahoma"/>
          <w:color w:val="auto"/>
          <w:szCs w:val="24"/>
          <w:lang w:eastAsia="es-ES"/>
        </w:rPr>
        <w:t xml:space="preserve">el </w:t>
      </w:r>
      <w:r w:rsidR="00122B57">
        <w:rPr>
          <w:rFonts w:eastAsia="Times New Roman" w:cs="Tahoma"/>
          <w:color w:val="auto"/>
          <w:szCs w:val="24"/>
          <w:lang w:eastAsia="es-ES"/>
        </w:rPr>
        <w:t>Titular</w:t>
      </w:r>
      <w:r w:rsidR="0081647F">
        <w:rPr>
          <w:rFonts w:eastAsia="Times New Roman" w:cs="Tahoma"/>
          <w:color w:val="auto"/>
          <w:szCs w:val="24"/>
          <w:lang w:eastAsia="es-ES"/>
        </w:rPr>
        <w:t xml:space="preserve"> de </w:t>
      </w:r>
      <w:r w:rsidR="00EF2ACF">
        <w:rPr>
          <w:rFonts w:eastAsia="Times New Roman" w:cs="Tahoma"/>
          <w:color w:val="auto"/>
          <w:szCs w:val="24"/>
          <w:lang w:eastAsia="es-ES"/>
        </w:rPr>
        <w:t xml:space="preserve">la Unidad de </w:t>
      </w:r>
      <w:r w:rsidR="0081647F">
        <w:rPr>
          <w:rFonts w:eastAsia="Times New Roman" w:cs="Tahoma"/>
          <w:color w:val="auto"/>
          <w:szCs w:val="24"/>
          <w:lang w:eastAsia="es-ES"/>
        </w:rPr>
        <w:t>Transparencia</w:t>
      </w:r>
      <w:r w:rsidR="00122B57">
        <w:rPr>
          <w:rFonts w:eastAsia="Times New Roman" w:cs="Tahoma"/>
          <w:color w:val="auto"/>
          <w:szCs w:val="24"/>
          <w:lang w:eastAsia="es-ES"/>
        </w:rPr>
        <w:t xml:space="preserve"> y dirigido al solicitante</w:t>
      </w:r>
      <w:r w:rsidRPr="0081647F" w:rsidR="0081647F">
        <w:rPr>
          <w:rFonts w:eastAsia="Times New Roman" w:cs="Tahoma"/>
          <w:color w:val="auto"/>
          <w:szCs w:val="24"/>
          <w:lang w:eastAsia="es-ES"/>
        </w:rPr>
        <w:t xml:space="preserve">, </w:t>
      </w:r>
      <w:r w:rsidR="0081647F">
        <w:rPr>
          <w:rFonts w:eastAsia="Times New Roman" w:cs="Tahoma"/>
          <w:color w:val="auto"/>
          <w:szCs w:val="24"/>
          <w:lang w:eastAsia="es-ES"/>
        </w:rPr>
        <w:t xml:space="preserve">mediante el cual </w:t>
      </w:r>
      <w:r w:rsidR="00EF2ACF">
        <w:rPr>
          <w:rFonts w:eastAsia="Times New Roman" w:cs="Tahoma"/>
          <w:color w:val="auto"/>
          <w:szCs w:val="24"/>
          <w:lang w:eastAsia="es-ES"/>
        </w:rPr>
        <w:t xml:space="preserve">manifiesta lo siguiente: </w:t>
      </w:r>
    </w:p>
    <w:p w:rsidR="00EF2ACF" w:rsidP="00A158AB" w:rsidRDefault="00EF2ACF" w14:paraId="6A5E19F2" w14:textId="37163C58">
      <w:pPr>
        <w:autoSpaceDE w:val="0"/>
        <w:autoSpaceDN w:val="0"/>
        <w:adjustRightInd w:val="0"/>
        <w:spacing w:after="0" w:line="360" w:lineRule="auto"/>
        <w:rPr>
          <w:rFonts w:eastAsia="Times New Roman" w:cs="Tahoma"/>
          <w:color w:val="auto"/>
          <w:szCs w:val="24"/>
          <w:lang w:eastAsia="es-ES"/>
        </w:rPr>
      </w:pPr>
    </w:p>
    <w:p w:rsidRPr="00DC411A" w:rsidR="00EF2ACF" w:rsidP="00DC411A" w:rsidRDefault="00EF2ACF" w14:paraId="6B15D73B" w14:textId="675FBCC5">
      <w:pPr>
        <w:autoSpaceDE w:val="0"/>
        <w:autoSpaceDN w:val="0"/>
        <w:adjustRightInd w:val="0"/>
        <w:spacing w:after="0" w:line="360" w:lineRule="auto"/>
        <w:ind w:left="567" w:right="567"/>
        <w:rPr>
          <w:rFonts w:eastAsia="Times New Roman" w:cs="Tahoma"/>
          <w:i/>
          <w:iCs/>
          <w:color w:val="auto"/>
          <w:sz w:val="20"/>
          <w:lang w:eastAsia="es-ES"/>
        </w:rPr>
      </w:pPr>
      <w:r w:rsidRPr="00DC411A">
        <w:rPr>
          <w:rFonts w:eastAsia="Times New Roman" w:cs="Tahoma"/>
          <w:i/>
          <w:iCs/>
          <w:color w:val="auto"/>
          <w:sz w:val="20"/>
          <w:lang w:eastAsia="es-ES"/>
        </w:rPr>
        <w:t>“…</w:t>
      </w:r>
    </w:p>
    <w:p w:rsidRPr="00DC411A" w:rsidR="00EF2ACF" w:rsidP="00DC411A" w:rsidRDefault="00122B57" w14:paraId="5ED9C52E" w14:textId="1C19811D">
      <w:pPr>
        <w:autoSpaceDE w:val="0"/>
        <w:autoSpaceDN w:val="0"/>
        <w:adjustRightInd w:val="0"/>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 xml:space="preserve">Del análisis de la solicitud de información se determina que la misma no cumple con determinadas características para que el sujeto obligado esté en aptitud de identificar </w:t>
      </w:r>
      <w:r w:rsidR="00995CF2">
        <w:rPr>
          <w:rFonts w:eastAsia="Times New Roman" w:cs="Tahoma"/>
          <w:i/>
          <w:iCs/>
          <w:color w:val="auto"/>
          <w:sz w:val="20"/>
          <w:lang w:eastAsia="es-ES"/>
        </w:rPr>
        <w:t xml:space="preserve">la atribución, tema, materia o asunto sobre lo que versa la solicitud de acceso a la información o lo documentos de interés. Se advierte que la solicitud difícilmente puede colmarse con documentos previamente generados por lo que no al no colmarse </w:t>
      </w:r>
      <w:r w:rsidR="00026BFC">
        <w:rPr>
          <w:rFonts w:eastAsia="Times New Roman" w:cs="Tahoma"/>
          <w:i/>
          <w:iCs/>
          <w:color w:val="auto"/>
          <w:sz w:val="20"/>
          <w:lang w:eastAsia="es-ES"/>
        </w:rPr>
        <w:t xml:space="preserve">con la entrega de documentos, se concluye que no se está en presencia del ejercicio </w:t>
      </w:r>
      <w:r w:rsidR="00071FCD">
        <w:rPr>
          <w:rFonts w:eastAsia="Times New Roman" w:cs="Tahoma"/>
          <w:i/>
          <w:iCs/>
          <w:color w:val="auto"/>
          <w:sz w:val="20"/>
          <w:lang w:eastAsia="es-ES"/>
        </w:rPr>
        <w:t>del derecho</w:t>
      </w:r>
      <w:r w:rsidR="00026BFC">
        <w:rPr>
          <w:rFonts w:eastAsia="Times New Roman" w:cs="Tahoma"/>
          <w:i/>
          <w:iCs/>
          <w:color w:val="auto"/>
          <w:sz w:val="20"/>
          <w:lang w:eastAsia="es-ES"/>
        </w:rPr>
        <w:t xml:space="preserve">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Pr="00DC411A" w:rsidR="00EF2ACF" w:rsidP="00DC411A" w:rsidRDefault="00EF2ACF" w14:paraId="466BB16A" w14:textId="332856EC">
      <w:pPr>
        <w:autoSpaceDE w:val="0"/>
        <w:autoSpaceDN w:val="0"/>
        <w:adjustRightInd w:val="0"/>
        <w:spacing w:after="0" w:line="360" w:lineRule="auto"/>
        <w:ind w:left="567" w:right="567"/>
        <w:rPr>
          <w:rFonts w:eastAsia="Times New Roman" w:cs="Tahoma"/>
          <w:i/>
          <w:iCs/>
          <w:color w:val="auto"/>
          <w:sz w:val="20"/>
          <w:lang w:eastAsia="es-ES"/>
        </w:rPr>
      </w:pPr>
      <w:r w:rsidRPr="00DC411A">
        <w:rPr>
          <w:rFonts w:eastAsia="Times New Roman" w:cs="Tahoma"/>
          <w:i/>
          <w:iCs/>
          <w:color w:val="auto"/>
          <w:sz w:val="20"/>
          <w:lang w:eastAsia="es-ES"/>
        </w:rPr>
        <w:t>…”</w:t>
      </w:r>
      <w:r w:rsidRPr="00DC411A" w:rsidR="00DC411A">
        <w:rPr>
          <w:rFonts w:eastAsia="Times New Roman" w:cs="Tahoma"/>
          <w:i/>
          <w:iCs/>
          <w:color w:val="auto"/>
          <w:sz w:val="20"/>
          <w:lang w:eastAsia="es-ES"/>
        </w:rPr>
        <w:t xml:space="preserve"> (</w:t>
      </w:r>
      <w:r w:rsidR="00C30B5F">
        <w:rPr>
          <w:rFonts w:eastAsia="Times New Roman" w:cs="Tahoma"/>
          <w:i/>
          <w:iCs/>
          <w:color w:val="auto"/>
          <w:sz w:val="20"/>
          <w:lang w:eastAsia="es-ES"/>
        </w:rPr>
        <w:t>S</w:t>
      </w:r>
      <w:r w:rsidRPr="00DC411A" w:rsidR="00DC411A">
        <w:rPr>
          <w:rFonts w:eastAsia="Times New Roman" w:cs="Tahoma"/>
          <w:i/>
          <w:iCs/>
          <w:color w:val="auto"/>
          <w:sz w:val="20"/>
          <w:lang w:eastAsia="es-ES"/>
        </w:rPr>
        <w:t>ic</w:t>
      </w:r>
      <w:r w:rsidR="00DC411A">
        <w:rPr>
          <w:rFonts w:eastAsia="Times New Roman" w:cs="Tahoma"/>
          <w:i/>
          <w:iCs/>
          <w:color w:val="auto"/>
          <w:sz w:val="20"/>
          <w:lang w:eastAsia="es-ES"/>
        </w:rPr>
        <w:t>.</w:t>
      </w:r>
      <w:r w:rsidRPr="00DC411A" w:rsidR="00DC411A">
        <w:rPr>
          <w:rFonts w:eastAsia="Times New Roman" w:cs="Tahoma"/>
          <w:i/>
          <w:iCs/>
          <w:color w:val="auto"/>
          <w:sz w:val="20"/>
          <w:lang w:eastAsia="es-ES"/>
        </w:rPr>
        <w:t>)</w:t>
      </w:r>
    </w:p>
    <w:p w:rsidRPr="00446963" w:rsidR="00066B31" w:rsidP="00A158AB" w:rsidRDefault="00066B31" w14:paraId="33033FE1" w14:textId="77777777">
      <w:pPr>
        <w:autoSpaceDE w:val="0"/>
        <w:autoSpaceDN w:val="0"/>
        <w:adjustRightInd w:val="0"/>
        <w:spacing w:after="0" w:line="360" w:lineRule="auto"/>
        <w:rPr>
          <w:rFonts w:cs="Tahoma"/>
          <w:b/>
        </w:rPr>
      </w:pPr>
    </w:p>
    <w:p w:rsidRPr="00446963" w:rsidR="00066B31" w:rsidP="00A158AB" w:rsidRDefault="00066B31" w14:paraId="1EB66871" w14:textId="554B96BC">
      <w:pPr>
        <w:autoSpaceDE w:val="0"/>
        <w:autoSpaceDN w:val="0"/>
        <w:adjustRightInd w:val="0"/>
        <w:spacing w:after="0" w:line="360" w:lineRule="auto"/>
        <w:rPr>
          <w:rFonts w:cs="Tahoma"/>
          <w:b/>
        </w:rPr>
      </w:pPr>
      <w:r w:rsidRPr="00446963">
        <w:rPr>
          <w:rFonts w:cs="Tahoma"/>
          <w:b/>
        </w:rPr>
        <w:t>I</w:t>
      </w:r>
      <w:r w:rsidR="00C7349B">
        <w:rPr>
          <w:rFonts w:cs="Tahoma"/>
          <w:b/>
        </w:rPr>
        <w:t>II</w:t>
      </w:r>
      <w:r w:rsidRPr="00446963">
        <w:rPr>
          <w:rFonts w:cs="Tahoma"/>
          <w:b/>
        </w:rPr>
        <w:t xml:space="preserve">. Interposición del Recurso de Revisión. </w:t>
      </w:r>
    </w:p>
    <w:p w:rsidRPr="00446963" w:rsidR="00066B31" w:rsidP="00A158AB" w:rsidRDefault="00066B31" w14:paraId="56D17863" w14:textId="77777777">
      <w:pPr>
        <w:autoSpaceDE w:val="0"/>
        <w:autoSpaceDN w:val="0"/>
        <w:adjustRightInd w:val="0"/>
        <w:spacing w:after="0" w:line="360" w:lineRule="auto"/>
        <w:rPr>
          <w:rFonts w:cs="Tahoma"/>
          <w:b/>
        </w:rPr>
      </w:pPr>
    </w:p>
    <w:p w:rsidRPr="00610C0E" w:rsidR="00610C0E" w:rsidP="00A158AB" w:rsidRDefault="00610C0E" w14:paraId="600DCA6C" w14:textId="39986968">
      <w:pPr>
        <w:spacing w:after="0" w:line="360" w:lineRule="auto"/>
        <w:rPr>
          <w:rFonts w:eastAsia="Calibri" w:cs="Times New Roman"/>
          <w:b/>
          <w:bCs/>
        </w:rPr>
      </w:pPr>
      <w:r w:rsidRPr="00610C0E">
        <w:rPr>
          <w:rFonts w:eastAsia="Calibri" w:cs="Times New Roman"/>
          <w:bCs/>
        </w:rPr>
        <w:t xml:space="preserve">Con fecha </w:t>
      </w:r>
      <w:r w:rsidR="00026BFC">
        <w:rPr>
          <w:rFonts w:eastAsia="Calibri" w:cs="Times New Roman"/>
          <w:bCs/>
        </w:rPr>
        <w:t>treinta</w:t>
      </w:r>
      <w:r w:rsidR="005A3F30">
        <w:rPr>
          <w:rFonts w:eastAsia="Calibri" w:cs="Times New Roman"/>
          <w:bCs/>
        </w:rPr>
        <w:t xml:space="preserve"> de </w:t>
      </w:r>
      <w:r w:rsidR="00C30B5F">
        <w:rPr>
          <w:rFonts w:eastAsia="Calibri" w:cs="Times New Roman"/>
          <w:bCs/>
        </w:rPr>
        <w:t>ma</w:t>
      </w:r>
      <w:r w:rsidR="00DD3FEA">
        <w:rPr>
          <w:rFonts w:eastAsia="Calibri" w:cs="Times New Roman"/>
          <w:bCs/>
        </w:rPr>
        <w:t>y</w:t>
      </w:r>
      <w:r w:rsidR="00C30B5F">
        <w:rPr>
          <w:rFonts w:eastAsia="Calibri" w:cs="Times New Roman"/>
          <w:bCs/>
        </w:rPr>
        <w:t>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C30B5F">
        <w:rPr>
          <w:rFonts w:eastAsia="Calibri" w:cs="Times New Roman"/>
          <w:bCs/>
          <w:lang w:val="es-ES"/>
        </w:rPr>
        <w:t xml:space="preserve"> </w:t>
      </w:r>
      <w:r w:rsidRPr="00610C0E">
        <w:rPr>
          <w:rFonts w:eastAsia="Calibri" w:cs="Times New Roman"/>
          <w:bCs/>
          <w:lang w:val="es-ES"/>
        </w:rPr>
        <w:t>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Pr="00446963" w:rsidR="00480903" w:rsidP="00A158AB" w:rsidRDefault="00480903" w14:paraId="3F2F78D6" w14:textId="77777777">
      <w:pPr>
        <w:autoSpaceDE w:val="0"/>
        <w:autoSpaceDN w:val="0"/>
        <w:adjustRightInd w:val="0"/>
        <w:spacing w:after="0" w:line="360" w:lineRule="auto"/>
        <w:rPr>
          <w:rFonts w:cs="Tahoma"/>
        </w:rPr>
      </w:pPr>
    </w:p>
    <w:p w:rsidRPr="005A6E3B" w:rsidR="00066B31" w:rsidP="00A158AB"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A158AB" w:rsidRDefault="00DD3FEA" w14:paraId="49C43B2D" w14:textId="14D31FBF">
      <w:pPr>
        <w:autoSpaceDE w:val="0"/>
        <w:autoSpaceDN w:val="0"/>
        <w:adjustRightInd w:val="0"/>
        <w:spacing w:after="0" w:line="360" w:lineRule="auto"/>
        <w:ind w:left="567" w:right="567"/>
        <w:rPr>
          <w:rFonts w:cs="Tahoma"/>
          <w:i/>
          <w:sz w:val="20"/>
          <w:szCs w:val="20"/>
        </w:rPr>
      </w:pPr>
      <w:r w:rsidRPr="00DD3FEA">
        <w:rPr>
          <w:i/>
          <w:iCs/>
          <w:sz w:val="20"/>
          <w:szCs w:val="20"/>
        </w:rPr>
        <w:t>LA RESPUESTA DEL SUJETO OBLIGADO</w:t>
      </w:r>
      <w:r w:rsidRPr="005A6E3B" w:rsidR="00066B31">
        <w:rPr>
          <w:i/>
          <w:sz w:val="20"/>
          <w:szCs w:val="20"/>
        </w:rPr>
        <w:t>”</w:t>
      </w:r>
      <w:r w:rsidRPr="005A6E3B" w:rsidR="00066B31">
        <w:rPr>
          <w:rFonts w:cs="Tahoma"/>
          <w:i/>
          <w:sz w:val="20"/>
          <w:szCs w:val="20"/>
        </w:rPr>
        <w:t xml:space="preserve"> (Sic.)</w:t>
      </w:r>
    </w:p>
    <w:p w:rsidR="00043C41" w:rsidP="00A158AB" w:rsidRDefault="00043C41" w14:paraId="0CE1073B" w14:textId="77777777">
      <w:pPr>
        <w:autoSpaceDE w:val="0"/>
        <w:autoSpaceDN w:val="0"/>
        <w:adjustRightInd w:val="0"/>
        <w:spacing w:after="0" w:line="360" w:lineRule="auto"/>
        <w:ind w:left="567" w:right="567"/>
        <w:rPr>
          <w:rFonts w:cs="Tahoma"/>
          <w:i/>
          <w:sz w:val="20"/>
          <w:szCs w:val="20"/>
        </w:rPr>
      </w:pPr>
    </w:p>
    <w:p w:rsidR="00B571D7" w:rsidP="00A158AB" w:rsidRDefault="00B571D7" w14:paraId="4E31EF11" w14:textId="77777777">
      <w:pPr>
        <w:autoSpaceDE w:val="0"/>
        <w:autoSpaceDN w:val="0"/>
        <w:adjustRightInd w:val="0"/>
        <w:spacing w:after="0" w:line="360" w:lineRule="auto"/>
        <w:ind w:left="567" w:right="567"/>
        <w:rPr>
          <w:rFonts w:cs="Tahoma"/>
          <w:i/>
          <w:sz w:val="20"/>
          <w:szCs w:val="20"/>
        </w:rPr>
      </w:pPr>
    </w:p>
    <w:p w:rsidRPr="005A6E3B" w:rsidR="00066B31" w:rsidP="00A158AB"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lastRenderedPageBreak/>
        <w:t>“RAZONES O MOTIVOS DE LA INCONFORMIDAD</w:t>
      </w:r>
    </w:p>
    <w:p w:rsidRPr="005A6E3B" w:rsidR="00066B31" w:rsidP="00A158AB" w:rsidRDefault="00DD3FEA" w14:paraId="39D18A41" w14:textId="73A9365B">
      <w:pPr>
        <w:autoSpaceDE w:val="0"/>
        <w:autoSpaceDN w:val="0"/>
        <w:adjustRightInd w:val="0"/>
        <w:spacing w:after="0" w:line="360" w:lineRule="auto"/>
        <w:ind w:left="567" w:right="567"/>
        <w:rPr>
          <w:rFonts w:cs="Tahoma"/>
          <w:i/>
          <w:sz w:val="20"/>
          <w:szCs w:val="20"/>
        </w:rPr>
      </w:pPr>
      <w:r w:rsidRPr="00DD3FEA">
        <w:rPr>
          <w:i/>
          <w:iCs/>
          <w:sz w:val="20"/>
          <w:szCs w:val="20"/>
        </w:rPr>
        <w:t>NO SE REALIZA UNA BUSQUEDA EXHAUSTIVA Y RAZONABLE. REFIERE QUE FUE UNA MANIFESTACIÓN SUBJETIVA CUANDO LA SOLICITUD ES CLARA EN CUANTO AL REQUERIMIENTO SOBRE EL USO DE RECURSOS PUBLICOS. CASO DISTINTO SERIA MANIFESTAR QUE NO HA SIDO EL CASO.</w:t>
      </w:r>
      <w:r w:rsidRPr="005A6E3B" w:rsidR="00066B31">
        <w:rPr>
          <w:rFonts w:cs="Tahoma"/>
          <w:i/>
          <w:sz w:val="20"/>
          <w:szCs w:val="20"/>
        </w:rPr>
        <w:t>” (Sic.)</w:t>
      </w:r>
    </w:p>
    <w:p w:rsidRPr="00446963" w:rsidR="00FC6C9A" w:rsidP="00A158AB" w:rsidRDefault="00FC6C9A" w14:paraId="025E20EB" w14:textId="77777777">
      <w:pPr>
        <w:spacing w:after="0" w:line="360" w:lineRule="auto"/>
        <w:rPr>
          <w:rFonts w:cs="Tahoma"/>
          <w:bCs/>
        </w:rPr>
      </w:pPr>
    </w:p>
    <w:p w:rsidRPr="00446963" w:rsidR="00066B31" w:rsidP="00A158AB"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A158AB" w:rsidRDefault="00066B31" w14:paraId="55E97358" w14:textId="77777777">
      <w:pPr>
        <w:spacing w:after="0" w:line="360" w:lineRule="auto"/>
        <w:rPr>
          <w:rFonts w:eastAsia="Batang" w:cs="Tahoma"/>
          <w:b/>
          <w:bCs/>
        </w:rPr>
      </w:pPr>
    </w:p>
    <w:p w:rsidRPr="00446963" w:rsidR="00066B31" w:rsidP="00A158AB" w:rsidRDefault="00066B31" w14:paraId="77FAD18E" w14:textId="4D84B5B2">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DD3FEA">
        <w:rPr>
          <w:rFonts w:eastAsia="Batang" w:cs="Tahoma"/>
          <w:bCs/>
        </w:rPr>
        <w:t>treinta</w:t>
      </w:r>
      <w:r w:rsidR="00C8149E">
        <w:rPr>
          <w:rFonts w:eastAsia="Batang" w:cs="Tahoma"/>
          <w:bCs/>
        </w:rPr>
        <w:t xml:space="preserve"> de </w:t>
      </w:r>
      <w:r w:rsidR="00C30B5F">
        <w:rPr>
          <w:rFonts w:eastAsia="Batang" w:cs="Tahoma"/>
          <w:bCs/>
        </w:rPr>
        <w:t>m</w:t>
      </w:r>
      <w:r w:rsidR="00DD3FEA">
        <w:rPr>
          <w:rFonts w:eastAsia="Batang" w:cs="Tahoma"/>
          <w:bCs/>
        </w:rPr>
        <w:t>ay</w:t>
      </w:r>
      <w:r w:rsidR="00C30B5F">
        <w:rPr>
          <w:rFonts w:eastAsia="Batang" w:cs="Tahoma"/>
          <w:bCs/>
        </w:rPr>
        <w:t>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DD3FEA" w:rsidR="00DD3FEA">
        <w:rPr>
          <w:b/>
          <w:bCs/>
        </w:rPr>
        <w:t>10331/INFOEM/IP/RR/2022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A158AB" w:rsidRDefault="00066B31" w14:paraId="6C462593" w14:textId="77777777">
      <w:pPr>
        <w:spacing w:after="0" w:line="360" w:lineRule="auto"/>
        <w:rPr>
          <w:rFonts w:eastAsia="Batang" w:cs="Tahoma"/>
          <w:bCs/>
        </w:rPr>
      </w:pPr>
    </w:p>
    <w:p w:rsidRPr="00446963" w:rsidR="00066B31" w:rsidP="00A158AB" w:rsidRDefault="00066B31" w14:paraId="5A1C754E" w14:textId="0E61315A">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DD3FEA">
        <w:rPr>
          <w:rFonts w:eastAsia="Batang" w:cs="Tahoma"/>
          <w:bCs/>
          <w:lang w:val="es-ES_tradnl"/>
        </w:rPr>
        <w:t>dos</w:t>
      </w:r>
      <w:r w:rsidR="00FE24DD">
        <w:rPr>
          <w:rFonts w:eastAsia="Batang" w:cs="Tahoma"/>
          <w:bCs/>
          <w:lang w:val="es-ES_tradnl"/>
        </w:rPr>
        <w:t xml:space="preserve"> de </w:t>
      </w:r>
      <w:r w:rsidR="00DD3FEA">
        <w:rPr>
          <w:rFonts w:eastAsia="Batang" w:cs="Tahoma"/>
          <w:bCs/>
          <w:lang w:val="es-ES_tradnl"/>
        </w:rPr>
        <w:t>junio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DD3FEA">
        <w:rPr>
          <w:rFonts w:eastAsia="Batang" w:cs="Tahoma"/>
          <w:bCs/>
          <w:lang w:val="es-ES_tradnl"/>
        </w:rPr>
        <w:t>seis</w:t>
      </w:r>
      <w:r w:rsidR="00FE24DD">
        <w:rPr>
          <w:rFonts w:eastAsia="Batang" w:cs="Tahoma"/>
          <w:bCs/>
          <w:lang w:val="es-ES_tradnl"/>
        </w:rPr>
        <w:t xml:space="preserve"> de</w:t>
      </w:r>
      <w:r w:rsidR="00DD3FEA">
        <w:rPr>
          <w:rFonts w:eastAsia="Batang" w:cs="Tahoma"/>
          <w:bCs/>
          <w:lang w:val="es-ES_tradnl"/>
        </w:rPr>
        <w:t xml:space="preserve"> </w:t>
      </w:r>
      <w:r w:rsidR="00FE24DD">
        <w:rPr>
          <w:rFonts w:eastAsia="Batang" w:cs="Tahoma"/>
          <w:bCs/>
          <w:lang w:val="es-ES_tradnl"/>
        </w:rPr>
        <w:t>dicho</w:t>
      </w:r>
      <w:r w:rsidR="00DD3FEA">
        <w:rPr>
          <w:rFonts w:eastAsia="Batang" w:cs="Tahoma"/>
          <w:bCs/>
          <w:lang w:val="es-ES_tradnl"/>
        </w:rPr>
        <w:t xml:space="preserve"> mes y</w:t>
      </w:r>
      <w:r w:rsidR="00FE24DD">
        <w:rPr>
          <w:rFonts w:eastAsia="Batang" w:cs="Tahoma"/>
          <w:bCs/>
          <w:lang w:val="es-ES_tradnl"/>
        </w:rPr>
        <w:t xml:space="preserve">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A158AB" w:rsidRDefault="00066B31" w14:paraId="10CD29C0" w14:textId="77777777">
      <w:pPr>
        <w:spacing w:after="0" w:line="360" w:lineRule="auto"/>
        <w:rPr>
          <w:rFonts w:cs="Tahoma"/>
          <w:bCs/>
        </w:rPr>
      </w:pPr>
    </w:p>
    <w:p w:rsidR="00066B31" w:rsidP="00A158AB" w:rsidRDefault="00066B31" w14:paraId="29C75A42" w14:textId="4A1418C6">
      <w:pPr>
        <w:spacing w:after="0" w:line="360" w:lineRule="auto"/>
        <w:rPr>
          <w:rFonts w:cs="Tahoma"/>
          <w:bCs/>
          <w:iCs/>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sidRPr="000819FA" w:rsidR="000819FA">
        <w:rPr>
          <w:rFonts w:cs="Tahoma"/>
          <w:bCs/>
          <w:iCs/>
          <w:lang w:val="es-ES"/>
        </w:rPr>
        <w:t xml:space="preserve">El </w:t>
      </w:r>
      <w:r w:rsidR="00C7349B">
        <w:rPr>
          <w:rFonts w:cs="Tahoma"/>
          <w:bCs/>
          <w:iCs/>
          <w:lang w:val="es-ES"/>
        </w:rPr>
        <w:t>diecisiete</w:t>
      </w:r>
      <w:r w:rsidRPr="000819FA" w:rsidR="000819FA">
        <w:rPr>
          <w:rFonts w:cs="Tahoma"/>
          <w:bCs/>
          <w:iCs/>
          <w:lang w:val="es-ES"/>
        </w:rPr>
        <w:t xml:space="preserve"> de ju</w:t>
      </w:r>
      <w:r w:rsidR="00C7349B">
        <w:rPr>
          <w:rFonts w:cs="Tahoma"/>
          <w:bCs/>
          <w:iCs/>
          <w:lang w:val="es-ES"/>
        </w:rPr>
        <w:t>ni</w:t>
      </w:r>
      <w:r w:rsidRPr="000819FA" w:rsidR="000819FA">
        <w:rPr>
          <w:rFonts w:cs="Tahoma"/>
          <w:bCs/>
          <w:iCs/>
          <w:lang w:val="es-ES"/>
        </w:rPr>
        <w:t xml:space="preserve">o de dos mil veintidós, se recibió, a través de Sistema de Acceso a la Información Mexiquense (SAIMEX), el Informe Justificado del Sujeto Obligado, mediante el oficio </w:t>
      </w:r>
      <w:r w:rsidRPr="00C7349B" w:rsidR="00C7349B">
        <w:rPr>
          <w:rFonts w:cs="Tahoma"/>
          <w:bCs/>
          <w:iCs/>
          <w:lang w:val="es-ES"/>
        </w:rPr>
        <w:t>UT/MET/OP/910/2022</w:t>
      </w:r>
      <w:r w:rsidRPr="000819FA" w:rsidR="000819FA">
        <w:rPr>
          <w:rFonts w:cs="Tahoma"/>
          <w:bCs/>
          <w:iCs/>
          <w:lang w:val="es-ES"/>
        </w:rPr>
        <w:t xml:space="preserve">, </w:t>
      </w:r>
      <w:r w:rsidR="00C7349B">
        <w:rPr>
          <w:rFonts w:cs="Tahoma"/>
          <w:bCs/>
          <w:iCs/>
          <w:lang w:val="es-ES"/>
        </w:rPr>
        <w:t xml:space="preserve">descrito anteriormente en el Antecedente II. </w:t>
      </w:r>
    </w:p>
    <w:p w:rsidR="007541A4" w:rsidP="007541A4" w:rsidRDefault="007541A4" w14:paraId="7915D5F0" w14:textId="5E929D25">
      <w:pPr>
        <w:spacing w:after="0" w:line="360" w:lineRule="auto"/>
        <w:rPr>
          <w:rFonts w:eastAsia="Palatino Linotype" w:cs="Palatino Linotype"/>
          <w:lang w:val="es-ES"/>
        </w:rPr>
      </w:pPr>
      <w:r w:rsidRPr="00446963">
        <w:rPr>
          <w:rFonts w:cs="Tahoma"/>
          <w:b/>
          <w:bCs/>
        </w:rPr>
        <w:lastRenderedPageBreak/>
        <w:t>d)</w:t>
      </w:r>
      <w:r>
        <w:rPr>
          <w:rFonts w:cs="Tahoma"/>
          <w:b/>
          <w:bCs/>
        </w:rPr>
        <w:t xml:space="preserve"> </w:t>
      </w:r>
      <w:r w:rsidRPr="00643079">
        <w:rPr>
          <w:rFonts w:eastAsia="Times New Roman" w:cs="Tahoma"/>
          <w:b/>
          <w:bCs/>
          <w:color w:val="auto"/>
          <w:lang w:val="es-ES" w:eastAsia="es-ES"/>
        </w:rPr>
        <w:t xml:space="preserve">Ampliación de plazo para resolver. </w:t>
      </w:r>
      <w:r w:rsidRPr="00643079">
        <w:rPr>
          <w:rFonts w:eastAsia="Times New Roman" w:cs="Tahoma"/>
          <w:bCs/>
          <w:color w:val="auto"/>
          <w:lang w:val="es-ES" w:eastAsia="es-ES"/>
        </w:rPr>
        <w:t xml:space="preserve">El </w:t>
      </w:r>
      <w:r>
        <w:rPr>
          <w:rFonts w:eastAsia="Times New Roman" w:cs="Tahoma"/>
          <w:bCs/>
          <w:color w:val="auto"/>
          <w:lang w:val="es-ES" w:eastAsia="es-ES"/>
        </w:rPr>
        <w:t>trece</w:t>
      </w:r>
      <w:r w:rsidRPr="00643079">
        <w:rPr>
          <w:rFonts w:eastAsia="Times New Roman" w:cs="Tahoma"/>
          <w:bCs/>
          <w:color w:val="auto"/>
          <w:lang w:val="es-ES" w:eastAsia="es-ES"/>
        </w:rPr>
        <w:t xml:space="preserve"> de </w:t>
      </w:r>
      <w:r>
        <w:rPr>
          <w:rFonts w:eastAsia="Times New Roman" w:cs="Tahoma"/>
          <w:bCs/>
          <w:color w:val="auto"/>
          <w:lang w:val="es-ES" w:eastAsia="es-ES"/>
        </w:rPr>
        <w:t>julio</w:t>
      </w:r>
      <w:r w:rsidRPr="00643079">
        <w:rPr>
          <w:rFonts w:eastAsia="Times New Roman" w:cs="Tahoma"/>
          <w:bCs/>
          <w:color w:val="auto"/>
          <w:lang w:val="es-ES" w:eastAsia="es-ES"/>
        </w:rPr>
        <w:t xml:space="preserve"> de dos mil veintidós</w:t>
      </w:r>
      <w:r w:rsidRPr="00055100">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007541A4" w:rsidP="007541A4" w:rsidRDefault="007541A4" w14:paraId="55BD51A5" w14:textId="77777777">
      <w:pPr>
        <w:spacing w:after="0" w:line="360" w:lineRule="auto"/>
        <w:rPr>
          <w:rFonts w:eastAsia="Palatino Linotype" w:cs="Palatino Linotype"/>
          <w:lang w:val="es-ES"/>
        </w:rPr>
      </w:pPr>
    </w:p>
    <w:p w:rsidRPr="0006663C" w:rsidR="007541A4" w:rsidP="007541A4" w:rsidRDefault="007541A4" w14:paraId="5AF211B7" w14:textId="77777777">
      <w:pPr>
        <w:spacing w:after="0" w:line="360" w:lineRule="auto"/>
        <w:rPr>
          <w:rFonts w:eastAsia="Palatino Linotype" w:cs="Palatino Linotype"/>
        </w:rPr>
      </w:pPr>
      <w:r w:rsidRPr="0006663C">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6663C" w:rsidR="007541A4" w:rsidP="007541A4" w:rsidRDefault="007541A4" w14:paraId="139E6D1A" w14:textId="77777777">
      <w:pPr>
        <w:spacing w:after="0" w:line="360" w:lineRule="auto"/>
        <w:rPr>
          <w:rFonts w:eastAsia="Palatino Linotype" w:cs="Palatino Linotype"/>
        </w:rPr>
      </w:pPr>
    </w:p>
    <w:p w:rsidRPr="0006663C" w:rsidR="007541A4" w:rsidP="007541A4" w:rsidRDefault="007541A4" w14:paraId="3FCC4D32" w14:textId="77777777">
      <w:pPr>
        <w:spacing w:after="0" w:line="360" w:lineRule="auto"/>
        <w:rPr>
          <w:rFonts w:eastAsia="Palatino Linotype" w:cs="Palatino Linotype"/>
        </w:rPr>
      </w:pPr>
      <w:r w:rsidRPr="0006663C">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6663C" w:rsidR="007541A4" w:rsidP="007541A4" w:rsidRDefault="007541A4" w14:paraId="1BBA4D56" w14:textId="77777777">
      <w:pPr>
        <w:spacing w:after="0" w:line="360" w:lineRule="auto"/>
        <w:rPr>
          <w:rFonts w:eastAsia="Palatino Linotype" w:cs="Palatino Linotype"/>
        </w:rPr>
      </w:pPr>
    </w:p>
    <w:p w:rsidRPr="0006663C" w:rsidR="007541A4" w:rsidP="007541A4" w:rsidRDefault="007541A4" w14:paraId="55358B5F" w14:textId="77777777">
      <w:pPr>
        <w:spacing w:after="0" w:line="360" w:lineRule="auto"/>
        <w:rPr>
          <w:rFonts w:eastAsia="Palatino Linotype" w:cs="Palatino Linotype"/>
        </w:rPr>
      </w:pPr>
      <w:r w:rsidRPr="0006663C">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6663C" w:rsidR="007541A4" w:rsidP="007541A4" w:rsidRDefault="007541A4" w14:paraId="02309F05" w14:textId="77777777">
      <w:pPr>
        <w:spacing w:after="0" w:line="360" w:lineRule="auto"/>
        <w:rPr>
          <w:rFonts w:eastAsia="Palatino Linotype" w:cs="Palatino Linotype"/>
        </w:rPr>
      </w:pPr>
    </w:p>
    <w:p w:rsidRPr="0006663C" w:rsidR="007541A4" w:rsidP="007541A4" w:rsidRDefault="007541A4" w14:paraId="1E513EB0" w14:textId="77777777">
      <w:pPr>
        <w:spacing w:after="0" w:line="360" w:lineRule="auto"/>
        <w:rPr>
          <w:rFonts w:eastAsia="Palatino Linotype" w:cs="Palatino Linotype"/>
        </w:rPr>
      </w:pPr>
      <w:r w:rsidRPr="0006663C">
        <w:rPr>
          <w:rFonts w:eastAsia="Palatino Linotype" w:cs="Palatino Linotype"/>
        </w:rPr>
        <w:t xml:space="preserve">En ese sentido, el legislador fijó los términos procesales en las leyes, de manera general, sin que pudiera prever la variada gama de casos que son resueltos por los órganos jurisdiccionales o </w:t>
      </w:r>
      <w:r w:rsidRPr="0006663C">
        <w:rPr>
          <w:rFonts w:eastAsia="Palatino Linotype" w:cs="Palatino Linotype"/>
        </w:rPr>
        <w:lastRenderedPageBreak/>
        <w:t>cuasi jurisdiccionales, tanto por la complejidad de los hechos, como por el número de casos que conocen.</w:t>
      </w:r>
    </w:p>
    <w:p w:rsidRPr="0006663C" w:rsidR="007541A4" w:rsidP="007541A4" w:rsidRDefault="007541A4" w14:paraId="2DDE9E70" w14:textId="77777777">
      <w:pPr>
        <w:spacing w:after="0" w:line="360" w:lineRule="auto"/>
        <w:rPr>
          <w:rFonts w:eastAsia="Palatino Linotype" w:cs="Palatino Linotype"/>
        </w:rPr>
      </w:pPr>
    </w:p>
    <w:p w:rsidRPr="0006663C" w:rsidR="007541A4" w:rsidP="007541A4" w:rsidRDefault="007541A4" w14:paraId="5070F784" w14:textId="77777777">
      <w:pPr>
        <w:spacing w:after="0" w:line="360" w:lineRule="auto"/>
        <w:rPr>
          <w:rFonts w:eastAsia="Palatino Linotype" w:cs="Palatino Linotype"/>
        </w:rPr>
      </w:pPr>
      <w:r w:rsidRPr="0006663C">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06663C" w:rsidR="007541A4" w:rsidP="007541A4" w:rsidRDefault="007541A4" w14:paraId="18D47213" w14:textId="77777777">
      <w:pPr>
        <w:spacing w:after="0" w:line="360" w:lineRule="auto"/>
        <w:rPr>
          <w:rFonts w:eastAsia="Palatino Linotype" w:cs="Palatino Linotype"/>
        </w:rPr>
      </w:pPr>
    </w:p>
    <w:p w:rsidRPr="0006663C" w:rsidR="007541A4" w:rsidP="007541A4" w:rsidRDefault="007541A4" w14:paraId="292904B1" w14:textId="77777777">
      <w:pPr>
        <w:numPr>
          <w:ilvl w:val="0"/>
          <w:numId w:val="13"/>
        </w:numPr>
        <w:spacing w:after="0" w:line="360" w:lineRule="auto"/>
        <w:contextualSpacing/>
        <w:rPr>
          <w:rFonts w:eastAsia="Palatino Linotype" w:cs="Palatino Linotype"/>
          <w:szCs w:val="28"/>
          <w:lang w:eastAsia="es-ES"/>
        </w:rPr>
      </w:pPr>
      <w:r w:rsidRPr="0006663C">
        <w:rPr>
          <w:rFonts w:eastAsia="Palatino Linotype" w:cs="Palatino Linotype"/>
          <w:b/>
          <w:bCs/>
          <w:szCs w:val="28"/>
          <w:lang w:eastAsia="es-ES"/>
        </w:rPr>
        <w:t>Complejidad del asunto:</w:t>
      </w:r>
      <w:r w:rsidRPr="0006663C">
        <w:rPr>
          <w:rFonts w:eastAsia="Palatino Linotype" w:cs="Palatino Linotype"/>
          <w:szCs w:val="28"/>
          <w:lang w:eastAsia="es-ES"/>
        </w:rPr>
        <w:t xml:space="preserve"> La complejidad de la prueba, la pluralidad de sujetos procesales, el tiempo transcurrido, las características y contexto del recurso.</w:t>
      </w:r>
    </w:p>
    <w:p w:rsidRPr="0006663C" w:rsidR="007541A4" w:rsidP="007541A4" w:rsidRDefault="007541A4" w14:paraId="25A5C036" w14:textId="77777777">
      <w:pPr>
        <w:spacing w:after="0" w:line="360" w:lineRule="auto"/>
        <w:ind w:left="720"/>
        <w:contextualSpacing/>
        <w:rPr>
          <w:rFonts w:eastAsia="Palatino Linotype" w:cs="Palatino Linotype"/>
          <w:szCs w:val="28"/>
          <w:lang w:eastAsia="es-ES"/>
        </w:rPr>
      </w:pPr>
    </w:p>
    <w:p w:rsidRPr="0006663C" w:rsidR="007541A4" w:rsidP="007541A4" w:rsidRDefault="007541A4" w14:paraId="62CB9D26" w14:textId="77777777">
      <w:pPr>
        <w:numPr>
          <w:ilvl w:val="0"/>
          <w:numId w:val="13"/>
        </w:numPr>
        <w:spacing w:after="0" w:line="360" w:lineRule="auto"/>
        <w:contextualSpacing/>
        <w:jc w:val="left"/>
        <w:rPr>
          <w:rFonts w:eastAsia="Palatino Linotype" w:cs="Palatino Linotype"/>
          <w:szCs w:val="28"/>
          <w:lang w:eastAsia="es-ES"/>
        </w:rPr>
      </w:pPr>
      <w:r w:rsidRPr="0006663C">
        <w:rPr>
          <w:rFonts w:eastAsia="Palatino Linotype" w:cs="Palatino Linotype"/>
          <w:b/>
          <w:bCs/>
          <w:szCs w:val="28"/>
          <w:lang w:eastAsia="es-ES"/>
        </w:rPr>
        <w:t>Actividad Procesal del interesado:</w:t>
      </w:r>
      <w:r w:rsidRPr="0006663C">
        <w:rPr>
          <w:rFonts w:eastAsia="Palatino Linotype" w:cs="Palatino Linotype"/>
          <w:szCs w:val="28"/>
          <w:lang w:eastAsia="es-ES"/>
        </w:rPr>
        <w:t xml:space="preserve"> Acciones u omisiones del interesado.</w:t>
      </w:r>
    </w:p>
    <w:p w:rsidRPr="0006663C" w:rsidR="007541A4" w:rsidP="007541A4" w:rsidRDefault="007541A4" w14:paraId="3858AA39" w14:textId="77777777">
      <w:pPr>
        <w:spacing w:after="0" w:line="360" w:lineRule="auto"/>
        <w:ind w:left="720"/>
        <w:contextualSpacing/>
        <w:rPr>
          <w:rFonts w:eastAsia="Palatino Linotype" w:cs="Palatino Linotype"/>
          <w:szCs w:val="28"/>
          <w:lang w:eastAsia="es-ES"/>
        </w:rPr>
      </w:pPr>
    </w:p>
    <w:p w:rsidRPr="0006663C" w:rsidR="007541A4" w:rsidP="007541A4" w:rsidRDefault="007541A4" w14:paraId="3C872A5E" w14:textId="77777777">
      <w:pPr>
        <w:numPr>
          <w:ilvl w:val="0"/>
          <w:numId w:val="13"/>
        </w:numPr>
        <w:spacing w:after="0" w:line="360" w:lineRule="auto"/>
        <w:contextualSpacing/>
        <w:rPr>
          <w:rFonts w:eastAsia="Palatino Linotype" w:cs="Palatino Linotype"/>
          <w:szCs w:val="28"/>
          <w:lang w:eastAsia="es-ES"/>
        </w:rPr>
      </w:pPr>
      <w:r w:rsidRPr="0006663C">
        <w:rPr>
          <w:rFonts w:eastAsia="Palatino Linotype" w:cs="Palatino Linotype"/>
          <w:b/>
          <w:bCs/>
          <w:szCs w:val="28"/>
          <w:lang w:eastAsia="es-ES"/>
        </w:rPr>
        <w:t>Conducta de la Autoridad:</w:t>
      </w:r>
      <w:r w:rsidRPr="0006663C">
        <w:rPr>
          <w:rFonts w:eastAsia="Palatino Linotype" w:cs="Palatino Linotype"/>
          <w:szCs w:val="28"/>
          <w:lang w:eastAsia="es-ES"/>
        </w:rPr>
        <w:t xml:space="preserve"> Las Acciones u omisiones realizadas en el procedimiento. Así como si la autoridad actuó con la debida diligencia.</w:t>
      </w:r>
    </w:p>
    <w:p w:rsidRPr="0006663C" w:rsidR="007541A4" w:rsidP="007541A4" w:rsidRDefault="007541A4" w14:paraId="287133F0" w14:textId="77777777">
      <w:pPr>
        <w:spacing w:after="0" w:line="360" w:lineRule="auto"/>
        <w:ind w:left="720"/>
        <w:contextualSpacing/>
        <w:rPr>
          <w:rFonts w:eastAsia="Palatino Linotype" w:cs="Palatino Linotype"/>
          <w:szCs w:val="28"/>
          <w:lang w:eastAsia="es-ES"/>
        </w:rPr>
      </w:pPr>
    </w:p>
    <w:p w:rsidRPr="0006663C" w:rsidR="007541A4" w:rsidP="007541A4" w:rsidRDefault="007541A4" w14:paraId="19E24539" w14:textId="77777777">
      <w:pPr>
        <w:numPr>
          <w:ilvl w:val="0"/>
          <w:numId w:val="13"/>
        </w:numPr>
        <w:spacing w:after="0" w:line="360" w:lineRule="auto"/>
        <w:contextualSpacing/>
        <w:rPr>
          <w:rFonts w:eastAsia="Palatino Linotype" w:cs="Palatino Linotype"/>
          <w:szCs w:val="28"/>
          <w:lang w:eastAsia="es-ES"/>
        </w:rPr>
      </w:pPr>
      <w:r w:rsidRPr="0006663C">
        <w:rPr>
          <w:rFonts w:eastAsia="Palatino Linotype" w:cs="Palatino Linotype"/>
          <w:b/>
          <w:bCs/>
          <w:szCs w:val="28"/>
          <w:lang w:eastAsia="es-ES"/>
        </w:rPr>
        <w:t xml:space="preserve">La afectación generada en la situación jurídica de la persona involucrada en el proceso: </w:t>
      </w:r>
      <w:r w:rsidRPr="0006663C">
        <w:rPr>
          <w:rFonts w:eastAsia="Palatino Linotype" w:cs="Palatino Linotype"/>
          <w:szCs w:val="28"/>
          <w:lang w:eastAsia="es-ES"/>
        </w:rPr>
        <w:t>Violación a sus derechos humanos.</w:t>
      </w:r>
    </w:p>
    <w:p w:rsidRPr="0006663C" w:rsidR="007541A4" w:rsidP="007541A4" w:rsidRDefault="007541A4" w14:paraId="188656AE" w14:textId="77777777">
      <w:pPr>
        <w:spacing w:after="0" w:line="360" w:lineRule="auto"/>
        <w:rPr>
          <w:rFonts w:eastAsia="Palatino Linotype" w:cs="Palatino Linotype"/>
        </w:rPr>
      </w:pPr>
    </w:p>
    <w:p w:rsidRPr="0006663C" w:rsidR="007541A4" w:rsidP="007541A4" w:rsidRDefault="007541A4" w14:paraId="74B802D0" w14:textId="77777777">
      <w:pPr>
        <w:spacing w:after="0" w:line="360" w:lineRule="auto"/>
        <w:rPr>
          <w:rFonts w:eastAsia="Palatino Linotype" w:cs="Palatino Linotype"/>
        </w:rPr>
      </w:pPr>
      <w:r w:rsidRPr="0006663C">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6663C" w:rsidR="007541A4" w:rsidP="007541A4" w:rsidRDefault="007541A4" w14:paraId="5250C8D7" w14:textId="77777777">
      <w:pPr>
        <w:spacing w:after="0" w:line="360" w:lineRule="auto"/>
        <w:rPr>
          <w:rFonts w:eastAsia="Palatino Linotype" w:cs="Palatino Linotype"/>
        </w:rPr>
      </w:pPr>
    </w:p>
    <w:p w:rsidRPr="0006663C" w:rsidR="007541A4" w:rsidP="007541A4" w:rsidRDefault="007541A4" w14:paraId="0035D3E0" w14:textId="77777777">
      <w:pPr>
        <w:spacing w:after="0" w:line="360" w:lineRule="auto"/>
        <w:rPr>
          <w:rFonts w:eastAsia="Palatino Linotype" w:cs="Palatino Linotype"/>
        </w:rPr>
      </w:pPr>
      <w:r w:rsidRPr="0006663C">
        <w:rPr>
          <w:rFonts w:eastAsia="Palatino Linotype" w:cs="Palatino Linotype"/>
        </w:rPr>
        <w:t>Argumento que encuentra sustento en la jurisprudencia P./J. 32/92 emitida por el Pleno de la Suprema Corte de Justicia de la Nación de rubro “</w:t>
      </w:r>
      <w:r w:rsidRPr="0006663C">
        <w:rPr>
          <w:rFonts w:eastAsia="Palatino Linotype" w:cs="Palatino Linotype"/>
          <w:b/>
          <w:bCs/>
        </w:rPr>
        <w:t xml:space="preserve">TÉRMINOS PROCESALES. PARA DETERMINAR SI UN FUNCIONARIO JUDICIAL ACTUÓ INDEBIDAMENTE POR NO </w:t>
      </w:r>
      <w:r w:rsidRPr="0006663C">
        <w:rPr>
          <w:rFonts w:eastAsia="Palatino Linotype" w:cs="Palatino Linotype"/>
          <w:b/>
          <w:bCs/>
        </w:rPr>
        <w:lastRenderedPageBreak/>
        <w:t>RESPETARLOS SE DEBE ATENDER AL PRESUPUESTO QUE CONSIDERÓ EL LEGISLADOR AL FIJARLOS Y LAS CARACTERÍSTICAS DEL CASO</w:t>
      </w:r>
      <w:r w:rsidRPr="0006663C">
        <w:rPr>
          <w:rFonts w:eastAsia="Palatino Linotype" w:cs="Palatino Linotype"/>
        </w:rPr>
        <w:t>.”, visible en la Gaceta del Seminario Judicial de la Federación con el registro digital 205635.</w:t>
      </w:r>
    </w:p>
    <w:p w:rsidRPr="0006663C" w:rsidR="007541A4" w:rsidP="007541A4" w:rsidRDefault="007541A4" w14:paraId="2C0DDDD7" w14:textId="77777777">
      <w:pPr>
        <w:spacing w:after="0" w:line="360" w:lineRule="auto"/>
        <w:rPr>
          <w:rFonts w:eastAsia="Palatino Linotype" w:cs="Palatino Linotype"/>
        </w:rPr>
      </w:pPr>
    </w:p>
    <w:p w:rsidRPr="0006663C" w:rsidR="007541A4" w:rsidP="007541A4" w:rsidRDefault="007541A4" w14:paraId="2B04540E" w14:textId="77777777">
      <w:pPr>
        <w:spacing w:after="0" w:line="360" w:lineRule="auto"/>
        <w:rPr>
          <w:rFonts w:eastAsia="Palatino Linotype" w:cs="Palatino Linotype"/>
        </w:rPr>
      </w:pPr>
      <w:r w:rsidRPr="0006663C">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6663C" w:rsidR="007541A4" w:rsidP="007541A4" w:rsidRDefault="007541A4" w14:paraId="601961DE" w14:textId="77777777">
      <w:pPr>
        <w:spacing w:after="0" w:line="360" w:lineRule="auto"/>
        <w:rPr>
          <w:rFonts w:eastAsia="Palatino Linotype" w:cs="Palatino Linotype"/>
        </w:rPr>
      </w:pPr>
    </w:p>
    <w:p w:rsidRPr="0006663C" w:rsidR="007541A4" w:rsidP="007541A4" w:rsidRDefault="007541A4" w14:paraId="48CC781C" w14:textId="77777777">
      <w:pPr>
        <w:spacing w:after="0" w:line="360" w:lineRule="auto"/>
        <w:rPr>
          <w:rFonts w:eastAsia="Palatino Linotype" w:cs="Palatino Linotype"/>
        </w:rPr>
      </w:pPr>
      <w:r w:rsidRPr="0006663C">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06663C" w:rsidR="007541A4" w:rsidP="007541A4" w:rsidRDefault="007541A4" w14:paraId="6728AAAD" w14:textId="77777777">
      <w:pPr>
        <w:spacing w:after="0" w:line="360" w:lineRule="auto"/>
        <w:rPr>
          <w:rFonts w:eastAsia="Palatino Linotype" w:cs="Palatino Linotype"/>
        </w:rPr>
      </w:pPr>
    </w:p>
    <w:p w:rsidRPr="0006663C" w:rsidR="007541A4" w:rsidP="007541A4" w:rsidRDefault="007541A4" w14:paraId="1E28AD41" w14:textId="77777777">
      <w:pPr>
        <w:spacing w:after="0" w:line="360" w:lineRule="auto"/>
        <w:rPr>
          <w:rFonts w:eastAsia="Palatino Linotype" w:cs="Palatino Linotype"/>
        </w:rPr>
      </w:pPr>
      <w:r w:rsidRPr="0006663C">
        <w:rPr>
          <w:rFonts w:eastAsia="Palatino Linotype" w:cs="Palatino Linotype"/>
        </w:rPr>
        <w:t>“</w:t>
      </w:r>
      <w:r w:rsidRPr="0006663C">
        <w:rPr>
          <w:rFonts w:eastAsia="Palatino Linotype" w:cs="Palatino Linotype"/>
          <w:b/>
          <w:bCs/>
        </w:rPr>
        <w:t>PLAZO RAZONABLE PARA RESOLVER. DIMENSIÓN Y EFECTOS DE ESTE CONCEPTO CUANDO SE ADUCE EXCESIVA CARGA DE TRABAJO</w:t>
      </w:r>
      <w:r w:rsidRPr="0006663C">
        <w:rPr>
          <w:rFonts w:eastAsia="Palatino Linotype" w:cs="Palatino Linotype"/>
        </w:rPr>
        <w:t>.” consultable en el Seminario Judicial de la Federación y su gaceta, con el registro digital 2002351.</w:t>
      </w:r>
    </w:p>
    <w:p w:rsidRPr="0006663C" w:rsidR="007541A4" w:rsidP="007541A4" w:rsidRDefault="007541A4" w14:paraId="198B5A80" w14:textId="77777777">
      <w:pPr>
        <w:spacing w:after="0" w:line="360" w:lineRule="auto"/>
        <w:rPr>
          <w:rFonts w:eastAsia="Palatino Linotype" w:cs="Palatino Linotype"/>
        </w:rPr>
      </w:pPr>
    </w:p>
    <w:p w:rsidRPr="0006663C" w:rsidR="007541A4" w:rsidP="007541A4" w:rsidRDefault="007541A4" w14:paraId="121BA9B5" w14:textId="77777777">
      <w:pPr>
        <w:spacing w:after="0" w:line="360" w:lineRule="auto"/>
        <w:rPr>
          <w:rFonts w:eastAsia="Palatino Linotype" w:cs="Palatino Linotype"/>
        </w:rPr>
      </w:pPr>
      <w:r w:rsidRPr="0006663C">
        <w:rPr>
          <w:rFonts w:eastAsia="Palatino Linotype" w:cs="Palatino Linotype"/>
        </w:rPr>
        <w:t>“</w:t>
      </w:r>
      <w:r w:rsidRPr="0006663C">
        <w:rPr>
          <w:rFonts w:eastAsia="Palatino Linotype" w:cs="Palatino Linotype"/>
          <w:b/>
          <w:bCs/>
        </w:rPr>
        <w:t>PLAZO RAZONABLE PARA RESOLVER. CONCEPTO Y ELEMENTOS QUE LO INTEGRAN A LA LUZ DEL DERECHO INTERNACIONAL DE LOS DERECHOS HUMANOS</w:t>
      </w:r>
      <w:r w:rsidRPr="0006663C">
        <w:rPr>
          <w:rFonts w:eastAsia="Palatino Linotype" w:cs="Palatino Linotype"/>
        </w:rPr>
        <w:t>.”, visible en el Seminario Judicial de la Federación y su gaceta, con el registro digital 2002350.</w:t>
      </w:r>
    </w:p>
    <w:p w:rsidRPr="0006663C" w:rsidR="007541A4" w:rsidP="007541A4" w:rsidRDefault="007541A4" w14:paraId="4A4A49FD" w14:textId="77777777">
      <w:pPr>
        <w:spacing w:after="0" w:line="360" w:lineRule="auto"/>
        <w:rPr>
          <w:rFonts w:eastAsia="Palatino Linotype" w:cs="Palatino Linotype"/>
        </w:rPr>
      </w:pPr>
    </w:p>
    <w:p w:rsidRPr="007541A4" w:rsidR="007541A4" w:rsidP="007541A4" w:rsidRDefault="007541A4" w14:paraId="727E5BD6" w14:textId="39A38E47">
      <w:pPr>
        <w:spacing w:after="0" w:line="360" w:lineRule="auto"/>
        <w:rPr>
          <w:rFonts w:eastAsia="Palatino Linotype" w:cs="Palatino Linotype"/>
        </w:rPr>
      </w:pPr>
      <w:r w:rsidRPr="0006663C">
        <w:rPr>
          <w:rFonts w:eastAsia="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Pr="00446963" w:rsidR="000819FA" w:rsidP="00A158AB" w:rsidRDefault="000819FA" w14:paraId="29F01234" w14:textId="77777777">
      <w:pPr>
        <w:spacing w:after="0" w:line="360" w:lineRule="auto"/>
        <w:rPr>
          <w:rFonts w:cs="Tahoma"/>
          <w:b/>
          <w:lang w:val="es-ES"/>
        </w:rPr>
      </w:pPr>
    </w:p>
    <w:p w:rsidRPr="004528C2" w:rsidR="00066B31" w:rsidP="004528C2" w:rsidRDefault="007541A4" w14:paraId="5FDE4F98" w14:textId="4D5ABEC8">
      <w:pPr>
        <w:widowControl w:val="0"/>
        <w:spacing w:after="0" w:line="360" w:lineRule="auto"/>
        <w:rPr>
          <w:rFonts w:eastAsia="Times New Roman" w:cs="Times New Roman"/>
          <w:bCs/>
          <w:color w:val="auto"/>
          <w:lang w:val="es-ES_tradnl" w:eastAsia="es-ES"/>
        </w:rPr>
      </w:pPr>
      <w:r>
        <w:rPr>
          <w:rFonts w:cs="Tahoma"/>
          <w:b/>
          <w:bCs/>
        </w:rPr>
        <w:t>e</w:t>
      </w:r>
      <w:r w:rsidRPr="00446963" w:rsidR="000819FA">
        <w:rPr>
          <w:rFonts w:cs="Tahoma"/>
          <w:b/>
          <w:bCs/>
        </w:rPr>
        <w:t>)</w:t>
      </w:r>
      <w:r w:rsidR="000819FA">
        <w:rPr>
          <w:rFonts w:cs="Tahoma"/>
          <w:b/>
          <w:bCs/>
        </w:rPr>
        <w:t xml:space="preserve"> </w:t>
      </w:r>
      <w:r w:rsidR="000819FA">
        <w:rPr>
          <w:rFonts w:eastAsia="Times New Roman" w:cs="Times New Roman"/>
          <w:b/>
          <w:color w:val="auto"/>
          <w:lang w:val="es-ES_tradnl" w:eastAsia="es-ES"/>
        </w:rPr>
        <w:t>Vista del Informe Justificado.</w:t>
      </w:r>
      <w:r w:rsidR="000819FA">
        <w:rPr>
          <w:rFonts w:eastAsia="Times New Roman" w:cs="Times New Roman"/>
          <w:bCs/>
          <w:color w:val="auto"/>
          <w:lang w:val="es-ES_tradnl" w:eastAsia="es-ES"/>
        </w:rPr>
        <w:t xml:space="preserve"> El </w:t>
      </w:r>
      <w:r w:rsidR="0059314F">
        <w:rPr>
          <w:rFonts w:eastAsia="Times New Roman" w:cs="Times New Roman"/>
          <w:bCs/>
          <w:color w:val="auto"/>
          <w:lang w:val="es-ES_tradnl" w:eastAsia="es-ES"/>
        </w:rPr>
        <w:t>veintitrés</w:t>
      </w:r>
      <w:r w:rsidR="000819FA">
        <w:rPr>
          <w:rFonts w:eastAsia="Times New Roman" w:cs="Times New Roman"/>
          <w:bCs/>
          <w:color w:val="auto"/>
          <w:lang w:val="es-ES_tradnl" w:eastAsia="es-ES"/>
        </w:rPr>
        <w:t xml:space="preserve"> de agosto de dos mil veintidós, se dictó acuerdo mediante el cual se puso a la vista del Particular el Informe Justificado, entregado por el Sujeto Obligado, para robustecer su respuesta inicial, el cual fue notificado a las partes el mismo día a través del Sistema de Acceso a la Información Mexiquense (SAIMEX). </w:t>
      </w:r>
      <w:r w:rsidR="000819FA">
        <w:rPr>
          <w:rFonts w:eastAsia="Times New Roman" w:cs="Times New Roman"/>
          <w:b/>
          <w:color w:val="auto"/>
          <w:lang w:val="es-ES_tradnl" w:eastAsia="es-ES"/>
        </w:rPr>
        <w:t>Cabe señalar que el Recurrente fue omiso en realizar alguna manifestación que a su derecho conviniera y asistiera.</w:t>
      </w:r>
      <w:r w:rsidR="000819FA">
        <w:rPr>
          <w:rFonts w:eastAsia="Times New Roman" w:cs="Times New Roman"/>
          <w:bCs/>
          <w:color w:val="auto"/>
          <w:lang w:val="es-ES_tradnl" w:eastAsia="es-ES"/>
        </w:rPr>
        <w:t xml:space="preserve"> </w:t>
      </w:r>
    </w:p>
    <w:p w:rsidR="00643079" w:rsidP="00A158AB" w:rsidRDefault="00643079" w14:paraId="21F4CDF8" w14:textId="734FBB73">
      <w:pPr>
        <w:spacing w:after="0" w:line="360" w:lineRule="auto"/>
        <w:rPr>
          <w:rFonts w:cs="Tahoma"/>
          <w:b/>
          <w:bCs/>
        </w:rPr>
      </w:pPr>
    </w:p>
    <w:p w:rsidRPr="00446963" w:rsidR="00066B31" w:rsidP="00A158AB" w:rsidRDefault="007541A4" w14:paraId="6EA06E35" w14:textId="4179303F">
      <w:pPr>
        <w:spacing w:after="0" w:line="360" w:lineRule="auto"/>
        <w:rPr>
          <w:rFonts w:cs="Tahoma"/>
        </w:rPr>
      </w:pPr>
      <w:r>
        <w:rPr>
          <w:rFonts w:cs="Tahoma"/>
          <w:b/>
          <w:bCs/>
        </w:rPr>
        <w:t>f</w:t>
      </w:r>
      <w:r w:rsidR="00643079">
        <w:rPr>
          <w:rFonts w:cs="Tahoma"/>
          <w:b/>
          <w:bCs/>
        </w:rPr>
        <w:t xml:space="preserve">) </w:t>
      </w:r>
      <w:r w:rsidRPr="00446963" w:rsidR="00066B31">
        <w:rPr>
          <w:rFonts w:cs="Tahoma"/>
          <w:b/>
          <w:bCs/>
        </w:rPr>
        <w:t>Cierre de instrucción.</w:t>
      </w:r>
      <w:r w:rsidRPr="00446963" w:rsidR="00066B31">
        <w:rPr>
          <w:rFonts w:cs="Tahoma"/>
        </w:rPr>
        <w:t xml:space="preserve">  El </w:t>
      </w:r>
      <w:r w:rsidR="00C8149E">
        <w:rPr>
          <w:rFonts w:cs="Tahoma"/>
        </w:rPr>
        <w:t xml:space="preserve"> </w:t>
      </w:r>
      <w:r w:rsidR="00071FCD">
        <w:rPr>
          <w:rFonts w:cs="Tahoma"/>
        </w:rPr>
        <w:t xml:space="preserve">veintinueve </w:t>
      </w:r>
      <w:r w:rsidR="00C8149E">
        <w:rPr>
          <w:rFonts w:cs="Tahoma"/>
        </w:rPr>
        <w:t xml:space="preserve">de </w:t>
      </w:r>
      <w:r w:rsidR="00071FCD">
        <w:rPr>
          <w:rFonts w:cs="Tahoma"/>
        </w:rPr>
        <w:t>agosto</w:t>
      </w:r>
      <w:r w:rsidRPr="00446963"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sidR="008B1873">
        <w:rPr>
          <w:rFonts w:cs="Tahoma"/>
        </w:rPr>
        <w:t xml:space="preserve"> el </w:t>
      </w:r>
      <w:r w:rsidR="00932A36">
        <w:rPr>
          <w:rFonts w:cs="Tahoma"/>
        </w:rPr>
        <w:t>primero</w:t>
      </w:r>
      <w:r w:rsidR="008B1873">
        <w:rPr>
          <w:rFonts w:cs="Tahoma"/>
        </w:rPr>
        <w:t xml:space="preserve"> </w:t>
      </w:r>
      <w:r w:rsidR="00681B3A">
        <w:rPr>
          <w:rFonts w:cs="Tahoma"/>
        </w:rPr>
        <w:t>de junio de dos mil veintidós</w:t>
      </w:r>
      <w:r w:rsidRPr="00446963" w:rsidR="00066B31">
        <w:rPr>
          <w:rFonts w:cs="Tahoma"/>
        </w:rPr>
        <w:t xml:space="preserve">, a través del </w:t>
      </w:r>
      <w:r w:rsidRPr="00446963" w:rsidR="00066B31">
        <w:rPr>
          <w:rFonts w:cs="Tahoma"/>
          <w:lang w:val="es-ES"/>
        </w:rPr>
        <w:t>Sistema de Acceso a la Información Mexiquense (SAIMEX)</w:t>
      </w:r>
      <w:r w:rsidR="008B1873">
        <w:rPr>
          <w:rFonts w:cs="Tahoma"/>
          <w:lang w:val="es-ES"/>
        </w:rPr>
        <w:t>.</w:t>
      </w:r>
    </w:p>
    <w:p w:rsidRPr="00446963" w:rsidR="00066B31" w:rsidP="00A158AB" w:rsidRDefault="00066B31" w14:paraId="1BB0C7FD" w14:textId="77777777">
      <w:pPr>
        <w:spacing w:after="0" w:line="360" w:lineRule="auto"/>
        <w:rPr>
          <w:rFonts w:cs="Tahoma"/>
          <w:b/>
          <w:bCs/>
          <w:lang w:val="es-ES"/>
        </w:rPr>
      </w:pPr>
    </w:p>
    <w:p w:rsidRPr="00446963" w:rsidR="00066B31" w:rsidP="00A158AB"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A158AB" w:rsidRDefault="00066B31" w14:paraId="3C63CE88" w14:textId="77777777">
      <w:pPr>
        <w:spacing w:after="0" w:line="360" w:lineRule="auto"/>
        <w:rPr>
          <w:rFonts w:cs="Tahoma"/>
        </w:rPr>
      </w:pPr>
    </w:p>
    <w:p w:rsidRPr="00446963" w:rsidR="00066B31" w:rsidP="00A158AB"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A158AB" w:rsidRDefault="00066B31" w14:paraId="2D6C5172" w14:textId="77777777">
      <w:pPr>
        <w:spacing w:after="0" w:line="360" w:lineRule="auto"/>
        <w:rPr>
          <w:rFonts w:cs="Tahoma"/>
          <w:b/>
          <w:lang w:val="es-ES"/>
        </w:rPr>
      </w:pPr>
    </w:p>
    <w:p w:rsidRPr="007E3D4A" w:rsidR="007E3D4A" w:rsidP="007E3D4A" w:rsidRDefault="007E3D4A" w14:paraId="64D1798A" w14:textId="77777777">
      <w:pPr>
        <w:spacing w:after="0" w:line="360" w:lineRule="auto"/>
        <w:rPr>
          <w:rFonts w:eastAsia="Batang" w:cs="Tahoma"/>
          <w:b/>
          <w:bCs/>
          <w:color w:val="auto"/>
          <w:lang w:eastAsia="es-ES"/>
        </w:rPr>
      </w:pPr>
      <w:r w:rsidRPr="007E3D4A">
        <w:rPr>
          <w:rFonts w:eastAsia="Batang" w:cs="Tahoma"/>
          <w:b/>
          <w:bCs/>
          <w:color w:val="auto"/>
          <w:lang w:eastAsia="es-ES"/>
        </w:rPr>
        <w:t xml:space="preserve">PRIMERO. Competencia. </w:t>
      </w:r>
    </w:p>
    <w:p w:rsidRPr="007E3D4A" w:rsidR="007E3D4A" w:rsidP="007E3D4A" w:rsidRDefault="007E3D4A" w14:paraId="53309FF6" w14:textId="77777777">
      <w:pPr>
        <w:spacing w:after="0" w:line="360" w:lineRule="auto"/>
        <w:rPr>
          <w:rFonts w:eastAsia="Batang" w:cs="Tahoma"/>
          <w:b/>
          <w:bCs/>
          <w:color w:val="auto"/>
          <w:lang w:eastAsia="es-ES"/>
        </w:rPr>
      </w:pPr>
    </w:p>
    <w:p w:rsidRPr="007E3D4A" w:rsidR="007E3D4A" w:rsidP="007E3D4A" w:rsidRDefault="007E3D4A" w14:paraId="0B7591BD" w14:textId="77777777">
      <w:pPr>
        <w:spacing w:after="0" w:line="360" w:lineRule="auto"/>
        <w:rPr>
          <w:rFonts w:eastAsia="Times New Roman" w:cs="Tahoma"/>
          <w:bCs/>
          <w:color w:val="auto"/>
          <w:lang w:eastAsia="es-ES"/>
        </w:rPr>
      </w:pPr>
      <w:bookmarkStart w:name="_Hlk63334754" w:id="0"/>
      <w:r w:rsidRPr="007E3D4A">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E3D4A">
        <w:rPr>
          <w:rFonts w:eastAsia="Times New Roman" w:cs="Times New Roman"/>
          <w:bCs/>
          <w:color w:val="auto"/>
          <w:lang w:eastAsia="es-ES"/>
        </w:rPr>
        <w:t xml:space="preserve"> 7°, </w:t>
      </w:r>
      <w:r w:rsidRPr="007E3D4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rsidRPr="007E3D4A" w:rsidR="007E3D4A" w:rsidP="007E3D4A" w:rsidRDefault="007E3D4A" w14:paraId="3864AC51" w14:textId="77777777">
      <w:pPr>
        <w:spacing w:after="0" w:line="360" w:lineRule="auto"/>
        <w:rPr>
          <w:rFonts w:eastAsia="Calibri" w:cs="Tahoma"/>
          <w:bCs/>
          <w:color w:val="000000"/>
          <w:lang w:eastAsia="es-ES_tradnl"/>
        </w:rPr>
      </w:pPr>
    </w:p>
    <w:p w:rsidRPr="007E3D4A" w:rsidR="007E3D4A" w:rsidP="007E3D4A" w:rsidRDefault="007E3D4A" w14:paraId="09338329" w14:textId="77777777">
      <w:pPr>
        <w:shd w:val="clear" w:color="auto" w:fill="FFFFFF"/>
        <w:spacing w:after="0" w:line="360" w:lineRule="auto"/>
        <w:rPr>
          <w:rFonts w:eastAsia="Times New Roman" w:cs="Times New Roman"/>
          <w:color w:val="222222"/>
          <w:sz w:val="20"/>
          <w:szCs w:val="20"/>
          <w:lang w:val="es-ES" w:eastAsia="es-ES"/>
        </w:rPr>
      </w:pPr>
      <w:r w:rsidRPr="007E3D4A">
        <w:rPr>
          <w:rFonts w:eastAsia="Times New Roman" w:cs="Times New Roman"/>
          <w:b/>
          <w:bCs/>
          <w:color w:val="000000"/>
          <w:lang w:val="es-ES" w:eastAsia="es-ES"/>
        </w:rPr>
        <w:t>SEGUNDO. Causales de procedencia y sobreseimiento.</w:t>
      </w:r>
    </w:p>
    <w:p w:rsidRPr="007E3D4A" w:rsidR="007E3D4A" w:rsidP="007E3D4A" w:rsidRDefault="007E3D4A" w14:paraId="183B664F" w14:textId="77777777">
      <w:pPr>
        <w:shd w:val="clear" w:color="auto" w:fill="FFFFFF"/>
        <w:spacing w:after="0" w:line="360" w:lineRule="auto"/>
        <w:rPr>
          <w:rFonts w:eastAsia="Times New Roman" w:cs="Times New Roman"/>
          <w:color w:val="222222"/>
          <w:sz w:val="20"/>
          <w:szCs w:val="20"/>
          <w:lang w:val="es-ES" w:eastAsia="es-ES"/>
        </w:rPr>
      </w:pPr>
    </w:p>
    <w:p w:rsidRPr="007E3D4A" w:rsidR="007E3D4A" w:rsidP="007E3D4A" w:rsidRDefault="007E3D4A" w14:paraId="39D090D5" w14:textId="77777777">
      <w:pPr>
        <w:shd w:val="clear" w:color="auto" w:fill="FFFFFF"/>
        <w:spacing w:after="0" w:line="360" w:lineRule="auto"/>
        <w:rPr>
          <w:rFonts w:eastAsia="Times New Roman" w:cs="Times New Roman"/>
          <w:color w:val="222222"/>
          <w:sz w:val="20"/>
          <w:szCs w:val="20"/>
          <w:lang w:val="es-ES" w:eastAsia="es-ES"/>
        </w:rPr>
      </w:pPr>
      <w:r w:rsidRPr="007E3D4A">
        <w:rPr>
          <w:rFonts w:eastAsia="Times New Roman" w:cs="Times New Roman"/>
          <w:color w:val="000000"/>
          <w:lang w:val="es-ES" w:eastAsia="es-ES"/>
        </w:rPr>
        <w:t xml:space="preserve">De las constancias que forman parte de los Recursos de Revisión que se analizan, se advierte que previo al estudio del fondo de la </w:t>
      </w:r>
      <w:r w:rsidRPr="007E3D4A">
        <w:rPr>
          <w:rFonts w:eastAsia="Times New Roman" w:cs="Times New Roman"/>
          <w:i/>
          <w:color w:val="000000"/>
          <w:lang w:val="es-ES" w:eastAsia="es-ES"/>
        </w:rPr>
        <w:t>litis</w:t>
      </w:r>
      <w:r w:rsidRPr="007E3D4A">
        <w:rPr>
          <w:rFonts w:eastAsia="Times New Roman" w:cs="Times New Roman"/>
          <w:color w:val="000000"/>
          <w:lang w:val="es-ES" w:eastAsia="es-ES"/>
        </w:rPr>
        <w:t>, es necesario estudiar las causales de improcedencia y sobreseimiento que se adviertan, para determinar lo que en Derecho proceda.</w:t>
      </w:r>
    </w:p>
    <w:p w:rsidRPr="007E3D4A" w:rsidR="007E3D4A" w:rsidP="007E3D4A" w:rsidRDefault="007E3D4A" w14:paraId="115114B2" w14:textId="77777777">
      <w:pPr>
        <w:shd w:val="clear" w:color="auto" w:fill="FFFFFF"/>
        <w:spacing w:after="0" w:line="360" w:lineRule="auto"/>
        <w:rPr>
          <w:rFonts w:eastAsia="Times New Roman" w:cs="Times New Roman"/>
          <w:b/>
          <w:bCs/>
          <w:color w:val="000000"/>
          <w:lang w:val="es-ES" w:eastAsia="es-ES"/>
        </w:rPr>
      </w:pPr>
    </w:p>
    <w:p w:rsidRPr="007E3D4A" w:rsidR="007E3D4A" w:rsidP="007E3D4A" w:rsidRDefault="007E3D4A" w14:paraId="6E93B7EB" w14:textId="77777777">
      <w:pPr>
        <w:shd w:val="clear" w:color="auto" w:fill="FFFFFF"/>
        <w:spacing w:after="0" w:line="360" w:lineRule="auto"/>
        <w:rPr>
          <w:rFonts w:eastAsia="Times New Roman" w:cs="Times New Roman"/>
          <w:color w:val="222222"/>
          <w:sz w:val="20"/>
          <w:szCs w:val="20"/>
          <w:lang w:val="es-ES" w:eastAsia="es-ES"/>
        </w:rPr>
      </w:pPr>
      <w:r w:rsidRPr="007E3D4A">
        <w:rPr>
          <w:rFonts w:eastAsia="Times New Roman" w:cs="Times New Roman"/>
          <w:b/>
          <w:bCs/>
          <w:color w:val="000000"/>
          <w:lang w:val="es-ES" w:eastAsia="es-ES"/>
        </w:rPr>
        <w:t>Causales de improcedencia.</w:t>
      </w:r>
    </w:p>
    <w:p w:rsidRPr="007E3D4A" w:rsidR="007E3D4A" w:rsidP="007E3D4A" w:rsidRDefault="007E3D4A" w14:paraId="3403A89C" w14:textId="77777777">
      <w:pPr>
        <w:shd w:val="clear" w:color="auto" w:fill="FFFFFF"/>
        <w:spacing w:after="0" w:line="360" w:lineRule="auto"/>
        <w:rPr>
          <w:rFonts w:eastAsia="Times New Roman" w:cs="Times New Roman"/>
          <w:color w:val="222222"/>
          <w:sz w:val="20"/>
          <w:szCs w:val="20"/>
          <w:lang w:val="es-ES" w:eastAsia="es-ES"/>
        </w:rPr>
      </w:pPr>
    </w:p>
    <w:p w:rsidRPr="007E3D4A" w:rsidR="007E3D4A" w:rsidP="007E3D4A" w:rsidRDefault="007E3D4A" w14:paraId="0B68346E" w14:textId="77777777">
      <w:pPr>
        <w:spacing w:after="0" w:line="360" w:lineRule="auto"/>
        <w:rPr>
          <w:rFonts w:eastAsia="Times New Roman" w:cs="Tahoma"/>
          <w:bCs/>
          <w:color w:val="000000"/>
          <w:lang w:eastAsia="es-ES"/>
        </w:rPr>
      </w:pPr>
      <w:r w:rsidRPr="007E3D4A">
        <w:rPr>
          <w:rFonts w:eastAsia="Times New Roman" w:cs="Tahoma"/>
          <w:bCs/>
          <w:color w:val="000000"/>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7E3D4A">
        <w:rPr>
          <w:rFonts w:eastAsia="Times New Roman" w:cs="Tahoma"/>
          <w:bCs/>
          <w:color w:val="000000"/>
          <w:lang w:eastAsia="es-ES"/>
        </w:rPr>
        <w:lastRenderedPageBreak/>
        <w:t>establecidos en el artículo 191 de la Ley de Transparencia y Acceso a la Información Pública del Estado de México y Municipios, por ser improcedente.</w:t>
      </w:r>
    </w:p>
    <w:p w:rsidRPr="007E3D4A" w:rsidR="007E3D4A" w:rsidP="007E3D4A" w:rsidRDefault="007E3D4A" w14:paraId="37B00593" w14:textId="77777777">
      <w:pPr>
        <w:spacing w:after="0" w:line="360" w:lineRule="auto"/>
        <w:rPr>
          <w:rFonts w:eastAsia="Times New Roman" w:cs="Tahoma"/>
          <w:bCs/>
          <w:color w:val="000000"/>
          <w:lang w:eastAsia="es-ES"/>
        </w:rPr>
      </w:pPr>
    </w:p>
    <w:p w:rsidRPr="007E3D4A" w:rsidR="007E3D4A" w:rsidP="007E3D4A" w:rsidRDefault="007E3D4A" w14:paraId="76D2B948" w14:textId="77777777">
      <w:pPr>
        <w:spacing w:after="0" w:line="360" w:lineRule="auto"/>
        <w:rPr>
          <w:rFonts w:eastAsia="Times New Roman" w:cs="Tahoma"/>
          <w:bCs/>
          <w:color w:val="000000"/>
          <w:lang w:eastAsia="es-ES"/>
        </w:rPr>
      </w:pPr>
      <w:r w:rsidRPr="007E3D4A">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7E3D4A" w:rsidR="007E3D4A" w:rsidP="007E3D4A" w:rsidRDefault="007E3D4A" w14:paraId="0D1AFA0B" w14:textId="77777777">
      <w:pPr>
        <w:widowControl w:val="0"/>
        <w:spacing w:after="0" w:line="360" w:lineRule="auto"/>
        <w:rPr>
          <w:rFonts w:eastAsia="Times New Roman" w:cs="Times New Roman"/>
          <w:color w:val="222222"/>
          <w:sz w:val="20"/>
          <w:szCs w:val="20"/>
          <w:lang w:val="es-ES" w:eastAsia="es-ES"/>
        </w:rPr>
      </w:pPr>
    </w:p>
    <w:p w:rsidRPr="007E3D4A" w:rsidR="007E3D4A" w:rsidP="007E3D4A" w:rsidRDefault="007E3D4A" w14:paraId="5EF72746" w14:textId="77777777">
      <w:pPr>
        <w:autoSpaceDE w:val="0"/>
        <w:autoSpaceDN w:val="0"/>
        <w:adjustRightInd w:val="0"/>
        <w:spacing w:after="0" w:line="360" w:lineRule="auto"/>
        <w:rPr>
          <w:rFonts w:eastAsia="Calibri" w:cs="Tahoma"/>
          <w:color w:val="000000"/>
          <w:lang w:eastAsia="es-MX"/>
        </w:rPr>
      </w:pPr>
      <w:r w:rsidRPr="007E3D4A">
        <w:rPr>
          <w:rFonts w:eastAsia="Calibri" w:cs="Tahoma"/>
          <w:color w:val="000000"/>
          <w:lang w:eastAsia="es-MX"/>
        </w:rPr>
        <w:t xml:space="preserve">Asimismo, se actualiza la causal de procedencia señalada en el artículo </w:t>
      </w:r>
      <w:r w:rsidRPr="004568FF">
        <w:rPr>
          <w:rFonts w:eastAsia="Calibri" w:cs="Tahoma"/>
          <w:color w:val="000000"/>
          <w:lang w:eastAsia="es-MX"/>
        </w:rPr>
        <w:t>179, fracción VI,</w:t>
      </w:r>
      <w:r w:rsidRPr="007E3D4A">
        <w:rPr>
          <w:rFonts w:eastAsia="Calibri" w:cs="Tahoma"/>
          <w:color w:val="000000"/>
          <w:lang w:eastAsia="es-MX"/>
        </w:rPr>
        <w:t xml:space="preserve"> de la Ley de la materia, toda vez que el Solicitante se inconformó con la información que no corresponde con lo solicitado.</w:t>
      </w:r>
    </w:p>
    <w:p w:rsidRPr="007E3D4A" w:rsidR="007E3D4A" w:rsidP="007E3D4A" w:rsidRDefault="007E3D4A" w14:paraId="4AAA99DF" w14:textId="77777777">
      <w:pPr>
        <w:widowControl w:val="0"/>
        <w:spacing w:after="0" w:line="360" w:lineRule="auto"/>
        <w:rPr>
          <w:rFonts w:eastAsia="Times New Roman" w:cs="Times New Roman"/>
          <w:color w:val="222222"/>
          <w:sz w:val="20"/>
          <w:szCs w:val="20"/>
          <w:lang w:val="es-ES" w:eastAsia="es-ES"/>
        </w:rPr>
      </w:pPr>
    </w:p>
    <w:p w:rsidRPr="007E3D4A" w:rsidR="007E3D4A" w:rsidP="007E3D4A" w:rsidRDefault="007E3D4A" w14:paraId="0DDDDA01" w14:textId="77777777">
      <w:pPr>
        <w:spacing w:after="0" w:line="360" w:lineRule="auto"/>
        <w:rPr>
          <w:rFonts w:eastAsia="Times New Roman" w:cs="Tahoma"/>
          <w:bCs/>
          <w:color w:val="0D0D0D" w:themeColor="text1" w:themeTint="F2"/>
          <w:lang w:eastAsia="es-ES"/>
        </w:rPr>
      </w:pPr>
      <w:r w:rsidRPr="007E3D4A">
        <w:rPr>
          <w:rFonts w:eastAsia="Times New Roman" w:cs="Tahoma"/>
          <w:b/>
          <w:bCs/>
          <w:color w:val="0D0D0D" w:themeColor="text1" w:themeTint="F2"/>
          <w:lang w:eastAsia="es-ES"/>
        </w:rPr>
        <w:t>Causales de sobreseimiento.</w:t>
      </w:r>
    </w:p>
    <w:p w:rsidRPr="007E3D4A" w:rsidR="007E3D4A" w:rsidP="007E3D4A" w:rsidRDefault="007E3D4A" w14:paraId="1301119D" w14:textId="77777777">
      <w:pPr>
        <w:spacing w:after="0" w:line="360" w:lineRule="auto"/>
        <w:rPr>
          <w:rFonts w:eastAsia="Times New Roman" w:cs="Tahoma"/>
          <w:bCs/>
          <w:color w:val="0D0D0D" w:themeColor="text1" w:themeTint="F2"/>
          <w:lang w:eastAsia="es-ES"/>
        </w:rPr>
      </w:pPr>
    </w:p>
    <w:p w:rsidRPr="007E3D4A" w:rsidR="007E3D4A" w:rsidP="007E3D4A" w:rsidRDefault="007E3D4A" w14:paraId="2B0D5ED2" w14:textId="77777777">
      <w:pPr>
        <w:spacing w:after="0" w:line="360" w:lineRule="auto"/>
        <w:rPr>
          <w:rFonts w:eastAsia="Times New Roman" w:cs="Tahoma"/>
          <w:bCs/>
          <w:color w:val="0D0D0D" w:themeColor="text1" w:themeTint="F2"/>
          <w:lang w:eastAsia="es-ES"/>
        </w:rPr>
      </w:pPr>
      <w:r w:rsidRPr="007E3D4A">
        <w:rPr>
          <w:rFonts w:eastAsia="Times New Roman" w:cs="Tahoma"/>
          <w:bCs/>
          <w:color w:val="0D0D0D" w:themeColor="text1" w:themeTint="F2"/>
          <w:lang w:eastAsia="es-ES"/>
        </w:rPr>
        <w:t>Por ser de previo y especial pronunciamiento, este Instituto analiza si se actualiza alguna causal de sobreseimiento.</w:t>
      </w:r>
    </w:p>
    <w:p w:rsidRPr="007E3D4A" w:rsidR="007E3D4A" w:rsidP="007E3D4A" w:rsidRDefault="007E3D4A" w14:paraId="3AFB6D44" w14:textId="77777777">
      <w:pPr>
        <w:spacing w:after="0" w:line="360" w:lineRule="auto"/>
        <w:rPr>
          <w:rFonts w:eastAsia="Times New Roman" w:cs="Tahoma"/>
          <w:bCs/>
          <w:color w:val="0D0D0D" w:themeColor="text1" w:themeTint="F2"/>
          <w:lang w:eastAsia="es-ES"/>
        </w:rPr>
      </w:pPr>
    </w:p>
    <w:p w:rsidRPr="007E3D4A" w:rsidR="007E3D4A" w:rsidP="007E3D4A" w:rsidRDefault="007E3D4A" w14:paraId="5A9B8E69" w14:textId="77777777">
      <w:pPr>
        <w:spacing w:after="0" w:line="360" w:lineRule="auto"/>
        <w:rPr>
          <w:rFonts w:eastAsia="Times New Roman" w:cs="Tahoma"/>
          <w:color w:val="auto"/>
          <w:szCs w:val="24"/>
          <w:lang w:eastAsia="es-ES"/>
        </w:rPr>
      </w:pPr>
      <w:r w:rsidRPr="007E3D4A">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E3D4A" w:rsidR="007E3D4A" w:rsidP="007E3D4A" w:rsidRDefault="007E3D4A" w14:paraId="1CB341A4" w14:textId="77777777">
      <w:pPr>
        <w:spacing w:after="0" w:line="360" w:lineRule="auto"/>
        <w:rPr>
          <w:rFonts w:eastAsia="Times New Roman" w:cs="Tahoma"/>
          <w:bCs/>
          <w:color w:val="0D0D0D" w:themeColor="text1" w:themeTint="F2"/>
          <w:lang w:eastAsia="es-ES"/>
        </w:rPr>
      </w:pPr>
    </w:p>
    <w:p w:rsidR="00066B31" w:rsidP="007E3D4A" w:rsidRDefault="007E3D4A" w14:paraId="7F0C6A66" w14:textId="706777E5">
      <w:pPr>
        <w:tabs>
          <w:tab w:val="left" w:pos="4962"/>
        </w:tabs>
        <w:spacing w:after="0" w:line="360" w:lineRule="auto"/>
        <w:rPr>
          <w:rFonts w:eastAsia="Times New Roman" w:cs="Tahoma"/>
          <w:bCs/>
          <w:color w:val="0D0D0D" w:themeColor="text1" w:themeTint="F2"/>
          <w:lang w:eastAsia="es-ES"/>
        </w:rPr>
      </w:pPr>
      <w:r w:rsidRPr="007E3D4A">
        <w:rPr>
          <w:rFonts w:eastAsia="Times New Roman" w:cs="Tahoma"/>
          <w:bCs/>
          <w:color w:val="0D0D0D" w:themeColor="text1" w:themeTint="F2"/>
          <w:lang w:eastAsia="es-ES"/>
        </w:rPr>
        <w:t>Por tales motivos, se considera procedente entrar al fondo del presente asunto</w:t>
      </w:r>
      <w:r>
        <w:rPr>
          <w:rFonts w:eastAsia="Times New Roman" w:cs="Tahoma"/>
          <w:bCs/>
          <w:color w:val="0D0D0D" w:themeColor="text1" w:themeTint="F2"/>
          <w:lang w:eastAsia="es-ES"/>
        </w:rPr>
        <w:t>.</w:t>
      </w:r>
    </w:p>
    <w:p w:rsidRPr="00446963" w:rsidR="007E3D4A" w:rsidP="007E3D4A" w:rsidRDefault="007E3D4A" w14:paraId="2F8DDD17" w14:textId="77777777">
      <w:pPr>
        <w:tabs>
          <w:tab w:val="left" w:pos="4962"/>
        </w:tabs>
        <w:spacing w:after="0" w:line="360" w:lineRule="auto"/>
        <w:rPr>
          <w:rFonts w:cs="Tahoma"/>
          <w:lang w:val="es-ES"/>
        </w:rPr>
      </w:pPr>
    </w:p>
    <w:p w:rsidRPr="00446963" w:rsidR="00066B31" w:rsidP="00A158AB"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7F6348" w:rsidP="00A158AB" w:rsidRDefault="007F6348" w14:paraId="28AA6E59" w14:textId="77777777">
      <w:pPr>
        <w:spacing w:after="0" w:line="360" w:lineRule="auto"/>
      </w:pPr>
    </w:p>
    <w:p w:rsidR="00066B31" w:rsidP="00A158AB" w:rsidRDefault="00066B31" w14:paraId="2EAB795C" w14:textId="6A4D2370">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FE24DD">
        <w:rPr>
          <w:rFonts w:eastAsia="Calibri" w:cs="Tahoma"/>
          <w:iCs/>
          <w:lang w:val="es-ES" w:eastAsia="es-ES_tradnl"/>
        </w:rPr>
        <w:t xml:space="preserve"> </w:t>
      </w:r>
      <w:r w:rsidR="00B571D7">
        <w:rPr>
          <w:rFonts w:eastAsia="Calibri" w:cs="Tahoma"/>
          <w:iCs/>
          <w:lang w:val="es-ES" w:eastAsia="es-ES_tradnl"/>
        </w:rPr>
        <w:t>saber si con el Presupuesto autorizado</w:t>
      </w:r>
      <w:r w:rsidR="0027065B">
        <w:rPr>
          <w:rFonts w:eastAsia="Calibri" w:cs="Tahoma"/>
          <w:iCs/>
          <w:lang w:val="es-ES" w:eastAsia="es-ES_tradnl"/>
        </w:rPr>
        <w:t xml:space="preserve"> a la Unidad de Transparencia se han realizado compras por concepto de </w:t>
      </w:r>
      <w:r w:rsidR="00CC2FC9">
        <w:rPr>
          <w:rFonts w:eastAsia="Calibri" w:cs="Tahoma"/>
          <w:iCs/>
          <w:lang w:val="es-ES" w:eastAsia="es-ES_tradnl"/>
        </w:rPr>
        <w:t>vaselina</w:t>
      </w:r>
      <w:r w:rsidR="0027065B">
        <w:rPr>
          <w:rFonts w:eastAsia="Calibri" w:cs="Tahoma"/>
          <w:iCs/>
          <w:lang w:val="es-ES" w:eastAsia="es-ES_tradnl"/>
        </w:rPr>
        <w:t>,</w:t>
      </w:r>
      <w:r w:rsidR="00B571D7">
        <w:rPr>
          <w:rFonts w:eastAsia="Calibri" w:cs="Tahoma"/>
          <w:iCs/>
          <w:lang w:val="es-ES" w:eastAsia="es-ES_tradnl"/>
        </w:rPr>
        <w:t xml:space="preserve"> </w:t>
      </w:r>
      <w:proofErr w:type="spellStart"/>
      <w:r w:rsidR="00B571D7">
        <w:rPr>
          <w:rFonts w:eastAsia="Calibri" w:cs="Tahoma"/>
          <w:iCs/>
          <w:lang w:val="es-ES" w:eastAsia="es-ES_tradnl"/>
        </w:rPr>
        <w:t>plugs</w:t>
      </w:r>
      <w:proofErr w:type="spellEnd"/>
      <w:r w:rsidR="00B571D7">
        <w:rPr>
          <w:rFonts w:eastAsia="Calibri" w:cs="Tahoma"/>
          <w:iCs/>
          <w:lang w:val="es-ES" w:eastAsia="es-ES_tradnl"/>
        </w:rPr>
        <w:t xml:space="preserve">, banderas </w:t>
      </w:r>
      <w:proofErr w:type="spellStart"/>
      <w:r w:rsidR="00B571D7">
        <w:rPr>
          <w:rFonts w:eastAsia="Calibri" w:cs="Tahoma"/>
          <w:iCs/>
          <w:lang w:val="es-ES" w:eastAsia="es-ES_tradnl"/>
        </w:rPr>
        <w:t>lgbt</w:t>
      </w:r>
      <w:proofErr w:type="spellEnd"/>
      <w:r w:rsidR="00B571D7">
        <w:rPr>
          <w:rFonts w:eastAsia="Calibri" w:cs="Tahoma"/>
          <w:iCs/>
          <w:lang w:val="es-ES" w:eastAsia="es-ES_tradnl"/>
        </w:rPr>
        <w:t xml:space="preserve"> para apoyar</w:t>
      </w:r>
      <w:r w:rsidR="00CC2FC9">
        <w:rPr>
          <w:rFonts w:eastAsia="Calibri" w:cs="Tahoma"/>
          <w:iCs/>
          <w:lang w:val="es-ES" w:eastAsia="es-ES_tradnl"/>
        </w:rPr>
        <w:t xml:space="preserve"> a </w:t>
      </w:r>
      <w:r w:rsidR="00B571D7">
        <w:rPr>
          <w:rFonts w:eastAsia="Calibri" w:cs="Tahoma"/>
          <w:iCs/>
          <w:lang w:val="es-ES" w:eastAsia="es-ES_tradnl"/>
        </w:rPr>
        <w:t xml:space="preserve">los </w:t>
      </w:r>
      <w:r w:rsidR="00CC2FC9">
        <w:rPr>
          <w:rFonts w:eastAsia="Calibri" w:cs="Tahoma"/>
          <w:iCs/>
          <w:lang w:val="es-ES" w:eastAsia="es-ES_tradnl"/>
        </w:rPr>
        <w:t xml:space="preserve">familiares de los servidores públicos adscritos a dicha área. </w:t>
      </w:r>
    </w:p>
    <w:p w:rsidRPr="00446963" w:rsidR="00066B31" w:rsidP="00A158AB" w:rsidRDefault="00066B31" w14:paraId="035B8B87" w14:textId="77777777">
      <w:pPr>
        <w:tabs>
          <w:tab w:val="left" w:pos="4962"/>
        </w:tabs>
        <w:spacing w:after="0" w:line="360" w:lineRule="auto"/>
        <w:rPr>
          <w:rFonts w:eastAsia="Calibri" w:cs="Tahoma"/>
          <w:iCs/>
          <w:lang w:val="es-ES" w:eastAsia="es-ES_tradnl"/>
        </w:rPr>
      </w:pPr>
    </w:p>
    <w:p w:rsidR="008C23E3" w:rsidP="00A158AB" w:rsidRDefault="00FE24DD" w14:paraId="0A57C759" w14:textId="7FB2741D">
      <w:pPr>
        <w:pStyle w:val="NormalWeb"/>
        <w:spacing w:after="0" w:line="360" w:lineRule="auto"/>
        <w:ind w:right="-28"/>
        <w:rPr>
          <w:rFonts w:ascii="Palatino Linotype" w:hAnsi="Palatino Linotype" w:cs="Tahoma"/>
          <w:bCs/>
          <w:iCs/>
          <w:sz w:val="22"/>
          <w:szCs w:val="22"/>
          <w:lang w:val="es-ES"/>
        </w:rPr>
      </w:pPr>
      <w:r>
        <w:rPr>
          <w:rFonts w:ascii="Palatino Linotype" w:hAnsi="Palatino Linotype" w:cs="Tahoma"/>
          <w:bCs/>
          <w:iCs/>
          <w:sz w:val="22"/>
          <w:szCs w:val="22"/>
          <w:lang w:val="es-ES"/>
        </w:rPr>
        <w:t>En respuesta, el Sujeto Obligado, a través de</w:t>
      </w:r>
      <w:r w:rsidR="00B111BD">
        <w:rPr>
          <w:rFonts w:ascii="Palatino Linotype" w:hAnsi="Palatino Linotype" w:cs="Tahoma"/>
          <w:bCs/>
          <w:iCs/>
          <w:sz w:val="22"/>
          <w:szCs w:val="22"/>
          <w:lang w:val="es-ES"/>
        </w:rPr>
        <w:t xml:space="preserve">l Titular de la Unidad de Transparencia </w:t>
      </w:r>
      <w:r w:rsidR="000E5D2C">
        <w:rPr>
          <w:rFonts w:ascii="Palatino Linotype" w:hAnsi="Palatino Linotype" w:cs="Tahoma"/>
          <w:bCs/>
          <w:iCs/>
          <w:sz w:val="22"/>
          <w:szCs w:val="22"/>
          <w:lang w:val="es-ES"/>
        </w:rPr>
        <w:t xml:space="preserve">informó que </w:t>
      </w:r>
      <w:r w:rsidR="00F124E1">
        <w:rPr>
          <w:rFonts w:ascii="Palatino Linotype" w:hAnsi="Palatino Linotype" w:cs="Tahoma"/>
          <w:bCs/>
          <w:iCs/>
          <w:sz w:val="22"/>
          <w:szCs w:val="22"/>
          <w:lang w:val="es-ES"/>
        </w:rPr>
        <w:t>la solicitud no cumpl</w:t>
      </w:r>
      <w:r w:rsidR="00B571D7">
        <w:rPr>
          <w:rFonts w:ascii="Palatino Linotype" w:hAnsi="Palatino Linotype" w:cs="Tahoma"/>
          <w:bCs/>
          <w:iCs/>
          <w:sz w:val="22"/>
          <w:szCs w:val="22"/>
          <w:lang w:val="es-ES"/>
        </w:rPr>
        <w:t>ía</w:t>
      </w:r>
      <w:r w:rsidR="00F124E1">
        <w:rPr>
          <w:rFonts w:ascii="Palatino Linotype" w:hAnsi="Palatino Linotype" w:cs="Tahoma"/>
          <w:bCs/>
          <w:iCs/>
          <w:sz w:val="22"/>
          <w:szCs w:val="22"/>
          <w:lang w:val="es-ES"/>
        </w:rPr>
        <w:t xml:space="preserve"> co</w:t>
      </w:r>
      <w:r w:rsidR="00B571D7">
        <w:rPr>
          <w:rFonts w:ascii="Palatino Linotype" w:hAnsi="Palatino Linotype" w:cs="Tahoma"/>
          <w:bCs/>
          <w:iCs/>
          <w:sz w:val="22"/>
          <w:szCs w:val="22"/>
          <w:lang w:val="es-ES"/>
        </w:rPr>
        <w:t>n determinadas características, al ser un derecho de petición al corresponder a manifestaciones subjetivas</w:t>
      </w:r>
      <w:r w:rsidR="00062470">
        <w:rPr>
          <w:rFonts w:ascii="Palatino Linotype" w:hAnsi="Palatino Linotype" w:cs="Tahoma"/>
          <w:bCs/>
          <w:iCs/>
          <w:sz w:val="22"/>
          <w:szCs w:val="22"/>
          <w:lang w:val="es-ES"/>
        </w:rPr>
        <w:t xml:space="preserve">; ante </w:t>
      </w:r>
      <w:r w:rsidRPr="007F6348" w:rsidR="007F6348">
        <w:rPr>
          <w:rFonts w:ascii="Palatino Linotype" w:hAnsi="Palatino Linotype" w:cs="Tahoma"/>
          <w:bCs/>
          <w:iCs/>
          <w:sz w:val="22"/>
          <w:szCs w:val="22"/>
        </w:rPr>
        <w:t>dicha circunstancia, el Recurrente se agravi</w:t>
      </w:r>
      <w:r w:rsidR="00B571D7">
        <w:rPr>
          <w:rFonts w:ascii="Palatino Linotype" w:hAnsi="Palatino Linotype" w:cs="Tahoma"/>
          <w:bCs/>
          <w:iCs/>
          <w:sz w:val="22"/>
          <w:szCs w:val="22"/>
        </w:rPr>
        <w:t>ó</w:t>
      </w:r>
      <w:r w:rsidRPr="007F6348" w:rsidR="007F6348">
        <w:rPr>
          <w:rFonts w:ascii="Palatino Linotype" w:hAnsi="Palatino Linotype" w:cs="Tahoma"/>
          <w:bCs/>
          <w:iCs/>
          <w:sz w:val="22"/>
          <w:szCs w:val="22"/>
        </w:rPr>
        <w:t xml:space="preserve"> al señalar que la información la entrega de la información no corresponde con lo solicitado, </w:t>
      </w:r>
      <w:r w:rsidR="00B571D7">
        <w:rPr>
          <w:rFonts w:ascii="Palatino Linotype" w:hAnsi="Palatino Linotype" w:cs="Tahoma"/>
          <w:bCs/>
          <w:iCs/>
          <w:sz w:val="22"/>
          <w:szCs w:val="22"/>
        </w:rPr>
        <w:t xml:space="preserve">al señalar que no le daban una respuesta clara, </w:t>
      </w:r>
      <w:r w:rsidRPr="007F6348" w:rsidR="007F6348">
        <w:rPr>
          <w:rFonts w:ascii="Palatino Linotype" w:hAnsi="Palatino Linotype" w:cs="Tahoma"/>
          <w:bCs/>
          <w:iCs/>
          <w:sz w:val="22"/>
          <w:szCs w:val="22"/>
        </w:rPr>
        <w:t>circunstancia que actualiza la causal de procedencia prevista en la fracción VI</w:t>
      </w:r>
      <w:r w:rsidR="00B571D7">
        <w:rPr>
          <w:rFonts w:ascii="Palatino Linotype" w:hAnsi="Palatino Linotype" w:cs="Tahoma"/>
          <w:bCs/>
          <w:iCs/>
          <w:sz w:val="22"/>
          <w:szCs w:val="22"/>
        </w:rPr>
        <w:t>,</w:t>
      </w:r>
      <w:r w:rsidRPr="007F6348" w:rsidR="007F6348">
        <w:rPr>
          <w:rFonts w:ascii="Palatino Linotype" w:hAnsi="Palatino Linotype" w:cs="Tahoma"/>
          <w:bCs/>
          <w:iCs/>
          <w:sz w:val="22"/>
          <w:szCs w:val="22"/>
        </w:rPr>
        <w:t xml:space="preserve"> del artículo 179 de la Ley de Transparencia y Acceso a la Información Pública del</w:t>
      </w:r>
      <w:r w:rsidR="00B571D7">
        <w:rPr>
          <w:rFonts w:ascii="Palatino Linotype" w:hAnsi="Palatino Linotype" w:cs="Tahoma"/>
          <w:bCs/>
          <w:iCs/>
          <w:sz w:val="22"/>
          <w:szCs w:val="22"/>
        </w:rPr>
        <w:t xml:space="preserve"> Estado de México y Municipios. </w:t>
      </w:r>
      <w:r w:rsidRPr="007F6348" w:rsidR="007F6348">
        <w:rPr>
          <w:rFonts w:ascii="Palatino Linotype" w:hAnsi="Palatino Linotype" w:cs="Tahoma"/>
          <w:bCs/>
          <w:iCs/>
          <w:sz w:val="22"/>
          <w:szCs w:val="22"/>
          <w:lang w:val="es-ES"/>
        </w:rPr>
        <w:t xml:space="preserve">Así las cosas, una vez admitido y notificado los Recursos de Revisión a las partes, </w:t>
      </w:r>
      <w:r w:rsidR="008D6C98">
        <w:rPr>
          <w:rFonts w:ascii="Palatino Linotype" w:hAnsi="Palatino Linotype" w:cs="Tahoma"/>
          <w:bCs/>
          <w:iCs/>
          <w:sz w:val="22"/>
          <w:szCs w:val="22"/>
          <w:lang w:val="es-ES"/>
        </w:rPr>
        <w:t xml:space="preserve">el Sujeto Obligado ratificó su respuesta primigenia, por otro lado, el particular fue omiso en manifestarse. </w:t>
      </w:r>
    </w:p>
    <w:p w:rsidR="007F6348" w:rsidP="00A158AB" w:rsidRDefault="007F6348" w14:paraId="44B55834" w14:textId="77777777">
      <w:pPr>
        <w:pStyle w:val="NormalWeb"/>
        <w:spacing w:after="0" w:line="360" w:lineRule="auto"/>
        <w:ind w:right="-28"/>
        <w:rPr>
          <w:rFonts w:ascii="Palatino Linotype" w:hAnsi="Palatino Linotype" w:cs="Tahoma"/>
          <w:bCs/>
          <w:iCs/>
          <w:color w:val="auto"/>
          <w:sz w:val="22"/>
          <w:szCs w:val="22"/>
          <w:lang w:val="es-ES" w:eastAsia="es-ES"/>
        </w:rPr>
      </w:pPr>
    </w:p>
    <w:p w:rsidRPr="00446963" w:rsidR="00066B31" w:rsidP="00A158AB" w:rsidRDefault="00066B31" w14:paraId="68774A70" w14:textId="7FFE0648">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00062470">
        <w:rPr>
          <w:rFonts w:eastAsia="Calibri" w:cs="Tahoma"/>
          <w:iCs/>
          <w:lang w:val="es-ES" w:eastAsia="es-ES_tradnl"/>
        </w:rPr>
        <w:t>; la respuesta entregada</w:t>
      </w:r>
      <w:r w:rsidRPr="00446963">
        <w:rPr>
          <w:rFonts w:eastAsia="Calibri" w:cs="Tahoma"/>
          <w:iCs/>
          <w:lang w:val="es-ES" w:eastAsia="es-ES_tradnl"/>
        </w:rPr>
        <w:t xml:space="preserve">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A158AB" w:rsidRDefault="00066B31" w14:paraId="436F8DAB" w14:textId="77777777">
      <w:pPr>
        <w:tabs>
          <w:tab w:val="left" w:pos="4962"/>
        </w:tabs>
        <w:spacing w:after="0" w:line="360" w:lineRule="auto"/>
        <w:rPr>
          <w:rFonts w:eastAsia="Calibri" w:cs="Tahoma"/>
          <w:bCs/>
        </w:rPr>
      </w:pPr>
    </w:p>
    <w:p w:rsidR="00066B31" w:rsidP="00A158AB" w:rsidRDefault="00066B31" w14:paraId="2E82BC88" w14:textId="3375969E">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7F6348" w:rsidP="00A158AB" w:rsidRDefault="007F6348" w14:paraId="7C059A54" w14:textId="77777777">
      <w:pPr>
        <w:spacing w:after="0" w:line="360" w:lineRule="auto"/>
        <w:rPr>
          <w:rFonts w:cs="Tahoma"/>
          <w:b/>
        </w:rPr>
      </w:pPr>
    </w:p>
    <w:p w:rsidRPr="00446963" w:rsidR="00066B31" w:rsidP="00A158AB"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A158AB" w:rsidRDefault="00066B31" w14:paraId="31B874EE" w14:textId="77777777">
      <w:pPr>
        <w:widowControl w:val="0"/>
        <w:spacing w:after="0" w:line="360" w:lineRule="auto"/>
        <w:rPr>
          <w:rFonts w:eastAsia="Times New Roman" w:cs="Tahoma"/>
          <w:lang w:eastAsia="es-MX"/>
        </w:rPr>
      </w:pPr>
    </w:p>
    <w:p w:rsidRPr="00446963" w:rsidR="00066B31" w:rsidP="00A158AB"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A158AB" w:rsidRDefault="00066B31" w14:paraId="736B3C45" w14:textId="77777777">
      <w:pPr>
        <w:widowControl w:val="0"/>
        <w:spacing w:after="0" w:line="360" w:lineRule="auto"/>
        <w:rPr>
          <w:rFonts w:eastAsia="Times New Roman" w:cs="Tahoma"/>
          <w:lang w:eastAsia="es-MX"/>
        </w:rPr>
      </w:pPr>
    </w:p>
    <w:p w:rsidRPr="00446963" w:rsidR="00066B31" w:rsidP="00A158AB" w:rsidRDefault="00066B31" w14:paraId="73F41E19"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A158AB" w:rsidRDefault="00066B31" w14:paraId="773388CF" w14:textId="77777777">
      <w:pPr>
        <w:widowControl w:val="0"/>
        <w:spacing w:after="0" w:line="360" w:lineRule="auto"/>
        <w:rPr>
          <w:rFonts w:eastAsia="Times New Roman" w:cs="Tahoma"/>
          <w:lang w:eastAsia="es-MX"/>
        </w:rPr>
      </w:pPr>
    </w:p>
    <w:p w:rsidRPr="00446963" w:rsidR="00066B31" w:rsidP="00A158AB"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A158AB" w:rsidRDefault="00066B31" w14:paraId="1C5CE9B0" w14:textId="7A498C63">
      <w:pPr>
        <w:widowControl w:val="0"/>
        <w:spacing w:after="0" w:line="360" w:lineRule="auto"/>
        <w:rPr>
          <w:rFonts w:eastAsia="Times New Roman" w:cs="Tahoma"/>
          <w:lang w:eastAsia="es-MX"/>
        </w:rPr>
      </w:pPr>
    </w:p>
    <w:p w:rsidRPr="00446963" w:rsidR="00066B31" w:rsidP="00A158AB"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A158AB" w:rsidRDefault="00066B31" w14:paraId="7971A82B" w14:textId="77777777">
      <w:pPr>
        <w:widowControl w:val="0"/>
        <w:spacing w:after="0" w:line="360" w:lineRule="auto"/>
        <w:rPr>
          <w:rFonts w:eastAsia="Times New Roman" w:cs="Tahoma"/>
          <w:lang w:eastAsia="es-MX"/>
        </w:rPr>
      </w:pPr>
    </w:p>
    <w:p w:rsidRPr="00446963" w:rsidR="00066B31" w:rsidP="00A158AB"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A158AB" w:rsidRDefault="00066B31" w14:paraId="6D505BF4" w14:textId="77777777">
      <w:pPr>
        <w:widowControl w:val="0"/>
        <w:spacing w:after="0" w:line="360" w:lineRule="auto"/>
        <w:rPr>
          <w:rFonts w:eastAsia="Times New Roman" w:cs="Tahoma"/>
          <w:lang w:eastAsia="es-MX"/>
        </w:rPr>
      </w:pPr>
    </w:p>
    <w:p w:rsidRPr="00446963" w:rsidR="00066B31" w:rsidP="00A158AB"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46963" w:rsidR="00B571D7" w:rsidP="00A158AB" w:rsidRDefault="00B571D7" w14:paraId="7C1D67FB" w14:textId="77777777">
      <w:pPr>
        <w:widowControl w:val="0"/>
        <w:spacing w:after="0" w:line="360" w:lineRule="auto"/>
        <w:rPr>
          <w:rFonts w:eastAsia="Times New Roman" w:cs="Tahoma"/>
          <w:lang w:eastAsia="es-MX"/>
        </w:rPr>
      </w:pPr>
    </w:p>
    <w:p w:rsidRPr="00446963" w:rsidR="00351BE4" w:rsidP="00351BE4" w:rsidRDefault="00351BE4" w14:paraId="4972B4AF"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00351BE4" w:rsidP="00351BE4" w:rsidRDefault="00351BE4" w14:paraId="508A6EF2" w14:textId="77777777">
      <w:pPr>
        <w:spacing w:after="0" w:line="360" w:lineRule="auto"/>
        <w:rPr>
          <w:rFonts w:eastAsia="Times New Roman" w:cs="Tahoma"/>
          <w:b/>
          <w:lang w:val="es-ES" w:eastAsia="es-ES"/>
        </w:rPr>
      </w:pPr>
    </w:p>
    <w:p w:rsidR="005B1AC7" w:rsidP="00B571D7" w:rsidRDefault="00B571D7" w14:paraId="6F74E3D2" w14:textId="09CD0E49">
      <w:pPr>
        <w:spacing w:after="0" w:line="360" w:lineRule="auto"/>
        <w:rPr>
          <w:rFonts w:eastAsia="Calibri" w:cs="Tahoma"/>
          <w:bCs/>
          <w:color w:val="auto"/>
        </w:rPr>
      </w:pPr>
      <w:r w:rsidRPr="00B571D7">
        <w:rPr>
          <w:rFonts w:eastAsia="Calibri" w:cs="Tahoma"/>
          <w:bCs/>
          <w:color w:val="auto"/>
        </w:rPr>
        <w:t>Expuestas las posturas de las partes, se procede a analizar los agravios hechos valer por el ahora Recurrente</w:t>
      </w:r>
      <w:r w:rsidR="005B1AC7">
        <w:rPr>
          <w:rFonts w:eastAsia="Calibri" w:cs="Tahoma"/>
          <w:bCs/>
          <w:color w:val="auto"/>
        </w:rPr>
        <w:t>;</w:t>
      </w:r>
      <w:r w:rsidRPr="00B571D7">
        <w:rPr>
          <w:rFonts w:eastAsia="Calibri" w:cs="Tahoma"/>
          <w:bCs/>
          <w:color w:val="auto"/>
        </w:rPr>
        <w:t xml:space="preserve"> </w:t>
      </w:r>
      <w:r w:rsidR="005B1AC7">
        <w:rPr>
          <w:rFonts w:eastAsia="Calibri" w:cs="Tahoma"/>
          <w:bCs/>
          <w:color w:val="auto"/>
        </w:rPr>
        <w:t>para lo cual, es necesario precisar que en respuesta, como Informe Justificado, el Ayuntamiento de Metepec señaló que la solicitud de información era un derecho de petición.</w:t>
      </w:r>
    </w:p>
    <w:p w:rsidR="005B1AC7" w:rsidP="00B571D7" w:rsidRDefault="005B1AC7" w14:paraId="3EA58FD5" w14:textId="77777777">
      <w:pPr>
        <w:spacing w:after="0" w:line="360" w:lineRule="auto"/>
        <w:rPr>
          <w:rFonts w:eastAsia="Calibri" w:cs="Tahoma"/>
          <w:bCs/>
          <w:color w:val="auto"/>
        </w:rPr>
      </w:pPr>
    </w:p>
    <w:p w:rsidRPr="00B571D7" w:rsidR="00B571D7" w:rsidP="00B571D7" w:rsidRDefault="005B1AC7" w14:paraId="4A067063" w14:textId="1AA9C982">
      <w:pPr>
        <w:spacing w:after="0" w:line="360" w:lineRule="auto"/>
        <w:rPr>
          <w:rFonts w:eastAsia="Calibri" w:cs="Tahoma"/>
          <w:iCs/>
          <w:color w:val="auto"/>
          <w:lang w:val="es-ES" w:eastAsia="es-ES_tradnl"/>
        </w:rPr>
      </w:pPr>
      <w:r>
        <w:rPr>
          <w:rFonts w:eastAsia="Calibri" w:cs="Tahoma"/>
          <w:bCs/>
          <w:color w:val="auto"/>
        </w:rPr>
        <w:t>Al respecto</w:t>
      </w:r>
      <w:r w:rsidRPr="00B571D7" w:rsidR="00B571D7">
        <w:rPr>
          <w:rFonts w:eastAsia="Calibri" w:cs="Tahoma"/>
          <w:bCs/>
          <w:color w:val="auto"/>
        </w:rPr>
        <w:t>,</w:t>
      </w:r>
      <w:r>
        <w:rPr>
          <w:rFonts w:eastAsia="Calibri" w:cs="Tahoma"/>
          <w:bCs/>
          <w:color w:val="auto"/>
        </w:rPr>
        <w:t xml:space="preserve"> en principio cabe recordar que</w:t>
      </w:r>
      <w:r w:rsidRPr="00B571D7" w:rsidR="00B571D7">
        <w:rPr>
          <w:rFonts w:eastAsia="Calibri" w:cs="Tahoma"/>
          <w:bCs/>
          <w:color w:val="auto"/>
        </w:rPr>
        <w:t xml:space="preserve"> el Particular, </w:t>
      </w:r>
      <w:r w:rsidRPr="00B571D7" w:rsidR="00B571D7">
        <w:rPr>
          <w:rFonts w:eastAsia="Calibri" w:cs="Tahoma"/>
          <w:iCs/>
          <w:color w:val="auto"/>
          <w:lang w:val="es-ES" w:eastAsia="es-ES_tradnl"/>
        </w:rPr>
        <w:t>requirió, se le diera respuesta</w:t>
      </w:r>
      <w:r>
        <w:rPr>
          <w:rFonts w:eastAsia="Calibri" w:cs="Tahoma"/>
          <w:iCs/>
          <w:color w:val="auto"/>
          <w:lang w:val="es-ES" w:eastAsia="es-ES_tradnl"/>
        </w:rPr>
        <w:t xml:space="preserve"> a una pregunta específica</w:t>
      </w:r>
      <w:r w:rsidRPr="00B571D7" w:rsidR="00B571D7">
        <w:rPr>
          <w:rFonts w:eastAsia="Calibri" w:cs="Tahoma"/>
          <w:iCs/>
          <w:color w:val="auto"/>
          <w:lang w:val="es-ES" w:eastAsia="es-ES_tradnl"/>
        </w:rPr>
        <w:t xml:space="preserve">; con lo cual, de su simple lectura, se logra desprender que, para atender dicha solicitud, el Sujeto Obligado tendría que elaborar un documento </w:t>
      </w:r>
      <w:r w:rsidRPr="00B571D7" w:rsidR="00B571D7">
        <w:rPr>
          <w:rFonts w:eastAsia="Calibri" w:cs="Tahoma"/>
          <w:i/>
          <w:iCs/>
          <w:color w:val="auto"/>
          <w:lang w:val="es-ES" w:eastAsia="es-ES_tradnl"/>
        </w:rPr>
        <w:t>ad hoc.</w:t>
      </w:r>
    </w:p>
    <w:p w:rsidRPr="00B571D7" w:rsidR="00B571D7" w:rsidP="00B571D7" w:rsidRDefault="00B571D7" w14:paraId="74126306" w14:textId="77777777">
      <w:pPr>
        <w:tabs>
          <w:tab w:val="left" w:pos="4962"/>
        </w:tabs>
        <w:spacing w:after="0" w:line="360" w:lineRule="auto"/>
        <w:rPr>
          <w:rFonts w:eastAsia="Calibri" w:cs="Tahoma"/>
          <w:iCs/>
          <w:color w:val="auto"/>
          <w:lang w:val="es-ES" w:eastAsia="es-ES_tradnl"/>
        </w:rPr>
      </w:pPr>
    </w:p>
    <w:p w:rsidRPr="00B571D7" w:rsidR="00B571D7" w:rsidP="00B571D7" w:rsidRDefault="00B571D7" w14:paraId="006DE4F4" w14:textId="77777777">
      <w:pPr>
        <w:spacing w:after="0" w:line="360" w:lineRule="auto"/>
        <w:rPr>
          <w:rFonts w:eastAsia="Calibri" w:cs="Tahoma"/>
          <w:bCs/>
          <w:color w:val="auto"/>
        </w:rPr>
      </w:pPr>
      <w:r w:rsidRPr="00B571D7">
        <w:rPr>
          <w:rFonts w:eastAsia="Calibri" w:cs="Tahoma"/>
          <w:bCs/>
          <w:color w:val="auto"/>
        </w:rPr>
        <w:t>Sobre el particular, cabe traer a colación los artículos 2°, fracción II, 3°, fracción XI y 18 de la Ley de Transparencia y Acceso a la Información Pública del Estado de México y Municipios, que disponen lo siguiente:</w:t>
      </w:r>
    </w:p>
    <w:p w:rsidRPr="00B571D7" w:rsidR="00B571D7" w:rsidP="00B571D7" w:rsidRDefault="00B571D7" w14:paraId="12F51D37" w14:textId="77777777">
      <w:pPr>
        <w:spacing w:after="0" w:line="360" w:lineRule="auto"/>
        <w:rPr>
          <w:rFonts w:eastAsia="Calibri" w:cs="Tahoma"/>
          <w:bCs/>
          <w:color w:val="auto"/>
        </w:rPr>
      </w:pPr>
    </w:p>
    <w:p w:rsidRPr="00B571D7" w:rsidR="00B571D7" w:rsidP="00B571D7" w:rsidRDefault="00B571D7" w14:paraId="606E7FC7" w14:textId="77777777">
      <w:pPr>
        <w:numPr>
          <w:ilvl w:val="0"/>
          <w:numId w:val="17"/>
        </w:numPr>
        <w:spacing w:after="0" w:line="360" w:lineRule="auto"/>
        <w:contextualSpacing/>
        <w:rPr>
          <w:rFonts w:ascii="Times New Roman" w:hAnsi="Times New Roman" w:eastAsia="Times New Roman" w:cs="Times New Roman"/>
          <w:szCs w:val="24"/>
          <w:lang w:eastAsia="es-MX"/>
        </w:rPr>
      </w:pPr>
      <w:r w:rsidRPr="00B571D7">
        <w:rPr>
          <w:rFonts w:eastAsia="Times New Roman" w:cs="Times New Roman"/>
          <w:szCs w:val="24"/>
          <w:lang w:eastAsia="es-MX"/>
        </w:rPr>
        <w:t xml:space="preserve">Que uno de los objetivos de la Ley es proveer lo necesario para garantizar a toda persona el derecho de acceso a la información pública; </w:t>
      </w:r>
    </w:p>
    <w:p w:rsidRPr="00B571D7" w:rsidR="00B571D7" w:rsidP="005B1AC7" w:rsidRDefault="00B571D7" w14:paraId="0A28CE80" w14:textId="77777777">
      <w:pPr>
        <w:spacing w:after="0" w:line="360" w:lineRule="auto"/>
        <w:rPr>
          <w:rFonts w:ascii="Times New Roman" w:hAnsi="Times New Roman" w:eastAsia="Times New Roman" w:cs="Times New Roman"/>
          <w:szCs w:val="24"/>
          <w:lang w:eastAsia="es-MX"/>
        </w:rPr>
      </w:pPr>
    </w:p>
    <w:p w:rsidRPr="00B571D7" w:rsidR="00B571D7" w:rsidP="00B571D7" w:rsidRDefault="00B571D7" w14:paraId="5A86AE29" w14:textId="77777777">
      <w:pPr>
        <w:numPr>
          <w:ilvl w:val="0"/>
          <w:numId w:val="16"/>
        </w:numPr>
        <w:spacing w:after="0" w:line="360" w:lineRule="auto"/>
        <w:contextualSpacing/>
        <w:rPr>
          <w:rFonts w:eastAsia="Calibri" w:cs="Tahoma"/>
          <w:bCs/>
          <w:color w:val="auto"/>
          <w:szCs w:val="24"/>
          <w:lang w:eastAsia="es-ES"/>
        </w:rPr>
      </w:pPr>
      <w:r w:rsidRPr="00B571D7">
        <w:rPr>
          <w:rFonts w:eastAsia="Calibri" w:cs="Tahoma"/>
          <w:bCs/>
          <w:color w:val="auto"/>
          <w:szCs w:val="24"/>
          <w:lang w:eastAsia="es-ES"/>
        </w:rPr>
        <w:t xml:space="preserve">Que los documentos son los expedientes, reportes, estudios, actas, resoluciones, contratos, convenios, instructivos, notas, memorandos, estadísticas o cualquier registro que documente el ejercicio de facultades, funciones y competencia de los Sujetos </w:t>
      </w:r>
      <w:r w:rsidRPr="00B571D7">
        <w:rPr>
          <w:rFonts w:eastAsia="Calibri" w:cs="Tahoma"/>
          <w:bCs/>
          <w:color w:val="auto"/>
          <w:szCs w:val="24"/>
          <w:lang w:eastAsia="es-ES"/>
        </w:rPr>
        <w:lastRenderedPageBreak/>
        <w:t>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B571D7" w:rsidR="00B571D7" w:rsidP="00B571D7" w:rsidRDefault="00B571D7" w14:paraId="7BD4346E" w14:textId="77777777">
      <w:pPr>
        <w:spacing w:after="0" w:line="360" w:lineRule="auto"/>
        <w:rPr>
          <w:rFonts w:eastAsia="Calibri" w:cs="Tahoma"/>
          <w:bCs/>
          <w:color w:val="auto"/>
        </w:rPr>
      </w:pPr>
      <w:r w:rsidRPr="00B571D7">
        <w:rPr>
          <w:rFonts w:eastAsia="Times New Roman" w:cs="Times New Roman"/>
          <w:lang w:eastAsia="es-MX"/>
        </w:rPr>
        <w:t> </w:t>
      </w:r>
    </w:p>
    <w:p w:rsidRPr="00B571D7" w:rsidR="00B571D7" w:rsidP="00B571D7" w:rsidRDefault="00B571D7" w14:paraId="16EC627D" w14:textId="77777777">
      <w:pPr>
        <w:spacing w:after="0" w:line="360" w:lineRule="auto"/>
        <w:rPr>
          <w:rFonts w:eastAsia="Calibri" w:cs="Tahoma"/>
          <w:bCs/>
          <w:color w:val="auto"/>
        </w:rPr>
      </w:pPr>
      <w:r w:rsidRPr="00B571D7">
        <w:rPr>
          <w:rFonts w:eastAsia="Calibri" w:cs="Tahoma"/>
          <w:bCs/>
          <w:color w:val="auto"/>
        </w:rPr>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rsidRPr="00B571D7" w:rsidR="00B571D7" w:rsidP="00B571D7" w:rsidRDefault="00B571D7" w14:paraId="058B1913" w14:textId="77777777">
      <w:pPr>
        <w:spacing w:after="0" w:line="360" w:lineRule="auto"/>
        <w:rPr>
          <w:rFonts w:eastAsia="Calibri" w:cs="Tahoma"/>
          <w:bCs/>
          <w:color w:val="auto"/>
        </w:rPr>
      </w:pPr>
      <w:r w:rsidRPr="00B571D7">
        <w:rPr>
          <w:rFonts w:eastAsia="Calibri" w:cs="Tahoma"/>
          <w:bCs/>
          <w:color w:val="auto"/>
        </w:rPr>
        <w:t> </w:t>
      </w:r>
    </w:p>
    <w:p w:rsidRPr="00B571D7" w:rsidR="00B571D7" w:rsidP="00B571D7" w:rsidRDefault="00B571D7" w14:paraId="444DA234" w14:textId="77777777">
      <w:pPr>
        <w:spacing w:after="0" w:line="360" w:lineRule="auto"/>
        <w:rPr>
          <w:rFonts w:eastAsia="Calibri" w:cs="Tahoma"/>
          <w:bCs/>
          <w:color w:val="auto"/>
        </w:rPr>
      </w:pPr>
      <w:r w:rsidRPr="00B571D7">
        <w:rPr>
          <w:rFonts w:eastAsia="Calibri" w:cs="Tahoma"/>
          <w:bCs/>
          <w:color w:val="auto"/>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rsidRPr="00B571D7" w:rsidR="00B571D7" w:rsidP="00B571D7" w:rsidRDefault="00B571D7" w14:paraId="7154767C" w14:textId="77777777">
      <w:pPr>
        <w:spacing w:after="0" w:line="360" w:lineRule="auto"/>
        <w:rPr>
          <w:rFonts w:eastAsia="Calibri" w:cs="Tahoma"/>
          <w:bCs/>
          <w:color w:val="auto"/>
        </w:rPr>
      </w:pPr>
      <w:r w:rsidRPr="00B571D7">
        <w:rPr>
          <w:rFonts w:eastAsia="Calibri" w:cs="Tahoma"/>
          <w:bCs/>
          <w:color w:val="auto"/>
        </w:rPr>
        <w:t> </w:t>
      </w:r>
    </w:p>
    <w:p w:rsidRPr="00B571D7" w:rsidR="00B571D7" w:rsidP="00B571D7" w:rsidRDefault="00B571D7" w14:paraId="50526BD5" w14:textId="77777777">
      <w:pPr>
        <w:spacing w:after="0" w:line="360" w:lineRule="auto"/>
        <w:rPr>
          <w:rFonts w:eastAsia="Calibri" w:cs="Tahoma"/>
          <w:bCs/>
          <w:color w:val="auto"/>
        </w:rPr>
      </w:pPr>
      <w:r w:rsidRPr="00B571D7">
        <w:rPr>
          <w:rFonts w:eastAsia="Calibri" w:cs="Tahoma"/>
          <w:bCs/>
          <w:color w:val="auto"/>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B571D7" w:rsidR="00B571D7" w:rsidP="00B571D7" w:rsidRDefault="00B571D7" w14:paraId="04FF9CBB" w14:textId="77777777">
      <w:pPr>
        <w:spacing w:after="0" w:line="360" w:lineRule="auto"/>
        <w:rPr>
          <w:rFonts w:eastAsia="Calibri" w:cs="Tahoma"/>
          <w:bCs/>
          <w:color w:val="auto"/>
        </w:rPr>
      </w:pPr>
      <w:r w:rsidRPr="00B571D7">
        <w:rPr>
          <w:rFonts w:eastAsia="Calibri" w:cs="Tahoma"/>
          <w:bCs/>
          <w:color w:val="auto"/>
        </w:rPr>
        <w:t> </w:t>
      </w:r>
    </w:p>
    <w:p w:rsidRPr="00B571D7" w:rsidR="00B571D7" w:rsidP="00B571D7" w:rsidRDefault="00B571D7" w14:paraId="5D2C56F2" w14:textId="77777777">
      <w:pPr>
        <w:spacing w:after="0" w:line="360" w:lineRule="auto"/>
        <w:rPr>
          <w:rFonts w:eastAsia="Calibri" w:cs="Tahoma"/>
          <w:bCs/>
          <w:color w:val="auto"/>
        </w:rPr>
      </w:pPr>
      <w:r w:rsidRPr="00B571D7">
        <w:rPr>
          <w:rFonts w:eastAsia="Calibri" w:cs="Tahoma"/>
          <w:bCs/>
          <w:color w:val="auto"/>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w:t>
      </w:r>
    </w:p>
    <w:p w:rsidRPr="00B571D7" w:rsidR="00B571D7" w:rsidP="00B571D7" w:rsidRDefault="00B571D7" w14:paraId="091077C8" w14:textId="77777777">
      <w:pPr>
        <w:shd w:val="clear" w:color="auto" w:fill="FFFFFF"/>
        <w:spacing w:after="0" w:line="360" w:lineRule="auto"/>
        <w:rPr>
          <w:rFonts w:ascii="Times New Roman" w:hAnsi="Times New Roman" w:eastAsia="Times New Roman" w:cs="Times New Roman"/>
          <w:lang w:eastAsia="es-MX"/>
        </w:rPr>
      </w:pPr>
      <w:r w:rsidRPr="00B571D7">
        <w:rPr>
          <w:rFonts w:eastAsia="Times New Roman" w:cs="Times New Roman"/>
          <w:lang w:val="es-ES" w:eastAsia="es-MX"/>
        </w:rPr>
        <w:t> </w:t>
      </w:r>
    </w:p>
    <w:p w:rsidRPr="00B571D7" w:rsidR="00B571D7" w:rsidP="00B571D7" w:rsidRDefault="00B571D7" w14:paraId="57CFDC6B" w14:textId="77777777">
      <w:pPr>
        <w:shd w:val="clear" w:color="auto" w:fill="FFFFFF"/>
        <w:spacing w:after="0" w:line="360" w:lineRule="auto"/>
        <w:rPr>
          <w:rFonts w:ascii="Times New Roman" w:hAnsi="Times New Roman" w:eastAsia="Times New Roman" w:cs="Times New Roman"/>
          <w:lang w:eastAsia="es-MX"/>
        </w:rPr>
      </w:pPr>
      <w:r w:rsidRPr="00B571D7">
        <w:rPr>
          <w:rFonts w:eastAsia="Times New Roman" w:cs="Times New Roman"/>
          <w:lang w:val="es-ES" w:eastAsia="es-MX"/>
        </w:rPr>
        <w:t>Robustece lo anterior el Criterio 03/17 emitido por el Instituto Nacional de Transparencia, Acceso a la Información y Protección de Datos Personales, que a continuación se cita:</w:t>
      </w:r>
    </w:p>
    <w:p w:rsidRPr="00B571D7" w:rsidR="00B571D7" w:rsidP="00B571D7" w:rsidRDefault="00B571D7" w14:paraId="5C47C784" w14:textId="77777777">
      <w:pPr>
        <w:shd w:val="clear" w:color="auto" w:fill="FFFFFF"/>
        <w:spacing w:after="0" w:line="360" w:lineRule="auto"/>
        <w:rPr>
          <w:rFonts w:ascii="Times New Roman" w:hAnsi="Times New Roman" w:eastAsia="Times New Roman" w:cs="Times New Roman"/>
          <w:lang w:eastAsia="es-MX"/>
        </w:rPr>
      </w:pPr>
      <w:r w:rsidRPr="00B571D7">
        <w:rPr>
          <w:rFonts w:eastAsia="Times New Roman" w:cs="Times New Roman"/>
          <w:lang w:val="es-ES" w:eastAsia="es-MX"/>
        </w:rPr>
        <w:t> </w:t>
      </w:r>
    </w:p>
    <w:p w:rsidRPr="00B571D7" w:rsidR="00B571D7" w:rsidP="00B571D7" w:rsidRDefault="00B571D7" w14:paraId="48BDFA34" w14:textId="77777777">
      <w:pPr>
        <w:spacing w:after="0" w:line="360" w:lineRule="auto"/>
        <w:ind w:left="567" w:right="567"/>
        <w:rPr>
          <w:rFonts w:eastAsia="Calibri" w:cs="Arial"/>
          <w:b/>
          <w:bCs/>
          <w:i/>
          <w:sz w:val="20"/>
          <w:szCs w:val="20"/>
          <w:lang w:val="es-ES"/>
        </w:rPr>
      </w:pPr>
      <w:r w:rsidRPr="00B571D7">
        <w:rPr>
          <w:rFonts w:eastAsia="Calibri" w:cs="Arial"/>
          <w:b/>
          <w:bCs/>
          <w:i/>
          <w:sz w:val="20"/>
          <w:szCs w:val="20"/>
          <w:lang w:val="es-ES"/>
        </w:rPr>
        <w:lastRenderedPageBreak/>
        <w:t>“No existe obligación de elaborar documentos ad hoc para atender las solicitudes de acceso a la información. </w:t>
      </w:r>
      <w:r w:rsidRPr="00B571D7">
        <w:rPr>
          <w:rFonts w:eastAsia="Calibri" w:cs="Arial"/>
          <w:bCs/>
          <w:i/>
          <w:sz w:val="20"/>
          <w:szCs w:val="20"/>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B571D7" w:rsidR="00B571D7" w:rsidP="00B571D7" w:rsidRDefault="00B571D7" w14:paraId="3B348245" w14:textId="77777777">
      <w:pPr>
        <w:spacing w:after="0" w:line="360" w:lineRule="auto"/>
        <w:rPr>
          <w:rFonts w:eastAsia="Calibri" w:cs="Arial"/>
          <w:bCs/>
          <w:lang w:val="es-ES"/>
        </w:rPr>
      </w:pPr>
    </w:p>
    <w:p w:rsidRPr="00B571D7" w:rsidR="00B571D7" w:rsidP="00B571D7" w:rsidRDefault="00B571D7" w14:paraId="687661B0" w14:textId="77777777">
      <w:pPr>
        <w:spacing w:after="0" w:line="360" w:lineRule="auto"/>
        <w:rPr>
          <w:rFonts w:eastAsia="Calibri" w:cs="Arial"/>
          <w:b/>
          <w:bCs/>
          <w:lang w:val="es-ES"/>
        </w:rPr>
      </w:pPr>
      <w:r w:rsidRPr="00B571D7">
        <w:rPr>
          <w:rFonts w:eastAsia="Calibri" w:cs="Arial"/>
          <w:bCs/>
          <w:lang w:val="es-ES"/>
        </w:rPr>
        <w:t xml:space="preserve">Conforme a lo anterior, se advierte que las respuestas a los cuestionamientos realizados por la Solicitante, en primera instancia, son una consulta y no así una solicitud de acceso a información pública que pueda ser atendida mediante una expresión documental; pues corresponde a varias preguntas que implicarían elaborar un documento </w:t>
      </w:r>
      <w:r w:rsidRPr="00B571D7">
        <w:rPr>
          <w:rFonts w:eastAsia="Calibri" w:cs="Arial"/>
          <w:bCs/>
          <w:i/>
          <w:lang w:val="es-ES"/>
        </w:rPr>
        <w:t>ad hoc.</w:t>
      </w:r>
      <w:r w:rsidRPr="00B571D7">
        <w:rPr>
          <w:rFonts w:eastAsia="Calibri" w:cs="Arial"/>
          <w:b/>
          <w:bCs/>
          <w:lang w:val="es-ES"/>
        </w:rPr>
        <w:t xml:space="preserve"> </w:t>
      </w:r>
    </w:p>
    <w:p w:rsidRPr="00B571D7" w:rsidR="00B571D7" w:rsidP="00B571D7" w:rsidRDefault="00B571D7" w14:paraId="208E87DD" w14:textId="77777777">
      <w:pPr>
        <w:spacing w:after="0" w:line="360" w:lineRule="auto"/>
        <w:rPr>
          <w:rFonts w:eastAsia="Calibri" w:cs="Arial"/>
          <w:b/>
          <w:bCs/>
          <w:lang w:val="es-ES"/>
        </w:rPr>
      </w:pPr>
    </w:p>
    <w:p w:rsidRPr="00B571D7" w:rsidR="00B571D7" w:rsidP="00B571D7" w:rsidRDefault="00B571D7" w14:paraId="16FEE47B" w14:textId="77777777">
      <w:pPr>
        <w:spacing w:after="0" w:line="360" w:lineRule="auto"/>
        <w:rPr>
          <w:rFonts w:eastAsia="Calibri" w:cs="Arial"/>
          <w:bCs/>
        </w:rPr>
      </w:pPr>
      <w:r w:rsidRPr="00B571D7">
        <w:rPr>
          <w:rFonts w:eastAsia="Calibri" w:cs="Arial"/>
          <w:bCs/>
          <w:lang w:val="es-ES"/>
        </w:rPr>
        <w:t xml:space="preserve">Lo anterior, toma sustento </w:t>
      </w:r>
      <w:r w:rsidRPr="00B571D7">
        <w:rPr>
          <w:rFonts w:eastAsia="Calibri" w:cs="Arial"/>
          <w:bCs/>
        </w:rPr>
        <w:t xml:space="preserve">la Jurisprudencia XXI.1o.P.A. J/27, de los Tribunales Colegiados de Circuito, localizada en la página 1406, del Semanario Judicial de la Federación y su Gaceta, Tomo </w:t>
      </w:r>
      <w:r w:rsidRPr="00B571D7">
        <w:rPr>
          <w:rFonts w:ascii="Calibri" w:hAnsi="Calibri" w:eastAsia="Calibri" w:cs="Calibri"/>
          <w:sz w:val="26"/>
          <w:szCs w:val="26"/>
          <w:lang w:val="es-ES"/>
        </w:rPr>
        <w:t>XXXIII</w:t>
      </w:r>
      <w:r w:rsidRPr="00B571D7">
        <w:rPr>
          <w:rFonts w:eastAsia="Calibri" w:cs="Arial"/>
          <w:bCs/>
        </w:rPr>
        <w:t>, marzo 2011, Novena Época, que establece lo siguiente:</w:t>
      </w:r>
    </w:p>
    <w:p w:rsidRPr="00B571D7" w:rsidR="00B571D7" w:rsidP="00B571D7" w:rsidRDefault="00B571D7" w14:paraId="4B900931" w14:textId="77777777">
      <w:pPr>
        <w:spacing w:after="0" w:line="360" w:lineRule="auto"/>
        <w:rPr>
          <w:rFonts w:eastAsia="Calibri" w:cs="Arial"/>
          <w:bCs/>
        </w:rPr>
      </w:pPr>
    </w:p>
    <w:p w:rsidRPr="00B571D7" w:rsidR="00B571D7" w:rsidP="00B571D7" w:rsidRDefault="00B571D7" w14:paraId="6FBD73B7" w14:textId="77777777">
      <w:pPr>
        <w:spacing w:after="0" w:line="360" w:lineRule="auto"/>
        <w:ind w:left="567" w:right="567"/>
        <w:rPr>
          <w:rFonts w:eastAsia="Calibri" w:cs="Arial"/>
          <w:bCs/>
          <w:i/>
          <w:sz w:val="20"/>
          <w:szCs w:val="20"/>
          <w:lang w:val="es-ES"/>
        </w:rPr>
      </w:pPr>
      <w:r w:rsidRPr="00B571D7">
        <w:rPr>
          <w:rFonts w:eastAsia="Calibri" w:cs="Arial"/>
          <w:b/>
          <w:bCs/>
          <w:i/>
          <w:sz w:val="20"/>
          <w:szCs w:val="20"/>
          <w:lang w:val="es-ES"/>
        </w:rPr>
        <w:t xml:space="preserve">“DERECHO DE PETICIÓN. SUS ELEMENTOS. </w:t>
      </w:r>
      <w:r w:rsidRPr="00B571D7">
        <w:rPr>
          <w:rFonts w:eastAsia="Calibri" w:cs="Arial"/>
          <w:bCs/>
          <w:i/>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w:t>
      </w:r>
      <w:r w:rsidRPr="00B571D7">
        <w:rPr>
          <w:rFonts w:eastAsia="Calibri" w:cs="Arial"/>
          <w:bCs/>
          <w:i/>
          <w:sz w:val="20"/>
          <w:szCs w:val="20"/>
          <w:lang w:val="es-ES"/>
        </w:rPr>
        <w:lastRenderedPageBreak/>
        <w:t>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B571D7" w:rsidR="00B571D7" w:rsidP="00B571D7" w:rsidRDefault="00B571D7" w14:paraId="520D284B" w14:textId="77777777">
      <w:pPr>
        <w:spacing w:after="0" w:line="360" w:lineRule="auto"/>
        <w:rPr>
          <w:rFonts w:eastAsia="Calibri" w:cs="Arial"/>
          <w:bCs/>
          <w:lang w:val="es-ES"/>
        </w:rPr>
      </w:pPr>
    </w:p>
    <w:p w:rsidRPr="00B571D7" w:rsidR="00B571D7" w:rsidP="00B571D7" w:rsidRDefault="00B571D7" w14:paraId="5DCFA5FA" w14:textId="77777777">
      <w:pPr>
        <w:spacing w:after="0" w:line="360" w:lineRule="auto"/>
        <w:rPr>
          <w:rFonts w:eastAsia="Calibri" w:cs="Arial"/>
          <w:bCs/>
          <w:lang w:val="es-ES"/>
        </w:rPr>
      </w:pPr>
      <w:r w:rsidRPr="00B571D7">
        <w:rPr>
          <w:rFonts w:eastAsia="Calibri" w:cs="Arial"/>
          <w:bCs/>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Pr="00B571D7" w:rsidR="00B571D7" w:rsidP="00B571D7" w:rsidRDefault="00B571D7" w14:paraId="021F54C5" w14:textId="77777777">
      <w:pPr>
        <w:tabs>
          <w:tab w:val="left" w:pos="4962"/>
        </w:tabs>
        <w:spacing w:after="0" w:line="360" w:lineRule="auto"/>
        <w:rPr>
          <w:rFonts w:eastAsia="Calibri" w:cs="Tahoma"/>
          <w:iCs/>
          <w:lang w:val="es-ES" w:eastAsia="es-ES_tradnl"/>
        </w:rPr>
      </w:pPr>
    </w:p>
    <w:p w:rsidRPr="00B571D7" w:rsidR="00B571D7" w:rsidP="00B571D7" w:rsidRDefault="00B571D7" w14:paraId="0703C118" w14:textId="77777777">
      <w:pPr>
        <w:spacing w:after="0" w:line="360" w:lineRule="auto"/>
        <w:rPr>
          <w:rFonts w:eastAsia="Calibri" w:cs="Arial"/>
          <w:bCs/>
          <w:lang w:val="es-ES"/>
        </w:rPr>
      </w:pPr>
      <w:r w:rsidRPr="00B571D7">
        <w:rPr>
          <w:rFonts w:eastAsia="Calibri" w:cs="Arial"/>
          <w:bCs/>
          <w:lang w:val="es-ES"/>
        </w:rPr>
        <w:t>No obstante, resulta necesario traer a colación el Criterio 16/17, emitido por el Instituto Nacional de Transparencia, Acceso a la Información y Protección de Datos Personales, que establece:</w:t>
      </w:r>
    </w:p>
    <w:p w:rsidRPr="00B571D7" w:rsidR="00B571D7" w:rsidP="00B571D7" w:rsidRDefault="00B571D7" w14:paraId="361359B0" w14:textId="77777777">
      <w:pPr>
        <w:spacing w:after="0" w:line="360" w:lineRule="auto"/>
        <w:rPr>
          <w:rFonts w:eastAsia="Times New Roman" w:cs="Tahoma"/>
          <w:color w:val="auto"/>
          <w:lang w:val="es-ES" w:eastAsia="es-ES"/>
        </w:rPr>
      </w:pPr>
    </w:p>
    <w:p w:rsidRPr="00B571D7" w:rsidR="00B571D7" w:rsidP="00B571D7" w:rsidRDefault="00B571D7" w14:paraId="1F64869A" w14:textId="77777777">
      <w:pPr>
        <w:spacing w:after="0" w:line="360" w:lineRule="auto"/>
        <w:ind w:left="567" w:right="567"/>
        <w:rPr>
          <w:rFonts w:eastAsia="Calibri" w:cs="Arial"/>
          <w:b/>
          <w:bCs/>
          <w:i/>
          <w:sz w:val="20"/>
          <w:szCs w:val="20"/>
          <w:lang w:val="es-ES"/>
        </w:rPr>
      </w:pPr>
      <w:r w:rsidRPr="00B571D7">
        <w:rPr>
          <w:rFonts w:eastAsia="Calibri" w:cs="Arial"/>
          <w:b/>
          <w:bCs/>
          <w:i/>
          <w:sz w:val="20"/>
          <w:szCs w:val="20"/>
          <w:lang w:val="es-ES"/>
        </w:rPr>
        <w:t xml:space="preserve">“Expresión documental. </w:t>
      </w:r>
      <w:r w:rsidRPr="00B571D7">
        <w:rPr>
          <w:rFonts w:eastAsia="Calibri" w:cs="Arial"/>
          <w:bCs/>
          <w:i/>
          <w:sz w:val="20"/>
          <w:szCs w:val="20"/>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B571D7" w:rsidR="00B571D7" w:rsidP="00B571D7" w:rsidRDefault="00B571D7" w14:paraId="6E8C8C0C" w14:textId="77777777">
      <w:pPr>
        <w:shd w:val="clear" w:color="auto" w:fill="FFFFFF" w:themeFill="background1"/>
        <w:spacing w:after="0" w:line="360" w:lineRule="auto"/>
        <w:rPr>
          <w:rFonts w:eastAsia="Times New Roman" w:cs="Tahoma"/>
          <w:color w:val="auto"/>
          <w:lang w:val="es-ES" w:eastAsia="es-ES"/>
        </w:rPr>
      </w:pPr>
    </w:p>
    <w:p w:rsidRPr="00B571D7" w:rsidR="00B571D7" w:rsidP="00B571D7" w:rsidRDefault="00B571D7" w14:paraId="20E59ADA" w14:textId="77777777">
      <w:pPr>
        <w:shd w:val="clear" w:color="auto" w:fill="FFFFFF" w:themeFill="background1"/>
        <w:spacing w:after="0" w:line="360" w:lineRule="auto"/>
        <w:rPr>
          <w:rFonts w:eastAsia="Times New Roman" w:cs="Tahoma"/>
          <w:color w:val="auto"/>
          <w:lang w:val="es-ES" w:eastAsia="es-ES"/>
        </w:rPr>
      </w:pPr>
      <w:r w:rsidRPr="00B571D7">
        <w:rPr>
          <w:rFonts w:eastAsia="Times New Roman" w:cs="Tahoma"/>
          <w:color w:val="auto"/>
          <w:lang w:val="es-ES" w:eastAsia="es-ES"/>
        </w:rPr>
        <w:t>Del criterio citado, se desprende que cuando los particulares realicen una consulta, pero la respuesta pudiera obrar en algún documento en poder de los Sujetos Obligados, estos deben de proporcionar la expresión documental, que dé cuenta de lo requerido.</w:t>
      </w:r>
    </w:p>
    <w:p w:rsidR="005B1AC7" w:rsidP="005B1AC7" w:rsidRDefault="00B571D7" w14:paraId="0DFE35BA" w14:textId="315F98AA">
      <w:pPr>
        <w:tabs>
          <w:tab w:val="left" w:pos="4962"/>
        </w:tabs>
        <w:spacing w:after="0" w:line="360" w:lineRule="auto"/>
        <w:rPr>
          <w:rFonts w:eastAsia="Calibri" w:cs="Tahoma"/>
          <w:iCs/>
          <w:lang w:val="es-ES" w:eastAsia="es-ES_tradnl"/>
        </w:rPr>
      </w:pPr>
      <w:r w:rsidRPr="00B571D7">
        <w:rPr>
          <w:rFonts w:eastAsia="Calibri" w:cs="Tahoma"/>
          <w:iCs/>
          <w:lang w:val="es-ES" w:eastAsia="es-ES_tradnl"/>
        </w:rPr>
        <w:lastRenderedPageBreak/>
        <w:t xml:space="preserve">Además, es de señalar que los Particulares no son peritos en la materia; por lo que, en el presente caso, este Instituto, considera que si bien, la ahora Recurrente solicitó información, a través de </w:t>
      </w:r>
      <w:r w:rsidR="005B1AC7">
        <w:rPr>
          <w:rFonts w:eastAsia="Calibri" w:cs="Tahoma"/>
          <w:iCs/>
          <w:lang w:val="es-ES" w:eastAsia="es-ES_tradnl"/>
        </w:rPr>
        <w:t>una pregunta</w:t>
      </w:r>
      <w:r w:rsidRPr="00B571D7">
        <w:rPr>
          <w:rFonts w:eastAsia="Calibri" w:cs="Tahoma"/>
          <w:iCs/>
          <w:lang w:val="es-ES" w:eastAsia="es-ES_tradnl"/>
        </w:rPr>
        <w:t xml:space="preserve">, su pretensión es obtener, </w:t>
      </w:r>
      <w:r w:rsidR="005B1AC7">
        <w:rPr>
          <w:rFonts w:eastAsia="Calibri" w:cs="Tahoma"/>
          <w:iCs/>
          <w:lang w:val="es-ES" w:eastAsia="es-ES_tradnl"/>
        </w:rPr>
        <w:t xml:space="preserve">el monto utilizado del Presupuesto asignado a la Unidad de Transparencia, para la compra de vaselina, </w:t>
      </w:r>
      <w:proofErr w:type="spellStart"/>
      <w:r w:rsidR="005B1AC7">
        <w:rPr>
          <w:rFonts w:eastAsia="Calibri" w:cs="Tahoma"/>
          <w:iCs/>
          <w:lang w:val="es-ES" w:eastAsia="es-ES_tradnl"/>
        </w:rPr>
        <w:t>plugs</w:t>
      </w:r>
      <w:proofErr w:type="spellEnd"/>
      <w:r w:rsidR="005B1AC7">
        <w:rPr>
          <w:rFonts w:eastAsia="Calibri" w:cs="Tahoma"/>
          <w:iCs/>
          <w:lang w:val="es-ES" w:eastAsia="es-ES_tradnl"/>
        </w:rPr>
        <w:t xml:space="preserve">, banderas </w:t>
      </w:r>
      <w:proofErr w:type="spellStart"/>
      <w:r w:rsidR="005B1AC7">
        <w:rPr>
          <w:rFonts w:eastAsia="Calibri" w:cs="Tahoma"/>
          <w:iCs/>
          <w:lang w:val="es-ES" w:eastAsia="es-ES_tradnl"/>
        </w:rPr>
        <w:t>lgbt</w:t>
      </w:r>
      <w:proofErr w:type="spellEnd"/>
      <w:r w:rsidR="005B1AC7">
        <w:rPr>
          <w:rFonts w:eastAsia="Calibri" w:cs="Tahoma"/>
          <w:iCs/>
          <w:lang w:val="es-ES" w:eastAsia="es-ES_tradnl"/>
        </w:rPr>
        <w:t xml:space="preserve">, para apoyar a los familiares de los servidores públicos adscritos a dicha área. </w:t>
      </w:r>
    </w:p>
    <w:p w:rsidR="005B1AC7" w:rsidP="005B1AC7" w:rsidRDefault="005B1AC7" w14:paraId="7EA44289" w14:textId="77777777">
      <w:pPr>
        <w:tabs>
          <w:tab w:val="left" w:pos="4962"/>
        </w:tabs>
        <w:spacing w:after="0" w:line="360" w:lineRule="auto"/>
        <w:rPr>
          <w:rFonts w:eastAsia="Calibri" w:cs="Tahoma"/>
          <w:iCs/>
          <w:lang w:val="es-ES" w:eastAsia="es-ES_tradnl"/>
        </w:rPr>
      </w:pPr>
    </w:p>
    <w:p w:rsidRPr="005B1AC7" w:rsidR="005B1AC7" w:rsidP="005B1AC7" w:rsidRDefault="005B1AC7" w14:paraId="7E997874" w14:textId="42FD919D">
      <w:pPr>
        <w:tabs>
          <w:tab w:val="left" w:pos="4962"/>
        </w:tabs>
        <w:spacing w:after="0" w:line="360" w:lineRule="auto"/>
        <w:rPr>
          <w:rFonts w:eastAsia="Calibri" w:cs="Tahoma"/>
          <w:iCs/>
          <w:lang w:val="es-ES" w:eastAsia="es-ES_tradnl"/>
        </w:rPr>
      </w:pPr>
      <w:r>
        <w:rPr>
          <w:rFonts w:eastAsia="Calibri" w:cs="Tahoma"/>
          <w:iCs/>
          <w:lang w:val="es-ES" w:eastAsia="es-ES_tradnl"/>
        </w:rPr>
        <w:t xml:space="preserve">De tales circunstancias, se logra advertir que el agravio realizado por el Particular es </w:t>
      </w:r>
      <w:r>
        <w:rPr>
          <w:rFonts w:eastAsia="Calibri" w:cs="Tahoma"/>
          <w:b/>
          <w:iCs/>
          <w:lang w:val="es-ES" w:eastAsia="es-ES_tradnl"/>
        </w:rPr>
        <w:t xml:space="preserve">FUNDADO, </w:t>
      </w:r>
      <w:r>
        <w:rPr>
          <w:rFonts w:eastAsia="Calibri" w:cs="Tahoma"/>
          <w:iCs/>
          <w:lang w:val="es-ES" w:eastAsia="es-ES_tradnl"/>
        </w:rPr>
        <w:t>pues el Ayuntamiento de Metepec, contaba con elementos suficientes para interpretar la solicitud, para proporcionar la expresión documental que diera cuenta de lo solicitado</w:t>
      </w:r>
      <w:r w:rsidR="00CB3373">
        <w:rPr>
          <w:rFonts w:eastAsia="Calibri" w:cs="Tahoma"/>
          <w:iCs/>
          <w:lang w:val="es-ES" w:eastAsia="es-ES_tradnl"/>
        </w:rPr>
        <w:t>; por lo que, en el presente caso resulta procedente su entrega, por lo que, resulta procedente analizar la naturaleza de la información.</w:t>
      </w:r>
    </w:p>
    <w:p w:rsidR="00B571D7" w:rsidP="00351BE4" w:rsidRDefault="00B571D7" w14:paraId="397CB14F" w14:textId="77777777">
      <w:pPr>
        <w:spacing w:after="0" w:line="360" w:lineRule="auto"/>
        <w:rPr>
          <w:rFonts w:eastAsia="Times New Roman" w:cs="Tahoma"/>
          <w:b/>
          <w:lang w:val="es-ES" w:eastAsia="es-ES"/>
        </w:rPr>
      </w:pPr>
    </w:p>
    <w:p w:rsidRPr="0024210A" w:rsidR="0024210A" w:rsidP="0024210A" w:rsidRDefault="0024210A" w14:paraId="6C5285EE" w14:textId="4087C93B">
      <w:pPr>
        <w:spacing w:after="0" w:line="360" w:lineRule="auto"/>
        <w:rPr>
          <w:rFonts w:eastAsia="Times New Roman" w:cs="Tahoma"/>
          <w:bCs/>
          <w:color w:val="auto"/>
          <w:lang w:eastAsia="es-ES"/>
        </w:rPr>
      </w:pPr>
      <w:r w:rsidRPr="0024210A">
        <w:rPr>
          <w:rFonts w:eastAsia="Times New Roman" w:cs="Tahoma"/>
          <w:bCs/>
          <w:color w:val="auto"/>
          <w:lang w:eastAsia="es-ES"/>
        </w:rPr>
        <w:t xml:space="preserve">En ese sentido, es necesario traer a colación el Anexo IV.5  Glosario de Términos, del Manual para la Planeación, Programación y Presupuesto de Egresos Municipal para el ejercicio fiscal dos mil diecisiete (consultados el </w:t>
      </w:r>
      <w:r>
        <w:rPr>
          <w:rFonts w:eastAsia="Times New Roman" w:cs="Tahoma"/>
          <w:bCs/>
          <w:color w:val="auto"/>
          <w:lang w:eastAsia="es-ES"/>
        </w:rPr>
        <w:t>once</w:t>
      </w:r>
      <w:r w:rsidRPr="0024210A">
        <w:rPr>
          <w:rFonts w:eastAsia="Times New Roman" w:cs="Tahoma"/>
          <w:bCs/>
          <w:color w:val="auto"/>
          <w:lang w:eastAsia="es-ES"/>
        </w:rPr>
        <w:t xml:space="preserve"> de </w:t>
      </w:r>
      <w:r>
        <w:rPr>
          <w:rFonts w:eastAsia="Times New Roman" w:cs="Tahoma"/>
          <w:bCs/>
          <w:color w:val="auto"/>
          <w:lang w:eastAsia="es-ES"/>
        </w:rPr>
        <w:t>agosto</w:t>
      </w:r>
      <w:r w:rsidRPr="0024210A">
        <w:rPr>
          <w:rFonts w:eastAsia="Times New Roman" w:cs="Tahoma"/>
          <w:bCs/>
          <w:color w:val="auto"/>
          <w:lang w:eastAsia="es-ES"/>
        </w:rPr>
        <w:t xml:space="preserve"> de dos mil veintidós, en la liga </w:t>
      </w:r>
      <w:hyperlink w:history="1" r:id="rId7">
        <w:r w:rsidRPr="0024210A">
          <w:rPr>
            <w:rFonts w:eastAsia="Times New Roman" w:cs="Times New Roman"/>
            <w:color w:val="0563C1" w:themeColor="hyperlink"/>
            <w:u w:val="single"/>
            <w:lang w:eastAsia="es-ES"/>
          </w:rPr>
          <w:t>http://legislacion.edomex.gob.mx/sites/legislacion.edomex.gob.mx/files/files/pdf/gct/2017/oct243.pdf</w:t>
        </w:r>
      </w:hyperlink>
      <w:r w:rsidRPr="0024210A">
        <w:rPr>
          <w:rFonts w:eastAsia="Times New Roman" w:cs="Tahoma"/>
          <w:bCs/>
          <w:color w:val="auto"/>
          <w:lang w:eastAsia="es-ES"/>
        </w:rPr>
        <w:t>), que establecen que el presupuesto es la estimación financiera anticipada de los egresos e ingresos del gobierno, necesario para cumplir con los propósitos de un programa determinado; por otra parte, establece lo siguiente:</w:t>
      </w:r>
    </w:p>
    <w:p w:rsidRPr="0024210A" w:rsidR="0024210A" w:rsidP="0024210A" w:rsidRDefault="0024210A" w14:paraId="34E8DFA4" w14:textId="77777777">
      <w:pPr>
        <w:spacing w:after="0" w:line="360" w:lineRule="auto"/>
        <w:rPr>
          <w:rFonts w:eastAsia="Times New Roman" w:cs="Tahoma"/>
          <w:bCs/>
          <w:color w:val="auto"/>
          <w:lang w:eastAsia="es-ES"/>
        </w:rPr>
      </w:pPr>
    </w:p>
    <w:p w:rsidRPr="0024210A" w:rsidR="0024210A" w:rsidP="00CB3373" w:rsidRDefault="0024210A" w14:paraId="64D86ADF" w14:textId="77777777">
      <w:pPr>
        <w:numPr>
          <w:ilvl w:val="0"/>
          <w:numId w:val="14"/>
        </w:numPr>
        <w:spacing w:after="0" w:line="360" w:lineRule="auto"/>
        <w:contextualSpacing/>
        <w:rPr>
          <w:rFonts w:eastAsia="Times New Roman" w:cs="Tahoma"/>
          <w:bCs/>
          <w:color w:val="auto"/>
          <w:lang w:eastAsia="es-ES"/>
        </w:rPr>
      </w:pPr>
      <w:r w:rsidRPr="0024210A">
        <w:rPr>
          <w:rFonts w:eastAsia="Times New Roman" w:cs="Tahoma"/>
          <w:b/>
          <w:color w:val="auto"/>
          <w:lang w:eastAsia="es-ES"/>
        </w:rPr>
        <w:t xml:space="preserve">Presupuesto Autorizado: </w:t>
      </w:r>
      <w:r w:rsidRPr="0024210A">
        <w:rPr>
          <w:rFonts w:eastAsia="Times New Roman" w:cs="Tahoma"/>
          <w:bCs/>
          <w:color w:val="auto"/>
          <w:lang w:eastAsia="es-ES"/>
        </w:rPr>
        <w:t>Es el monto de recursos que se autoriza ejercer en un ejercicio fiscal, a través del Decreto del Presupuesto de Egresos.</w:t>
      </w:r>
    </w:p>
    <w:p w:rsidRPr="0024210A" w:rsidR="0024210A" w:rsidP="0024210A" w:rsidRDefault="0024210A" w14:paraId="5D88D41D" w14:textId="77777777">
      <w:pPr>
        <w:spacing w:after="0" w:line="360" w:lineRule="auto"/>
        <w:ind w:left="720"/>
        <w:contextualSpacing/>
        <w:rPr>
          <w:rFonts w:eastAsia="Times New Roman" w:cs="Tahoma"/>
          <w:bCs/>
          <w:color w:val="auto"/>
          <w:lang w:eastAsia="es-ES"/>
        </w:rPr>
      </w:pPr>
    </w:p>
    <w:p w:rsidRPr="0024210A" w:rsidR="0024210A" w:rsidP="00CB3373" w:rsidRDefault="0024210A" w14:paraId="653E33F9" w14:textId="77777777">
      <w:pPr>
        <w:numPr>
          <w:ilvl w:val="0"/>
          <w:numId w:val="14"/>
        </w:numPr>
        <w:spacing w:after="0" w:line="360" w:lineRule="auto"/>
        <w:contextualSpacing/>
        <w:rPr>
          <w:rFonts w:eastAsia="Times New Roman" w:cs="Tahoma"/>
          <w:bCs/>
          <w:color w:val="auto"/>
          <w:lang w:eastAsia="es-ES"/>
        </w:rPr>
      </w:pPr>
      <w:r w:rsidRPr="0024210A">
        <w:rPr>
          <w:rFonts w:eastAsia="Times New Roman" w:cs="Tahoma"/>
          <w:bCs/>
          <w:color w:val="auto"/>
          <w:lang w:eastAsia="es-ES"/>
        </w:rPr>
        <w:t xml:space="preserve"> </w:t>
      </w:r>
      <w:r w:rsidRPr="0024210A">
        <w:rPr>
          <w:rFonts w:eastAsia="Times New Roman" w:cs="Tahoma"/>
          <w:b/>
          <w:color w:val="auto"/>
          <w:lang w:eastAsia="es-ES"/>
        </w:rPr>
        <w:t>Presupuesto Ejercido</w:t>
      </w:r>
      <w:r w:rsidRPr="0024210A">
        <w:rPr>
          <w:rFonts w:eastAsia="Times New Roman" w:cs="Tahoma"/>
          <w:bCs/>
          <w:color w:val="auto"/>
          <w:lang w:eastAsia="es-ES"/>
        </w:rPr>
        <w:t>: Es el importe de erogaciones realizadas, respaldadas por los documentos comprobatorios presentados a la dependencia una vez autorizadas para su pago, con cargo al presupuesto autorizado.</w:t>
      </w:r>
    </w:p>
    <w:p w:rsidRPr="0024210A" w:rsidR="0024210A" w:rsidP="0024210A" w:rsidRDefault="0024210A" w14:paraId="1E5CD6B0" w14:textId="77777777">
      <w:pPr>
        <w:autoSpaceDE w:val="0"/>
        <w:autoSpaceDN w:val="0"/>
        <w:adjustRightInd w:val="0"/>
        <w:spacing w:after="0" w:line="360" w:lineRule="auto"/>
        <w:rPr>
          <w:rFonts w:eastAsia="Calibri" w:cs="Tahoma"/>
          <w:bCs/>
          <w:color w:val="auto"/>
        </w:rPr>
      </w:pPr>
    </w:p>
    <w:p w:rsidRPr="00A701D3" w:rsidR="00CB3373" w:rsidP="00CB3373" w:rsidRDefault="00CB3373" w14:paraId="50FC5326" w14:textId="15EE712F">
      <w:pPr>
        <w:spacing w:after="0" w:line="360" w:lineRule="auto"/>
      </w:pPr>
      <w:r>
        <w:rPr>
          <w:rFonts w:eastAsia="Times New Roman" w:cs="Tahoma"/>
          <w:bCs/>
          <w:color w:val="auto"/>
          <w:lang w:eastAsia="es-ES"/>
        </w:rPr>
        <w:lastRenderedPageBreak/>
        <w:t xml:space="preserve">Además, por lo que hace a la adquisición de bienes, </w:t>
      </w:r>
      <w:r w:rsidRPr="00A701D3">
        <w:t>López Olvera, Miguel Alejandro</w:t>
      </w:r>
      <w:r>
        <w:t xml:space="preserve"> </w:t>
      </w:r>
      <w:proofErr w:type="spellStart"/>
      <w:r>
        <w:t>Cancino</w:t>
      </w:r>
      <w:proofErr w:type="spellEnd"/>
      <w:r>
        <w:t xml:space="preserve"> Gómez, Rodolfo. (2020), en</w:t>
      </w:r>
      <w:r w:rsidRPr="00A701D3">
        <w:t xml:space="preserve"> “La Contratación Pública y el Sistema Nacional Anticorrupción”. (p. 4) </w:t>
      </w:r>
      <w:r>
        <w:t xml:space="preserve">precisa que </w:t>
      </w:r>
      <w:r w:rsidRPr="00A701D3">
        <w:t xml:space="preserve">la </w:t>
      </w:r>
      <w:r w:rsidRPr="00A701D3">
        <w:rPr>
          <w:b/>
        </w:rPr>
        <w:t>contratación pública</w:t>
      </w:r>
      <w:r w:rsidRPr="00A701D3">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Pr="00D66ED0" w:rsidR="00CB3373" w:rsidP="00CB3373" w:rsidRDefault="00CB3373" w14:paraId="7B0ECAEB" w14:textId="77777777">
      <w:pPr>
        <w:spacing w:after="0" w:line="360" w:lineRule="auto"/>
        <w:rPr>
          <w:rFonts w:eastAsia="Times New Roman" w:cs="Tahoma"/>
          <w:iCs/>
          <w:color w:val="auto"/>
          <w:lang w:eastAsia="es-ES"/>
        </w:rPr>
      </w:pPr>
    </w:p>
    <w:p w:rsidR="00CB3373" w:rsidP="00CB3373" w:rsidRDefault="00CB3373" w14:paraId="018B8BB7" w14:textId="77777777">
      <w:pPr>
        <w:spacing w:after="0" w:line="360" w:lineRule="auto"/>
        <w:rPr>
          <w:rFonts w:eastAsia="Calibri" w:cs="Tahoma"/>
        </w:rPr>
      </w:pPr>
      <w:r>
        <w:rPr>
          <w:rFonts w:eastAsia="Times New Roman" w:cs="Tahoma"/>
          <w:iCs/>
          <w:color w:val="auto"/>
          <w:lang w:eastAsia="es-ES"/>
        </w:rPr>
        <w:t>En ese sentido</w:t>
      </w:r>
      <w:r>
        <w:rPr>
          <w:rFonts w:eastAsia="Calibri" w:cs="Tahoma"/>
        </w:rPr>
        <w:t xml:space="preserv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7E0005" w:rsidR="00CB3373" w:rsidP="00CB3373" w:rsidRDefault="00CB3373" w14:paraId="617BA626" w14:textId="77777777">
      <w:pPr>
        <w:spacing w:after="0" w:line="360" w:lineRule="auto"/>
        <w:rPr>
          <w:rFonts w:eastAsia="Times New Roman" w:cs="Tahoma"/>
          <w:iCs/>
          <w:color w:val="auto"/>
          <w:lang w:eastAsia="es-ES"/>
        </w:rPr>
      </w:pPr>
    </w:p>
    <w:p w:rsidR="00CB3373" w:rsidP="00CB3373" w:rsidRDefault="00CB3373" w14:paraId="5FA1E243" w14:textId="77777777">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 razón de lo anterior, los artículos 26 y 27 de la Ley referida, establece que los de adquisición pueden ser a través de: i) licitación pública, ii) invitación restringida y iii) adjudicación directa. </w:t>
      </w:r>
    </w:p>
    <w:p w:rsidR="00CB3373" w:rsidP="00CB3373" w:rsidRDefault="00CB3373" w14:paraId="6071FD34" w14:textId="77777777">
      <w:pPr>
        <w:spacing w:after="0" w:line="360" w:lineRule="auto"/>
        <w:rPr>
          <w:rFonts w:eastAsia="Times New Roman" w:cs="Tahoma"/>
          <w:iCs/>
          <w:color w:val="auto"/>
          <w:lang w:val="es-ES" w:eastAsia="es-ES"/>
        </w:rPr>
      </w:pPr>
    </w:p>
    <w:p w:rsidR="00CB3373" w:rsidP="00CB3373" w:rsidRDefault="00CB3373" w14:paraId="100B9E11" w14:textId="77777777">
      <w:pPr>
        <w:spacing w:after="0" w:line="360" w:lineRule="auto"/>
        <w:rPr>
          <w:rFonts w:cs="Tahoma"/>
          <w:lang w:val="es-ES"/>
        </w:rPr>
      </w:pPr>
      <w:r>
        <w:rPr>
          <w:rFonts w:eastAsia="Times New Roman" w:cs="Tahoma"/>
          <w:iCs/>
          <w:color w:val="auto"/>
          <w:lang w:val="es-ES" w:eastAsia="es-ES"/>
        </w:rPr>
        <w:t>En ese contexto</w:t>
      </w:r>
      <w:r>
        <w:rPr>
          <w:rFonts w:cs="Tahoma"/>
          <w:lang w:val="es-ES"/>
        </w:rPr>
        <w:t xml:space="preserve">, conforme al artículo 65 de la </w:t>
      </w:r>
      <w:r>
        <w:rPr>
          <w:rFonts w:eastAsia="Calibri" w:cs="Tahoma"/>
        </w:rPr>
        <w:t>Ley de la de Contratación Pública del Estado de México y Municipios</w:t>
      </w:r>
      <w:r>
        <w:rPr>
          <w:rFonts w:cs="Tahoma"/>
          <w:lang w:val="es-ES"/>
        </w:rPr>
        <w:t xml:space="preserve">, la adjudicación de un procedimiento de </w:t>
      </w:r>
      <w:r>
        <w:rPr>
          <w:rFonts w:cs="Tahoma"/>
          <w:b/>
          <w:bCs/>
          <w:lang w:val="es-ES"/>
        </w:rPr>
        <w:t>adquisición y arrendamiento de bienes, contratación de servicios y ejecución de obra,</w:t>
      </w:r>
      <w:r>
        <w:rPr>
          <w:rFonts w:cs="Tahoma"/>
          <w:lang w:val="es-ES"/>
        </w:rPr>
        <w:t xml:space="preserve"> se realizará mediante la suscripción de un contrato, entre el Ayuntamiento y la persona a la cual haya ganado el procedimiento respectivo, dentro de los diez días hábiles siguientes a la notificación del fallo.</w:t>
      </w:r>
    </w:p>
    <w:p w:rsidR="00CB3373" w:rsidP="00E54ABB" w:rsidRDefault="00CB3373" w14:paraId="5B6FA909" w14:textId="6C1DDEE1">
      <w:pPr>
        <w:spacing w:after="0" w:line="360" w:lineRule="auto"/>
        <w:rPr>
          <w:rFonts w:eastAsia="Times New Roman" w:cs="Tahoma"/>
          <w:bCs/>
          <w:color w:val="auto"/>
          <w:lang w:eastAsia="es-ES"/>
        </w:rPr>
      </w:pPr>
    </w:p>
    <w:p w:rsidR="00CB3373" w:rsidP="00E54ABB" w:rsidRDefault="00CB3373" w14:paraId="65B49FAD" w14:textId="4C547B64">
      <w:pPr>
        <w:spacing w:after="0" w:line="360" w:lineRule="auto"/>
        <w:rPr>
          <w:rFonts w:eastAsia="Times New Roman" w:cs="Tahoma"/>
          <w:bCs/>
          <w:color w:val="auto"/>
          <w:lang w:eastAsia="es-ES"/>
        </w:rPr>
      </w:pPr>
      <w:r>
        <w:rPr>
          <w:rFonts w:eastAsia="Times New Roman" w:cs="Tahoma"/>
          <w:bCs/>
          <w:color w:val="auto"/>
          <w:lang w:eastAsia="es-ES"/>
        </w:rPr>
        <w:t xml:space="preserve">Conforme a lo anterior, se logra vislumbrar que el Sujeto Obligado es competente para pronunciarse de la información solicitada, pues en el presente caso, requiere el monto utilizado </w:t>
      </w:r>
      <w:r>
        <w:rPr>
          <w:rFonts w:eastAsia="Times New Roman" w:cs="Tahoma"/>
          <w:bCs/>
          <w:color w:val="auto"/>
          <w:lang w:eastAsia="es-ES"/>
        </w:rPr>
        <w:lastRenderedPageBreak/>
        <w:t>del Presupuesto asignado a la Unidad de Transparencia, para la adquisición de determinados bienes.</w:t>
      </w:r>
    </w:p>
    <w:p w:rsidR="00CB3373" w:rsidP="00E54ABB" w:rsidRDefault="00CB3373" w14:paraId="5D5E8EC8" w14:textId="77777777">
      <w:pPr>
        <w:spacing w:after="0" w:line="360" w:lineRule="auto"/>
        <w:rPr>
          <w:rFonts w:eastAsia="Times New Roman" w:cs="Tahoma"/>
          <w:bCs/>
          <w:color w:val="auto"/>
          <w:lang w:eastAsia="es-ES"/>
        </w:rPr>
      </w:pPr>
    </w:p>
    <w:p w:rsidRPr="00E54ABB" w:rsidR="00E54ABB" w:rsidP="00E54ABB" w:rsidRDefault="00E54ABB" w14:paraId="0BB0CA0F" w14:textId="77777777">
      <w:pPr>
        <w:spacing w:after="0" w:line="360" w:lineRule="auto"/>
        <w:rPr>
          <w:rFonts w:eastAsia="Calibri" w:cs="Tahoma"/>
          <w:bCs/>
          <w:color w:val="000000"/>
          <w:lang w:val="es-ES"/>
        </w:rPr>
      </w:pPr>
      <w:r w:rsidRPr="00E54ABB">
        <w:rPr>
          <w:rFonts w:eastAsia="Calibri" w:cs="Tahoma"/>
          <w:bCs/>
          <w:color w:val="000000"/>
          <w:lang w:val="es-ES"/>
        </w:rPr>
        <w:t>En ese contexto, para atender el requerimiento de información, el Sujeto Obligado deberá realizar una indagación en sus archivos;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E54ABB" w:rsidR="00E54ABB" w:rsidP="00E54ABB" w:rsidRDefault="00E54ABB" w14:paraId="18446317" w14:textId="77777777">
      <w:pPr>
        <w:spacing w:after="0" w:line="360" w:lineRule="auto"/>
        <w:ind w:right="-93"/>
        <w:rPr>
          <w:rFonts w:eastAsia="Times New Roman" w:cs="Tahoma"/>
          <w:color w:val="auto"/>
          <w:lang w:val="es-ES" w:eastAsia="es-ES"/>
        </w:rPr>
      </w:pPr>
    </w:p>
    <w:p w:rsidRPr="00E54ABB" w:rsidR="00E54ABB" w:rsidP="00DD2B85" w:rsidRDefault="00E54ABB" w14:paraId="129A2154" w14:textId="77777777">
      <w:pPr>
        <w:numPr>
          <w:ilvl w:val="0"/>
          <w:numId w:val="4"/>
        </w:numPr>
        <w:spacing w:after="0" w:line="360" w:lineRule="auto"/>
        <w:rPr>
          <w:rFonts w:eastAsia="Calibri" w:cs="Tahoma"/>
          <w:bCs/>
          <w:color w:val="auto"/>
          <w:lang w:val="es-ES"/>
        </w:rPr>
      </w:pPr>
      <w:r w:rsidRPr="00E54ABB">
        <w:rPr>
          <w:rFonts w:eastAsia="Calibri" w:cs="Tahoma"/>
          <w:bCs/>
          <w:color w:val="auto"/>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54ABB" w:rsidR="00E54ABB" w:rsidP="00E54ABB" w:rsidRDefault="00E54ABB" w14:paraId="3DFD614B" w14:textId="77777777">
      <w:pPr>
        <w:spacing w:after="0" w:line="360" w:lineRule="auto"/>
        <w:ind w:left="720"/>
        <w:rPr>
          <w:rFonts w:eastAsia="Calibri" w:cs="Tahoma"/>
          <w:bCs/>
          <w:color w:val="auto"/>
          <w:lang w:val="es-ES"/>
        </w:rPr>
      </w:pPr>
    </w:p>
    <w:p w:rsidRPr="00E54ABB" w:rsidR="00E54ABB" w:rsidP="00C34171" w:rsidRDefault="00E54ABB" w14:paraId="3C8A428D" w14:textId="77777777">
      <w:pPr>
        <w:numPr>
          <w:ilvl w:val="0"/>
          <w:numId w:val="4"/>
        </w:numPr>
        <w:spacing w:after="0" w:line="360" w:lineRule="auto"/>
        <w:rPr>
          <w:rFonts w:eastAsia="Calibri" w:cs="Tahoma"/>
          <w:bCs/>
          <w:color w:val="auto"/>
          <w:lang w:val="es-ES"/>
        </w:rPr>
      </w:pPr>
      <w:r w:rsidRPr="00E54ABB">
        <w:rPr>
          <w:rFonts w:eastAsia="Calibri" w:cs="Tahoma"/>
          <w:bCs/>
          <w:color w:val="auto"/>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E54ABB" w:rsidR="00E54ABB" w:rsidP="00E54ABB" w:rsidRDefault="00E54ABB" w14:paraId="1F27FFEE" w14:textId="77777777">
      <w:pPr>
        <w:spacing w:after="0" w:line="360" w:lineRule="auto"/>
        <w:jc w:val="left"/>
        <w:rPr>
          <w:rFonts w:eastAsia="Calibri" w:cs="Tahoma"/>
          <w:b/>
          <w:bCs/>
          <w:color w:val="auto"/>
        </w:rPr>
      </w:pPr>
    </w:p>
    <w:p w:rsidR="00E54ABB" w:rsidP="00E54ABB" w:rsidRDefault="00E54ABB" w14:paraId="68F2C095" w14:textId="5A178838">
      <w:pPr>
        <w:spacing w:after="0" w:line="360" w:lineRule="auto"/>
        <w:ind w:right="-28"/>
        <w:contextualSpacing/>
        <w:rPr>
          <w:rFonts w:eastAsia="Calibri" w:cs="Tahoma"/>
          <w:bCs/>
          <w:color w:val="auto"/>
        </w:rPr>
      </w:pPr>
      <w:r w:rsidRPr="00E54ABB">
        <w:rPr>
          <w:rFonts w:eastAsia="Calibri" w:cs="Tahoma"/>
          <w:bCs/>
          <w:color w:val="auto"/>
        </w:rPr>
        <w:t xml:space="preserve">Atendiendo a lo dispuesto en los preceptos legales de referencia, a efecto de determinar si el Sujeto Obligado siguió el procedimiento antes descrito, es necesario traer a colación, los  artículos </w:t>
      </w:r>
      <w:r w:rsidR="00B84D5A">
        <w:rPr>
          <w:rFonts w:eastAsia="Calibri" w:cs="Tahoma"/>
          <w:bCs/>
          <w:color w:val="auto"/>
        </w:rPr>
        <w:t>3.25 inciso A) fracción II</w:t>
      </w:r>
      <w:r w:rsidRPr="00E54ABB">
        <w:rPr>
          <w:rFonts w:eastAsia="Calibri" w:cs="Tahoma"/>
          <w:bCs/>
          <w:color w:val="auto"/>
        </w:rPr>
        <w:t xml:space="preserve">, </w:t>
      </w:r>
      <w:r w:rsidR="00B84D5A">
        <w:rPr>
          <w:rFonts w:eastAsia="Calibri" w:cs="Tahoma"/>
          <w:bCs/>
          <w:color w:val="auto"/>
        </w:rPr>
        <w:t>3.47, 3.48 fracciones XIV y XXVIII, 3.49 fracción III, 3.55 fracciones I, V y XII, y 3.58 VI y VIII</w:t>
      </w:r>
      <w:r w:rsidRPr="00E54ABB">
        <w:rPr>
          <w:rFonts w:eastAsia="Calibri" w:cs="Tahoma"/>
          <w:bCs/>
          <w:color w:val="auto"/>
        </w:rPr>
        <w:t xml:space="preserve"> del </w:t>
      </w:r>
      <w:r w:rsidR="00B84D5A">
        <w:rPr>
          <w:rFonts w:eastAsia="Calibri" w:cs="Tahoma"/>
          <w:bCs/>
          <w:color w:val="auto"/>
        </w:rPr>
        <w:t>Código de Reglamentación Municipal de Metepec</w:t>
      </w:r>
      <w:r w:rsidRPr="00E54ABB">
        <w:rPr>
          <w:rFonts w:eastAsia="Calibri" w:cs="Tahoma"/>
          <w:bCs/>
          <w:color w:val="auto"/>
        </w:rPr>
        <w:t xml:space="preserve">, que precisa que </w:t>
      </w:r>
      <w:r w:rsidR="00AF6E36">
        <w:rPr>
          <w:rFonts w:eastAsia="Calibri" w:cs="Tahoma"/>
          <w:bCs/>
          <w:color w:val="auto"/>
        </w:rPr>
        <w:t xml:space="preserve">cuanta con diversas áreas administrativas para el ejercicio de sus atribuciones, entre las cuales se encuentra la </w:t>
      </w:r>
      <w:r w:rsidRPr="00CA5F0F" w:rsidR="00AF6E36">
        <w:rPr>
          <w:rFonts w:eastAsia="Calibri" w:cs="Tahoma"/>
          <w:b/>
          <w:color w:val="auto"/>
        </w:rPr>
        <w:t>Tesorería Municipal</w:t>
      </w:r>
      <w:r w:rsidR="00AF6E36">
        <w:rPr>
          <w:rFonts w:eastAsia="Calibri" w:cs="Tahoma"/>
          <w:bCs/>
          <w:color w:val="auto"/>
        </w:rPr>
        <w:t xml:space="preserve">, encargada de los ingresos y egresos del </w:t>
      </w:r>
      <w:r w:rsidR="00AF6E36">
        <w:rPr>
          <w:rFonts w:eastAsia="Calibri" w:cs="Tahoma"/>
          <w:bCs/>
          <w:color w:val="auto"/>
        </w:rPr>
        <w:lastRenderedPageBreak/>
        <w:t>municipio, integrar y validar los proyectos de presupuestos de ingresos y egresos de las diferentes áreas del gobierno municipal, así mismo se encarga de realizar el pago de los documentos comprobatorios de las erogaciones realizadas</w:t>
      </w:r>
      <w:r w:rsidR="00CA5F0F">
        <w:rPr>
          <w:rFonts w:eastAsia="Calibri" w:cs="Tahoma"/>
          <w:bCs/>
          <w:color w:val="auto"/>
        </w:rPr>
        <w:t xml:space="preserve"> por las diversas áreas de la administración pública municipal y para el cumplimento de sus atribuciones se auxiliará de:</w:t>
      </w:r>
    </w:p>
    <w:p w:rsidR="00CA5F0F" w:rsidP="00E54ABB" w:rsidRDefault="00CA5F0F" w14:paraId="53D1A848" w14:textId="2D31A720">
      <w:pPr>
        <w:spacing w:after="0" w:line="360" w:lineRule="auto"/>
        <w:ind w:right="-28"/>
        <w:contextualSpacing/>
        <w:rPr>
          <w:rFonts w:eastAsia="Calibri" w:cs="Tahoma"/>
          <w:bCs/>
          <w:color w:val="auto"/>
        </w:rPr>
      </w:pPr>
    </w:p>
    <w:p w:rsidRPr="00CB3373" w:rsidR="00CA5F0F" w:rsidP="00CB3373" w:rsidRDefault="00CA5F0F" w14:paraId="64E54FB6" w14:textId="3280F079">
      <w:pPr>
        <w:numPr>
          <w:ilvl w:val="0"/>
          <w:numId w:val="4"/>
        </w:numPr>
        <w:spacing w:after="0" w:line="360" w:lineRule="auto"/>
        <w:rPr>
          <w:rFonts w:eastAsia="Calibri" w:cs="Tahoma"/>
          <w:bCs/>
          <w:color w:val="auto"/>
          <w:lang w:val="es-ES"/>
        </w:rPr>
      </w:pPr>
      <w:r w:rsidRPr="00CB3373">
        <w:rPr>
          <w:rFonts w:eastAsia="Calibri" w:cs="Tahoma"/>
          <w:b/>
          <w:bCs/>
          <w:color w:val="auto"/>
          <w:lang w:val="es-ES"/>
        </w:rPr>
        <w:t>Subdirección de Egresos:</w:t>
      </w:r>
      <w:r w:rsidRPr="00CB3373">
        <w:rPr>
          <w:rFonts w:eastAsia="Calibri" w:cs="Tahoma"/>
          <w:bCs/>
          <w:color w:val="auto"/>
          <w:lang w:val="es-ES"/>
        </w:rPr>
        <w:t xml:space="preserve"> Encargada de aprobar los pagos que se deban efectuar con cargo al Presupuesto de Egresos y realizar el pago de los documentos comprobatorios de las erogaciones realizadas por las áreas de la administración pública municipal. </w:t>
      </w:r>
    </w:p>
    <w:p w:rsidRPr="00CB3373" w:rsidR="00626F4A" w:rsidP="00CB3373" w:rsidRDefault="00626F4A" w14:paraId="17961C24" w14:textId="77777777">
      <w:pPr>
        <w:spacing w:after="0" w:line="360" w:lineRule="auto"/>
        <w:ind w:left="720"/>
        <w:rPr>
          <w:rFonts w:eastAsia="Calibri" w:cs="Tahoma"/>
          <w:bCs/>
          <w:color w:val="auto"/>
          <w:lang w:val="es-ES"/>
        </w:rPr>
      </w:pPr>
    </w:p>
    <w:p w:rsidRPr="00CB3373" w:rsidR="00CA5F0F" w:rsidP="00CB3373" w:rsidRDefault="00626F4A" w14:paraId="523B0DAA" w14:textId="7DAC5770">
      <w:pPr>
        <w:numPr>
          <w:ilvl w:val="0"/>
          <w:numId w:val="4"/>
        </w:numPr>
        <w:spacing w:after="0" w:line="360" w:lineRule="auto"/>
        <w:rPr>
          <w:rFonts w:eastAsia="Calibri" w:cs="Tahoma"/>
          <w:bCs/>
          <w:color w:val="auto"/>
          <w:lang w:val="es-ES"/>
        </w:rPr>
      </w:pPr>
      <w:r w:rsidRPr="00CB3373">
        <w:rPr>
          <w:rFonts w:eastAsia="Calibri" w:cs="Tahoma"/>
          <w:b/>
          <w:bCs/>
          <w:color w:val="auto"/>
          <w:lang w:val="es-ES"/>
        </w:rPr>
        <w:t>Departamento de Presupuesto:</w:t>
      </w:r>
      <w:r w:rsidRPr="00CB3373">
        <w:rPr>
          <w:rFonts w:eastAsia="Calibri" w:cs="Tahoma"/>
          <w:bCs/>
          <w:color w:val="auto"/>
          <w:lang w:val="es-ES"/>
        </w:rPr>
        <w:t xml:space="preserve"> Controla los recursos del presupuesto de egresos y recaba la documentación soporte para la integración del presupuesto de ingresos y egresos. </w:t>
      </w:r>
    </w:p>
    <w:p w:rsidRPr="00626F4A" w:rsidR="00626F4A" w:rsidP="00626F4A" w:rsidRDefault="00626F4A" w14:paraId="57A365B0" w14:textId="77777777">
      <w:pPr>
        <w:pStyle w:val="Prrafodelista"/>
        <w:spacing w:line="360" w:lineRule="auto"/>
        <w:ind w:right="-28"/>
        <w:rPr>
          <w:rFonts w:ascii="Palatino Linotype" w:hAnsi="Palatino Linotype" w:cs="Tahoma"/>
          <w:bCs/>
          <w:shd w:val="clear" w:color="auto" w:fill="FFFFFF"/>
        </w:rPr>
      </w:pPr>
    </w:p>
    <w:p w:rsidRPr="00E54ABB" w:rsidR="00E54ABB" w:rsidP="00E54ABB" w:rsidRDefault="00E54ABB" w14:paraId="43D2F250" w14:textId="14C442FE">
      <w:pPr>
        <w:tabs>
          <w:tab w:val="left" w:pos="4962"/>
        </w:tabs>
        <w:spacing w:after="0" w:line="360" w:lineRule="auto"/>
        <w:ind w:right="-28"/>
        <w:rPr>
          <w:rFonts w:eastAsia="Calibri" w:cs="Tahoma"/>
          <w:iCs/>
          <w:color w:val="auto"/>
          <w:szCs w:val="20"/>
          <w:lang w:val="es-ES" w:eastAsia="es-ES_tradnl"/>
        </w:rPr>
      </w:pPr>
      <w:r w:rsidRPr="00E54ABB">
        <w:rPr>
          <w:rFonts w:eastAsia="Calibri" w:cs="Tahoma"/>
          <w:iCs/>
          <w:color w:val="auto"/>
          <w:szCs w:val="20"/>
          <w:lang w:val="es-ES" w:eastAsia="es-ES_tradnl"/>
        </w:rPr>
        <w:t>Como se logra observar, el Ente Recurrido, no turnó la solicitud de información, a la</w:t>
      </w:r>
      <w:r w:rsidR="00626F4A">
        <w:rPr>
          <w:rFonts w:eastAsia="Calibri" w:cs="Tahoma"/>
          <w:iCs/>
          <w:color w:val="auto"/>
          <w:szCs w:val="20"/>
          <w:lang w:val="es-ES" w:eastAsia="es-ES_tradnl"/>
        </w:rPr>
        <w:t>s</w:t>
      </w:r>
      <w:r w:rsidRPr="00E54ABB">
        <w:rPr>
          <w:rFonts w:eastAsia="Calibri" w:cs="Tahoma"/>
          <w:iCs/>
          <w:color w:val="auto"/>
          <w:szCs w:val="20"/>
          <w:lang w:val="es-ES" w:eastAsia="es-ES_tradnl"/>
        </w:rPr>
        <w:t xml:space="preserve"> unidad</w:t>
      </w:r>
      <w:r w:rsidR="00626F4A">
        <w:rPr>
          <w:rFonts w:eastAsia="Calibri" w:cs="Tahoma"/>
          <w:iCs/>
          <w:color w:val="auto"/>
          <w:szCs w:val="20"/>
          <w:lang w:val="es-ES" w:eastAsia="es-ES_tradnl"/>
        </w:rPr>
        <w:t xml:space="preserve">es </w:t>
      </w:r>
      <w:r w:rsidRPr="00E54ABB">
        <w:rPr>
          <w:rFonts w:eastAsia="Calibri" w:cs="Tahoma"/>
          <w:iCs/>
          <w:color w:val="auto"/>
          <w:szCs w:val="20"/>
          <w:lang w:val="es-ES" w:eastAsia="es-ES_tradnl"/>
        </w:rPr>
        <w:t>administrativas idónea</w:t>
      </w:r>
      <w:r w:rsidR="00626F4A">
        <w:rPr>
          <w:rFonts w:eastAsia="Calibri" w:cs="Tahoma"/>
          <w:iCs/>
          <w:color w:val="auto"/>
          <w:szCs w:val="20"/>
          <w:lang w:val="es-ES" w:eastAsia="es-ES_tradnl"/>
        </w:rPr>
        <w:t>s</w:t>
      </w:r>
      <w:r w:rsidRPr="00E54ABB">
        <w:rPr>
          <w:rFonts w:eastAsia="Calibri" w:cs="Tahoma"/>
          <w:iCs/>
          <w:color w:val="auto"/>
          <w:szCs w:val="20"/>
          <w:lang w:val="es-ES" w:eastAsia="es-ES_tradnl"/>
        </w:rPr>
        <w:t xml:space="preserve"> para conocer de la información solicitada, a saber, la </w:t>
      </w:r>
      <w:r w:rsidR="00626F4A">
        <w:rPr>
          <w:rFonts w:eastAsia="Calibri" w:cs="Tahoma"/>
          <w:iCs/>
          <w:color w:val="auto"/>
          <w:szCs w:val="20"/>
          <w:lang w:val="es-ES" w:eastAsia="es-ES_tradnl"/>
        </w:rPr>
        <w:t>Tesorería Municipal</w:t>
      </w:r>
      <w:r w:rsidR="00CB3373">
        <w:rPr>
          <w:rFonts w:eastAsia="Calibri" w:cs="Tahoma"/>
          <w:iCs/>
          <w:color w:val="auto"/>
          <w:szCs w:val="20"/>
          <w:lang w:val="es-ES" w:eastAsia="es-ES_tradnl"/>
        </w:rPr>
        <w:t xml:space="preserve"> por medio de la</w:t>
      </w:r>
      <w:r w:rsidR="00626F4A">
        <w:rPr>
          <w:rFonts w:eastAsia="Calibri" w:cs="Tahoma"/>
          <w:iCs/>
          <w:color w:val="auto"/>
          <w:szCs w:val="20"/>
          <w:lang w:val="es-ES" w:eastAsia="es-ES_tradnl"/>
        </w:rPr>
        <w:t xml:space="preserve"> Subdirección de Egresos y el Departamento de Presupuesto</w:t>
      </w:r>
      <w:r w:rsidRPr="00E54ABB">
        <w:rPr>
          <w:rFonts w:eastAsia="Calibri" w:cs="Tahoma"/>
          <w:iCs/>
          <w:color w:val="auto"/>
          <w:szCs w:val="20"/>
          <w:lang w:val="es-ES" w:eastAsia="es-ES_tradnl"/>
        </w:rPr>
        <w:t>, al ser la</w:t>
      </w:r>
      <w:r w:rsidR="00626F4A">
        <w:rPr>
          <w:rFonts w:eastAsia="Calibri" w:cs="Tahoma"/>
          <w:iCs/>
          <w:color w:val="auto"/>
          <w:szCs w:val="20"/>
          <w:lang w:val="es-ES" w:eastAsia="es-ES_tradnl"/>
        </w:rPr>
        <w:t>s</w:t>
      </w:r>
      <w:r w:rsidRPr="00E54ABB">
        <w:rPr>
          <w:rFonts w:eastAsia="Calibri" w:cs="Tahoma"/>
          <w:iCs/>
          <w:color w:val="auto"/>
          <w:szCs w:val="20"/>
          <w:lang w:val="es-ES" w:eastAsia="es-ES_tradnl"/>
        </w:rPr>
        <w:t xml:space="preserve"> encargada</w:t>
      </w:r>
      <w:r w:rsidR="00626F4A">
        <w:rPr>
          <w:rFonts w:eastAsia="Calibri" w:cs="Tahoma"/>
          <w:iCs/>
          <w:color w:val="auto"/>
          <w:szCs w:val="20"/>
          <w:lang w:val="es-ES" w:eastAsia="es-ES_tradnl"/>
        </w:rPr>
        <w:t>s</w:t>
      </w:r>
      <w:r w:rsidRPr="00E54ABB">
        <w:rPr>
          <w:rFonts w:eastAsia="Calibri" w:cs="Tahoma"/>
          <w:iCs/>
          <w:color w:val="auto"/>
          <w:szCs w:val="20"/>
          <w:lang w:val="es-ES" w:eastAsia="es-ES_tradnl"/>
        </w:rPr>
        <w:t xml:space="preserve"> de ver todas las cuestiones relacionadas con </w:t>
      </w:r>
      <w:r w:rsidR="00626F4A">
        <w:rPr>
          <w:rFonts w:eastAsia="Calibri" w:cs="Tahoma"/>
          <w:iCs/>
          <w:color w:val="auto"/>
          <w:szCs w:val="20"/>
          <w:lang w:val="es-ES" w:eastAsia="es-ES_tradnl"/>
        </w:rPr>
        <w:t xml:space="preserve">los ingresos y egresos, así como de la recaudación de los documentos soporte o comprobatorios de las erogaciones realizadas por las áreas de la administración pública municipal.  </w:t>
      </w:r>
    </w:p>
    <w:p w:rsidRPr="00E54ABB" w:rsidR="00E54ABB" w:rsidP="00E54ABB" w:rsidRDefault="00E54ABB" w14:paraId="0EA6CD45" w14:textId="77777777">
      <w:pPr>
        <w:spacing w:after="0" w:line="360" w:lineRule="auto"/>
        <w:ind w:right="-93"/>
        <w:rPr>
          <w:rFonts w:eastAsia="Times New Roman" w:cs="Times New Roman"/>
          <w:color w:val="auto"/>
          <w:lang w:val="es-ES" w:eastAsia="es-ES"/>
        </w:rPr>
      </w:pPr>
    </w:p>
    <w:p w:rsidR="00235843" w:rsidP="00235843" w:rsidRDefault="00E54ABB" w14:paraId="099992A0" w14:textId="30700A12">
      <w:pPr>
        <w:tabs>
          <w:tab w:val="left" w:pos="4962"/>
        </w:tabs>
        <w:spacing w:after="0" w:line="360" w:lineRule="auto"/>
        <w:rPr>
          <w:rFonts w:eastAsia="Calibri" w:cs="Tahoma"/>
          <w:iCs/>
          <w:lang w:val="es-ES" w:eastAsia="es-ES_tradnl"/>
        </w:rPr>
      </w:pPr>
      <w:r w:rsidRPr="00E54ABB">
        <w:rPr>
          <w:rFonts w:eastAsia="Calibri" w:cs="Tahoma"/>
          <w:bCs/>
          <w:color w:val="auto"/>
        </w:rPr>
        <w:t xml:space="preserve">Conforme a lo anterior, se advierte que </w:t>
      </w:r>
      <w:r w:rsidR="00206DD8">
        <w:rPr>
          <w:rFonts w:eastAsia="Calibri" w:cs="Tahoma"/>
          <w:bCs/>
          <w:color w:val="auto"/>
        </w:rPr>
        <w:t>el Ayuntamiento de Metepec</w:t>
      </w:r>
      <w:r w:rsidRPr="00E54ABB">
        <w:rPr>
          <w:rFonts w:eastAsia="Calibri" w:cs="Tahoma"/>
          <w:bCs/>
          <w:color w:val="auto"/>
        </w:rPr>
        <w:t xml:space="preserve"> deberá realizar </w:t>
      </w:r>
      <w:r w:rsidRPr="00E54ABB">
        <w:rPr>
          <w:rFonts w:eastAsia="Times New Roman" w:cs="Times New Roman"/>
          <w:color w:val="auto"/>
          <w:lang w:val="es-ES" w:eastAsia="es-ES"/>
        </w:rPr>
        <w:t xml:space="preserve">una búsqueda exhaustiva y razonable, en todos los archivos de las unidades administrativas competentes entre las cuales no podrá omitir a la </w:t>
      </w:r>
      <w:r w:rsidR="00CB3373">
        <w:rPr>
          <w:rFonts w:eastAsia="Times New Roman" w:cs="Times New Roman"/>
          <w:color w:val="auto"/>
          <w:lang w:val="es-ES" w:eastAsia="es-ES"/>
        </w:rPr>
        <w:t xml:space="preserve">Tesorería, </w:t>
      </w:r>
      <w:r w:rsidRPr="00E54ABB">
        <w:rPr>
          <w:rFonts w:eastAsia="Times New Roman" w:cs="Times New Roman"/>
          <w:bCs/>
          <w:iCs/>
          <w:color w:val="auto"/>
          <w:lang w:val="es-ES" w:eastAsia="es-ES"/>
        </w:rPr>
        <w:t xml:space="preserve">a efecto de que proporcione </w:t>
      </w:r>
      <w:r w:rsidR="00206DD8">
        <w:rPr>
          <w:rFonts w:eastAsia="Times New Roman" w:cs="Times New Roman"/>
          <w:bCs/>
          <w:iCs/>
          <w:color w:val="auto"/>
          <w:lang w:val="es-ES" w:eastAsia="es-ES"/>
        </w:rPr>
        <w:t>los documentos</w:t>
      </w:r>
      <w:r w:rsidR="00CB3373">
        <w:rPr>
          <w:rFonts w:eastAsia="Times New Roman" w:cs="Times New Roman"/>
          <w:bCs/>
          <w:iCs/>
          <w:color w:val="auto"/>
          <w:lang w:val="es-ES" w:eastAsia="es-ES"/>
        </w:rPr>
        <w:t xml:space="preserve"> donde conste </w:t>
      </w:r>
      <w:r w:rsidR="00CB3373">
        <w:rPr>
          <w:rFonts w:eastAsia="Times New Roman" w:cs="Tahoma"/>
          <w:bCs/>
          <w:color w:val="auto"/>
          <w:lang w:eastAsia="es-ES"/>
        </w:rPr>
        <w:t>el monto utilizado</w:t>
      </w:r>
      <w:r w:rsidR="00235843">
        <w:rPr>
          <w:rFonts w:eastAsia="Times New Roman" w:cs="Tahoma"/>
          <w:bCs/>
          <w:color w:val="auto"/>
          <w:lang w:eastAsia="es-ES"/>
        </w:rPr>
        <w:t>, del primero de enero al once de mayo de dos mil veintidós,</w:t>
      </w:r>
      <w:r w:rsidR="00CB3373">
        <w:rPr>
          <w:rFonts w:eastAsia="Times New Roman" w:cs="Tahoma"/>
          <w:bCs/>
          <w:color w:val="auto"/>
          <w:lang w:eastAsia="es-ES"/>
        </w:rPr>
        <w:t xml:space="preserve"> del Presupuesto asignado a la Unidad de Transparencia, para la adquisición</w:t>
      </w:r>
      <w:r w:rsidR="00235843">
        <w:rPr>
          <w:rFonts w:eastAsia="Times New Roman" w:cs="Tahoma"/>
          <w:bCs/>
          <w:color w:val="auto"/>
          <w:lang w:eastAsia="es-ES"/>
        </w:rPr>
        <w:t xml:space="preserve"> </w:t>
      </w:r>
      <w:r w:rsidR="00235843">
        <w:rPr>
          <w:rFonts w:eastAsia="Calibri" w:cs="Tahoma"/>
          <w:iCs/>
          <w:lang w:val="es-ES" w:eastAsia="es-ES_tradnl"/>
        </w:rPr>
        <w:t xml:space="preserve">de vaselina, </w:t>
      </w:r>
      <w:proofErr w:type="spellStart"/>
      <w:r w:rsidR="00235843">
        <w:rPr>
          <w:rFonts w:eastAsia="Calibri" w:cs="Tahoma"/>
          <w:iCs/>
          <w:lang w:val="es-ES" w:eastAsia="es-ES_tradnl"/>
        </w:rPr>
        <w:t>plugs</w:t>
      </w:r>
      <w:proofErr w:type="spellEnd"/>
      <w:r w:rsidR="00235843">
        <w:rPr>
          <w:rFonts w:eastAsia="Calibri" w:cs="Tahoma"/>
          <w:iCs/>
          <w:lang w:val="es-ES" w:eastAsia="es-ES_tradnl"/>
        </w:rPr>
        <w:t xml:space="preserve"> y banderas </w:t>
      </w:r>
      <w:proofErr w:type="spellStart"/>
      <w:r w:rsidR="00235843">
        <w:rPr>
          <w:rFonts w:eastAsia="Calibri" w:cs="Tahoma"/>
          <w:iCs/>
          <w:lang w:val="es-ES" w:eastAsia="es-ES_tradnl"/>
        </w:rPr>
        <w:t>lgbt</w:t>
      </w:r>
      <w:proofErr w:type="spellEnd"/>
      <w:r w:rsidR="00235843">
        <w:rPr>
          <w:rFonts w:eastAsia="Calibri" w:cs="Tahoma"/>
          <w:iCs/>
          <w:lang w:val="es-ES" w:eastAsia="es-ES_tradnl"/>
        </w:rPr>
        <w:t xml:space="preserve">, para apoyar a los familiares de los servidores públicos adscritos a dicha área. </w:t>
      </w:r>
    </w:p>
    <w:p w:rsidRPr="00E54ABB" w:rsidR="00E54ABB" w:rsidP="00E54ABB" w:rsidRDefault="00E54ABB" w14:paraId="58B82991" w14:textId="77777777">
      <w:pPr>
        <w:spacing w:after="0" w:line="360" w:lineRule="auto"/>
        <w:rPr>
          <w:rFonts w:eastAsia="Times New Roman" w:cs="Tahoma"/>
          <w:iCs/>
          <w:color w:val="auto"/>
          <w:lang w:val="es-ES" w:eastAsia="es-ES"/>
        </w:rPr>
      </w:pPr>
      <w:r w:rsidRPr="00E54ABB">
        <w:rPr>
          <w:rFonts w:eastAsia="Times New Roman" w:cs="Tahoma"/>
          <w:bCs/>
          <w:color w:val="0D0D0D"/>
          <w:lang w:eastAsia="es-ES"/>
        </w:rPr>
        <w:lastRenderedPageBreak/>
        <w:t>D</w:t>
      </w:r>
      <w:r w:rsidRPr="00E54ABB">
        <w:rPr>
          <w:rFonts w:eastAsia="Calibri" w:cs="Times New Roman"/>
          <w:bCs/>
          <w:iCs/>
        </w:rPr>
        <w:t>icha situación toma sustento en</w:t>
      </w:r>
      <w:r w:rsidRPr="00E54ABB">
        <w:rPr>
          <w:rFonts w:eastAsia="Calibri" w:cs="Times New Roman"/>
          <w:bCs/>
        </w:rPr>
        <w:t xml:space="preserve"> el</w:t>
      </w:r>
      <w:r w:rsidRPr="00E54ABB">
        <w:rPr>
          <w:rFonts w:eastAsia="Calibri" w:cs="Times New Roman"/>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E54ABB">
        <w:rPr>
          <w:rFonts w:eastAsia="Times New Roman" w:cs="Tahoma"/>
          <w:iCs/>
          <w:color w:val="auto"/>
          <w:lang w:val="es-ES" w:eastAsia="es-ES"/>
        </w:rPr>
        <w:t>misma, ni presentarla conforme al interés del Solicitante.</w:t>
      </w:r>
    </w:p>
    <w:p w:rsidRPr="00E54ABB" w:rsidR="00E54ABB" w:rsidP="00E54ABB" w:rsidRDefault="00E54ABB" w14:paraId="2C1F8C40" w14:textId="77777777">
      <w:pPr>
        <w:spacing w:after="0" w:line="360" w:lineRule="auto"/>
        <w:rPr>
          <w:rFonts w:eastAsia="Times New Roman" w:cs="Tahoma"/>
          <w:iCs/>
          <w:color w:val="auto"/>
          <w:lang w:val="es-ES" w:eastAsia="es-ES"/>
        </w:rPr>
      </w:pPr>
    </w:p>
    <w:p w:rsidRPr="004078C9" w:rsidR="004078C9" w:rsidP="00235843" w:rsidRDefault="004078C9" w14:paraId="26034312" w14:textId="71340FD1">
      <w:pPr>
        <w:spacing w:after="0" w:line="360" w:lineRule="auto"/>
        <w:rPr>
          <w:rFonts w:eastAsia="Times New Roman" w:cs="Tahoma"/>
          <w:i/>
          <w:iCs/>
          <w:color w:val="auto"/>
          <w:sz w:val="20"/>
          <w:szCs w:val="20"/>
          <w:lang w:val="es-ES" w:eastAsia="es-ES"/>
        </w:rPr>
      </w:pPr>
      <w:r w:rsidRPr="004078C9">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4078C9">
        <w:rPr>
          <w:rFonts w:eastAsia="Times New Roman" w:cs="Tahoma"/>
          <w:i/>
          <w:iCs/>
          <w:color w:val="auto"/>
          <w:lang w:val="es-ES" w:eastAsia="es-ES"/>
        </w:rPr>
        <w:t>“ad hoc”;</w:t>
      </w:r>
      <w:r w:rsidRPr="004078C9">
        <w:rPr>
          <w:rFonts w:eastAsia="Times New Roman" w:cs="Tahoma"/>
          <w:iCs/>
          <w:color w:val="auto"/>
          <w:lang w:val="es-ES" w:eastAsia="es-ES"/>
        </w:rPr>
        <w:t xml:space="preserve"> lo cual, toma sustento en el artículo 160 de la Ley de Transparencia y Acceso a la Información Pública del Estado de México y Municipios</w:t>
      </w:r>
      <w:r w:rsidR="00235843">
        <w:rPr>
          <w:rFonts w:eastAsia="Times New Roman" w:cs="Tahoma"/>
          <w:iCs/>
          <w:color w:val="auto"/>
          <w:lang w:val="es-ES" w:eastAsia="es-ES"/>
        </w:rPr>
        <w:t>.</w:t>
      </w:r>
    </w:p>
    <w:p w:rsidRPr="004078C9" w:rsidR="004078C9" w:rsidP="004078C9" w:rsidRDefault="004078C9" w14:paraId="6630CA0D" w14:textId="77777777">
      <w:pPr>
        <w:spacing w:after="0" w:line="360" w:lineRule="auto"/>
        <w:rPr>
          <w:rFonts w:eastAsia="Times New Roman" w:cs="Tahoma"/>
          <w:bCs/>
          <w:iCs/>
          <w:color w:val="auto"/>
          <w:lang w:eastAsia="es-ES"/>
        </w:rPr>
      </w:pPr>
    </w:p>
    <w:p w:rsidR="004078C9" w:rsidP="004078C9" w:rsidRDefault="004078C9" w14:paraId="78C43D9E" w14:textId="11549AEF">
      <w:pPr>
        <w:spacing w:after="0" w:line="360" w:lineRule="auto"/>
        <w:rPr>
          <w:rFonts w:eastAsia="Times New Roman" w:cs="Tahoma"/>
          <w:color w:val="auto"/>
          <w:szCs w:val="24"/>
          <w:lang w:val="es-ES" w:eastAsia="es-ES"/>
        </w:rPr>
      </w:pPr>
      <w:r w:rsidRPr="004078C9">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documento donde conste </w:t>
      </w:r>
      <w:r w:rsidR="00235843">
        <w:rPr>
          <w:rFonts w:eastAsia="Times New Roman" w:cs="Tahoma"/>
          <w:color w:val="auto"/>
          <w:szCs w:val="24"/>
          <w:lang w:val="es-ES" w:eastAsia="es-ES"/>
        </w:rPr>
        <w:t>el monto utilizado para la adquisición de determinados bienes para el personal de la Unidad de Transparencia.</w:t>
      </w:r>
    </w:p>
    <w:p w:rsidR="004078C9" w:rsidP="004078C9" w:rsidRDefault="004078C9" w14:paraId="6BAF3A48" w14:textId="77777777">
      <w:pPr>
        <w:spacing w:after="0" w:line="360" w:lineRule="auto"/>
        <w:rPr>
          <w:rFonts w:eastAsia="Times New Roman" w:cs="Tahoma"/>
          <w:color w:val="auto"/>
          <w:szCs w:val="24"/>
          <w:lang w:val="es-ES" w:eastAsia="es-ES"/>
        </w:rPr>
      </w:pPr>
    </w:p>
    <w:p w:rsidR="00235843" w:rsidP="00235843" w:rsidRDefault="00235843" w14:paraId="3BE9A8F0" w14:textId="1ADD1ACB">
      <w:pPr>
        <w:spacing w:after="0" w:line="360" w:lineRule="auto"/>
        <w:rPr>
          <w:rFonts w:cs="Tahoma"/>
        </w:rPr>
      </w:pPr>
      <w:r>
        <w:rPr>
          <w:rFonts w:cs="Tahoma"/>
        </w:rPr>
        <w:t>Ahora bien, este Instituto realizó una búsqueda de información en la página oficial del Ayuntamiento de Metepec y su Portal de Información Pública de Oficio Mexiquense y no localizó algún indicio de que en el periodo requerido se hayan adquirido los bienes requeridos, por lo que, en su caso, de no contar con la información, deberá hacerlo del conocimiento en términos del artículo 19, párrafo segundo, de la Ley de la materia.</w:t>
      </w:r>
    </w:p>
    <w:p w:rsidRPr="004078C9" w:rsidR="004078C9" w:rsidP="00235843" w:rsidRDefault="00235843" w14:paraId="1B7CE1FE" w14:textId="1617DF81">
      <w:p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 </w:t>
      </w:r>
    </w:p>
    <w:p w:rsidRPr="004078C9" w:rsidR="004078C9" w:rsidP="004078C9" w:rsidRDefault="004078C9" w14:paraId="20F69009" w14:textId="77777777">
      <w:pPr>
        <w:tabs>
          <w:tab w:val="left" w:pos="4962"/>
        </w:tabs>
        <w:spacing w:after="0" w:line="360" w:lineRule="auto"/>
        <w:rPr>
          <w:rFonts w:eastAsia="Times New Roman" w:cs="Tahoma"/>
          <w:bCs/>
          <w:color w:val="auto"/>
          <w:lang w:val="es-ES" w:eastAsia="es-ES"/>
        </w:rPr>
      </w:pPr>
      <w:r w:rsidRPr="004078C9">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4078C9">
        <w:rPr>
          <w:rFonts w:eastAsia="Times New Roman" w:cs="Tahoma"/>
          <w:bCs/>
          <w:color w:val="auto"/>
          <w:lang w:val="es-ES" w:eastAsia="es-ES"/>
        </w:rPr>
        <w:t xml:space="preserve">l respecto, conforme al artículo 3°, fracción XLV, relacionado con el 137, ambos de la Ley de Transparencia y Acceso a la Información Pública </w:t>
      </w:r>
      <w:r w:rsidRPr="004078C9">
        <w:rPr>
          <w:rFonts w:eastAsia="Times New Roman" w:cs="Tahoma"/>
          <w:bCs/>
          <w:color w:val="auto"/>
          <w:lang w:val="es-ES" w:eastAsia="es-ES"/>
        </w:rPr>
        <w:lastRenderedPageBreak/>
        <w:t>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4078C9" w:rsidR="004078C9" w:rsidP="004078C9" w:rsidRDefault="004078C9" w14:paraId="2E007D0A" w14:textId="77777777">
      <w:pPr>
        <w:tabs>
          <w:tab w:val="left" w:pos="4962"/>
        </w:tabs>
        <w:spacing w:after="0" w:line="360" w:lineRule="auto"/>
        <w:rPr>
          <w:rFonts w:eastAsia="Times New Roman" w:cs="Tahoma"/>
          <w:bCs/>
          <w:color w:val="auto"/>
          <w:lang w:val="es-ES" w:eastAsia="es-ES"/>
        </w:rPr>
      </w:pPr>
    </w:p>
    <w:p w:rsidRPr="004078C9" w:rsidR="004078C9" w:rsidP="004078C9" w:rsidRDefault="004078C9" w14:paraId="63C9C551" w14:textId="77777777">
      <w:pPr>
        <w:tabs>
          <w:tab w:val="left" w:pos="4962"/>
        </w:tabs>
        <w:spacing w:after="0" w:line="360" w:lineRule="auto"/>
        <w:rPr>
          <w:rFonts w:eastAsia="Times New Roman" w:cs="Tahoma"/>
          <w:bCs/>
          <w:color w:val="auto"/>
          <w:lang w:val="es-ES" w:eastAsia="es-ES"/>
        </w:rPr>
      </w:pPr>
      <w:r w:rsidRPr="004078C9">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A140E" w:rsidR="00F66BE6" w:rsidP="00351BE4" w:rsidRDefault="00F66BE6" w14:paraId="4AD1820C" w14:textId="77777777">
      <w:pPr>
        <w:spacing w:after="0" w:line="360" w:lineRule="auto"/>
        <w:rPr>
          <w:rFonts w:eastAsia="Times New Roman" w:cs="Tahoma"/>
          <w:bCs/>
          <w:color w:val="auto"/>
          <w:lang w:val="es-ES" w:eastAsia="es-ES"/>
        </w:rPr>
      </w:pPr>
    </w:p>
    <w:p w:rsidRPr="00A968B8" w:rsidR="00351BE4" w:rsidP="00351BE4" w:rsidRDefault="00351BE4" w14:paraId="082370F6" w14:textId="77777777">
      <w:pPr>
        <w:spacing w:after="0" w:line="360" w:lineRule="auto"/>
        <w:rPr>
          <w:rFonts w:eastAsia="Times New Roman" w:cs="Tahoma"/>
          <w:b/>
          <w:color w:val="auto"/>
          <w:lang w:val="es-ES" w:eastAsia="es-ES"/>
        </w:rPr>
      </w:pPr>
      <w:r w:rsidRPr="00A968B8">
        <w:rPr>
          <w:rFonts w:eastAsia="Times New Roman" w:cs="Tahoma"/>
          <w:b/>
          <w:color w:val="auto"/>
          <w:lang w:val="es-ES" w:eastAsia="es-ES"/>
        </w:rPr>
        <w:t xml:space="preserve">SEXTO. Decisión. </w:t>
      </w:r>
    </w:p>
    <w:p w:rsidRPr="00A968B8" w:rsidR="00351BE4" w:rsidP="00351BE4" w:rsidRDefault="00351BE4" w14:paraId="52B13CB9" w14:textId="77777777">
      <w:pPr>
        <w:spacing w:after="0" w:line="360" w:lineRule="auto"/>
        <w:rPr>
          <w:rFonts w:eastAsia="Times New Roman" w:cs="Tahoma"/>
          <w:b/>
          <w:color w:val="auto"/>
          <w:lang w:val="es-ES" w:eastAsia="es-ES"/>
        </w:rPr>
      </w:pPr>
    </w:p>
    <w:p w:rsidR="00235843" w:rsidP="00235843" w:rsidRDefault="00351BE4" w14:paraId="358E0CC0" w14:textId="77777777">
      <w:pPr>
        <w:tabs>
          <w:tab w:val="left" w:pos="4962"/>
        </w:tabs>
        <w:spacing w:after="0" w:line="360" w:lineRule="auto"/>
        <w:rPr>
          <w:rFonts w:eastAsia="Calibri" w:cs="Tahoma"/>
          <w:iCs/>
          <w:lang w:val="es-ES" w:eastAsia="es-ES_tradnl"/>
        </w:rPr>
      </w:pPr>
      <w:r w:rsidRPr="00A968B8">
        <w:rPr>
          <w:rFonts w:eastAsia="Calibri" w:cs="Arial"/>
          <w:color w:val="000000"/>
        </w:rPr>
        <w:t xml:space="preserve">De acuerdo con lo expuesto y, </w:t>
      </w:r>
      <w:r w:rsidRPr="00A968B8">
        <w:rPr>
          <w:rFonts w:eastAsia="Calibri" w:cs="Tahoma"/>
          <w:color w:val="000000"/>
        </w:rPr>
        <w:t xml:space="preserve">con fundamento en el artículo 186, fracción III, de la Ley de Transparencia y Acceso a la Información Pública del Estado de México y Municipios, este Instituto considera procedente </w:t>
      </w:r>
      <w:r w:rsidRPr="00A968B8">
        <w:rPr>
          <w:rFonts w:eastAsia="Calibri" w:cs="Tahoma"/>
          <w:b/>
          <w:color w:val="000000"/>
        </w:rPr>
        <w:t xml:space="preserve">REVOCAR </w:t>
      </w:r>
      <w:r w:rsidRPr="00A968B8">
        <w:rPr>
          <w:rFonts w:eastAsia="Calibri" w:cs="Tahoma"/>
          <w:bCs/>
          <w:color w:val="000000"/>
        </w:rPr>
        <w:t>la repuesta otorgada a la solicitud de información</w:t>
      </w:r>
      <w:r w:rsidRPr="00A968B8">
        <w:rPr>
          <w:rFonts w:eastAsia="Calibri" w:cs="Tahoma"/>
          <w:color w:val="000000"/>
        </w:rPr>
        <w:t>, a efecto de que, previa búsqueda exhaustiva y razonable en todas las unidades administrativas competentes</w:t>
      </w:r>
      <w:r w:rsidR="00B43A12">
        <w:rPr>
          <w:rFonts w:eastAsia="Calibri" w:cs="Tahoma"/>
          <w:color w:val="000000"/>
        </w:rPr>
        <w:t xml:space="preserve">, entre las cuales no podrá omitir a la </w:t>
      </w:r>
      <w:r w:rsidR="00A645E6">
        <w:rPr>
          <w:rFonts w:eastAsia="Calibri" w:cs="Tahoma"/>
          <w:color w:val="000000"/>
        </w:rPr>
        <w:t xml:space="preserve">Tesorería Municipal, </w:t>
      </w:r>
      <w:r w:rsidRPr="00A968B8">
        <w:rPr>
          <w:rFonts w:eastAsia="Calibri" w:cs="Tahoma"/>
          <w:bCs/>
          <w:color w:val="000000"/>
          <w:lang w:val="es-ES"/>
        </w:rPr>
        <w:t xml:space="preserve">entregue, a través del Sistema de Acceso a la Información Mexiquense (SAIMEX), </w:t>
      </w:r>
      <w:r w:rsidR="00235843">
        <w:rPr>
          <w:rFonts w:eastAsia="Times New Roman" w:cs="Times New Roman"/>
          <w:bCs/>
          <w:iCs/>
          <w:color w:val="auto"/>
          <w:lang w:val="es-ES" w:eastAsia="es-ES"/>
        </w:rPr>
        <w:t xml:space="preserve">los documentos donde conste </w:t>
      </w:r>
      <w:r w:rsidR="00235843">
        <w:rPr>
          <w:rFonts w:eastAsia="Times New Roman" w:cs="Tahoma"/>
          <w:bCs/>
          <w:color w:val="auto"/>
          <w:lang w:eastAsia="es-ES"/>
        </w:rPr>
        <w:t xml:space="preserve">el monto utilizado, del primero de enero al once de mayo de dos mil veintidós, del Presupuesto asignado a la Unidad de Transparencia, para la adquisición </w:t>
      </w:r>
      <w:r w:rsidR="00235843">
        <w:rPr>
          <w:rFonts w:eastAsia="Calibri" w:cs="Tahoma"/>
          <w:iCs/>
          <w:lang w:val="es-ES" w:eastAsia="es-ES_tradnl"/>
        </w:rPr>
        <w:t xml:space="preserve">de vaselina, </w:t>
      </w:r>
      <w:proofErr w:type="spellStart"/>
      <w:r w:rsidR="00235843">
        <w:rPr>
          <w:rFonts w:eastAsia="Calibri" w:cs="Tahoma"/>
          <w:iCs/>
          <w:lang w:val="es-ES" w:eastAsia="es-ES_tradnl"/>
        </w:rPr>
        <w:t>plugs</w:t>
      </w:r>
      <w:proofErr w:type="spellEnd"/>
      <w:r w:rsidR="00235843">
        <w:rPr>
          <w:rFonts w:eastAsia="Calibri" w:cs="Tahoma"/>
          <w:iCs/>
          <w:lang w:val="es-ES" w:eastAsia="es-ES_tradnl"/>
        </w:rPr>
        <w:t xml:space="preserve"> y banderas </w:t>
      </w:r>
      <w:proofErr w:type="spellStart"/>
      <w:r w:rsidR="00235843">
        <w:rPr>
          <w:rFonts w:eastAsia="Calibri" w:cs="Tahoma"/>
          <w:iCs/>
          <w:lang w:val="es-ES" w:eastAsia="es-ES_tradnl"/>
        </w:rPr>
        <w:t>lgbt</w:t>
      </w:r>
      <w:proofErr w:type="spellEnd"/>
      <w:r w:rsidR="00235843">
        <w:rPr>
          <w:rFonts w:eastAsia="Calibri" w:cs="Tahoma"/>
          <w:iCs/>
          <w:lang w:val="es-ES" w:eastAsia="es-ES_tradnl"/>
        </w:rPr>
        <w:t xml:space="preserve">, para apoyar a los familiares de los servidores públicos adscritos a dicha área. </w:t>
      </w:r>
    </w:p>
    <w:p w:rsidR="00235843" w:rsidP="00235843" w:rsidRDefault="00235843" w14:paraId="02518ECC" w14:textId="77777777">
      <w:pPr>
        <w:tabs>
          <w:tab w:val="left" w:pos="4962"/>
        </w:tabs>
        <w:spacing w:after="0" w:line="360" w:lineRule="auto"/>
        <w:rPr>
          <w:rFonts w:eastAsia="Calibri" w:cs="Tahoma"/>
          <w:iCs/>
          <w:lang w:val="es-ES" w:eastAsia="es-ES_tradnl"/>
        </w:rPr>
      </w:pPr>
    </w:p>
    <w:p w:rsidRPr="00A968B8" w:rsidR="00351BE4" w:rsidP="00235843" w:rsidRDefault="00235843" w14:paraId="4AEF04D1" w14:textId="705019D4">
      <w:pPr>
        <w:tabs>
          <w:tab w:val="left" w:pos="4962"/>
        </w:tabs>
        <w:spacing w:after="0" w:line="360" w:lineRule="auto"/>
        <w:rPr>
          <w:rFonts w:eastAsia="Times New Roman" w:cs="Tahoma"/>
          <w:color w:val="auto"/>
          <w:lang w:eastAsia="es-ES"/>
        </w:rPr>
      </w:pPr>
      <w:r>
        <w:rPr>
          <w:rFonts w:eastAsia="Calibri" w:cs="Tahoma"/>
          <w:iCs/>
          <w:lang w:val="es-ES" w:eastAsia="es-ES_tradnl"/>
        </w:rPr>
        <w:t xml:space="preserve">Además, </w:t>
      </w:r>
      <w:r>
        <w:rPr>
          <w:rFonts w:eastAsia="Times New Roman" w:cs="Tahoma"/>
          <w:color w:val="auto"/>
          <w:lang w:eastAsia="es-ES"/>
        </w:rPr>
        <w:t>de ser necesaria la entrega en versión pública</w:t>
      </w:r>
      <w:r w:rsidRPr="00A968B8" w:rsidR="00351BE4">
        <w:rPr>
          <w:rFonts w:eastAsia="Times New Roman" w:cs="Tahoma"/>
          <w:color w:val="auto"/>
          <w:lang w:eastAsia="es-E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351BE4" w:rsidP="00351BE4" w:rsidRDefault="00351BE4" w14:paraId="4E98A17D" w14:textId="77777777">
      <w:pPr>
        <w:autoSpaceDE w:val="0"/>
        <w:autoSpaceDN w:val="0"/>
        <w:adjustRightInd w:val="0"/>
        <w:spacing w:after="0" w:line="360" w:lineRule="auto"/>
        <w:rPr>
          <w:rFonts w:eastAsia="Calibri" w:cs="Tahoma"/>
          <w:b/>
          <w:bCs/>
          <w:iCs/>
          <w:color w:val="auto"/>
          <w:lang w:val="es-ES"/>
        </w:rPr>
      </w:pPr>
    </w:p>
    <w:p w:rsidRPr="00B43A12" w:rsidR="00B43A12" w:rsidP="00351BE4" w:rsidRDefault="00B43A12" w14:paraId="3AF3443C" w14:textId="67B56562">
      <w:pPr>
        <w:autoSpaceDE w:val="0"/>
        <w:autoSpaceDN w:val="0"/>
        <w:adjustRightInd w:val="0"/>
        <w:spacing w:after="0" w:line="360" w:lineRule="auto"/>
        <w:rPr>
          <w:rFonts w:eastAsia="Calibri" w:cs="Tahoma"/>
          <w:bCs/>
          <w:iCs/>
          <w:color w:val="auto"/>
          <w:lang w:val="es-ES"/>
        </w:rPr>
      </w:pPr>
      <w:bookmarkStart w:name="_Hlk112280216" w:id="1"/>
      <w:r>
        <w:rPr>
          <w:rFonts w:eastAsia="Calibri" w:cs="Tahoma"/>
          <w:bCs/>
          <w:iCs/>
          <w:color w:val="auto"/>
          <w:lang w:val="es-ES"/>
        </w:rPr>
        <w:t xml:space="preserve">Para el caso, </w:t>
      </w:r>
      <w:r w:rsidR="00235843">
        <w:rPr>
          <w:rFonts w:cs="Tahoma"/>
        </w:rPr>
        <w:t>de que en el periodo requerido no se hayan adquirido los bienes solicitados</w:t>
      </w:r>
      <w:r w:rsidR="00235843">
        <w:rPr>
          <w:rFonts w:eastAsia="Calibri" w:cs="Tahoma"/>
          <w:bCs/>
          <w:iCs/>
          <w:color w:val="auto"/>
          <w:lang w:val="es-ES"/>
        </w:rPr>
        <w:t xml:space="preserve">, </w:t>
      </w:r>
      <w:r>
        <w:rPr>
          <w:rFonts w:eastAsia="Calibri" w:cs="Tahoma"/>
          <w:bCs/>
          <w:iCs/>
          <w:color w:val="auto"/>
          <w:lang w:val="es-ES"/>
        </w:rPr>
        <w:t>deberá hacerlo del conocimiento del ahora Recurrente, de manera clara y precisa.</w:t>
      </w:r>
    </w:p>
    <w:bookmarkEnd w:id="1"/>
    <w:p w:rsidRPr="00A968B8" w:rsidR="00B43A12" w:rsidP="00351BE4" w:rsidRDefault="00B43A12" w14:paraId="218D826C" w14:textId="77777777">
      <w:pPr>
        <w:autoSpaceDE w:val="0"/>
        <w:autoSpaceDN w:val="0"/>
        <w:adjustRightInd w:val="0"/>
        <w:spacing w:after="0" w:line="360" w:lineRule="auto"/>
        <w:rPr>
          <w:rFonts w:eastAsia="Calibri" w:cs="Tahoma"/>
          <w:b/>
          <w:bCs/>
          <w:iCs/>
          <w:color w:val="auto"/>
          <w:lang w:val="es-ES"/>
        </w:rPr>
      </w:pPr>
    </w:p>
    <w:p w:rsidRPr="00A968B8" w:rsidR="00351BE4" w:rsidP="00351BE4" w:rsidRDefault="00351BE4" w14:paraId="507810E6" w14:textId="77777777">
      <w:pPr>
        <w:autoSpaceDE w:val="0"/>
        <w:autoSpaceDN w:val="0"/>
        <w:adjustRightInd w:val="0"/>
        <w:spacing w:after="0" w:line="360" w:lineRule="auto"/>
        <w:rPr>
          <w:rFonts w:eastAsia="Calibri" w:cs="Tahoma"/>
          <w:b/>
          <w:bCs/>
          <w:iCs/>
          <w:color w:val="auto"/>
          <w:lang w:val="es-ES"/>
        </w:rPr>
      </w:pPr>
      <w:r w:rsidRPr="00A968B8">
        <w:rPr>
          <w:rFonts w:eastAsia="Calibri" w:cs="Tahoma"/>
          <w:b/>
          <w:bCs/>
          <w:iCs/>
          <w:color w:val="auto"/>
          <w:lang w:val="es-ES"/>
        </w:rPr>
        <w:t>Términos de la Resolución para conocimiento del Particular.</w:t>
      </w:r>
    </w:p>
    <w:p w:rsidRPr="00A968B8" w:rsidR="00351BE4" w:rsidP="00351BE4" w:rsidRDefault="00351BE4" w14:paraId="292D3540" w14:textId="77777777">
      <w:pPr>
        <w:autoSpaceDE w:val="0"/>
        <w:autoSpaceDN w:val="0"/>
        <w:adjustRightInd w:val="0"/>
        <w:spacing w:after="0" w:line="360" w:lineRule="auto"/>
        <w:rPr>
          <w:rFonts w:eastAsia="Calibri" w:cs="Tahoma"/>
          <w:b/>
          <w:bCs/>
          <w:iCs/>
          <w:color w:val="auto"/>
          <w:lang w:val="es-ES"/>
        </w:rPr>
      </w:pPr>
    </w:p>
    <w:p w:rsidR="00351BE4" w:rsidP="00351BE4" w:rsidRDefault="00351BE4" w14:paraId="0629F334" w14:textId="69272045">
      <w:pPr>
        <w:autoSpaceDE w:val="0"/>
        <w:autoSpaceDN w:val="0"/>
        <w:adjustRightInd w:val="0"/>
        <w:spacing w:after="0" w:line="360" w:lineRule="auto"/>
        <w:rPr>
          <w:rFonts w:eastAsia="Times New Roman" w:cs="Tahoma"/>
          <w:color w:val="auto"/>
          <w:lang w:val="es-ES" w:eastAsia="es-ES"/>
        </w:rPr>
      </w:pPr>
      <w:r w:rsidRPr="00A968B8">
        <w:rPr>
          <w:rFonts w:eastAsia="Calibri" w:cs="Tahoma"/>
          <w:bCs/>
          <w:iCs/>
          <w:color w:val="auto"/>
          <w:lang w:val="es-ES"/>
        </w:rPr>
        <w:t>Se le hace del conocimiento de la Particular, que, en el presente caso, se le da la razón, pues el Sujeto Obligado</w:t>
      </w:r>
      <w:bookmarkStart w:name="_Hlk62761018" w:id="2"/>
      <w:r w:rsidR="0017074B">
        <w:rPr>
          <w:rFonts w:eastAsia="Calibri" w:cs="Tahoma"/>
          <w:bCs/>
          <w:iCs/>
          <w:color w:val="auto"/>
          <w:lang w:val="es-ES"/>
        </w:rPr>
        <w:t xml:space="preserve"> </w:t>
      </w:r>
      <w:r w:rsidRPr="00A968B8">
        <w:rPr>
          <w:rFonts w:eastAsia="Calibri" w:cs="Tahoma"/>
          <w:bCs/>
          <w:iCs/>
          <w:color w:val="auto"/>
          <w:lang w:val="es-ES"/>
        </w:rPr>
        <w:t xml:space="preserve">no proporcionó la información solicitada, </w:t>
      </w:r>
      <w:bookmarkEnd w:id="2"/>
      <w:r w:rsidR="00235843">
        <w:rPr>
          <w:rFonts w:eastAsia="Calibri" w:cs="Tahoma"/>
          <w:bCs/>
          <w:iCs/>
          <w:color w:val="auto"/>
          <w:lang w:val="es-ES"/>
        </w:rPr>
        <w:t>cuando tenía elementos suficientes para dar respuesta mediante una expresión documental, por lo que, deberá entregarle el documento donde conste el monto utilizado, en caso, de haber utilizado recursos para los bienes requeridos.</w:t>
      </w:r>
    </w:p>
    <w:p w:rsidR="00F66BE6" w:rsidP="00351BE4" w:rsidRDefault="00F66BE6" w14:paraId="3704E527" w14:textId="77777777">
      <w:pPr>
        <w:autoSpaceDE w:val="0"/>
        <w:autoSpaceDN w:val="0"/>
        <w:adjustRightInd w:val="0"/>
        <w:spacing w:after="0" w:line="360" w:lineRule="auto"/>
        <w:rPr>
          <w:rFonts w:eastAsia="Times New Roman" w:cs="Tahoma"/>
          <w:color w:val="auto"/>
          <w:lang w:val="es-ES" w:eastAsia="es-ES"/>
        </w:rPr>
      </w:pPr>
    </w:p>
    <w:p w:rsidRPr="00A968B8" w:rsidR="00351BE4" w:rsidP="00351BE4" w:rsidRDefault="00F66BE6" w14:paraId="1263D04F" w14:textId="6CB26B81">
      <w:pPr>
        <w:widowControl w:val="0"/>
        <w:spacing w:after="0" w:line="360" w:lineRule="auto"/>
        <w:rPr>
          <w:rFonts w:eastAsia="Calibri" w:cs="Tahoma"/>
          <w:bCs/>
          <w:iCs/>
          <w:color w:val="auto"/>
          <w:lang w:val="es-ES_tradnl"/>
        </w:rPr>
      </w:pPr>
      <w:r>
        <w:rPr>
          <w:rFonts w:eastAsia="Calibri" w:cs="Tahoma"/>
          <w:bCs/>
          <w:iCs/>
          <w:color w:val="auto"/>
          <w:lang w:val="es-ES_tradnl"/>
        </w:rPr>
        <w:t xml:space="preserve">Finalmente, se le hace del conocimiento que la </w:t>
      </w:r>
      <w:r w:rsidRPr="00A968B8" w:rsidR="00351BE4">
        <w:rPr>
          <w:rFonts w:eastAsia="Calibri" w:cs="Tahoma"/>
          <w:bCs/>
          <w:iCs/>
          <w:color w:val="auto"/>
          <w:lang w:val="es-ES_tradnl"/>
        </w:rPr>
        <w:t>labor del Instituto</w:t>
      </w:r>
      <w:r>
        <w:rPr>
          <w:rFonts w:eastAsia="Calibri" w:cs="Tahoma"/>
          <w:bCs/>
          <w:iCs/>
          <w:color w:val="auto"/>
          <w:lang w:val="es-ES_tradnl"/>
        </w:rPr>
        <w:t xml:space="preserve"> de Transparencia, Acceso a la Información Pública y Protección de Datos Personales del Estado de México y Municipios</w:t>
      </w:r>
      <w:r w:rsidRPr="00A968B8" w:rsidR="00351BE4">
        <w:rPr>
          <w:rFonts w:eastAsia="Calibri" w:cs="Tahoma"/>
          <w:bCs/>
          <w:iCs/>
          <w:color w:val="auto"/>
          <w:lang w:val="es-ES_tradnl"/>
        </w:rPr>
        <w:t>, es apoyar a la población a acceder a la información pública y garantizar la protección de los datos personales.</w:t>
      </w:r>
    </w:p>
    <w:p w:rsidRPr="00A968B8" w:rsidR="006952EE" w:rsidP="00351BE4" w:rsidRDefault="006952EE" w14:paraId="2D023E53" w14:textId="77777777">
      <w:pPr>
        <w:widowControl w:val="0"/>
        <w:spacing w:after="0" w:line="360" w:lineRule="auto"/>
        <w:rPr>
          <w:rFonts w:eastAsia="Calibri" w:cs="Tahoma"/>
          <w:bCs/>
          <w:iCs/>
          <w:color w:val="auto"/>
          <w:lang w:val="es-ES_tradnl"/>
        </w:rPr>
      </w:pPr>
    </w:p>
    <w:p w:rsidRPr="00A968B8" w:rsidR="00351BE4" w:rsidP="00351BE4" w:rsidRDefault="00351BE4" w14:paraId="6A2B4DB7" w14:textId="77777777">
      <w:pPr>
        <w:autoSpaceDE w:val="0"/>
        <w:autoSpaceDN w:val="0"/>
        <w:adjustRightInd w:val="0"/>
        <w:spacing w:after="0" w:line="360" w:lineRule="auto"/>
        <w:rPr>
          <w:rFonts w:eastAsia="Calibri" w:cs="Tahoma"/>
          <w:bCs/>
          <w:iCs/>
          <w:color w:val="auto"/>
        </w:rPr>
      </w:pPr>
      <w:r w:rsidRPr="00A968B8">
        <w:rPr>
          <w:rFonts w:eastAsia="Calibri" w:cs="Tahoma"/>
          <w:bCs/>
          <w:iCs/>
          <w:color w:val="auto"/>
        </w:rPr>
        <w:t>Por lo expuesto y fundado, este Pleno:</w:t>
      </w:r>
    </w:p>
    <w:p w:rsidRPr="00A968B8" w:rsidR="00351BE4" w:rsidP="00351BE4" w:rsidRDefault="00351BE4" w14:paraId="1A51440B" w14:textId="77777777">
      <w:pPr>
        <w:autoSpaceDE w:val="0"/>
        <w:autoSpaceDN w:val="0"/>
        <w:adjustRightInd w:val="0"/>
        <w:spacing w:after="0" w:line="360" w:lineRule="auto"/>
        <w:rPr>
          <w:rFonts w:eastAsia="Calibri" w:cs="Tahoma"/>
          <w:bCs/>
          <w:iCs/>
          <w:color w:val="auto"/>
        </w:rPr>
      </w:pPr>
    </w:p>
    <w:p w:rsidRPr="00A968B8" w:rsidR="00351BE4" w:rsidP="00351BE4" w:rsidRDefault="00351BE4" w14:paraId="3AAC1650" w14:textId="77777777">
      <w:pPr>
        <w:spacing w:after="0" w:line="360" w:lineRule="auto"/>
        <w:jc w:val="center"/>
        <w:rPr>
          <w:rFonts w:eastAsia="Times New Roman" w:cs="Tahoma"/>
          <w:b/>
          <w:bCs/>
          <w:color w:val="auto"/>
          <w:lang w:eastAsia="es-ES"/>
        </w:rPr>
      </w:pPr>
      <w:r w:rsidRPr="00A968B8">
        <w:rPr>
          <w:rFonts w:eastAsia="Times New Roman" w:cs="Tahoma"/>
          <w:b/>
          <w:bCs/>
          <w:color w:val="auto"/>
          <w:lang w:eastAsia="es-ES"/>
        </w:rPr>
        <w:t xml:space="preserve">R E S U E L V E: </w:t>
      </w:r>
    </w:p>
    <w:p w:rsidRPr="00A968B8" w:rsidR="00F66BE6" w:rsidP="00351BE4" w:rsidRDefault="00F66BE6" w14:paraId="6D56E8C7" w14:textId="77777777">
      <w:pPr>
        <w:spacing w:after="0" w:line="360" w:lineRule="auto"/>
        <w:ind w:right="113"/>
        <w:rPr>
          <w:rFonts w:eastAsia="Times New Roman" w:cs="Arial"/>
          <w:b/>
          <w:color w:val="auto"/>
          <w:lang w:eastAsia="es-ES"/>
        </w:rPr>
      </w:pPr>
    </w:p>
    <w:p w:rsidRPr="00B43A12" w:rsidR="00351BE4" w:rsidP="00351BE4" w:rsidRDefault="00351BE4" w14:paraId="2B9944FA" w14:textId="3A8F703D">
      <w:pPr>
        <w:spacing w:after="0" w:line="360" w:lineRule="auto"/>
        <w:rPr>
          <w:rFonts w:eastAsia="Calibri" w:cs="Tahoma"/>
          <w:bCs/>
          <w:color w:val="auto"/>
        </w:rPr>
      </w:pPr>
      <w:r w:rsidRPr="00A968B8">
        <w:rPr>
          <w:rFonts w:eastAsia="Calibri" w:cs="Tahoma"/>
          <w:b/>
          <w:bCs/>
          <w:iCs/>
          <w:color w:val="auto"/>
        </w:rPr>
        <w:t xml:space="preserve">PRIMERO. </w:t>
      </w:r>
      <w:r w:rsidRPr="00A968B8">
        <w:rPr>
          <w:rFonts w:eastAsia="Times New Roman" w:cs="Tahoma"/>
          <w:bCs/>
          <w:color w:val="auto"/>
          <w:lang w:eastAsia="es-ES"/>
        </w:rPr>
        <w:t xml:space="preserve">Se </w:t>
      </w:r>
      <w:r w:rsidRPr="00A968B8">
        <w:rPr>
          <w:rFonts w:eastAsia="Times New Roman" w:cs="Tahoma"/>
          <w:b/>
          <w:bCs/>
          <w:color w:val="auto"/>
          <w:lang w:eastAsia="es-ES"/>
        </w:rPr>
        <w:t>REVOCA</w:t>
      </w:r>
      <w:r w:rsidRPr="00A968B8">
        <w:rPr>
          <w:rFonts w:eastAsia="Times New Roman" w:cs="Tahoma"/>
          <w:bCs/>
          <w:color w:val="auto"/>
          <w:lang w:eastAsia="es-ES"/>
        </w:rPr>
        <w:t xml:space="preserve"> la respuesta entregada por el </w:t>
      </w:r>
      <w:r w:rsidRPr="00836B15">
        <w:rPr>
          <w:rFonts w:eastAsia="Calibri" w:cs="Tahoma"/>
          <w:color w:val="auto"/>
          <w:lang w:eastAsia="es-ES"/>
        </w:rPr>
        <w:t xml:space="preserve">Ayuntamiento de </w:t>
      </w:r>
      <w:r w:rsidR="001A60FC">
        <w:rPr>
          <w:rFonts w:eastAsia="Calibri" w:cs="Tahoma"/>
          <w:color w:val="auto"/>
          <w:lang w:eastAsia="es-ES"/>
        </w:rPr>
        <w:t>Metepec</w:t>
      </w:r>
      <w:r w:rsidRPr="00A968B8">
        <w:rPr>
          <w:rFonts w:eastAsia="Times New Roman" w:cs="Tahoma"/>
          <w:bCs/>
          <w:color w:val="auto"/>
          <w:lang w:eastAsia="es-ES"/>
        </w:rPr>
        <w:t xml:space="preserve"> a la solicitud de información </w:t>
      </w:r>
      <w:r w:rsidRPr="00173DA4" w:rsidR="00173DA4">
        <w:rPr>
          <w:rFonts w:eastAsia="Calibri" w:cs="Tahoma"/>
          <w:bCs/>
          <w:iCs/>
          <w:color w:val="auto"/>
        </w:rPr>
        <w:t>03427/METEPEC/IP/2022</w:t>
      </w:r>
      <w:r w:rsidR="00173DA4">
        <w:rPr>
          <w:rFonts w:eastAsia="Calibri" w:cs="Tahoma"/>
          <w:bCs/>
          <w:iCs/>
          <w:color w:val="auto"/>
        </w:rPr>
        <w:t xml:space="preserve"> </w:t>
      </w:r>
      <w:r w:rsidRPr="00A968B8">
        <w:rPr>
          <w:rFonts w:eastAsia="Times New Roman" w:cs="Times New Roman"/>
          <w:bCs/>
          <w:color w:val="auto"/>
          <w:lang w:eastAsia="es-ES"/>
        </w:rPr>
        <w:t xml:space="preserve">por resultar </w:t>
      </w:r>
      <w:r w:rsidRPr="00A968B8">
        <w:rPr>
          <w:rFonts w:eastAsia="Times New Roman" w:cs="Times New Roman"/>
          <w:b/>
          <w:bCs/>
          <w:color w:val="auto"/>
          <w:lang w:eastAsia="es-ES"/>
        </w:rPr>
        <w:t>FUNDADAS</w:t>
      </w:r>
      <w:r w:rsidRPr="00A968B8">
        <w:rPr>
          <w:rFonts w:eastAsia="Times New Roman" w:cs="Tahoma"/>
          <w:bCs/>
          <w:color w:val="auto"/>
          <w:lang w:eastAsia="es-ES"/>
        </w:rPr>
        <w:t xml:space="preserve"> </w:t>
      </w:r>
      <w:r w:rsidRPr="00A968B8">
        <w:rPr>
          <w:rFonts w:eastAsia="Calibri" w:cs="Tahoma"/>
          <w:bCs/>
          <w:color w:val="auto"/>
        </w:rPr>
        <w:t xml:space="preserve">las razones o motivos de inconformidad hechos valer por el Recurrente, en términos de los considerandos </w:t>
      </w:r>
      <w:r w:rsidRPr="00B43A12">
        <w:rPr>
          <w:rFonts w:eastAsia="Calibri" w:cs="Tahoma"/>
          <w:bCs/>
          <w:color w:val="auto"/>
        </w:rPr>
        <w:t>QUINTO y SEXTO de la presente Resolución.</w:t>
      </w:r>
    </w:p>
    <w:p w:rsidRPr="00A968B8" w:rsidR="00351BE4" w:rsidP="00351BE4" w:rsidRDefault="00351BE4" w14:paraId="31F7FEF7" w14:textId="77777777">
      <w:pPr>
        <w:spacing w:after="0" w:line="360" w:lineRule="auto"/>
        <w:contextualSpacing/>
        <w:rPr>
          <w:rFonts w:eastAsia="Calibri" w:cs="Tahoma"/>
          <w:b/>
          <w:bCs/>
          <w:iCs/>
          <w:color w:val="auto"/>
        </w:rPr>
      </w:pPr>
    </w:p>
    <w:p w:rsidRPr="00A968B8" w:rsidR="00351BE4" w:rsidP="00351BE4" w:rsidRDefault="00351BE4" w14:paraId="11FD22E6" w14:textId="6D0D8E04">
      <w:pPr>
        <w:autoSpaceDE w:val="0"/>
        <w:autoSpaceDN w:val="0"/>
        <w:adjustRightInd w:val="0"/>
        <w:spacing w:after="0" w:line="360" w:lineRule="auto"/>
        <w:rPr>
          <w:rFonts w:eastAsia="Calibri" w:cs="Tahoma"/>
          <w:iCs/>
          <w:color w:val="auto"/>
          <w:szCs w:val="24"/>
          <w:lang w:val="es-ES" w:eastAsia="es-ES_tradnl"/>
        </w:rPr>
      </w:pPr>
      <w:r w:rsidRPr="00A968B8">
        <w:rPr>
          <w:rFonts w:eastAsia="Calibri" w:cs="Tahoma"/>
          <w:b/>
          <w:bCs/>
        </w:rPr>
        <w:lastRenderedPageBreak/>
        <w:t xml:space="preserve">SEGUNDO. </w:t>
      </w:r>
      <w:r w:rsidRPr="00A968B8">
        <w:rPr>
          <w:rFonts w:eastAsia="Calibri" w:cs="Tahoma"/>
          <w:lang w:eastAsia="es-MX"/>
        </w:rPr>
        <w:t xml:space="preserve">Se </w:t>
      </w:r>
      <w:r w:rsidRPr="00A968B8">
        <w:rPr>
          <w:rFonts w:eastAsia="Calibri" w:cs="Tahoma"/>
          <w:b/>
          <w:lang w:eastAsia="es-MX"/>
        </w:rPr>
        <w:t xml:space="preserve">ORDENA </w:t>
      </w:r>
      <w:r w:rsidRPr="00A968B8">
        <w:rPr>
          <w:rFonts w:eastAsia="Calibri" w:cs="Tahoma"/>
          <w:lang w:eastAsia="es-MX"/>
        </w:rPr>
        <w:t xml:space="preserve">al Ente Recurrido, </w:t>
      </w:r>
      <w:r w:rsidRPr="00A968B8">
        <w:rPr>
          <w:rFonts w:eastAsia="Calibri" w:cs="Times New Roman"/>
        </w:rPr>
        <w:t>a efecto de que, previa búsqueda exhaustiva y razonable en todas las unidades administrativas competentes,</w:t>
      </w:r>
      <w:r w:rsidRPr="00A968B8">
        <w:rPr>
          <w:rFonts w:eastAsia="Calibri" w:cs="Tahoma"/>
          <w:color w:val="000000"/>
        </w:rPr>
        <w:t xml:space="preserve"> </w:t>
      </w:r>
      <w:r w:rsidRPr="00A968B8">
        <w:rPr>
          <w:rFonts w:eastAsia="Calibri" w:cs="Tahoma"/>
          <w:iCs/>
          <w:color w:val="000000"/>
          <w:lang w:eastAsia="es-ES_tradnl"/>
        </w:rPr>
        <w:t>entregue, a través del Sistema de Acceso a la Información Mexiquense (SAIMEX)</w:t>
      </w:r>
      <w:r w:rsidRPr="00A968B8">
        <w:rPr>
          <w:rFonts w:eastAsia="Calibri" w:cs="Tahoma"/>
          <w:iCs/>
          <w:color w:val="auto"/>
          <w:szCs w:val="24"/>
          <w:lang w:val="es-ES" w:eastAsia="es-ES_tradnl"/>
        </w:rPr>
        <w:t xml:space="preserve">, en su caso, en versión pública, </w:t>
      </w:r>
      <w:r w:rsidR="00235843">
        <w:rPr>
          <w:rFonts w:eastAsia="Calibri" w:cs="Tahoma"/>
          <w:iCs/>
          <w:color w:val="auto"/>
          <w:szCs w:val="24"/>
          <w:lang w:val="es-ES" w:eastAsia="es-ES_tradnl"/>
        </w:rPr>
        <w:t>los</w:t>
      </w:r>
      <w:r w:rsidR="00B43A12">
        <w:rPr>
          <w:rFonts w:eastAsia="Calibri" w:cs="Tahoma"/>
          <w:iCs/>
          <w:color w:val="auto"/>
          <w:szCs w:val="24"/>
          <w:lang w:val="es-ES" w:eastAsia="es-ES_tradnl"/>
        </w:rPr>
        <w:t xml:space="preserve"> documento</w:t>
      </w:r>
      <w:r w:rsidR="00235843">
        <w:rPr>
          <w:rFonts w:eastAsia="Calibri" w:cs="Tahoma"/>
          <w:iCs/>
          <w:color w:val="auto"/>
          <w:szCs w:val="24"/>
          <w:lang w:val="es-ES" w:eastAsia="es-ES_tradnl"/>
        </w:rPr>
        <w:t>s</w:t>
      </w:r>
      <w:r w:rsidR="00B43A12">
        <w:rPr>
          <w:rFonts w:eastAsia="Calibri" w:cs="Tahoma"/>
          <w:iCs/>
          <w:color w:val="auto"/>
          <w:szCs w:val="24"/>
          <w:lang w:val="es-ES" w:eastAsia="es-ES_tradnl"/>
        </w:rPr>
        <w:t xml:space="preserve"> donde conste lo siguiente</w:t>
      </w:r>
      <w:r w:rsidRPr="00A968B8">
        <w:rPr>
          <w:rFonts w:eastAsia="Calibri" w:cs="Tahoma"/>
          <w:iCs/>
          <w:color w:val="auto"/>
          <w:szCs w:val="24"/>
          <w:lang w:val="es-ES" w:eastAsia="es-ES_tradnl"/>
        </w:rPr>
        <w:t>:</w:t>
      </w:r>
    </w:p>
    <w:p w:rsidRPr="00A968B8" w:rsidR="00351BE4" w:rsidP="00351BE4" w:rsidRDefault="00351BE4" w14:paraId="37308AE0" w14:textId="77777777">
      <w:pPr>
        <w:autoSpaceDE w:val="0"/>
        <w:autoSpaceDN w:val="0"/>
        <w:adjustRightInd w:val="0"/>
        <w:spacing w:after="0" w:line="360" w:lineRule="auto"/>
        <w:rPr>
          <w:rFonts w:eastAsia="Calibri" w:cs="Tahoma"/>
          <w:iCs/>
          <w:color w:val="auto"/>
          <w:szCs w:val="24"/>
          <w:lang w:val="es-ES" w:eastAsia="es-ES_tradnl"/>
        </w:rPr>
      </w:pPr>
    </w:p>
    <w:p w:rsidR="00351BE4" w:rsidP="00235843" w:rsidRDefault="009A4B10" w14:paraId="7F902BA0" w14:textId="70385C76">
      <w:pPr>
        <w:pStyle w:val="Prrafodelista"/>
        <w:numPr>
          <w:ilvl w:val="0"/>
          <w:numId w:val="18"/>
        </w:numPr>
        <w:autoSpaceDE w:val="0"/>
        <w:autoSpaceDN w:val="0"/>
        <w:adjustRightInd w:val="0"/>
        <w:spacing w:line="360" w:lineRule="auto"/>
        <w:jc w:val="both"/>
        <w:rPr>
          <w:rFonts w:ascii="Palatino Linotype" w:hAnsi="Palatino Linotype" w:eastAsia="Calibri" w:cs="Tahoma"/>
          <w:iCs/>
          <w:lang w:val="es-ES" w:eastAsia="es-ES_tradnl"/>
        </w:rPr>
      </w:pPr>
      <w:r>
        <w:rPr>
          <w:rFonts w:ascii="Palatino Linotype" w:hAnsi="Palatino Linotype" w:cs="Tahoma"/>
          <w:bCs/>
        </w:rPr>
        <w:t>L</w:t>
      </w:r>
      <w:r w:rsidRPr="00235843">
        <w:rPr>
          <w:rFonts w:ascii="Palatino Linotype" w:hAnsi="Palatino Linotype" w:cs="Tahoma"/>
          <w:bCs/>
        </w:rPr>
        <w:t xml:space="preserve">a adquisición </w:t>
      </w:r>
      <w:r w:rsidRPr="00235843">
        <w:rPr>
          <w:rFonts w:ascii="Palatino Linotype" w:hAnsi="Palatino Linotype" w:eastAsia="Calibri" w:cs="Tahoma"/>
          <w:iCs/>
          <w:lang w:val="es-ES" w:eastAsia="es-ES_tradnl"/>
        </w:rPr>
        <w:t xml:space="preserve">de vaselina, </w:t>
      </w:r>
      <w:r w:rsidRPr="009A4B10">
        <w:rPr>
          <w:rFonts w:ascii="Palatino Linotype" w:hAnsi="Palatino Linotype" w:eastAsia="Calibri" w:cs="Tahoma"/>
          <w:iCs/>
          <w:lang w:val="es-ES" w:eastAsia="es-ES_tradnl"/>
        </w:rPr>
        <w:t>enchufes</w:t>
      </w:r>
      <w:r w:rsidRPr="00235843">
        <w:rPr>
          <w:rFonts w:ascii="Palatino Linotype" w:hAnsi="Palatino Linotype" w:eastAsia="Calibri" w:cs="Tahoma"/>
          <w:iCs/>
          <w:lang w:val="es-ES" w:eastAsia="es-ES_tradnl"/>
        </w:rPr>
        <w:t xml:space="preserve"> y banderas </w:t>
      </w:r>
      <w:r w:rsidRPr="009A4B10">
        <w:rPr>
          <w:rFonts w:ascii="Palatino Linotype" w:hAnsi="Palatino Linotype" w:eastAsia="Calibri" w:cs="Tahoma"/>
          <w:iCs/>
          <w:caps/>
          <w:lang w:val="es-ES" w:eastAsia="es-ES_tradnl"/>
        </w:rPr>
        <w:t>lgbt</w:t>
      </w:r>
      <w:r>
        <w:rPr>
          <w:rFonts w:ascii="Palatino Linotype" w:hAnsi="Palatino Linotype" w:eastAsia="Calibri" w:cs="Tahoma"/>
          <w:iCs/>
          <w:lang w:val="es-ES" w:eastAsia="es-ES_tradnl"/>
        </w:rPr>
        <w:t>,</w:t>
      </w:r>
      <w:r>
        <w:rPr>
          <w:rFonts w:ascii="Palatino Linotype" w:hAnsi="Palatino Linotype" w:cs="Tahoma"/>
          <w:bCs/>
        </w:rPr>
        <w:t xml:space="preserve"> d</w:t>
      </w:r>
      <w:r w:rsidRPr="00235843" w:rsidR="00235843">
        <w:rPr>
          <w:rFonts w:ascii="Palatino Linotype" w:hAnsi="Palatino Linotype" w:cs="Tahoma"/>
          <w:bCs/>
        </w:rPr>
        <w:t xml:space="preserve">el primero de enero al once de mayo de dos mil veintidós, </w:t>
      </w:r>
      <w:r>
        <w:rPr>
          <w:rFonts w:ascii="Palatino Linotype" w:hAnsi="Palatino Linotype" w:cs="Tahoma"/>
          <w:bCs/>
        </w:rPr>
        <w:t xml:space="preserve">con </w:t>
      </w:r>
      <w:r w:rsidRPr="00235843" w:rsidR="00235843">
        <w:rPr>
          <w:rFonts w:ascii="Palatino Linotype" w:hAnsi="Palatino Linotype" w:cs="Tahoma"/>
          <w:bCs/>
        </w:rPr>
        <w:t>el Presupuesto asignado a la Unidad de Transparencia</w:t>
      </w:r>
      <w:r w:rsidR="00235843">
        <w:rPr>
          <w:rFonts w:ascii="Palatino Linotype" w:hAnsi="Palatino Linotype" w:eastAsia="Calibri" w:cs="Tahoma"/>
          <w:iCs/>
          <w:lang w:val="es-ES" w:eastAsia="es-ES_tradnl"/>
        </w:rPr>
        <w:t>.</w:t>
      </w:r>
    </w:p>
    <w:p w:rsidRPr="00235843" w:rsidR="00235843" w:rsidP="00235843" w:rsidRDefault="00235843" w14:paraId="51273A5B" w14:textId="77777777">
      <w:pPr>
        <w:pStyle w:val="Prrafodelista"/>
        <w:autoSpaceDE w:val="0"/>
        <w:autoSpaceDN w:val="0"/>
        <w:adjustRightInd w:val="0"/>
        <w:spacing w:line="360" w:lineRule="auto"/>
        <w:jc w:val="both"/>
        <w:rPr>
          <w:rFonts w:ascii="Palatino Linotype" w:hAnsi="Palatino Linotype" w:eastAsia="Calibri" w:cs="Tahoma"/>
          <w:iCs/>
          <w:lang w:val="es-ES" w:eastAsia="es-ES_tradnl"/>
        </w:rPr>
      </w:pPr>
    </w:p>
    <w:p w:rsidR="00351BE4" w:rsidP="00351BE4" w:rsidRDefault="00351BE4" w14:paraId="1E78C12A" w14:textId="2CF37A8F">
      <w:pPr>
        <w:spacing w:after="0" w:line="360" w:lineRule="auto"/>
        <w:rPr>
          <w:rFonts w:eastAsia="Times New Roman" w:cs="Tahoma"/>
          <w:color w:val="auto"/>
          <w:lang w:eastAsia="es-ES"/>
        </w:rPr>
      </w:pPr>
      <w:r w:rsidRPr="00A968B8">
        <w:rPr>
          <w:rFonts w:eastAsia="Times New Roman" w:cs="Tahoma"/>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E7136F" w:rsidR="00E7136F" w:rsidP="00351BE4" w:rsidRDefault="00E7136F" w14:paraId="13B19B24" w14:textId="77777777">
      <w:pPr>
        <w:spacing w:after="0" w:line="360" w:lineRule="auto"/>
        <w:rPr>
          <w:rFonts w:eastAsia="Times New Roman" w:cs="Tahoma"/>
          <w:color w:val="auto"/>
          <w:lang w:eastAsia="es-ES"/>
        </w:rPr>
      </w:pPr>
    </w:p>
    <w:p w:rsidRPr="00B43A12" w:rsidR="00235843" w:rsidP="00235843" w:rsidRDefault="00235843" w14:paraId="3117A25A" w14:textId="77777777">
      <w:pPr>
        <w:autoSpaceDE w:val="0"/>
        <w:autoSpaceDN w:val="0"/>
        <w:adjustRightInd w:val="0"/>
        <w:spacing w:after="0" w:line="360" w:lineRule="auto"/>
        <w:rPr>
          <w:rFonts w:eastAsia="Calibri" w:cs="Tahoma"/>
          <w:bCs/>
          <w:iCs/>
          <w:color w:val="auto"/>
          <w:lang w:val="es-ES"/>
        </w:rPr>
      </w:pPr>
      <w:r>
        <w:rPr>
          <w:rFonts w:eastAsia="Calibri" w:cs="Tahoma"/>
          <w:bCs/>
          <w:iCs/>
          <w:color w:val="auto"/>
          <w:lang w:val="es-ES"/>
        </w:rPr>
        <w:t xml:space="preserve">Para el caso, </w:t>
      </w:r>
      <w:r>
        <w:rPr>
          <w:rFonts w:cs="Tahoma"/>
        </w:rPr>
        <w:t>de que en el periodo requerido no se hayan adquirido los bienes solicitados</w:t>
      </w:r>
      <w:r>
        <w:rPr>
          <w:rFonts w:eastAsia="Calibri" w:cs="Tahoma"/>
          <w:bCs/>
          <w:iCs/>
          <w:color w:val="auto"/>
          <w:lang w:val="es-ES"/>
        </w:rPr>
        <w:t>, deberá hacerlo del conocimiento del ahora Recurrente, de manera clara y precisa.</w:t>
      </w:r>
    </w:p>
    <w:p w:rsidRPr="00A968B8" w:rsidR="00B43A12" w:rsidP="00351BE4" w:rsidRDefault="00B43A12" w14:paraId="3FA458B9" w14:textId="77777777">
      <w:pPr>
        <w:spacing w:after="0" w:line="360" w:lineRule="auto"/>
        <w:rPr>
          <w:rFonts w:eastAsia="Calibri" w:cs="Times New Roman"/>
          <w:color w:val="000000"/>
        </w:rPr>
      </w:pPr>
    </w:p>
    <w:p w:rsidRPr="00A968B8" w:rsidR="00351BE4" w:rsidP="00351BE4" w:rsidRDefault="00351BE4" w14:paraId="19971FDB" w14:textId="7B848EB6">
      <w:pPr>
        <w:spacing w:after="0" w:line="360" w:lineRule="auto"/>
        <w:rPr>
          <w:rFonts w:eastAsia="Times New Roman" w:cs="Tahoma"/>
          <w:color w:val="auto"/>
          <w:lang w:eastAsia="es-ES"/>
        </w:rPr>
      </w:pPr>
      <w:r w:rsidRPr="00A968B8">
        <w:rPr>
          <w:rFonts w:eastAsia="Calibri" w:cs="Tahoma"/>
          <w:b/>
          <w:bCs/>
          <w:color w:val="auto"/>
        </w:rPr>
        <w:t xml:space="preserve">TERCERO. </w:t>
      </w:r>
      <w:r w:rsidRPr="00A968B8">
        <w:rPr>
          <w:rFonts w:eastAsia="Times New Roman" w:cs="Tahoma"/>
          <w:b/>
          <w:color w:val="auto"/>
          <w:lang w:eastAsia="es-ES"/>
        </w:rPr>
        <w:t xml:space="preserve">NOTIFÍQUESE </w:t>
      </w:r>
      <w:r w:rsidRPr="00A968B8">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4D0C08">
        <w:rPr>
          <w:rFonts w:eastAsia="Times New Roman" w:cs="Tahoma"/>
          <w:color w:val="auto"/>
          <w:lang w:eastAsia="es-ES"/>
        </w:rPr>
        <w:t>diez</w:t>
      </w:r>
      <w:r w:rsidRPr="00A968B8">
        <w:rPr>
          <w:rFonts w:eastAsia="Times New Roman" w:cs="Tahoma"/>
          <w:color w:val="auto"/>
          <w:lang w:eastAsia="es-ES"/>
        </w:rPr>
        <w:t xml:space="preserve"> días hábiles, e informe a este Instituto en un plazo de tres días hábiles siguientes sobre el cumplimiento dado a la presente.</w:t>
      </w:r>
    </w:p>
    <w:p w:rsidR="00351BE4" w:rsidP="00351BE4" w:rsidRDefault="00351BE4" w14:paraId="55ADE5DB" w14:textId="77777777">
      <w:pPr>
        <w:spacing w:after="0" w:line="360" w:lineRule="auto"/>
        <w:rPr>
          <w:rFonts w:eastAsia="Times New Roman" w:cs="Tahoma"/>
          <w:i/>
          <w:color w:val="auto"/>
          <w:lang w:eastAsia="es-ES"/>
        </w:rPr>
      </w:pPr>
    </w:p>
    <w:p w:rsidR="00235843" w:rsidP="00351BE4" w:rsidRDefault="00235843" w14:paraId="4BFBC2D7" w14:textId="77777777">
      <w:pPr>
        <w:spacing w:after="0" w:line="360" w:lineRule="auto"/>
        <w:rPr>
          <w:rFonts w:eastAsia="Times New Roman" w:cs="Tahoma"/>
          <w:i/>
          <w:color w:val="auto"/>
          <w:lang w:eastAsia="es-ES"/>
        </w:rPr>
      </w:pPr>
    </w:p>
    <w:p w:rsidR="00235843" w:rsidP="00351BE4" w:rsidRDefault="00235843" w14:paraId="146E9071" w14:textId="77777777">
      <w:pPr>
        <w:spacing w:after="0" w:line="360" w:lineRule="auto"/>
        <w:rPr>
          <w:rFonts w:eastAsia="Times New Roman" w:cs="Tahoma"/>
          <w:i/>
          <w:color w:val="auto"/>
          <w:lang w:eastAsia="es-ES"/>
        </w:rPr>
      </w:pPr>
    </w:p>
    <w:p w:rsidRPr="00A968B8" w:rsidR="00235843" w:rsidP="00351BE4" w:rsidRDefault="00235843" w14:paraId="70A80CD3" w14:textId="77777777">
      <w:pPr>
        <w:spacing w:after="0" w:line="360" w:lineRule="auto"/>
        <w:rPr>
          <w:rFonts w:eastAsia="Times New Roman" w:cs="Tahoma"/>
          <w:i/>
          <w:color w:val="auto"/>
          <w:lang w:eastAsia="es-ES"/>
        </w:rPr>
      </w:pPr>
    </w:p>
    <w:p w:rsidRPr="00A968B8" w:rsidR="00351BE4" w:rsidP="00351BE4" w:rsidRDefault="00351BE4" w14:paraId="0B57DF79" w14:textId="77777777">
      <w:pPr>
        <w:spacing w:after="0" w:line="360" w:lineRule="auto"/>
        <w:rPr>
          <w:rFonts w:eastAsia="Times New Roman" w:cs="Tahoma"/>
          <w:iCs/>
          <w:color w:val="auto"/>
          <w:lang w:eastAsia="es-ES"/>
        </w:rPr>
      </w:pPr>
      <w:r w:rsidRPr="00A968B8">
        <w:rPr>
          <w:rFonts w:eastAsia="Times New Roman" w:cs="Tahoma"/>
          <w:iCs/>
          <w:color w:val="auto"/>
          <w:lang w:eastAsia="es-E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968B8" w:rsidR="00351BE4" w:rsidP="00351BE4" w:rsidRDefault="00351BE4" w14:paraId="4524E16D" w14:textId="77777777">
      <w:pPr>
        <w:spacing w:after="0" w:line="360" w:lineRule="auto"/>
        <w:rPr>
          <w:rFonts w:eastAsia="Times New Roman" w:cs="Tahoma"/>
          <w:i/>
          <w:color w:val="auto"/>
          <w:lang w:eastAsia="es-ES"/>
        </w:rPr>
      </w:pPr>
    </w:p>
    <w:p w:rsidRPr="00A968B8" w:rsidR="00351BE4" w:rsidP="00351BE4" w:rsidRDefault="00351BE4" w14:paraId="32E8DC7A" w14:textId="77777777">
      <w:pPr>
        <w:spacing w:after="0" w:line="360" w:lineRule="auto"/>
        <w:rPr>
          <w:rFonts w:eastAsia="Times New Roman" w:cs="Tahoma"/>
          <w:color w:val="auto"/>
          <w:lang w:eastAsia="es-ES"/>
        </w:rPr>
      </w:pPr>
      <w:r w:rsidRPr="00A968B8">
        <w:rPr>
          <w:rFonts w:eastAsia="Calibri" w:cs="Tahoma"/>
          <w:b/>
          <w:color w:val="auto"/>
          <w:lang w:eastAsia="es-MX"/>
        </w:rPr>
        <w:t>CUARTO</w:t>
      </w:r>
      <w:r w:rsidRPr="00A968B8">
        <w:rPr>
          <w:rFonts w:eastAsia="Calibri" w:cs="Tahoma"/>
          <w:b/>
          <w:bCs/>
          <w:color w:val="auto"/>
        </w:rPr>
        <w:t xml:space="preserve">. </w:t>
      </w:r>
      <w:r w:rsidRPr="00A968B8">
        <w:rPr>
          <w:rFonts w:eastAsia="Times New Roman" w:cs="Tahoma"/>
          <w:b/>
          <w:color w:val="auto"/>
          <w:lang w:eastAsia="es-ES"/>
        </w:rPr>
        <w:t>NOTIFÍQUESE</w:t>
      </w:r>
      <w:r w:rsidRPr="00A968B8">
        <w:rPr>
          <w:rFonts w:eastAsia="Times New Roman" w:cs="Tahoma"/>
          <w:color w:val="auto"/>
          <w:lang w:eastAsia="es-E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968B8" w:rsidR="00351BE4" w:rsidP="00351BE4" w:rsidRDefault="00351BE4" w14:paraId="2A5F11E8" w14:textId="77777777">
      <w:pPr>
        <w:spacing w:after="0" w:line="360" w:lineRule="auto"/>
        <w:ind w:right="-93"/>
        <w:rPr>
          <w:rFonts w:eastAsia="Calibri" w:cs="Tahoma"/>
          <w:b/>
          <w:bCs/>
          <w:color w:val="auto"/>
        </w:rPr>
      </w:pPr>
    </w:p>
    <w:p w:rsidRPr="00A968B8" w:rsidR="00351BE4" w:rsidP="00351BE4" w:rsidRDefault="00351BE4" w14:paraId="1C3EC61A" w14:textId="3C806B8B">
      <w:pPr>
        <w:spacing w:after="0" w:line="360" w:lineRule="auto"/>
        <w:rPr>
          <w:rFonts w:eastAsia="Calibri" w:cs="Tahoma"/>
          <w:color w:val="auto"/>
          <w:lang w:val="es-ES" w:eastAsia="es-ES_tradnl"/>
        </w:rPr>
      </w:pPr>
      <w:r w:rsidRPr="00A968B8">
        <w:rPr>
          <w:rFonts w:eastAsia="Calibri" w:cs="Tahoma"/>
          <w:color w:val="auto"/>
          <w:lang w:val="es-ES" w:eastAsia="es-ES_tradnl"/>
        </w:rPr>
        <w:t xml:space="preserve">ASÍ LO RESUELVE, </w:t>
      </w:r>
      <w:r w:rsidRPr="00A968B8">
        <w:rPr>
          <w:rFonts w:eastAsia="Calibri" w:cs="Tahoma"/>
          <w:b/>
          <w:bCs/>
          <w:color w:val="auto"/>
          <w:lang w:val="es-ES" w:eastAsia="es-ES_tradnl"/>
        </w:rPr>
        <w:t>POR UNANIMIDAD</w:t>
      </w:r>
      <w:r w:rsidRPr="00A968B8">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71FCD">
        <w:rPr>
          <w:rFonts w:eastAsia="Calibri" w:cs="Tahoma"/>
          <w:color w:val="auto"/>
          <w:lang w:val="es-ES" w:eastAsia="es-ES_tradnl"/>
        </w:rPr>
        <w:t>TRIG</w:t>
      </w:r>
      <w:r>
        <w:rPr>
          <w:rFonts w:eastAsia="Calibri" w:cs="Tahoma"/>
          <w:color w:val="auto"/>
          <w:lang w:val="es-ES" w:eastAsia="es-ES_tradnl"/>
        </w:rPr>
        <w:t xml:space="preserve">ÉSIMA PRIMERA </w:t>
      </w:r>
      <w:r w:rsidRPr="00A968B8">
        <w:rPr>
          <w:rFonts w:eastAsia="Calibri" w:cs="Tahoma"/>
          <w:color w:val="auto"/>
          <w:lang w:val="es-ES" w:eastAsia="es-ES_tradnl"/>
        </w:rPr>
        <w:t xml:space="preserve">SESIÓN ORDINARIA, CELEBRADA EL </w:t>
      </w:r>
      <w:r w:rsidR="00071FCD">
        <w:rPr>
          <w:rFonts w:eastAsia="Calibri" w:cs="Tahoma"/>
          <w:color w:val="auto"/>
          <w:lang w:val="es-ES" w:eastAsia="es-ES_tradnl"/>
        </w:rPr>
        <w:t>TREINTA Y UNO</w:t>
      </w:r>
      <w:r w:rsidRPr="00A968B8">
        <w:rPr>
          <w:rFonts w:eastAsia="Calibri" w:cs="Tahoma"/>
          <w:color w:val="auto"/>
          <w:lang w:val="es-ES" w:eastAsia="es-ES_tradnl"/>
        </w:rPr>
        <w:t xml:space="preserve"> DE </w:t>
      </w:r>
      <w:r w:rsidR="00071FCD">
        <w:rPr>
          <w:rFonts w:eastAsia="Calibri" w:cs="Tahoma"/>
          <w:color w:val="auto"/>
          <w:lang w:val="es-ES" w:eastAsia="es-ES_tradnl"/>
        </w:rPr>
        <w:t>AGOSTO</w:t>
      </w:r>
      <w:r w:rsidRPr="00A968B8">
        <w:rPr>
          <w:rFonts w:eastAsia="Calibri" w:cs="Tahoma"/>
          <w:color w:val="auto"/>
          <w:lang w:val="es-ES" w:eastAsia="es-ES_tradnl"/>
        </w:rPr>
        <w:t xml:space="preserve"> DE DOS MIL VEINTIDÓS, ANTE EL SECRETARIO TÉCNICO DEL PLENO, ALEXIS TAPIA RAMÍREZ.</w:t>
      </w:r>
    </w:p>
    <w:p w:rsidR="00F578F7" w:rsidRDefault="00F578F7" w14:paraId="179D3A74" w14:textId="3657402E">
      <w:pPr>
        <w:jc w:val="left"/>
        <w:rPr>
          <w:lang w:val="es-ES"/>
        </w:rPr>
      </w:pPr>
      <w:r>
        <w:rPr>
          <w:lang w:val="es-ES"/>
        </w:rPr>
        <w:br w:type="page"/>
      </w:r>
    </w:p>
    <w:p w:rsidRPr="00F578F7" w:rsidR="00E439ED" w:rsidP="00A158AB" w:rsidRDefault="00E439ED" w14:paraId="4C45EBD1" w14:textId="77777777">
      <w:pPr>
        <w:spacing w:after="0" w:line="360" w:lineRule="auto"/>
        <w:rPr>
          <w:lang w:val="es-ES"/>
        </w:rPr>
      </w:pPr>
    </w:p>
    <w:sectPr w:rsidRPr="00F578F7"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4A3C" w:rsidP="00066B31" w:rsidRDefault="00B74A3C" w14:paraId="6EC5FBA4" w14:textId="77777777">
      <w:pPr>
        <w:spacing w:after="0" w:line="240" w:lineRule="auto"/>
      </w:pPr>
      <w:r>
        <w:separator/>
      </w:r>
    </w:p>
  </w:endnote>
  <w:endnote w:type="continuationSeparator" w:id="0">
    <w:p w:rsidR="00B74A3C" w:rsidP="00066B31" w:rsidRDefault="00B74A3C" w14:paraId="74952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F578F7"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4B10">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4B10">
              <w:rPr>
                <w:b/>
                <w:bCs/>
                <w:noProof/>
              </w:rPr>
              <w:t>24</w:t>
            </w:r>
            <w:r>
              <w:rPr>
                <w:b/>
                <w:bCs/>
                <w:sz w:val="24"/>
                <w:szCs w:val="24"/>
              </w:rPr>
              <w:fldChar w:fldCharType="end"/>
            </w:r>
          </w:p>
        </w:sdtContent>
      </w:sdt>
    </w:sdtContent>
  </w:sdt>
  <w:p w:rsidR="008C644E" w:rsidRDefault="00F578F7"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4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64AC">
      <w:rPr>
        <w:b/>
        <w:bCs/>
        <w:noProof/>
      </w:rPr>
      <w:t>24</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4A3C" w:rsidP="00066B31" w:rsidRDefault="00B74A3C" w14:paraId="13C8DA78" w14:textId="77777777">
      <w:pPr>
        <w:spacing w:after="0" w:line="240" w:lineRule="auto"/>
      </w:pPr>
      <w:r>
        <w:separator/>
      </w:r>
    </w:p>
  </w:footnote>
  <w:footnote w:type="continuationSeparator" w:id="0">
    <w:p w:rsidR="00B74A3C" w:rsidP="00066B31" w:rsidRDefault="00B74A3C" w14:paraId="7EF611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F578F7"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F578F7"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1AF2492">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rsidRPr="008C644E" w:rsidR="008C644E" w:rsidP="008C644E" w:rsidRDefault="00F578F7"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F578F7" w14:paraId="210A329D" w14:textId="77777777">
                <w:pPr>
                  <w:pStyle w:val="Encabezado"/>
                </w:pPr>
              </w:p>
            </w:tc>
          </w:tr>
        </w:tbl>
        <w:p w:rsidRPr="008C644E" w:rsidR="008C644E" w:rsidP="008C644E" w:rsidRDefault="00F578F7" w14:paraId="1FBF3105" w14:textId="77777777">
          <w:pPr>
            <w:pStyle w:val="Encabezado"/>
            <w:rPr>
              <w:b/>
            </w:rPr>
          </w:pPr>
        </w:p>
      </w:tc>
    </w:tr>
  </w:tbl>
  <w:p w:rsidR="008C644E" w:rsidRDefault="00F578F7"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F578F7"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F578F7"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3"/>
                <w:r>
                  <w:rPr>
                    <w:rFonts w:eastAsia="Calibri" w:cs="Tahoma"/>
                    <w:b/>
                  </w:rPr>
                  <w:t>Recurso de Revisión:</w:t>
                </w:r>
              </w:p>
            </w:tc>
            <w:tc>
              <w:tcPr>
                <w:tcW w:w="3259" w:type="dxa"/>
                <w:hideMark/>
              </w:tcPr>
              <w:p w:rsidR="008C644E" w:rsidP="008C644E" w:rsidRDefault="007C614B" w14:paraId="79D1E809" w14:textId="27E91E0A">
                <w:pPr>
                  <w:tabs>
                    <w:tab w:val="right" w:pos="8838"/>
                  </w:tabs>
                  <w:ind w:left="-74" w:right="-105"/>
                  <w:rPr>
                    <w:rFonts w:eastAsia="Calibri" w:cs="Tahoma"/>
                    <w:bCs/>
                  </w:rPr>
                </w:pPr>
                <w:r w:rsidRPr="007C614B">
                  <w:t>10331/INFOEM/IP/RR/2022</w:t>
                </w:r>
              </w:p>
            </w:tc>
            <w:tc>
              <w:tcPr>
                <w:tcW w:w="3402" w:type="dxa"/>
              </w:tcPr>
              <w:p w:rsidR="008C644E" w:rsidP="008C644E" w:rsidRDefault="00F578F7" w14:paraId="04BF926A" w14:textId="77777777">
                <w:pPr>
                  <w:tabs>
                    <w:tab w:val="right" w:pos="8838"/>
                  </w:tabs>
                  <w:ind w:left="-74" w:right="-105"/>
                  <w:rPr>
                    <w:rFonts w:eastAsia="Calibri" w:cs="Tahoma"/>
                    <w:bCs/>
                  </w:rPr>
                </w:pPr>
              </w:p>
            </w:tc>
            <w:bookmarkEnd w:id="3"/>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8449DD" w14:paraId="2C6EC5FD" w14:textId="2B6FDD83">
                <w:pPr>
                  <w:tabs>
                    <w:tab w:val="left" w:pos="2834"/>
                    <w:tab w:val="right" w:pos="8838"/>
                  </w:tabs>
                  <w:ind w:left="-74" w:right="-105"/>
                  <w:rPr>
                    <w:rFonts w:eastAsia="Calibri" w:cs="Tahoma"/>
                  </w:rPr>
                </w:pPr>
                <w:r w:rsidRPr="008449DD">
                  <w:rPr>
                    <w:rFonts w:eastAsia="Calibri" w:cs="Tahoma"/>
                    <w:lang w:val="es-MX"/>
                  </w:rPr>
                  <w:t>Ayuntamiento de Metepec</w:t>
                </w:r>
              </w:p>
            </w:tc>
            <w:tc>
              <w:tcPr>
                <w:tcW w:w="3402" w:type="dxa"/>
              </w:tcPr>
              <w:p w:rsidR="008C644E" w:rsidP="008C644E" w:rsidRDefault="00F578F7"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F578F7" w14:paraId="5A0D5601" w14:textId="77777777">
                <w:pPr>
                  <w:tabs>
                    <w:tab w:val="right" w:pos="8838"/>
                  </w:tabs>
                  <w:ind w:left="-74" w:right="-105"/>
                  <w:rPr>
                    <w:rFonts w:eastAsia="Calibri" w:cs="Tahoma"/>
                  </w:rPr>
                </w:pPr>
              </w:p>
            </w:tc>
          </w:tr>
        </w:tbl>
        <w:p w:rsidR="008C644E" w:rsidP="008C644E" w:rsidRDefault="00F578F7" w14:paraId="14C1172F" w14:textId="77777777">
          <w:pPr>
            <w:tabs>
              <w:tab w:val="right" w:pos="8838"/>
            </w:tabs>
            <w:spacing w:line="256" w:lineRule="auto"/>
            <w:ind w:left="-28"/>
            <w:rPr>
              <w:rFonts w:ascii="Arial" w:hAnsi="Arial" w:eastAsia="Calibri" w:cs="Arial"/>
              <w:b/>
            </w:rPr>
          </w:pPr>
        </w:p>
      </w:tc>
    </w:tr>
  </w:tbl>
  <w:p w:rsidR="008C644E" w:rsidRDefault="00F578F7"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03F2F0B" w14:paraId="7C3509A9" w14:textId="77777777">
      <w:trPr>
        <w:trHeight w:val="1435"/>
      </w:trPr>
      <w:tc>
        <w:tcPr>
          <w:tcW w:w="2127" w:type="dxa"/>
        </w:tcPr>
        <w:p w:rsidRPr="008C644E" w:rsidR="008C644E" w:rsidP="008C644E" w:rsidRDefault="00F578F7" w14:paraId="7A9E3827" w14:textId="77777777">
          <w:pPr>
            <w:pStyle w:val="Encabezado"/>
          </w:pPr>
        </w:p>
      </w:tc>
      <w:tc>
        <w:tcPr>
          <w:tcW w:w="7512" w:type="dxa"/>
          <w:hideMark/>
        </w:tcPr>
        <w:tbl>
          <w:tblPr>
            <w:tblStyle w:val="Tablaconcuadrcula"/>
            <w:tblW w:w="12332"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969"/>
            <w:gridCol w:w="3402"/>
            <w:gridCol w:w="3402"/>
          </w:tblGrid>
          <w:tr w:rsidRPr="008C644E" w:rsidR="003F2F0B" w:rsidTr="00480903" w14:paraId="1551C454" w14:textId="77777777">
            <w:trPr>
              <w:trHeight w:val="144"/>
            </w:trPr>
            <w:tc>
              <w:tcPr>
                <w:tcW w:w="2559" w:type="dxa"/>
                <w:hideMark/>
              </w:tcPr>
              <w:p w:rsidRPr="008C644E" w:rsidR="003F2F0B" w:rsidP="008C644E" w:rsidRDefault="001D2F08" w14:paraId="189E74D1" w14:textId="77777777">
                <w:pPr>
                  <w:pStyle w:val="Encabezado"/>
                  <w:rPr>
                    <w:b/>
                  </w:rPr>
                </w:pPr>
                <w:r w:rsidRPr="008C644E">
                  <w:rPr>
                    <w:b/>
                  </w:rPr>
                  <w:t>Recurso de Revisión:</w:t>
                </w:r>
              </w:p>
            </w:tc>
            <w:tc>
              <w:tcPr>
                <w:tcW w:w="2969" w:type="dxa"/>
                <w:hideMark/>
              </w:tcPr>
              <w:p w:rsidRPr="00AC018A" w:rsidR="003F2F0B" w:rsidP="008C644E" w:rsidRDefault="007C614B" w14:paraId="11F4479A" w14:textId="4486EDD0">
                <w:pPr>
                  <w:pStyle w:val="Encabezado"/>
                </w:pPr>
                <w:r w:rsidRPr="007C614B">
                  <w:rPr>
                    <w:color w:val="000000"/>
                  </w:rPr>
                  <w:t>10331/INFOEM/IP/RR/2022</w:t>
                </w:r>
              </w:p>
            </w:tc>
            <w:tc>
              <w:tcPr>
                <w:tcW w:w="3402" w:type="dxa"/>
              </w:tcPr>
              <w:p w:rsidRPr="008C644E" w:rsidR="003F2F0B" w:rsidP="008C644E" w:rsidRDefault="00F578F7" w14:paraId="636B91F8" w14:textId="77777777">
                <w:pPr>
                  <w:pStyle w:val="Encabezado"/>
                  <w:rPr>
                    <w:bCs/>
                  </w:rPr>
                </w:pPr>
              </w:p>
            </w:tc>
            <w:tc>
              <w:tcPr>
                <w:tcW w:w="3402" w:type="dxa"/>
              </w:tcPr>
              <w:p w:rsidRPr="008C644E" w:rsidR="003F2F0B" w:rsidP="008C644E" w:rsidRDefault="00F578F7" w14:paraId="30CBCBAF" w14:textId="77777777">
                <w:pPr>
                  <w:pStyle w:val="Encabezado"/>
                  <w:rPr>
                    <w:bCs/>
                  </w:rPr>
                </w:pPr>
              </w:p>
            </w:tc>
          </w:tr>
          <w:tr w:rsidRPr="008C644E" w:rsidR="003F2F0B" w:rsidTr="00480903" w14:paraId="61DAE09E" w14:textId="77777777">
            <w:trPr>
              <w:trHeight w:val="144"/>
            </w:trPr>
            <w:tc>
              <w:tcPr>
                <w:tcW w:w="2559" w:type="dxa"/>
                <w:hideMark/>
              </w:tcPr>
              <w:p w:rsidRPr="008C644E" w:rsidR="003F2F0B" w:rsidP="008C644E" w:rsidRDefault="001D2F08" w14:paraId="7CE5967D" w14:textId="77777777">
                <w:pPr>
                  <w:pStyle w:val="Encabezado"/>
                  <w:rPr>
                    <w:b/>
                  </w:rPr>
                </w:pPr>
                <w:r w:rsidRPr="008C644E">
                  <w:rPr>
                    <w:b/>
                  </w:rPr>
                  <w:t>Recurrente:</w:t>
                </w:r>
              </w:p>
            </w:tc>
            <w:tc>
              <w:tcPr>
                <w:tcW w:w="2969" w:type="dxa"/>
              </w:tcPr>
              <w:p w:rsidRPr="008C644E" w:rsidR="003F2F0B" w:rsidP="008C644E" w:rsidRDefault="00F578F7" w14:paraId="0ECB40A9" w14:textId="4E1A0E59">
                <w:pPr>
                  <w:pStyle w:val="Encabezado"/>
                </w:pPr>
              </w:p>
            </w:tc>
            <w:tc>
              <w:tcPr>
                <w:tcW w:w="3402" w:type="dxa"/>
              </w:tcPr>
              <w:p w:rsidRPr="008C644E" w:rsidR="003F2F0B" w:rsidP="008C644E" w:rsidRDefault="00F578F7" w14:paraId="267C41A1" w14:textId="77777777">
                <w:pPr>
                  <w:pStyle w:val="Encabezado"/>
                </w:pPr>
              </w:p>
            </w:tc>
            <w:tc>
              <w:tcPr>
                <w:tcW w:w="3402" w:type="dxa"/>
              </w:tcPr>
              <w:p w:rsidRPr="008C644E" w:rsidR="003F2F0B" w:rsidP="008C644E" w:rsidRDefault="00F578F7" w14:paraId="07EE73BD" w14:textId="77777777">
                <w:pPr>
                  <w:pStyle w:val="Encabezado"/>
                </w:pPr>
              </w:p>
            </w:tc>
          </w:tr>
          <w:tr w:rsidRPr="008C644E" w:rsidR="003F2F0B" w:rsidTr="00480903" w14:paraId="7C378614" w14:textId="77777777">
            <w:trPr>
              <w:trHeight w:val="283"/>
            </w:trPr>
            <w:tc>
              <w:tcPr>
                <w:tcW w:w="2559" w:type="dxa"/>
                <w:hideMark/>
              </w:tcPr>
              <w:p w:rsidRPr="008C644E" w:rsidR="003F2F0B" w:rsidP="008C644E" w:rsidRDefault="001D2F08" w14:paraId="24E7E7C4" w14:textId="77777777">
                <w:pPr>
                  <w:pStyle w:val="Encabezado"/>
                  <w:rPr>
                    <w:b/>
                  </w:rPr>
                </w:pPr>
                <w:r w:rsidRPr="008C644E">
                  <w:rPr>
                    <w:b/>
                  </w:rPr>
                  <w:t>Sujeto Obligado:</w:t>
                </w:r>
              </w:p>
            </w:tc>
            <w:tc>
              <w:tcPr>
                <w:tcW w:w="2969" w:type="dxa"/>
                <w:hideMark/>
              </w:tcPr>
              <w:p w:rsidRPr="008C644E" w:rsidR="003F2F0B" w:rsidP="008C644E" w:rsidRDefault="008449DD" w14:paraId="6FB2FFED" w14:textId="44A216B7">
                <w:pPr>
                  <w:pStyle w:val="Encabezado"/>
                </w:pPr>
                <w:r w:rsidRPr="008449DD">
                  <w:rPr>
                    <w:lang w:val="es-MX"/>
                  </w:rPr>
                  <w:t>Ayuntamiento de Metepec</w:t>
                </w:r>
              </w:p>
            </w:tc>
            <w:tc>
              <w:tcPr>
                <w:tcW w:w="3402" w:type="dxa"/>
              </w:tcPr>
              <w:p w:rsidRPr="008C644E" w:rsidR="003F2F0B" w:rsidP="008C644E" w:rsidRDefault="00F578F7" w14:paraId="41110A01" w14:textId="77777777">
                <w:pPr>
                  <w:pStyle w:val="Encabezado"/>
                </w:pPr>
              </w:p>
            </w:tc>
            <w:tc>
              <w:tcPr>
                <w:tcW w:w="3402" w:type="dxa"/>
              </w:tcPr>
              <w:p w:rsidRPr="008C644E" w:rsidR="003F2F0B" w:rsidP="008C644E" w:rsidRDefault="00F578F7" w14:paraId="45B99936" w14:textId="77777777">
                <w:pPr>
                  <w:pStyle w:val="Encabezado"/>
                </w:pPr>
              </w:p>
            </w:tc>
          </w:tr>
          <w:tr w:rsidRPr="008C644E" w:rsidR="003F2F0B" w:rsidTr="00480903" w14:paraId="439AC6E2" w14:textId="77777777">
            <w:trPr>
              <w:trHeight w:val="283"/>
            </w:trPr>
            <w:tc>
              <w:tcPr>
                <w:tcW w:w="2559" w:type="dxa"/>
                <w:hideMark/>
              </w:tcPr>
              <w:p w:rsidRPr="008C644E" w:rsidR="003F2F0B" w:rsidP="008C644E" w:rsidRDefault="001D2F08" w14:paraId="791FA8D2" w14:textId="77777777">
                <w:pPr>
                  <w:pStyle w:val="Encabezado"/>
                  <w:rPr>
                    <w:b/>
                  </w:rPr>
                </w:pPr>
                <w:r w:rsidRPr="008C644E">
                  <w:rPr>
                    <w:b/>
                  </w:rPr>
                  <w:t xml:space="preserve">Comisionado Ponente: </w:t>
                </w:r>
              </w:p>
            </w:tc>
            <w:tc>
              <w:tcPr>
                <w:tcW w:w="2969" w:type="dxa"/>
                <w:hideMark/>
              </w:tcPr>
              <w:p w:rsidRPr="008C644E" w:rsidR="003F2F0B" w:rsidP="008C644E" w:rsidRDefault="001D2F08" w14:paraId="4E9C6E5C" w14:textId="77777777">
                <w:pPr>
                  <w:pStyle w:val="Encabezado"/>
                  <w:rPr>
                    <w:b/>
                  </w:rPr>
                </w:pPr>
                <w:r w:rsidRPr="008C644E">
                  <w:t>Luis Gustavo Parra Noriega</w:t>
                </w:r>
              </w:p>
            </w:tc>
            <w:tc>
              <w:tcPr>
                <w:tcW w:w="3402" w:type="dxa"/>
              </w:tcPr>
              <w:p w:rsidRPr="008C644E" w:rsidR="003F2F0B" w:rsidP="008C644E" w:rsidRDefault="00F578F7" w14:paraId="624292D1" w14:textId="77777777">
                <w:pPr>
                  <w:pStyle w:val="Encabezado"/>
                </w:pPr>
              </w:p>
            </w:tc>
            <w:tc>
              <w:tcPr>
                <w:tcW w:w="3402" w:type="dxa"/>
              </w:tcPr>
              <w:p w:rsidRPr="008C644E" w:rsidR="003F2F0B" w:rsidP="008C644E" w:rsidRDefault="00F578F7" w14:paraId="2F073C23" w14:textId="77777777">
                <w:pPr>
                  <w:pStyle w:val="Encabezado"/>
                </w:pPr>
              </w:p>
            </w:tc>
          </w:tr>
        </w:tbl>
        <w:p w:rsidRPr="008C644E" w:rsidR="008C644E" w:rsidP="008C644E" w:rsidRDefault="00F578F7" w14:paraId="23CCA079" w14:textId="77777777">
          <w:pPr>
            <w:pStyle w:val="Encabezado"/>
            <w:rPr>
              <w:b/>
            </w:rPr>
          </w:pPr>
        </w:p>
      </w:tc>
    </w:tr>
  </w:tbl>
  <w:p w:rsidR="008C644E" w:rsidRDefault="00F578F7"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3.2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6525454"/>
    <w:multiLevelType w:val="hybridMultilevel"/>
    <w:tmpl w:val="A394F1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392D2D7A"/>
    <w:multiLevelType w:val="hybridMultilevel"/>
    <w:tmpl w:val="AFB2AD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0CB6FCB"/>
    <w:multiLevelType w:val="hybridMultilevel"/>
    <w:tmpl w:val="3AD420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0D57D7F"/>
    <w:multiLevelType w:val="hybridMultilevel"/>
    <w:tmpl w:val="661A8A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A5C46D4"/>
    <w:multiLevelType w:val="hybridMultilevel"/>
    <w:tmpl w:val="F796EE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DED7307"/>
    <w:multiLevelType w:val="hybridMultilevel"/>
    <w:tmpl w:val="CD025E78"/>
    <w:lvl w:ilvl="0" w:tplc="080A0001">
      <w:start w:val="1"/>
      <w:numFmt w:val="bullet"/>
      <w:lvlText w:val=""/>
      <w:lvlJc w:val="left"/>
      <w:pPr>
        <w:tabs>
          <w:tab w:val="num" w:pos="720"/>
        </w:tabs>
        <w:ind w:left="720" w:hanging="360"/>
      </w:pPr>
      <w:rPr>
        <w:rFonts w:hint="default" w:ascii="Symbol" w:hAnsi="Symbol"/>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603391556">
    <w:abstractNumId w:val="4"/>
  </w:num>
  <w:num w:numId="2" w16cid:durableId="1352098877">
    <w:abstractNumId w:val="15"/>
  </w:num>
  <w:num w:numId="3" w16cid:durableId="328992154">
    <w:abstractNumId w:val="2"/>
  </w:num>
  <w:num w:numId="4" w16cid:durableId="1041979390">
    <w:abstractNumId w:val="13"/>
  </w:num>
  <w:num w:numId="5" w16cid:durableId="174730913">
    <w:abstractNumId w:val="16"/>
  </w:num>
  <w:num w:numId="6" w16cid:durableId="333647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584743">
    <w:abstractNumId w:val="5"/>
  </w:num>
  <w:num w:numId="8" w16cid:durableId="901216368">
    <w:abstractNumId w:val="6"/>
  </w:num>
  <w:num w:numId="9" w16cid:durableId="882443826">
    <w:abstractNumId w:val="1"/>
  </w:num>
  <w:num w:numId="10" w16cid:durableId="155074380">
    <w:abstractNumId w:val="10"/>
  </w:num>
  <w:num w:numId="11" w16cid:durableId="1161696237">
    <w:abstractNumId w:val="13"/>
  </w:num>
  <w:num w:numId="12" w16cid:durableId="1646011566">
    <w:abstractNumId w:val="3"/>
  </w:num>
  <w:num w:numId="13" w16cid:durableId="61024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343731">
    <w:abstractNumId w:val="9"/>
  </w:num>
  <w:num w:numId="15" w16cid:durableId="2038970200">
    <w:abstractNumId w:val="7"/>
  </w:num>
  <w:num w:numId="16" w16cid:durableId="883059833">
    <w:abstractNumId w:val="0"/>
  </w:num>
  <w:num w:numId="17" w16cid:durableId="952055813">
    <w:abstractNumId w:val="8"/>
  </w:num>
  <w:num w:numId="18" w16cid:durableId="1294826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26BFC"/>
    <w:rsid w:val="00043C41"/>
    <w:rsid w:val="000464D2"/>
    <w:rsid w:val="00062470"/>
    <w:rsid w:val="00066B31"/>
    <w:rsid w:val="00071FCD"/>
    <w:rsid w:val="000819FA"/>
    <w:rsid w:val="00085698"/>
    <w:rsid w:val="000E1C0A"/>
    <w:rsid w:val="000E5D2C"/>
    <w:rsid w:val="000E6A5E"/>
    <w:rsid w:val="00117E3C"/>
    <w:rsid w:val="00122B57"/>
    <w:rsid w:val="00134927"/>
    <w:rsid w:val="00134D79"/>
    <w:rsid w:val="001443E6"/>
    <w:rsid w:val="001577CA"/>
    <w:rsid w:val="0017074B"/>
    <w:rsid w:val="00173DA4"/>
    <w:rsid w:val="001770DA"/>
    <w:rsid w:val="001A19C2"/>
    <w:rsid w:val="001A60FC"/>
    <w:rsid w:val="001B6ECC"/>
    <w:rsid w:val="001C4DA2"/>
    <w:rsid w:val="001D2F08"/>
    <w:rsid w:val="001F5EEB"/>
    <w:rsid w:val="001F7D27"/>
    <w:rsid w:val="00206DD8"/>
    <w:rsid w:val="002128C8"/>
    <w:rsid w:val="002162F5"/>
    <w:rsid w:val="00235843"/>
    <w:rsid w:val="0024210A"/>
    <w:rsid w:val="002609B4"/>
    <w:rsid w:val="0027065B"/>
    <w:rsid w:val="0027112B"/>
    <w:rsid w:val="00271CFF"/>
    <w:rsid w:val="00293B5D"/>
    <w:rsid w:val="002A10BA"/>
    <w:rsid w:val="002A57A2"/>
    <w:rsid w:val="002D5F76"/>
    <w:rsid w:val="002E618C"/>
    <w:rsid w:val="002F321B"/>
    <w:rsid w:val="00300479"/>
    <w:rsid w:val="00323C81"/>
    <w:rsid w:val="00351BE4"/>
    <w:rsid w:val="003573C7"/>
    <w:rsid w:val="00386C97"/>
    <w:rsid w:val="003A13F5"/>
    <w:rsid w:val="003B1418"/>
    <w:rsid w:val="003B769C"/>
    <w:rsid w:val="003E7A1A"/>
    <w:rsid w:val="003F3B06"/>
    <w:rsid w:val="0040368D"/>
    <w:rsid w:val="0040526C"/>
    <w:rsid w:val="00407871"/>
    <w:rsid w:val="004078C9"/>
    <w:rsid w:val="0043086A"/>
    <w:rsid w:val="00446BCA"/>
    <w:rsid w:val="004528C2"/>
    <w:rsid w:val="004568FF"/>
    <w:rsid w:val="004730F1"/>
    <w:rsid w:val="00480903"/>
    <w:rsid w:val="004823D7"/>
    <w:rsid w:val="0048610B"/>
    <w:rsid w:val="004D0C08"/>
    <w:rsid w:val="004D4745"/>
    <w:rsid w:val="005027D8"/>
    <w:rsid w:val="00513BD1"/>
    <w:rsid w:val="00514645"/>
    <w:rsid w:val="0053720F"/>
    <w:rsid w:val="00544546"/>
    <w:rsid w:val="005447DD"/>
    <w:rsid w:val="00564652"/>
    <w:rsid w:val="00566BB9"/>
    <w:rsid w:val="00576074"/>
    <w:rsid w:val="0059314F"/>
    <w:rsid w:val="005A3F30"/>
    <w:rsid w:val="005B1AC7"/>
    <w:rsid w:val="00610C0E"/>
    <w:rsid w:val="00613C98"/>
    <w:rsid w:val="00626F4A"/>
    <w:rsid w:val="00643079"/>
    <w:rsid w:val="00655443"/>
    <w:rsid w:val="006710D3"/>
    <w:rsid w:val="00676D85"/>
    <w:rsid w:val="00681B3A"/>
    <w:rsid w:val="00684F08"/>
    <w:rsid w:val="006952EE"/>
    <w:rsid w:val="006A635A"/>
    <w:rsid w:val="006B1988"/>
    <w:rsid w:val="006C2A6E"/>
    <w:rsid w:val="006F11AD"/>
    <w:rsid w:val="00725283"/>
    <w:rsid w:val="00730A1A"/>
    <w:rsid w:val="007541A4"/>
    <w:rsid w:val="007636BA"/>
    <w:rsid w:val="00786BB8"/>
    <w:rsid w:val="007A6CC7"/>
    <w:rsid w:val="007C614B"/>
    <w:rsid w:val="007D1659"/>
    <w:rsid w:val="007E3D4A"/>
    <w:rsid w:val="007F6348"/>
    <w:rsid w:val="00803204"/>
    <w:rsid w:val="00811F23"/>
    <w:rsid w:val="0081647F"/>
    <w:rsid w:val="00827291"/>
    <w:rsid w:val="00844830"/>
    <w:rsid w:val="008449DD"/>
    <w:rsid w:val="00880564"/>
    <w:rsid w:val="008A4B29"/>
    <w:rsid w:val="008B1873"/>
    <w:rsid w:val="008B3C4E"/>
    <w:rsid w:val="008C23E3"/>
    <w:rsid w:val="008D4EA7"/>
    <w:rsid w:val="008D5408"/>
    <w:rsid w:val="008D6C98"/>
    <w:rsid w:val="00907677"/>
    <w:rsid w:val="00907C9C"/>
    <w:rsid w:val="00912D29"/>
    <w:rsid w:val="00932A36"/>
    <w:rsid w:val="00957133"/>
    <w:rsid w:val="00970BAD"/>
    <w:rsid w:val="00972568"/>
    <w:rsid w:val="00985E40"/>
    <w:rsid w:val="00995CF2"/>
    <w:rsid w:val="009A4B10"/>
    <w:rsid w:val="009C106B"/>
    <w:rsid w:val="009C3EFA"/>
    <w:rsid w:val="009C50F4"/>
    <w:rsid w:val="009F1564"/>
    <w:rsid w:val="00A02A13"/>
    <w:rsid w:val="00A0672F"/>
    <w:rsid w:val="00A14016"/>
    <w:rsid w:val="00A158AB"/>
    <w:rsid w:val="00A2644F"/>
    <w:rsid w:val="00A463E5"/>
    <w:rsid w:val="00A47EB9"/>
    <w:rsid w:val="00A5478D"/>
    <w:rsid w:val="00A645E6"/>
    <w:rsid w:val="00A70E4E"/>
    <w:rsid w:val="00A7150A"/>
    <w:rsid w:val="00A94C96"/>
    <w:rsid w:val="00AC3726"/>
    <w:rsid w:val="00AC7866"/>
    <w:rsid w:val="00AE0905"/>
    <w:rsid w:val="00AF6E36"/>
    <w:rsid w:val="00B111BD"/>
    <w:rsid w:val="00B2722D"/>
    <w:rsid w:val="00B43A12"/>
    <w:rsid w:val="00B44AA0"/>
    <w:rsid w:val="00B571D7"/>
    <w:rsid w:val="00B5786A"/>
    <w:rsid w:val="00B74A3C"/>
    <w:rsid w:val="00B84D5A"/>
    <w:rsid w:val="00B90C97"/>
    <w:rsid w:val="00BD6C52"/>
    <w:rsid w:val="00C30B5F"/>
    <w:rsid w:val="00C34171"/>
    <w:rsid w:val="00C56A59"/>
    <w:rsid w:val="00C7349B"/>
    <w:rsid w:val="00C76478"/>
    <w:rsid w:val="00C8149E"/>
    <w:rsid w:val="00C97744"/>
    <w:rsid w:val="00CA5F0F"/>
    <w:rsid w:val="00CB0445"/>
    <w:rsid w:val="00CB13D6"/>
    <w:rsid w:val="00CB3373"/>
    <w:rsid w:val="00CC2FC9"/>
    <w:rsid w:val="00D013EC"/>
    <w:rsid w:val="00D56577"/>
    <w:rsid w:val="00D709E7"/>
    <w:rsid w:val="00D73135"/>
    <w:rsid w:val="00D819DF"/>
    <w:rsid w:val="00D81DC9"/>
    <w:rsid w:val="00D917A1"/>
    <w:rsid w:val="00DC0BAB"/>
    <w:rsid w:val="00DC411A"/>
    <w:rsid w:val="00DD2B85"/>
    <w:rsid w:val="00DD3FEA"/>
    <w:rsid w:val="00DE59D1"/>
    <w:rsid w:val="00DF6F08"/>
    <w:rsid w:val="00E01507"/>
    <w:rsid w:val="00E11DED"/>
    <w:rsid w:val="00E164AC"/>
    <w:rsid w:val="00E17462"/>
    <w:rsid w:val="00E27D8C"/>
    <w:rsid w:val="00E30CE4"/>
    <w:rsid w:val="00E439ED"/>
    <w:rsid w:val="00E54ABB"/>
    <w:rsid w:val="00E7136F"/>
    <w:rsid w:val="00E72E2D"/>
    <w:rsid w:val="00EA3060"/>
    <w:rsid w:val="00EC52DA"/>
    <w:rsid w:val="00ED7E78"/>
    <w:rsid w:val="00EE0DDB"/>
    <w:rsid w:val="00EF2ACF"/>
    <w:rsid w:val="00F124E1"/>
    <w:rsid w:val="00F21767"/>
    <w:rsid w:val="00F54281"/>
    <w:rsid w:val="00F578F7"/>
    <w:rsid w:val="00F66BE6"/>
    <w:rsid w:val="00F7084C"/>
    <w:rsid w:val="00FB4AE8"/>
    <w:rsid w:val="00FC6C9A"/>
    <w:rsid w:val="00FD5BBD"/>
    <w:rsid w:val="00FE24DD"/>
    <w:rsid w:val="503D6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09202076">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138113508">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1199196">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11871819">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legislacion.edomex.gob.mx/sites/legislacion.edomex.gob.mx/files/files/pdf/gct/2017/oct243.pdf"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f943546c4ca2417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ab2af7-3fb8-48e3-90d5-ff12eadf9fe3}"/>
      </w:docPartPr>
      <w:docPartBody>
        <w:p w14:paraId="652EEEA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6</revision>
  <dcterms:created xsi:type="dcterms:W3CDTF">2022-08-25T18:23:00.0000000Z</dcterms:created>
  <dcterms:modified xsi:type="dcterms:W3CDTF">2022-09-08T19:06:07.8734103Z</dcterms:modified>
</coreProperties>
</file>