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9BC" w:rsidRPr="00D707F7" w:rsidRDefault="009F09BC" w:rsidP="009F09BC">
      <w:pPr>
        <w:tabs>
          <w:tab w:val="left" w:pos="3465"/>
        </w:tabs>
        <w:spacing w:before="240" w:after="360" w:line="360" w:lineRule="auto"/>
        <w:jc w:val="both"/>
        <w:rPr>
          <w:rFonts w:ascii="Palatino Linotype" w:hAnsi="Palatino Linotype"/>
        </w:rPr>
      </w:pPr>
      <w:r w:rsidRPr="00D707F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52937">
        <w:rPr>
          <w:rFonts w:ascii="Palatino Linotype" w:hAnsi="Palatino Linotype"/>
        </w:rPr>
        <w:t>un</w:t>
      </w:r>
      <w:r w:rsidR="00053FB7">
        <w:rPr>
          <w:rFonts w:ascii="Palatino Linotype" w:hAnsi="Palatino Linotype"/>
        </w:rPr>
        <w:t>o</w:t>
      </w:r>
      <w:r w:rsidR="006A04B6">
        <w:rPr>
          <w:rFonts w:ascii="Palatino Linotype" w:hAnsi="Palatino Linotype"/>
        </w:rPr>
        <w:t xml:space="preserve"> (</w:t>
      </w:r>
      <w:r w:rsidR="00652937">
        <w:rPr>
          <w:rFonts w:ascii="Palatino Linotype" w:hAnsi="Palatino Linotype"/>
        </w:rPr>
        <w:t>0</w:t>
      </w:r>
      <w:r w:rsidR="00053FB7">
        <w:rPr>
          <w:rFonts w:ascii="Palatino Linotype" w:hAnsi="Palatino Linotype"/>
        </w:rPr>
        <w:t>1</w:t>
      </w:r>
      <w:r w:rsidRPr="00485ED8">
        <w:rPr>
          <w:rFonts w:ascii="Palatino Linotype" w:hAnsi="Palatino Linotype"/>
        </w:rPr>
        <w:t xml:space="preserve">) de </w:t>
      </w:r>
      <w:r w:rsidR="00652937">
        <w:rPr>
          <w:rFonts w:ascii="Palatino Linotype" w:hAnsi="Palatino Linotype"/>
        </w:rPr>
        <w:t>juni</w:t>
      </w:r>
      <w:r w:rsidR="00DE2F5A">
        <w:rPr>
          <w:rFonts w:ascii="Palatino Linotype" w:hAnsi="Palatino Linotype"/>
        </w:rPr>
        <w:t>o</w:t>
      </w:r>
      <w:r w:rsidR="00E61C13">
        <w:rPr>
          <w:rFonts w:ascii="Palatino Linotype" w:hAnsi="Palatino Linotype"/>
        </w:rPr>
        <w:t xml:space="preserve"> de dos mil veintidós</w:t>
      </w:r>
      <w:r w:rsidRPr="00485ED8">
        <w:rPr>
          <w:rFonts w:ascii="Palatino Linotype" w:hAnsi="Palatino Linotype"/>
        </w:rPr>
        <w:t>.</w:t>
      </w:r>
    </w:p>
    <w:p w:rsidR="009F09BC" w:rsidRPr="00D707F7" w:rsidRDefault="009F09BC" w:rsidP="009F09BC">
      <w:pPr>
        <w:spacing w:before="240" w:after="360" w:line="360" w:lineRule="auto"/>
        <w:jc w:val="both"/>
        <w:rPr>
          <w:rFonts w:ascii="Palatino Linotype" w:hAnsi="Palatino Linotype"/>
          <w:b/>
        </w:rPr>
      </w:pPr>
      <w:r w:rsidRPr="00D707F7">
        <w:rPr>
          <w:rFonts w:ascii="Palatino Linotype" w:hAnsi="Palatino Linotype"/>
          <w:b/>
        </w:rPr>
        <w:t>VISTO</w:t>
      </w:r>
      <w:r>
        <w:rPr>
          <w:rFonts w:ascii="Palatino Linotype" w:hAnsi="Palatino Linotype"/>
        </w:rPr>
        <w:t xml:space="preserve"> </w:t>
      </w:r>
      <w:r w:rsidR="008A699B">
        <w:rPr>
          <w:rFonts w:ascii="Palatino Linotype" w:hAnsi="Palatino Linotype"/>
        </w:rPr>
        <w:t>e</w:t>
      </w:r>
      <w:r w:rsidRPr="00D707F7">
        <w:rPr>
          <w:rFonts w:ascii="Palatino Linotype" w:hAnsi="Palatino Linotype"/>
        </w:rPr>
        <w:t xml:space="preserve">l expediente electrónico formado con motivo del recurso de revisión </w:t>
      </w:r>
      <w:r w:rsidR="00652937">
        <w:rPr>
          <w:rFonts w:ascii="Palatino Linotype" w:hAnsi="Palatino Linotype"/>
          <w:b/>
        </w:rPr>
        <w:t>01563/INFOEM/IP/RR/2022</w:t>
      </w:r>
      <w:r w:rsidRPr="00485ED8">
        <w:rPr>
          <w:rFonts w:ascii="Palatino Linotype" w:hAnsi="Palatino Linotype"/>
        </w:rPr>
        <w:t>,</w:t>
      </w:r>
      <w:r w:rsidRPr="00D707F7">
        <w:rPr>
          <w:rFonts w:ascii="Palatino Linotype" w:hAnsi="Palatino Linotype" w:cs="Arial"/>
          <w:b/>
          <w:bCs/>
        </w:rPr>
        <w:t xml:space="preserve"> </w:t>
      </w:r>
      <w:r w:rsidRPr="00D707F7">
        <w:rPr>
          <w:rFonts w:ascii="Palatino Linotype" w:hAnsi="Palatino Linotype"/>
        </w:rPr>
        <w:t xml:space="preserve">promovido por </w:t>
      </w:r>
      <w:r w:rsidR="00652937">
        <w:rPr>
          <w:rFonts w:ascii="Palatino Linotype" w:hAnsi="Palatino Linotype"/>
          <w:b/>
        </w:rPr>
        <w:t>una persona que no proporcionó datos de identificación</w:t>
      </w:r>
      <w:r w:rsidRPr="00D707F7">
        <w:rPr>
          <w:rFonts w:ascii="Palatino Linotype" w:hAnsi="Palatino Linotype"/>
        </w:rPr>
        <w:t xml:space="preserve">, a quien en lo sucesivo se le identificará como </w:t>
      </w:r>
      <w:r w:rsidRPr="006A04B6">
        <w:rPr>
          <w:rFonts w:ascii="Palatino Linotype" w:hAnsi="Palatino Linotype"/>
          <w:b/>
        </w:rPr>
        <w:t>EL RECURRENTE</w:t>
      </w:r>
      <w:r w:rsidRPr="00D707F7">
        <w:rPr>
          <w:rFonts w:ascii="Palatino Linotype" w:hAnsi="Palatino Linotype" w:cs="Arial"/>
        </w:rPr>
        <w:t xml:space="preserve">, en contra de la respuesta </w:t>
      </w:r>
      <w:r w:rsidR="00652937">
        <w:rPr>
          <w:rFonts w:ascii="Palatino Linotype" w:hAnsi="Palatino Linotype" w:cs="Arial"/>
        </w:rPr>
        <w:t xml:space="preserve">del </w:t>
      </w:r>
      <w:r w:rsidR="00652937" w:rsidRPr="00652937">
        <w:rPr>
          <w:rFonts w:ascii="Palatino Linotype" w:hAnsi="Palatino Linotype" w:cs="Arial"/>
          <w:b/>
        </w:rPr>
        <w:t xml:space="preserve">Ayuntamiento de </w:t>
      </w:r>
      <w:proofErr w:type="spellStart"/>
      <w:r w:rsidR="00652937" w:rsidRPr="00652937">
        <w:rPr>
          <w:rFonts w:ascii="Palatino Linotype" w:hAnsi="Palatino Linotype" w:cs="Arial"/>
          <w:b/>
        </w:rPr>
        <w:t>Xonacatlán</w:t>
      </w:r>
      <w:proofErr w:type="spellEnd"/>
      <w:r w:rsidRPr="00D707F7">
        <w:rPr>
          <w:rFonts w:ascii="Palatino Linotype" w:hAnsi="Palatino Linotype" w:cs="Arial"/>
          <w:b/>
        </w:rPr>
        <w:t>,</w:t>
      </w:r>
      <w:r w:rsidRPr="00D707F7">
        <w:rPr>
          <w:rFonts w:ascii="Palatino Linotype" w:hAnsi="Palatino Linotype"/>
          <w:b/>
        </w:rPr>
        <w:t xml:space="preserve"> </w:t>
      </w:r>
      <w:r w:rsidRPr="00D707F7">
        <w:rPr>
          <w:rFonts w:ascii="Palatino Linotype" w:hAnsi="Palatino Linotype"/>
        </w:rPr>
        <w:t>en lo sucesivo el</w:t>
      </w:r>
      <w:r w:rsidRPr="00D707F7">
        <w:rPr>
          <w:rFonts w:ascii="Palatino Linotype" w:hAnsi="Palatino Linotype"/>
          <w:b/>
        </w:rPr>
        <w:t xml:space="preserve"> SUJETO OBLIGADO</w:t>
      </w:r>
      <w:r w:rsidRPr="00D707F7">
        <w:rPr>
          <w:rFonts w:ascii="Palatino Linotype" w:hAnsi="Palatino Linotype"/>
        </w:rPr>
        <w:t>, se procede a dictar la presente resolución, con base en los siguientes:</w:t>
      </w:r>
    </w:p>
    <w:p w:rsidR="009F09BC" w:rsidRPr="009F09BC" w:rsidRDefault="009F09BC" w:rsidP="009F09BC">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9F09BC">
        <w:rPr>
          <w:rFonts w:ascii="Palatino Linotype" w:hAnsi="Palatino Linotype"/>
          <w:b/>
          <w:color w:val="000000" w:themeColor="text1"/>
          <w:sz w:val="24"/>
          <w:szCs w:val="24"/>
        </w:rPr>
        <w:t>ANTECEDENTES</w:t>
      </w:r>
      <w:bookmarkEnd w:id="0"/>
      <w:bookmarkEnd w:id="1"/>
      <w:bookmarkEnd w:id="2"/>
    </w:p>
    <w:p w:rsidR="009F09BC" w:rsidRDefault="009F09BC" w:rsidP="008A699B">
      <w:pPr>
        <w:pStyle w:val="Prrafodelista"/>
        <w:numPr>
          <w:ilvl w:val="0"/>
          <w:numId w:val="15"/>
        </w:numPr>
        <w:spacing w:before="240" w:after="240" w:line="360" w:lineRule="auto"/>
        <w:ind w:left="0" w:firstLine="0"/>
        <w:jc w:val="both"/>
        <w:rPr>
          <w:rFonts w:ascii="Palatino Linotype" w:eastAsia="Calibri" w:hAnsi="Palatino Linotype" w:cs="Arial"/>
          <w:lang w:val="es-ES"/>
        </w:rPr>
      </w:pPr>
      <w:r w:rsidRPr="005078EC">
        <w:rPr>
          <w:rFonts w:ascii="Palatino Linotype" w:eastAsia="Calibri" w:hAnsi="Palatino Linotype" w:cs="Arial"/>
          <w:lang w:val="es-ES"/>
        </w:rPr>
        <w:t xml:space="preserve">El día </w:t>
      </w:r>
      <w:r w:rsidR="00E61C13">
        <w:rPr>
          <w:rFonts w:ascii="Palatino Linotype" w:eastAsia="Calibri" w:hAnsi="Palatino Linotype" w:cs="Arial"/>
          <w:lang w:val="es-ES"/>
        </w:rPr>
        <w:t>nueve</w:t>
      </w:r>
      <w:r w:rsidRPr="005078EC">
        <w:rPr>
          <w:rFonts w:ascii="Palatino Linotype" w:eastAsia="Calibri" w:hAnsi="Palatino Linotype" w:cs="Arial"/>
          <w:lang w:val="es-ES"/>
        </w:rPr>
        <w:t xml:space="preserve"> (</w:t>
      </w:r>
      <w:r w:rsidR="002D294C">
        <w:rPr>
          <w:rFonts w:ascii="Palatino Linotype" w:eastAsia="Calibri" w:hAnsi="Palatino Linotype" w:cs="Arial"/>
          <w:lang w:val="es-ES"/>
        </w:rPr>
        <w:t>0</w:t>
      </w:r>
      <w:r w:rsidR="00E61C13">
        <w:rPr>
          <w:rFonts w:ascii="Palatino Linotype" w:eastAsia="Calibri" w:hAnsi="Palatino Linotype" w:cs="Arial"/>
          <w:lang w:val="es-ES"/>
        </w:rPr>
        <w:t>9</w:t>
      </w:r>
      <w:r w:rsidRPr="005078EC">
        <w:rPr>
          <w:rFonts w:ascii="Palatino Linotype" w:eastAsia="Calibri" w:hAnsi="Palatino Linotype" w:cs="Arial"/>
          <w:lang w:val="es-ES"/>
        </w:rPr>
        <w:t xml:space="preserve">) de </w:t>
      </w:r>
      <w:r w:rsidR="002D294C">
        <w:rPr>
          <w:rFonts w:ascii="Palatino Linotype" w:eastAsia="Calibri" w:hAnsi="Palatino Linotype" w:cs="Arial"/>
          <w:lang w:val="es-ES"/>
        </w:rPr>
        <w:t>febre</w:t>
      </w:r>
      <w:r w:rsidR="00E61C13">
        <w:rPr>
          <w:rFonts w:ascii="Palatino Linotype" w:eastAsia="Calibri" w:hAnsi="Palatino Linotype" w:cs="Arial"/>
          <w:lang w:val="es-ES"/>
        </w:rPr>
        <w:t>ro de dos mil veintidós</w:t>
      </w:r>
      <w:r w:rsidRPr="005078EC">
        <w:rPr>
          <w:rFonts w:ascii="Palatino Linotype" w:hAnsi="Palatino Linotype"/>
          <w:b/>
        </w:rPr>
        <w:t xml:space="preserve">, </w:t>
      </w:r>
      <w:r w:rsidRPr="005078EC">
        <w:rPr>
          <w:rFonts w:ascii="Palatino Linotype" w:eastAsia="Calibri" w:hAnsi="Palatino Linotype" w:cs="Arial"/>
          <w:lang w:val="es-ES"/>
        </w:rPr>
        <w:t xml:space="preserve">se presentó ante el </w:t>
      </w:r>
      <w:r w:rsidRPr="005078EC">
        <w:rPr>
          <w:rFonts w:ascii="Palatino Linotype" w:eastAsia="Calibri" w:hAnsi="Palatino Linotype" w:cs="Arial"/>
          <w:b/>
          <w:lang w:val="es-ES"/>
        </w:rPr>
        <w:t>SUJETO OBLIGADO</w:t>
      </w:r>
      <w:r w:rsidRPr="005078EC">
        <w:rPr>
          <w:rFonts w:ascii="Palatino Linotype" w:eastAsia="Calibri" w:hAnsi="Palatino Linotype" w:cs="Arial"/>
        </w:rPr>
        <w:t xml:space="preserve"> vía </w:t>
      </w:r>
      <w:r w:rsidR="008A699B">
        <w:rPr>
          <w:rFonts w:ascii="Palatino Linotype" w:eastAsia="Calibri" w:hAnsi="Palatino Linotype" w:cs="Arial"/>
          <w:lang w:val="es-ES"/>
        </w:rPr>
        <w:t>SAIMEX, la solicitud</w:t>
      </w:r>
      <w:r w:rsidRPr="005078EC">
        <w:rPr>
          <w:rFonts w:ascii="Palatino Linotype" w:eastAsia="Calibri" w:hAnsi="Palatino Linotype" w:cs="Arial"/>
          <w:lang w:val="es-ES"/>
        </w:rPr>
        <w:t xml:space="preserve"> de información pública</w:t>
      </w:r>
      <w:r w:rsidR="008A699B">
        <w:rPr>
          <w:rFonts w:ascii="Palatino Linotype" w:eastAsia="Calibri" w:hAnsi="Palatino Linotype" w:cs="Arial"/>
          <w:lang w:val="es-ES"/>
        </w:rPr>
        <w:t xml:space="preserve"> registrada</w:t>
      </w:r>
      <w:r w:rsidRPr="005078EC">
        <w:rPr>
          <w:rFonts w:ascii="Palatino Linotype" w:eastAsia="Calibri" w:hAnsi="Palatino Linotype" w:cs="Arial"/>
          <w:lang w:val="es-ES"/>
        </w:rPr>
        <w:t xml:space="preserve"> con </w:t>
      </w:r>
      <w:r w:rsidR="008A699B">
        <w:rPr>
          <w:rFonts w:ascii="Palatino Linotype" w:eastAsia="Calibri" w:hAnsi="Palatino Linotype" w:cs="Arial"/>
          <w:lang w:val="es-ES"/>
        </w:rPr>
        <w:t xml:space="preserve">el </w:t>
      </w:r>
      <w:r w:rsidRPr="005078EC">
        <w:rPr>
          <w:rFonts w:ascii="Palatino Linotype" w:eastAsia="Calibri" w:hAnsi="Palatino Linotype" w:cs="Arial"/>
          <w:lang w:val="es-ES"/>
        </w:rPr>
        <w:t>número</w:t>
      </w:r>
      <w:r w:rsidRPr="005078EC">
        <w:rPr>
          <w:rFonts w:ascii="Palatino Linotype" w:hAnsi="Palatino Linotype"/>
          <w:b/>
          <w:bCs/>
          <w:color w:val="000000" w:themeColor="text1"/>
        </w:rPr>
        <w:t xml:space="preserve"> </w:t>
      </w:r>
      <w:r w:rsidR="00652937">
        <w:rPr>
          <w:rFonts w:ascii="Palatino Linotype" w:hAnsi="Palatino Linotype"/>
          <w:b/>
          <w:bCs/>
          <w:color w:val="000000" w:themeColor="text1"/>
        </w:rPr>
        <w:t>00030/XONACAT/IP/2022</w:t>
      </w:r>
      <w:r>
        <w:rPr>
          <w:rFonts w:ascii="Palatino Linotype" w:hAnsi="Palatino Linotype"/>
          <w:b/>
          <w:bCs/>
          <w:color w:val="000000" w:themeColor="text1"/>
        </w:rPr>
        <w:t>;</w:t>
      </w:r>
      <w:r w:rsidRPr="005078EC">
        <w:rPr>
          <w:rFonts w:ascii="Palatino Linotype" w:hAnsi="Palatino Linotype"/>
          <w:b/>
          <w:bCs/>
          <w:color w:val="000000" w:themeColor="text1"/>
        </w:rPr>
        <w:t xml:space="preserve"> </w:t>
      </w:r>
      <w:r w:rsidRPr="005078EC">
        <w:rPr>
          <w:rFonts w:ascii="Palatino Linotype" w:eastAsia="Calibri" w:hAnsi="Palatino Linotype" w:cs="Arial"/>
          <w:lang w:val="es-ES"/>
        </w:rPr>
        <w:t>mediante la cual se solicitó la siguiente información:</w:t>
      </w:r>
    </w:p>
    <w:p w:rsidR="008A699B" w:rsidRDefault="008A699B" w:rsidP="008A699B">
      <w:pPr>
        <w:pStyle w:val="Prrafodelista"/>
        <w:spacing w:before="240" w:after="240" w:line="360" w:lineRule="auto"/>
        <w:ind w:left="0"/>
        <w:jc w:val="both"/>
        <w:rPr>
          <w:rFonts w:ascii="Palatino Linotype" w:eastAsia="Calibri" w:hAnsi="Palatino Linotype" w:cs="Arial"/>
          <w:lang w:val="es-ES"/>
        </w:rPr>
      </w:pPr>
    </w:p>
    <w:p w:rsidR="009F09BC" w:rsidRPr="008A699B" w:rsidRDefault="008A699B" w:rsidP="008A699B">
      <w:pPr>
        <w:pStyle w:val="Prrafodelista"/>
        <w:spacing w:line="360" w:lineRule="auto"/>
        <w:ind w:left="426" w:right="474"/>
        <w:jc w:val="both"/>
        <w:rPr>
          <w:rFonts w:ascii="Palatino Linotype" w:hAnsi="Palatino Linotype"/>
          <w:i/>
        </w:rPr>
      </w:pPr>
      <w:r w:rsidRPr="008A699B">
        <w:rPr>
          <w:rFonts w:ascii="Palatino Linotype" w:hAnsi="Palatino Linotype"/>
          <w:i/>
        </w:rPr>
        <w:t>“</w:t>
      </w:r>
      <w:r w:rsidR="00652937" w:rsidRPr="00652937">
        <w:rPr>
          <w:rFonts w:ascii="Palatino Linotype" w:hAnsi="Palatino Linotype"/>
          <w:i/>
        </w:rPr>
        <w:t xml:space="preserve">Solicito los recibos de </w:t>
      </w:r>
      <w:proofErr w:type="spellStart"/>
      <w:r w:rsidR="00652937" w:rsidRPr="00652937">
        <w:rPr>
          <w:rFonts w:ascii="Palatino Linotype" w:hAnsi="Palatino Linotype"/>
          <w:i/>
        </w:rPr>
        <w:t>nomina</w:t>
      </w:r>
      <w:proofErr w:type="spellEnd"/>
      <w:r w:rsidR="00652937" w:rsidRPr="00652937">
        <w:rPr>
          <w:rFonts w:ascii="Palatino Linotype" w:hAnsi="Palatino Linotype"/>
          <w:i/>
        </w:rPr>
        <w:t xml:space="preserve">, prima vacacional y aguinaldo del personal que estaba adscrito a la siguientes </w:t>
      </w:r>
      <w:proofErr w:type="spellStart"/>
      <w:r w:rsidR="00652937" w:rsidRPr="00652937">
        <w:rPr>
          <w:rFonts w:ascii="Palatino Linotype" w:hAnsi="Palatino Linotype"/>
          <w:i/>
        </w:rPr>
        <w:t>areas</w:t>
      </w:r>
      <w:proofErr w:type="spellEnd"/>
      <w:r w:rsidR="00652937" w:rsidRPr="00652937">
        <w:rPr>
          <w:rFonts w:ascii="Palatino Linotype" w:hAnsi="Palatino Linotype"/>
          <w:i/>
        </w:rPr>
        <w:t xml:space="preserve">, </w:t>
      </w:r>
      <w:proofErr w:type="spellStart"/>
      <w:r w:rsidR="00652937" w:rsidRPr="00652937">
        <w:rPr>
          <w:rFonts w:ascii="Palatino Linotype" w:hAnsi="Palatino Linotype"/>
          <w:i/>
        </w:rPr>
        <w:t>Tesoreria</w:t>
      </w:r>
      <w:proofErr w:type="spellEnd"/>
      <w:r w:rsidR="00652937" w:rsidRPr="00652937">
        <w:rPr>
          <w:rFonts w:ascii="Palatino Linotype" w:hAnsi="Palatino Linotype"/>
          <w:i/>
        </w:rPr>
        <w:t xml:space="preserve"> Municipal, Presidencia Municipal, Secretaria del Ayuntamiento, Unidad de Transparencia, Obras </w:t>
      </w:r>
      <w:proofErr w:type="spellStart"/>
      <w:r w:rsidR="00652937" w:rsidRPr="00652937">
        <w:rPr>
          <w:rFonts w:ascii="Palatino Linotype" w:hAnsi="Palatino Linotype"/>
          <w:i/>
        </w:rPr>
        <w:t>Publicas</w:t>
      </w:r>
      <w:proofErr w:type="spellEnd"/>
      <w:r w:rsidR="00652937" w:rsidRPr="00652937">
        <w:rPr>
          <w:rFonts w:ascii="Palatino Linotype" w:hAnsi="Palatino Linotype"/>
          <w:i/>
        </w:rPr>
        <w:t xml:space="preserve">, </w:t>
      </w:r>
      <w:proofErr w:type="spellStart"/>
      <w:proofErr w:type="gramStart"/>
      <w:r w:rsidR="00652937" w:rsidRPr="00652937">
        <w:rPr>
          <w:rFonts w:ascii="Palatino Linotype" w:hAnsi="Palatino Linotype"/>
          <w:i/>
        </w:rPr>
        <w:t>Catastro,y</w:t>
      </w:r>
      <w:proofErr w:type="spellEnd"/>
      <w:proofErr w:type="gramEnd"/>
      <w:r w:rsidR="00652937" w:rsidRPr="00652937">
        <w:rPr>
          <w:rFonts w:ascii="Palatino Linotype" w:hAnsi="Palatino Linotype"/>
          <w:i/>
        </w:rPr>
        <w:t xml:space="preserve"> la UIPPE, lo anterior de los años 2019, 2020 y 2021.</w:t>
      </w:r>
      <w:r w:rsidRPr="008A699B">
        <w:rPr>
          <w:rFonts w:ascii="Palatino Linotype" w:hAnsi="Palatino Linotype"/>
          <w:i/>
        </w:rPr>
        <w:t>”</w:t>
      </w:r>
    </w:p>
    <w:p w:rsidR="008A699B" w:rsidRPr="00AA4EC2" w:rsidRDefault="008A699B" w:rsidP="009F09BC">
      <w:pPr>
        <w:pStyle w:val="Prrafodelista"/>
        <w:spacing w:line="360" w:lineRule="auto"/>
        <w:ind w:left="851" w:right="34"/>
        <w:jc w:val="both"/>
        <w:rPr>
          <w:rFonts w:ascii="Palatino Linotype" w:hAnsi="Palatino Linotype"/>
        </w:rPr>
      </w:pPr>
    </w:p>
    <w:p w:rsidR="009F09BC" w:rsidRPr="008A699B" w:rsidRDefault="009F09BC" w:rsidP="009F09BC">
      <w:pPr>
        <w:pStyle w:val="Prrafodelista"/>
        <w:numPr>
          <w:ilvl w:val="0"/>
          <w:numId w:val="23"/>
        </w:numPr>
        <w:spacing w:line="360" w:lineRule="auto"/>
        <w:ind w:left="851" w:right="34"/>
        <w:jc w:val="both"/>
        <w:rPr>
          <w:rFonts w:ascii="Palatino Linotype" w:hAnsi="Palatino Linotype"/>
        </w:rPr>
      </w:pPr>
      <w:r w:rsidRPr="00D707F7">
        <w:rPr>
          <w:rFonts w:ascii="Palatino Linotype" w:eastAsia="Times New Roman" w:hAnsi="Palatino Linotype" w:cs="Arial"/>
          <w:lang w:val="es-ES"/>
        </w:rPr>
        <w:t>Se eligió como modalidad de entrega de la información</w:t>
      </w:r>
      <w:r w:rsidRPr="00D707F7">
        <w:rPr>
          <w:rFonts w:ascii="Palatino Linotype" w:hAnsi="Palatino Linotype"/>
        </w:rPr>
        <w:t xml:space="preserve">: </w:t>
      </w:r>
      <w:r w:rsidRPr="00DA3F4B">
        <w:rPr>
          <w:rFonts w:ascii="Palatino Linotype" w:hAnsi="Palatino Linotype"/>
        </w:rPr>
        <w:t xml:space="preserve">A través del </w:t>
      </w:r>
      <w:r w:rsidRPr="0057514F">
        <w:rPr>
          <w:rFonts w:ascii="Palatino Linotype" w:hAnsi="Palatino Linotype"/>
          <w:b/>
        </w:rPr>
        <w:t>SAIMEX</w:t>
      </w:r>
    </w:p>
    <w:p w:rsidR="009F09BC" w:rsidRPr="00652937" w:rsidRDefault="00E61C13" w:rsidP="00E61C13">
      <w:pPr>
        <w:pStyle w:val="Prrafodelista"/>
        <w:numPr>
          <w:ilvl w:val="0"/>
          <w:numId w:val="15"/>
        </w:numPr>
        <w:tabs>
          <w:tab w:val="left" w:pos="0"/>
        </w:tabs>
        <w:spacing w:line="360" w:lineRule="auto"/>
        <w:ind w:left="0" w:right="51" w:firstLine="0"/>
        <w:jc w:val="both"/>
        <w:rPr>
          <w:rFonts w:ascii="Palatino Linotype" w:hAnsi="Palatino Linotype" w:cs="Arial"/>
          <w:i/>
          <w:color w:val="000000" w:themeColor="text1"/>
        </w:rPr>
      </w:pPr>
      <w:r>
        <w:rPr>
          <w:rFonts w:ascii="Palatino Linotype" w:hAnsi="Palatino Linotype" w:cs="Arial"/>
          <w:color w:val="000000" w:themeColor="text1"/>
        </w:rPr>
        <w:lastRenderedPageBreak/>
        <w:t>El die</w:t>
      </w:r>
      <w:r w:rsidR="00652937">
        <w:rPr>
          <w:rFonts w:ascii="Palatino Linotype" w:hAnsi="Palatino Linotype" w:cs="Arial"/>
          <w:color w:val="000000" w:themeColor="text1"/>
        </w:rPr>
        <w:t>ciocho</w:t>
      </w:r>
      <w:r w:rsidR="009F09BC">
        <w:rPr>
          <w:rFonts w:ascii="Palatino Linotype" w:hAnsi="Palatino Linotype" w:cs="Arial"/>
          <w:color w:val="000000" w:themeColor="text1"/>
        </w:rPr>
        <w:t xml:space="preserve"> (</w:t>
      </w:r>
      <w:r w:rsidR="008A699B">
        <w:rPr>
          <w:rFonts w:ascii="Palatino Linotype" w:hAnsi="Palatino Linotype" w:cs="Arial"/>
          <w:color w:val="000000" w:themeColor="text1"/>
        </w:rPr>
        <w:t>1</w:t>
      </w:r>
      <w:r w:rsidR="00652937">
        <w:rPr>
          <w:rFonts w:ascii="Palatino Linotype" w:hAnsi="Palatino Linotype" w:cs="Arial"/>
          <w:color w:val="000000" w:themeColor="text1"/>
        </w:rPr>
        <w:t>8</w:t>
      </w:r>
      <w:r w:rsidR="009F09BC">
        <w:rPr>
          <w:rFonts w:ascii="Palatino Linotype" w:hAnsi="Palatino Linotype" w:cs="Arial"/>
          <w:color w:val="000000" w:themeColor="text1"/>
        </w:rPr>
        <w:t xml:space="preserve">) de </w:t>
      </w:r>
      <w:r>
        <w:rPr>
          <w:rFonts w:ascii="Palatino Linotype" w:hAnsi="Palatino Linotype" w:cs="Arial"/>
          <w:color w:val="000000" w:themeColor="text1"/>
        </w:rPr>
        <w:t>febre</w:t>
      </w:r>
      <w:r w:rsidR="002C4997">
        <w:rPr>
          <w:rFonts w:ascii="Palatino Linotype" w:hAnsi="Palatino Linotype" w:cs="Arial"/>
          <w:color w:val="000000" w:themeColor="text1"/>
        </w:rPr>
        <w:t>ro de dos mil veintidós</w:t>
      </w:r>
      <w:r w:rsidR="009F09BC">
        <w:rPr>
          <w:rFonts w:ascii="Palatino Linotype" w:hAnsi="Palatino Linotype" w:cs="Arial"/>
          <w:color w:val="000000" w:themeColor="text1"/>
        </w:rPr>
        <w:t xml:space="preserve">, el </w:t>
      </w:r>
      <w:r w:rsidR="009F09BC" w:rsidRPr="00C90ADB">
        <w:rPr>
          <w:rFonts w:ascii="Palatino Linotype" w:hAnsi="Palatino Linotype" w:cs="Arial"/>
          <w:b/>
          <w:color w:val="000000" w:themeColor="text1"/>
        </w:rPr>
        <w:t>SUJETO OBLIGADO</w:t>
      </w:r>
      <w:r w:rsidR="009F09BC">
        <w:rPr>
          <w:rFonts w:ascii="Palatino Linotype" w:hAnsi="Palatino Linotype" w:cs="Arial"/>
          <w:b/>
          <w:color w:val="000000" w:themeColor="text1"/>
        </w:rPr>
        <w:t>,</w:t>
      </w:r>
      <w:r w:rsidR="009F09BC">
        <w:rPr>
          <w:rFonts w:ascii="Palatino Linotype" w:hAnsi="Palatino Linotype" w:cs="Arial"/>
          <w:color w:val="000000" w:themeColor="text1"/>
        </w:rPr>
        <w:t xml:space="preserve"> dio respuesta a la solicitud de información </w:t>
      </w:r>
      <w:r w:rsidR="002C4997" w:rsidRPr="002C4997">
        <w:rPr>
          <w:rFonts w:ascii="Palatino Linotype" w:hAnsi="Palatino Linotype" w:cs="Arial"/>
          <w:color w:val="000000" w:themeColor="text1"/>
        </w:rPr>
        <w:t>en los siguientes términos</w:t>
      </w:r>
      <w:r w:rsidR="009F09BC" w:rsidRPr="00952F61">
        <w:rPr>
          <w:rFonts w:ascii="Palatino Linotype" w:hAnsi="Palatino Linotype" w:cs="Arial"/>
          <w:color w:val="000000" w:themeColor="text1"/>
        </w:rPr>
        <w:t>:</w:t>
      </w:r>
    </w:p>
    <w:p w:rsidR="00652937" w:rsidRPr="00E61C13" w:rsidRDefault="00652937" w:rsidP="00652937">
      <w:pPr>
        <w:pStyle w:val="Prrafodelista"/>
        <w:tabs>
          <w:tab w:val="left" w:pos="0"/>
        </w:tabs>
        <w:spacing w:line="360" w:lineRule="auto"/>
        <w:ind w:left="0" w:right="51"/>
        <w:jc w:val="both"/>
        <w:rPr>
          <w:rFonts w:ascii="Palatino Linotype" w:hAnsi="Palatino Linotype" w:cs="Arial"/>
          <w:i/>
          <w:color w:val="000000" w:themeColor="text1"/>
        </w:rPr>
      </w:pPr>
    </w:p>
    <w:p w:rsidR="00804DAA" w:rsidRPr="00652937" w:rsidRDefault="00652937" w:rsidP="00652937">
      <w:pPr>
        <w:pStyle w:val="Prrafodelista"/>
        <w:tabs>
          <w:tab w:val="left" w:pos="0"/>
        </w:tabs>
        <w:spacing w:line="360" w:lineRule="auto"/>
        <w:ind w:left="0" w:right="51"/>
        <w:jc w:val="center"/>
        <w:rPr>
          <w:rFonts w:ascii="Palatino Linotype" w:hAnsi="Palatino Linotype" w:cs="Arial"/>
          <w:color w:val="000000" w:themeColor="text1"/>
        </w:rPr>
      </w:pPr>
      <w:r>
        <w:rPr>
          <w:rFonts w:ascii="Palatino Linotype" w:hAnsi="Palatino Linotype" w:cs="Arial"/>
          <w:noProof/>
          <w:color w:val="000000" w:themeColor="text1"/>
          <w:lang w:val="es-ES"/>
        </w:rPr>
        <w:drawing>
          <wp:inline distT="0" distB="0" distL="0" distR="0">
            <wp:extent cx="5035550" cy="6478352"/>
            <wp:effectExtent l="19050" t="19050" r="12700" b="177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6833" cy="6480003"/>
                    </a:xfrm>
                    <a:prstGeom prst="rect">
                      <a:avLst/>
                    </a:prstGeom>
                    <a:noFill/>
                    <a:ln>
                      <a:solidFill>
                        <a:schemeClr val="tx1"/>
                      </a:solidFill>
                    </a:ln>
                  </pic:spPr>
                </pic:pic>
              </a:graphicData>
            </a:graphic>
          </wp:inline>
        </w:drawing>
      </w:r>
    </w:p>
    <w:p w:rsidR="009F09BC" w:rsidRPr="007E4FFE"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D707F7">
        <w:rPr>
          <w:rFonts w:ascii="Palatino Linotype" w:eastAsia="Times New Roman" w:hAnsi="Palatino Linotype" w:cs="Arial"/>
          <w:color w:val="000000" w:themeColor="text1"/>
          <w:lang w:val="es-ES"/>
        </w:rPr>
        <w:lastRenderedPageBreak/>
        <w:t>E</w:t>
      </w:r>
      <w:r w:rsidR="002C4997">
        <w:rPr>
          <w:rFonts w:ascii="Palatino Linotype" w:eastAsia="Times New Roman" w:hAnsi="Palatino Linotype" w:cs="Arial"/>
          <w:color w:val="000000" w:themeColor="text1"/>
          <w:lang w:val="es-ES"/>
        </w:rPr>
        <w:t xml:space="preserve">l </w:t>
      </w:r>
      <w:r w:rsidR="00652937">
        <w:rPr>
          <w:rFonts w:ascii="Palatino Linotype" w:eastAsia="Times New Roman" w:hAnsi="Palatino Linotype" w:cs="Arial"/>
          <w:color w:val="000000" w:themeColor="text1"/>
          <w:lang w:val="es-ES"/>
        </w:rPr>
        <w:t>veintitrés</w:t>
      </w:r>
      <w:r w:rsidR="002C4997">
        <w:rPr>
          <w:rFonts w:ascii="Palatino Linotype" w:eastAsia="Times New Roman" w:hAnsi="Palatino Linotype" w:cs="Arial"/>
          <w:color w:val="000000" w:themeColor="text1"/>
          <w:lang w:val="es-ES"/>
        </w:rPr>
        <w:t xml:space="preserve"> </w:t>
      </w:r>
      <w:r w:rsidRPr="00D707F7">
        <w:rPr>
          <w:rFonts w:ascii="Palatino Linotype" w:eastAsia="Times New Roman" w:hAnsi="Palatino Linotype" w:cs="Arial"/>
          <w:color w:val="000000" w:themeColor="text1"/>
          <w:lang w:val="es-ES"/>
        </w:rPr>
        <w:t>(</w:t>
      </w:r>
      <w:r w:rsidR="00804DAA">
        <w:rPr>
          <w:rFonts w:ascii="Palatino Linotype" w:eastAsia="Times New Roman" w:hAnsi="Palatino Linotype" w:cs="Arial"/>
          <w:color w:val="000000" w:themeColor="text1"/>
          <w:lang w:val="es-ES"/>
        </w:rPr>
        <w:t>2</w:t>
      </w:r>
      <w:r w:rsidR="00652937">
        <w:rPr>
          <w:rFonts w:ascii="Palatino Linotype" w:eastAsia="Times New Roman" w:hAnsi="Palatino Linotype" w:cs="Arial"/>
          <w:color w:val="000000" w:themeColor="text1"/>
          <w:lang w:val="es-ES"/>
        </w:rPr>
        <w:t>3</w:t>
      </w:r>
      <w:r>
        <w:rPr>
          <w:rFonts w:ascii="Palatino Linotype" w:eastAsia="Times New Roman" w:hAnsi="Palatino Linotype" w:cs="Arial"/>
          <w:color w:val="000000" w:themeColor="text1"/>
          <w:lang w:val="es-ES"/>
        </w:rPr>
        <w:t xml:space="preserve">) de </w:t>
      </w:r>
      <w:r w:rsidR="002650A0">
        <w:rPr>
          <w:rFonts w:ascii="Palatino Linotype" w:eastAsia="Times New Roman" w:hAnsi="Palatino Linotype" w:cs="Arial"/>
          <w:color w:val="000000" w:themeColor="text1"/>
          <w:lang w:val="es-ES"/>
        </w:rPr>
        <w:t>febrer</w:t>
      </w:r>
      <w:r>
        <w:rPr>
          <w:rFonts w:ascii="Palatino Linotype" w:eastAsia="Times New Roman" w:hAnsi="Palatino Linotype" w:cs="Arial"/>
          <w:color w:val="000000" w:themeColor="text1"/>
          <w:lang w:val="es-ES"/>
        </w:rPr>
        <w:t>o</w:t>
      </w:r>
      <w:r w:rsidRPr="00D707F7">
        <w:rPr>
          <w:rFonts w:ascii="Palatino Linotype" w:eastAsia="Times New Roman" w:hAnsi="Palatino Linotype" w:cs="Arial"/>
          <w:color w:val="000000" w:themeColor="text1"/>
          <w:lang w:val="es-ES"/>
        </w:rPr>
        <w:t xml:space="preserve"> de </w:t>
      </w:r>
      <w:r w:rsidR="00025C53">
        <w:rPr>
          <w:rFonts w:ascii="Palatino Linotype" w:eastAsia="Times New Roman" w:hAnsi="Palatino Linotype" w:cs="Arial"/>
          <w:color w:val="000000" w:themeColor="text1"/>
          <w:lang w:val="es-ES"/>
        </w:rPr>
        <w:t>dos mil veintidós</w:t>
      </w:r>
      <w:r>
        <w:rPr>
          <w:rFonts w:ascii="Palatino Linotype" w:eastAsia="Times New Roman" w:hAnsi="Palatino Linotype" w:cs="Arial"/>
          <w:color w:val="000000" w:themeColor="text1"/>
          <w:lang w:val="es-ES"/>
        </w:rPr>
        <w:t xml:space="preserve">, el particular interpuso </w:t>
      </w:r>
      <w:r w:rsidR="002C4997">
        <w:rPr>
          <w:rFonts w:ascii="Palatino Linotype" w:eastAsia="Times New Roman" w:hAnsi="Palatino Linotype" w:cs="Arial"/>
          <w:color w:val="000000" w:themeColor="text1"/>
          <w:lang w:val="es-ES"/>
        </w:rPr>
        <w:t>e</w:t>
      </w:r>
      <w:r w:rsidRPr="00D707F7">
        <w:rPr>
          <w:rFonts w:ascii="Palatino Linotype" w:eastAsia="Times New Roman" w:hAnsi="Palatino Linotype" w:cs="Arial"/>
          <w:color w:val="000000" w:themeColor="text1"/>
          <w:lang w:val="es-ES"/>
        </w:rPr>
        <w:t>l recurso de revisión en contra de la respuesta</w:t>
      </w:r>
      <w:r>
        <w:rPr>
          <w:rFonts w:ascii="Palatino Linotype" w:eastAsia="Times New Roman" w:hAnsi="Palatino Linotype" w:cs="Arial"/>
          <w:color w:val="000000" w:themeColor="text1"/>
          <w:lang w:val="es-ES"/>
        </w:rPr>
        <w:t>,</w:t>
      </w:r>
      <w:r w:rsidRPr="002C4997">
        <w:rPr>
          <w:rFonts w:ascii="Palatino Linotype" w:eastAsia="Times New Roman" w:hAnsi="Palatino Linotype" w:cs="Arial"/>
          <w:color w:val="000000" w:themeColor="text1"/>
          <w:lang w:val="es-ES"/>
        </w:rPr>
        <w:t xml:space="preserve"> manifestando l</w:t>
      </w:r>
      <w:r w:rsidR="002C4997" w:rsidRPr="002C4997">
        <w:rPr>
          <w:rFonts w:ascii="Palatino Linotype" w:eastAsia="Times New Roman" w:hAnsi="Palatino Linotype" w:cs="Arial"/>
          <w:color w:val="000000" w:themeColor="text1"/>
          <w:lang w:val="es-ES"/>
        </w:rPr>
        <w:t>a</w:t>
      </w:r>
      <w:r w:rsidRPr="002C4997">
        <w:rPr>
          <w:rFonts w:ascii="Palatino Linotype" w:eastAsia="Times New Roman" w:hAnsi="Palatino Linotype" w:cs="Arial"/>
          <w:color w:val="000000" w:themeColor="text1"/>
          <w:lang w:val="es-ES"/>
        </w:rPr>
        <w:t xml:space="preserve">s </w:t>
      </w:r>
      <w:r w:rsidR="002C4997" w:rsidRPr="002C4997">
        <w:rPr>
          <w:rFonts w:ascii="Palatino Linotype" w:eastAsia="Times New Roman" w:hAnsi="Palatino Linotype" w:cs="Arial"/>
          <w:color w:val="000000" w:themeColor="text1"/>
          <w:lang w:val="es-ES"/>
        </w:rPr>
        <w:t>siguientes</w:t>
      </w:r>
      <w:r w:rsidRPr="002C4997">
        <w:rPr>
          <w:rFonts w:ascii="Palatino Linotype" w:eastAsia="Times New Roman" w:hAnsi="Palatino Linotype" w:cs="Arial"/>
          <w:color w:val="000000" w:themeColor="text1"/>
          <w:lang w:val="es-ES"/>
        </w:rPr>
        <w:t xml:space="preserve"> razones o motivos de inconformidad</w:t>
      </w:r>
      <w:r w:rsidRPr="00D707F7">
        <w:rPr>
          <w:rFonts w:ascii="Palatino Linotype" w:eastAsia="Times New Roman" w:hAnsi="Palatino Linotype" w:cs="Arial"/>
          <w:color w:val="000000" w:themeColor="text1"/>
          <w:lang w:val="es-ES"/>
        </w:rPr>
        <w:t>:</w:t>
      </w:r>
    </w:p>
    <w:p w:rsidR="009F09BC" w:rsidRPr="00D707F7"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9F09BC" w:rsidRPr="00C03BA3" w:rsidRDefault="009F09BC" w:rsidP="00652937">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C03BA3">
        <w:rPr>
          <w:rStyle w:val="Ttulo2Car"/>
          <w:rFonts w:ascii="Palatino Linotype" w:hAnsi="Palatino Linotype"/>
          <w:b/>
          <w:color w:val="auto"/>
          <w:sz w:val="24"/>
          <w:szCs w:val="24"/>
        </w:rPr>
        <w:t>Acto impugnado</w:t>
      </w:r>
      <w:bookmarkEnd w:id="3"/>
      <w:r w:rsidRPr="00C03BA3">
        <w:rPr>
          <w:rStyle w:val="Ttulo2Car"/>
          <w:rFonts w:ascii="Palatino Linotype" w:hAnsi="Palatino Linotype"/>
          <w:b/>
          <w:color w:val="000000" w:themeColor="text1"/>
          <w:sz w:val="24"/>
          <w:szCs w:val="24"/>
        </w:rPr>
        <w:t xml:space="preserve">: </w:t>
      </w:r>
      <w:r w:rsidRPr="00C03BA3">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652937" w:rsidRPr="00652937">
        <w:rPr>
          <w:rStyle w:val="Ttulo2Car"/>
          <w:rFonts w:ascii="Palatino Linotype" w:hAnsi="Palatino Linotype"/>
          <w:i/>
          <w:color w:val="000000" w:themeColor="text1"/>
          <w:sz w:val="24"/>
          <w:szCs w:val="24"/>
        </w:rPr>
        <w:t xml:space="preserve">La respuesta del Sujeto Obligado, hace mención que: “Que el solicitante no aclara el tipo de </w:t>
      </w:r>
      <w:proofErr w:type="spellStart"/>
      <w:r w:rsidR="00652937" w:rsidRPr="00652937">
        <w:rPr>
          <w:rStyle w:val="Ttulo2Car"/>
          <w:rFonts w:ascii="Palatino Linotype" w:hAnsi="Palatino Linotype"/>
          <w:i/>
          <w:color w:val="000000" w:themeColor="text1"/>
          <w:sz w:val="24"/>
          <w:szCs w:val="24"/>
        </w:rPr>
        <w:t>nomina</w:t>
      </w:r>
      <w:proofErr w:type="spellEnd"/>
      <w:r w:rsidR="00652937" w:rsidRPr="00652937">
        <w:rPr>
          <w:rStyle w:val="Ttulo2Car"/>
          <w:rFonts w:ascii="Palatino Linotype" w:hAnsi="Palatino Linotype"/>
          <w:i/>
          <w:color w:val="000000" w:themeColor="text1"/>
          <w:sz w:val="24"/>
          <w:szCs w:val="24"/>
        </w:rPr>
        <w:t xml:space="preserve"> que requiere, tanto en un periodo en particular de la quincena, así como el funcionario correspondiente, toda vez que, durante los años 2019, 2020, 2021 existió una cantidad importante de cambios institucionales.”</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C03BA3" w:rsidRDefault="009F09BC" w:rsidP="002650A0">
      <w:pPr>
        <w:spacing w:line="360" w:lineRule="auto"/>
        <w:jc w:val="both"/>
        <w:rPr>
          <w:rFonts w:ascii="Palatino Linotype" w:hAnsi="Palatino Linotype"/>
          <w:i/>
          <w:color w:val="000000" w:themeColor="text1"/>
        </w:rPr>
      </w:pPr>
    </w:p>
    <w:p w:rsidR="009F09BC" w:rsidRDefault="009F09BC" w:rsidP="00652937">
      <w:pPr>
        <w:pStyle w:val="Prrafodelista"/>
        <w:numPr>
          <w:ilvl w:val="0"/>
          <w:numId w:val="23"/>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C03BA3">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C03BA3">
        <w:rPr>
          <w:rFonts w:ascii="Palatino Linotype" w:hAnsi="Palatino Linotype"/>
          <w:b/>
          <w:color w:val="000000" w:themeColor="text1"/>
        </w:rPr>
        <w:t xml:space="preserve"> </w:t>
      </w:r>
      <w:r w:rsidRPr="00C03BA3">
        <w:rPr>
          <w:rFonts w:ascii="Palatino Linotype" w:hAnsi="Palatino Linotype"/>
          <w:i/>
          <w:color w:val="000000" w:themeColor="text1"/>
        </w:rPr>
        <w:t>“</w:t>
      </w:r>
      <w:r w:rsidR="00652937" w:rsidRPr="00652937">
        <w:rPr>
          <w:rFonts w:ascii="Palatino Linotype" w:hAnsi="Palatino Linotype"/>
          <w:i/>
          <w:color w:val="000000" w:themeColor="text1"/>
        </w:rPr>
        <w:t xml:space="preserve">El Sujeto Obligado de </w:t>
      </w:r>
      <w:proofErr w:type="spellStart"/>
      <w:r w:rsidR="00652937" w:rsidRPr="00652937">
        <w:rPr>
          <w:rFonts w:ascii="Palatino Linotype" w:hAnsi="Palatino Linotype"/>
          <w:i/>
          <w:color w:val="000000" w:themeColor="text1"/>
        </w:rPr>
        <w:t>Xonacatlán</w:t>
      </w:r>
      <w:proofErr w:type="spellEnd"/>
      <w:r w:rsidR="00652937" w:rsidRPr="00652937">
        <w:rPr>
          <w:rFonts w:ascii="Palatino Linotype" w:hAnsi="Palatino Linotype"/>
          <w:i/>
          <w:color w:val="000000" w:themeColor="text1"/>
        </w:rPr>
        <w:t>, toda vez que hizo caso omiso a los plazos establecidos en la Ley de Transparencia y Acceso a la Información del Estado de México y Municipios, para el trámite de las Solicitudes de Acceso a la Información.</w:t>
      </w:r>
      <w:r w:rsidRPr="00C03BA3">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82142B" w:rsidRPr="0082142B" w:rsidRDefault="0082142B" w:rsidP="0082142B">
      <w:pPr>
        <w:pStyle w:val="Prrafodelista"/>
        <w:rPr>
          <w:rFonts w:ascii="Palatino Linotype" w:hAnsi="Palatino Linotype"/>
          <w:i/>
          <w:color w:val="000000" w:themeColor="text1"/>
        </w:rPr>
      </w:pPr>
    </w:p>
    <w:p w:rsidR="0082142B" w:rsidRDefault="00A305ED" w:rsidP="0082142B">
      <w:pPr>
        <w:pStyle w:val="Prrafodelista"/>
        <w:spacing w:line="360" w:lineRule="auto"/>
        <w:ind w:left="1004"/>
        <w:jc w:val="both"/>
        <w:rPr>
          <w:rFonts w:ascii="Palatino Linotype" w:hAnsi="Palatino Linotype"/>
          <w:color w:val="000000" w:themeColor="text1"/>
        </w:rPr>
      </w:pPr>
      <w:r>
        <w:rPr>
          <w:rFonts w:ascii="Palatino Linotype" w:hAnsi="Palatino Linotype"/>
          <w:noProof/>
          <w:color w:val="000000" w:themeColor="text1"/>
          <w:lang w:val="es-ES"/>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755015</wp:posOffset>
                </wp:positionV>
                <wp:extent cx="5594350" cy="2216150"/>
                <wp:effectExtent l="0" t="0" r="25400" b="31750"/>
                <wp:wrapNone/>
                <wp:docPr id="6" name="Conector recto 6"/>
                <wp:cNvGraphicFramePr/>
                <a:graphic xmlns:a="http://schemas.openxmlformats.org/drawingml/2006/main">
                  <a:graphicData uri="http://schemas.microsoft.com/office/word/2010/wordprocessingShape">
                    <wps:wsp>
                      <wps:cNvCnPr/>
                      <wps:spPr>
                        <a:xfrm>
                          <a:off x="0" y="0"/>
                          <a:ext cx="5594350" cy="22161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5378A" id="Conector recto 6" o:spid="_x0000_s1026" style="position:absolute;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3pt,59.45pt" to="829.8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" strokecolor="black [3200]" strokeweight="1.5pt">
                <v:stroke joinstyle="miter"/>
                <w10:wrap anchorx="margin"/>
              </v:line>
            </w:pict>
          </mc:Fallback>
        </mc:AlternateContent>
      </w:r>
      <w:r w:rsidR="0082142B">
        <w:rPr>
          <w:rFonts w:ascii="Palatino Linotype" w:hAnsi="Palatino Linotype"/>
          <w:color w:val="000000" w:themeColor="text1"/>
        </w:rPr>
        <w:t>A</w:t>
      </w:r>
      <w:r w:rsidR="0082142B" w:rsidRPr="0082142B">
        <w:rPr>
          <w:rFonts w:ascii="Palatino Linotype" w:hAnsi="Palatino Linotype"/>
          <w:color w:val="000000" w:themeColor="text1"/>
        </w:rPr>
        <w:t>simismo</w:t>
      </w:r>
      <w:r w:rsidR="0082142B">
        <w:rPr>
          <w:rFonts w:ascii="Palatino Linotype" w:hAnsi="Palatino Linotype"/>
          <w:color w:val="000000" w:themeColor="text1"/>
        </w:rPr>
        <w:t xml:space="preserve">, adjuntó el archivo denominado </w:t>
      </w:r>
      <w:r w:rsidRPr="00A305ED">
        <w:rPr>
          <w:rFonts w:ascii="Palatino Linotype" w:hAnsi="Palatino Linotype"/>
          <w:b/>
          <w:color w:val="000000" w:themeColor="text1"/>
        </w:rPr>
        <w:t>Xonacatlán.pdf</w:t>
      </w:r>
      <w:r w:rsidR="0082142B">
        <w:rPr>
          <w:rFonts w:ascii="Palatino Linotype" w:hAnsi="Palatino Linotype"/>
          <w:b/>
          <w:color w:val="000000" w:themeColor="text1"/>
        </w:rPr>
        <w:t>,</w:t>
      </w:r>
      <w:r w:rsidR="0082142B">
        <w:rPr>
          <w:rFonts w:ascii="Palatino Linotype" w:hAnsi="Palatino Linotype"/>
          <w:color w:val="000000" w:themeColor="text1"/>
        </w:rPr>
        <w:t xml:space="preserve"> </w:t>
      </w:r>
      <w:r>
        <w:rPr>
          <w:rFonts w:ascii="Palatino Linotype" w:hAnsi="Palatino Linotype"/>
          <w:color w:val="000000" w:themeColor="text1"/>
        </w:rPr>
        <w:t>cuyo contenido literal es el siguiente:</w:t>
      </w:r>
    </w:p>
    <w:p w:rsidR="00A305ED" w:rsidRDefault="00A305ED" w:rsidP="0082142B">
      <w:pPr>
        <w:pStyle w:val="Prrafodelista"/>
        <w:spacing w:line="360" w:lineRule="auto"/>
        <w:ind w:left="1004"/>
        <w:jc w:val="both"/>
        <w:rPr>
          <w:rFonts w:ascii="Palatino Linotype" w:hAnsi="Palatino Linotype"/>
          <w:color w:val="000000" w:themeColor="text1"/>
        </w:rPr>
      </w:pPr>
      <w:r>
        <w:rPr>
          <w:rFonts w:ascii="Palatino Linotype" w:hAnsi="Palatino Linotype"/>
          <w:noProof/>
          <w:color w:val="000000" w:themeColor="text1"/>
          <w:lang w:val="es-ES"/>
        </w:rPr>
        <w:lastRenderedPageBreak/>
        <w:drawing>
          <wp:inline distT="0" distB="0" distL="0" distR="0">
            <wp:extent cx="4927600" cy="7024199"/>
            <wp:effectExtent l="19050" t="19050" r="25400" b="247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0740" cy="7028675"/>
                    </a:xfrm>
                    <a:prstGeom prst="rect">
                      <a:avLst/>
                    </a:prstGeom>
                    <a:noFill/>
                    <a:ln>
                      <a:solidFill>
                        <a:schemeClr val="tx1"/>
                      </a:solidFill>
                    </a:ln>
                  </pic:spPr>
                </pic:pic>
              </a:graphicData>
            </a:graphic>
          </wp:inline>
        </w:drawing>
      </w:r>
    </w:p>
    <w:p w:rsidR="00A305ED" w:rsidRDefault="00A305ED" w:rsidP="0082142B">
      <w:pPr>
        <w:pStyle w:val="Prrafodelista"/>
        <w:spacing w:line="360" w:lineRule="auto"/>
        <w:ind w:left="1004"/>
        <w:jc w:val="both"/>
        <w:rPr>
          <w:rFonts w:ascii="Palatino Linotype" w:hAnsi="Palatino Linotype"/>
          <w:color w:val="000000" w:themeColor="text1"/>
        </w:rPr>
      </w:pPr>
      <w:r>
        <w:rPr>
          <w:rFonts w:ascii="Palatino Linotype" w:hAnsi="Palatino Linotype"/>
          <w:noProof/>
          <w:color w:val="000000" w:themeColor="text1"/>
          <w:lang w:val="es-ES"/>
        </w:rPr>
        <w:lastRenderedPageBreak/>
        <w:drawing>
          <wp:inline distT="0" distB="0" distL="0" distR="0">
            <wp:extent cx="4832350" cy="2533837"/>
            <wp:effectExtent l="19050" t="19050" r="2540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4017" cy="2545198"/>
                    </a:xfrm>
                    <a:prstGeom prst="rect">
                      <a:avLst/>
                    </a:prstGeom>
                    <a:noFill/>
                    <a:ln>
                      <a:solidFill>
                        <a:schemeClr val="tx1"/>
                      </a:solidFill>
                    </a:ln>
                  </pic:spPr>
                </pic:pic>
              </a:graphicData>
            </a:graphic>
          </wp:inline>
        </w:drawing>
      </w:r>
    </w:p>
    <w:p w:rsidR="00A305ED" w:rsidRPr="0082142B" w:rsidRDefault="00A305ED" w:rsidP="0082142B">
      <w:pPr>
        <w:pStyle w:val="Prrafodelista"/>
        <w:spacing w:line="360" w:lineRule="auto"/>
        <w:ind w:left="1004"/>
        <w:jc w:val="both"/>
        <w:rPr>
          <w:rFonts w:ascii="Palatino Linotype" w:hAnsi="Palatino Linotype"/>
          <w:color w:val="000000" w:themeColor="text1"/>
        </w:rPr>
      </w:pPr>
    </w:p>
    <w:p w:rsidR="009F09BC" w:rsidRPr="00D707F7" w:rsidRDefault="00CC5B2F" w:rsidP="009F09BC">
      <w:pPr>
        <w:pStyle w:val="Prrafodelista"/>
        <w:numPr>
          <w:ilvl w:val="0"/>
          <w:numId w:val="15"/>
        </w:numPr>
        <w:spacing w:before="240" w:after="240" w:line="360" w:lineRule="auto"/>
        <w:ind w:left="0" w:firstLine="0"/>
        <w:jc w:val="both"/>
        <w:rPr>
          <w:rFonts w:ascii="Palatino Linotype" w:hAnsi="Palatino Linotype"/>
          <w:i/>
        </w:rPr>
      </w:pPr>
      <w:r>
        <w:rPr>
          <w:rFonts w:ascii="Palatino Linotype" w:eastAsia="Calibri" w:hAnsi="Palatino Linotype" w:cs="Arial"/>
          <w:lang w:val="es-ES"/>
        </w:rPr>
        <w:t>La Comisionada</w:t>
      </w:r>
      <w:r w:rsidR="009F09BC" w:rsidRPr="00D707F7">
        <w:rPr>
          <w:rFonts w:ascii="Palatino Linotype" w:eastAsia="Calibri" w:hAnsi="Palatino Linotype" w:cs="Arial"/>
          <w:lang w:val="es-ES"/>
        </w:rPr>
        <w:t xml:space="preserve"> Ponente</w:t>
      </w:r>
      <w:r w:rsidR="009F09BC">
        <w:rPr>
          <w:rFonts w:ascii="Palatino Linotype" w:eastAsia="Calibri" w:hAnsi="Palatino Linotype" w:cs="Arial"/>
          <w:lang w:val="es-ES"/>
        </w:rPr>
        <w:t xml:space="preserve"> </w:t>
      </w:r>
      <w:r w:rsidR="009F09BC" w:rsidRPr="00D707F7">
        <w:rPr>
          <w:rFonts w:ascii="Palatino Linotype" w:eastAsia="Calibri" w:hAnsi="Palatino Linotype" w:cs="Arial"/>
          <w:lang w:val="es-ES"/>
        </w:rPr>
        <w:t>con fundamento en lo dispuesto por el artículo 185 fracción II de la ley de la materia, a través del acuerdo de admisión de fecha</w:t>
      </w:r>
      <w:r w:rsidR="009F09BC">
        <w:rPr>
          <w:rFonts w:ascii="Palatino Linotype" w:eastAsia="Calibri" w:hAnsi="Palatino Linotype" w:cs="Arial"/>
          <w:lang w:val="es-ES"/>
        </w:rPr>
        <w:t xml:space="preserve"> </w:t>
      </w:r>
      <w:r w:rsidR="00804DAA">
        <w:rPr>
          <w:rFonts w:ascii="Palatino Linotype" w:eastAsia="Calibri" w:hAnsi="Palatino Linotype" w:cs="Arial"/>
          <w:lang w:val="es-ES"/>
        </w:rPr>
        <w:t>veinti</w:t>
      </w:r>
      <w:r w:rsidR="00A305ED">
        <w:rPr>
          <w:rFonts w:ascii="Palatino Linotype" w:eastAsia="Calibri" w:hAnsi="Palatino Linotype" w:cs="Arial"/>
          <w:lang w:val="es-ES"/>
        </w:rPr>
        <w:t>ocho</w:t>
      </w:r>
      <w:r w:rsidR="009F09BC" w:rsidRPr="00D707F7">
        <w:rPr>
          <w:rFonts w:ascii="Palatino Linotype" w:eastAsia="Calibri" w:hAnsi="Palatino Linotype" w:cs="Arial"/>
          <w:lang w:val="es-ES"/>
        </w:rPr>
        <w:t xml:space="preserve"> (</w:t>
      </w:r>
      <w:r w:rsidR="00804DAA">
        <w:rPr>
          <w:rFonts w:ascii="Palatino Linotype" w:eastAsia="Calibri" w:hAnsi="Palatino Linotype" w:cs="Arial"/>
          <w:lang w:val="es-ES"/>
        </w:rPr>
        <w:t>2</w:t>
      </w:r>
      <w:r w:rsidR="00A305ED">
        <w:rPr>
          <w:rFonts w:ascii="Palatino Linotype" w:eastAsia="Calibri" w:hAnsi="Palatino Linotype" w:cs="Arial"/>
          <w:lang w:val="es-ES"/>
        </w:rPr>
        <w:t>8</w:t>
      </w:r>
      <w:r w:rsidR="009F09BC" w:rsidRPr="00D707F7">
        <w:rPr>
          <w:rFonts w:ascii="Palatino Linotype" w:eastAsia="Calibri" w:hAnsi="Palatino Linotype" w:cs="Arial"/>
          <w:lang w:val="es-ES"/>
        </w:rPr>
        <w:t xml:space="preserve">) de </w:t>
      </w:r>
      <w:r w:rsidR="003933C4">
        <w:rPr>
          <w:rFonts w:ascii="Palatino Linotype" w:eastAsia="Calibri" w:hAnsi="Palatino Linotype" w:cs="Arial"/>
          <w:lang w:val="es-ES"/>
        </w:rPr>
        <w:t>febre</w:t>
      </w:r>
      <w:r w:rsidR="002C4997">
        <w:rPr>
          <w:rFonts w:ascii="Palatino Linotype" w:eastAsia="Calibri" w:hAnsi="Palatino Linotype" w:cs="Arial"/>
          <w:lang w:val="es-ES"/>
        </w:rPr>
        <w:t>r</w:t>
      </w:r>
      <w:r w:rsidR="009F09BC">
        <w:rPr>
          <w:rFonts w:ascii="Palatino Linotype" w:eastAsia="Calibri" w:hAnsi="Palatino Linotype" w:cs="Arial"/>
          <w:lang w:val="es-ES"/>
        </w:rPr>
        <w:t>o</w:t>
      </w:r>
      <w:r w:rsidR="009F09BC" w:rsidRPr="00D707F7">
        <w:rPr>
          <w:rFonts w:ascii="Palatino Linotype" w:eastAsia="Calibri" w:hAnsi="Palatino Linotype" w:cs="Arial"/>
          <w:lang w:val="es-ES"/>
        </w:rPr>
        <w:t xml:space="preserve"> del año en curso, puso a disposición de las partes el expediente electrónico </w:t>
      </w:r>
      <w:r w:rsidR="009F09BC" w:rsidRPr="00D707F7">
        <w:rPr>
          <w:rFonts w:ascii="Palatino Linotype" w:eastAsia="Calibri" w:hAnsi="Palatino Linotype" w:cs="Arial"/>
        </w:rPr>
        <w:t xml:space="preserve">vía </w:t>
      </w:r>
      <w:r w:rsidR="009F09BC" w:rsidRPr="00D707F7">
        <w:rPr>
          <w:rFonts w:ascii="Palatino Linotype" w:eastAsia="Calibri" w:hAnsi="Palatino Linotype" w:cs="Arial"/>
          <w:b/>
          <w:lang w:val="es-ES"/>
        </w:rPr>
        <w:t xml:space="preserve">SAIMEX </w:t>
      </w:r>
      <w:r w:rsidR="009F09BC" w:rsidRPr="00D707F7">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w:t>
      </w:r>
      <w:r w:rsidR="009F09BC">
        <w:rPr>
          <w:rFonts w:ascii="Palatino Linotype" w:eastAsia="Calibri" w:hAnsi="Palatino Linotype" w:cs="Arial"/>
          <w:lang w:val="es-ES"/>
        </w:rPr>
        <w:t>y</w:t>
      </w:r>
      <w:r w:rsidR="009F09BC" w:rsidRPr="00D707F7">
        <w:rPr>
          <w:rFonts w:ascii="Palatino Linotype" w:eastAsia="Calibri" w:hAnsi="Palatino Linotype" w:cs="Arial"/>
          <w:lang w:val="es-ES"/>
        </w:rPr>
        <w:t xml:space="preserve"> el </w:t>
      </w:r>
      <w:r w:rsidR="009F09BC" w:rsidRPr="00D707F7">
        <w:rPr>
          <w:rFonts w:ascii="Palatino Linotype" w:eastAsia="Calibri" w:hAnsi="Palatino Linotype" w:cs="Arial"/>
          <w:b/>
          <w:lang w:val="es-ES"/>
        </w:rPr>
        <w:t>SUJETO OBLIGADO</w:t>
      </w:r>
      <w:r w:rsidR="009F09BC" w:rsidRPr="00D707F7">
        <w:rPr>
          <w:rFonts w:ascii="Palatino Linotype" w:eastAsia="Calibri" w:hAnsi="Palatino Linotype" w:cs="Arial"/>
          <w:lang w:val="es-ES"/>
        </w:rPr>
        <w:t xml:space="preserve"> presentará el Informe Justificado procedente.</w:t>
      </w:r>
    </w:p>
    <w:p w:rsidR="009F09BC" w:rsidRPr="00C0715F" w:rsidRDefault="009F09BC" w:rsidP="009F09BC">
      <w:pPr>
        <w:pStyle w:val="Prrafodelista"/>
        <w:spacing w:before="240" w:after="240" w:line="360" w:lineRule="auto"/>
        <w:ind w:left="0"/>
        <w:jc w:val="both"/>
        <w:rPr>
          <w:rFonts w:ascii="Palatino Linotype" w:hAnsi="Palatino Linotype"/>
        </w:rPr>
      </w:pPr>
    </w:p>
    <w:p w:rsidR="009F09BC" w:rsidRPr="002C4997" w:rsidRDefault="009F09BC" w:rsidP="006672E1">
      <w:pPr>
        <w:pStyle w:val="Prrafodelista"/>
        <w:numPr>
          <w:ilvl w:val="0"/>
          <w:numId w:val="15"/>
        </w:numPr>
        <w:spacing w:before="240" w:after="240" w:line="360" w:lineRule="auto"/>
        <w:ind w:left="0" w:firstLine="0"/>
        <w:jc w:val="both"/>
        <w:rPr>
          <w:rFonts w:ascii="Palatino Linotype" w:hAnsi="Palatino Linotype"/>
        </w:rPr>
      </w:pPr>
      <w:r w:rsidRPr="002C4997">
        <w:rPr>
          <w:rFonts w:ascii="Palatino Linotype" w:hAnsi="Palatino Linotype"/>
          <w:color w:val="000000"/>
        </w:rPr>
        <w:t xml:space="preserve">El </w:t>
      </w:r>
      <w:r w:rsidRPr="002C4997">
        <w:rPr>
          <w:rFonts w:ascii="Palatino Linotype" w:hAnsi="Palatino Linotype"/>
          <w:b/>
          <w:color w:val="000000"/>
        </w:rPr>
        <w:t xml:space="preserve">SUJETO </w:t>
      </w:r>
      <w:r w:rsidRPr="006672E1">
        <w:rPr>
          <w:rFonts w:ascii="Palatino Linotype" w:eastAsia="Calibri" w:hAnsi="Palatino Linotype" w:cs="Arial"/>
          <w:b/>
          <w:lang w:val="es-ES"/>
        </w:rPr>
        <w:t>OBLIGADO</w:t>
      </w:r>
      <w:r w:rsidR="007A6A1A" w:rsidRPr="002C4997">
        <w:rPr>
          <w:rFonts w:ascii="Palatino Linotype" w:hAnsi="Palatino Linotype"/>
          <w:color w:val="000000"/>
        </w:rPr>
        <w:t xml:space="preserve"> </w:t>
      </w:r>
      <w:r w:rsidR="00A305ED">
        <w:rPr>
          <w:rFonts w:ascii="Palatino Linotype" w:hAnsi="Palatino Linotype"/>
          <w:color w:val="000000"/>
        </w:rPr>
        <w:t>fue omiso en rendir el informe justificado correspondiente</w:t>
      </w:r>
      <w:r w:rsidR="002C4997" w:rsidRPr="002C4997">
        <w:rPr>
          <w:rFonts w:ascii="Palatino Linotype" w:hAnsi="Palatino Linotype"/>
          <w:color w:val="000000"/>
        </w:rPr>
        <w:t>.</w:t>
      </w:r>
      <w:r w:rsidR="002C4997">
        <w:rPr>
          <w:rFonts w:ascii="Palatino Linotype" w:hAnsi="Palatino Linotype"/>
          <w:color w:val="000000"/>
        </w:rPr>
        <w:t xml:space="preserve"> </w:t>
      </w:r>
      <w:r w:rsidRPr="002C4997">
        <w:rPr>
          <w:rFonts w:ascii="Palatino Linotype" w:hAnsi="Palatino Linotype"/>
          <w:color w:val="000000"/>
        </w:rPr>
        <w:t xml:space="preserve">Por su parte </w:t>
      </w:r>
      <w:r w:rsidRPr="002C4997">
        <w:rPr>
          <w:rFonts w:ascii="Palatino Linotype" w:hAnsi="Palatino Linotype"/>
          <w:b/>
          <w:color w:val="000000"/>
        </w:rPr>
        <w:t xml:space="preserve">EL PARTICULAR </w:t>
      </w:r>
      <w:r w:rsidR="00A305ED">
        <w:rPr>
          <w:rFonts w:ascii="Palatino Linotype" w:hAnsi="Palatino Linotype"/>
          <w:color w:val="000000"/>
        </w:rPr>
        <w:t>dejó de realizar manifestaciones que a su derecho conviniera y asistiera</w:t>
      </w:r>
      <w:r w:rsidRPr="002C4997">
        <w:rPr>
          <w:rFonts w:ascii="Palatino Linotype" w:hAnsi="Palatino Linotype"/>
          <w:color w:val="000000"/>
        </w:rPr>
        <w:t>.</w:t>
      </w:r>
    </w:p>
    <w:p w:rsidR="00ED6E75" w:rsidRPr="00AE1FDD" w:rsidRDefault="00ED6E75" w:rsidP="00ED6E75">
      <w:pPr>
        <w:pStyle w:val="Prrafodelista"/>
        <w:spacing w:before="240" w:after="240" w:line="360" w:lineRule="auto"/>
        <w:ind w:left="0"/>
        <w:jc w:val="both"/>
        <w:rPr>
          <w:rFonts w:ascii="Palatino Linotype" w:hAnsi="Palatino Linotype"/>
        </w:rPr>
      </w:pPr>
    </w:p>
    <w:p w:rsidR="00A305ED" w:rsidRPr="00A305ED" w:rsidRDefault="00A305ED" w:rsidP="00A305ED">
      <w:pPr>
        <w:pStyle w:val="Prrafodelista"/>
        <w:numPr>
          <w:ilvl w:val="0"/>
          <w:numId w:val="15"/>
        </w:numPr>
        <w:spacing w:before="240" w:after="240" w:line="360" w:lineRule="auto"/>
        <w:ind w:left="0" w:firstLine="0"/>
        <w:jc w:val="both"/>
        <w:rPr>
          <w:rFonts w:ascii="Palatino Linotype" w:hAnsi="Palatino Linotype"/>
          <w:b/>
          <w:color w:val="000000" w:themeColor="text1"/>
        </w:rPr>
      </w:pPr>
      <w:r>
        <w:rPr>
          <w:rFonts w:ascii="Palatino Linotype" w:hAnsi="Palatino Linotype"/>
        </w:rPr>
        <w:t>M</w:t>
      </w:r>
      <w:r w:rsidR="006672E1" w:rsidRPr="00A305ED">
        <w:rPr>
          <w:rFonts w:ascii="Palatino Linotype" w:hAnsi="Palatino Linotype"/>
        </w:rPr>
        <w:t xml:space="preserve">ediante </w:t>
      </w:r>
      <w:r w:rsidR="006672E1" w:rsidRPr="00A305ED">
        <w:rPr>
          <w:rFonts w:ascii="Palatino Linotype" w:hAnsi="Palatino Linotype"/>
          <w:color w:val="000000"/>
        </w:rPr>
        <w:t>acuerdos</w:t>
      </w:r>
      <w:r w:rsidR="006672E1" w:rsidRPr="00A305ED">
        <w:rPr>
          <w:rFonts w:ascii="Palatino Linotype" w:hAnsi="Palatino Linotype"/>
        </w:rPr>
        <w:t xml:space="preserve"> de fecha </w:t>
      </w:r>
      <w:r w:rsidRPr="00A305ED">
        <w:rPr>
          <w:rFonts w:ascii="Palatino Linotype" w:hAnsi="Palatino Linotype"/>
        </w:rPr>
        <w:t>veintitrés (2</w:t>
      </w:r>
      <w:r w:rsidR="006672E1" w:rsidRPr="00A305ED">
        <w:rPr>
          <w:rFonts w:ascii="Palatino Linotype" w:hAnsi="Palatino Linotype"/>
        </w:rPr>
        <w:t>3</w:t>
      </w:r>
      <w:r w:rsidR="0001674C" w:rsidRPr="00A305ED">
        <w:rPr>
          <w:rFonts w:ascii="Palatino Linotype" w:hAnsi="Palatino Linotype"/>
        </w:rPr>
        <w:t xml:space="preserve">) de </w:t>
      </w:r>
      <w:r w:rsidR="006672E1" w:rsidRPr="00A305ED">
        <w:rPr>
          <w:rFonts w:ascii="Palatino Linotype" w:hAnsi="Palatino Linotype"/>
        </w:rPr>
        <w:t>may</w:t>
      </w:r>
      <w:r w:rsidR="0001674C" w:rsidRPr="00A305ED">
        <w:rPr>
          <w:rFonts w:ascii="Palatino Linotype" w:hAnsi="Palatino Linotype"/>
        </w:rPr>
        <w:t xml:space="preserve">o del año en curso, </w:t>
      </w:r>
      <w:r w:rsidR="006672E1" w:rsidRPr="00A305ED">
        <w:rPr>
          <w:rFonts w:ascii="Palatino Linotype" w:hAnsi="Palatino Linotype"/>
        </w:rPr>
        <w:t xml:space="preserve">se amplió el termino para resolver y posteriormente </w:t>
      </w:r>
      <w:r w:rsidR="0001674C" w:rsidRPr="00A305ED">
        <w:rPr>
          <w:rFonts w:ascii="Palatino Linotype" w:hAnsi="Palatino Linotype"/>
        </w:rPr>
        <w:t>se d</w:t>
      </w:r>
      <w:r w:rsidR="006672E1" w:rsidRPr="00A305ED">
        <w:rPr>
          <w:rFonts w:ascii="Palatino Linotype" w:hAnsi="Palatino Linotype"/>
        </w:rPr>
        <w:t>ecretó el cierre de instrucción</w:t>
      </w:r>
      <w:r w:rsidR="0001674C" w:rsidRPr="00A305ED">
        <w:rPr>
          <w:rFonts w:ascii="Palatino Linotype" w:hAnsi="Palatino Linotype"/>
        </w:rPr>
        <w:t xml:space="preserve">, </w:t>
      </w:r>
      <w:r w:rsidR="009F09BC" w:rsidRPr="00A305ED">
        <w:rPr>
          <w:rFonts w:ascii="Palatino Linotype" w:hAnsi="Palatino Linotype" w:cs="Arial"/>
        </w:rPr>
        <w:t>por lo que no habiendo más que hacer constar, y --------------------------</w:t>
      </w:r>
      <w:r w:rsidR="0001674C" w:rsidRPr="00A305ED">
        <w:rPr>
          <w:rFonts w:ascii="Palatino Linotype" w:hAnsi="Palatino Linotype" w:cs="Arial"/>
        </w:rPr>
        <w:t>-------------------</w:t>
      </w:r>
      <w:bookmarkStart w:id="133" w:name="_Toc491791302"/>
      <w:bookmarkStart w:id="134" w:name="_Toc83128578"/>
    </w:p>
    <w:p w:rsidR="009F09BC" w:rsidRPr="00A305ED" w:rsidRDefault="009F09BC" w:rsidP="00A305ED">
      <w:pPr>
        <w:pStyle w:val="Prrafodelista"/>
        <w:spacing w:before="240" w:after="240" w:line="360" w:lineRule="auto"/>
        <w:ind w:left="0"/>
        <w:jc w:val="center"/>
        <w:rPr>
          <w:rFonts w:ascii="Palatino Linotype" w:hAnsi="Palatino Linotype"/>
          <w:b/>
          <w:color w:val="000000" w:themeColor="text1"/>
        </w:rPr>
      </w:pPr>
      <w:r w:rsidRPr="00A305ED">
        <w:rPr>
          <w:rFonts w:ascii="Palatino Linotype" w:hAnsi="Palatino Linotype"/>
          <w:b/>
          <w:color w:val="000000" w:themeColor="text1"/>
        </w:rPr>
        <w:lastRenderedPageBreak/>
        <w:t>CONSIDERANDO</w:t>
      </w:r>
      <w:bookmarkEnd w:id="133"/>
      <w:bookmarkEnd w:id="134"/>
    </w:p>
    <w:p w:rsidR="009F09BC" w:rsidRPr="00D707F7" w:rsidRDefault="009F09BC" w:rsidP="009F09BC">
      <w:pPr>
        <w:rPr>
          <w:rFonts w:ascii="Palatino Linotype" w:hAnsi="Palatino Linotype"/>
          <w:lang w:val="es-MX" w:eastAsia="en-US"/>
        </w:rPr>
      </w:pPr>
    </w:p>
    <w:p w:rsidR="009F09BC" w:rsidRPr="00D707F7" w:rsidRDefault="009F09BC" w:rsidP="009F09BC">
      <w:pPr>
        <w:pStyle w:val="Ttulo2"/>
        <w:rPr>
          <w:rFonts w:ascii="Palatino Linotype" w:hAnsi="Palatino Linotype"/>
          <w:b/>
          <w:color w:val="auto"/>
          <w:sz w:val="24"/>
          <w:szCs w:val="24"/>
        </w:rPr>
      </w:pPr>
      <w:bookmarkStart w:id="135" w:name="_Toc491791303"/>
      <w:bookmarkStart w:id="136" w:name="_Toc83128579"/>
      <w:r w:rsidRPr="00D707F7">
        <w:rPr>
          <w:rFonts w:ascii="Palatino Linotype" w:hAnsi="Palatino Linotype"/>
          <w:b/>
          <w:color w:val="auto"/>
          <w:sz w:val="24"/>
          <w:szCs w:val="24"/>
        </w:rPr>
        <w:t>PRIMERO. De la competencia</w:t>
      </w:r>
      <w:bookmarkEnd w:id="135"/>
      <w:bookmarkEnd w:id="136"/>
    </w:p>
    <w:p w:rsidR="009F09BC" w:rsidRPr="00D707F7" w:rsidRDefault="009F09BC" w:rsidP="009F09BC">
      <w:pPr>
        <w:rPr>
          <w:rFonts w:ascii="Palatino Linotype" w:hAnsi="Palatino Linotype"/>
          <w:lang w:val="es-MX" w:eastAsia="en-US"/>
        </w:rPr>
      </w:pPr>
    </w:p>
    <w:p w:rsidR="00353F1D" w:rsidRPr="009E6B17" w:rsidRDefault="00353F1D" w:rsidP="00353F1D">
      <w:pPr>
        <w:pStyle w:val="Prrafodelista"/>
        <w:numPr>
          <w:ilvl w:val="0"/>
          <w:numId w:val="15"/>
        </w:numPr>
        <w:spacing w:line="360" w:lineRule="auto"/>
        <w:ind w:left="0" w:firstLine="0"/>
        <w:jc w:val="both"/>
        <w:rPr>
          <w:rFonts w:ascii="Palatino Linotype" w:hAnsi="Palatino Linotype"/>
          <w:color w:val="000000" w:themeColor="text1"/>
        </w:rPr>
      </w:pPr>
      <w:r w:rsidRPr="009E6B17">
        <w:rPr>
          <w:rFonts w:ascii="Palatino Linotype" w:hAnsi="Palatino Linotype"/>
          <w:color w:val="000000" w:themeColor="text1"/>
        </w:rPr>
        <w:t xml:space="preserve">El </w:t>
      </w:r>
      <w:r w:rsidRPr="00B34159">
        <w:rPr>
          <w:rFonts w:ascii="Palatino Linotype" w:hAnsi="Palatino Linotype"/>
        </w:rPr>
        <w:t>Instituto</w:t>
      </w:r>
      <w:r w:rsidRPr="009E6B17">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9F09BC" w:rsidRPr="00C936E7" w:rsidRDefault="009F09BC" w:rsidP="00353F1D">
      <w:pPr>
        <w:pStyle w:val="Prrafodelista"/>
        <w:spacing w:line="360" w:lineRule="auto"/>
        <w:ind w:left="0"/>
        <w:jc w:val="both"/>
        <w:rPr>
          <w:rFonts w:ascii="Palatino Linotype" w:eastAsia="Calibri" w:hAnsi="Palatino Linotype" w:cs="Times New Roman"/>
          <w:b/>
          <w:lang w:val="es-ES"/>
        </w:rPr>
      </w:pPr>
    </w:p>
    <w:p w:rsidR="009F09BC" w:rsidRDefault="009F09BC" w:rsidP="009F09BC">
      <w:pPr>
        <w:pStyle w:val="Ttulo2"/>
        <w:rPr>
          <w:rFonts w:ascii="Palatino Linotype" w:hAnsi="Palatino Linotype"/>
          <w:b/>
          <w:color w:val="auto"/>
          <w:sz w:val="24"/>
          <w:szCs w:val="24"/>
        </w:rPr>
      </w:pPr>
      <w:bookmarkStart w:id="137" w:name="_Toc491791304"/>
      <w:bookmarkStart w:id="138" w:name="_Toc83128580"/>
      <w:r w:rsidRPr="00CA1063">
        <w:rPr>
          <w:rFonts w:ascii="Palatino Linotype" w:hAnsi="Palatino Linotype"/>
          <w:b/>
          <w:color w:val="auto"/>
          <w:sz w:val="24"/>
          <w:szCs w:val="24"/>
        </w:rPr>
        <w:t>SEGUNDO. De la oportunidad y procedencia.</w:t>
      </w:r>
      <w:bookmarkEnd w:id="137"/>
      <w:bookmarkEnd w:id="138"/>
    </w:p>
    <w:p w:rsidR="009F09BC" w:rsidRPr="002D58F8" w:rsidRDefault="009F09BC" w:rsidP="009F09BC">
      <w:pPr>
        <w:rPr>
          <w:lang w:val="es-MX" w:eastAsia="en-US"/>
        </w:rPr>
      </w:pPr>
    </w:p>
    <w:p w:rsidR="009F09BC" w:rsidRPr="0062406B" w:rsidRDefault="00425842" w:rsidP="009F09BC">
      <w:pPr>
        <w:pStyle w:val="Prrafodelista"/>
        <w:numPr>
          <w:ilvl w:val="0"/>
          <w:numId w:val="15"/>
        </w:numPr>
        <w:spacing w:line="360" w:lineRule="auto"/>
        <w:ind w:left="0" w:firstLine="0"/>
        <w:jc w:val="both"/>
        <w:rPr>
          <w:rFonts w:ascii="Palatino Linotype" w:hAnsi="Palatino Linotype"/>
        </w:rPr>
      </w:pPr>
      <w:r>
        <w:rPr>
          <w:rFonts w:ascii="Palatino Linotype" w:eastAsia="Calibri" w:hAnsi="Palatino Linotype" w:cs="Arial"/>
        </w:rPr>
        <w:t>El</w:t>
      </w:r>
      <w:r w:rsidR="00AD63B4">
        <w:rPr>
          <w:rFonts w:ascii="Palatino Linotype" w:eastAsia="Calibri" w:hAnsi="Palatino Linotype" w:cs="Arial"/>
        </w:rPr>
        <w:t xml:space="preserve"> </w:t>
      </w:r>
      <w:r w:rsidR="009F09BC" w:rsidRPr="00E859F4">
        <w:rPr>
          <w:rFonts w:ascii="Palatino Linotype" w:eastAsia="Calibri" w:hAnsi="Palatino Linotype" w:cs="Arial"/>
        </w:rPr>
        <w:t xml:space="preserve">medio de impugnación fue presentado a través del </w:t>
      </w:r>
      <w:r w:rsidR="009F09BC" w:rsidRPr="00E859F4">
        <w:rPr>
          <w:rFonts w:ascii="Palatino Linotype" w:eastAsia="Calibri" w:hAnsi="Palatino Linotype" w:cs="Arial"/>
          <w:b/>
        </w:rPr>
        <w:t>SAIMEX,</w:t>
      </w:r>
      <w:r w:rsidR="009F09BC" w:rsidRPr="00E859F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E859F4">
        <w:rPr>
          <w:rFonts w:ascii="Palatino Linotype" w:eastAsia="Calibri" w:hAnsi="Palatino Linotype" w:cs="Arial"/>
          <w:b/>
        </w:rPr>
        <w:t>SUJETO OBLIGADO</w:t>
      </w:r>
      <w:r>
        <w:rPr>
          <w:rFonts w:ascii="Palatino Linotype" w:eastAsia="Calibri" w:hAnsi="Palatino Linotype" w:cs="Arial"/>
        </w:rPr>
        <w:t xml:space="preserve"> entregó su</w:t>
      </w:r>
      <w:r w:rsidR="009F09BC" w:rsidRPr="00E859F4">
        <w:rPr>
          <w:rFonts w:ascii="Palatino Linotype" w:eastAsia="Calibri" w:hAnsi="Palatino Linotype" w:cs="Arial"/>
        </w:rPr>
        <w:t xml:space="preserve"> respuesta </w:t>
      </w:r>
      <w:r>
        <w:rPr>
          <w:rFonts w:ascii="Palatino Linotype" w:eastAsia="Calibri" w:hAnsi="Palatino Linotype" w:cs="Arial"/>
        </w:rPr>
        <w:t>e</w:t>
      </w:r>
      <w:r w:rsidR="009F09BC" w:rsidRPr="00E859F4">
        <w:rPr>
          <w:rFonts w:ascii="Palatino Linotype" w:eastAsia="Calibri" w:hAnsi="Palatino Linotype" w:cs="Arial"/>
        </w:rPr>
        <w:t xml:space="preserve">l </w:t>
      </w:r>
      <w:r w:rsidR="000F1081" w:rsidRPr="00E859F4">
        <w:rPr>
          <w:rFonts w:ascii="Palatino Linotype" w:eastAsia="Calibri" w:hAnsi="Palatino Linotype" w:cs="Arial"/>
        </w:rPr>
        <w:t>d</w:t>
      </w:r>
      <w:r w:rsidR="000F1081">
        <w:rPr>
          <w:rFonts w:ascii="Palatino Linotype" w:eastAsia="Calibri" w:hAnsi="Palatino Linotype" w:cs="Arial"/>
        </w:rPr>
        <w:t>ieciocho</w:t>
      </w:r>
      <w:r>
        <w:rPr>
          <w:rFonts w:ascii="Palatino Linotype" w:eastAsia="Calibri" w:hAnsi="Palatino Linotype" w:cs="Arial"/>
        </w:rPr>
        <w:t xml:space="preserve"> (1</w:t>
      </w:r>
      <w:r w:rsidR="000F1081">
        <w:rPr>
          <w:rFonts w:ascii="Palatino Linotype" w:eastAsia="Calibri" w:hAnsi="Palatino Linotype" w:cs="Arial"/>
        </w:rPr>
        <w:t>8</w:t>
      </w:r>
      <w:r w:rsidR="009F09BC" w:rsidRPr="00E859F4">
        <w:rPr>
          <w:rFonts w:ascii="Palatino Linotype" w:eastAsia="Calibri" w:hAnsi="Palatino Linotype" w:cs="Arial"/>
        </w:rPr>
        <w:t xml:space="preserve">) de </w:t>
      </w:r>
      <w:r w:rsidR="007A460E">
        <w:rPr>
          <w:rFonts w:ascii="Palatino Linotype" w:eastAsia="Calibri" w:hAnsi="Palatino Linotype" w:cs="Arial"/>
        </w:rPr>
        <w:t>febre</w:t>
      </w:r>
      <w:r>
        <w:rPr>
          <w:rFonts w:ascii="Palatino Linotype" w:eastAsia="Calibri" w:hAnsi="Palatino Linotype" w:cs="Arial"/>
        </w:rPr>
        <w:t>ro de dos mil veintidós</w:t>
      </w:r>
      <w:r w:rsidR="009F09BC" w:rsidRPr="00E859F4">
        <w:rPr>
          <w:rFonts w:ascii="Palatino Linotype" w:eastAsia="Calibri" w:hAnsi="Palatino Linotype" w:cs="Arial"/>
        </w:rPr>
        <w:t xml:space="preserve">, </w:t>
      </w:r>
      <w:r w:rsidR="009F09BC" w:rsidRPr="00E859F4">
        <w:rPr>
          <w:rFonts w:ascii="Palatino Linotype" w:hAnsi="Palatino Linotype" w:cs="Arial"/>
        </w:rPr>
        <w:t xml:space="preserve">de tal forma que </w:t>
      </w:r>
      <w:r>
        <w:rPr>
          <w:rFonts w:ascii="Palatino Linotype" w:hAnsi="Palatino Linotype" w:cs="Arial"/>
        </w:rPr>
        <w:t>e</w:t>
      </w:r>
      <w:r w:rsidR="009F09BC" w:rsidRPr="00E859F4">
        <w:rPr>
          <w:rFonts w:ascii="Palatino Linotype" w:hAnsi="Palatino Linotype" w:cs="Arial"/>
        </w:rPr>
        <w:t xml:space="preserve">l plazo para interponer </w:t>
      </w:r>
      <w:r>
        <w:rPr>
          <w:rFonts w:ascii="Palatino Linotype" w:hAnsi="Palatino Linotype" w:cs="Arial"/>
        </w:rPr>
        <w:t>e</w:t>
      </w:r>
      <w:r w:rsidR="009F09BC" w:rsidRPr="00E859F4">
        <w:rPr>
          <w:rFonts w:ascii="Palatino Linotype" w:hAnsi="Palatino Linotype" w:cs="Arial"/>
        </w:rPr>
        <w:t xml:space="preserve">l recurso de revisión </w:t>
      </w:r>
      <w:r w:rsidRPr="00E859F4">
        <w:rPr>
          <w:rFonts w:ascii="Palatino Linotype" w:hAnsi="Palatino Linotype" w:cs="Arial"/>
        </w:rPr>
        <w:t>transcurri</w:t>
      </w:r>
      <w:r>
        <w:rPr>
          <w:rFonts w:ascii="Palatino Linotype" w:hAnsi="Palatino Linotype" w:cs="Arial"/>
        </w:rPr>
        <w:t>ó</w:t>
      </w:r>
      <w:r w:rsidR="009F09BC" w:rsidRPr="00E859F4">
        <w:rPr>
          <w:rFonts w:ascii="Palatino Linotype" w:hAnsi="Palatino Linotype" w:cs="Arial"/>
        </w:rPr>
        <w:t xml:space="preserve"> del día </w:t>
      </w:r>
      <w:r w:rsidR="000F1081">
        <w:rPr>
          <w:rFonts w:ascii="Palatino Linotype" w:hAnsi="Palatino Linotype" w:cs="Arial"/>
        </w:rPr>
        <w:t xml:space="preserve">diecinueve </w:t>
      </w:r>
      <w:r w:rsidR="000F1081">
        <w:rPr>
          <w:rFonts w:ascii="Palatino Linotype" w:hAnsi="Palatino Linotype" w:cs="Arial"/>
        </w:rPr>
        <w:lastRenderedPageBreak/>
        <w:t>(21</w:t>
      </w:r>
      <w:r w:rsidR="009F09BC" w:rsidRPr="00E859F4">
        <w:rPr>
          <w:rFonts w:ascii="Palatino Linotype" w:hAnsi="Palatino Linotype" w:cs="Arial"/>
        </w:rPr>
        <w:t xml:space="preserve">) de </w:t>
      </w:r>
      <w:r w:rsidR="007A460E">
        <w:rPr>
          <w:rFonts w:ascii="Palatino Linotype" w:hAnsi="Palatino Linotype" w:cs="Arial"/>
        </w:rPr>
        <w:t>febre</w:t>
      </w:r>
      <w:r>
        <w:rPr>
          <w:rFonts w:ascii="Palatino Linotype" w:hAnsi="Palatino Linotype" w:cs="Arial"/>
        </w:rPr>
        <w:t>ro</w:t>
      </w:r>
      <w:r w:rsidR="007A460E">
        <w:rPr>
          <w:rFonts w:ascii="Palatino Linotype" w:hAnsi="Palatino Linotype" w:cs="Arial"/>
        </w:rPr>
        <w:t xml:space="preserve"> al </w:t>
      </w:r>
      <w:r w:rsidR="000F1081">
        <w:rPr>
          <w:rFonts w:ascii="Palatino Linotype" w:hAnsi="Palatino Linotype" w:cs="Arial"/>
        </w:rPr>
        <w:t>catorce</w:t>
      </w:r>
      <w:r w:rsidR="009F09BC" w:rsidRPr="00E859F4">
        <w:rPr>
          <w:rFonts w:ascii="Palatino Linotype" w:hAnsi="Palatino Linotype" w:cs="Arial"/>
        </w:rPr>
        <w:t xml:space="preserve"> (</w:t>
      </w:r>
      <w:r w:rsidR="000F1081">
        <w:rPr>
          <w:rFonts w:ascii="Palatino Linotype" w:hAnsi="Palatino Linotype" w:cs="Arial"/>
        </w:rPr>
        <w:t>1</w:t>
      </w:r>
      <w:r w:rsidR="007A460E">
        <w:rPr>
          <w:rFonts w:ascii="Palatino Linotype" w:hAnsi="Palatino Linotype" w:cs="Arial"/>
        </w:rPr>
        <w:t>4</w:t>
      </w:r>
      <w:r w:rsidR="009F09BC" w:rsidRPr="00E859F4">
        <w:rPr>
          <w:rFonts w:ascii="Palatino Linotype" w:hAnsi="Palatino Linotype" w:cs="Arial"/>
        </w:rPr>
        <w:t>)</w:t>
      </w:r>
      <w:r w:rsidR="0001674C">
        <w:rPr>
          <w:rFonts w:ascii="Palatino Linotype" w:hAnsi="Palatino Linotype" w:cs="Arial"/>
        </w:rPr>
        <w:t xml:space="preserve"> de </w:t>
      </w:r>
      <w:r w:rsidR="007A460E">
        <w:rPr>
          <w:rFonts w:ascii="Palatino Linotype" w:hAnsi="Palatino Linotype" w:cs="Arial"/>
        </w:rPr>
        <w:t>marz</w:t>
      </w:r>
      <w:r>
        <w:rPr>
          <w:rFonts w:ascii="Palatino Linotype" w:hAnsi="Palatino Linotype" w:cs="Arial"/>
        </w:rPr>
        <w:t>o</w:t>
      </w:r>
      <w:r w:rsidR="0001674C">
        <w:rPr>
          <w:rFonts w:ascii="Palatino Linotype" w:hAnsi="Palatino Linotype" w:cs="Arial"/>
        </w:rPr>
        <w:t xml:space="preserve"> de dos mil </w:t>
      </w:r>
      <w:r>
        <w:rPr>
          <w:rFonts w:ascii="Palatino Linotype" w:hAnsi="Palatino Linotype" w:cs="Arial"/>
        </w:rPr>
        <w:t>veintidós</w:t>
      </w:r>
      <w:r w:rsidR="0001674C">
        <w:rPr>
          <w:rFonts w:ascii="Palatino Linotype" w:hAnsi="Palatino Linotype" w:cs="Arial"/>
        </w:rPr>
        <w:t>; e</w:t>
      </w:r>
      <w:r w:rsidR="009F09BC" w:rsidRPr="00E859F4">
        <w:rPr>
          <w:rFonts w:ascii="Palatino Linotype" w:hAnsi="Palatino Linotype" w:cs="Arial"/>
        </w:rPr>
        <w:t xml:space="preserve">n consecuencia, </w:t>
      </w:r>
      <w:r w:rsidR="009F09BC">
        <w:rPr>
          <w:rFonts w:ascii="Palatino Linotype" w:hAnsi="Palatino Linotype" w:cs="Arial"/>
        </w:rPr>
        <w:t>e</w:t>
      </w:r>
      <w:r w:rsidR="009F09BC" w:rsidRPr="00E859F4">
        <w:rPr>
          <w:rFonts w:ascii="Palatino Linotype" w:hAnsi="Palatino Linotype" w:cs="Arial"/>
        </w:rPr>
        <w:t xml:space="preserve">l ahora </w:t>
      </w:r>
      <w:r w:rsidR="009F09BC" w:rsidRPr="00E859F4">
        <w:rPr>
          <w:rFonts w:ascii="Palatino Linotype" w:hAnsi="Palatino Linotype" w:cs="Arial"/>
          <w:b/>
        </w:rPr>
        <w:t>RECURRENTE</w:t>
      </w:r>
      <w:r w:rsidR="009F09BC" w:rsidRPr="00E859F4">
        <w:rPr>
          <w:rFonts w:ascii="Palatino Linotype" w:hAnsi="Palatino Linotype" w:cs="Arial"/>
        </w:rPr>
        <w:t xml:space="preserve"> presentó </w:t>
      </w:r>
      <w:r w:rsidR="00CA1063">
        <w:rPr>
          <w:rFonts w:ascii="Palatino Linotype" w:hAnsi="Palatino Linotype" w:cs="Arial"/>
        </w:rPr>
        <w:t xml:space="preserve">su inconformidad el día </w:t>
      </w:r>
      <w:r w:rsidR="000F1081">
        <w:rPr>
          <w:rFonts w:ascii="Palatino Linotype" w:hAnsi="Palatino Linotype" w:cs="Arial"/>
        </w:rPr>
        <w:t>veintitrés</w:t>
      </w:r>
      <w:r w:rsidR="0082142B">
        <w:rPr>
          <w:rFonts w:ascii="Palatino Linotype" w:hAnsi="Palatino Linotype" w:cs="Arial"/>
        </w:rPr>
        <w:t xml:space="preserve"> </w:t>
      </w:r>
      <w:r w:rsidR="009F09BC" w:rsidRPr="00E859F4">
        <w:rPr>
          <w:rFonts w:ascii="Palatino Linotype" w:hAnsi="Palatino Linotype" w:cs="Arial"/>
        </w:rPr>
        <w:t>(</w:t>
      </w:r>
      <w:r w:rsidR="0082142B">
        <w:rPr>
          <w:rFonts w:ascii="Palatino Linotype" w:hAnsi="Palatino Linotype" w:cs="Arial"/>
        </w:rPr>
        <w:t>2</w:t>
      </w:r>
      <w:r w:rsidR="000F1081">
        <w:rPr>
          <w:rFonts w:ascii="Palatino Linotype" w:hAnsi="Palatino Linotype" w:cs="Arial"/>
        </w:rPr>
        <w:t>3</w:t>
      </w:r>
      <w:r w:rsidR="009F09BC" w:rsidRPr="00E859F4">
        <w:rPr>
          <w:rFonts w:ascii="Palatino Linotype" w:hAnsi="Palatino Linotype" w:cs="Arial"/>
        </w:rPr>
        <w:t xml:space="preserve">) de </w:t>
      </w:r>
      <w:r w:rsidR="007A460E">
        <w:rPr>
          <w:rFonts w:ascii="Palatino Linotype" w:hAnsi="Palatino Linotype" w:cs="Arial"/>
        </w:rPr>
        <w:t>febre</w:t>
      </w:r>
      <w:r w:rsidR="007142D6">
        <w:rPr>
          <w:rFonts w:ascii="Palatino Linotype" w:hAnsi="Palatino Linotype" w:cs="Arial"/>
        </w:rPr>
        <w:t>ro de dos mil veintidós</w:t>
      </w:r>
      <w:r w:rsidR="009F09BC" w:rsidRPr="00E859F4">
        <w:rPr>
          <w:rFonts w:ascii="Palatino Linotype" w:hAnsi="Palatino Linotype" w:cs="Arial"/>
        </w:rPr>
        <w:t xml:space="preserve">; </w:t>
      </w:r>
      <w:r w:rsidR="0062406B">
        <w:rPr>
          <w:rFonts w:ascii="Palatino Linotype" w:hAnsi="Palatino Linotype" w:cs="Arial"/>
        </w:rPr>
        <w:t xml:space="preserve">es decir </w:t>
      </w:r>
      <w:r w:rsidR="0082142B">
        <w:rPr>
          <w:rFonts w:ascii="Palatino Linotype" w:hAnsi="Palatino Linotype" w:cs="Arial"/>
        </w:rPr>
        <w:t>dentro d</w:t>
      </w:r>
      <w:r w:rsidR="009F09BC" w:rsidRPr="00E859F4">
        <w:rPr>
          <w:rFonts w:ascii="Palatino Linotype" w:hAnsi="Palatino Linotype" w:cs="Arial"/>
        </w:rPr>
        <w:t>el lapso legalmente establecido para tal efecto.</w:t>
      </w:r>
    </w:p>
    <w:p w:rsidR="0062406B" w:rsidRPr="0062406B" w:rsidRDefault="0062406B" w:rsidP="0062406B">
      <w:pPr>
        <w:pStyle w:val="Prrafodelista"/>
        <w:spacing w:line="360" w:lineRule="auto"/>
        <w:ind w:left="0"/>
        <w:jc w:val="both"/>
        <w:rPr>
          <w:rFonts w:ascii="Palatino Linotype" w:hAnsi="Palatino Linotype"/>
        </w:rPr>
      </w:pPr>
    </w:p>
    <w:p w:rsidR="0074110E"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Pr>
          <w:rFonts w:ascii="Palatino Linotype" w:hAnsi="Palatino Linotype"/>
        </w:rPr>
        <w:t xml:space="preserve">Por otro lado, </w:t>
      </w:r>
      <w:r w:rsidRPr="007C3761">
        <w:rPr>
          <w:rFonts w:ascii="Palatino Linotype" w:eastAsia="Calibri" w:hAnsi="Palatino Linotype" w:cs="Arial"/>
        </w:rPr>
        <w:t>es</w:t>
      </w:r>
      <w:r w:rsidRPr="00AB76AB">
        <w:rPr>
          <w:rFonts w:ascii="Palatino Linotype" w:eastAsia="Palatino Linotype" w:hAnsi="Palatino Linotype" w:cs="Palatino Linotype"/>
        </w:rPr>
        <w:t xml:space="preserve"> de suma importancia señalar que la parte recurrente </w:t>
      </w:r>
      <w:r>
        <w:rPr>
          <w:rFonts w:ascii="Palatino Linotype" w:eastAsia="Palatino Linotype" w:hAnsi="Palatino Linotype" w:cs="Palatino Linotype"/>
        </w:rPr>
        <w:t xml:space="preserve">no proporciona un nombre o datos de identificación </w:t>
      </w:r>
      <w:r w:rsidRPr="00AB76AB">
        <w:rPr>
          <w:rFonts w:ascii="Palatino Linotype" w:eastAsia="Palatino Linotype" w:hAnsi="Palatino Linotype" w:cs="Palatino Linotype"/>
        </w:rPr>
        <w:t>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82142B" w:rsidRPr="0082142B" w:rsidRDefault="0082142B" w:rsidP="0082142B">
      <w:pPr>
        <w:pStyle w:val="Prrafodelista"/>
        <w:rPr>
          <w:rFonts w:ascii="Palatino Linotype" w:eastAsia="Palatino Linotype" w:hAnsi="Palatino Linotype" w:cs="Palatino Linotype"/>
        </w:rPr>
      </w:pPr>
    </w:p>
    <w:p w:rsidR="0074110E" w:rsidRPr="00AB76AB" w:rsidRDefault="0074110E" w:rsidP="0074110E">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r w:rsidRPr="00AB76AB">
        <w:rPr>
          <w:rFonts w:ascii="Palatino Linotype" w:eastAsia="Palatino Linotype" w:hAnsi="Palatino Linotype" w:cs="Palatino Linotype"/>
          <w:b/>
          <w:i/>
        </w:rPr>
        <w:t>Las solicitudes anónimas</w:t>
      </w:r>
      <w:r w:rsidRPr="00AB76AB">
        <w:rPr>
          <w:rFonts w:ascii="Palatino Linotype" w:eastAsia="Palatino Linotype" w:hAnsi="Palatino Linotype" w:cs="Palatino Linotype"/>
          <w:i/>
        </w:rPr>
        <w:t xml:space="preserve">, con nombre incompleto o seudónimo </w:t>
      </w:r>
      <w:r w:rsidRPr="00AB76AB">
        <w:rPr>
          <w:rFonts w:ascii="Palatino Linotype" w:eastAsia="Palatino Linotype" w:hAnsi="Palatino Linotype" w:cs="Palatino Linotype"/>
          <w:b/>
          <w:i/>
        </w:rPr>
        <w:t>serán procedentes para su trámite por parte del sujeto obligado ante quien se presente</w:t>
      </w:r>
      <w:r w:rsidRPr="00AB76AB">
        <w:rPr>
          <w:rFonts w:ascii="Palatino Linotype" w:eastAsia="Palatino Linotype" w:hAnsi="Palatino Linotype" w:cs="Palatino Linotype"/>
          <w:i/>
        </w:rPr>
        <w:t>. No podrá requerirse información adicional con motivo del nombre proporcionado por el solicitante."</w:t>
      </w:r>
    </w:p>
    <w:p w:rsidR="0074110E" w:rsidRPr="00AB76AB" w:rsidRDefault="0074110E" w:rsidP="0074110E">
      <w:pPr>
        <w:spacing w:line="360" w:lineRule="auto"/>
        <w:jc w:val="both"/>
        <w:rPr>
          <w:rFonts w:ascii="Palatino Linotype" w:eastAsia="Palatino Linotype" w:hAnsi="Palatino Linotype" w:cs="Palatino Linotype"/>
        </w:rPr>
      </w:pPr>
    </w:p>
    <w:p w:rsidR="0074110E" w:rsidRPr="00AB76AB"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112D7E">
        <w:rPr>
          <w:rFonts w:ascii="Palatino Linotype" w:hAnsi="Palatino Linotype"/>
        </w:rPr>
        <w:t>Robusteciendo</w:t>
      </w:r>
      <w:r w:rsidRPr="00AB76AB">
        <w:rPr>
          <w:rFonts w:ascii="Palatino Linotype" w:eastAsia="Palatino Linotype" w:hAnsi="Palatino Linotype" w:cs="Palatino Linotype"/>
        </w:rPr>
        <w:t xml:space="preserve"> lo anterior se encuentra lo dispuesto en el artículo 6, Apartado A, </w:t>
      </w:r>
      <w:r w:rsidRPr="00AB76AB">
        <w:rPr>
          <w:rFonts w:ascii="Palatino Linotype" w:eastAsia="Palatino Linotype" w:hAnsi="Palatino Linotype" w:cs="Palatino Linotype"/>
          <w:color w:val="000000"/>
        </w:rPr>
        <w:t>fracciones</w:t>
      </w:r>
      <w:r w:rsidRPr="00AB76AB">
        <w:rPr>
          <w:rFonts w:ascii="Palatino Linotype" w:eastAsia="Palatino Linotype" w:hAnsi="Palatino Linotype" w:cs="Palatino Linotype"/>
        </w:rPr>
        <w:t xml:space="preserve"> III de la Constitución Política de los Estados Unidos Mexicanos que establece:</w:t>
      </w:r>
    </w:p>
    <w:p w:rsidR="0074110E" w:rsidRPr="00AB76AB" w:rsidRDefault="0074110E" w:rsidP="0074110E">
      <w:pPr>
        <w:spacing w:line="360" w:lineRule="auto"/>
        <w:ind w:right="474"/>
        <w:jc w:val="both"/>
        <w:rPr>
          <w:rFonts w:ascii="Palatino Linotype" w:eastAsia="Palatino Linotype" w:hAnsi="Palatino Linotype" w:cs="Palatino Linotype"/>
          <w:i/>
        </w:rPr>
      </w:pPr>
    </w:p>
    <w:p w:rsidR="0074110E" w:rsidRPr="00AB76AB" w:rsidRDefault="0074110E" w:rsidP="0074110E">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r w:rsidRPr="00AB76AB">
        <w:rPr>
          <w:rFonts w:ascii="Palatino Linotype" w:eastAsia="Palatino Linotype" w:hAnsi="Palatino Linotype" w:cs="Palatino Linotype"/>
          <w:b/>
          <w:i/>
        </w:rPr>
        <w:t>Artículo 6.-</w:t>
      </w:r>
      <w:r w:rsidRPr="00AB76AB">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w:t>
      </w:r>
      <w:r w:rsidRPr="00AB76AB">
        <w:rPr>
          <w:rFonts w:ascii="Palatino Linotype" w:eastAsia="Palatino Linotype" w:hAnsi="Palatino Linotype" w:cs="Palatino Linotype"/>
          <w:i/>
        </w:rPr>
        <w:lastRenderedPageBreak/>
        <w:t>derecho de réplica será ejercido en los términos dispuestos por la ley. El derecho a la información será garantizado por el Estado.</w:t>
      </w:r>
    </w:p>
    <w:p w:rsidR="0074110E" w:rsidRPr="00AB76AB" w:rsidRDefault="0074110E" w:rsidP="0074110E">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Para efectos de lo dispuesto en el presente artículo se observará lo siguiente:</w:t>
      </w:r>
    </w:p>
    <w:p w:rsidR="0074110E" w:rsidRPr="00AB76AB" w:rsidRDefault="0074110E" w:rsidP="0074110E">
      <w:pPr>
        <w:spacing w:line="360" w:lineRule="auto"/>
        <w:ind w:left="567" w:right="474"/>
        <w:jc w:val="both"/>
        <w:rPr>
          <w:rFonts w:ascii="Palatino Linotype" w:eastAsia="Palatino Linotype" w:hAnsi="Palatino Linotype" w:cs="Palatino Linotype"/>
          <w:i/>
        </w:rPr>
      </w:pPr>
    </w:p>
    <w:p w:rsidR="0074110E" w:rsidRPr="00AB76AB" w:rsidRDefault="0074110E" w:rsidP="0074110E">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74110E" w:rsidRPr="00AB76AB" w:rsidRDefault="0074110E" w:rsidP="0074110E">
      <w:pPr>
        <w:spacing w:line="360" w:lineRule="auto"/>
        <w:ind w:left="567" w:right="474"/>
        <w:jc w:val="both"/>
        <w:rPr>
          <w:rFonts w:ascii="Palatino Linotype" w:eastAsia="Palatino Linotype" w:hAnsi="Palatino Linotype" w:cs="Palatino Linotype"/>
          <w:i/>
        </w:rPr>
      </w:pPr>
    </w:p>
    <w:p w:rsidR="0074110E" w:rsidRPr="00AB76AB" w:rsidRDefault="0074110E" w:rsidP="0074110E">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 (Sic)</w:t>
      </w:r>
    </w:p>
    <w:p w:rsidR="0074110E" w:rsidRPr="00AB76AB" w:rsidRDefault="0074110E" w:rsidP="0074110E">
      <w:pPr>
        <w:spacing w:line="360" w:lineRule="auto"/>
        <w:ind w:left="567" w:right="474"/>
        <w:jc w:val="both"/>
        <w:rPr>
          <w:rFonts w:ascii="Palatino Linotype" w:eastAsia="Palatino Linotype" w:hAnsi="Palatino Linotype" w:cs="Palatino Linotype"/>
          <w:i/>
        </w:rPr>
      </w:pPr>
    </w:p>
    <w:p w:rsidR="0074110E"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rsidR="0074110E" w:rsidRPr="00AB76AB" w:rsidRDefault="0074110E" w:rsidP="0074110E">
      <w:pPr>
        <w:pStyle w:val="Prrafodelista"/>
        <w:spacing w:line="360" w:lineRule="auto"/>
        <w:ind w:left="0"/>
        <w:jc w:val="both"/>
        <w:rPr>
          <w:rFonts w:ascii="Palatino Linotype" w:eastAsia="Palatino Linotype" w:hAnsi="Palatino Linotype" w:cs="Palatino Linotype"/>
        </w:rPr>
      </w:pPr>
    </w:p>
    <w:p w:rsidR="0074110E" w:rsidRPr="00AB76AB" w:rsidRDefault="0074110E" w:rsidP="0074110E">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r w:rsidRPr="00AB76AB">
        <w:rPr>
          <w:rFonts w:ascii="Palatino Linotype" w:eastAsia="Palatino Linotype" w:hAnsi="Palatino Linotype" w:cs="Palatino Linotype"/>
          <w:b/>
          <w:i/>
        </w:rPr>
        <w:t>Artículo 5.-</w:t>
      </w:r>
      <w:r w:rsidRPr="00AB76AB">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74110E" w:rsidRPr="00AB76AB" w:rsidRDefault="0074110E" w:rsidP="0074110E">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p>
    <w:p w:rsidR="0074110E" w:rsidRPr="00AB76AB" w:rsidRDefault="0074110E" w:rsidP="0074110E">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lastRenderedPageBreak/>
        <w:t>Toda persona en el Estado de México, tiene derecho al libre acceso a la información plural y oportuna, así como a buscar recibir y difundir información e ideas de toda índole por cualquier medio de expresión.</w:t>
      </w:r>
    </w:p>
    <w:p w:rsidR="0074110E" w:rsidRPr="00AB76AB" w:rsidRDefault="0074110E" w:rsidP="0074110E">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p>
    <w:p w:rsidR="0074110E" w:rsidRPr="00AB76AB" w:rsidRDefault="0074110E" w:rsidP="0074110E">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74110E" w:rsidRPr="00AB76AB" w:rsidRDefault="0074110E" w:rsidP="0074110E">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74110E" w:rsidRPr="00AB76AB" w:rsidRDefault="0074110E" w:rsidP="0074110E">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74110E" w:rsidRPr="00AB76AB" w:rsidRDefault="0074110E" w:rsidP="0074110E">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p>
    <w:p w:rsidR="0074110E" w:rsidRPr="00AB76AB" w:rsidRDefault="0074110E" w:rsidP="0074110E">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74110E" w:rsidRPr="00AB76AB" w:rsidRDefault="0074110E" w:rsidP="0074110E">
      <w:pPr>
        <w:spacing w:line="360" w:lineRule="auto"/>
        <w:ind w:left="567" w:right="474"/>
        <w:jc w:val="both"/>
        <w:rPr>
          <w:rFonts w:ascii="Palatino Linotype" w:eastAsia="Palatino Linotype" w:hAnsi="Palatino Linotype" w:cs="Palatino Linotype"/>
          <w:i/>
        </w:rPr>
      </w:pPr>
    </w:p>
    <w:p w:rsidR="0074110E" w:rsidRPr="00AB76AB"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lastRenderedPageBreak/>
        <w:t>Por otra parte, del contenido del artículo 1 de la Constitución Política de los Estados</w:t>
      </w:r>
      <w:r>
        <w:rPr>
          <w:rFonts w:ascii="Palatino Linotype" w:eastAsia="Palatino Linotype" w:hAnsi="Palatino Linotype" w:cs="Palatino Linotype"/>
        </w:rPr>
        <w:t xml:space="preserve"> </w:t>
      </w:r>
      <w:r w:rsidRPr="00AB76AB">
        <w:rPr>
          <w:rFonts w:ascii="Palatino Linotype" w:eastAsia="Palatino Linotype" w:hAnsi="Palatino Linotype" w:cs="Palatino Linotype"/>
        </w:rPr>
        <w:t>Unidos mexicanos, se destaca lo siguiente:</w:t>
      </w:r>
    </w:p>
    <w:p w:rsidR="0074110E" w:rsidRPr="00AB76AB" w:rsidRDefault="0074110E" w:rsidP="0074110E">
      <w:pPr>
        <w:spacing w:line="360" w:lineRule="auto"/>
        <w:ind w:left="567" w:right="474"/>
        <w:jc w:val="both"/>
        <w:rPr>
          <w:rFonts w:ascii="Palatino Linotype" w:eastAsia="Palatino Linotype" w:hAnsi="Palatino Linotype" w:cs="Palatino Linotype"/>
          <w:i/>
        </w:rPr>
      </w:pPr>
    </w:p>
    <w:p w:rsidR="0074110E" w:rsidRPr="00AB76AB" w:rsidRDefault="0074110E" w:rsidP="0074110E">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r w:rsidRPr="00AB76AB">
        <w:rPr>
          <w:rFonts w:ascii="Palatino Linotype" w:eastAsia="Palatino Linotype" w:hAnsi="Palatino Linotype" w:cs="Palatino Linotype"/>
          <w:b/>
          <w:i/>
        </w:rPr>
        <w:t>Artículo 1</w:t>
      </w:r>
      <w:r w:rsidRPr="00AB76AB">
        <w:rPr>
          <w:rFonts w:ascii="Palatino Linotype" w:eastAsia="Palatino Linotype" w:hAnsi="Palatino Linotype" w:cs="Palatino Linotype"/>
          <w:i/>
        </w:rPr>
        <w:t xml:space="preserve">. En los Estados Unidos Mexicanos todas las personas gozarán de los derechos humanos reconocidos en esta Constitución y en los </w:t>
      </w:r>
      <w:proofErr w:type="gramStart"/>
      <w:r w:rsidRPr="00AB76AB">
        <w:rPr>
          <w:rFonts w:ascii="Palatino Linotype" w:eastAsia="Palatino Linotype" w:hAnsi="Palatino Linotype" w:cs="Palatino Linotype"/>
          <w:i/>
        </w:rPr>
        <w:t>tratados  internacionales</w:t>
      </w:r>
      <w:proofErr w:type="gramEnd"/>
      <w:r w:rsidRPr="00AB76AB">
        <w:rPr>
          <w:rFonts w:ascii="Palatino Linotype" w:eastAsia="Palatino Linotype" w:hAnsi="Palatino Linotype" w:cs="Palatino Linotype"/>
          <w:i/>
        </w:rPr>
        <w:t xml:space="preserve"> de los que el Estado Mexicano sea parte, así como de las garantías para su protección, cuyo ejercicio no podrá restringirse ni suspenderse, salvo en los casos y bajo las condiciones que esta Constitución establece.</w:t>
      </w:r>
    </w:p>
    <w:p w:rsidR="0074110E" w:rsidRPr="00AB76AB" w:rsidRDefault="0074110E" w:rsidP="0074110E">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74110E" w:rsidRDefault="0074110E" w:rsidP="0074110E">
      <w:pPr>
        <w:spacing w:line="360" w:lineRule="auto"/>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0082142B">
        <w:rPr>
          <w:rFonts w:ascii="Palatino Linotype" w:eastAsia="Palatino Linotype" w:hAnsi="Palatino Linotype" w:cs="Palatino Linotype"/>
          <w:i/>
        </w:rPr>
        <w:t xml:space="preserve"> </w:t>
      </w:r>
      <w:r w:rsidRPr="0082142B">
        <w:rPr>
          <w:rFonts w:ascii="Palatino Linotype" w:eastAsia="Palatino Linotype" w:hAnsi="Palatino Linotype" w:cs="Palatino Linotype"/>
        </w:rPr>
        <w:t>(Sic)</w:t>
      </w:r>
    </w:p>
    <w:p w:rsidR="0082142B" w:rsidRPr="00AB76AB" w:rsidRDefault="0082142B" w:rsidP="0074110E">
      <w:pPr>
        <w:spacing w:line="360" w:lineRule="auto"/>
        <w:ind w:left="426" w:right="474"/>
        <w:jc w:val="both"/>
        <w:rPr>
          <w:rFonts w:ascii="Palatino Linotype" w:eastAsia="Palatino Linotype" w:hAnsi="Palatino Linotype" w:cs="Palatino Linotype"/>
          <w:i/>
        </w:rPr>
      </w:pPr>
    </w:p>
    <w:p w:rsidR="0074110E" w:rsidRPr="00AB76AB"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AB76AB">
        <w:rPr>
          <w:rFonts w:ascii="Palatino Linotype" w:eastAsia="Palatino Linotype" w:hAnsi="Palatino Linotype" w:cs="Palatino Linotype"/>
          <w:i/>
        </w:rPr>
        <w:t>derecho fundamental exime a quien lo ejerce</w:t>
      </w:r>
      <w:r w:rsidRPr="00AB76AB">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74110E" w:rsidRPr="00AB76AB"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lastRenderedPageBreak/>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74110E" w:rsidRPr="00AB76AB" w:rsidRDefault="0074110E" w:rsidP="0074110E">
      <w:pPr>
        <w:spacing w:line="360" w:lineRule="auto"/>
        <w:jc w:val="both"/>
        <w:rPr>
          <w:rFonts w:ascii="Palatino Linotype" w:eastAsia="Palatino Linotype" w:hAnsi="Palatino Linotype" w:cs="Palatino Linotype"/>
        </w:rPr>
      </w:pPr>
    </w:p>
    <w:p w:rsidR="0074110E" w:rsidRPr="00AB76AB" w:rsidRDefault="0074110E" w:rsidP="00053FB7">
      <w:pPr>
        <w:spacing w:line="360" w:lineRule="auto"/>
        <w:ind w:left="567" w:right="616"/>
        <w:jc w:val="both"/>
        <w:rPr>
          <w:rFonts w:ascii="Palatino Linotype" w:eastAsia="Palatino Linotype" w:hAnsi="Palatino Linotype" w:cs="Palatino Linotype"/>
          <w:i/>
        </w:rPr>
      </w:pPr>
      <w:r w:rsidRPr="00AB76AB">
        <w:rPr>
          <w:rFonts w:ascii="Palatino Linotype" w:eastAsia="Palatino Linotype" w:hAnsi="Palatino Linotype" w:cs="Palatino Linotype"/>
          <w:i/>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roofErr w:type="gramStart"/>
      <w:r w:rsidRPr="00AB76AB">
        <w:rPr>
          <w:rFonts w:ascii="Palatino Linotype" w:eastAsia="Palatino Linotype" w:hAnsi="Palatino Linotype" w:cs="Palatino Linotype"/>
          <w:i/>
        </w:rPr>
        <w:t>.”(</w:t>
      </w:r>
      <w:proofErr w:type="gramEnd"/>
      <w:r w:rsidRPr="00AB76AB">
        <w:rPr>
          <w:rFonts w:ascii="Palatino Linotype" w:eastAsia="Palatino Linotype" w:hAnsi="Palatino Linotype" w:cs="Palatino Linotype"/>
          <w:i/>
        </w:rPr>
        <w:t>Sic)</w:t>
      </w:r>
    </w:p>
    <w:p w:rsidR="0074110E" w:rsidRPr="00AB76AB" w:rsidRDefault="0074110E" w:rsidP="0074110E">
      <w:pPr>
        <w:spacing w:line="360" w:lineRule="auto"/>
        <w:jc w:val="both"/>
        <w:rPr>
          <w:rFonts w:ascii="Palatino Linotype" w:eastAsia="Palatino Linotype" w:hAnsi="Palatino Linotype" w:cs="Palatino Linotype"/>
        </w:rPr>
      </w:pPr>
    </w:p>
    <w:p w:rsidR="0074110E" w:rsidRPr="00AB76AB"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t xml:space="preserve">En consecuencia, dado lo expuesto y fundado con anterioridad, se estima que el requisito relativo al nombre del </w:t>
      </w:r>
      <w:r w:rsidRPr="00AB76AB">
        <w:rPr>
          <w:rFonts w:ascii="Palatino Linotype" w:eastAsia="Palatino Linotype" w:hAnsi="Palatino Linotype" w:cs="Palatino Linotype"/>
          <w:b/>
        </w:rPr>
        <w:t>RECURRENTE</w:t>
      </w:r>
      <w:r w:rsidRPr="00AB76AB">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w:t>
      </w:r>
      <w:r w:rsidRPr="00AB76AB">
        <w:rPr>
          <w:rFonts w:ascii="Palatino Linotype" w:eastAsia="Palatino Linotype" w:hAnsi="Palatino Linotype" w:cs="Palatino Linotype"/>
        </w:rPr>
        <w:lastRenderedPageBreak/>
        <w:t>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74110E" w:rsidRPr="0074110E" w:rsidRDefault="0074110E" w:rsidP="0074110E">
      <w:pPr>
        <w:pStyle w:val="Prrafodelista"/>
        <w:rPr>
          <w:rFonts w:ascii="Palatino Linotype" w:eastAsia="Calibri" w:hAnsi="Palatino Linotype" w:cs="Arial"/>
        </w:rPr>
      </w:pPr>
    </w:p>
    <w:p w:rsidR="009F09BC" w:rsidRPr="00CF0D2B" w:rsidRDefault="009F09BC" w:rsidP="00CF0D2B">
      <w:pPr>
        <w:pStyle w:val="Prrafodelista"/>
        <w:numPr>
          <w:ilvl w:val="0"/>
          <w:numId w:val="15"/>
        </w:numPr>
        <w:spacing w:line="360" w:lineRule="auto"/>
        <w:ind w:left="0" w:firstLine="0"/>
        <w:jc w:val="both"/>
        <w:rPr>
          <w:rFonts w:ascii="Palatino Linotype" w:hAnsi="Palatino Linotype"/>
        </w:rPr>
      </w:pPr>
      <w:r>
        <w:rPr>
          <w:rFonts w:ascii="Palatino Linotype" w:eastAsia="Calibri" w:hAnsi="Palatino Linotype" w:cs="Arial"/>
        </w:rPr>
        <w:t xml:space="preserve">Asimismo, </w:t>
      </w:r>
      <w:r w:rsidR="00CF0D2B">
        <w:rPr>
          <w:rFonts w:ascii="Palatino Linotype" w:eastAsia="Calibri" w:hAnsi="Palatino Linotype" w:cs="Arial"/>
        </w:rPr>
        <w:t>e</w:t>
      </w:r>
      <w:r w:rsidRPr="00D707F7">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F0D2B" w:rsidRPr="007142AB" w:rsidRDefault="00CF0D2B" w:rsidP="007142AB">
      <w:pPr>
        <w:rPr>
          <w:rFonts w:ascii="Palatino Linotype" w:hAnsi="Palatino Linotype"/>
        </w:rPr>
      </w:pPr>
    </w:p>
    <w:p w:rsidR="009F09BC" w:rsidRPr="009F09BC" w:rsidRDefault="009F09BC" w:rsidP="00CF0D2B">
      <w:pPr>
        <w:pStyle w:val="Ttulo1"/>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9F09BC">
        <w:rPr>
          <w:rFonts w:ascii="Palatino Linotype" w:hAnsi="Palatino Linotype"/>
          <w:b/>
          <w:color w:val="000000" w:themeColor="text1"/>
          <w:sz w:val="24"/>
          <w:szCs w:val="24"/>
        </w:rPr>
        <w:t xml:space="preserve">TERCERO. </w:t>
      </w:r>
      <w:bookmarkStart w:id="143" w:name="_Toc501021589"/>
      <w:r w:rsidRPr="009F09BC">
        <w:rPr>
          <w:rFonts w:ascii="Palatino Linotype" w:hAnsi="Palatino Linotype"/>
          <w:b/>
          <w:color w:val="000000" w:themeColor="text1"/>
          <w:sz w:val="24"/>
          <w:szCs w:val="24"/>
        </w:rPr>
        <w:t xml:space="preserve">Del planteamiento de la </w:t>
      </w:r>
      <w:r w:rsidRPr="009F09BC">
        <w:rPr>
          <w:rFonts w:ascii="Palatino Linotype" w:hAnsi="Palatino Linotype"/>
          <w:b/>
          <w:i/>
          <w:color w:val="000000" w:themeColor="text1"/>
          <w:sz w:val="24"/>
          <w:szCs w:val="24"/>
        </w:rPr>
        <w:t>Litis</w:t>
      </w:r>
      <w:r w:rsidRPr="009F09BC">
        <w:rPr>
          <w:rFonts w:ascii="Palatino Linotype" w:hAnsi="Palatino Linotype"/>
          <w:b/>
          <w:color w:val="000000" w:themeColor="text1"/>
          <w:sz w:val="24"/>
          <w:szCs w:val="24"/>
        </w:rPr>
        <w:t>.</w:t>
      </w:r>
      <w:bookmarkEnd w:id="139"/>
      <w:bookmarkEnd w:id="140"/>
      <w:bookmarkEnd w:id="141"/>
      <w:bookmarkEnd w:id="142"/>
      <w:bookmarkEnd w:id="143"/>
    </w:p>
    <w:p w:rsidR="009F09BC" w:rsidRPr="00D707F7" w:rsidRDefault="009F09BC" w:rsidP="009F09BC">
      <w:pPr>
        <w:rPr>
          <w:lang w:val="es-MX" w:eastAsia="en-US"/>
        </w:rPr>
      </w:pPr>
    </w:p>
    <w:p w:rsidR="009F09BC" w:rsidRDefault="009F09BC" w:rsidP="009F09BC">
      <w:pPr>
        <w:pStyle w:val="Prrafodelista"/>
        <w:numPr>
          <w:ilvl w:val="0"/>
          <w:numId w:val="15"/>
        </w:numPr>
        <w:spacing w:line="360" w:lineRule="auto"/>
        <w:ind w:left="0" w:firstLine="0"/>
        <w:jc w:val="both"/>
        <w:rPr>
          <w:rFonts w:ascii="Palatino Linotype" w:hAnsi="Palatino Linotype" w:cs="Arial"/>
        </w:rPr>
      </w:pPr>
      <w:r w:rsidRPr="00B1589A">
        <w:rPr>
          <w:rFonts w:ascii="Palatino Linotype" w:hAnsi="Palatino Linotype" w:cs="Arial"/>
        </w:rPr>
        <w:t xml:space="preserve">Se </w:t>
      </w:r>
      <w:r w:rsidRPr="00B1589A">
        <w:rPr>
          <w:rFonts w:ascii="Palatino Linotype" w:eastAsia="Calibri" w:hAnsi="Palatino Linotype" w:cs="Arial"/>
        </w:rPr>
        <w:t>solicitó</w:t>
      </w:r>
      <w:r w:rsidRPr="00D216A4">
        <w:rPr>
          <w:rFonts w:ascii="Palatino Linotype" w:hAnsi="Palatino Linotype" w:cs="Arial"/>
        </w:rPr>
        <w:t xml:space="preserve"> </w:t>
      </w:r>
      <w:r w:rsidR="00AD63B4">
        <w:rPr>
          <w:rFonts w:ascii="Palatino Linotype" w:hAnsi="Palatino Linotype" w:cs="Arial"/>
        </w:rPr>
        <w:t xml:space="preserve">tener acceso, a la </w:t>
      </w:r>
      <w:r>
        <w:rPr>
          <w:rFonts w:ascii="Palatino Linotype" w:hAnsi="Palatino Linotype" w:cs="Arial"/>
        </w:rPr>
        <w:t>información que a continuación se desagrega:</w:t>
      </w:r>
    </w:p>
    <w:p w:rsidR="009F09BC" w:rsidRDefault="009F09BC" w:rsidP="009F09BC">
      <w:pPr>
        <w:pStyle w:val="Prrafodelista"/>
        <w:spacing w:line="360" w:lineRule="auto"/>
        <w:ind w:left="0"/>
        <w:jc w:val="both"/>
        <w:rPr>
          <w:rFonts w:ascii="Palatino Linotype" w:hAnsi="Palatino Linotype" w:cs="Arial"/>
        </w:rPr>
      </w:pPr>
    </w:p>
    <w:p w:rsidR="009F09BC" w:rsidRPr="007142D6" w:rsidRDefault="00D84DEA" w:rsidP="000F1081">
      <w:pPr>
        <w:pStyle w:val="Prrafodelista"/>
        <w:numPr>
          <w:ilvl w:val="1"/>
          <w:numId w:val="27"/>
        </w:numPr>
        <w:spacing w:line="360" w:lineRule="auto"/>
        <w:ind w:left="993"/>
        <w:jc w:val="both"/>
        <w:rPr>
          <w:rFonts w:ascii="Palatino Linotype" w:hAnsi="Palatino Linotype" w:cs="Arial"/>
        </w:rPr>
      </w:pPr>
      <w:r>
        <w:rPr>
          <w:rFonts w:ascii="Palatino Linotype" w:hAnsi="Palatino Linotype" w:cs="Arial"/>
          <w:b/>
        </w:rPr>
        <w:t>Recibos de n</w:t>
      </w:r>
      <w:r w:rsidRPr="000F1081">
        <w:rPr>
          <w:rFonts w:ascii="Palatino Linotype" w:hAnsi="Palatino Linotype" w:cs="Arial"/>
          <w:b/>
        </w:rPr>
        <w:t>ómina</w:t>
      </w:r>
      <w:r w:rsidR="000F1081" w:rsidRPr="000F1081">
        <w:rPr>
          <w:rFonts w:ascii="Palatino Linotype" w:hAnsi="Palatino Linotype" w:cs="Arial"/>
          <w:b/>
        </w:rPr>
        <w:t>, prima vacacional y aguinaldo del personal adscrito a la</w:t>
      </w:r>
      <w:r w:rsidR="000F1081">
        <w:rPr>
          <w:rFonts w:ascii="Palatino Linotype" w:hAnsi="Palatino Linotype" w:cs="Arial"/>
          <w:b/>
        </w:rPr>
        <w:t>s</w:t>
      </w:r>
      <w:r w:rsidR="000F1081" w:rsidRPr="000F1081">
        <w:rPr>
          <w:rFonts w:ascii="Palatino Linotype" w:hAnsi="Palatino Linotype" w:cs="Arial"/>
          <w:b/>
        </w:rPr>
        <w:t xml:space="preserve"> áreas</w:t>
      </w:r>
      <w:r w:rsidR="000F1081">
        <w:rPr>
          <w:rFonts w:ascii="Palatino Linotype" w:hAnsi="Palatino Linotype" w:cs="Arial"/>
          <w:b/>
        </w:rPr>
        <w:t xml:space="preserve"> de:</w:t>
      </w:r>
      <w:r w:rsidR="000F1081" w:rsidRPr="000F1081">
        <w:rPr>
          <w:rFonts w:ascii="Palatino Linotype" w:hAnsi="Palatino Linotype" w:cs="Arial"/>
          <w:b/>
        </w:rPr>
        <w:t xml:space="preserve"> Tesorería Municipal, Presidencia Municipal, Secretaria del Ayuntamiento, Unidad de Transparencia, Obras Públicas, Catastro, y la UIPPE, de los años 2019</w:t>
      </w:r>
      <w:r w:rsidR="000F1081">
        <w:rPr>
          <w:rFonts w:ascii="Palatino Linotype" w:hAnsi="Palatino Linotype" w:cs="Arial"/>
          <w:b/>
        </w:rPr>
        <w:t xml:space="preserve"> a</w:t>
      </w:r>
      <w:r w:rsidR="000F1081" w:rsidRPr="000F1081">
        <w:rPr>
          <w:rFonts w:ascii="Palatino Linotype" w:hAnsi="Palatino Linotype" w:cs="Arial"/>
          <w:b/>
        </w:rPr>
        <w:t xml:space="preserve"> 2021.</w:t>
      </w:r>
    </w:p>
    <w:p w:rsidR="007142D6" w:rsidRPr="001352F1" w:rsidRDefault="007142D6" w:rsidP="007142D6">
      <w:pPr>
        <w:pStyle w:val="Prrafodelista"/>
        <w:spacing w:line="360" w:lineRule="auto"/>
        <w:ind w:left="709"/>
        <w:jc w:val="both"/>
        <w:rPr>
          <w:rFonts w:ascii="Palatino Linotype" w:hAnsi="Palatino Linotype" w:cs="Arial"/>
        </w:rPr>
      </w:pPr>
    </w:p>
    <w:p w:rsidR="009F09BC" w:rsidRDefault="000F1081" w:rsidP="009F09BC">
      <w:pPr>
        <w:numPr>
          <w:ilvl w:val="0"/>
          <w:numId w:val="15"/>
        </w:numPr>
        <w:spacing w:line="360" w:lineRule="auto"/>
        <w:ind w:left="0" w:firstLine="0"/>
        <w:contextualSpacing/>
        <w:jc w:val="both"/>
        <w:rPr>
          <w:rFonts w:ascii="Palatino Linotype" w:hAnsi="Palatino Linotype" w:cs="Arial"/>
        </w:rPr>
      </w:pPr>
      <w:r>
        <w:rPr>
          <w:rFonts w:ascii="Palatino Linotype" w:hAnsi="Palatino Linotype" w:cs="Arial"/>
        </w:rPr>
        <w:t xml:space="preserve">En respuesta, el </w:t>
      </w:r>
      <w:r>
        <w:rPr>
          <w:rFonts w:ascii="Palatino Linotype" w:hAnsi="Palatino Linotype" w:cs="Arial"/>
          <w:b/>
        </w:rPr>
        <w:t xml:space="preserve">SUJETO OBLIGADO </w:t>
      </w:r>
      <w:r w:rsidR="00C41E57">
        <w:rPr>
          <w:rFonts w:ascii="Palatino Linotype" w:hAnsi="Palatino Linotype" w:cs="Arial"/>
        </w:rPr>
        <w:t>adjuntó</w:t>
      </w:r>
      <w:r>
        <w:rPr>
          <w:rFonts w:ascii="Palatino Linotype" w:hAnsi="Palatino Linotype" w:cs="Arial"/>
        </w:rPr>
        <w:t xml:space="preserve"> </w:t>
      </w:r>
      <w:r w:rsidR="00C41E57">
        <w:rPr>
          <w:rFonts w:ascii="Palatino Linotype" w:hAnsi="Palatino Linotype" w:cs="Arial"/>
        </w:rPr>
        <w:t>el</w:t>
      </w:r>
      <w:r>
        <w:rPr>
          <w:rFonts w:ascii="Palatino Linotype" w:hAnsi="Palatino Linotype" w:cs="Arial"/>
        </w:rPr>
        <w:t xml:space="preserve"> oficio de </w:t>
      </w:r>
      <w:r w:rsidR="00C41E57">
        <w:rPr>
          <w:rFonts w:ascii="Palatino Linotype" w:hAnsi="Palatino Linotype" w:cs="Arial"/>
        </w:rPr>
        <w:t>contestación</w:t>
      </w:r>
      <w:r>
        <w:rPr>
          <w:rFonts w:ascii="Palatino Linotype" w:hAnsi="Palatino Linotype" w:cs="Arial"/>
        </w:rPr>
        <w:t xml:space="preserve"> de un servidor </w:t>
      </w:r>
      <w:r w:rsidR="00C41E57">
        <w:rPr>
          <w:rFonts w:ascii="Palatino Linotype" w:hAnsi="Palatino Linotype" w:cs="Arial"/>
        </w:rPr>
        <w:t>público</w:t>
      </w:r>
      <w:r>
        <w:rPr>
          <w:rFonts w:ascii="Palatino Linotype" w:hAnsi="Palatino Linotype" w:cs="Arial"/>
        </w:rPr>
        <w:t xml:space="preserve"> habilitado en donde consta una </w:t>
      </w:r>
      <w:r w:rsidR="00C41E57">
        <w:rPr>
          <w:rFonts w:ascii="Palatino Linotype" w:hAnsi="Palatino Linotype" w:cs="Arial"/>
        </w:rPr>
        <w:t>solicitud</w:t>
      </w:r>
      <w:r>
        <w:rPr>
          <w:rFonts w:ascii="Palatino Linotype" w:hAnsi="Palatino Linotype" w:cs="Arial"/>
        </w:rPr>
        <w:t xml:space="preserve"> de aclaración sin adjuntar </w:t>
      </w:r>
      <w:r w:rsidR="00C41E57">
        <w:rPr>
          <w:rFonts w:ascii="Palatino Linotype" w:hAnsi="Palatino Linotype" w:cs="Arial"/>
        </w:rPr>
        <w:lastRenderedPageBreak/>
        <w:t xml:space="preserve">algún otro soporte documental. </w:t>
      </w:r>
      <w:r w:rsidR="009F09BC">
        <w:rPr>
          <w:rFonts w:ascii="Palatino Linotype" w:hAnsi="Palatino Linotype" w:cs="Arial"/>
          <w:b/>
        </w:rPr>
        <w:t>EL</w:t>
      </w:r>
      <w:r w:rsidR="009F09BC" w:rsidRPr="001C0EB3">
        <w:rPr>
          <w:rFonts w:ascii="Palatino Linotype" w:hAnsi="Palatino Linotype" w:cs="Arial"/>
          <w:b/>
        </w:rPr>
        <w:t xml:space="preserve"> PARTICULAR</w:t>
      </w:r>
      <w:r w:rsidR="009F09BC" w:rsidRPr="00B538F7">
        <w:rPr>
          <w:rFonts w:ascii="Palatino Linotype" w:hAnsi="Palatino Linotype" w:cs="Arial"/>
          <w:b/>
        </w:rPr>
        <w:t xml:space="preserve"> </w:t>
      </w:r>
      <w:r w:rsidR="009F09BC" w:rsidRPr="00B538F7">
        <w:rPr>
          <w:rFonts w:ascii="Palatino Linotype" w:hAnsi="Palatino Linotype" w:cs="Arial"/>
        </w:rPr>
        <w:t xml:space="preserve">inconforme con la respuesta, expuso </w:t>
      </w:r>
      <w:r w:rsidR="00CF0D2B" w:rsidRPr="00CF0D2B">
        <w:rPr>
          <w:rFonts w:ascii="Palatino Linotype" w:hAnsi="Palatino Linotype" w:cs="Arial"/>
          <w:i/>
        </w:rPr>
        <w:t>grosso modo</w:t>
      </w:r>
      <w:r w:rsidR="00CF0D2B">
        <w:rPr>
          <w:rFonts w:ascii="Palatino Linotype" w:hAnsi="Palatino Linotype" w:cs="Arial"/>
        </w:rPr>
        <w:t xml:space="preserve"> </w:t>
      </w:r>
      <w:r w:rsidR="009F09BC">
        <w:rPr>
          <w:rFonts w:ascii="Palatino Linotype" w:hAnsi="Palatino Linotype" w:cs="Arial"/>
        </w:rPr>
        <w:t>su</w:t>
      </w:r>
      <w:r w:rsidR="009F09BC" w:rsidRPr="001C0EB3">
        <w:rPr>
          <w:rFonts w:ascii="Palatino Linotype" w:hAnsi="Palatino Linotype" w:cs="Arial"/>
        </w:rPr>
        <w:t xml:space="preserve"> </w:t>
      </w:r>
      <w:r w:rsidR="00403D64">
        <w:rPr>
          <w:rFonts w:ascii="Palatino Linotype" w:hAnsi="Palatino Linotype" w:cs="Arial"/>
        </w:rPr>
        <w:t xml:space="preserve">inconformidad al haberse </w:t>
      </w:r>
      <w:r w:rsidR="00C41E57">
        <w:rPr>
          <w:rFonts w:ascii="Palatino Linotype" w:hAnsi="Palatino Linotype" w:cs="Arial"/>
        </w:rPr>
        <w:t>realizado una solicitud de aclaración fuera del lapso legalmente establecido restringiendo su derecho de acceso a la información.</w:t>
      </w:r>
    </w:p>
    <w:p w:rsidR="0074110E" w:rsidRPr="00E80900" w:rsidRDefault="0074110E" w:rsidP="0074110E">
      <w:pPr>
        <w:spacing w:line="360" w:lineRule="auto"/>
        <w:contextualSpacing/>
        <w:jc w:val="both"/>
        <w:rPr>
          <w:rFonts w:ascii="Palatino Linotype" w:hAnsi="Palatino Linotype" w:cs="Arial"/>
        </w:rPr>
      </w:pPr>
    </w:p>
    <w:p w:rsidR="009F09BC" w:rsidRPr="00D216A4" w:rsidRDefault="009F09BC" w:rsidP="002453DA">
      <w:pPr>
        <w:numPr>
          <w:ilvl w:val="0"/>
          <w:numId w:val="15"/>
        </w:numPr>
        <w:spacing w:line="360" w:lineRule="auto"/>
        <w:ind w:left="0" w:firstLine="0"/>
        <w:contextualSpacing/>
        <w:jc w:val="both"/>
        <w:rPr>
          <w:rFonts w:ascii="Palatino Linotype" w:eastAsia="MS Mincho" w:hAnsi="Palatino Linotype" w:cs="Arial"/>
        </w:rPr>
      </w:pPr>
      <w:r w:rsidRPr="00B0510D">
        <w:rPr>
          <w:rFonts w:ascii="Palatino Linotype" w:eastAsia="MS Mincho" w:hAnsi="Palatino Linotype" w:cs="Arial"/>
        </w:rPr>
        <w:t xml:space="preserve">En </w:t>
      </w:r>
      <w:r w:rsidRPr="00B0510D">
        <w:rPr>
          <w:rFonts w:ascii="Palatino Linotype" w:hAnsi="Palatino Linotype" w:cs="Arial"/>
          <w:lang w:eastAsia="es-MX"/>
        </w:rPr>
        <w:t>dichas</w:t>
      </w:r>
      <w:r w:rsidRPr="00B0510D">
        <w:rPr>
          <w:rFonts w:ascii="Palatino Linotype" w:eastAsia="Times New Roman" w:hAnsi="Palatino Linotype" w:cs="Arial"/>
        </w:rPr>
        <w:t xml:space="preserve"> condiciones, la </w:t>
      </w:r>
      <w:r w:rsidRPr="00B0510D">
        <w:rPr>
          <w:rFonts w:ascii="Palatino Linotype" w:eastAsia="Times New Roman" w:hAnsi="Palatino Linotype" w:cs="Arial"/>
          <w:i/>
        </w:rPr>
        <w:t>Litis</w:t>
      </w:r>
      <w:r w:rsidRPr="00B0510D">
        <w:rPr>
          <w:rFonts w:ascii="Palatino Linotype" w:eastAsia="Times New Roman" w:hAnsi="Palatino Linotype" w:cs="Arial"/>
        </w:rPr>
        <w:t xml:space="preserve"> a resolver en este recurso se circunscribe a determinar si </w:t>
      </w:r>
      <w:r w:rsidR="007142AB">
        <w:rPr>
          <w:rFonts w:ascii="Palatino Linotype" w:eastAsia="MS Mincho" w:hAnsi="Palatino Linotype" w:cs="Arial"/>
        </w:rPr>
        <w:t>se actualiza</w:t>
      </w:r>
      <w:r w:rsidRPr="00B0510D">
        <w:rPr>
          <w:rFonts w:ascii="Palatino Linotype" w:eastAsia="MS Mincho" w:hAnsi="Palatino Linotype" w:cs="Arial"/>
        </w:rPr>
        <w:t xml:space="preserve"> la causal de procedencia prevista en el artículo 179, </w:t>
      </w:r>
      <w:r w:rsidRPr="005B6702">
        <w:rPr>
          <w:rFonts w:ascii="Palatino Linotype" w:eastAsia="MS Mincho" w:hAnsi="Palatino Linotype" w:cs="Arial"/>
          <w:b/>
        </w:rPr>
        <w:t xml:space="preserve">fracción </w:t>
      </w:r>
      <w:r w:rsidR="007142AB" w:rsidRPr="005B6702">
        <w:rPr>
          <w:rFonts w:ascii="Palatino Linotype" w:eastAsia="MS Mincho" w:hAnsi="Palatino Linotype" w:cs="Arial"/>
          <w:b/>
        </w:rPr>
        <w:t>V</w:t>
      </w:r>
      <w:r w:rsidR="00C41E57">
        <w:rPr>
          <w:rFonts w:ascii="Palatino Linotype" w:eastAsia="MS Mincho" w:hAnsi="Palatino Linotype" w:cs="Arial"/>
          <w:b/>
        </w:rPr>
        <w:t>I</w:t>
      </w:r>
      <w:r w:rsidRPr="001C0EB3">
        <w:rPr>
          <w:rFonts w:ascii="Palatino Linotype" w:eastAsia="MS Mincho" w:hAnsi="Palatino Linotype" w:cs="Arial"/>
        </w:rPr>
        <w:t xml:space="preserve"> </w:t>
      </w:r>
      <w:r w:rsidRPr="00B0510D">
        <w:rPr>
          <w:rFonts w:ascii="Palatino Linotype" w:eastAsia="MS Mincho" w:hAnsi="Palatino Linotype" w:cs="Arial"/>
        </w:rPr>
        <w:t xml:space="preserve">de la </w:t>
      </w:r>
      <w:r w:rsidRPr="00B0510D">
        <w:rPr>
          <w:rFonts w:ascii="Palatino Linotype" w:eastAsia="MS Mincho" w:hAnsi="Palatino Linotype" w:cs="Arial"/>
          <w:b/>
        </w:rPr>
        <w:t>Ley de Transparencia y Acceso a la Información Pública del Estado de México y Municipios</w:t>
      </w:r>
      <w:r w:rsidRPr="00B0510D">
        <w:rPr>
          <w:rFonts w:ascii="Palatino Linotype" w:eastAsia="MS Mincho" w:hAnsi="Palatino Linotype" w:cs="Arial"/>
        </w:rPr>
        <w:t xml:space="preserve">; </w:t>
      </w:r>
      <w:r w:rsidRPr="00B0510D">
        <w:rPr>
          <w:rFonts w:ascii="Palatino Linotype" w:eastAsia="Times New Roman" w:hAnsi="Palatino Linotype" w:cs="Arial"/>
          <w:color w:val="000000" w:themeColor="text1"/>
          <w:lang w:val="es-ES" w:eastAsia="es-MX"/>
        </w:rPr>
        <w:t>fracci</w:t>
      </w:r>
      <w:r>
        <w:rPr>
          <w:rFonts w:ascii="Palatino Linotype" w:eastAsia="Times New Roman" w:hAnsi="Palatino Linotype" w:cs="Arial"/>
          <w:color w:val="000000" w:themeColor="text1"/>
          <w:lang w:val="es-ES" w:eastAsia="es-MX"/>
        </w:rPr>
        <w:t xml:space="preserve">ón </w:t>
      </w:r>
      <w:r w:rsidRPr="00B0510D">
        <w:rPr>
          <w:rFonts w:ascii="Palatino Linotype" w:eastAsia="Times New Roman" w:hAnsi="Palatino Linotype" w:cs="Arial"/>
          <w:color w:val="000000" w:themeColor="text1"/>
          <w:lang w:val="es-ES" w:eastAsia="es-MX"/>
        </w:rPr>
        <w:t>que determina</w:t>
      </w:r>
      <w:r>
        <w:rPr>
          <w:rFonts w:ascii="Palatino Linotype" w:eastAsia="Times New Roman" w:hAnsi="Palatino Linotype" w:cs="Arial"/>
          <w:color w:val="000000" w:themeColor="text1"/>
          <w:lang w:val="es-ES" w:eastAsia="es-MX"/>
        </w:rPr>
        <w:t xml:space="preserve"> </w:t>
      </w:r>
      <w:r w:rsidR="005B6702">
        <w:rPr>
          <w:rFonts w:ascii="Palatino Linotype" w:eastAsia="Times New Roman" w:hAnsi="Palatino Linotype" w:cs="Arial"/>
          <w:color w:val="000000" w:themeColor="text1"/>
          <w:lang w:val="es-ES" w:eastAsia="es-MX"/>
        </w:rPr>
        <w:t>la hipótesis jurídica</w:t>
      </w:r>
      <w:r>
        <w:rPr>
          <w:rFonts w:ascii="Palatino Linotype" w:eastAsia="Times New Roman" w:hAnsi="Palatino Linotype" w:cs="Arial"/>
          <w:color w:val="000000" w:themeColor="text1"/>
          <w:lang w:val="es-ES" w:eastAsia="es-MX"/>
        </w:rPr>
        <w:t xml:space="preserve"> relativa</w:t>
      </w:r>
      <w:r w:rsidRPr="00B0510D">
        <w:rPr>
          <w:rFonts w:ascii="Palatino Linotype" w:eastAsia="Times New Roman" w:hAnsi="Palatino Linotype" w:cs="Arial"/>
          <w:color w:val="000000" w:themeColor="text1"/>
          <w:lang w:val="es-ES" w:eastAsia="es-MX"/>
        </w:rPr>
        <w:t xml:space="preserve"> </w:t>
      </w:r>
      <w:r w:rsidR="005B6702">
        <w:rPr>
          <w:rFonts w:ascii="Palatino Linotype" w:eastAsia="Times New Roman" w:hAnsi="Palatino Linotype" w:cs="Arial"/>
          <w:color w:val="000000" w:themeColor="text1"/>
          <w:lang w:val="es-ES" w:eastAsia="es-MX"/>
        </w:rPr>
        <w:t xml:space="preserve">a </w:t>
      </w:r>
      <w:r w:rsidR="007142AB">
        <w:rPr>
          <w:rFonts w:ascii="Palatino Linotype" w:eastAsia="Times New Roman" w:hAnsi="Palatino Linotype" w:cs="Arial"/>
          <w:color w:val="000000" w:themeColor="text1"/>
          <w:lang w:val="es-ES" w:eastAsia="es-MX"/>
        </w:rPr>
        <w:t>l</w:t>
      </w:r>
      <w:r w:rsidR="002453DA">
        <w:rPr>
          <w:rFonts w:ascii="Palatino Linotype" w:eastAsia="Times New Roman" w:hAnsi="Palatino Linotype" w:cs="Arial"/>
          <w:color w:val="000000" w:themeColor="text1"/>
          <w:lang w:val="es-ES" w:eastAsia="es-MX"/>
        </w:rPr>
        <w:t>a</w:t>
      </w:r>
      <w:r w:rsidR="002453DA" w:rsidRPr="002453DA">
        <w:rPr>
          <w:rFonts w:ascii="Palatino Linotype" w:eastAsia="Times New Roman" w:hAnsi="Palatino Linotype" w:cs="Arial"/>
          <w:color w:val="000000" w:themeColor="text1"/>
          <w:lang w:val="es-ES" w:eastAsia="es-MX"/>
        </w:rPr>
        <w:t xml:space="preserve"> entrega de información que no corresponda con lo solicitado</w:t>
      </w:r>
      <w:r w:rsidRPr="00B0510D">
        <w:rPr>
          <w:rFonts w:ascii="Palatino Linotype" w:eastAsia="Times New Roman" w:hAnsi="Palatino Linotype" w:cs="Arial"/>
          <w:color w:val="000000" w:themeColor="text1"/>
          <w:lang w:val="es-ES" w:eastAsia="es-MX"/>
        </w:rPr>
        <w:t xml:space="preserve">; </w:t>
      </w:r>
      <w:r w:rsidRPr="00B0510D">
        <w:rPr>
          <w:rFonts w:ascii="Palatino Linotype" w:eastAsia="MS Mincho" w:hAnsi="Palatino Linotype" w:cs="Arial"/>
        </w:rPr>
        <w:t xml:space="preserve">contexto del cual se dolió </w:t>
      </w:r>
      <w:r w:rsidRPr="006F0559">
        <w:rPr>
          <w:rFonts w:ascii="Palatino Linotype" w:eastAsia="MS Mincho" w:hAnsi="Palatino Linotype" w:cs="Arial"/>
          <w:b/>
        </w:rPr>
        <w:t xml:space="preserve">EL RECURRENTE </w:t>
      </w:r>
      <w:r w:rsidRPr="00B0510D">
        <w:rPr>
          <w:rFonts w:ascii="Palatino Linotype" w:eastAsia="MS Mincho" w:hAnsi="Palatino Linotype" w:cs="Arial"/>
        </w:rPr>
        <w:t xml:space="preserve">al momento de interponer </w:t>
      </w:r>
      <w:r>
        <w:rPr>
          <w:rFonts w:ascii="Palatino Linotype" w:eastAsia="MS Mincho" w:hAnsi="Palatino Linotype" w:cs="Arial"/>
        </w:rPr>
        <w:t>su inconformidad.</w:t>
      </w:r>
      <w:r w:rsidRPr="00BD39BA">
        <w:rPr>
          <w:rFonts w:ascii="Palatino Linotype" w:eastAsia="Times New Roman" w:hAnsi="Palatino Linotype" w:cs="Arial"/>
          <w:color w:val="000000" w:themeColor="text1"/>
          <w:lang w:val="es-ES" w:eastAsia="es-MX"/>
        </w:rPr>
        <w:t xml:space="preserve"> </w:t>
      </w:r>
      <w:r>
        <w:rPr>
          <w:rFonts w:ascii="Palatino Linotype" w:eastAsia="Times New Roman" w:hAnsi="Palatino Linotype" w:cs="Arial"/>
          <w:color w:val="000000" w:themeColor="text1"/>
          <w:lang w:val="es-ES" w:eastAsia="es-MX"/>
        </w:rPr>
        <w:t>D</w:t>
      </w:r>
      <w:r w:rsidRPr="00BD39BA">
        <w:rPr>
          <w:rFonts w:ascii="Palatino Linotype" w:eastAsia="Times New Roman" w:hAnsi="Palatino Linotype" w:cs="Arial"/>
          <w:color w:val="000000" w:themeColor="text1"/>
          <w:lang w:val="es-ES" w:eastAsia="es-MX"/>
        </w:rPr>
        <w:t xml:space="preserve">e modo tal </w:t>
      </w:r>
      <w:r w:rsidRPr="00BD39BA">
        <w:rPr>
          <w:rFonts w:ascii="Palatino Linotype" w:hAnsi="Palatino Linotype" w:cs="Arial"/>
          <w:color w:val="000000" w:themeColor="text1"/>
          <w:szCs w:val="23"/>
        </w:rPr>
        <w:t xml:space="preserve">que el </w:t>
      </w:r>
      <w:r>
        <w:rPr>
          <w:rFonts w:ascii="Palatino Linotype" w:hAnsi="Palatino Linotype" w:cs="Arial"/>
          <w:color w:val="000000" w:themeColor="text1"/>
          <w:szCs w:val="23"/>
        </w:rPr>
        <w:t>presente recurso de revisión se abocara</w:t>
      </w:r>
      <w:r w:rsidRPr="00BD39BA">
        <w:rPr>
          <w:rFonts w:ascii="Palatino Linotype" w:hAnsi="Palatino Linotype" w:cs="Arial"/>
          <w:color w:val="000000" w:themeColor="text1"/>
          <w:szCs w:val="23"/>
        </w:rPr>
        <w:t xml:space="preserve"> en determinar si el </w:t>
      </w:r>
      <w:r w:rsidRPr="00BD39BA">
        <w:rPr>
          <w:rFonts w:ascii="Palatino Linotype" w:hAnsi="Palatino Linotype" w:cs="Arial"/>
          <w:b/>
          <w:color w:val="000000" w:themeColor="text1"/>
          <w:szCs w:val="23"/>
        </w:rPr>
        <w:t>SUJETO</w:t>
      </w:r>
      <w:r w:rsidRPr="00BD39BA">
        <w:rPr>
          <w:rFonts w:ascii="Palatino Linotype" w:hAnsi="Palatino Linotype" w:cs="Arial"/>
          <w:color w:val="000000" w:themeColor="text1"/>
          <w:szCs w:val="23"/>
        </w:rPr>
        <w:t xml:space="preserve"> </w:t>
      </w:r>
      <w:r w:rsidRPr="00BD39BA">
        <w:rPr>
          <w:rFonts w:ascii="Palatino Linotype" w:hAnsi="Palatino Linotype" w:cs="Arial"/>
          <w:b/>
          <w:color w:val="000000" w:themeColor="text1"/>
          <w:szCs w:val="23"/>
        </w:rPr>
        <w:t>OBLIGADO</w:t>
      </w:r>
      <w:r w:rsidRPr="00BD39BA">
        <w:rPr>
          <w:rFonts w:ascii="Palatino Linotype" w:hAnsi="Palatino Linotype" w:cs="Arial"/>
          <w:color w:val="000000" w:themeColor="text1"/>
          <w:szCs w:val="23"/>
        </w:rPr>
        <w:t xml:space="preserve"> con su respuesta ciertamente </w:t>
      </w:r>
      <w:r w:rsidRPr="00BD39BA">
        <w:rPr>
          <w:rFonts w:ascii="Palatino Linotype" w:eastAsia="Times New Roman" w:hAnsi="Palatino Linotype"/>
          <w:color w:val="000000" w:themeColor="text1"/>
        </w:rPr>
        <w:t>actualiza la causa</w:t>
      </w:r>
      <w:r>
        <w:rPr>
          <w:rFonts w:ascii="Palatino Linotype" w:eastAsia="Times New Roman" w:hAnsi="Palatino Linotype"/>
          <w:color w:val="000000" w:themeColor="text1"/>
        </w:rPr>
        <w:t>l</w:t>
      </w:r>
      <w:r w:rsidRPr="00BD39BA">
        <w:rPr>
          <w:rFonts w:ascii="Palatino Linotype" w:eastAsia="Times New Roman" w:hAnsi="Palatino Linotype"/>
          <w:color w:val="000000" w:themeColor="text1"/>
        </w:rPr>
        <w:t xml:space="preserve"> de procedencia</w:t>
      </w:r>
      <w:r w:rsidRPr="00BD39BA">
        <w:rPr>
          <w:rFonts w:ascii="Palatino Linotype" w:eastAsia="Times New Roman" w:hAnsi="Palatino Linotype"/>
          <w:b/>
          <w:color w:val="000000" w:themeColor="text1"/>
        </w:rPr>
        <w:t xml:space="preserve"> </w:t>
      </w:r>
      <w:r>
        <w:rPr>
          <w:rFonts w:ascii="Palatino Linotype" w:eastAsia="Times New Roman" w:hAnsi="Palatino Linotype" w:cs="Arial"/>
          <w:color w:val="000000" w:themeColor="text1"/>
          <w:lang w:eastAsia="es-MX"/>
        </w:rPr>
        <w:t>antes señalada</w:t>
      </w:r>
      <w:r w:rsidRPr="00BD39BA">
        <w:rPr>
          <w:rFonts w:ascii="Palatino Linotype" w:eastAsia="Times New Roman" w:hAnsi="Palatino Linotype" w:cs="Arial"/>
          <w:color w:val="000000" w:themeColor="text1"/>
          <w:lang w:eastAsia="es-MX"/>
        </w:rPr>
        <w:t>.</w:t>
      </w:r>
      <w:r>
        <w:rPr>
          <w:rFonts w:ascii="Palatino Linotype" w:eastAsia="Times New Roman" w:hAnsi="Palatino Linotype" w:cs="Arial"/>
          <w:color w:val="000000" w:themeColor="text1"/>
          <w:lang w:eastAsia="es-MX"/>
        </w:rPr>
        <w:t xml:space="preserve"> Así como comprobar si la respuesta emitida resulta congruente e integral en términos del artículo 11 de la ley de la materia.</w:t>
      </w:r>
    </w:p>
    <w:p w:rsidR="009F09BC" w:rsidRDefault="009F09BC" w:rsidP="009F09BC">
      <w:pPr>
        <w:pStyle w:val="Prrafodelista"/>
        <w:rPr>
          <w:rFonts w:ascii="Palatino Linotype" w:eastAsia="MS Mincho" w:hAnsi="Palatino Linotype" w:cs="Arial"/>
        </w:rPr>
      </w:pPr>
    </w:p>
    <w:p w:rsidR="009F09BC" w:rsidRPr="001B0CE4" w:rsidRDefault="009F09BC" w:rsidP="009F09BC">
      <w:pPr>
        <w:pStyle w:val="Ttulo2"/>
        <w:rPr>
          <w:rFonts w:ascii="Palatino Linotype" w:hAnsi="Palatino Linotype"/>
          <w:b/>
          <w:color w:val="000000" w:themeColor="text1"/>
          <w:sz w:val="24"/>
          <w:szCs w:val="24"/>
        </w:rPr>
      </w:pPr>
      <w:bookmarkStart w:id="144" w:name="_Toc495427545"/>
      <w:bookmarkStart w:id="145" w:name="_Toc23414596"/>
      <w:bookmarkStart w:id="146" w:name="_Toc34819433"/>
      <w:bookmarkStart w:id="147" w:name="_Toc51259589"/>
      <w:bookmarkStart w:id="148" w:name="_Toc83128582"/>
      <w:r w:rsidRPr="001B0CE4">
        <w:rPr>
          <w:rFonts w:ascii="Palatino Linotype" w:hAnsi="Palatino Linotype"/>
          <w:b/>
          <w:color w:val="000000" w:themeColor="text1"/>
          <w:sz w:val="24"/>
          <w:szCs w:val="24"/>
        </w:rPr>
        <w:t>CUARTO. Del estudio y resolución del asunto.</w:t>
      </w:r>
      <w:bookmarkEnd w:id="144"/>
      <w:bookmarkEnd w:id="145"/>
      <w:bookmarkEnd w:id="146"/>
      <w:bookmarkEnd w:id="147"/>
      <w:bookmarkEnd w:id="148"/>
    </w:p>
    <w:p w:rsidR="009F09BC" w:rsidRDefault="009F09BC" w:rsidP="009F09BC">
      <w:pPr>
        <w:spacing w:line="360" w:lineRule="auto"/>
        <w:rPr>
          <w:rFonts w:ascii="Palatino Linotype" w:hAnsi="Palatino Linotype"/>
          <w:lang w:val="es-MX" w:eastAsia="en-US"/>
        </w:rPr>
      </w:pPr>
    </w:p>
    <w:p w:rsidR="005B6702" w:rsidRPr="00736D1C"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Acotada la </w:t>
      </w:r>
      <w:r w:rsidRPr="005B6702">
        <w:rPr>
          <w:rFonts w:ascii="Palatino Linotype" w:hAnsi="Palatino Linotype"/>
          <w:i/>
          <w:color w:val="000000" w:themeColor="text1"/>
        </w:rPr>
        <w:t>Litis</w:t>
      </w:r>
      <w:r>
        <w:rPr>
          <w:rFonts w:ascii="Palatino Linotype" w:hAnsi="Palatino Linotype"/>
          <w:color w:val="000000" w:themeColor="text1"/>
        </w:rPr>
        <w:t xml:space="preserve"> del presente asunto, primeramente es menester precisar</w:t>
      </w:r>
      <w:r w:rsidRPr="00DA2D95">
        <w:rPr>
          <w:rFonts w:ascii="Palatino Linotype" w:hAnsi="Palatino Linotype"/>
          <w:bCs/>
          <w:color w:val="000000" w:themeColor="text1"/>
          <w:lang w:val="es-MX"/>
        </w:rPr>
        <w:t xml:space="preserve"> que </w:t>
      </w:r>
      <w:r w:rsidRPr="00DA2D95">
        <w:rPr>
          <w:rFonts w:ascii="Palatino Linotype" w:hAnsi="Palatino Linotype"/>
          <w:bCs/>
          <w:color w:val="000000" w:themeColor="text1"/>
        </w:rPr>
        <w:t xml:space="preserve">este Órgano Garante parte del hecho que el Derecho de </w:t>
      </w:r>
      <w:r w:rsidRPr="00736D1C">
        <w:rPr>
          <w:rFonts w:ascii="Palatino Linotype" w:eastAsia="MS Mincho" w:hAnsi="Palatino Linotype" w:cs="Arial"/>
        </w:rPr>
        <w:t>Acceso</w:t>
      </w:r>
      <w:r w:rsidRPr="00DA2D95">
        <w:rPr>
          <w:rFonts w:ascii="Palatino Linotype" w:hAnsi="Palatino Linotype"/>
          <w:bCs/>
          <w:color w:val="000000" w:themeColor="text1"/>
        </w:rPr>
        <w:t xml:space="preserve"> a la Información Pública, es un derecho humano reconocido en el Pacto de Derechos Civiles y Políticos en su artículo 19.2; en la </w:t>
      </w:r>
      <w:r w:rsidRPr="005B6702">
        <w:rPr>
          <w:rFonts w:ascii="Palatino Linotype" w:hAnsi="Palatino Linotype"/>
          <w:lang w:val="es-MX" w:eastAsia="en-US"/>
        </w:rPr>
        <w:t>Convención</w:t>
      </w:r>
      <w:r w:rsidRPr="00DA2D95">
        <w:rPr>
          <w:rFonts w:ascii="Palatino Linotype" w:hAnsi="Palatino Linotype"/>
          <w:bCs/>
          <w:color w:val="000000" w:themeColor="text1"/>
        </w:rPr>
        <w:t xml:space="preserve"> Americana sobre Derechos Humanos en su artículo 13.1; en el artículo sexto de la Constitución Política de los Estados Unidos Mexicanos y en el artículo quinto de la Particular del Estado de México, por lo que al respecto el </w:t>
      </w:r>
      <w:r w:rsidRPr="00DA2D95">
        <w:rPr>
          <w:rFonts w:ascii="Palatino Linotype" w:hAnsi="Palatino Linotype"/>
          <w:b/>
          <w:bCs/>
          <w:color w:val="000000" w:themeColor="text1"/>
        </w:rPr>
        <w:t>SUJETO OBLIGADO</w:t>
      </w:r>
      <w:r w:rsidRPr="00DA2D95">
        <w:rPr>
          <w:rFonts w:ascii="Palatino Linotype" w:hAnsi="Palatino Linotype"/>
          <w:bCs/>
          <w:color w:val="000000" w:themeColor="text1"/>
        </w:rPr>
        <w:t xml:space="preserve"> debe ser cuidadoso del debido </w:t>
      </w:r>
      <w:r w:rsidRPr="00DA2D95">
        <w:rPr>
          <w:rFonts w:ascii="Palatino Linotype" w:hAnsi="Palatino Linotype"/>
          <w:bCs/>
          <w:color w:val="000000" w:themeColor="text1"/>
        </w:rPr>
        <w:lastRenderedPageBreak/>
        <w:t xml:space="preserve">cumplimiento de las obligaciones constitucionales que se le imponen, en consecuencia, a todas las autoridades, en el ámbito de su competencia, según lo dispone el tercer párrafo del artículo primero de la </w:t>
      </w:r>
      <w:r w:rsidRPr="00DA2D95">
        <w:rPr>
          <w:rFonts w:ascii="Palatino Linotype" w:hAnsi="Palatino Linotype"/>
          <w:b/>
          <w:bCs/>
          <w:color w:val="000000" w:themeColor="text1"/>
        </w:rPr>
        <w:t xml:space="preserve">Constitución Política de los Estados Unidos Mexicanos </w:t>
      </w:r>
      <w:r w:rsidRPr="00DA2D95">
        <w:rPr>
          <w:rFonts w:ascii="Palatino Linotype" w:hAnsi="Palatino Linotype"/>
          <w:bCs/>
          <w:color w:val="000000" w:themeColor="text1"/>
        </w:rPr>
        <w:t xml:space="preserve">al señalar la obligación de “promover, </w:t>
      </w:r>
      <w:r w:rsidRPr="003F507A">
        <w:rPr>
          <w:rFonts w:ascii="Palatino Linotype" w:hAnsi="Palatino Linotype"/>
          <w:bCs/>
          <w:color w:val="000000" w:themeColor="text1"/>
        </w:rPr>
        <w:t>respetar</w:t>
      </w:r>
      <w:r w:rsidRPr="00DA2D95">
        <w:rPr>
          <w:rFonts w:ascii="Palatino Linotype" w:hAnsi="Palatino Linotype"/>
          <w:bCs/>
          <w:color w:val="000000" w:themeColor="text1"/>
        </w:rPr>
        <w:t xml:space="preserve">, proteger y </w:t>
      </w:r>
      <w:r w:rsidRPr="00DA2D95">
        <w:rPr>
          <w:rFonts w:ascii="Palatino Linotype" w:hAnsi="Palatino Linotype"/>
          <w:b/>
          <w:bCs/>
          <w:color w:val="000000" w:themeColor="text1"/>
        </w:rPr>
        <w:t>garantizar</w:t>
      </w:r>
      <w:r w:rsidRPr="00DA2D95">
        <w:rPr>
          <w:rFonts w:ascii="Palatino Linotype" w:hAnsi="Palatino Linotype"/>
          <w:bCs/>
          <w:color w:val="000000" w:themeColor="text1"/>
        </w:rPr>
        <w:t xml:space="preserve"> los derechos humanos”, entre los cuales se encuentra dicho derecho.</w:t>
      </w:r>
    </w:p>
    <w:p w:rsidR="005B6702" w:rsidRPr="0055159A" w:rsidRDefault="005B6702" w:rsidP="005B6702">
      <w:pPr>
        <w:pStyle w:val="Prrafodelista"/>
        <w:spacing w:line="360" w:lineRule="auto"/>
        <w:ind w:left="0"/>
        <w:jc w:val="both"/>
        <w:rPr>
          <w:rFonts w:ascii="Palatino Linotype" w:hAnsi="Palatino Linotype"/>
          <w:color w:val="000000" w:themeColor="text1"/>
        </w:rPr>
      </w:pPr>
    </w:p>
    <w:p w:rsidR="005B6702" w:rsidRPr="0037157C"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Por </w:t>
      </w:r>
      <w:r w:rsidRPr="00DA2D95">
        <w:rPr>
          <w:rFonts w:ascii="Palatino Linotype" w:hAnsi="Palatino Linotype"/>
          <w:color w:val="000000" w:themeColor="text1"/>
          <w:lang w:val="es-MX"/>
        </w:rPr>
        <w:t xml:space="preserve">lo anterior, se deduce que el derecho de acceso a la información pública es un </w:t>
      </w:r>
      <w:r w:rsidRPr="00736D1C">
        <w:rPr>
          <w:rFonts w:ascii="Palatino Linotype" w:hAnsi="Palatino Linotype"/>
          <w:color w:val="000000" w:themeColor="text1"/>
        </w:rPr>
        <w:t>derecho</w:t>
      </w:r>
      <w:r w:rsidRPr="00DA2D95">
        <w:rPr>
          <w:rFonts w:ascii="Palatino Linotype" w:hAnsi="Palatino Linotype"/>
          <w:color w:val="000000" w:themeColor="text1"/>
          <w:lang w:val="es-MX"/>
        </w:rPr>
        <w:t xml:space="preserve"> humano convencional y constitucionalmente reconocido; en </w:t>
      </w:r>
      <w:r w:rsidRPr="005B6702">
        <w:rPr>
          <w:rFonts w:ascii="Palatino Linotype" w:hAnsi="Palatino Linotype"/>
          <w:color w:val="000000" w:themeColor="text1"/>
        </w:rPr>
        <w:t>consecuencia</w:t>
      </w:r>
      <w:r w:rsidRPr="00DA2D95">
        <w:rPr>
          <w:rFonts w:ascii="Palatino Linotype" w:hAnsi="Palatino Linotype"/>
          <w:color w:val="000000" w:themeColor="text1"/>
          <w:lang w:val="es-MX"/>
        </w:rPr>
        <w:t>, todas las autoridades en el ámbito de sus competencias, funciones y atribuciones tienen la obligación de respetarlo, protegerlo y garantizarlo.</w:t>
      </w:r>
    </w:p>
    <w:p w:rsidR="0037157C" w:rsidRDefault="0037157C" w:rsidP="0037157C">
      <w:pPr>
        <w:pStyle w:val="Prrafodelista"/>
        <w:rPr>
          <w:rFonts w:ascii="Palatino Linotype" w:hAnsi="Palatino Linotype"/>
          <w:color w:val="000000" w:themeColor="text1"/>
        </w:rPr>
      </w:pPr>
    </w:p>
    <w:p w:rsidR="005B6702" w:rsidRPr="00736D1C"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Así las cosas, </w:t>
      </w:r>
      <w:r w:rsidRPr="00DA2D95">
        <w:rPr>
          <w:rFonts w:ascii="Palatino Linotype" w:hAnsi="Palatino Linotype"/>
          <w:color w:val="000000" w:themeColor="text1"/>
          <w:lang w:val="es-MX"/>
        </w:rPr>
        <w:t xml:space="preserve">podemos definir el Derecho de Acceso a la Información Pública como: </w:t>
      </w:r>
      <w:r w:rsidRPr="00DA2D95">
        <w:rPr>
          <w:rFonts w:ascii="Palatino Linotype" w:hAnsi="Palatino Linotype"/>
          <w:i/>
          <w:color w:val="000000" w:themeColor="text1"/>
          <w:lang w:val="es-MX"/>
        </w:rPr>
        <w:t>La igualdad de oportunidades para recibir, buscar e impartir información</w:t>
      </w:r>
      <w:r w:rsidRPr="00DA2D95">
        <w:rPr>
          <w:rFonts w:ascii="Palatino Linotype" w:hAnsi="Palatino Linotype"/>
          <w:i/>
          <w:color w:val="000000" w:themeColor="text1"/>
          <w:vertAlign w:val="superscript"/>
          <w:lang w:val="es-MX"/>
        </w:rPr>
        <w:footnoteReference w:id="1"/>
      </w:r>
      <w:r w:rsidRPr="00DA2D95">
        <w:rPr>
          <w:rFonts w:ascii="Palatino Linotype" w:hAnsi="Palatino Linotype"/>
          <w:i/>
          <w:color w:val="000000" w:themeColor="text1"/>
          <w:lang w:val="es-MX"/>
        </w:rPr>
        <w:t xml:space="preserve">en posesión de </w:t>
      </w:r>
      <w:r w:rsidRPr="005B6702">
        <w:rPr>
          <w:rFonts w:ascii="Palatino Linotype" w:hAnsi="Palatino Linotype"/>
          <w:color w:val="000000" w:themeColor="text1"/>
        </w:rPr>
        <w:t>cualquier</w:t>
      </w:r>
      <w:r w:rsidRPr="00DA2D95">
        <w:rPr>
          <w:rFonts w:ascii="Palatino Linotype" w:hAnsi="Palatino Linotype"/>
          <w:i/>
          <w:color w:val="000000" w:themeColor="text1"/>
          <w:lang w:val="es-MX"/>
        </w:rPr>
        <w:t xml:space="preserve">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A2D95">
        <w:rPr>
          <w:rFonts w:ascii="Palatino Linotype" w:hAnsi="Palatino Linotype"/>
          <w:i/>
          <w:color w:val="000000" w:themeColor="text1"/>
          <w:vertAlign w:val="superscript"/>
          <w:lang w:val="es-MX"/>
        </w:rPr>
        <w:footnoteReference w:id="2"/>
      </w:r>
      <w:r w:rsidRPr="00DA2D95">
        <w:rPr>
          <w:rFonts w:ascii="Palatino Linotype" w:hAnsi="Palatino Linotype"/>
          <w:color w:val="000000" w:themeColor="text1"/>
          <w:lang w:val="es-MX"/>
        </w:rPr>
        <w:t>que se constituye como una herramienta fundamental para ejercer</w:t>
      </w:r>
      <w:r w:rsidRPr="00DA2D95">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DA2D95">
        <w:rPr>
          <w:rFonts w:ascii="Palatino Linotype" w:hAnsi="Palatino Linotype"/>
          <w:i/>
          <w:color w:val="000000" w:themeColor="text1"/>
          <w:vertAlign w:val="superscript"/>
          <w:lang w:val="es-MX"/>
        </w:rPr>
        <w:footnoteReference w:id="3"/>
      </w:r>
      <w:r w:rsidRPr="00DA2D95">
        <w:rPr>
          <w:rFonts w:ascii="Palatino Linotype" w:hAnsi="Palatino Linotype"/>
          <w:i/>
          <w:color w:val="000000" w:themeColor="text1"/>
          <w:lang w:val="es-MX"/>
        </w:rPr>
        <w:t xml:space="preserve"> </w:t>
      </w:r>
      <w:r w:rsidRPr="00DA2D95">
        <w:rPr>
          <w:rFonts w:ascii="Palatino Linotype" w:hAnsi="Palatino Linotype"/>
          <w:color w:val="000000" w:themeColor="text1"/>
          <w:lang w:val="es-MX"/>
        </w:rPr>
        <w:t>fomentando</w:t>
      </w:r>
      <w:r w:rsidRPr="00DA2D95">
        <w:rPr>
          <w:rFonts w:ascii="Palatino Linotype" w:hAnsi="Palatino Linotype"/>
          <w:i/>
          <w:color w:val="000000" w:themeColor="text1"/>
          <w:lang w:val="es-MX"/>
        </w:rPr>
        <w:t xml:space="preserve"> la transparencia de las actividades estatales y </w:t>
      </w:r>
      <w:r w:rsidRPr="00DA2D95">
        <w:rPr>
          <w:rFonts w:ascii="Palatino Linotype" w:hAnsi="Palatino Linotype"/>
          <w:color w:val="000000" w:themeColor="text1"/>
          <w:lang w:val="es-MX"/>
        </w:rPr>
        <w:t>promoviendo</w:t>
      </w:r>
      <w:r w:rsidRPr="00DA2D95">
        <w:rPr>
          <w:rFonts w:ascii="Palatino Linotype" w:hAnsi="Palatino Linotype"/>
          <w:i/>
          <w:color w:val="000000" w:themeColor="text1"/>
          <w:lang w:val="es-MX"/>
        </w:rPr>
        <w:t xml:space="preserve"> la responsabilidad de los funcionarios sobre su gestión </w:t>
      </w:r>
      <w:r w:rsidRPr="00DA2D95">
        <w:rPr>
          <w:rFonts w:ascii="Palatino Linotype" w:hAnsi="Palatino Linotype"/>
          <w:i/>
          <w:color w:val="000000" w:themeColor="text1"/>
          <w:lang w:val="es-MX"/>
        </w:rPr>
        <w:lastRenderedPageBreak/>
        <w:t>pública,</w:t>
      </w:r>
      <w:r w:rsidRPr="00DA2D95">
        <w:rPr>
          <w:rFonts w:ascii="Palatino Linotype" w:hAnsi="Palatino Linotype"/>
          <w:i/>
          <w:color w:val="000000" w:themeColor="text1"/>
          <w:vertAlign w:val="superscript"/>
          <w:lang w:val="es-MX"/>
        </w:rPr>
        <w:footnoteReference w:id="4"/>
      </w:r>
      <w:r w:rsidRPr="00DA2D95">
        <w:rPr>
          <w:rFonts w:ascii="Palatino Linotype" w:hAnsi="Palatino Linotype"/>
          <w:color w:val="000000" w:themeColor="text1"/>
          <w:lang w:val="es-MX"/>
        </w:rPr>
        <w:t>que permite</w:t>
      </w:r>
      <w:r w:rsidRPr="00DA2D95">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rsidR="005B6702" w:rsidRPr="00736D1C" w:rsidRDefault="005B6702" w:rsidP="005B6702">
      <w:pPr>
        <w:pStyle w:val="Prrafodelista"/>
        <w:rPr>
          <w:rFonts w:ascii="Palatino Linotype" w:hAnsi="Palatino Linotype"/>
          <w:color w:val="000000" w:themeColor="text1"/>
        </w:rPr>
      </w:pPr>
    </w:p>
    <w:p w:rsidR="005B6702" w:rsidRPr="005B6702"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Por otro lado, </w:t>
      </w:r>
      <w:r w:rsidRPr="0055159A">
        <w:rPr>
          <w:rFonts w:ascii="Palatino Linotype" w:hAnsi="Palatino Linotype"/>
          <w:color w:val="000000" w:themeColor="text1"/>
          <w:lang w:val="es-MX"/>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rsidR="005B6702" w:rsidRDefault="005B6702" w:rsidP="005B6702">
      <w:pPr>
        <w:pStyle w:val="Prrafodelista"/>
        <w:rPr>
          <w:rFonts w:ascii="Palatino Linotype" w:hAnsi="Palatino Linotype"/>
          <w:color w:val="000000" w:themeColor="text1"/>
        </w:rPr>
      </w:pPr>
    </w:p>
    <w:p w:rsidR="00C242A7" w:rsidRDefault="005B6702" w:rsidP="0050702D">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Ahora bien, recordar que </w:t>
      </w:r>
      <w:r w:rsidR="002453DA">
        <w:rPr>
          <w:rFonts w:ascii="Palatino Linotype" w:hAnsi="Palatino Linotype"/>
          <w:color w:val="000000" w:themeColor="text1"/>
        </w:rPr>
        <w:t>el Ayuntamiento</w:t>
      </w:r>
      <w:r w:rsidR="00652937">
        <w:rPr>
          <w:rFonts w:ascii="Palatino Linotype" w:hAnsi="Palatino Linotype"/>
          <w:color w:val="000000" w:themeColor="text1"/>
        </w:rPr>
        <w:t xml:space="preserve"> de </w:t>
      </w:r>
      <w:proofErr w:type="spellStart"/>
      <w:r w:rsidR="00652937">
        <w:rPr>
          <w:rFonts w:ascii="Palatino Linotype" w:hAnsi="Palatino Linotype"/>
          <w:color w:val="000000" w:themeColor="text1"/>
        </w:rPr>
        <w:t>Xonacatlán</w:t>
      </w:r>
      <w:proofErr w:type="spellEnd"/>
      <w:r>
        <w:rPr>
          <w:rFonts w:ascii="Palatino Linotype" w:hAnsi="Palatino Linotype"/>
          <w:color w:val="000000" w:themeColor="text1"/>
        </w:rPr>
        <w:t>, realiz</w:t>
      </w:r>
      <w:r w:rsidR="002C3821">
        <w:rPr>
          <w:rFonts w:ascii="Palatino Linotype" w:hAnsi="Palatino Linotype"/>
          <w:color w:val="000000" w:themeColor="text1"/>
        </w:rPr>
        <w:t>ó</w:t>
      </w:r>
      <w:r>
        <w:rPr>
          <w:rFonts w:ascii="Palatino Linotype" w:hAnsi="Palatino Linotype"/>
          <w:color w:val="000000" w:themeColor="text1"/>
        </w:rPr>
        <w:t xml:space="preserve"> una </w:t>
      </w:r>
      <w:r w:rsidR="0050702D">
        <w:rPr>
          <w:rFonts w:ascii="Palatino Linotype" w:hAnsi="Palatino Linotype"/>
          <w:color w:val="000000" w:themeColor="text1"/>
        </w:rPr>
        <w:t xml:space="preserve">solicitud de aclaración </w:t>
      </w:r>
      <w:proofErr w:type="gramStart"/>
      <w:r w:rsidR="0050702D">
        <w:rPr>
          <w:rFonts w:ascii="Palatino Linotype" w:hAnsi="Palatino Linotype"/>
          <w:color w:val="000000" w:themeColor="text1"/>
        </w:rPr>
        <w:t>ya que</w:t>
      </w:r>
      <w:proofErr w:type="gramEnd"/>
      <w:r w:rsidR="0050702D">
        <w:rPr>
          <w:rFonts w:ascii="Palatino Linotype" w:hAnsi="Palatino Linotype"/>
          <w:color w:val="000000" w:themeColor="text1"/>
        </w:rPr>
        <w:t xml:space="preserve"> a su decir, la solicitud de información resulta ambigua; no obstante este Órgano Garante, considera que contiene los elementos esenciales para que el </w:t>
      </w:r>
      <w:r w:rsidR="0050702D">
        <w:rPr>
          <w:rFonts w:ascii="Palatino Linotype" w:hAnsi="Palatino Linotype"/>
          <w:b/>
          <w:color w:val="000000" w:themeColor="text1"/>
        </w:rPr>
        <w:t xml:space="preserve">SUJETO OBLIGADO </w:t>
      </w:r>
      <w:r w:rsidR="0050702D">
        <w:rPr>
          <w:rFonts w:ascii="Palatino Linotype" w:hAnsi="Palatino Linotype"/>
          <w:color w:val="000000" w:themeColor="text1"/>
        </w:rPr>
        <w:t>pudiera dar atención y entregar la información requerida ya que la misma contiene los documentos a los que desea tener acceso como lo son:</w:t>
      </w:r>
    </w:p>
    <w:p w:rsidR="0050702D" w:rsidRDefault="0050702D" w:rsidP="0050702D">
      <w:pPr>
        <w:pStyle w:val="Prrafodelista"/>
        <w:rPr>
          <w:rFonts w:ascii="Palatino Linotype" w:hAnsi="Palatino Linotype"/>
          <w:color w:val="000000" w:themeColor="text1"/>
        </w:rPr>
      </w:pPr>
    </w:p>
    <w:p w:rsidR="0050702D" w:rsidRPr="0050702D" w:rsidRDefault="008468BF" w:rsidP="0050702D">
      <w:pPr>
        <w:pStyle w:val="Prrafodelista"/>
        <w:numPr>
          <w:ilvl w:val="0"/>
          <w:numId w:val="39"/>
        </w:numPr>
        <w:spacing w:line="360" w:lineRule="auto"/>
        <w:jc w:val="both"/>
        <w:rPr>
          <w:rFonts w:ascii="Palatino Linotype" w:hAnsi="Palatino Linotype"/>
          <w:color w:val="000000" w:themeColor="text1"/>
        </w:rPr>
      </w:pPr>
      <w:r>
        <w:rPr>
          <w:rFonts w:ascii="Palatino Linotype" w:hAnsi="Palatino Linotype"/>
          <w:color w:val="000000" w:themeColor="text1"/>
        </w:rPr>
        <w:t>Recibos de nó</w:t>
      </w:r>
      <w:r w:rsidR="0050702D" w:rsidRPr="0050702D">
        <w:rPr>
          <w:rFonts w:ascii="Palatino Linotype" w:hAnsi="Palatino Linotype"/>
          <w:color w:val="000000" w:themeColor="text1"/>
        </w:rPr>
        <w:t>mina;</w:t>
      </w:r>
      <w:r w:rsidR="002C3821">
        <w:rPr>
          <w:rFonts w:ascii="Palatino Linotype" w:hAnsi="Palatino Linotype"/>
          <w:color w:val="000000" w:themeColor="text1"/>
        </w:rPr>
        <w:t xml:space="preserve"> y de</w:t>
      </w:r>
    </w:p>
    <w:p w:rsidR="0050702D" w:rsidRPr="0050702D" w:rsidRDefault="002C3821" w:rsidP="0050702D">
      <w:pPr>
        <w:pStyle w:val="Prrafodelista"/>
        <w:numPr>
          <w:ilvl w:val="0"/>
          <w:numId w:val="39"/>
        </w:numPr>
        <w:spacing w:line="360" w:lineRule="auto"/>
        <w:jc w:val="both"/>
        <w:rPr>
          <w:rFonts w:ascii="Palatino Linotype" w:hAnsi="Palatino Linotype"/>
          <w:color w:val="000000" w:themeColor="text1"/>
        </w:rPr>
      </w:pPr>
      <w:r>
        <w:rPr>
          <w:rFonts w:ascii="Palatino Linotype" w:hAnsi="Palatino Linotype"/>
          <w:color w:val="000000" w:themeColor="text1"/>
        </w:rPr>
        <w:t xml:space="preserve">Prima vacacional; </w:t>
      </w:r>
    </w:p>
    <w:p w:rsidR="0050702D" w:rsidRPr="0050702D" w:rsidRDefault="0050702D" w:rsidP="0050702D">
      <w:pPr>
        <w:pStyle w:val="Prrafodelista"/>
        <w:numPr>
          <w:ilvl w:val="0"/>
          <w:numId w:val="39"/>
        </w:numPr>
        <w:spacing w:line="360" w:lineRule="auto"/>
        <w:jc w:val="both"/>
        <w:rPr>
          <w:rFonts w:ascii="Palatino Linotype" w:hAnsi="Palatino Linotype"/>
          <w:color w:val="000000" w:themeColor="text1"/>
        </w:rPr>
      </w:pPr>
      <w:r w:rsidRPr="0050702D">
        <w:rPr>
          <w:rFonts w:ascii="Palatino Linotype" w:hAnsi="Palatino Linotype"/>
          <w:color w:val="000000" w:themeColor="text1"/>
        </w:rPr>
        <w:t>Aguinaldo</w:t>
      </w:r>
      <w:r w:rsidR="002C3821">
        <w:rPr>
          <w:rFonts w:ascii="Palatino Linotype" w:hAnsi="Palatino Linotype"/>
          <w:color w:val="000000" w:themeColor="text1"/>
        </w:rPr>
        <w:t>.</w:t>
      </w:r>
    </w:p>
    <w:p w:rsidR="0050702D" w:rsidRDefault="0050702D" w:rsidP="00C242A7">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lastRenderedPageBreak/>
        <w:t>Contiene las áreas de las cuales se requiere la información, a saber:</w:t>
      </w:r>
    </w:p>
    <w:p w:rsidR="0050702D" w:rsidRPr="0050702D" w:rsidRDefault="0050702D" w:rsidP="0050702D">
      <w:pPr>
        <w:pStyle w:val="Prrafodelista"/>
        <w:numPr>
          <w:ilvl w:val="0"/>
          <w:numId w:val="40"/>
        </w:numPr>
        <w:spacing w:line="360" w:lineRule="auto"/>
        <w:jc w:val="both"/>
        <w:rPr>
          <w:rFonts w:ascii="Palatino Linotype" w:hAnsi="Palatino Linotype"/>
          <w:color w:val="000000" w:themeColor="text1"/>
        </w:rPr>
      </w:pPr>
      <w:r w:rsidRPr="0050702D">
        <w:rPr>
          <w:rFonts w:ascii="Palatino Linotype" w:hAnsi="Palatino Linotype"/>
          <w:color w:val="000000" w:themeColor="text1"/>
        </w:rPr>
        <w:t>Tesorería Municipal;</w:t>
      </w:r>
    </w:p>
    <w:p w:rsidR="0050702D" w:rsidRPr="0050702D" w:rsidRDefault="0050702D" w:rsidP="0050702D">
      <w:pPr>
        <w:pStyle w:val="Prrafodelista"/>
        <w:numPr>
          <w:ilvl w:val="0"/>
          <w:numId w:val="40"/>
        </w:numPr>
        <w:spacing w:line="360" w:lineRule="auto"/>
        <w:jc w:val="both"/>
        <w:rPr>
          <w:rFonts w:ascii="Palatino Linotype" w:hAnsi="Palatino Linotype"/>
          <w:color w:val="000000" w:themeColor="text1"/>
        </w:rPr>
      </w:pPr>
      <w:r w:rsidRPr="0050702D">
        <w:rPr>
          <w:rFonts w:ascii="Palatino Linotype" w:hAnsi="Palatino Linotype"/>
          <w:color w:val="000000" w:themeColor="text1"/>
        </w:rPr>
        <w:t>Presidencia Municipal;</w:t>
      </w:r>
    </w:p>
    <w:p w:rsidR="0050702D" w:rsidRPr="0050702D" w:rsidRDefault="0050702D" w:rsidP="0050702D">
      <w:pPr>
        <w:pStyle w:val="Prrafodelista"/>
        <w:numPr>
          <w:ilvl w:val="0"/>
          <w:numId w:val="40"/>
        </w:numPr>
        <w:spacing w:line="360" w:lineRule="auto"/>
        <w:jc w:val="both"/>
        <w:rPr>
          <w:rFonts w:ascii="Palatino Linotype" w:hAnsi="Palatino Linotype"/>
          <w:color w:val="000000" w:themeColor="text1"/>
        </w:rPr>
      </w:pPr>
      <w:r w:rsidRPr="0050702D">
        <w:rPr>
          <w:rFonts w:ascii="Palatino Linotype" w:hAnsi="Palatino Linotype"/>
          <w:color w:val="000000" w:themeColor="text1"/>
        </w:rPr>
        <w:t>Secretaria del Ayuntamiento;</w:t>
      </w:r>
    </w:p>
    <w:p w:rsidR="0050702D" w:rsidRPr="0050702D" w:rsidRDefault="0050702D" w:rsidP="0050702D">
      <w:pPr>
        <w:pStyle w:val="Prrafodelista"/>
        <w:numPr>
          <w:ilvl w:val="0"/>
          <w:numId w:val="40"/>
        </w:numPr>
        <w:spacing w:line="360" w:lineRule="auto"/>
        <w:jc w:val="both"/>
        <w:rPr>
          <w:rFonts w:ascii="Palatino Linotype" w:hAnsi="Palatino Linotype"/>
          <w:color w:val="000000" w:themeColor="text1"/>
        </w:rPr>
      </w:pPr>
      <w:r w:rsidRPr="0050702D">
        <w:rPr>
          <w:rFonts w:ascii="Palatino Linotype" w:hAnsi="Palatino Linotype"/>
          <w:color w:val="000000" w:themeColor="text1"/>
        </w:rPr>
        <w:t>Unidad de Transparencia;</w:t>
      </w:r>
    </w:p>
    <w:p w:rsidR="0050702D" w:rsidRPr="0050702D" w:rsidRDefault="0050702D" w:rsidP="0050702D">
      <w:pPr>
        <w:pStyle w:val="Prrafodelista"/>
        <w:numPr>
          <w:ilvl w:val="0"/>
          <w:numId w:val="40"/>
        </w:numPr>
        <w:spacing w:line="360" w:lineRule="auto"/>
        <w:jc w:val="both"/>
        <w:rPr>
          <w:rFonts w:ascii="Palatino Linotype" w:hAnsi="Palatino Linotype"/>
          <w:color w:val="000000" w:themeColor="text1"/>
        </w:rPr>
      </w:pPr>
      <w:r w:rsidRPr="0050702D">
        <w:rPr>
          <w:rFonts w:ascii="Palatino Linotype" w:hAnsi="Palatino Linotype"/>
          <w:color w:val="000000" w:themeColor="text1"/>
        </w:rPr>
        <w:t xml:space="preserve">Obras Públicas, Catastro; y </w:t>
      </w:r>
    </w:p>
    <w:p w:rsidR="0050702D" w:rsidRPr="0050702D" w:rsidRDefault="0050702D" w:rsidP="0050702D">
      <w:pPr>
        <w:pStyle w:val="Prrafodelista"/>
        <w:numPr>
          <w:ilvl w:val="0"/>
          <w:numId w:val="40"/>
        </w:numPr>
        <w:spacing w:line="360" w:lineRule="auto"/>
        <w:jc w:val="both"/>
        <w:rPr>
          <w:rFonts w:ascii="Palatino Linotype" w:hAnsi="Palatino Linotype"/>
          <w:color w:val="000000" w:themeColor="text1"/>
        </w:rPr>
      </w:pPr>
      <w:r w:rsidRPr="0050702D">
        <w:rPr>
          <w:rFonts w:ascii="Palatino Linotype" w:hAnsi="Palatino Linotype"/>
          <w:color w:val="000000" w:themeColor="text1"/>
        </w:rPr>
        <w:t>UIPPE.</w:t>
      </w:r>
    </w:p>
    <w:p w:rsidR="0050702D" w:rsidRDefault="0050702D" w:rsidP="0050702D">
      <w:pPr>
        <w:spacing w:line="360" w:lineRule="auto"/>
        <w:contextualSpacing/>
        <w:jc w:val="both"/>
        <w:rPr>
          <w:rFonts w:ascii="Palatino Linotype" w:hAnsi="Palatino Linotype"/>
          <w:color w:val="000000" w:themeColor="text1"/>
        </w:rPr>
      </w:pPr>
    </w:p>
    <w:p w:rsidR="0050702D" w:rsidRDefault="0050702D" w:rsidP="00C242A7">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Por último, contiene un lapso temporal de lo requerido, y que fue de los años 2019 a 2021</w:t>
      </w:r>
      <w:r w:rsidR="00036137">
        <w:rPr>
          <w:rFonts w:ascii="Palatino Linotype" w:hAnsi="Palatino Linotype"/>
          <w:color w:val="000000" w:themeColor="text1"/>
        </w:rPr>
        <w:t xml:space="preserve">; luego entonces contrario a lo aducido en respuesta no se advierte algún extremo de la solicitud de información como ambiguo, oscuro o poco entendible, por lo que el </w:t>
      </w:r>
      <w:r w:rsidR="00036137">
        <w:rPr>
          <w:rFonts w:ascii="Palatino Linotype" w:hAnsi="Palatino Linotype"/>
          <w:b/>
          <w:color w:val="000000" w:themeColor="text1"/>
        </w:rPr>
        <w:t>SUJETO OBLIGADO</w:t>
      </w:r>
      <w:r w:rsidR="00036137">
        <w:rPr>
          <w:rFonts w:ascii="Palatino Linotype" w:hAnsi="Palatino Linotype"/>
          <w:color w:val="000000" w:themeColor="text1"/>
        </w:rPr>
        <w:t xml:space="preserve"> debió remitir el soporte documental donde conste o se advierta la información de referencia, generada, poseída y administrada durante dichos ejercicios fiscales, tocante a todo el personal que haya estado adscrito a esas unidades administrativas en dichos periodos, ya que –además– la solicitud de información fue enfática en señalar que del personal que haya estado adscrito a esas áreas, es decir todos</w:t>
      </w:r>
      <w:r w:rsidR="008468BF">
        <w:rPr>
          <w:rFonts w:ascii="Palatino Linotype" w:hAnsi="Palatino Linotype"/>
          <w:color w:val="000000" w:themeColor="text1"/>
        </w:rPr>
        <w:t xml:space="preserve"> aquellos que hayan ingresado o dejado el cargo en dichos periodos</w:t>
      </w:r>
      <w:r w:rsidR="00036137">
        <w:rPr>
          <w:rFonts w:ascii="Palatino Linotype" w:hAnsi="Palatino Linotype"/>
          <w:color w:val="000000" w:themeColor="text1"/>
        </w:rPr>
        <w:t>, pues no se hace ningún tipo de distinción relativo a algún servidor público especifico.</w:t>
      </w:r>
    </w:p>
    <w:p w:rsidR="00036137" w:rsidRDefault="00036137" w:rsidP="00036137">
      <w:pPr>
        <w:spacing w:line="360" w:lineRule="auto"/>
        <w:contextualSpacing/>
        <w:jc w:val="both"/>
        <w:rPr>
          <w:rFonts w:ascii="Palatino Linotype" w:hAnsi="Palatino Linotype"/>
          <w:color w:val="000000" w:themeColor="text1"/>
        </w:rPr>
      </w:pPr>
    </w:p>
    <w:p w:rsidR="00036137" w:rsidRDefault="00036137" w:rsidP="008F6998">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Atento a lo anterior, es que se consideran como procedentes los motivos de inconformidad vertidos por el particular, toda vez que su derecho de acceso a la información se vio restringido por una pretendida solicitud de aclaración la cual, como tuvo a bien señalar el hoy </w:t>
      </w:r>
      <w:r>
        <w:rPr>
          <w:rFonts w:ascii="Palatino Linotype" w:hAnsi="Palatino Linotype"/>
          <w:b/>
          <w:color w:val="000000" w:themeColor="text1"/>
        </w:rPr>
        <w:t>RECURRENTE</w:t>
      </w:r>
      <w:r>
        <w:rPr>
          <w:rFonts w:ascii="Palatino Linotype" w:hAnsi="Palatino Linotype"/>
          <w:color w:val="000000" w:themeColor="text1"/>
        </w:rPr>
        <w:t xml:space="preserve"> fue realizada fuera del lapso </w:t>
      </w:r>
      <w:r>
        <w:rPr>
          <w:rFonts w:ascii="Palatino Linotype" w:hAnsi="Palatino Linotype"/>
          <w:color w:val="000000" w:themeColor="text1"/>
        </w:rPr>
        <w:lastRenderedPageBreak/>
        <w:t>legalmente establecido para que los sujetos obligados las realicen cuando así</w:t>
      </w:r>
      <w:r w:rsidR="008F6998">
        <w:rPr>
          <w:rFonts w:ascii="Palatino Linotype" w:hAnsi="Palatino Linotype"/>
          <w:color w:val="000000" w:themeColor="text1"/>
        </w:rPr>
        <w:t xml:space="preserve"> lo consideren procedente, como consta en el artículo 159 de la Ley d</w:t>
      </w:r>
      <w:r w:rsidR="008F6998" w:rsidRPr="008F6998">
        <w:rPr>
          <w:rFonts w:ascii="Palatino Linotype" w:hAnsi="Palatino Linotype"/>
          <w:color w:val="000000" w:themeColor="text1"/>
        </w:rPr>
        <w:t xml:space="preserve">e Transparencia </w:t>
      </w:r>
      <w:r w:rsidR="008F6998">
        <w:rPr>
          <w:rFonts w:ascii="Palatino Linotype" w:hAnsi="Palatino Linotype"/>
          <w:color w:val="000000" w:themeColor="text1"/>
        </w:rPr>
        <w:t>y Acceso a</w:t>
      </w:r>
      <w:r w:rsidR="008F6998" w:rsidRPr="008F6998">
        <w:rPr>
          <w:rFonts w:ascii="Palatino Linotype" w:hAnsi="Palatino Linotype"/>
          <w:color w:val="000000" w:themeColor="text1"/>
        </w:rPr>
        <w:t xml:space="preserve"> </w:t>
      </w:r>
      <w:r w:rsidR="008F6998">
        <w:rPr>
          <w:rFonts w:ascii="Palatino Linotype" w:hAnsi="Palatino Linotype"/>
          <w:color w:val="000000" w:themeColor="text1"/>
        </w:rPr>
        <w:t>l</w:t>
      </w:r>
      <w:r w:rsidR="008F6998" w:rsidRPr="008F6998">
        <w:rPr>
          <w:rFonts w:ascii="Palatino Linotype" w:hAnsi="Palatino Linotype"/>
          <w:color w:val="000000" w:themeColor="text1"/>
        </w:rPr>
        <w:t xml:space="preserve">a Información Pública </w:t>
      </w:r>
      <w:r w:rsidR="008F6998">
        <w:rPr>
          <w:rFonts w:ascii="Palatino Linotype" w:hAnsi="Palatino Linotype"/>
          <w:color w:val="000000" w:themeColor="text1"/>
        </w:rPr>
        <w:t>del Estado d</w:t>
      </w:r>
      <w:r w:rsidR="008F6998" w:rsidRPr="008F6998">
        <w:rPr>
          <w:rFonts w:ascii="Palatino Linotype" w:hAnsi="Palatino Linotype"/>
          <w:color w:val="000000" w:themeColor="text1"/>
        </w:rPr>
        <w:t xml:space="preserve">e México </w:t>
      </w:r>
      <w:r w:rsidR="008F6998">
        <w:rPr>
          <w:rFonts w:ascii="Palatino Linotype" w:hAnsi="Palatino Linotype"/>
          <w:color w:val="000000" w:themeColor="text1"/>
        </w:rPr>
        <w:t>y</w:t>
      </w:r>
      <w:r w:rsidR="008F6998" w:rsidRPr="008F6998">
        <w:rPr>
          <w:rFonts w:ascii="Palatino Linotype" w:hAnsi="Palatino Linotype"/>
          <w:color w:val="000000" w:themeColor="text1"/>
        </w:rPr>
        <w:t xml:space="preserve"> Municipios</w:t>
      </w:r>
      <w:r w:rsidR="008F6998">
        <w:rPr>
          <w:rFonts w:ascii="Palatino Linotype" w:hAnsi="Palatino Linotype"/>
          <w:color w:val="000000" w:themeColor="text1"/>
        </w:rPr>
        <w:t>, y que es de la literalidad siguiente:</w:t>
      </w:r>
    </w:p>
    <w:p w:rsidR="008F6998" w:rsidRDefault="008F6998" w:rsidP="008F6998">
      <w:pPr>
        <w:pStyle w:val="Prrafodelista"/>
        <w:rPr>
          <w:rFonts w:ascii="Palatino Linotype" w:hAnsi="Palatino Linotype"/>
          <w:color w:val="000000" w:themeColor="text1"/>
        </w:rPr>
      </w:pPr>
    </w:p>
    <w:p w:rsidR="008F6998" w:rsidRPr="008F6998" w:rsidRDefault="008F6998" w:rsidP="008F6998">
      <w:pPr>
        <w:spacing w:line="360" w:lineRule="auto"/>
        <w:ind w:left="567" w:right="474"/>
        <w:contextualSpacing/>
        <w:jc w:val="both"/>
        <w:rPr>
          <w:rFonts w:ascii="Palatino Linotype" w:hAnsi="Palatino Linotype"/>
          <w:i/>
          <w:color w:val="000000" w:themeColor="text1"/>
        </w:rPr>
      </w:pPr>
      <w:r>
        <w:rPr>
          <w:rFonts w:ascii="Palatino Linotype" w:hAnsi="Palatino Linotype"/>
          <w:i/>
          <w:color w:val="000000" w:themeColor="text1"/>
        </w:rPr>
        <w:t>“</w:t>
      </w:r>
      <w:r w:rsidRPr="008F6998">
        <w:rPr>
          <w:rFonts w:ascii="Palatino Linotype" w:hAnsi="Palatino Linotype"/>
          <w:i/>
          <w:color w:val="000000" w:themeColor="text1"/>
        </w:rPr>
        <w:t xml:space="preserve">Artículo 159. </w:t>
      </w:r>
      <w:r w:rsidRPr="008F6998">
        <w:rPr>
          <w:rFonts w:ascii="Palatino Linotype" w:hAnsi="Palatino Linotype"/>
          <w:b/>
          <w:i/>
          <w:color w:val="000000" w:themeColor="text1"/>
        </w:rPr>
        <w:t>Cuando los detalles proporcionados para localizar los documentos resulten insuficientes, incompletos o sean erróneos</w:t>
      </w:r>
      <w:r w:rsidRPr="008F6998">
        <w:rPr>
          <w:rFonts w:ascii="Palatino Linotype" w:hAnsi="Palatino Linotype"/>
          <w:i/>
          <w:color w:val="000000" w:themeColor="text1"/>
        </w:rPr>
        <w:t xml:space="preserve">, la Unidad de Transparencia </w:t>
      </w:r>
      <w:r w:rsidRPr="008F6998">
        <w:rPr>
          <w:rFonts w:ascii="Palatino Linotype" w:hAnsi="Palatino Linotype"/>
          <w:b/>
          <w:i/>
          <w:color w:val="000000" w:themeColor="text1"/>
        </w:rPr>
        <w:t>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r w:rsidRPr="008F6998">
        <w:rPr>
          <w:rFonts w:ascii="Palatino Linotype" w:hAnsi="Palatino Linotype"/>
          <w:i/>
          <w:color w:val="000000" w:themeColor="text1"/>
        </w:rPr>
        <w:t>.</w:t>
      </w:r>
    </w:p>
    <w:p w:rsidR="008F6998" w:rsidRPr="008F6998" w:rsidRDefault="008F6998" w:rsidP="008F6998">
      <w:pPr>
        <w:spacing w:line="360" w:lineRule="auto"/>
        <w:ind w:left="567" w:right="474"/>
        <w:contextualSpacing/>
        <w:jc w:val="both"/>
        <w:rPr>
          <w:rFonts w:ascii="Palatino Linotype" w:hAnsi="Palatino Linotype"/>
          <w:i/>
          <w:color w:val="000000" w:themeColor="text1"/>
        </w:rPr>
      </w:pPr>
      <w:r w:rsidRPr="008F6998">
        <w:rPr>
          <w:rFonts w:ascii="Palatino Linotype" w:hAnsi="Palatino Linotype"/>
          <w:i/>
          <w:color w:val="000000" w:themeColor="text1"/>
        </w:rPr>
        <w:t>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w:t>
      </w:r>
    </w:p>
    <w:p w:rsidR="008F6998" w:rsidRPr="008F6998" w:rsidRDefault="008F6998" w:rsidP="008F6998">
      <w:pPr>
        <w:spacing w:line="360" w:lineRule="auto"/>
        <w:ind w:left="567" w:right="474"/>
        <w:contextualSpacing/>
        <w:jc w:val="both"/>
        <w:rPr>
          <w:rFonts w:ascii="Palatino Linotype" w:hAnsi="Palatino Linotype"/>
          <w:i/>
          <w:color w:val="000000" w:themeColor="text1"/>
        </w:rPr>
      </w:pPr>
      <w:r w:rsidRPr="008F6998">
        <w:rPr>
          <w:rFonts w:ascii="Palatino Linotype" w:hAnsi="Palatino Linotype"/>
          <w:i/>
          <w:color w:val="000000" w:themeColor="text1"/>
        </w:rPr>
        <w:t>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w:t>
      </w:r>
    </w:p>
    <w:p w:rsidR="008F6998" w:rsidRDefault="008F6998" w:rsidP="008F6998">
      <w:pPr>
        <w:spacing w:line="360" w:lineRule="auto"/>
        <w:ind w:left="567" w:right="474"/>
        <w:contextualSpacing/>
        <w:jc w:val="both"/>
        <w:rPr>
          <w:rFonts w:ascii="Palatino Linotype" w:hAnsi="Palatino Linotype"/>
          <w:i/>
          <w:color w:val="000000" w:themeColor="text1"/>
        </w:rPr>
      </w:pPr>
      <w:r w:rsidRPr="008F6998">
        <w:rPr>
          <w:rFonts w:ascii="Palatino Linotype" w:hAnsi="Palatino Linotype"/>
          <w:i/>
          <w:color w:val="000000" w:themeColor="text1"/>
        </w:rPr>
        <w:t>En el caso de requerimientos parciales no desahogados, se tendrá por presentada la solicitud por lo que respecta a los contenidos de información que no formaron parte del requerimiento.</w:t>
      </w:r>
      <w:r>
        <w:rPr>
          <w:rFonts w:ascii="Palatino Linotype" w:hAnsi="Palatino Linotype"/>
          <w:i/>
          <w:color w:val="000000" w:themeColor="text1"/>
        </w:rPr>
        <w:t>”</w:t>
      </w:r>
    </w:p>
    <w:p w:rsidR="008F6998" w:rsidRDefault="008F6998" w:rsidP="008F6998">
      <w:pPr>
        <w:spacing w:line="360" w:lineRule="auto"/>
        <w:ind w:left="567" w:right="474"/>
        <w:contextualSpacing/>
        <w:jc w:val="both"/>
        <w:rPr>
          <w:rFonts w:ascii="Palatino Linotype" w:hAnsi="Palatino Linotype"/>
          <w:color w:val="000000" w:themeColor="text1"/>
        </w:rPr>
      </w:pPr>
      <w:r>
        <w:rPr>
          <w:rFonts w:ascii="Palatino Linotype" w:hAnsi="Palatino Linotype"/>
          <w:color w:val="000000" w:themeColor="text1"/>
        </w:rPr>
        <w:lastRenderedPageBreak/>
        <w:t>Énfasis añadido</w:t>
      </w:r>
    </w:p>
    <w:p w:rsidR="00124FD1" w:rsidRPr="008F6998" w:rsidRDefault="00124FD1" w:rsidP="008F6998">
      <w:pPr>
        <w:spacing w:line="360" w:lineRule="auto"/>
        <w:ind w:left="567" w:right="474"/>
        <w:contextualSpacing/>
        <w:jc w:val="both"/>
        <w:rPr>
          <w:rFonts w:ascii="Palatino Linotype" w:hAnsi="Palatino Linotype"/>
          <w:color w:val="000000" w:themeColor="text1"/>
        </w:rPr>
      </w:pPr>
    </w:p>
    <w:p w:rsidR="008F6998" w:rsidRDefault="008F6998" w:rsidP="00C242A7">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Luego entonces, si la pretendida solicitud de aclaración se realizó al momento de emitir la respuesta y no a los cinco días hábiles posteriores a la interposición de la solicitud de información, evidentemente se considera inoportuna, independiente de si la solicitud de información era o no ambigua.</w:t>
      </w:r>
    </w:p>
    <w:p w:rsidR="008F6998" w:rsidRDefault="008F6998" w:rsidP="008F6998">
      <w:pPr>
        <w:spacing w:line="360" w:lineRule="auto"/>
        <w:contextualSpacing/>
        <w:jc w:val="both"/>
        <w:rPr>
          <w:rFonts w:ascii="Palatino Linotype" w:hAnsi="Palatino Linotype"/>
          <w:color w:val="000000" w:themeColor="text1"/>
        </w:rPr>
      </w:pPr>
    </w:p>
    <w:p w:rsidR="00BA4537" w:rsidRPr="00124FD1" w:rsidRDefault="008F6998" w:rsidP="0002058B">
      <w:pPr>
        <w:numPr>
          <w:ilvl w:val="0"/>
          <w:numId w:val="15"/>
        </w:numPr>
        <w:spacing w:line="360" w:lineRule="auto"/>
        <w:ind w:left="0" w:firstLine="0"/>
        <w:contextualSpacing/>
        <w:jc w:val="both"/>
        <w:rPr>
          <w:rFonts w:ascii="Palatino Linotype" w:eastAsia="Palatino Linotype" w:hAnsi="Palatino Linotype" w:cs="Palatino Linotype"/>
        </w:rPr>
      </w:pPr>
      <w:r w:rsidRPr="00124FD1">
        <w:rPr>
          <w:rFonts w:ascii="Palatino Linotype" w:hAnsi="Palatino Linotype"/>
          <w:color w:val="000000" w:themeColor="text1"/>
        </w:rPr>
        <w:t xml:space="preserve">Ahora </w:t>
      </w:r>
      <w:r w:rsidR="00BA4537" w:rsidRPr="00124FD1">
        <w:rPr>
          <w:rFonts w:ascii="Palatino Linotype" w:hAnsi="Palatino Linotype"/>
          <w:color w:val="000000" w:themeColor="text1"/>
        </w:rPr>
        <w:t>bien, relativo a lo solicitado</w:t>
      </w:r>
      <w:r w:rsidR="00124FD1" w:rsidRPr="00124FD1">
        <w:rPr>
          <w:rFonts w:ascii="Palatino Linotype" w:hAnsi="Palatino Linotype"/>
          <w:color w:val="000000" w:themeColor="text1"/>
        </w:rPr>
        <w:t xml:space="preserve"> y que toralmente versa en recibos de nómina,</w:t>
      </w:r>
      <w:r w:rsidR="00124FD1">
        <w:rPr>
          <w:rFonts w:ascii="Palatino Linotype" w:hAnsi="Palatino Linotype"/>
          <w:color w:val="000000" w:themeColor="text1"/>
        </w:rPr>
        <w:t xml:space="preserve"> n</w:t>
      </w:r>
      <w:r w:rsidR="00BA4537" w:rsidRPr="00124FD1">
        <w:rPr>
          <w:rFonts w:ascii="Palatino Linotype" w:eastAsia="Palatino Linotype" w:hAnsi="Palatino Linotype" w:cs="Palatino Linotype"/>
        </w:rPr>
        <w:t xml:space="preserve">o debe perderse de vista que los artículos 7 y 23 fracciones I y XI, de la Ley de Transparencia y </w:t>
      </w:r>
      <w:r w:rsidR="00BA4537" w:rsidRPr="00124FD1">
        <w:rPr>
          <w:rFonts w:ascii="Palatino Linotype" w:hAnsi="Palatino Linotype"/>
          <w:color w:val="000000" w:themeColor="text1"/>
        </w:rPr>
        <w:t>Acceso</w:t>
      </w:r>
      <w:r w:rsidR="00BA4537" w:rsidRPr="00124FD1">
        <w:rPr>
          <w:rFonts w:ascii="Palatino Linotype" w:eastAsia="Palatino Linotype" w:hAnsi="Palatino Linotype" w:cs="Palatino Linotype"/>
        </w:rPr>
        <w:t xml:space="preserve"> a la Información Pública del Estado de México y Municipios, establece como deber de los sujetos obligados, publicitar toda la información respecto de los montos y personas a las que se otorguen recursos públicos, esto con la finalidad de dar a conocer a la ciudadanía la forma, términos y montos en los que se aplican dichos recursos, por lo que bajo esta premisa, si el personal </w:t>
      </w:r>
      <w:r w:rsidR="007A33A8" w:rsidRPr="00124FD1">
        <w:rPr>
          <w:rFonts w:ascii="Palatino Linotype" w:eastAsia="Palatino Linotype" w:hAnsi="Palatino Linotype" w:cs="Palatino Linotype"/>
        </w:rPr>
        <w:t>de las áreas señaladas en la solicitud de información</w:t>
      </w:r>
      <w:r w:rsidR="00BA4537" w:rsidRPr="00124FD1">
        <w:rPr>
          <w:rFonts w:ascii="Palatino Linotype" w:eastAsia="Palatino Linotype" w:hAnsi="Palatino Linotype" w:cs="Palatino Linotype"/>
        </w:rPr>
        <w:t xml:space="preserve"> recibe recursos de carácter público, en consecuencia, dichos datos revisten interés público:  </w:t>
      </w:r>
    </w:p>
    <w:p w:rsidR="00BA4537"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BA4537"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A4537"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Artículo 23. Son sujetos obligados a transparentar y permitir el acceso a su información y proteger los datos personales que obren en su poder: </w:t>
      </w:r>
    </w:p>
    <w:p w:rsidR="00BA4537"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El Poder Ejecutivo del Estado de México, las dependencias, organismos auxiliares, órganos, entidades, fideicomisos y fondos públicos, así como la Procuraduría General de Justicia;</w:t>
      </w:r>
    </w:p>
    <w:p w:rsidR="00BA4537"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A4537"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 Cualquier otra autoridad, entidad, órgano u organismo de los poderes estatal o municipal, que reciba recursos públicos. </w:t>
      </w:r>
    </w:p>
    <w:p w:rsidR="00BA4537"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p>
    <w:p w:rsidR="00BA4537" w:rsidRDefault="00BA4537" w:rsidP="007A33A8">
      <w:pPr>
        <w:spacing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servidores públicos deberán transparentar sus </w:t>
      </w:r>
      <w:proofErr w:type="gramStart"/>
      <w:r>
        <w:rPr>
          <w:rFonts w:ascii="Palatino Linotype" w:eastAsia="Palatino Linotype" w:hAnsi="Palatino Linotype" w:cs="Palatino Linotype"/>
          <w:i/>
          <w:sz w:val="22"/>
          <w:szCs w:val="22"/>
        </w:rPr>
        <w:t>acciones</w:t>
      </w:r>
      <w:proofErr w:type="gramEnd"/>
      <w:r>
        <w:rPr>
          <w:rFonts w:ascii="Palatino Linotype" w:eastAsia="Palatino Linotype" w:hAnsi="Palatino Linotype" w:cs="Palatino Linotype"/>
          <w:i/>
          <w:sz w:val="22"/>
          <w:szCs w:val="22"/>
        </w:rPr>
        <w:t xml:space="preserve"> así como garantizar y respetar el derecho de acceso a la información pública.”</w:t>
      </w:r>
    </w:p>
    <w:p w:rsidR="007A33A8" w:rsidRPr="007A33A8" w:rsidRDefault="007A33A8" w:rsidP="007A33A8">
      <w:pPr>
        <w:spacing w:line="360" w:lineRule="auto"/>
        <w:ind w:left="567" w:right="851"/>
        <w:jc w:val="both"/>
        <w:rPr>
          <w:rFonts w:ascii="Palatino Linotype" w:eastAsia="Palatino Linotype" w:hAnsi="Palatino Linotype" w:cs="Palatino Linotype"/>
          <w:sz w:val="22"/>
          <w:szCs w:val="22"/>
        </w:rPr>
      </w:pPr>
    </w:p>
    <w:p w:rsidR="00BA4537" w:rsidRDefault="00BA4537" w:rsidP="008468BF">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Ahora bien, continuando con el análisis, para el caso de las remuneraciones, debemos definirlas como todo tipo de retribución que recibe un trabajador por las labores realizadas, en otras palabras se trata de los beneficios que el patrón otorga al colaborador por la prestación de u</w:t>
      </w:r>
      <w:r w:rsidR="008468BF">
        <w:rPr>
          <w:rFonts w:ascii="Palatino Linotype" w:eastAsia="Palatino Linotype" w:hAnsi="Palatino Linotype" w:cs="Palatino Linotype"/>
        </w:rPr>
        <w:t>n servicio personal subordinado;</w:t>
      </w:r>
      <w:r>
        <w:rPr>
          <w:rFonts w:ascii="Palatino Linotype" w:eastAsia="Palatino Linotype" w:hAnsi="Palatino Linotype" w:cs="Palatino Linotype"/>
        </w:rPr>
        <w:t xml:space="preserve"> es decir, se constituyen como uno de los factores que determinan la existencia de una relación de trabajo entre empleador y trabajador, es de señalar que de conformidad con el artículo 84 de la Ley Federal del Trabajo, estas remuneraciones se conformarán de la siguiente manera: </w:t>
      </w:r>
    </w:p>
    <w:p w:rsidR="00BA4537" w:rsidRDefault="00BA4537" w:rsidP="008468BF">
      <w:pPr>
        <w:spacing w:line="360" w:lineRule="auto"/>
        <w:ind w:left="426" w:right="616"/>
        <w:jc w:val="both"/>
        <w:rPr>
          <w:rFonts w:ascii="Palatino Linotype" w:eastAsia="Palatino Linotype" w:hAnsi="Palatino Linotype" w:cs="Palatino Linotype"/>
          <w:i/>
          <w:sz w:val="22"/>
          <w:szCs w:val="22"/>
        </w:rPr>
      </w:pPr>
      <w:bookmarkStart w:id="149" w:name="bookmark=id.gjdgxs" w:colFirst="0" w:colLast="0"/>
      <w:bookmarkEnd w:id="149"/>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u w:val="single"/>
        </w:rPr>
        <w:t>Artículo 84.- El salario se integra con</w:t>
      </w:r>
      <w:r>
        <w:rPr>
          <w:rFonts w:ascii="Palatino Linotype" w:eastAsia="Palatino Linotype" w:hAnsi="Palatino Linotype" w:cs="Palatino Linotype"/>
          <w:i/>
          <w:sz w:val="22"/>
          <w:szCs w:val="22"/>
        </w:rPr>
        <w:t xml:space="preserve"> los pagos hechos en efectivo por cuota diaria, gratificaciones, percepciones, habitación, primas, comisiones, </w:t>
      </w:r>
      <w:r>
        <w:rPr>
          <w:rFonts w:ascii="Palatino Linotype" w:eastAsia="Palatino Linotype" w:hAnsi="Palatino Linotype" w:cs="Palatino Linotype"/>
          <w:b/>
          <w:i/>
          <w:sz w:val="22"/>
          <w:szCs w:val="22"/>
          <w:u w:val="single"/>
        </w:rPr>
        <w:t>prestaciones en especie y cualquiera otra cantidad o prestación que se entregue al trabajador por su trabajo.</w:t>
      </w:r>
      <w:r>
        <w:rPr>
          <w:rFonts w:ascii="Palatino Linotype" w:eastAsia="Palatino Linotype" w:hAnsi="Palatino Linotype" w:cs="Palatino Linotype"/>
          <w:i/>
          <w:sz w:val="22"/>
          <w:szCs w:val="22"/>
        </w:rPr>
        <w:t>”</w:t>
      </w:r>
    </w:p>
    <w:p w:rsidR="00BA4537" w:rsidRDefault="00BA4537" w:rsidP="008468BF">
      <w:pPr>
        <w:spacing w:line="360" w:lineRule="auto"/>
        <w:ind w:left="567" w:right="900"/>
        <w:jc w:val="both"/>
        <w:rPr>
          <w:rFonts w:ascii="Palatino Linotype" w:eastAsia="Palatino Linotype" w:hAnsi="Palatino Linotype" w:cs="Palatino Linotype"/>
          <w:i/>
          <w:sz w:val="22"/>
          <w:szCs w:val="22"/>
        </w:rPr>
      </w:pPr>
    </w:p>
    <w:p w:rsidR="00BA4537" w:rsidRDefault="00BA4537" w:rsidP="008468BF">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En armonía con esta disposición, la Ley del Trabajo de los Servidores Públicos del Estado de México y Municipios prevé lo siguiente referente a las prestaciones de los servidores públicos: </w:t>
      </w:r>
    </w:p>
    <w:p w:rsidR="00BA4537" w:rsidRDefault="00BA4537" w:rsidP="00BA4537">
      <w:pPr>
        <w:ind w:right="900"/>
        <w:jc w:val="both"/>
        <w:rPr>
          <w:rFonts w:ascii="Palatino Linotype" w:eastAsia="Palatino Linotype" w:hAnsi="Palatino Linotype" w:cs="Palatino Linotype"/>
          <w:i/>
          <w:sz w:val="22"/>
          <w:szCs w:val="22"/>
        </w:rPr>
      </w:pPr>
    </w:p>
    <w:p w:rsidR="00BA4537" w:rsidRDefault="00BA4537" w:rsidP="008468BF">
      <w:pPr>
        <w:spacing w:line="360" w:lineRule="auto"/>
        <w:ind w:left="709"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“ARTÍCULO 40.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 xml:space="preserve">Conforme lo dispuesto en los artículos anteriores, los acuerdos, convenios y reglamentos a que se hace referencia, así como las prestaciones y derechos de </w:t>
      </w:r>
      <w:proofErr w:type="gramStart"/>
      <w:r>
        <w:rPr>
          <w:rFonts w:ascii="Palatino Linotype" w:eastAsia="Palatino Linotype" w:hAnsi="Palatino Linotype" w:cs="Palatino Linotype"/>
          <w:b/>
          <w:i/>
          <w:sz w:val="22"/>
          <w:szCs w:val="22"/>
          <w:u w:val="single"/>
        </w:rPr>
        <w:t>cualesquier naturaleza</w:t>
      </w:r>
      <w:proofErr w:type="gramEnd"/>
      <w:r>
        <w:rPr>
          <w:rFonts w:ascii="Palatino Linotype" w:eastAsia="Palatino Linotype" w:hAnsi="Palatino Linotype" w:cs="Palatino Linotype"/>
          <w:b/>
          <w:i/>
          <w:sz w:val="22"/>
          <w:szCs w:val="22"/>
          <w:u w:val="single"/>
        </w:rPr>
        <w:t>, serán de observancia general y obligatoria para</w:t>
      </w:r>
      <w:r>
        <w:rPr>
          <w:rFonts w:ascii="Palatino Linotype" w:eastAsia="Palatino Linotype" w:hAnsi="Palatino Linotype" w:cs="Palatino Linotype"/>
          <w:i/>
          <w:sz w:val="22"/>
          <w:szCs w:val="22"/>
        </w:rPr>
        <w:t xml:space="preserve"> el titular del Poder Ejecutivo, </w:t>
      </w:r>
      <w:r>
        <w:rPr>
          <w:rFonts w:ascii="Palatino Linotype" w:eastAsia="Palatino Linotype" w:hAnsi="Palatino Linotype" w:cs="Palatino Linotype"/>
          <w:b/>
          <w:i/>
          <w:sz w:val="22"/>
          <w:szCs w:val="22"/>
          <w:u w:val="single"/>
        </w:rPr>
        <w:t>los titulares de las dependencias y de la institución o instituciones públicas a las que estén adscritos.</w:t>
      </w:r>
    </w:p>
    <w:p w:rsidR="00BA4537" w:rsidRDefault="00BA4537" w:rsidP="008468BF">
      <w:pPr>
        <w:spacing w:line="360" w:lineRule="auto"/>
        <w:ind w:left="709" w:right="616"/>
        <w:jc w:val="both"/>
        <w:rPr>
          <w:rFonts w:ascii="Palatino Linotype" w:eastAsia="Palatino Linotype" w:hAnsi="Palatino Linotype" w:cs="Palatino Linotype"/>
          <w:i/>
          <w:sz w:val="22"/>
          <w:szCs w:val="22"/>
        </w:rPr>
      </w:pPr>
    </w:p>
    <w:p w:rsidR="00BA4537" w:rsidRDefault="00BA4537" w:rsidP="008468BF">
      <w:pPr>
        <w:spacing w:line="360" w:lineRule="auto"/>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BA4537" w:rsidRDefault="00BA4537" w:rsidP="008468BF">
      <w:pPr>
        <w:spacing w:line="360" w:lineRule="auto"/>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97.-</w:t>
      </w:r>
      <w:r>
        <w:rPr>
          <w:rFonts w:ascii="Palatino Linotype" w:eastAsia="Palatino Linotype" w:hAnsi="Palatino Linotype" w:cs="Palatino Linotype"/>
          <w:i/>
          <w:sz w:val="22"/>
          <w:szCs w:val="22"/>
        </w:rPr>
        <w:t xml:space="preserve"> </w:t>
      </w:r>
      <w:r w:rsidRPr="008468BF">
        <w:rPr>
          <w:rFonts w:ascii="Palatino Linotype" w:eastAsia="Palatino Linotype" w:hAnsi="Palatino Linotype" w:cs="Palatino Linotype"/>
          <w:i/>
          <w:sz w:val="22"/>
          <w:szCs w:val="22"/>
        </w:rPr>
        <w:t xml:space="preserve">Las instituciones públicas o dependencias no estarán obligadas a reinstalar al servidor público, pero sí a cubrirle la indemnización de tres meses de salario base, veinte días por cada año de servicios en términos del artículo 95 párrafo segundo de esta ley y cubrirle las prestaciones a que tenga derecho, </w:t>
      </w:r>
      <w:r>
        <w:rPr>
          <w:rFonts w:ascii="Palatino Linotype" w:eastAsia="Palatino Linotype" w:hAnsi="Palatino Linotype" w:cs="Palatino Linotype"/>
          <w:i/>
          <w:sz w:val="22"/>
          <w:szCs w:val="22"/>
        </w:rPr>
        <w:t>así como los salarios vencidos desde la fecha del despido hasta por un periodo máximo de doce meses, independientemente del tiempo que dure el proceso, exhibiendo la totalidad de la cantidad liquida en moneda nacional o mediante cheque certificado al momento de la negativa de reinstalar al actor.</w:t>
      </w:r>
    </w:p>
    <w:p w:rsidR="00BA4537" w:rsidRDefault="00BA4537" w:rsidP="008468BF">
      <w:pPr>
        <w:spacing w:line="360" w:lineRule="auto"/>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A4537" w:rsidRDefault="00BA4537" w:rsidP="008468BF">
      <w:pPr>
        <w:spacing w:line="360" w:lineRule="auto"/>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220 K.-</w:t>
      </w:r>
      <w:r>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rsidR="00BA4537" w:rsidRDefault="00BA4537" w:rsidP="008468BF">
      <w:pPr>
        <w:spacing w:line="360" w:lineRule="auto"/>
        <w:ind w:left="709" w:right="616"/>
        <w:jc w:val="both"/>
        <w:rPr>
          <w:rFonts w:ascii="Palatino Linotype" w:eastAsia="Palatino Linotype" w:hAnsi="Palatino Linotype" w:cs="Palatino Linotype"/>
          <w:i/>
          <w:sz w:val="22"/>
          <w:szCs w:val="22"/>
        </w:rPr>
      </w:pPr>
    </w:p>
    <w:p w:rsidR="00BA4537" w:rsidRDefault="00BA4537" w:rsidP="008468BF">
      <w:pPr>
        <w:spacing w:line="360" w:lineRule="auto"/>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A4537" w:rsidRDefault="00BA4537" w:rsidP="008468BF">
      <w:pPr>
        <w:spacing w:line="360" w:lineRule="auto"/>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IV. Recibos o las constancias de depósito o del medio de información magnética o electrónica que sean utilizadas para el pago de salarios, prima vacacional, aguinaldo y demás prestaciones establecidas en la presente ley</w:t>
      </w:r>
      <w:r>
        <w:rPr>
          <w:rFonts w:ascii="Palatino Linotype" w:eastAsia="Palatino Linotype" w:hAnsi="Palatino Linotype" w:cs="Palatino Linotype"/>
          <w:i/>
          <w:sz w:val="22"/>
          <w:szCs w:val="22"/>
        </w:rPr>
        <w:t>;”</w:t>
      </w:r>
    </w:p>
    <w:p w:rsidR="00BA4537" w:rsidRPr="008468BF" w:rsidRDefault="00BA4537" w:rsidP="008468BF">
      <w:pPr>
        <w:spacing w:line="360" w:lineRule="auto"/>
        <w:ind w:left="709" w:right="616"/>
        <w:jc w:val="both"/>
        <w:rPr>
          <w:rFonts w:ascii="Palatino Linotype" w:eastAsia="Palatino Linotype" w:hAnsi="Palatino Linotype" w:cs="Palatino Linotype"/>
          <w:sz w:val="22"/>
          <w:szCs w:val="22"/>
        </w:rPr>
      </w:pPr>
      <w:r w:rsidRPr="008468BF">
        <w:rPr>
          <w:rFonts w:ascii="Palatino Linotype" w:eastAsia="Palatino Linotype" w:hAnsi="Palatino Linotype" w:cs="Palatino Linotype"/>
          <w:sz w:val="22"/>
          <w:szCs w:val="22"/>
        </w:rPr>
        <w:t>(Énfasis añadido)</w:t>
      </w:r>
    </w:p>
    <w:p w:rsidR="00BA4537" w:rsidRDefault="00BA4537" w:rsidP="00BA4537">
      <w:pPr>
        <w:spacing w:line="360" w:lineRule="auto"/>
        <w:ind w:right="49"/>
        <w:jc w:val="both"/>
        <w:rPr>
          <w:rFonts w:ascii="Palatino Linotype" w:eastAsia="Palatino Linotype" w:hAnsi="Palatino Linotype" w:cs="Palatino Linotype"/>
        </w:rPr>
      </w:pPr>
    </w:p>
    <w:p w:rsidR="00BA4537" w:rsidRDefault="00BA4537" w:rsidP="008468BF">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De tal suerte que la normatividad mandata a las instituciones públicas la observancia obligatoria de las prestaciones en efectivo o en especie que se generen de la ley en referencia, así como de los acuerdos, convenios y reglamentos, asimismo el texto legislativo en su artículo 97 expresa que </w:t>
      </w:r>
      <w:r w:rsidR="008468BF">
        <w:rPr>
          <w:rFonts w:ascii="Palatino Linotype" w:eastAsia="Palatino Linotype" w:hAnsi="Palatino Linotype" w:cs="Palatino Linotype"/>
        </w:rPr>
        <w:t xml:space="preserve">también </w:t>
      </w:r>
      <w:r>
        <w:rPr>
          <w:rFonts w:ascii="Palatino Linotype" w:eastAsia="Palatino Linotype" w:hAnsi="Palatino Linotype" w:cs="Palatino Linotype"/>
        </w:rPr>
        <w:t>para los casos en que se dé por finali</w:t>
      </w:r>
      <w:r w:rsidR="008468BF">
        <w:rPr>
          <w:rFonts w:ascii="Palatino Linotype" w:eastAsia="Palatino Linotype" w:hAnsi="Palatino Linotype" w:cs="Palatino Linotype"/>
        </w:rPr>
        <w:t>zada la relación laboral</w:t>
      </w:r>
      <w:r>
        <w:rPr>
          <w:rFonts w:ascii="Palatino Linotype" w:eastAsia="Palatino Linotype" w:hAnsi="Palatino Linotype" w:cs="Palatino Linotype"/>
        </w:rPr>
        <w:t xml:space="preserve">. </w:t>
      </w:r>
    </w:p>
    <w:p w:rsidR="00BA4537" w:rsidRDefault="00BA4537" w:rsidP="00BA4537">
      <w:pPr>
        <w:spacing w:line="360" w:lineRule="auto"/>
        <w:ind w:right="49"/>
        <w:jc w:val="both"/>
        <w:rPr>
          <w:rFonts w:ascii="Palatino Linotype" w:eastAsia="Palatino Linotype" w:hAnsi="Palatino Linotype" w:cs="Palatino Linotype"/>
        </w:rPr>
      </w:pPr>
    </w:p>
    <w:p w:rsidR="00BA4537" w:rsidRDefault="00124FD1" w:rsidP="008468BF">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Ahora bien</w:t>
      </w:r>
      <w:r w:rsidR="00BA4537">
        <w:rPr>
          <w:rFonts w:ascii="Palatino Linotype" w:eastAsia="Palatino Linotype" w:hAnsi="Palatino Linotype" w:cs="Palatino Linotype"/>
        </w:rPr>
        <w:t xml:space="preserve">, resulta necesario traer a colación,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rsidR="00124FD1" w:rsidRDefault="00124FD1" w:rsidP="00124FD1">
      <w:pPr>
        <w:pStyle w:val="Prrafodelista"/>
        <w:rPr>
          <w:rFonts w:ascii="Palatino Linotype" w:eastAsia="Palatino Linotype" w:hAnsi="Palatino Linotype" w:cs="Palatino Linotype"/>
        </w:rPr>
      </w:pPr>
    </w:p>
    <w:p w:rsidR="00BA4537" w:rsidRDefault="00BA4537" w:rsidP="00124FD1">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En orden de ideas, el artículo 3°, fracción XXXII, del Código Financiero del Estado de México y Municipios establece que la remuneración consiste en los pagos hechos por concepto de sueldo, compensaciones, gratificaciones, habitación, primas, </w:t>
      </w:r>
      <w:r>
        <w:rPr>
          <w:rFonts w:ascii="Palatino Linotype" w:eastAsia="Palatino Linotype" w:hAnsi="Palatino Linotype" w:cs="Palatino Linotype"/>
        </w:rPr>
        <w:lastRenderedPageBreak/>
        <w:t xml:space="preserve">comisiones, prestaciones, en especie y cualquier otra percepción o prestación que se entregue al servidor por su trabajo. Da 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 </w:t>
      </w:r>
    </w:p>
    <w:p w:rsidR="00124FD1" w:rsidRDefault="00124FD1" w:rsidP="00124FD1">
      <w:pPr>
        <w:pStyle w:val="Prrafodelista"/>
        <w:rPr>
          <w:rFonts w:ascii="Palatino Linotype" w:eastAsia="Palatino Linotype" w:hAnsi="Palatino Linotype" w:cs="Palatino Linotype"/>
        </w:rPr>
      </w:pPr>
    </w:p>
    <w:p w:rsidR="00BA4537" w:rsidRDefault="00BA4537" w:rsidP="00124FD1">
      <w:pPr>
        <w:numPr>
          <w:ilvl w:val="0"/>
          <w:numId w:val="15"/>
        </w:numPr>
        <w:spacing w:line="360" w:lineRule="auto"/>
        <w:ind w:left="0" w:firstLine="0"/>
        <w:contextualSpacing/>
        <w:jc w:val="both"/>
        <w:rPr>
          <w:rFonts w:ascii="Palatino Linotype" w:eastAsia="Palatino Linotype" w:hAnsi="Palatino Linotype" w:cs="Palatino Linotype"/>
          <w:b/>
        </w:rPr>
      </w:pPr>
      <w:r>
        <w:rPr>
          <w:rFonts w:ascii="Palatino Linotype" w:eastAsia="Palatino Linotype" w:hAnsi="Palatino Linotype" w:cs="Palatino Linotype"/>
        </w:rPr>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Pr>
          <w:rFonts w:ascii="Palatino Linotype" w:eastAsia="Palatino Linotype" w:hAnsi="Palatino Linotype" w:cs="Palatino Linotype"/>
          <w:b/>
        </w:rPr>
        <w:t xml:space="preserve">las remuneraciones brutas y netas de todos los servidores públicos, </w:t>
      </w:r>
      <w:r w:rsidRPr="00F52E40">
        <w:rPr>
          <w:rFonts w:ascii="Palatino Linotype" w:eastAsia="Palatino Linotype" w:hAnsi="Palatino Linotype" w:cs="Palatino Linotype"/>
          <w:b/>
          <w:u w:val="single"/>
        </w:rPr>
        <w:t>que incluya todas las percepciones</w:t>
      </w:r>
      <w:r>
        <w:rPr>
          <w:rFonts w:ascii="Palatino Linotype" w:eastAsia="Palatino Linotype" w:hAnsi="Palatino Linotype" w:cs="Palatino Linotype"/>
          <w:b/>
        </w:rPr>
        <w:t>, entre las cuales, se encuentran los sueldos, prestaciones, gratificaciones, primas, comisiones, dietas, bonos, estímulos, ingresos, entre otros.</w:t>
      </w:r>
    </w:p>
    <w:p w:rsidR="00124FD1" w:rsidRDefault="00124FD1" w:rsidP="00124FD1">
      <w:pPr>
        <w:pStyle w:val="Prrafodelista"/>
        <w:rPr>
          <w:rFonts w:ascii="Palatino Linotype" w:eastAsia="Palatino Linotype" w:hAnsi="Palatino Linotype" w:cs="Palatino Linotype"/>
          <w:b/>
        </w:rPr>
      </w:pPr>
    </w:p>
    <w:p w:rsidR="00D41237" w:rsidRPr="00677A34" w:rsidRDefault="00D41237" w:rsidP="00D41237">
      <w:pPr>
        <w:numPr>
          <w:ilvl w:val="0"/>
          <w:numId w:val="15"/>
        </w:numPr>
        <w:spacing w:line="360" w:lineRule="auto"/>
        <w:ind w:left="0" w:firstLine="0"/>
        <w:contextualSpacing/>
        <w:jc w:val="both"/>
        <w:rPr>
          <w:rFonts w:ascii="Palatino Linotype" w:eastAsia="Palatino Linotype" w:hAnsi="Palatino Linotype" w:cs="Palatino Linotype"/>
        </w:rPr>
      </w:pPr>
      <w:r w:rsidRPr="00677A34">
        <w:rPr>
          <w:rFonts w:ascii="Palatino Linotype" w:eastAsia="Palatino Linotype" w:hAnsi="Palatino Linotype" w:cs="Palatino Linotype"/>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D41237" w:rsidRPr="00677A34" w:rsidRDefault="00D41237" w:rsidP="00D41237">
      <w:pPr>
        <w:spacing w:line="360" w:lineRule="auto"/>
        <w:ind w:left="360"/>
        <w:contextualSpacing/>
        <w:jc w:val="both"/>
        <w:rPr>
          <w:rFonts w:ascii="Palatino Linotype" w:eastAsia="Palatino Linotype" w:hAnsi="Palatino Linotype" w:cs="Palatino Linotype"/>
        </w:rPr>
      </w:pPr>
    </w:p>
    <w:p w:rsidR="00D41237" w:rsidRPr="00677A34" w:rsidRDefault="00D41237" w:rsidP="00D41237">
      <w:pPr>
        <w:numPr>
          <w:ilvl w:val="0"/>
          <w:numId w:val="15"/>
        </w:numPr>
        <w:spacing w:line="360" w:lineRule="auto"/>
        <w:ind w:left="0" w:firstLine="0"/>
        <w:contextualSpacing/>
        <w:jc w:val="both"/>
        <w:rPr>
          <w:rFonts w:ascii="Palatino Linotype" w:eastAsia="Palatino Linotype" w:hAnsi="Palatino Linotype" w:cs="Palatino Linotype"/>
        </w:rPr>
      </w:pPr>
      <w:r w:rsidRPr="00677A34">
        <w:rPr>
          <w:rFonts w:ascii="Palatino Linotype" w:eastAsia="Palatino Linotype" w:hAnsi="Palatino Linotype" w:cs="Palatino Linotype"/>
        </w:rPr>
        <w:lastRenderedPageBreak/>
        <w:t xml:space="preserve">Así, la Ley del Trabajo de los Servidores Públicos del Estado y Municipios hace referencia a los comprobantes que las instituciones públicas realizan para documentar el pago de salarios, </w:t>
      </w:r>
      <w:r w:rsidRPr="00677A34">
        <w:rPr>
          <w:rFonts w:ascii="Palatino Linotype" w:eastAsia="Palatino Linotype" w:hAnsi="Palatino Linotype" w:cs="Palatino Linotype"/>
          <w:b/>
          <w:u w:val="single"/>
        </w:rPr>
        <w:t>PRIMA VACACIONAL, AGUINALDO</w:t>
      </w:r>
      <w:r w:rsidRPr="00677A34">
        <w:rPr>
          <w:rFonts w:ascii="Palatino Linotype" w:eastAsia="Palatino Linotype" w:hAnsi="Palatino Linotype" w:cs="Palatino Linotype"/>
          <w:u w:val="single"/>
        </w:rPr>
        <w:t xml:space="preserve"> </w:t>
      </w:r>
      <w:r w:rsidRPr="00677A34">
        <w:rPr>
          <w:rFonts w:ascii="Palatino Linotype" w:eastAsia="Palatino Linotype" w:hAnsi="Palatino Linotype" w:cs="Palatino Linotype"/>
        </w:rPr>
        <w:t>y demás prestaciones otorgadas a un servidor público, denominándolos "recibos o comprobantes de pago", los cuales constituyen un instrumento mediante el cual el sujeto obligado acredita las remuneraciones al personal y, que de acuerdo al uso implantado en la colectividad se denominan "recibos de nómina".</w:t>
      </w:r>
    </w:p>
    <w:p w:rsidR="00D41237" w:rsidRPr="00677A34" w:rsidRDefault="00D41237" w:rsidP="00D41237">
      <w:pPr>
        <w:spacing w:line="360" w:lineRule="auto"/>
        <w:ind w:left="360"/>
        <w:contextualSpacing/>
        <w:jc w:val="both"/>
        <w:rPr>
          <w:rFonts w:ascii="Palatino Linotype" w:eastAsia="Palatino Linotype" w:hAnsi="Palatino Linotype" w:cs="Palatino Linotype"/>
        </w:rPr>
      </w:pPr>
    </w:p>
    <w:p w:rsidR="00D41237" w:rsidRPr="00677A34" w:rsidRDefault="00D41237" w:rsidP="00D41237">
      <w:pPr>
        <w:numPr>
          <w:ilvl w:val="0"/>
          <w:numId w:val="15"/>
        </w:numPr>
        <w:spacing w:line="360" w:lineRule="auto"/>
        <w:ind w:left="0" w:firstLine="0"/>
        <w:contextualSpacing/>
        <w:jc w:val="both"/>
        <w:rPr>
          <w:rFonts w:ascii="Palatino Linotype" w:eastAsia="Palatino Linotype" w:hAnsi="Palatino Linotype" w:cs="Palatino Linotype"/>
        </w:rPr>
      </w:pPr>
      <w:r w:rsidRPr="00677A34">
        <w:rPr>
          <w:rFonts w:ascii="Palatino Linotype" w:eastAsia="Palatino Linotype" w:hAnsi="Palatino Linotype" w:cs="Palatino Linotype"/>
        </w:rPr>
        <w:t>Por ello, se advierte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D41237" w:rsidRPr="00677A34" w:rsidRDefault="00D41237" w:rsidP="00D41237">
      <w:pPr>
        <w:pStyle w:val="Prrafodelista"/>
        <w:rPr>
          <w:rFonts w:ascii="Palatino Linotype" w:eastAsia="Palatino Linotype" w:hAnsi="Palatino Linotype" w:cs="Palatino Linotype"/>
        </w:rPr>
      </w:pPr>
    </w:p>
    <w:p w:rsidR="00D41237" w:rsidRPr="00677A34" w:rsidRDefault="00D41237" w:rsidP="00D41237">
      <w:pPr>
        <w:numPr>
          <w:ilvl w:val="0"/>
          <w:numId w:val="15"/>
        </w:numPr>
        <w:spacing w:line="360" w:lineRule="auto"/>
        <w:ind w:left="0" w:firstLine="0"/>
        <w:contextualSpacing/>
        <w:jc w:val="both"/>
        <w:rPr>
          <w:rFonts w:ascii="Palatino Linotype" w:eastAsia="Arial Unicode MS" w:hAnsi="Palatino Linotype" w:cs="Arial"/>
        </w:rPr>
      </w:pPr>
      <w:r w:rsidRPr="00677A34">
        <w:rPr>
          <w:rFonts w:ascii="Palatino Linotype" w:eastAsia="Arial Unicode MS" w:hAnsi="Palatino Linotype" w:cs="Arial"/>
          <w:lang w:val="es-419"/>
        </w:rPr>
        <w:t xml:space="preserve">Por otro lado, la Ley del Trabajo de los Servidores Públicos del Estado de México y Municipios, refiere que </w:t>
      </w:r>
      <w:r w:rsidRPr="00677A34">
        <w:rPr>
          <w:rFonts w:ascii="Palatino Linotype" w:eastAsia="Arial Unicode MS" w:hAnsi="Palatino Linotype" w:cs="Arial"/>
          <w:b/>
        </w:rPr>
        <w:t>EL</w:t>
      </w:r>
      <w:r w:rsidRPr="00677A34">
        <w:rPr>
          <w:rFonts w:ascii="Palatino Linotype" w:eastAsia="Arial Unicode MS" w:hAnsi="Palatino Linotype" w:cs="Arial"/>
          <w:b/>
          <w:lang w:val="es-419"/>
        </w:rPr>
        <w:t xml:space="preserve"> </w:t>
      </w:r>
      <w:r w:rsidRPr="00677A34">
        <w:rPr>
          <w:rFonts w:ascii="Palatino Linotype" w:eastAsia="Palatino Linotype" w:hAnsi="Palatino Linotype" w:cs="Palatino Linotype"/>
          <w:b/>
        </w:rPr>
        <w:t>AGUINALDO</w:t>
      </w:r>
      <w:r w:rsidRPr="00677A34">
        <w:rPr>
          <w:rFonts w:ascii="Palatino Linotype" w:eastAsia="Arial Unicode MS" w:hAnsi="Palatino Linotype" w:cs="Arial"/>
        </w:rPr>
        <w:t xml:space="preserve"> es la prestación a la que</w:t>
      </w:r>
      <w:r w:rsidRPr="00677A34">
        <w:rPr>
          <w:rFonts w:ascii="Palatino Linotype" w:eastAsia="Arial Unicode MS" w:hAnsi="Palatino Linotype" w:cs="Arial"/>
          <w:lang w:val="es-419"/>
        </w:rPr>
        <w:t xml:space="preserve"> </w:t>
      </w:r>
      <w:r w:rsidRPr="00677A34">
        <w:rPr>
          <w:rFonts w:ascii="Palatino Linotype" w:eastAsia="Arial Unicode MS" w:hAnsi="Palatino Linotype" w:cs="Arial"/>
        </w:rPr>
        <w:t xml:space="preserve">tendrán derecho </w:t>
      </w:r>
      <w:r w:rsidRPr="00677A34">
        <w:rPr>
          <w:rFonts w:ascii="Palatino Linotype" w:eastAsia="Arial Unicode MS" w:hAnsi="Palatino Linotype" w:cs="Arial"/>
          <w:lang w:val="es-419"/>
        </w:rPr>
        <w:t>los servidores públicos anual</w:t>
      </w:r>
      <w:r w:rsidRPr="00677A34">
        <w:rPr>
          <w:rFonts w:ascii="Palatino Linotype" w:eastAsia="Arial Unicode MS" w:hAnsi="Palatino Linotype" w:cs="Arial"/>
        </w:rPr>
        <w:t>mente</w:t>
      </w:r>
      <w:r w:rsidRPr="00677A34">
        <w:rPr>
          <w:rFonts w:ascii="Palatino Linotype" w:eastAsia="Arial Unicode MS" w:hAnsi="Palatino Linotype" w:cs="Arial"/>
          <w:lang w:val="es-419"/>
        </w:rPr>
        <w:t>, equivalente a 40 días de sueldo base, cuando menos,</w:t>
      </w:r>
      <w:r w:rsidRPr="00677A34">
        <w:rPr>
          <w:rFonts w:ascii="Palatino Linotype" w:eastAsia="Arial Unicode MS" w:hAnsi="Palatino Linotype" w:cs="Arial"/>
        </w:rPr>
        <w:t xml:space="preserve"> también señala que para los Servidores Públicos que hayan prestado sus servicios por un lapso menor a un año, tendrán derecho a que se les pague la parte proporcional del aguinaldo de acuerdo a los días efectivamente trabajados</w:t>
      </w:r>
      <w:r w:rsidRPr="00677A34">
        <w:rPr>
          <w:rFonts w:ascii="Palatino Linotype" w:eastAsia="Arial Unicode MS" w:hAnsi="Palatino Linotype" w:cs="Arial"/>
          <w:lang w:val="es-419"/>
        </w:rPr>
        <w:t xml:space="preserve"> y estará comprendido en el presupuesto de egresos correspondiente, misma que cabe </w:t>
      </w:r>
      <w:r w:rsidRPr="00677A34">
        <w:rPr>
          <w:rFonts w:ascii="Palatino Linotype" w:eastAsia="Arial Unicode MS" w:hAnsi="Palatino Linotype" w:cs="Arial"/>
        </w:rPr>
        <w:t>precisar</w:t>
      </w:r>
      <w:r w:rsidRPr="00677A34">
        <w:rPr>
          <w:rFonts w:ascii="Palatino Linotype" w:eastAsia="Arial Unicode MS" w:hAnsi="Palatino Linotype" w:cs="Arial"/>
          <w:lang w:val="es-419"/>
        </w:rPr>
        <w:t xml:space="preserve">, es una </w:t>
      </w:r>
      <w:r w:rsidRPr="00677A34">
        <w:rPr>
          <w:rFonts w:ascii="Palatino Linotype" w:eastAsia="Arial Unicode MS" w:hAnsi="Palatino Linotype" w:cs="Arial"/>
        </w:rPr>
        <w:t>prestación enmarcada en la legislación antes referida ya que todos los servidores públicos gozan de la misma, sin excepción alguna.</w:t>
      </w:r>
    </w:p>
    <w:p w:rsidR="00D41237" w:rsidRPr="00677A34" w:rsidRDefault="00D41237" w:rsidP="00D41237">
      <w:pPr>
        <w:numPr>
          <w:ilvl w:val="0"/>
          <w:numId w:val="15"/>
        </w:numPr>
        <w:spacing w:line="360" w:lineRule="auto"/>
        <w:ind w:left="0" w:firstLine="0"/>
        <w:contextualSpacing/>
        <w:jc w:val="both"/>
        <w:rPr>
          <w:rFonts w:ascii="Palatino Linotype" w:eastAsia="Arial Unicode MS" w:hAnsi="Palatino Linotype" w:cs="Arial"/>
        </w:rPr>
      </w:pPr>
      <w:r w:rsidRPr="00677A34">
        <w:rPr>
          <w:rFonts w:ascii="Palatino Linotype" w:eastAsia="Arial Unicode MS" w:hAnsi="Palatino Linotype" w:cs="Arial"/>
        </w:rPr>
        <w:lastRenderedPageBreak/>
        <w:t>Asimismo</w:t>
      </w:r>
      <w:r w:rsidRPr="00677A34">
        <w:rPr>
          <w:rFonts w:ascii="Palatino Linotype" w:eastAsia="Arial Unicode MS" w:hAnsi="Palatino Linotype" w:cs="Arial"/>
          <w:lang w:val="es-419"/>
        </w:rPr>
        <w:t>, respecto a las gratificaciones</w:t>
      </w:r>
      <w:r w:rsidRPr="00677A34">
        <w:rPr>
          <w:rFonts w:ascii="Palatino Linotype" w:eastAsia="Arial Unicode MS" w:hAnsi="Palatino Linotype" w:cs="Arial"/>
        </w:rPr>
        <w:t xml:space="preserve"> especiales</w:t>
      </w:r>
      <w:r w:rsidRPr="00677A34">
        <w:rPr>
          <w:rFonts w:ascii="Palatino Linotype" w:eastAsia="Arial Unicode MS" w:hAnsi="Palatino Linotype" w:cs="Arial"/>
          <w:lang w:val="es-419"/>
        </w:rPr>
        <w:t xml:space="preserve">, el Código Financiero del Estado de México y Municipios establece en su artículo 289 que la asignación de remuneraciones se fijará con base en los criterios y elementos señalados por </w:t>
      </w:r>
      <w:r w:rsidRPr="00677A34">
        <w:rPr>
          <w:rFonts w:ascii="Palatino Linotype" w:eastAsia="Arial Unicode MS" w:hAnsi="Palatino Linotype" w:cs="Arial"/>
        </w:rPr>
        <w:t>dicho</w:t>
      </w:r>
      <w:r w:rsidRPr="00677A34">
        <w:rPr>
          <w:rFonts w:ascii="Palatino Linotype" w:eastAsia="Arial Unicode MS" w:hAnsi="Palatino Linotype" w:cs="Arial"/>
          <w:lang w:val="es-419"/>
        </w:rPr>
        <w:t xml:space="preserve"> artículo y ningún servidor público estará facultado para establecer percepciones, cualquiera que sea su denominación, de manera discrecional. Los bonos, estímulos, premios, gratificaciones o compensaciones adicionales a lo autorizado en el Presupuesto de Egresos que se asignen a servidores públicos estatales y municipales, independientemente de que se pague en numerario o en especie, cualquiera que sea el medio de pago, solo se podrán erogar si se cuenta con la suficiencia presupuestaria, debiendo informarlo a la Legislatura del Estado; en </w:t>
      </w:r>
      <w:r w:rsidRPr="00677A34">
        <w:rPr>
          <w:rFonts w:ascii="Palatino Linotype" w:eastAsia="Arial Unicode MS" w:hAnsi="Palatino Linotype" w:cs="Arial"/>
        </w:rPr>
        <w:t xml:space="preserve">otras </w:t>
      </w:r>
      <w:r w:rsidRPr="00677A34">
        <w:rPr>
          <w:rFonts w:ascii="Palatino Linotype" w:eastAsia="Arial Unicode MS" w:hAnsi="Palatino Linotype" w:cs="Arial"/>
          <w:lang w:val="es-419"/>
        </w:rPr>
        <w:t>palabras</w:t>
      </w:r>
      <w:r w:rsidRPr="00677A34">
        <w:rPr>
          <w:rFonts w:ascii="Palatino Linotype" w:eastAsia="Arial Unicode MS" w:hAnsi="Palatino Linotype" w:cs="Arial"/>
        </w:rPr>
        <w:t xml:space="preserve"> las gratificaciones especiales están sujetas a la suficiencia presupuestaria de cada entidad gubernamental, en el caso particular que nos ocupa, </w:t>
      </w:r>
      <w:r w:rsidRPr="00677A34">
        <w:rPr>
          <w:rFonts w:ascii="Palatino Linotype" w:eastAsia="Arial Unicode MS" w:hAnsi="Palatino Linotype" w:cs="Arial"/>
          <w:lang w:val="es-419"/>
        </w:rPr>
        <w:t xml:space="preserve"> </w:t>
      </w:r>
      <w:r w:rsidRPr="00677A34">
        <w:rPr>
          <w:rFonts w:ascii="Palatino Linotype" w:eastAsia="Arial Unicode MS" w:hAnsi="Palatino Linotype" w:cs="Arial"/>
        </w:rPr>
        <w:t>depende de que presupuesto le asigne la Comisión de Conciliación y Arbitraje Médico del Estado de México y Municipios a esta partida de gratificaciones especiales.</w:t>
      </w:r>
    </w:p>
    <w:p w:rsidR="00D41237" w:rsidRPr="00677A34" w:rsidRDefault="00D41237" w:rsidP="00D41237">
      <w:pPr>
        <w:spacing w:line="360" w:lineRule="auto"/>
        <w:jc w:val="both"/>
        <w:rPr>
          <w:rFonts w:ascii="Palatino Linotype" w:hAnsi="Palatino Linotype"/>
        </w:rPr>
      </w:pPr>
      <w:r w:rsidRPr="00677A34">
        <w:rPr>
          <w:rFonts w:ascii="Palatino Linotype" w:eastAsia="Arial Unicode MS" w:hAnsi="Palatino Linotype" w:cs="Arial"/>
        </w:rPr>
        <w:t>En tal sentido, antes de comenzar con el estudio del presente Recurso de Revisión, p</w:t>
      </w:r>
      <w:proofErr w:type="spellStart"/>
      <w:r w:rsidRPr="00677A34">
        <w:rPr>
          <w:rFonts w:ascii="Palatino Linotype" w:eastAsia="Arial Unicode MS" w:hAnsi="Palatino Linotype" w:cs="Arial"/>
          <w:lang w:val="es-419"/>
        </w:rPr>
        <w:t>rimeramente</w:t>
      </w:r>
      <w:proofErr w:type="spellEnd"/>
      <w:r w:rsidRPr="00677A34">
        <w:rPr>
          <w:rFonts w:ascii="Palatino Linotype" w:eastAsia="Arial Unicode MS" w:hAnsi="Palatino Linotype" w:cs="Arial"/>
          <w:lang w:val="es-419"/>
        </w:rPr>
        <w:t xml:space="preserve">, enfaticemos </w:t>
      </w:r>
      <w:r w:rsidRPr="00677A34">
        <w:rPr>
          <w:rFonts w:ascii="Palatino Linotype" w:hAnsi="Palatino Linotype"/>
        </w:rPr>
        <w:t>lo que el derecho de acceso a la información pública refiere, contemplado en el artículo 6°, Apartado A de la Constitución Política de los Estados Unidos Mexicanos, que señala:</w:t>
      </w:r>
    </w:p>
    <w:p w:rsidR="00D41237" w:rsidRPr="00677A34" w:rsidRDefault="00D41237" w:rsidP="00D41237">
      <w:pPr>
        <w:jc w:val="both"/>
        <w:rPr>
          <w:rFonts w:ascii="Palatino Linotype" w:hAnsi="Palatino Linotype"/>
          <w:sz w:val="22"/>
          <w:szCs w:val="22"/>
        </w:rPr>
      </w:pPr>
    </w:p>
    <w:p w:rsidR="00D41237" w:rsidRPr="00677A34" w:rsidRDefault="00D41237" w:rsidP="00D41237">
      <w:pPr>
        <w:spacing w:line="360" w:lineRule="auto"/>
        <w:ind w:left="851" w:right="901"/>
        <w:jc w:val="both"/>
        <w:rPr>
          <w:rFonts w:ascii="Palatino Linotype" w:hAnsi="Palatino Linotype" w:cs="Arial"/>
          <w:i/>
        </w:rPr>
      </w:pPr>
      <w:r w:rsidRPr="00677A34">
        <w:rPr>
          <w:rFonts w:ascii="Palatino Linotype" w:hAnsi="Palatino Linotype" w:cs="Arial"/>
          <w:i/>
        </w:rPr>
        <w:t>“</w:t>
      </w:r>
      <w:r w:rsidRPr="00677A34">
        <w:rPr>
          <w:rFonts w:ascii="Palatino Linotype" w:hAnsi="Palatino Linotype" w:cs="Arial"/>
          <w:b/>
          <w:i/>
        </w:rPr>
        <w:t>Artículo 6o.</w:t>
      </w:r>
      <w:r w:rsidRPr="00677A34">
        <w:rPr>
          <w:rFonts w:ascii="Palatino Linotype" w:hAnsi="Palatino Linotype" w:cs="Arial"/>
          <w:i/>
        </w:rPr>
        <w:t xml:space="preserve">  . . .</w:t>
      </w:r>
    </w:p>
    <w:p w:rsidR="00D41237" w:rsidRPr="00677A34" w:rsidRDefault="00D41237" w:rsidP="00D41237">
      <w:pPr>
        <w:spacing w:line="360" w:lineRule="auto"/>
        <w:ind w:left="851" w:right="901"/>
        <w:jc w:val="both"/>
        <w:rPr>
          <w:rFonts w:ascii="Palatino Linotype" w:hAnsi="Palatino Linotype" w:cs="Arial"/>
          <w:i/>
          <w:lang w:eastAsia="es-MX"/>
        </w:rPr>
      </w:pPr>
      <w:r w:rsidRPr="00677A34">
        <w:rPr>
          <w:rFonts w:ascii="Palatino Linotype" w:hAnsi="Palatino Linotype" w:cs="Arial"/>
          <w:b/>
          <w:bCs/>
          <w:i/>
          <w:lang w:eastAsia="es-MX"/>
        </w:rPr>
        <w:t>A.</w:t>
      </w:r>
      <w:r w:rsidRPr="00677A34">
        <w:rPr>
          <w:rFonts w:ascii="Palatino Linotype" w:hAnsi="Palatino Linotype" w:cs="Arial"/>
          <w:i/>
          <w:lang w:eastAsia="es-MX"/>
        </w:rPr>
        <w:t xml:space="preserve"> Para el ejercicio del </w:t>
      </w:r>
      <w:r w:rsidRPr="00677A34">
        <w:rPr>
          <w:rFonts w:ascii="Palatino Linotype" w:hAnsi="Palatino Linotype" w:cs="Arial"/>
          <w:bCs/>
          <w:i/>
        </w:rPr>
        <w:t>derecho</w:t>
      </w:r>
      <w:r w:rsidRPr="00677A34">
        <w:rPr>
          <w:rFonts w:ascii="Palatino Linotype" w:hAnsi="Palatino Linotype" w:cs="Arial"/>
          <w:i/>
          <w:lang w:eastAsia="es-MX"/>
        </w:rPr>
        <w:t xml:space="preserve"> de acceso a la información, la Federación y las entidades federativas, en el ámbito de sus respectivas competencias, se regirán por los siguientes principios y bases:</w:t>
      </w:r>
    </w:p>
    <w:p w:rsidR="00D41237" w:rsidRPr="00677A34" w:rsidRDefault="00D41237" w:rsidP="00D41237">
      <w:pPr>
        <w:spacing w:line="360" w:lineRule="auto"/>
        <w:ind w:left="851" w:right="901"/>
        <w:jc w:val="both"/>
        <w:rPr>
          <w:rFonts w:ascii="Palatino Linotype" w:hAnsi="Palatino Linotype" w:cs="Arial"/>
          <w:i/>
        </w:rPr>
      </w:pPr>
      <w:r w:rsidRPr="00677A34">
        <w:rPr>
          <w:rFonts w:ascii="Palatino Linotype" w:hAnsi="Palatino Linotype" w:cs="Arial"/>
          <w:b/>
          <w:bCs/>
          <w:i/>
          <w:lang w:eastAsia="es-MX"/>
        </w:rPr>
        <w:t xml:space="preserve">I. </w:t>
      </w:r>
      <w:r w:rsidRPr="00677A34">
        <w:rPr>
          <w:rFonts w:ascii="Palatino Linotype" w:hAnsi="Palatino Linotype" w:cs="Arial"/>
          <w:i/>
          <w:lang w:eastAsia="es-MX"/>
        </w:rPr>
        <w:t xml:space="preserve">Toda la información en posesión de cualquier autoridad, entidad, órgano y organismo de los Poderes Ejecutivo, </w:t>
      </w:r>
      <w:r w:rsidRPr="00677A34">
        <w:rPr>
          <w:rFonts w:ascii="Palatino Linotype" w:hAnsi="Palatino Linotype" w:cs="Arial"/>
          <w:i/>
        </w:rPr>
        <w:t>Legislativo</w:t>
      </w:r>
      <w:r w:rsidRPr="00677A34">
        <w:rPr>
          <w:rFonts w:ascii="Palatino Linotype" w:hAnsi="Palatino Linotype" w:cs="Arial"/>
          <w:i/>
          <w:lang w:eastAsia="es-MX"/>
        </w:rPr>
        <w:t xml:space="preserve"> y Judicial, órganos </w:t>
      </w:r>
      <w:r w:rsidRPr="00677A34">
        <w:rPr>
          <w:rFonts w:ascii="Palatino Linotype" w:hAnsi="Palatino Linotype" w:cs="Arial"/>
          <w:i/>
          <w:lang w:eastAsia="es-MX"/>
        </w:rPr>
        <w:lastRenderedPageBreak/>
        <w:t>autónomos, partidos políticos, fideicomisos y fondos públicos, así como de cualquier persona física, moral o sindicato que reciba y ejerza recursos públicos o realice actos de autoridad en el ámbito federal, estatal y municipal, es pública</w:t>
      </w:r>
      <w:r w:rsidRPr="00677A34">
        <w:rPr>
          <w:rFonts w:ascii="Palatino Linotype" w:hAnsi="Palatino Linotype" w:cs="Arial"/>
          <w:i/>
        </w:rPr>
        <w:t xml:space="preserve"> </w:t>
      </w:r>
      <w:r w:rsidRPr="00677A34">
        <w:rPr>
          <w:rFonts w:ascii="Palatino Linotype" w:hAnsi="Palatino Linotype" w:cs="Arial"/>
          <w:i/>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D41237" w:rsidRPr="00677A34" w:rsidRDefault="00D41237" w:rsidP="00D41237">
      <w:pPr>
        <w:spacing w:line="360" w:lineRule="auto"/>
        <w:ind w:left="851" w:right="901"/>
        <w:jc w:val="both"/>
        <w:rPr>
          <w:rFonts w:ascii="Palatino Linotype" w:hAnsi="Palatino Linotype" w:cs="Arial"/>
          <w:i/>
          <w:lang w:eastAsia="es-MX"/>
        </w:rPr>
      </w:pPr>
      <w:r w:rsidRPr="00677A34">
        <w:rPr>
          <w:rFonts w:ascii="Palatino Linotype" w:hAnsi="Palatino Linotype" w:cs="Arial"/>
          <w:b/>
          <w:bCs/>
          <w:i/>
          <w:lang w:eastAsia="es-MX"/>
        </w:rPr>
        <w:t xml:space="preserve">II. </w:t>
      </w:r>
      <w:r w:rsidRPr="00677A34">
        <w:rPr>
          <w:rFonts w:ascii="Palatino Linotype" w:hAnsi="Palatino Linotype" w:cs="Arial"/>
          <w:i/>
          <w:lang w:eastAsia="es-MX"/>
        </w:rPr>
        <w:t xml:space="preserve">La información que se refiere a la vida privada y los datos personales será protegida en los términos y con las excepciones que fijen las leyes. </w:t>
      </w:r>
    </w:p>
    <w:p w:rsidR="00D41237" w:rsidRPr="00677A34" w:rsidRDefault="00D41237" w:rsidP="00D41237">
      <w:pPr>
        <w:spacing w:line="360" w:lineRule="auto"/>
        <w:ind w:left="851" w:right="901"/>
        <w:jc w:val="both"/>
        <w:rPr>
          <w:rFonts w:ascii="Palatino Linotype" w:hAnsi="Palatino Linotype" w:cs="Arial"/>
          <w:i/>
          <w:lang w:eastAsia="es-MX"/>
        </w:rPr>
      </w:pPr>
      <w:r w:rsidRPr="00677A34">
        <w:rPr>
          <w:rFonts w:ascii="Palatino Linotype" w:hAnsi="Palatino Linotype" w:cs="Arial"/>
          <w:b/>
          <w:bCs/>
          <w:i/>
          <w:lang w:eastAsia="es-MX"/>
        </w:rPr>
        <w:t xml:space="preserve">III. </w:t>
      </w:r>
      <w:r w:rsidRPr="00677A34">
        <w:rPr>
          <w:rFonts w:ascii="Palatino Linotype" w:hAnsi="Palatino Linotype" w:cs="Arial"/>
          <w:i/>
          <w:lang w:eastAsia="es-MX"/>
        </w:rPr>
        <w:t xml:space="preserve">Toda persona, sin necesidad de </w:t>
      </w:r>
      <w:r w:rsidRPr="00677A34">
        <w:rPr>
          <w:rFonts w:ascii="Palatino Linotype" w:hAnsi="Palatino Linotype" w:cs="Arial"/>
          <w:i/>
        </w:rPr>
        <w:t>acreditar</w:t>
      </w:r>
      <w:r w:rsidRPr="00677A34">
        <w:rPr>
          <w:rFonts w:ascii="Palatino Linotype" w:hAnsi="Palatino Linotype" w:cs="Arial"/>
          <w:i/>
          <w:lang w:eastAsia="es-MX"/>
        </w:rPr>
        <w:t xml:space="preserve"> interés alguno o justificar su utilización, tendrá acceso gratuito a la información pública, a sus datos personales o a la rectificación de éstos. </w:t>
      </w:r>
    </w:p>
    <w:p w:rsidR="00D41237" w:rsidRPr="00677A34" w:rsidRDefault="00D41237" w:rsidP="00D41237">
      <w:pPr>
        <w:spacing w:line="360" w:lineRule="auto"/>
        <w:ind w:left="851" w:right="901"/>
        <w:jc w:val="both"/>
        <w:rPr>
          <w:rFonts w:ascii="Palatino Linotype" w:hAnsi="Palatino Linotype" w:cs="Arial"/>
          <w:i/>
          <w:lang w:eastAsia="es-MX"/>
        </w:rPr>
      </w:pPr>
      <w:r w:rsidRPr="00677A34">
        <w:rPr>
          <w:rFonts w:ascii="Palatino Linotype" w:hAnsi="Palatino Linotype" w:cs="Arial"/>
          <w:b/>
          <w:bCs/>
          <w:i/>
          <w:lang w:eastAsia="es-MX"/>
        </w:rPr>
        <w:t xml:space="preserve">IV. </w:t>
      </w:r>
      <w:r w:rsidRPr="00677A34">
        <w:rPr>
          <w:rFonts w:ascii="Palatino Linotype" w:hAnsi="Palatino Linotype" w:cs="Arial"/>
          <w:i/>
          <w:lang w:eastAsia="es-MX"/>
        </w:rPr>
        <w:t xml:space="preserve">Se establecerán mecanismos de acceso a la información y procedimientos de revisión expeditos que se sustanciarán ante los organismos autónomos especializados e imparciales que establece esta Constitución. </w:t>
      </w:r>
    </w:p>
    <w:p w:rsidR="00D41237" w:rsidRPr="00677A34" w:rsidRDefault="00D41237" w:rsidP="00D41237">
      <w:pPr>
        <w:spacing w:line="360" w:lineRule="auto"/>
        <w:ind w:left="851" w:right="901"/>
        <w:jc w:val="both"/>
        <w:rPr>
          <w:rFonts w:ascii="Palatino Linotype" w:hAnsi="Palatino Linotype" w:cs="Arial"/>
          <w:i/>
          <w:lang w:eastAsia="es-MX"/>
        </w:rPr>
      </w:pPr>
      <w:r w:rsidRPr="00677A34">
        <w:rPr>
          <w:rFonts w:ascii="Palatino Linotype" w:hAnsi="Palatino Linotype" w:cs="Arial"/>
          <w:b/>
          <w:bCs/>
          <w:i/>
          <w:lang w:eastAsia="es-MX"/>
        </w:rPr>
        <w:t xml:space="preserve">V. </w:t>
      </w:r>
      <w:r w:rsidRPr="00677A34">
        <w:rPr>
          <w:rFonts w:ascii="Palatino Linotype" w:hAnsi="Palatino Linotype" w:cs="Arial"/>
          <w:i/>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D41237" w:rsidRPr="00677A34" w:rsidRDefault="00D41237" w:rsidP="00D41237">
      <w:pPr>
        <w:spacing w:line="360" w:lineRule="auto"/>
        <w:ind w:left="851" w:right="901"/>
        <w:jc w:val="both"/>
        <w:rPr>
          <w:rFonts w:ascii="Palatino Linotype" w:hAnsi="Palatino Linotype" w:cs="Arial"/>
          <w:i/>
          <w:lang w:eastAsia="es-MX"/>
        </w:rPr>
      </w:pPr>
      <w:r w:rsidRPr="00677A34">
        <w:rPr>
          <w:rFonts w:ascii="Palatino Linotype" w:hAnsi="Palatino Linotype" w:cs="Arial"/>
          <w:b/>
          <w:bCs/>
          <w:i/>
          <w:lang w:eastAsia="es-MX"/>
        </w:rPr>
        <w:lastRenderedPageBreak/>
        <w:t xml:space="preserve">VI. </w:t>
      </w:r>
      <w:r w:rsidRPr="00677A34">
        <w:rPr>
          <w:rFonts w:ascii="Palatino Linotype" w:hAnsi="Palatino Linotype" w:cs="Arial"/>
          <w:i/>
          <w:lang w:eastAsia="es-MX"/>
        </w:rPr>
        <w:t xml:space="preserve">Las leyes determinarán la manera en que los sujetos obligados deberán hacer pública la información relativa a los recursos públicos que entreguen a personas físicas o morales. </w:t>
      </w:r>
    </w:p>
    <w:p w:rsidR="00D41237" w:rsidRPr="00677A34" w:rsidRDefault="00D41237" w:rsidP="00D41237">
      <w:pPr>
        <w:spacing w:line="360" w:lineRule="auto"/>
        <w:ind w:left="851" w:right="901"/>
        <w:jc w:val="both"/>
        <w:rPr>
          <w:rFonts w:ascii="Palatino Linotype" w:hAnsi="Palatino Linotype" w:cs="Arial"/>
          <w:i/>
        </w:rPr>
      </w:pPr>
      <w:r w:rsidRPr="00677A34">
        <w:rPr>
          <w:rFonts w:ascii="Palatino Linotype" w:hAnsi="Palatino Linotype" w:cs="Arial"/>
          <w:b/>
          <w:bCs/>
          <w:i/>
          <w:lang w:eastAsia="es-MX"/>
        </w:rPr>
        <w:t xml:space="preserve">VII. </w:t>
      </w:r>
      <w:r w:rsidRPr="00677A34">
        <w:rPr>
          <w:rFonts w:ascii="Palatino Linotype" w:hAnsi="Palatino Linotype" w:cs="Arial"/>
          <w:i/>
          <w:lang w:eastAsia="es-MX"/>
        </w:rPr>
        <w:t>La inobservancia a las disposiciones en materia de acceso a la información pública será sancionada en los términos que dispongan las leyes.</w:t>
      </w:r>
      <w:r w:rsidRPr="00677A34">
        <w:rPr>
          <w:rFonts w:ascii="Palatino Linotype" w:hAnsi="Palatino Linotype" w:cs="Arial"/>
          <w:i/>
        </w:rPr>
        <w:t xml:space="preserve">” </w:t>
      </w:r>
    </w:p>
    <w:p w:rsidR="00D41237" w:rsidRPr="00677A34" w:rsidRDefault="00D41237" w:rsidP="00D41237">
      <w:pPr>
        <w:spacing w:line="360" w:lineRule="auto"/>
        <w:ind w:left="851" w:right="901"/>
        <w:jc w:val="both"/>
        <w:rPr>
          <w:rFonts w:ascii="Palatino Linotype" w:hAnsi="Palatino Linotype"/>
        </w:rPr>
      </w:pPr>
      <w:r w:rsidRPr="00677A34">
        <w:rPr>
          <w:rFonts w:ascii="Palatino Linotype" w:hAnsi="Palatino Linotype"/>
        </w:rPr>
        <w:t>(Énfasis añadido)</w:t>
      </w:r>
    </w:p>
    <w:p w:rsidR="00D41237" w:rsidRPr="00677A34" w:rsidRDefault="00D41237" w:rsidP="00D41237">
      <w:pPr>
        <w:spacing w:line="360" w:lineRule="auto"/>
        <w:ind w:left="851" w:right="901"/>
        <w:jc w:val="both"/>
        <w:rPr>
          <w:rFonts w:ascii="Palatino Linotype" w:hAnsi="Palatino Linotype" w:cs="Arial"/>
          <w:i/>
          <w:lang w:eastAsia="es-MX"/>
        </w:rPr>
      </w:pPr>
    </w:p>
    <w:p w:rsidR="00D41237" w:rsidRPr="00677A34" w:rsidRDefault="00D41237" w:rsidP="00D41237">
      <w:pPr>
        <w:numPr>
          <w:ilvl w:val="0"/>
          <w:numId w:val="15"/>
        </w:numPr>
        <w:spacing w:line="360" w:lineRule="auto"/>
        <w:ind w:left="0" w:firstLine="0"/>
        <w:contextualSpacing/>
        <w:jc w:val="both"/>
        <w:rPr>
          <w:rFonts w:ascii="Palatino Linotype" w:hAnsi="Palatino Linotype"/>
        </w:rPr>
      </w:pPr>
      <w:r w:rsidRPr="00677A34">
        <w:rPr>
          <w:rFonts w:ascii="Palatino Linotype" w:hAnsi="Palatino Linotype"/>
        </w:rPr>
        <w:t xml:space="preserve">Por su parte, la Constitución Política del Estado Libre y Soberano de México, en su </w:t>
      </w:r>
      <w:r w:rsidRPr="00677A34">
        <w:rPr>
          <w:rFonts w:ascii="Palatino Linotype" w:eastAsia="Arial Unicode MS" w:hAnsi="Palatino Linotype" w:cs="Arial"/>
        </w:rPr>
        <w:t>artículo</w:t>
      </w:r>
      <w:r w:rsidRPr="00677A34">
        <w:rPr>
          <w:rFonts w:ascii="Palatino Linotype" w:hAnsi="Palatino Linotype"/>
        </w:rPr>
        <w:t xml:space="preserve"> 5°, párrafo trigésimo, trigésimo primero y trigésimo segundo, fracción I, dispone lo siguiente:</w:t>
      </w:r>
    </w:p>
    <w:p w:rsidR="00D41237" w:rsidRPr="00677A34" w:rsidRDefault="00D41237" w:rsidP="00D41237">
      <w:pPr>
        <w:spacing w:line="360" w:lineRule="auto"/>
        <w:jc w:val="both"/>
        <w:rPr>
          <w:rFonts w:ascii="Palatino Linotype" w:hAnsi="Palatino Linotype"/>
        </w:rPr>
      </w:pPr>
    </w:p>
    <w:p w:rsidR="00D41237" w:rsidRPr="00677A34" w:rsidRDefault="00D41237" w:rsidP="00D41237">
      <w:pPr>
        <w:spacing w:line="360" w:lineRule="auto"/>
        <w:ind w:left="851" w:right="901"/>
        <w:jc w:val="both"/>
        <w:rPr>
          <w:rFonts w:ascii="Palatino Linotype" w:hAnsi="Palatino Linotype" w:cs="Arial"/>
          <w:b/>
          <w:i/>
        </w:rPr>
      </w:pPr>
      <w:r w:rsidRPr="00677A34">
        <w:rPr>
          <w:rFonts w:ascii="Palatino Linotype" w:hAnsi="Palatino Linotype" w:cs="Arial"/>
          <w:i/>
        </w:rPr>
        <w:t>“</w:t>
      </w:r>
      <w:r w:rsidRPr="00677A34">
        <w:rPr>
          <w:rFonts w:ascii="Palatino Linotype" w:hAnsi="Palatino Linotype" w:cs="Arial"/>
          <w:b/>
          <w:i/>
        </w:rPr>
        <w:t xml:space="preserve">Artículo 5.  … </w:t>
      </w:r>
    </w:p>
    <w:p w:rsidR="00D41237" w:rsidRPr="00677A34" w:rsidRDefault="00D41237" w:rsidP="00D41237">
      <w:pPr>
        <w:spacing w:line="360" w:lineRule="auto"/>
        <w:ind w:left="851" w:right="901"/>
        <w:jc w:val="both"/>
        <w:rPr>
          <w:rFonts w:ascii="Palatino Linotype" w:hAnsi="Palatino Linotype" w:cs="Arial"/>
          <w:i/>
        </w:rPr>
      </w:pPr>
      <w:r w:rsidRPr="00677A34">
        <w:rPr>
          <w:rFonts w:ascii="Palatino Linotype" w:hAnsi="Palatino Linotype" w:cs="Arial"/>
          <w:i/>
        </w:rPr>
        <w:t>. . .</w:t>
      </w:r>
    </w:p>
    <w:p w:rsidR="00D41237" w:rsidRPr="00677A34" w:rsidRDefault="00D41237" w:rsidP="00D41237">
      <w:pPr>
        <w:spacing w:line="360" w:lineRule="auto"/>
        <w:ind w:left="851" w:right="901"/>
        <w:jc w:val="both"/>
        <w:rPr>
          <w:rFonts w:ascii="Palatino Linotype" w:hAnsi="Palatino Linotype" w:cs="Arial"/>
          <w:i/>
        </w:rPr>
      </w:pPr>
      <w:r w:rsidRPr="00677A34">
        <w:rPr>
          <w:rFonts w:ascii="Palatino Linotype" w:hAnsi="Palatino Linotype" w:cs="Arial"/>
          <w:i/>
        </w:rPr>
        <w:t xml:space="preserve">El derecho a la información será garantizado por el Estado. La ley establecerá las previsiones que permitan asegurar la protección, el respeto y la difusión de este derecho. </w:t>
      </w:r>
    </w:p>
    <w:p w:rsidR="00D41237" w:rsidRPr="00677A34" w:rsidRDefault="00D41237" w:rsidP="00D41237">
      <w:pPr>
        <w:spacing w:line="360" w:lineRule="auto"/>
        <w:ind w:left="851" w:right="901"/>
        <w:jc w:val="both"/>
        <w:rPr>
          <w:rFonts w:ascii="Palatino Linotype" w:hAnsi="Palatino Linotype" w:cs="Arial"/>
          <w:i/>
        </w:rPr>
      </w:pPr>
      <w:r w:rsidRPr="00677A34">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41237" w:rsidRPr="00677A34" w:rsidRDefault="00D41237" w:rsidP="00D41237">
      <w:pPr>
        <w:spacing w:line="360" w:lineRule="auto"/>
        <w:ind w:left="851" w:right="901"/>
        <w:jc w:val="both"/>
        <w:rPr>
          <w:rFonts w:ascii="Palatino Linotype" w:hAnsi="Palatino Linotype" w:cs="Arial"/>
          <w:i/>
        </w:rPr>
      </w:pPr>
      <w:r w:rsidRPr="00677A34">
        <w:rPr>
          <w:rFonts w:ascii="Palatino Linotype" w:hAnsi="Palatino Linotype" w:cs="Arial"/>
          <w:i/>
        </w:rPr>
        <w:t>Este derecho se regirá por los principios y bases siguientes:</w:t>
      </w:r>
    </w:p>
    <w:p w:rsidR="00D41237" w:rsidRPr="00677A34" w:rsidRDefault="00D41237" w:rsidP="00D41237">
      <w:pPr>
        <w:spacing w:line="360" w:lineRule="auto"/>
        <w:ind w:left="851" w:right="901"/>
        <w:jc w:val="both"/>
        <w:rPr>
          <w:rFonts w:ascii="Palatino Linotype" w:hAnsi="Palatino Linotype"/>
        </w:rPr>
      </w:pPr>
      <w:r w:rsidRPr="00677A34">
        <w:rPr>
          <w:rFonts w:ascii="Palatino Linotype" w:hAnsi="Palatino Linotype" w:cs="Arial"/>
          <w:i/>
        </w:rPr>
        <w:lastRenderedPageBreak/>
        <w:t xml:space="preserve">I. </w:t>
      </w:r>
      <w:r w:rsidRPr="00677A34">
        <w:rPr>
          <w:rFonts w:ascii="Palatino Linotype" w:hAnsi="Palatino Linotype" w:cs="Arial"/>
          <w:b/>
          <w:i/>
          <w:u w:val="single"/>
        </w:rPr>
        <w:t>Toda la información en posesión de cualquier autoridad, entidad, órgano y organismos de los Poderes Ejecutivo, Legislativo y Judicial, órganos autónomos, partidos políticos, fideicomisos y fondos públicos estatales y municipales</w:t>
      </w:r>
      <w:r w:rsidRPr="00677A34">
        <w:rPr>
          <w:rFonts w:ascii="Palatino Linotype" w:hAnsi="Palatino Linotype" w:cs="Arial"/>
          <w:i/>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677A34">
        <w:rPr>
          <w:rFonts w:ascii="Palatino Linotype" w:hAnsi="Palatino Linotype"/>
        </w:rPr>
        <w:t xml:space="preserve"> </w:t>
      </w:r>
    </w:p>
    <w:p w:rsidR="00D41237" w:rsidRPr="00677A34" w:rsidRDefault="00D41237" w:rsidP="00D41237">
      <w:pPr>
        <w:spacing w:line="360" w:lineRule="auto"/>
        <w:ind w:left="851" w:right="901"/>
        <w:jc w:val="both"/>
        <w:rPr>
          <w:rFonts w:ascii="Palatino Linotype" w:hAnsi="Palatino Linotype"/>
        </w:rPr>
      </w:pPr>
      <w:r w:rsidRPr="00677A34">
        <w:rPr>
          <w:rFonts w:ascii="Palatino Linotype" w:hAnsi="Palatino Linotype"/>
        </w:rPr>
        <w:t>(Énfasis añadido)</w:t>
      </w:r>
    </w:p>
    <w:p w:rsidR="00D41237" w:rsidRPr="00677A34" w:rsidRDefault="00D41237" w:rsidP="00D41237">
      <w:pPr>
        <w:spacing w:line="360" w:lineRule="auto"/>
        <w:ind w:left="851" w:right="901"/>
        <w:jc w:val="both"/>
        <w:rPr>
          <w:rFonts w:ascii="Palatino Linotype" w:hAnsi="Palatino Linotype" w:cs="Arial"/>
          <w:i/>
        </w:rPr>
      </w:pPr>
    </w:p>
    <w:p w:rsidR="00D41237" w:rsidRPr="00677A34" w:rsidRDefault="00D41237" w:rsidP="00D41237">
      <w:pPr>
        <w:numPr>
          <w:ilvl w:val="0"/>
          <w:numId w:val="15"/>
        </w:numPr>
        <w:spacing w:line="360" w:lineRule="auto"/>
        <w:ind w:left="0" w:firstLine="0"/>
        <w:contextualSpacing/>
        <w:jc w:val="both"/>
        <w:rPr>
          <w:rFonts w:ascii="Palatino Linotype" w:hAnsi="Palatino Linotype"/>
        </w:rPr>
      </w:pPr>
      <w:r w:rsidRPr="00677A34">
        <w:rPr>
          <w:rFonts w:ascii="Palatino Linotype" w:hAnsi="Palatino Linotype"/>
        </w:rPr>
        <w:t>Asimismo, se tiene que la Ley de Transparencia y Acceso a la Información Pública del Estado de México y Municipios, prevé en su artículo 23, lo siguiente:</w:t>
      </w:r>
    </w:p>
    <w:p w:rsidR="00D41237" w:rsidRPr="00677A34" w:rsidRDefault="00D41237" w:rsidP="00D41237">
      <w:pPr>
        <w:spacing w:line="360" w:lineRule="auto"/>
        <w:jc w:val="both"/>
        <w:rPr>
          <w:rFonts w:ascii="Palatino Linotype" w:hAnsi="Palatino Linotype"/>
        </w:rPr>
      </w:pPr>
    </w:p>
    <w:p w:rsidR="00D41237" w:rsidRPr="00677A34" w:rsidRDefault="00D41237" w:rsidP="00D41237">
      <w:pPr>
        <w:spacing w:line="360" w:lineRule="auto"/>
        <w:ind w:left="851" w:right="901"/>
        <w:jc w:val="both"/>
        <w:rPr>
          <w:rFonts w:ascii="Palatino Linotype" w:hAnsi="Palatino Linotype" w:cs="Arial"/>
          <w:i/>
        </w:rPr>
      </w:pPr>
      <w:r w:rsidRPr="00677A34">
        <w:rPr>
          <w:rFonts w:ascii="Palatino Linotype" w:hAnsi="Palatino Linotype" w:cs="Arial"/>
          <w:i/>
        </w:rPr>
        <w:t>“</w:t>
      </w:r>
      <w:r w:rsidRPr="00677A34">
        <w:rPr>
          <w:rFonts w:ascii="Palatino Linotype" w:hAnsi="Palatino Linotype" w:cs="Arial"/>
          <w:b/>
          <w:i/>
        </w:rPr>
        <w:t>Artículo 23.</w:t>
      </w:r>
      <w:r w:rsidRPr="00677A34">
        <w:rPr>
          <w:rFonts w:ascii="Palatino Linotype" w:hAnsi="Palatino Linotype" w:cs="Arial"/>
          <w:i/>
        </w:rPr>
        <w:t xml:space="preserve"> Son sujetos obligados a transparentar y permitir el acceso a su información y proteger los datos personales que obren en su poder:</w:t>
      </w:r>
    </w:p>
    <w:p w:rsidR="00D41237" w:rsidRPr="00677A34" w:rsidRDefault="00D41237" w:rsidP="00D41237">
      <w:pPr>
        <w:spacing w:line="360" w:lineRule="auto"/>
        <w:ind w:left="851" w:right="901"/>
        <w:jc w:val="both"/>
        <w:rPr>
          <w:rFonts w:ascii="Palatino Linotype" w:hAnsi="Palatino Linotype" w:cs="Arial"/>
          <w:b/>
          <w:i/>
        </w:rPr>
      </w:pPr>
      <w:r w:rsidRPr="00677A34">
        <w:rPr>
          <w:rFonts w:ascii="Palatino Linotype" w:hAnsi="Palatino Linotype" w:cs="Arial"/>
          <w:b/>
          <w:i/>
        </w:rPr>
        <w:lastRenderedPageBreak/>
        <w:t>I. El Poder Ejecutivo del Estado de México, las dependencias, organismos auxiliares, órganos, entidades, fideicomisos y fondos públicos, así como la Procuraduría General de Justicia;</w:t>
      </w:r>
    </w:p>
    <w:p w:rsidR="00D41237" w:rsidRPr="00677A34" w:rsidRDefault="00D41237" w:rsidP="00D41237">
      <w:pPr>
        <w:spacing w:line="360" w:lineRule="auto"/>
        <w:ind w:left="851" w:right="901"/>
        <w:jc w:val="both"/>
        <w:rPr>
          <w:rFonts w:ascii="Palatino Linotype" w:hAnsi="Palatino Linotype" w:cs="Arial"/>
          <w:i/>
        </w:rPr>
      </w:pPr>
      <w:r w:rsidRPr="00677A34">
        <w:rPr>
          <w:rFonts w:ascii="Palatino Linotype" w:hAnsi="Palatino Linotype" w:cs="Arial"/>
          <w:i/>
        </w:rPr>
        <w:t>II. El Poder Legislativo del Estado, los organismos, órganos y entidades de la Legislatura y sus dependencias;</w:t>
      </w:r>
    </w:p>
    <w:p w:rsidR="00D41237" w:rsidRPr="00677A34" w:rsidRDefault="00D41237" w:rsidP="00D41237">
      <w:pPr>
        <w:spacing w:line="360" w:lineRule="auto"/>
        <w:ind w:left="851" w:right="901"/>
        <w:jc w:val="both"/>
        <w:rPr>
          <w:rFonts w:ascii="Palatino Linotype" w:hAnsi="Palatino Linotype" w:cs="Arial"/>
          <w:i/>
        </w:rPr>
      </w:pPr>
      <w:r w:rsidRPr="00677A34">
        <w:rPr>
          <w:rFonts w:ascii="Palatino Linotype" w:hAnsi="Palatino Linotype" w:cs="Arial"/>
          <w:i/>
        </w:rPr>
        <w:t>III. El Poder Judicial, sus organismos, órganos y entidades, así como el Consejo de la Judicatura del Estado;</w:t>
      </w:r>
    </w:p>
    <w:p w:rsidR="00D41237" w:rsidRPr="00677A34" w:rsidRDefault="00D41237" w:rsidP="00D41237">
      <w:pPr>
        <w:spacing w:line="360" w:lineRule="auto"/>
        <w:ind w:left="851" w:right="901"/>
        <w:jc w:val="both"/>
        <w:rPr>
          <w:rFonts w:ascii="Palatino Linotype" w:hAnsi="Palatino Linotype" w:cs="Arial"/>
          <w:i/>
        </w:rPr>
      </w:pPr>
      <w:r w:rsidRPr="00677A34">
        <w:rPr>
          <w:rFonts w:ascii="Palatino Linotype" w:hAnsi="Palatino Linotype" w:cs="Arial"/>
          <w:i/>
        </w:rPr>
        <w:t>IV. Los ayuntamientos y las dependencias, organismos, órganos y entidades de la administración municipal;</w:t>
      </w:r>
    </w:p>
    <w:p w:rsidR="00D41237" w:rsidRPr="00677A34" w:rsidRDefault="00D41237" w:rsidP="00D41237">
      <w:pPr>
        <w:spacing w:line="360" w:lineRule="auto"/>
        <w:ind w:left="851" w:right="901"/>
        <w:jc w:val="both"/>
        <w:rPr>
          <w:rFonts w:ascii="Palatino Linotype" w:hAnsi="Palatino Linotype" w:cs="Arial"/>
          <w:i/>
        </w:rPr>
      </w:pPr>
      <w:r w:rsidRPr="00677A34">
        <w:rPr>
          <w:rFonts w:ascii="Palatino Linotype" w:hAnsi="Palatino Linotype" w:cs="Arial"/>
          <w:i/>
        </w:rPr>
        <w:t>V. Los órganos autónomos;</w:t>
      </w:r>
    </w:p>
    <w:p w:rsidR="00D41237" w:rsidRPr="00677A34" w:rsidRDefault="00D41237" w:rsidP="00D41237">
      <w:pPr>
        <w:spacing w:line="360" w:lineRule="auto"/>
        <w:ind w:left="851" w:right="901"/>
        <w:jc w:val="both"/>
        <w:rPr>
          <w:rFonts w:ascii="Palatino Linotype" w:hAnsi="Palatino Linotype" w:cs="Arial"/>
          <w:i/>
        </w:rPr>
      </w:pPr>
      <w:r w:rsidRPr="00677A34">
        <w:rPr>
          <w:rFonts w:ascii="Palatino Linotype" w:hAnsi="Palatino Linotype" w:cs="Arial"/>
          <w:i/>
        </w:rPr>
        <w:t>VI. Los tribunales administrativos y autoridades jurisdiccionales en materia laboral;</w:t>
      </w:r>
    </w:p>
    <w:p w:rsidR="00D41237" w:rsidRPr="00677A34" w:rsidRDefault="00D41237" w:rsidP="00D41237">
      <w:pPr>
        <w:spacing w:line="360" w:lineRule="auto"/>
        <w:ind w:left="851" w:right="901"/>
        <w:jc w:val="both"/>
        <w:rPr>
          <w:rFonts w:ascii="Palatino Linotype" w:hAnsi="Palatino Linotype" w:cs="Arial"/>
          <w:i/>
        </w:rPr>
      </w:pPr>
      <w:r w:rsidRPr="00677A34">
        <w:rPr>
          <w:rFonts w:ascii="Palatino Linotype" w:hAnsi="Palatino Linotype" w:cs="Arial"/>
          <w:i/>
        </w:rPr>
        <w:t>VII. Los partidos políticos y agrupaciones políticas, en los términos de las disposiciones aplicables;</w:t>
      </w:r>
    </w:p>
    <w:p w:rsidR="00D41237" w:rsidRPr="00677A34" w:rsidRDefault="00D41237" w:rsidP="00D41237">
      <w:pPr>
        <w:spacing w:line="360" w:lineRule="auto"/>
        <w:ind w:left="851" w:right="901"/>
        <w:jc w:val="both"/>
        <w:rPr>
          <w:rFonts w:ascii="Palatino Linotype" w:hAnsi="Palatino Linotype" w:cs="Arial"/>
          <w:i/>
        </w:rPr>
      </w:pPr>
      <w:r w:rsidRPr="00677A34">
        <w:rPr>
          <w:rFonts w:ascii="Palatino Linotype" w:hAnsi="Palatino Linotype" w:cs="Arial"/>
          <w:i/>
        </w:rPr>
        <w:t>VIII. Los fideicomisos y fondos públicos que cuenten con financiamiento público, parcial o total, o con participación de entidades de gobierno;</w:t>
      </w:r>
    </w:p>
    <w:p w:rsidR="00D41237" w:rsidRPr="00677A34" w:rsidRDefault="00D41237" w:rsidP="00D41237">
      <w:pPr>
        <w:spacing w:line="360" w:lineRule="auto"/>
        <w:ind w:left="851" w:right="901"/>
        <w:jc w:val="both"/>
        <w:rPr>
          <w:rFonts w:ascii="Palatino Linotype" w:hAnsi="Palatino Linotype" w:cs="Arial"/>
          <w:i/>
        </w:rPr>
      </w:pPr>
      <w:r w:rsidRPr="00677A34">
        <w:rPr>
          <w:rFonts w:ascii="Palatino Linotype" w:hAnsi="Palatino Linotype" w:cs="Arial"/>
          <w:i/>
        </w:rPr>
        <w:t>IX. Los sindicatos que reciban y/o ejerzan recursos públicos en el ámbito estatal y municipal;</w:t>
      </w:r>
    </w:p>
    <w:p w:rsidR="00D41237" w:rsidRPr="00677A34" w:rsidRDefault="00D41237" w:rsidP="00D41237">
      <w:pPr>
        <w:spacing w:line="360" w:lineRule="auto"/>
        <w:ind w:left="851" w:right="901"/>
        <w:jc w:val="both"/>
        <w:rPr>
          <w:rFonts w:ascii="Palatino Linotype" w:hAnsi="Palatino Linotype" w:cs="Arial"/>
          <w:i/>
        </w:rPr>
      </w:pPr>
      <w:r w:rsidRPr="00677A34">
        <w:rPr>
          <w:rFonts w:ascii="Palatino Linotype" w:hAnsi="Palatino Linotype" w:cs="Arial"/>
          <w:i/>
        </w:rPr>
        <w:t>X. Cualquier persona física o jurídico colectiva que reciba y ejerza recursos públicos en el ámbito estatal o municipal; y</w:t>
      </w:r>
    </w:p>
    <w:p w:rsidR="00D41237" w:rsidRPr="00677A34" w:rsidRDefault="00D41237" w:rsidP="00D41237">
      <w:pPr>
        <w:spacing w:line="360" w:lineRule="auto"/>
        <w:ind w:left="851" w:right="901"/>
        <w:jc w:val="both"/>
        <w:rPr>
          <w:rFonts w:ascii="Palatino Linotype" w:hAnsi="Palatino Linotype" w:cs="Arial"/>
          <w:i/>
        </w:rPr>
      </w:pPr>
      <w:r w:rsidRPr="00677A34">
        <w:rPr>
          <w:rFonts w:ascii="Palatino Linotype" w:hAnsi="Palatino Linotype" w:cs="Arial"/>
          <w:i/>
        </w:rPr>
        <w:t>XI. Cualquier otra autoridad, entidad, órgano u organismo de los poderes estatal o municipal, que reciba recursos públicos.</w:t>
      </w:r>
    </w:p>
    <w:p w:rsidR="00D41237" w:rsidRPr="00677A34" w:rsidRDefault="00D41237" w:rsidP="00D41237">
      <w:pPr>
        <w:spacing w:line="360" w:lineRule="auto"/>
        <w:ind w:left="851" w:right="901"/>
        <w:jc w:val="both"/>
        <w:rPr>
          <w:rFonts w:ascii="Palatino Linotype" w:hAnsi="Palatino Linotype" w:cs="Arial"/>
          <w:b/>
          <w:i/>
        </w:rPr>
      </w:pPr>
      <w:r w:rsidRPr="00677A34">
        <w:rPr>
          <w:rFonts w:ascii="Palatino Linotype" w:hAnsi="Palatino Linotype" w:cs="Arial"/>
          <w:b/>
          <w:i/>
        </w:rPr>
        <w:t xml:space="preserve">Los sujetos obligados deberán hacer pública toda aquella información relativa a los montos y las personas a quienes </w:t>
      </w:r>
      <w:r w:rsidRPr="00677A34">
        <w:rPr>
          <w:rFonts w:ascii="Palatino Linotype" w:hAnsi="Palatino Linotype" w:cs="Arial"/>
          <w:b/>
          <w:i/>
        </w:rPr>
        <w:lastRenderedPageBreak/>
        <w:t>entreguen, por cualquier motivo, recursos públicos, así como los informes que dichas personas les entreguen sobre el uso y destino de dichos recursos.</w:t>
      </w:r>
    </w:p>
    <w:p w:rsidR="00D41237" w:rsidRPr="00677A34" w:rsidRDefault="00D41237" w:rsidP="00D41237">
      <w:pPr>
        <w:spacing w:line="360" w:lineRule="auto"/>
        <w:ind w:left="851" w:right="901"/>
        <w:jc w:val="both"/>
        <w:rPr>
          <w:rFonts w:ascii="Palatino Linotype" w:hAnsi="Palatino Linotype" w:cs="Arial"/>
          <w:b/>
          <w:i/>
        </w:rPr>
      </w:pPr>
      <w:r w:rsidRPr="00677A34">
        <w:rPr>
          <w:rFonts w:ascii="Palatino Linotype" w:hAnsi="Palatino Linotype" w:cs="Arial"/>
          <w:b/>
          <w:i/>
        </w:rPr>
        <w:t xml:space="preserve">Los servidores públicos deberán transparentar sus </w:t>
      </w:r>
      <w:proofErr w:type="gramStart"/>
      <w:r w:rsidRPr="00677A34">
        <w:rPr>
          <w:rFonts w:ascii="Palatino Linotype" w:hAnsi="Palatino Linotype" w:cs="Arial"/>
          <w:b/>
          <w:i/>
        </w:rPr>
        <w:t>acciones</w:t>
      </w:r>
      <w:proofErr w:type="gramEnd"/>
      <w:r w:rsidRPr="00677A34">
        <w:rPr>
          <w:rFonts w:ascii="Palatino Linotype" w:hAnsi="Palatino Linotype" w:cs="Arial"/>
          <w:b/>
          <w:i/>
        </w:rPr>
        <w:t xml:space="preserve"> así como garantizar y respetar el derecho de acceso a la información pública.</w:t>
      </w:r>
    </w:p>
    <w:p w:rsidR="00D41237" w:rsidRPr="00D41237" w:rsidRDefault="00D41237" w:rsidP="00D41237">
      <w:pPr>
        <w:spacing w:line="360" w:lineRule="auto"/>
        <w:ind w:left="851" w:right="901"/>
        <w:jc w:val="both"/>
        <w:rPr>
          <w:rFonts w:ascii="Palatino Linotype" w:hAnsi="Palatino Linotype" w:cs="Arial"/>
          <w:i/>
        </w:rPr>
      </w:pPr>
      <w:r w:rsidRPr="00677A34">
        <w:rPr>
          <w:rFonts w:ascii="Palatino Linotype" w:hAnsi="Palatino Linotype" w:cs="Arial"/>
          <w:i/>
        </w:rPr>
        <w:t>(Énfasis añadido)</w:t>
      </w:r>
      <w:bookmarkStart w:id="150" w:name="_GoBack"/>
      <w:bookmarkEnd w:id="150"/>
    </w:p>
    <w:p w:rsidR="00D41237" w:rsidRPr="0026082C" w:rsidRDefault="00D41237" w:rsidP="00D41237">
      <w:pPr>
        <w:ind w:left="851" w:right="901"/>
        <w:jc w:val="both"/>
        <w:rPr>
          <w:rFonts w:ascii="Palatino Linotype" w:hAnsi="Palatino Linotype" w:cs="Arial"/>
          <w:i/>
          <w:sz w:val="22"/>
          <w:szCs w:val="22"/>
        </w:rPr>
      </w:pPr>
    </w:p>
    <w:p w:rsidR="00D41237" w:rsidRDefault="00D41237" w:rsidP="00D41237">
      <w:pPr>
        <w:pStyle w:val="Prrafodelista"/>
        <w:rPr>
          <w:rFonts w:ascii="Palatino Linotype" w:eastAsia="Palatino Linotype" w:hAnsi="Palatino Linotype" w:cs="Palatino Linotype"/>
        </w:rPr>
      </w:pPr>
    </w:p>
    <w:p w:rsidR="00BA4537" w:rsidRDefault="00D41237" w:rsidP="00124FD1">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En esa tesitura</w:t>
      </w:r>
      <w:r w:rsidR="00BA4537">
        <w:rPr>
          <w:rFonts w:ascii="Palatino Linotype" w:eastAsia="Palatino Linotype" w:hAnsi="Palatino Linotype" w:cs="Palatino Linotype"/>
        </w:rPr>
        <w:t xml:space="preserve">, </w:t>
      </w:r>
      <w:r>
        <w:rPr>
          <w:rFonts w:ascii="Palatino Linotype" w:eastAsia="Palatino Linotype" w:hAnsi="Palatino Linotype" w:cs="Palatino Linotype"/>
        </w:rPr>
        <w:t xml:space="preserve">es dable traer a contexto </w:t>
      </w:r>
      <w:r w:rsidR="00BA4537">
        <w:rPr>
          <w:rFonts w:ascii="Palatino Linotype" w:eastAsia="Palatino Linotype" w:hAnsi="Palatino Linotype" w:cs="Palatino Linotype"/>
        </w:rPr>
        <w:t xml:space="preserve">el Anexo IV.2 Clasificación por objeto del gasto, del Manual para la Planeación, Programación y Presupuesto de Egresos Municipal para el ejercicio fiscal dos mil veinte, establece que los Presupuestos de Egresos Municipales, se tendrán que generar, conforme al “Clasificador por Objeto del Gasto”, el cual se conforma de diversos capítulos, entre los cuales, se encuentra el 1000 Servicios Personales, que agrupa las remuneraciones del personal al servicio de los entes públicos, tales como el sueldo, salarios, dietas, honorarios, prestaciones, obligaciones laborales, gratificaciones, entre otras. </w:t>
      </w:r>
    </w:p>
    <w:p w:rsidR="00D41237" w:rsidRDefault="00D41237" w:rsidP="00D41237">
      <w:pPr>
        <w:spacing w:line="360" w:lineRule="auto"/>
        <w:contextualSpacing/>
        <w:jc w:val="both"/>
        <w:rPr>
          <w:rFonts w:ascii="Palatino Linotype" w:eastAsia="Palatino Linotype" w:hAnsi="Palatino Linotype" w:cs="Palatino Linotype"/>
        </w:rPr>
      </w:pPr>
    </w:p>
    <w:p w:rsidR="00124FD1" w:rsidRDefault="00BA4537" w:rsidP="00124FD1">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En esa línea de pensamiento, respecto a la nómina, el Glosario localizado en la página de Transparencia Presupuestaria de la Secretaría de Hacienda y Crédito Público (http://www.transparenciapresupuestaria.gob.mx/es/PTP/Glosario, consultado el dieciocho de mayo de dos mil veintidós, a las doce horas), establece que </w:t>
      </w:r>
      <w:r>
        <w:rPr>
          <w:rFonts w:ascii="Palatino Linotype" w:eastAsia="Palatino Linotype" w:hAnsi="Palatino Linotype" w:cs="Palatino Linotype"/>
          <w:b/>
        </w:rPr>
        <w:t xml:space="preserve">es el documento contable que contiene la relación de los trabajadores con las percepciones monetarias de cada uno; además, que también se refiere </w:t>
      </w:r>
      <w:r w:rsidRPr="00124FD1">
        <w:rPr>
          <w:rFonts w:ascii="Palatino Linotype" w:eastAsia="Palatino Linotype" w:hAnsi="Palatino Linotype" w:cs="Palatino Linotype"/>
          <w:b/>
          <w:u w:val="single"/>
        </w:rPr>
        <w:t xml:space="preserve">al recibo </w:t>
      </w:r>
      <w:r w:rsidRPr="00124FD1">
        <w:rPr>
          <w:rFonts w:ascii="Palatino Linotype" w:eastAsia="Palatino Linotype" w:hAnsi="Palatino Linotype" w:cs="Palatino Linotype"/>
          <w:b/>
          <w:u w:val="single"/>
        </w:rPr>
        <w:lastRenderedPageBreak/>
        <w:t>individual y justificativo que indica los sueldos de los trabajadores, incluyendo las prestaciones y deducciones correspondientes</w:t>
      </w:r>
      <w:r>
        <w:rPr>
          <w:rFonts w:ascii="Palatino Linotype" w:eastAsia="Palatino Linotype" w:hAnsi="Palatino Linotype" w:cs="Palatino Linotype"/>
          <w:b/>
        </w:rPr>
        <w:t>.</w:t>
      </w:r>
    </w:p>
    <w:p w:rsidR="00124FD1" w:rsidRDefault="00124FD1" w:rsidP="00124FD1">
      <w:pPr>
        <w:spacing w:line="360" w:lineRule="auto"/>
        <w:contextualSpacing/>
        <w:jc w:val="both"/>
        <w:rPr>
          <w:rFonts w:ascii="Palatino Linotype" w:eastAsia="Palatino Linotype" w:hAnsi="Palatino Linotype" w:cs="Palatino Linotype"/>
        </w:rPr>
      </w:pPr>
    </w:p>
    <w:p w:rsidR="00BA4537" w:rsidRDefault="00BA4537" w:rsidP="00124FD1">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De la misma manera, el Glosario de términos más usuales en la Administración Pública Federal, emitido por la Secretarí</w:t>
      </w:r>
      <w:r w:rsidR="00124FD1">
        <w:rPr>
          <w:rFonts w:ascii="Palatino Linotype" w:eastAsia="Palatino Linotype" w:hAnsi="Palatino Linotype" w:cs="Palatino Linotype"/>
        </w:rPr>
        <w:t xml:space="preserve">a de Hacienda y Crédito Público </w:t>
      </w:r>
      <w:r>
        <w:rPr>
          <w:rFonts w:ascii="Palatino Linotype" w:eastAsia="Palatino Linotype" w:hAnsi="Palatino Linotype" w:cs="Palatino Linotype"/>
        </w:rPr>
        <w:t>(</w:t>
      </w:r>
      <w:r w:rsidRPr="00124FD1">
        <w:rPr>
          <w:rFonts w:ascii="Palatino Linotype" w:eastAsia="Palatino Linotype" w:hAnsi="Palatino Linotype" w:cs="Palatino Linotype"/>
          <w:i/>
        </w:rPr>
        <w:t>http://www.apartados.hacienda.gob.mx/contabilidad/documentos/inform</w:t>
      </w:r>
      <w:r w:rsidR="00124FD1" w:rsidRPr="00124FD1">
        <w:rPr>
          <w:rFonts w:ascii="Palatino Linotype" w:eastAsia="Palatino Linotype" w:hAnsi="Palatino Linotype" w:cs="Palatino Linotype"/>
          <w:i/>
        </w:rPr>
        <w:br/>
      </w:r>
      <w:proofErr w:type="spellStart"/>
      <w:r w:rsidRPr="00124FD1">
        <w:rPr>
          <w:rFonts w:ascii="Palatino Linotype" w:eastAsia="Palatino Linotype" w:hAnsi="Palatino Linotype" w:cs="Palatino Linotype"/>
          <w:i/>
        </w:rPr>
        <w:t>e_cuenta</w:t>
      </w:r>
      <w:proofErr w:type="spellEnd"/>
      <w:r w:rsidRPr="00124FD1">
        <w:rPr>
          <w:rFonts w:ascii="Palatino Linotype" w:eastAsia="Palatino Linotype" w:hAnsi="Palatino Linotype" w:cs="Palatino Linotype"/>
          <w:i/>
        </w:rPr>
        <w:t>/1998/</w:t>
      </w:r>
      <w:proofErr w:type="spellStart"/>
      <w:r w:rsidRPr="00124FD1">
        <w:rPr>
          <w:rFonts w:ascii="Palatino Linotype" w:eastAsia="Palatino Linotype" w:hAnsi="Palatino Linotype" w:cs="Palatino Linotype"/>
          <w:i/>
        </w:rPr>
        <w:t>cuenta_publica</w:t>
      </w:r>
      <w:proofErr w:type="spellEnd"/>
      <w:r w:rsidRPr="00124FD1">
        <w:rPr>
          <w:rFonts w:ascii="Palatino Linotype" w:eastAsia="Palatino Linotype" w:hAnsi="Palatino Linotype" w:cs="Palatino Linotype"/>
          <w:i/>
        </w:rPr>
        <w:t>/Glosario/n.htm</w:t>
      </w:r>
      <w:r w:rsidR="00124FD1">
        <w:rPr>
          <w:rFonts w:ascii="Palatino Linotype" w:eastAsia="Palatino Linotype" w:hAnsi="Palatino Linotype" w:cs="Palatino Linotype"/>
        </w:rPr>
        <w:t>)</w:t>
      </w:r>
      <w:r>
        <w:rPr>
          <w:rFonts w:ascii="Palatino Linotype" w:eastAsia="Palatino Linotype" w:hAnsi="Palatino Linotype" w:cs="Palatino Linotype"/>
        </w:rPr>
        <w:t xml:space="preserve">, establece que la nómina es un listado general de los trabajadores de una institución, en el cual se asientan las percepciones brutas, deducciones y alcance neto de las mismas. </w:t>
      </w:r>
    </w:p>
    <w:p w:rsidR="00124FD1" w:rsidRDefault="00124FD1" w:rsidP="00124FD1">
      <w:pPr>
        <w:pStyle w:val="Prrafodelista"/>
        <w:rPr>
          <w:rFonts w:ascii="Palatino Linotype" w:eastAsia="Palatino Linotype" w:hAnsi="Palatino Linotype" w:cs="Palatino Linotype"/>
        </w:rPr>
      </w:pPr>
    </w:p>
    <w:p w:rsidR="00BA4537" w:rsidRDefault="00BA4537" w:rsidP="00124FD1">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anterior, se puede advertir que la nómina se puede referir a lo siguiente: </w:t>
      </w:r>
    </w:p>
    <w:p w:rsidR="00124FD1" w:rsidRDefault="00124FD1" w:rsidP="00124FD1">
      <w:pPr>
        <w:pStyle w:val="Prrafodelista"/>
        <w:rPr>
          <w:rFonts w:ascii="Palatino Linotype" w:eastAsia="Palatino Linotype" w:hAnsi="Palatino Linotype" w:cs="Palatino Linotype"/>
        </w:rPr>
      </w:pPr>
    </w:p>
    <w:p w:rsidR="00BA4537" w:rsidRDefault="00BA4537" w:rsidP="00124FD1">
      <w:pPr>
        <w:spacing w:after="16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xml:space="preserve">a) Relación de trabajadores con las percepciones monetarias de cada uno. </w:t>
      </w:r>
    </w:p>
    <w:p w:rsidR="00124FD1" w:rsidRDefault="00BA4537" w:rsidP="00124FD1">
      <w:pPr>
        <w:spacing w:after="16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xml:space="preserve">b) Recibo individual que contiene las prestaciones </w:t>
      </w:r>
      <w:r w:rsidR="00124FD1">
        <w:rPr>
          <w:rFonts w:ascii="Palatino Linotype" w:eastAsia="Palatino Linotype" w:hAnsi="Palatino Linotype" w:cs="Palatino Linotype"/>
        </w:rPr>
        <w:t>y deducciones de un trabajador.</w:t>
      </w:r>
    </w:p>
    <w:p w:rsidR="00BA4537" w:rsidRDefault="00BA4537" w:rsidP="00124FD1">
      <w:pPr>
        <w:spacing w:after="16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c) Listado general de los servidores públicos de una institución o dependencia, en el cual se asientan las percepciones brutas, deducciones y alcance neto de las mismas.</w:t>
      </w:r>
    </w:p>
    <w:p w:rsidR="00BA4537" w:rsidRDefault="00BA4537" w:rsidP="00124FD1">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artículo 32, párrafo segundo, de la Ley de Fiscalización Superior del Estado de México, establece que los Presidentes Municipales, presentarán a la Legislatura los informes mensuales, dentro de los veinte días posteriores al término del mes correspondiente. </w:t>
      </w:r>
    </w:p>
    <w:p w:rsidR="00124FD1" w:rsidRDefault="00124FD1" w:rsidP="00124FD1">
      <w:pPr>
        <w:spacing w:line="360" w:lineRule="auto"/>
        <w:contextualSpacing/>
        <w:jc w:val="both"/>
        <w:rPr>
          <w:rFonts w:ascii="Palatino Linotype" w:eastAsia="Palatino Linotype" w:hAnsi="Palatino Linotype" w:cs="Palatino Linotype"/>
        </w:rPr>
      </w:pPr>
    </w:p>
    <w:p w:rsidR="00BA4537" w:rsidRDefault="00BA4537" w:rsidP="00124FD1">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entendido, el diverso 8°, fracciones XI y XIV, de dicho ordenamiento jurídico, establece que el Órgano Superior de Fiscalización del Estado de México, será el encargado de establecer los lineamientos necesarios para la elaboración de los informes mensuales; además que verificará que dichos informes hayan sido presentados confor</w:t>
      </w:r>
      <w:r w:rsidR="00124FD1">
        <w:rPr>
          <w:rFonts w:ascii="Palatino Linotype" w:eastAsia="Palatino Linotype" w:hAnsi="Palatino Linotype" w:cs="Palatino Linotype"/>
        </w:rPr>
        <w:t>me a la normatividad aplicable.</w:t>
      </w:r>
    </w:p>
    <w:p w:rsidR="00124FD1" w:rsidRDefault="00124FD1" w:rsidP="00124FD1">
      <w:pPr>
        <w:pStyle w:val="Prrafodelista"/>
        <w:rPr>
          <w:rFonts w:ascii="Palatino Linotype" w:eastAsia="Palatino Linotype" w:hAnsi="Palatino Linotype" w:cs="Palatino Linotype"/>
        </w:rPr>
      </w:pPr>
    </w:p>
    <w:p w:rsidR="00BA4537" w:rsidRDefault="00BA4537" w:rsidP="00124FD1">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Al respecto, el artículo 350 del Código Financiero del Estado de México y Municipios, establece que, dentro de los primeros veinte días hábiles, las Tesorerías Municipales, enviarán para su análisis y evaluación al Órgano Superior de Fiscalización del Estado de México, la información Patrimonial, Presupuestal, de la Obra Pública y de Nómina, en los términos siguientes:</w:t>
      </w:r>
    </w:p>
    <w:p w:rsidR="00BA4537" w:rsidRDefault="00BA4537" w:rsidP="00BA4537">
      <w:pPr>
        <w:spacing w:line="360" w:lineRule="auto"/>
        <w:ind w:right="49"/>
        <w:jc w:val="both"/>
        <w:rPr>
          <w:rFonts w:ascii="Palatino Linotype" w:eastAsia="Palatino Linotype" w:hAnsi="Palatino Linotype" w:cs="Palatino Linotype"/>
        </w:rPr>
      </w:pPr>
    </w:p>
    <w:p w:rsidR="00BA4537" w:rsidRDefault="00BA4537" w:rsidP="00124FD1">
      <w:pPr>
        <w:spacing w:line="360"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350.-</w:t>
      </w:r>
      <w:r>
        <w:rPr>
          <w:rFonts w:ascii="Palatino Linotype" w:eastAsia="Palatino Linotype" w:hAnsi="Palatino Linotype" w:cs="Palatino Linotype"/>
          <w:i/>
          <w:sz w:val="22"/>
          <w:szCs w:val="22"/>
        </w:rPr>
        <w:t xml:space="preserve"> Mensualmente dentro de los primeros veinte días hábiles, la Secretaría y </w:t>
      </w:r>
      <w:r>
        <w:rPr>
          <w:rFonts w:ascii="Palatino Linotype" w:eastAsia="Palatino Linotype" w:hAnsi="Palatino Linotype" w:cs="Palatino Linotype"/>
          <w:b/>
          <w:i/>
          <w:sz w:val="22"/>
          <w:szCs w:val="22"/>
        </w:rPr>
        <w:t>las Tesorerías, enviarán para su análisis y evaluación</w:t>
      </w:r>
      <w:r>
        <w:rPr>
          <w:rFonts w:ascii="Palatino Linotype" w:eastAsia="Palatino Linotype" w:hAnsi="Palatino Linotype" w:cs="Palatino Linotype"/>
          <w:i/>
          <w:sz w:val="22"/>
          <w:szCs w:val="22"/>
        </w:rPr>
        <w:t xml:space="preserve"> al Órgano Superior de Fiscalización del Estado de México, la siguiente información:</w:t>
      </w:r>
    </w:p>
    <w:p w:rsidR="00BA4537" w:rsidRDefault="00BA4537" w:rsidP="00BA4537">
      <w:pPr>
        <w:spacing w:line="276" w:lineRule="auto"/>
        <w:ind w:left="851" w:right="849"/>
        <w:jc w:val="both"/>
        <w:rPr>
          <w:rFonts w:ascii="Palatino Linotype" w:eastAsia="Palatino Linotype" w:hAnsi="Palatino Linotype" w:cs="Palatino Linotype"/>
          <w:i/>
          <w:sz w:val="22"/>
          <w:szCs w:val="22"/>
        </w:rPr>
      </w:pPr>
    </w:p>
    <w:p w:rsidR="00BA4537" w:rsidRDefault="00BA4537" w:rsidP="00BA4537">
      <w:pPr>
        <w:spacing w:line="276" w:lineRule="auto"/>
        <w:ind w:left="851" w:right="8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Información patrimonial.</w:t>
      </w:r>
    </w:p>
    <w:p w:rsidR="00BA4537" w:rsidRDefault="00BA4537" w:rsidP="00BA4537">
      <w:pPr>
        <w:spacing w:line="276" w:lineRule="auto"/>
        <w:ind w:left="851" w:right="8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Información presupuestal.</w:t>
      </w:r>
    </w:p>
    <w:p w:rsidR="00BA4537" w:rsidRDefault="00BA4537" w:rsidP="00BA4537">
      <w:pPr>
        <w:spacing w:line="276" w:lineRule="auto"/>
        <w:ind w:left="851" w:right="84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III. Información de la obra pública.</w:t>
      </w:r>
    </w:p>
    <w:p w:rsidR="00BA4537" w:rsidRDefault="00BA4537" w:rsidP="00BA4537">
      <w:pPr>
        <w:spacing w:line="276" w:lineRule="auto"/>
        <w:ind w:left="851" w:right="84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IV. Información de nómina.”</w:t>
      </w:r>
    </w:p>
    <w:p w:rsidR="00BA4537" w:rsidRDefault="00BA4537" w:rsidP="00BA4537">
      <w:pPr>
        <w:spacing w:after="160" w:line="360" w:lineRule="auto"/>
        <w:jc w:val="both"/>
        <w:rPr>
          <w:rFonts w:ascii="Palatino Linotype" w:eastAsia="Palatino Linotype" w:hAnsi="Palatino Linotype" w:cs="Palatino Linotype"/>
        </w:rPr>
      </w:pPr>
    </w:p>
    <w:p w:rsidR="00BA4537" w:rsidRDefault="00BA4537" w:rsidP="0051715A">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las Políticas para la Integración del Informe Trimestral de los Sujetos de Fiscalización Estatales para el ejercicio fiscal </w:t>
      </w:r>
      <w:proofErr w:type="gramStart"/>
      <w:r>
        <w:rPr>
          <w:rFonts w:ascii="Palatino Linotype" w:eastAsia="Palatino Linotype" w:hAnsi="Palatino Linotype" w:cs="Palatino Linotype"/>
        </w:rPr>
        <w:t>dos mil veintiuno</w:t>
      </w:r>
      <w:r w:rsidR="0051715A">
        <w:rPr>
          <w:rFonts w:ascii="Palatino Linotype" w:eastAsia="Palatino Linotype" w:hAnsi="Palatino Linotype" w:cs="Palatino Linotype"/>
        </w:rPr>
        <w:t xml:space="preserve"> traído</w:t>
      </w:r>
      <w:proofErr w:type="gramEnd"/>
      <w:r w:rsidR="0051715A">
        <w:rPr>
          <w:rFonts w:ascii="Palatino Linotype" w:eastAsia="Palatino Linotype" w:hAnsi="Palatino Linotype" w:cs="Palatino Linotype"/>
        </w:rPr>
        <w:t xml:space="preserve"> a contexto a manera de ejemplo ya que es uno de los tres ejercicios fiscales solicitados</w:t>
      </w:r>
      <w:r>
        <w:rPr>
          <w:rFonts w:ascii="Palatino Linotype" w:eastAsia="Palatino Linotype" w:hAnsi="Palatino Linotype" w:cs="Palatino Linotype"/>
        </w:rPr>
        <w:t xml:space="preserve">, entre los formatos que maneja en el Módulo 4, se advierte que se </w:t>
      </w:r>
      <w:r>
        <w:rPr>
          <w:rFonts w:ascii="Palatino Linotype" w:eastAsia="Palatino Linotype" w:hAnsi="Palatino Linotype" w:cs="Palatino Linotype"/>
        </w:rPr>
        <w:lastRenderedPageBreak/>
        <w:t>encuentra la Conciliación de Nómina Mensual, mismo que será integrado de manera mensual, tal como se muestra a continuación:</w:t>
      </w:r>
    </w:p>
    <w:p w:rsidR="00BA4537" w:rsidRDefault="00BA4537" w:rsidP="0051715A">
      <w:pPr>
        <w:spacing w:line="360" w:lineRule="auto"/>
        <w:jc w:val="both"/>
      </w:pPr>
      <w:r>
        <w:object w:dxaOrig="8790"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62.2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PBrush" ShapeID="_x0000_i1025" DrawAspect="Content" ObjectID="_1719072048" r:id="rId12"/>
        </w:object>
      </w:r>
    </w:p>
    <w:p w:rsidR="0051715A" w:rsidRDefault="0051715A" w:rsidP="0051715A">
      <w:pPr>
        <w:spacing w:line="360" w:lineRule="auto"/>
        <w:jc w:val="both"/>
      </w:pPr>
    </w:p>
    <w:p w:rsidR="00BA4537" w:rsidRPr="0051715A" w:rsidRDefault="00BA4537" w:rsidP="00E45928">
      <w:pPr>
        <w:numPr>
          <w:ilvl w:val="0"/>
          <w:numId w:val="15"/>
        </w:numPr>
        <w:pBdr>
          <w:top w:val="nil"/>
          <w:left w:val="nil"/>
          <w:bottom w:val="nil"/>
          <w:right w:val="nil"/>
          <w:between w:val="nil"/>
        </w:pBdr>
        <w:spacing w:before="280" w:after="280" w:line="360" w:lineRule="auto"/>
        <w:ind w:left="0" w:firstLine="0"/>
        <w:contextualSpacing/>
        <w:jc w:val="both"/>
        <w:rPr>
          <w:color w:val="000000"/>
        </w:rPr>
      </w:pPr>
      <w:r w:rsidRPr="0051715A">
        <w:rPr>
          <w:rFonts w:ascii="Palatino Linotype" w:eastAsia="Palatino Linotype" w:hAnsi="Palatino Linotype" w:cs="Palatino Linotype"/>
          <w:color w:val="000000"/>
        </w:rPr>
        <w:t>Ahora bien, los “Lineamientos para la Integración del Informe Mensual Municipal”, emitidos por el Órgano Superior de Fiscalización del Estado de México, OSFEM, en c</w:t>
      </w:r>
      <w:r w:rsidR="0051715A">
        <w:rPr>
          <w:rFonts w:ascii="Palatino Linotype" w:eastAsia="Palatino Linotype" w:hAnsi="Palatino Linotype" w:cs="Palatino Linotype"/>
          <w:color w:val="000000"/>
        </w:rPr>
        <w:t>ada ejercicio fiscal,</w:t>
      </w:r>
      <w:r w:rsidRPr="0051715A">
        <w:rPr>
          <w:rFonts w:ascii="Palatino Linotype" w:eastAsia="Palatino Linotype" w:hAnsi="Palatino Linotype" w:cs="Palatino Linotype"/>
          <w:color w:val="000000"/>
        </w:rPr>
        <w:t xml:space="preserve"> definen los criterios, formatos, documentación necesaria para presentar los informes mensuales por parte de los Sujetos Obligados; homologar la información y </w:t>
      </w:r>
      <w:proofErr w:type="spellStart"/>
      <w:r w:rsidRPr="0051715A">
        <w:rPr>
          <w:rFonts w:ascii="Palatino Linotype" w:eastAsia="Palatino Linotype" w:hAnsi="Palatino Linotype" w:cs="Palatino Linotype"/>
          <w:color w:val="000000"/>
        </w:rPr>
        <w:t>eficientar</w:t>
      </w:r>
      <w:proofErr w:type="spellEnd"/>
      <w:r w:rsidRPr="0051715A">
        <w:rPr>
          <w:rFonts w:ascii="Palatino Linotype" w:eastAsia="Palatino Linotype" w:hAnsi="Palatino Linotype" w:cs="Palatino Linotype"/>
          <w:color w:val="000000"/>
        </w:rPr>
        <w:t xml:space="preserve"> la fiscalización; su contenido se divide en: presentación, objetivo, marco legal de actuación, disposiciones generales, disposiciones específicas, procedimiento para la fiscalización del informe mensual, así como el proceso de integración del informe que se envía al OSFEM en 6 discos, entre los qu</w:t>
      </w:r>
      <w:r w:rsidR="0051715A">
        <w:rPr>
          <w:rFonts w:ascii="Palatino Linotype" w:eastAsia="Palatino Linotype" w:hAnsi="Palatino Linotype" w:cs="Palatino Linotype"/>
          <w:color w:val="000000"/>
        </w:rPr>
        <w:t xml:space="preserve">e se destaca el 4 que contiene </w:t>
      </w:r>
      <w:r w:rsidRPr="0051715A">
        <w:rPr>
          <w:rFonts w:ascii="Palatino Linotype" w:eastAsia="Palatino Linotype" w:hAnsi="Palatino Linotype" w:cs="Palatino Linotype"/>
          <w:color w:val="000000"/>
        </w:rPr>
        <w:t>l</w:t>
      </w:r>
      <w:r w:rsidR="0051715A">
        <w:rPr>
          <w:rFonts w:ascii="Palatino Linotype" w:eastAsia="Palatino Linotype" w:hAnsi="Palatino Linotype" w:cs="Palatino Linotype"/>
          <w:color w:val="000000"/>
        </w:rPr>
        <w:t>os</w:t>
      </w:r>
      <w:r w:rsidRPr="0051715A">
        <w:rPr>
          <w:rFonts w:ascii="Palatino Linotype" w:eastAsia="Palatino Linotype" w:hAnsi="Palatino Linotype" w:cs="Palatino Linotype"/>
          <w:color w:val="000000"/>
        </w:rPr>
        <w:t xml:space="preserve"> </w:t>
      </w:r>
      <w:r w:rsidR="0051715A">
        <w:rPr>
          <w:rFonts w:ascii="Palatino Linotype" w:eastAsia="Palatino Linotype" w:hAnsi="Palatino Linotype" w:cs="Palatino Linotype"/>
          <w:i/>
          <w:color w:val="000000"/>
        </w:rPr>
        <w:t>recibos de nómina</w:t>
      </w:r>
      <w:r w:rsidRPr="0051715A">
        <w:rPr>
          <w:rFonts w:ascii="Palatino Linotype" w:eastAsia="Palatino Linotype" w:hAnsi="Palatino Linotype" w:cs="Palatino Linotype"/>
          <w:color w:val="000000"/>
        </w:rPr>
        <w:t>; el cual deberá entregar dentro de los 20 días hábiles siguientes terminado el mes, conforme al siguiente orden:</w:t>
      </w:r>
    </w:p>
    <w:p w:rsidR="00BA4537" w:rsidRDefault="00BA4537" w:rsidP="00BA4537">
      <w:pPr>
        <w:pBdr>
          <w:top w:val="nil"/>
          <w:left w:val="nil"/>
          <w:bottom w:val="nil"/>
          <w:right w:val="nil"/>
          <w:between w:val="nil"/>
        </w:pBdr>
        <w:spacing w:before="280" w:after="280"/>
        <w:jc w:val="center"/>
        <w:rPr>
          <w:color w:val="000000"/>
        </w:rPr>
      </w:pPr>
      <w:r>
        <w:rPr>
          <w:rFonts w:ascii="Palatino Linotype" w:eastAsia="Palatino Linotype" w:hAnsi="Palatino Linotype" w:cs="Palatino Linotype"/>
          <w:noProof/>
          <w:color w:val="000000"/>
          <w:lang w:val="es-ES"/>
        </w:rPr>
        <w:drawing>
          <wp:inline distT="0" distB="0" distL="0" distR="0" wp14:anchorId="29CC730E" wp14:editId="23669E34">
            <wp:extent cx="5191125" cy="1924050"/>
            <wp:effectExtent l="19050" t="19050" r="28575" b="19050"/>
            <wp:docPr id="80" name="image13.png" descr="https://lh5.googleusercontent.com/Hg-TIYGgP5Y7p8lMccLaAzjR1jYg_oRUt_O4yhm-zVNvweDrl4p2U7XkJPCP8Qv4c75WfWwBmZS3Ebsa15kv1yLiJk3AKkO2-4SQHw5bz3TUixJNzPvOc0FTnGOnGsFAkwtzVDbbnhWJW5EmDw"/>
            <wp:cNvGraphicFramePr/>
            <a:graphic xmlns:a="http://schemas.openxmlformats.org/drawingml/2006/main">
              <a:graphicData uri="http://schemas.openxmlformats.org/drawingml/2006/picture">
                <pic:pic xmlns:pic="http://schemas.openxmlformats.org/drawingml/2006/picture">
                  <pic:nvPicPr>
                    <pic:cNvPr id="0" name="image13.png" descr="https://lh5.googleusercontent.com/Hg-TIYGgP5Y7p8lMccLaAzjR1jYg_oRUt_O4yhm-zVNvweDrl4p2U7XkJPCP8Qv4c75WfWwBmZS3Ebsa15kv1yLiJk3AKkO2-4SQHw5bz3TUixJNzPvOc0FTnGOnGsFAkwtzVDbbnhWJW5EmDw"/>
                    <pic:cNvPicPr preferRelativeResize="0"/>
                  </pic:nvPicPr>
                  <pic:blipFill>
                    <a:blip r:embed="rId13"/>
                    <a:srcRect/>
                    <a:stretch>
                      <a:fillRect/>
                    </a:stretch>
                  </pic:blipFill>
                  <pic:spPr>
                    <a:xfrm>
                      <a:off x="0" y="0"/>
                      <a:ext cx="5191125" cy="1924050"/>
                    </a:xfrm>
                    <a:prstGeom prst="rect">
                      <a:avLst/>
                    </a:prstGeom>
                    <a:ln>
                      <a:solidFill>
                        <a:schemeClr val="tx1"/>
                      </a:solidFill>
                    </a:ln>
                  </pic:spPr>
                </pic:pic>
              </a:graphicData>
            </a:graphic>
          </wp:inline>
        </w:drawing>
      </w:r>
    </w:p>
    <w:p w:rsidR="0051715A" w:rsidRDefault="0051715A" w:rsidP="00BA4537">
      <w:pPr>
        <w:pBdr>
          <w:top w:val="nil"/>
          <w:left w:val="nil"/>
          <w:bottom w:val="nil"/>
          <w:right w:val="nil"/>
          <w:between w:val="nil"/>
        </w:pBdr>
        <w:spacing w:before="280" w:after="280"/>
        <w:jc w:val="center"/>
        <w:rPr>
          <w:color w:val="000000"/>
        </w:rPr>
      </w:pPr>
    </w:p>
    <w:p w:rsidR="00BA4537" w:rsidRDefault="00D84DEA" w:rsidP="0051715A">
      <w:pPr>
        <w:numPr>
          <w:ilvl w:val="0"/>
          <w:numId w:val="15"/>
        </w:numPr>
        <w:pBdr>
          <w:top w:val="nil"/>
          <w:left w:val="nil"/>
          <w:bottom w:val="nil"/>
          <w:right w:val="nil"/>
          <w:between w:val="nil"/>
        </w:pBdr>
        <w:spacing w:before="280" w:after="280" w:line="360" w:lineRule="auto"/>
        <w:ind w:left="0" w:firstLine="0"/>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ES"/>
        </w:rPr>
        <w:lastRenderedPageBreak/>
        <mc:AlternateContent>
          <mc:Choice Requires="wps">
            <w:drawing>
              <wp:anchor distT="0" distB="0" distL="114300" distR="114300" simplePos="0" relativeHeight="251675648" behindDoc="0" locked="0" layoutInCell="1" allowOverlap="1">
                <wp:simplePos x="0" y="0"/>
                <wp:positionH relativeFrom="margin">
                  <wp:posOffset>-4801</wp:posOffset>
                </wp:positionH>
                <wp:positionV relativeFrom="paragraph">
                  <wp:posOffset>1434694</wp:posOffset>
                </wp:positionV>
                <wp:extent cx="5779008" cy="6071616"/>
                <wp:effectExtent l="0" t="0" r="31750" b="24765"/>
                <wp:wrapNone/>
                <wp:docPr id="8" name="Conector recto 8"/>
                <wp:cNvGraphicFramePr/>
                <a:graphic xmlns:a="http://schemas.openxmlformats.org/drawingml/2006/main">
                  <a:graphicData uri="http://schemas.microsoft.com/office/word/2010/wordprocessingShape">
                    <wps:wsp>
                      <wps:cNvCnPr/>
                      <wps:spPr>
                        <a:xfrm>
                          <a:off x="0" y="0"/>
                          <a:ext cx="5779008" cy="607161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E5C2D" id="Conector recto 8"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112.95pt" to="454.65pt,5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" strokecolor="black [3200]" strokeweight="1.5pt">
                <v:stroke joinstyle="miter"/>
                <w10:wrap anchorx="margin"/>
              </v:line>
            </w:pict>
          </mc:Fallback>
        </mc:AlternateContent>
      </w:r>
      <w:r w:rsidR="00BA4537">
        <w:rPr>
          <w:rFonts w:ascii="Palatino Linotype" w:eastAsia="Palatino Linotype" w:hAnsi="Palatino Linotype" w:cs="Palatino Linotype"/>
          <w:color w:val="000000"/>
        </w:rPr>
        <w:t>De lo anterior, se advierte que los Ayuntamientos tienen la obligación de entregar al Órgano Superior de Fiscalización del Estado de México, los informes mensuales en los que se incluye la información relativa a</w:t>
      </w:r>
      <w:r w:rsidR="0051715A">
        <w:rPr>
          <w:rFonts w:ascii="Palatino Linotype" w:eastAsia="Palatino Linotype" w:hAnsi="Palatino Linotype" w:cs="Palatino Linotype"/>
          <w:color w:val="000000"/>
        </w:rPr>
        <w:t xml:space="preserve"> </w:t>
      </w:r>
      <w:r w:rsidR="00BA4537">
        <w:rPr>
          <w:rFonts w:ascii="Palatino Linotype" w:eastAsia="Palatino Linotype" w:hAnsi="Palatino Linotype" w:cs="Palatino Linotype"/>
          <w:color w:val="000000"/>
        </w:rPr>
        <w:t>l</w:t>
      </w:r>
      <w:r w:rsidR="0051715A">
        <w:rPr>
          <w:rFonts w:ascii="Palatino Linotype" w:eastAsia="Palatino Linotype" w:hAnsi="Palatino Linotype" w:cs="Palatino Linotype"/>
          <w:color w:val="000000"/>
        </w:rPr>
        <w:t>os</w:t>
      </w:r>
      <w:r w:rsidR="00BA4537">
        <w:rPr>
          <w:rFonts w:ascii="Palatino Linotype" w:eastAsia="Palatino Linotype" w:hAnsi="Palatino Linotype" w:cs="Palatino Linotype"/>
          <w:color w:val="000000"/>
        </w:rPr>
        <w:t xml:space="preserve"> </w:t>
      </w:r>
      <w:r w:rsidR="0051715A">
        <w:rPr>
          <w:rFonts w:ascii="Palatino Linotype" w:eastAsia="Palatino Linotype" w:hAnsi="Palatino Linotype" w:cs="Palatino Linotype"/>
          <w:color w:val="000000"/>
        </w:rPr>
        <w:t>recibos de nómina</w:t>
      </w:r>
      <w:r w:rsidR="00BA4537">
        <w:rPr>
          <w:rFonts w:ascii="Palatino Linotype" w:eastAsia="Palatino Linotype" w:hAnsi="Palatino Linotype" w:cs="Palatino Linotype"/>
          <w:color w:val="000000"/>
        </w:rPr>
        <w:t xml:space="preserve"> en cada ejercicio fiscal</w:t>
      </w:r>
      <w:r w:rsidR="0051715A">
        <w:rPr>
          <w:rFonts w:ascii="Palatino Linotype" w:eastAsia="Palatino Linotype" w:hAnsi="Palatino Linotype" w:cs="Palatino Linotype"/>
          <w:color w:val="000000"/>
        </w:rPr>
        <w:t>.</w:t>
      </w:r>
    </w:p>
    <w:p w:rsidR="00BA4537" w:rsidRDefault="00D84DEA" w:rsidP="00D84DEA">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highlight w:val="green"/>
        </w:rPr>
      </w:pPr>
      <w:r>
        <w:rPr>
          <w:rFonts w:ascii="Times New Roman" w:eastAsia="Times New Roman" w:hAnsi="Times New Roman" w:cs="Times New Roman"/>
          <w:color w:val="000000"/>
        </w:rPr>
        <w:object w:dxaOrig="8790" w:dyaOrig="10860">
          <v:shape id="_x0000_i1026" type="#_x0000_t75" style="width:433.5pt;height:536.2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PBrush" ShapeID="_x0000_i1026" DrawAspect="Content" ObjectID="_1719072049" r:id="rId15"/>
        </w:object>
      </w:r>
    </w:p>
    <w:p w:rsidR="00BA4537" w:rsidRDefault="00BA4537" w:rsidP="00BA453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highlight w:val="green"/>
        </w:rPr>
      </w:pPr>
    </w:p>
    <w:p w:rsidR="00D31FC8" w:rsidRDefault="00BA4537" w:rsidP="00F52E40">
      <w:pPr>
        <w:numPr>
          <w:ilvl w:val="0"/>
          <w:numId w:val="15"/>
        </w:numPr>
        <w:pBdr>
          <w:top w:val="nil"/>
          <w:left w:val="nil"/>
          <w:bottom w:val="nil"/>
          <w:right w:val="nil"/>
          <w:between w:val="nil"/>
        </w:pBdr>
        <w:spacing w:before="280" w:after="280" w:line="360" w:lineRule="auto"/>
        <w:ind w:left="0" w:firstLine="0"/>
        <w:contextualSpacing/>
        <w:jc w:val="both"/>
        <w:rPr>
          <w:rFonts w:ascii="Palatino Linotype" w:hAnsi="Palatino Linotype" w:cs="Arial"/>
          <w:b/>
        </w:rPr>
      </w:pPr>
      <w:r>
        <w:rPr>
          <w:rFonts w:ascii="Palatino Linotype" w:eastAsia="Palatino Linotype" w:hAnsi="Palatino Linotype" w:cs="Palatino Linotype"/>
        </w:rPr>
        <w:lastRenderedPageBreak/>
        <w:t xml:space="preserve">Es </w:t>
      </w:r>
      <w:r w:rsidRPr="00D31FC8">
        <w:rPr>
          <w:rFonts w:ascii="Palatino Linotype" w:eastAsia="Palatino Linotype" w:hAnsi="Palatino Linotype" w:cs="Palatino Linotype"/>
        </w:rPr>
        <w:t xml:space="preserve">por lo anterior que resulta dable revocar la respuesta del </w:t>
      </w:r>
      <w:r w:rsidRPr="00D31FC8">
        <w:rPr>
          <w:rFonts w:ascii="Palatino Linotype" w:eastAsia="Palatino Linotype" w:hAnsi="Palatino Linotype" w:cs="Palatino Linotype"/>
          <w:b/>
        </w:rPr>
        <w:t>Sujeto Obligado</w:t>
      </w:r>
      <w:r w:rsidRPr="00D31FC8">
        <w:rPr>
          <w:rFonts w:ascii="Palatino Linotype" w:eastAsia="Palatino Linotype" w:hAnsi="Palatino Linotype" w:cs="Palatino Linotype"/>
        </w:rPr>
        <w:t xml:space="preserve"> y ordenar</w:t>
      </w:r>
      <w:r w:rsidR="00D31FC8">
        <w:rPr>
          <w:rFonts w:ascii="Palatino Linotype" w:eastAsia="Palatino Linotype" w:hAnsi="Palatino Linotype" w:cs="Palatino Linotype"/>
        </w:rPr>
        <w:t xml:space="preserve"> </w:t>
      </w:r>
      <w:r w:rsidRPr="00D31FC8">
        <w:rPr>
          <w:rFonts w:ascii="Palatino Linotype" w:eastAsia="Palatino Linotype" w:hAnsi="Palatino Linotype" w:cs="Palatino Linotype"/>
        </w:rPr>
        <w:t>l</w:t>
      </w:r>
      <w:r w:rsidR="00D31FC8">
        <w:rPr>
          <w:rFonts w:ascii="Palatino Linotype" w:eastAsia="Palatino Linotype" w:hAnsi="Palatino Linotype" w:cs="Palatino Linotype"/>
        </w:rPr>
        <w:t>a</w:t>
      </w:r>
      <w:r w:rsidRPr="00D31FC8">
        <w:rPr>
          <w:rFonts w:ascii="Palatino Linotype" w:eastAsia="Palatino Linotype" w:hAnsi="Palatino Linotype" w:cs="Palatino Linotype"/>
        </w:rPr>
        <w:t xml:space="preserve"> haga entrega </w:t>
      </w:r>
      <w:r w:rsidR="00D31FC8">
        <w:rPr>
          <w:rFonts w:ascii="Palatino Linotype" w:eastAsia="Palatino Linotype" w:hAnsi="Palatino Linotype" w:cs="Palatino Linotype"/>
        </w:rPr>
        <w:t xml:space="preserve">de los </w:t>
      </w:r>
      <w:r w:rsidR="00D31FC8" w:rsidRPr="00D31FC8">
        <w:rPr>
          <w:rFonts w:ascii="Palatino Linotype" w:eastAsia="Palatino Linotype" w:hAnsi="Palatino Linotype" w:cs="Palatino Linotype"/>
          <w:b/>
        </w:rPr>
        <w:t>r</w:t>
      </w:r>
      <w:r w:rsidR="00D31FC8">
        <w:rPr>
          <w:rFonts w:ascii="Palatino Linotype" w:hAnsi="Palatino Linotype" w:cs="Arial"/>
          <w:b/>
        </w:rPr>
        <w:t>ecibos de n</w:t>
      </w:r>
      <w:r w:rsidR="00D31FC8" w:rsidRPr="000F1081">
        <w:rPr>
          <w:rFonts w:ascii="Palatino Linotype" w:hAnsi="Palatino Linotype" w:cs="Arial"/>
          <w:b/>
        </w:rPr>
        <w:t>ómina del personal adscrito a la</w:t>
      </w:r>
      <w:r w:rsidR="00D31FC8">
        <w:rPr>
          <w:rFonts w:ascii="Palatino Linotype" w:hAnsi="Palatino Linotype" w:cs="Arial"/>
          <w:b/>
        </w:rPr>
        <w:t>s</w:t>
      </w:r>
      <w:r w:rsidR="00D31FC8" w:rsidRPr="000F1081">
        <w:rPr>
          <w:rFonts w:ascii="Palatino Linotype" w:hAnsi="Palatino Linotype" w:cs="Arial"/>
          <w:b/>
        </w:rPr>
        <w:t xml:space="preserve"> áreas</w:t>
      </w:r>
      <w:r w:rsidR="00D31FC8">
        <w:rPr>
          <w:rFonts w:ascii="Palatino Linotype" w:hAnsi="Palatino Linotype" w:cs="Arial"/>
          <w:b/>
        </w:rPr>
        <w:t xml:space="preserve"> de:</w:t>
      </w:r>
      <w:r w:rsidR="00D31FC8" w:rsidRPr="000F1081">
        <w:rPr>
          <w:rFonts w:ascii="Palatino Linotype" w:hAnsi="Palatino Linotype" w:cs="Arial"/>
          <w:b/>
        </w:rPr>
        <w:t xml:space="preserve"> Tesorería Municipal, Presidencia </w:t>
      </w:r>
      <w:r w:rsidR="00D31FC8" w:rsidRPr="00D31FC8">
        <w:rPr>
          <w:rFonts w:ascii="Palatino Linotype" w:hAnsi="Palatino Linotype" w:cs="Arial"/>
          <w:b/>
        </w:rPr>
        <w:t xml:space="preserve">Municipal, Secretaria del Ayuntamiento, Unidad de Transparencia, Obras Públicas, Catastro, y la </w:t>
      </w:r>
      <w:r w:rsidR="00D31FC8" w:rsidRPr="00D31FC8">
        <w:rPr>
          <w:rFonts w:ascii="Palatino Linotype" w:hAnsi="Palatino Linotype"/>
          <w:b/>
        </w:rPr>
        <w:t>Unidad de Información, Planeación, Programación y Evaluación</w:t>
      </w:r>
      <w:r w:rsidR="00D31FC8" w:rsidRPr="00D31FC8">
        <w:rPr>
          <w:rFonts w:ascii="Palatino Linotype" w:hAnsi="Palatino Linotype" w:cs="Arial"/>
          <w:b/>
        </w:rPr>
        <w:t>, de los años 2019 a</w:t>
      </w:r>
      <w:r w:rsidR="00D31FC8">
        <w:rPr>
          <w:rFonts w:ascii="Palatino Linotype" w:hAnsi="Palatino Linotype" w:cs="Arial"/>
          <w:b/>
        </w:rPr>
        <w:t xml:space="preserve"> 2021, cabe destacar que al ser los recibos de nómina generados del 1 de enero al 31 de diciembre de dichos años, naturalmente contendrán los recibos de nómina donde se contengan y adviertan los pagos por concepto de </w:t>
      </w:r>
      <w:r w:rsidR="00D31FC8" w:rsidRPr="00D31FC8">
        <w:rPr>
          <w:rFonts w:ascii="Palatino Linotype" w:hAnsi="Palatino Linotype" w:cs="Arial"/>
          <w:b/>
        </w:rPr>
        <w:t>prima vacacional y aguinaldo</w:t>
      </w:r>
      <w:r w:rsidR="00D31FC8">
        <w:rPr>
          <w:rFonts w:ascii="Palatino Linotype" w:hAnsi="Palatino Linotype" w:cs="Arial"/>
          <w:b/>
        </w:rPr>
        <w:t>, solicitados inicialmente</w:t>
      </w:r>
      <w:r w:rsidR="00F52E40">
        <w:rPr>
          <w:rFonts w:ascii="Palatino Linotype" w:hAnsi="Palatino Linotype" w:cs="Arial"/>
          <w:b/>
        </w:rPr>
        <w:t>, de conformidad con el estudio precedente.</w:t>
      </w:r>
    </w:p>
    <w:p w:rsidR="00D31FC8" w:rsidRPr="007142D6" w:rsidRDefault="00D31FC8" w:rsidP="00D31FC8">
      <w:pPr>
        <w:spacing w:after="160" w:line="360" w:lineRule="auto"/>
        <w:jc w:val="both"/>
        <w:rPr>
          <w:rFonts w:ascii="Palatino Linotype" w:hAnsi="Palatino Linotype" w:cs="Arial"/>
        </w:rPr>
      </w:pPr>
    </w:p>
    <w:p w:rsidR="00680C93" w:rsidRPr="0037157C" w:rsidRDefault="00D31FC8" w:rsidP="0037157C">
      <w:pPr>
        <w:numPr>
          <w:ilvl w:val="0"/>
          <w:numId w:val="15"/>
        </w:numPr>
        <w:spacing w:line="360" w:lineRule="auto"/>
        <w:ind w:left="0" w:firstLine="0"/>
        <w:contextualSpacing/>
        <w:jc w:val="both"/>
        <w:rPr>
          <w:rFonts w:ascii="Palatino Linotype" w:hAnsi="Palatino Linotype" w:cs="Arial"/>
        </w:rPr>
      </w:pPr>
      <w:r>
        <w:rPr>
          <w:rFonts w:ascii="Palatino Linotype" w:hAnsi="Palatino Linotype"/>
          <w:color w:val="000000" w:themeColor="text1"/>
        </w:rPr>
        <w:t>Lo anterior en virtud</w:t>
      </w:r>
      <w:r w:rsidR="00680C93" w:rsidRPr="00F245BA">
        <w:rPr>
          <w:rFonts w:ascii="Palatino Linotype" w:hAnsi="Palatino Linotype" w:cs="Arial"/>
        </w:rPr>
        <w:t>,</w:t>
      </w:r>
      <w:r>
        <w:rPr>
          <w:rFonts w:ascii="Palatino Linotype" w:hAnsi="Palatino Linotype" w:cs="Arial"/>
        </w:rPr>
        <w:t xml:space="preserve"> de que</w:t>
      </w:r>
      <w:r w:rsidR="00680C93" w:rsidRPr="00F245BA">
        <w:rPr>
          <w:rFonts w:ascii="Palatino Linotype" w:hAnsi="Palatino Linotype" w:cs="Arial"/>
        </w:rPr>
        <w:t xml:space="preserve"> el </w:t>
      </w:r>
      <w:r w:rsidR="00002446" w:rsidRPr="00002446">
        <w:rPr>
          <w:rFonts w:ascii="Palatino Linotype" w:hAnsi="Palatino Linotype" w:cs="Arial"/>
          <w:b/>
        </w:rPr>
        <w:t>SUJETO OBLIGADO</w:t>
      </w:r>
      <w:r w:rsidR="00002446" w:rsidRPr="00F245BA">
        <w:rPr>
          <w:rFonts w:ascii="Palatino Linotype" w:hAnsi="Palatino Linotype" w:cs="Arial"/>
        </w:rPr>
        <w:t xml:space="preserve"> </w:t>
      </w:r>
      <w:r>
        <w:rPr>
          <w:rFonts w:ascii="Palatino Linotype" w:hAnsi="Palatino Linotype" w:cs="Arial"/>
        </w:rPr>
        <w:t xml:space="preserve">como ya se mencionó </w:t>
      </w:r>
      <w:r w:rsidR="00680C93" w:rsidRPr="00F245BA">
        <w:rPr>
          <w:rFonts w:ascii="Palatino Linotype" w:hAnsi="Palatino Linotype" w:cs="Arial"/>
        </w:rPr>
        <w:t xml:space="preserve">cuenta con atribuciones para generar, administrar poseer la información solicitada, de conformidad con lo previsto en los artículos </w:t>
      </w:r>
      <w:r w:rsidR="00680C93" w:rsidRPr="00F245BA">
        <w:rPr>
          <w:rFonts w:ascii="Palatino Linotype" w:hAnsi="Palatino Linotype"/>
        </w:rPr>
        <w:t xml:space="preserve">18 y 19 de la Ley de Transparencia y Acceso a la Información Pública del </w:t>
      </w:r>
      <w:r w:rsidR="00680C93" w:rsidRPr="0037157C">
        <w:rPr>
          <w:rFonts w:ascii="Palatino Linotype" w:hAnsi="Palatino Linotype" w:cs="Arial"/>
        </w:rPr>
        <w:t>Estado</w:t>
      </w:r>
      <w:r w:rsidR="00680C93" w:rsidRPr="00F245BA">
        <w:rPr>
          <w:rFonts w:ascii="Palatino Linotype" w:hAnsi="Palatino Linotype"/>
        </w:rPr>
        <w:t xml:space="preserve"> de México y Municipios, que disponen lo siguiente:</w:t>
      </w:r>
    </w:p>
    <w:p w:rsidR="0037157C" w:rsidRPr="00F245BA" w:rsidRDefault="0037157C" w:rsidP="0037157C">
      <w:pPr>
        <w:spacing w:line="360" w:lineRule="auto"/>
        <w:contextualSpacing/>
        <w:jc w:val="both"/>
        <w:rPr>
          <w:rFonts w:ascii="Palatino Linotype" w:hAnsi="Palatino Linotype" w:cs="Arial"/>
        </w:rPr>
      </w:pPr>
    </w:p>
    <w:p w:rsidR="00680C93" w:rsidRDefault="00680C93" w:rsidP="009E68D3">
      <w:pPr>
        <w:spacing w:line="360" w:lineRule="auto"/>
        <w:ind w:left="567" w:right="618"/>
        <w:jc w:val="both"/>
        <w:rPr>
          <w:rFonts w:ascii="Palatino Linotype" w:hAnsi="Palatino Linotype"/>
          <w:i/>
        </w:rPr>
      </w:pPr>
      <w:r w:rsidRPr="002278CF">
        <w:rPr>
          <w:rFonts w:ascii="Palatino Linotype" w:hAnsi="Palatino Linotype"/>
          <w:b/>
          <w:i/>
        </w:rPr>
        <w:t>“Artículo 18.</w:t>
      </w:r>
      <w:r w:rsidRPr="002278CF">
        <w:rPr>
          <w:rFonts w:ascii="Palatino Linotype" w:hAnsi="Palatino Linotype"/>
          <w:i/>
        </w:rPr>
        <w:t xml:space="preserve"> Los sujetos obligados deberán documentar todo acto que derive del ejercicio de sus facultades, competencias o funciones, considerando desde su origen la eventual publicidad y reutilización de la información que generen. </w:t>
      </w:r>
    </w:p>
    <w:p w:rsidR="00002446" w:rsidRPr="002278CF" w:rsidRDefault="00002446" w:rsidP="009E68D3">
      <w:pPr>
        <w:spacing w:line="360" w:lineRule="auto"/>
        <w:ind w:left="567" w:right="618"/>
        <w:jc w:val="both"/>
        <w:rPr>
          <w:rFonts w:ascii="Palatino Linotype" w:hAnsi="Palatino Linotype"/>
          <w:i/>
        </w:rPr>
      </w:pPr>
    </w:p>
    <w:p w:rsidR="00680C93" w:rsidRPr="002278CF" w:rsidRDefault="00680C93" w:rsidP="009E68D3">
      <w:pPr>
        <w:spacing w:line="360" w:lineRule="auto"/>
        <w:ind w:left="567" w:right="618"/>
        <w:jc w:val="both"/>
        <w:rPr>
          <w:rFonts w:ascii="Palatino Linotype" w:hAnsi="Palatino Linotype"/>
          <w:i/>
        </w:rPr>
      </w:pPr>
      <w:r w:rsidRPr="002278CF">
        <w:rPr>
          <w:rFonts w:ascii="Palatino Linotype" w:hAnsi="Palatino Linotype"/>
          <w:b/>
          <w:i/>
        </w:rPr>
        <w:t>Artículo 19.</w:t>
      </w:r>
      <w:r w:rsidRPr="002278CF">
        <w:rPr>
          <w:rFonts w:ascii="Palatino Linotype" w:hAnsi="Palatino Linotype"/>
          <w:i/>
        </w:rPr>
        <w:t xml:space="preserve"> Se presume que la información debe existir si se refiere a las facultades, competencias y funciones que los ordenamientos jurídicos aplicables otorgan a los sujetos obligados. </w:t>
      </w:r>
    </w:p>
    <w:p w:rsidR="00680C93" w:rsidRDefault="00680C93" w:rsidP="009E68D3">
      <w:pPr>
        <w:spacing w:line="360" w:lineRule="auto"/>
        <w:ind w:left="567" w:right="618"/>
        <w:jc w:val="both"/>
        <w:rPr>
          <w:rFonts w:ascii="Palatino Linotype" w:hAnsi="Palatino Linotype"/>
          <w:i/>
        </w:rPr>
      </w:pPr>
      <w:r w:rsidRPr="002278CF">
        <w:rPr>
          <w:rFonts w:ascii="Palatino Linotype" w:hAnsi="Palatino Linotype"/>
          <w:i/>
        </w:rPr>
        <w:lastRenderedPageBreak/>
        <w:t>En los casos en que ciertas facultades, competencias o funciones no se hayan ejercido, se debe motivar la respuesta en función de las causas que motiven tal circunstancia…”</w:t>
      </w:r>
    </w:p>
    <w:p w:rsidR="009E68D3" w:rsidRDefault="009E68D3" w:rsidP="009E68D3">
      <w:pPr>
        <w:spacing w:line="360" w:lineRule="auto"/>
        <w:ind w:left="567" w:right="618"/>
        <w:jc w:val="both"/>
        <w:rPr>
          <w:rFonts w:ascii="Palatino Linotype" w:hAnsi="Palatino Linotype"/>
          <w:i/>
        </w:rPr>
      </w:pPr>
    </w:p>
    <w:p w:rsidR="00680C93" w:rsidRDefault="00680C93" w:rsidP="00002446">
      <w:pPr>
        <w:numPr>
          <w:ilvl w:val="0"/>
          <w:numId w:val="15"/>
        </w:numPr>
        <w:spacing w:line="360" w:lineRule="auto"/>
        <w:ind w:left="0" w:firstLine="0"/>
        <w:contextualSpacing/>
        <w:jc w:val="both"/>
        <w:rPr>
          <w:rFonts w:ascii="Palatino Linotype" w:hAnsi="Palatino Linotype" w:cs="Arial"/>
        </w:rPr>
      </w:pPr>
      <w:r w:rsidRPr="00FC7E81">
        <w:rPr>
          <w:rFonts w:ascii="Palatino Linotype" w:hAnsi="Palatino Linotype" w:cs="Arial"/>
        </w:rPr>
        <w:t xml:space="preserve">Dicho de otro modo, se actualizan los principios de presunción de existencia y el principio de documentar que corresponde a los sujetos obligados cuando se refiere a las facultades, competencias o funciones que tienen encomendadas, así como a la obligatoriedad que tienen los funcionarios de documentar el ejercicio de sus atribuciones y funciones. </w:t>
      </w:r>
    </w:p>
    <w:p w:rsidR="00680C93" w:rsidRPr="00FC7E81" w:rsidRDefault="00680C93" w:rsidP="00680C93">
      <w:pPr>
        <w:pStyle w:val="Prrafodelista"/>
        <w:spacing w:line="360" w:lineRule="auto"/>
        <w:ind w:left="426" w:right="142"/>
        <w:jc w:val="both"/>
        <w:rPr>
          <w:rFonts w:ascii="Palatino Linotype" w:hAnsi="Palatino Linotype" w:cs="Arial"/>
        </w:rPr>
      </w:pPr>
    </w:p>
    <w:p w:rsidR="00680C93" w:rsidRPr="00002446" w:rsidRDefault="00680C93" w:rsidP="00002446">
      <w:pPr>
        <w:numPr>
          <w:ilvl w:val="0"/>
          <w:numId w:val="15"/>
        </w:numPr>
        <w:spacing w:line="360" w:lineRule="auto"/>
        <w:ind w:left="0" w:firstLine="0"/>
        <w:contextualSpacing/>
        <w:jc w:val="both"/>
        <w:rPr>
          <w:rFonts w:ascii="Palatino Linotype" w:eastAsia="Times New Roman" w:hAnsi="Palatino Linotype" w:cs="Arial"/>
          <w:lang w:val="es-ES" w:eastAsia="es-MX"/>
        </w:rPr>
      </w:pPr>
      <w:r w:rsidRPr="008B00F7">
        <w:rPr>
          <w:rFonts w:ascii="Palatino Linotype" w:eastAsia="Times New Roman" w:hAnsi="Palatino Linotype" w:cs="Arial"/>
          <w:lang w:val="es-ES" w:eastAsia="es-MX"/>
        </w:rPr>
        <w:t xml:space="preserve">De la misma forma, </w:t>
      </w:r>
      <w:r w:rsidRPr="008B00F7">
        <w:rPr>
          <w:rFonts w:ascii="Palatino Linotype" w:eastAsia="MS Mincho" w:hAnsi="Palatino Linotype" w:cs="Times New Roman"/>
        </w:rPr>
        <w:t>de acuerdo al contenido del artículo 160</w:t>
      </w:r>
      <w:r w:rsidRPr="008B00F7">
        <w:rPr>
          <w:rFonts w:ascii="Palatino Linotype" w:eastAsia="Times New Roman" w:hAnsi="Palatino Linotype" w:cs="Arial"/>
        </w:rPr>
        <w:t xml:space="preserve"> de la Ley </w:t>
      </w:r>
      <w:r w:rsidRPr="008B00F7">
        <w:rPr>
          <w:rFonts w:ascii="Palatino Linotype" w:eastAsia="MS Mincho" w:hAnsi="Palatino Linotype" w:cs="Tahoma"/>
        </w:rPr>
        <w:t xml:space="preserve">General de </w:t>
      </w:r>
      <w:r w:rsidRPr="00002446">
        <w:rPr>
          <w:rFonts w:ascii="Palatino Linotype" w:hAnsi="Palatino Linotype" w:cs="Arial"/>
        </w:rPr>
        <w:t>Transparencia</w:t>
      </w:r>
      <w:r w:rsidRPr="008B00F7">
        <w:rPr>
          <w:rFonts w:ascii="Palatino Linotype" w:eastAsia="MS Mincho" w:hAnsi="Palatino Linotype" w:cs="Tahoma"/>
        </w:rPr>
        <w:t xml:space="preserve"> y Acceso a la Información Pública que a la letra dispone:</w:t>
      </w:r>
    </w:p>
    <w:p w:rsidR="00002446" w:rsidRDefault="00002446" w:rsidP="00002446">
      <w:pPr>
        <w:pStyle w:val="Prrafodelista"/>
        <w:rPr>
          <w:rFonts w:ascii="Palatino Linotype" w:eastAsia="Times New Roman" w:hAnsi="Palatino Linotype" w:cs="Arial"/>
          <w:lang w:val="es-ES" w:eastAsia="es-MX"/>
        </w:rPr>
      </w:pPr>
    </w:p>
    <w:p w:rsidR="00680C93" w:rsidRDefault="00680C93" w:rsidP="00D31FC8">
      <w:pPr>
        <w:spacing w:line="360" w:lineRule="auto"/>
        <w:ind w:left="709" w:right="616"/>
        <w:contextualSpacing/>
        <w:jc w:val="both"/>
        <w:rPr>
          <w:rFonts w:ascii="Palatino Linotype" w:eastAsia="Times New Roman" w:hAnsi="Palatino Linotype" w:cs="Arial"/>
          <w:i/>
          <w:lang w:eastAsia="gl-ES"/>
        </w:rPr>
      </w:pPr>
      <w:r w:rsidRPr="00FC7E81">
        <w:rPr>
          <w:rFonts w:ascii="Palatino Linotype" w:eastAsia="Times New Roman" w:hAnsi="Palatino Linotype" w:cs="Arial"/>
          <w:b/>
          <w:i/>
          <w:lang w:eastAsia="gl-ES"/>
        </w:rPr>
        <w:t>Artículo 160</w:t>
      </w:r>
      <w:r w:rsidRPr="00FC7E81">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002446" w:rsidRPr="00203D33" w:rsidRDefault="00002446" w:rsidP="00680C93">
      <w:pPr>
        <w:spacing w:line="360" w:lineRule="auto"/>
        <w:ind w:left="851" w:right="616"/>
        <w:contextualSpacing/>
        <w:jc w:val="both"/>
        <w:rPr>
          <w:rFonts w:ascii="Palatino Linotype" w:eastAsia="Times New Roman" w:hAnsi="Palatino Linotype" w:cs="Arial"/>
          <w:i/>
          <w:lang w:eastAsia="gl-ES"/>
        </w:rPr>
      </w:pPr>
    </w:p>
    <w:p w:rsidR="00680C93" w:rsidRDefault="00680C93" w:rsidP="00002446">
      <w:pPr>
        <w:numPr>
          <w:ilvl w:val="0"/>
          <w:numId w:val="15"/>
        </w:numPr>
        <w:spacing w:line="360" w:lineRule="auto"/>
        <w:ind w:left="0" w:firstLine="0"/>
        <w:contextualSpacing/>
        <w:jc w:val="both"/>
        <w:rPr>
          <w:rFonts w:ascii="Palatino Linotype" w:eastAsia="Calibri" w:hAnsi="Palatino Linotype" w:cs="Arial"/>
        </w:rPr>
      </w:pPr>
      <w:r w:rsidRPr="007238F4">
        <w:rPr>
          <w:rFonts w:ascii="Palatino Linotype" w:eastAsia="Calibri" w:hAnsi="Palatino Linotype" w:cs="Arial"/>
        </w:rPr>
        <w:t xml:space="preserve">Como se puede advertir el derecho del particular de acceder a los documentos que obran en posesión del Sujeto Obligado se encuentra limitado, en virtud de que </w:t>
      </w:r>
      <w:r w:rsidR="00D31FC8">
        <w:rPr>
          <w:rFonts w:ascii="Palatino Linotype" w:eastAsia="Calibri" w:hAnsi="Palatino Linotype" w:cs="Arial"/>
        </w:rPr>
        <w:t xml:space="preserve">no </w:t>
      </w:r>
      <w:r>
        <w:rPr>
          <w:rFonts w:ascii="Palatino Linotype" w:eastAsia="Calibri" w:hAnsi="Palatino Linotype" w:cs="Arial"/>
        </w:rPr>
        <w:t xml:space="preserve">le fue </w:t>
      </w:r>
      <w:r w:rsidR="00D31FC8">
        <w:rPr>
          <w:rFonts w:ascii="Palatino Linotype" w:eastAsia="Calibri" w:hAnsi="Palatino Linotype" w:cs="Arial"/>
        </w:rPr>
        <w:t>entregada</w:t>
      </w:r>
      <w:r>
        <w:rPr>
          <w:rFonts w:ascii="Palatino Linotype" w:eastAsia="Calibri" w:hAnsi="Palatino Linotype" w:cs="Arial"/>
        </w:rPr>
        <w:t xml:space="preserve"> la información;</w:t>
      </w:r>
      <w:r w:rsidRPr="007238F4">
        <w:rPr>
          <w:rFonts w:ascii="Palatino Linotype" w:eastAsia="Calibri" w:hAnsi="Palatino Linotype" w:cs="Arial"/>
        </w:rPr>
        <w:t xml:space="preserve"> incumpliendo así lo previsto en el artículo 4 de la Ley de la Materia, toda vez que el derecho de acceso a la información se define como la prerrogativa que tiene toda persona para acceder a la información generada, </w:t>
      </w:r>
      <w:r w:rsidRPr="007238F4">
        <w:rPr>
          <w:rFonts w:ascii="Palatino Linotype" w:eastAsia="Calibri" w:hAnsi="Palatino Linotype" w:cs="Arial"/>
        </w:rPr>
        <w:lastRenderedPageBreak/>
        <w:t xml:space="preserve">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w:t>
      </w:r>
      <w:r w:rsidRPr="001D5E13">
        <w:rPr>
          <w:rFonts w:ascii="Palatino Linotype" w:eastAsia="Calibri" w:hAnsi="Palatino Linotype" w:cs="Arial"/>
        </w:rPr>
        <w:t>reconocerse como un derecho fundamental es que todo Sujeto Obligado debe ceñir su actuar a la conservación patrimonial de sus archivos documentales y posteriormente el acceso de la información pública.</w:t>
      </w:r>
    </w:p>
    <w:p w:rsidR="00002446" w:rsidRPr="00002446" w:rsidRDefault="00002446" w:rsidP="00002446">
      <w:pPr>
        <w:spacing w:line="360" w:lineRule="auto"/>
        <w:contextualSpacing/>
        <w:jc w:val="both"/>
        <w:rPr>
          <w:rFonts w:ascii="Palatino Linotype" w:hAnsi="Palatino Linotype" w:cs="Arial"/>
        </w:rPr>
      </w:pPr>
    </w:p>
    <w:p w:rsidR="00680C93" w:rsidRDefault="00680C93" w:rsidP="00002446">
      <w:pPr>
        <w:numPr>
          <w:ilvl w:val="0"/>
          <w:numId w:val="15"/>
        </w:numPr>
        <w:spacing w:line="360" w:lineRule="auto"/>
        <w:ind w:left="0" w:firstLine="0"/>
        <w:contextualSpacing/>
        <w:jc w:val="both"/>
        <w:rPr>
          <w:rFonts w:ascii="Palatino Linotype" w:hAnsi="Palatino Linotype" w:cs="Arial"/>
        </w:rPr>
      </w:pPr>
      <w:r w:rsidRPr="00002446">
        <w:rPr>
          <w:rFonts w:ascii="Palatino Linotype" w:eastAsia="Calibri" w:hAnsi="Palatino Linotype" w:cs="Arial"/>
        </w:rPr>
        <w:t>Consecuentemente</w:t>
      </w:r>
      <w:r w:rsidRPr="007238F4">
        <w:rPr>
          <w:rFonts w:ascii="Palatino Linotype" w:hAnsi="Palatino Linotype"/>
        </w:rPr>
        <w:t xml:space="preserve">, no </w:t>
      </w:r>
      <w:r w:rsidR="00D31FC8">
        <w:rPr>
          <w:rFonts w:ascii="Palatino Linotype" w:hAnsi="Palatino Linotype"/>
        </w:rPr>
        <w:t>fue</w:t>
      </w:r>
      <w:r w:rsidRPr="007238F4">
        <w:rPr>
          <w:rFonts w:ascii="Palatino Linotype" w:hAnsi="Palatino Linotype"/>
        </w:rPr>
        <w:t xml:space="preserve"> posible tener por satisfecho el derecho de acceso a la información del hoy recurrente</w:t>
      </w:r>
      <w:r w:rsidRPr="007238F4">
        <w:rPr>
          <w:rFonts w:ascii="Palatino Linotype" w:hAnsi="Palatino Linotype"/>
          <w:b/>
          <w:i/>
        </w:rPr>
        <w:t xml:space="preserve"> </w:t>
      </w:r>
      <w:r w:rsidRPr="007238F4">
        <w:rPr>
          <w:rFonts w:ascii="Palatino Linotype" w:hAnsi="Palatino Linotype"/>
        </w:rPr>
        <w:t xml:space="preserve">en virtud de que </w:t>
      </w:r>
      <w:r>
        <w:rPr>
          <w:rFonts w:ascii="Palatino Linotype" w:hAnsi="Palatino Linotype"/>
        </w:rPr>
        <w:t>en</w:t>
      </w:r>
      <w:r w:rsidRPr="001D5E13">
        <w:rPr>
          <w:rFonts w:ascii="Palatino Linotype" w:hAnsi="Palatino Linotype" w:cs="Arial"/>
        </w:rPr>
        <w:t xml:space="preserve"> primer término es preciso referir que estamos ante el escenario de documentos los cuales son </w:t>
      </w:r>
      <w:r>
        <w:rPr>
          <w:rFonts w:ascii="Palatino Linotype" w:hAnsi="Palatino Linotype" w:cs="Arial"/>
        </w:rPr>
        <w:t>considerados públicos, es decir</w:t>
      </w:r>
      <w:r w:rsidRPr="001D5E13">
        <w:rPr>
          <w:rFonts w:ascii="Palatino Linotype" w:hAnsi="Palatino Linotype" w:cs="Arial"/>
        </w:rPr>
        <w:t>, la naturaleza de los oficios y de los asuntos que</w:t>
      </w:r>
      <w:r>
        <w:rPr>
          <w:rFonts w:ascii="Palatino Linotype" w:hAnsi="Palatino Linotype" w:cs="Arial"/>
        </w:rPr>
        <w:t xml:space="preserve"> se traten</w:t>
      </w:r>
      <w:r w:rsidRPr="001D5E13">
        <w:rPr>
          <w:rFonts w:ascii="Palatino Linotype" w:hAnsi="Palatino Linotype" w:cs="Arial"/>
        </w:rPr>
        <w:t>, sirve de referencia los artículos 1, 2, 5 y 6 de la Ley de Documentos Administrativos e Históricos del Estado de México que a continuación se trascriben:</w:t>
      </w:r>
    </w:p>
    <w:p w:rsidR="009E68D3" w:rsidRDefault="009E68D3" w:rsidP="009E68D3">
      <w:pPr>
        <w:pStyle w:val="Prrafodelista"/>
        <w:rPr>
          <w:rFonts w:ascii="Palatino Linotype" w:hAnsi="Palatino Linotype" w:cs="Arial"/>
        </w:rPr>
      </w:pPr>
    </w:p>
    <w:p w:rsidR="00680C93" w:rsidRPr="001D5E13" w:rsidRDefault="00680C93" w:rsidP="009E68D3">
      <w:pPr>
        <w:spacing w:line="360" w:lineRule="auto"/>
        <w:ind w:left="567" w:right="616"/>
        <w:jc w:val="both"/>
        <w:rPr>
          <w:rFonts w:ascii="Palatino Linotype" w:hAnsi="Palatino Linotype" w:cs="Arial"/>
          <w:i/>
        </w:rPr>
      </w:pPr>
      <w:r w:rsidRPr="001D5E13">
        <w:rPr>
          <w:rFonts w:ascii="Palatino Linotype" w:hAnsi="Palatino Linotype" w:cs="Arial"/>
          <w:i/>
        </w:rPr>
        <w:t xml:space="preserve">“Artículo 1. La presente Ley, </w:t>
      </w:r>
      <w:r w:rsidRPr="001D5E13">
        <w:rPr>
          <w:rFonts w:ascii="Palatino Linotype" w:hAnsi="Palatino Linotype" w:cs="Arial"/>
          <w:b/>
          <w:i/>
          <w:u w:val="single"/>
        </w:rPr>
        <w:t xml:space="preserve">es de orden público e interés social y tiene por objeto normar y regular la administración de documentos administrativos </w:t>
      </w:r>
      <w:r w:rsidRPr="00943C74">
        <w:rPr>
          <w:rFonts w:ascii="Palatino Linotype" w:hAnsi="Palatino Linotype" w:cs="Arial"/>
          <w:i/>
        </w:rPr>
        <w:t>e históricos</w:t>
      </w:r>
      <w:r w:rsidRPr="001D5E13">
        <w:rPr>
          <w:rFonts w:ascii="Palatino Linotype" w:hAnsi="Palatino Linotype" w:cs="Arial"/>
          <w:b/>
          <w:i/>
          <w:u w:val="single"/>
        </w:rPr>
        <w:t xml:space="preserve"> de las autoridades del Estado</w:t>
      </w:r>
      <w:r w:rsidRPr="001D5E13">
        <w:rPr>
          <w:rFonts w:ascii="Palatino Linotype" w:hAnsi="Palatino Linotype" w:cs="Arial"/>
          <w:i/>
        </w:rPr>
        <w:t xml:space="preserve"> y los municipios en el ámbito de su competencia. Se entiende por documento, cualquier objeto o archivo electrónico o de cualquier otra tecnología existente que pueda dar constancia de un hecho.”</w:t>
      </w:r>
    </w:p>
    <w:p w:rsidR="00680C93" w:rsidRPr="001D5E13" w:rsidRDefault="00680C93" w:rsidP="009E68D3">
      <w:pPr>
        <w:spacing w:line="360" w:lineRule="auto"/>
        <w:ind w:left="567" w:right="616"/>
        <w:jc w:val="both"/>
        <w:rPr>
          <w:rFonts w:ascii="Palatino Linotype" w:hAnsi="Palatino Linotype" w:cs="Arial"/>
          <w:b/>
          <w:i/>
          <w:u w:val="single"/>
        </w:rPr>
      </w:pPr>
      <w:r w:rsidRPr="001D5E13">
        <w:rPr>
          <w:rFonts w:ascii="Palatino Linotype" w:hAnsi="Palatino Linotype" w:cs="Arial"/>
          <w:i/>
        </w:rPr>
        <w:lastRenderedPageBreak/>
        <w:t xml:space="preserve">“Artículo 2.- Para los efectos de esta Ley, </w:t>
      </w:r>
      <w:r w:rsidRPr="001D5E13">
        <w:rPr>
          <w:rFonts w:ascii="Palatino Linotype" w:hAnsi="Palatino Linotype" w:cs="Arial"/>
          <w:b/>
          <w:i/>
          <w:u w:val="single"/>
        </w:rPr>
        <w:t xml:space="preserve">se entiende por Administración de Documentos: </w:t>
      </w:r>
    </w:p>
    <w:p w:rsidR="00680C93" w:rsidRPr="001D5E13" w:rsidRDefault="00680C93" w:rsidP="009E68D3">
      <w:pPr>
        <w:spacing w:line="360" w:lineRule="auto"/>
        <w:ind w:left="567" w:right="616"/>
        <w:jc w:val="both"/>
        <w:rPr>
          <w:rFonts w:ascii="Palatino Linotype" w:hAnsi="Palatino Linotype" w:cs="Arial"/>
          <w:i/>
        </w:rPr>
      </w:pPr>
      <w:r w:rsidRPr="001D5E13">
        <w:rPr>
          <w:rFonts w:ascii="Palatino Linotype" w:hAnsi="Palatino Linotype" w:cs="Arial"/>
          <w:i/>
        </w:rPr>
        <w:t xml:space="preserve">a) </w:t>
      </w:r>
      <w:r w:rsidRPr="001D5E13">
        <w:rPr>
          <w:rFonts w:ascii="Palatino Linotype" w:hAnsi="Palatino Linotype" w:cs="Arial"/>
          <w:b/>
          <w:i/>
          <w:u w:val="single"/>
        </w:rPr>
        <w:t>Los actos tendientes a inventariar, regular, coordinar y dinamizar el funcionamiento y uso de los documentos existentes</w:t>
      </w:r>
      <w:r w:rsidRPr="001D5E13">
        <w:rPr>
          <w:rFonts w:ascii="Palatino Linotype" w:hAnsi="Palatino Linotype" w:cs="Arial"/>
          <w:i/>
        </w:rPr>
        <w:t xml:space="preserve"> en los Archivos Administrativos e Históricos de los Poderes del Estado, Municipios y Organismos Auxiliares y en su caso, los que posean particulares.</w:t>
      </w:r>
    </w:p>
    <w:p w:rsidR="00680C93" w:rsidRDefault="00680C93" w:rsidP="009E68D3">
      <w:pPr>
        <w:spacing w:line="360" w:lineRule="auto"/>
        <w:ind w:left="567" w:right="616"/>
        <w:jc w:val="both"/>
        <w:rPr>
          <w:rFonts w:ascii="Palatino Linotype" w:hAnsi="Palatino Linotype" w:cs="Arial"/>
          <w:i/>
        </w:rPr>
      </w:pPr>
      <w:r w:rsidRPr="001D5E13">
        <w:rPr>
          <w:rFonts w:ascii="Palatino Linotype" w:hAnsi="Palatino Linotype" w:cs="Arial"/>
          <w:i/>
        </w:rPr>
        <w:t xml:space="preserve">b) </w:t>
      </w:r>
      <w:r w:rsidRPr="001D5E13">
        <w:rPr>
          <w:rFonts w:ascii="Palatino Linotype" w:hAnsi="Palatino Linotype" w:cs="Arial"/>
          <w:b/>
          <w:i/>
          <w:u w:val="single"/>
        </w:rPr>
        <w:t>Los actos que se realicen para generar, recibir, mantener, custodiar, reconstruir, depurar o destruir Documentos Administrativos</w:t>
      </w:r>
      <w:r w:rsidRPr="001D5E13">
        <w:rPr>
          <w:rFonts w:ascii="Palatino Linotype" w:hAnsi="Palatino Linotype" w:cs="Arial"/>
          <w:i/>
        </w:rPr>
        <w:t xml:space="preserve"> o Históricos, que por su importancia sean fuentes esenciales de información acerca del pasado y presente de la vida institucional del Estado.”</w:t>
      </w:r>
    </w:p>
    <w:p w:rsidR="00F52E40" w:rsidRPr="001D5E13" w:rsidRDefault="00F52E40" w:rsidP="009E68D3">
      <w:pPr>
        <w:spacing w:line="360" w:lineRule="auto"/>
        <w:ind w:left="567" w:right="616"/>
        <w:jc w:val="both"/>
        <w:rPr>
          <w:rFonts w:ascii="Palatino Linotype" w:hAnsi="Palatino Linotype" w:cs="Arial"/>
          <w:i/>
        </w:rPr>
      </w:pPr>
    </w:p>
    <w:p w:rsidR="00680C93" w:rsidRDefault="00680C93" w:rsidP="009E68D3">
      <w:pPr>
        <w:spacing w:line="360" w:lineRule="auto"/>
        <w:ind w:left="567" w:right="616"/>
        <w:jc w:val="both"/>
        <w:rPr>
          <w:rFonts w:ascii="Palatino Linotype" w:hAnsi="Palatino Linotype" w:cs="Arial"/>
          <w:i/>
        </w:rPr>
      </w:pPr>
      <w:r w:rsidRPr="001D5E13">
        <w:rPr>
          <w:rFonts w:ascii="Palatino Linotype" w:hAnsi="Palatino Linotype" w:cs="Arial"/>
          <w:i/>
        </w:rPr>
        <w:t>“Artículo 3.- Los sujetos públicos encargados de realizar los actos a que se refiere el artículo anterior, son los Poderes del Estado, Municipios y Organismos Auxiliares. Los usuarios, son aquellas personas, que reciben el beneficio del uso temporal y controlado de los Documentos que obran en los Archivos.”</w:t>
      </w:r>
    </w:p>
    <w:p w:rsidR="00F52E40" w:rsidRPr="001D5E13" w:rsidRDefault="00F52E40" w:rsidP="009E68D3">
      <w:pPr>
        <w:spacing w:line="360" w:lineRule="auto"/>
        <w:ind w:left="567" w:right="616"/>
        <w:jc w:val="both"/>
        <w:rPr>
          <w:rFonts w:ascii="Palatino Linotype" w:hAnsi="Palatino Linotype" w:cs="Arial"/>
          <w:i/>
        </w:rPr>
      </w:pPr>
    </w:p>
    <w:p w:rsidR="00680C93" w:rsidRDefault="00680C93" w:rsidP="009E68D3">
      <w:pPr>
        <w:spacing w:line="360" w:lineRule="auto"/>
        <w:ind w:left="567" w:right="616"/>
        <w:jc w:val="both"/>
        <w:rPr>
          <w:rFonts w:ascii="Palatino Linotype" w:hAnsi="Palatino Linotype" w:cs="Arial"/>
          <w:b/>
          <w:i/>
          <w:u w:val="single"/>
        </w:rPr>
      </w:pPr>
      <w:r w:rsidRPr="001D5E13">
        <w:rPr>
          <w:rFonts w:ascii="Palatino Linotype" w:hAnsi="Palatino Linotype" w:cs="Arial"/>
          <w:i/>
        </w:rPr>
        <w:t xml:space="preserve">“Artículo 5.- </w:t>
      </w:r>
      <w:r w:rsidRPr="001D5E13">
        <w:rPr>
          <w:rFonts w:ascii="Palatino Linotype" w:hAnsi="Palatino Linotype" w:cs="Arial"/>
          <w:b/>
          <w:i/>
          <w:u w:val="single"/>
        </w:rPr>
        <w:t>El servidor público, encargado de recibir documentos, los registrará en el acto de su recepción, indicando el destino que deba darse a cada uno</w:t>
      </w:r>
    </w:p>
    <w:p w:rsidR="009E68D3" w:rsidRPr="001D5E13" w:rsidRDefault="009E68D3" w:rsidP="009E68D3">
      <w:pPr>
        <w:spacing w:line="360" w:lineRule="auto"/>
        <w:ind w:left="567" w:right="616"/>
        <w:jc w:val="both"/>
        <w:rPr>
          <w:rFonts w:ascii="Palatino Linotype" w:hAnsi="Palatino Linotype" w:cs="Arial"/>
          <w:i/>
        </w:rPr>
      </w:pPr>
    </w:p>
    <w:p w:rsidR="00680C93" w:rsidRDefault="00680C93" w:rsidP="009E68D3">
      <w:pPr>
        <w:spacing w:line="360" w:lineRule="auto"/>
        <w:ind w:left="567" w:right="616"/>
        <w:jc w:val="both"/>
        <w:rPr>
          <w:rFonts w:ascii="Palatino Linotype" w:hAnsi="Palatino Linotype" w:cs="Arial"/>
          <w:i/>
        </w:rPr>
      </w:pPr>
      <w:r w:rsidRPr="001D5E13">
        <w:rPr>
          <w:rFonts w:ascii="Palatino Linotype" w:hAnsi="Palatino Linotype" w:cs="Arial"/>
          <w:i/>
        </w:rPr>
        <w:t xml:space="preserve">“Artículo 6.- </w:t>
      </w:r>
      <w:r w:rsidRPr="001D5E13">
        <w:rPr>
          <w:rFonts w:ascii="Palatino Linotype" w:hAnsi="Palatino Linotype" w:cs="Arial"/>
          <w:b/>
          <w:i/>
          <w:u w:val="single"/>
        </w:rPr>
        <w:t>Los usuarios tendrán acceso a la información de los documentos, conforme a lo dispuesto por la ley de la materia</w:t>
      </w:r>
      <w:r w:rsidRPr="001D5E13">
        <w:rPr>
          <w:rFonts w:ascii="Palatino Linotype" w:hAnsi="Palatino Linotype" w:cs="Arial"/>
          <w:i/>
        </w:rPr>
        <w:t>.”</w:t>
      </w:r>
    </w:p>
    <w:p w:rsidR="00680C93" w:rsidRDefault="00680C93" w:rsidP="009E68D3">
      <w:pPr>
        <w:spacing w:line="360" w:lineRule="auto"/>
        <w:ind w:left="567" w:right="851"/>
        <w:jc w:val="both"/>
        <w:rPr>
          <w:rFonts w:ascii="Palatino Linotype" w:hAnsi="Palatino Linotype" w:cs="Arial"/>
        </w:rPr>
      </w:pPr>
      <w:r w:rsidRPr="00002446">
        <w:rPr>
          <w:rFonts w:ascii="Palatino Linotype" w:hAnsi="Palatino Linotype" w:cs="Arial"/>
        </w:rPr>
        <w:t>(Énfasis añadido)</w:t>
      </w:r>
    </w:p>
    <w:p w:rsidR="00002446" w:rsidRDefault="00002446" w:rsidP="00002446">
      <w:pPr>
        <w:spacing w:line="360" w:lineRule="auto"/>
        <w:ind w:left="851" w:right="851"/>
        <w:jc w:val="both"/>
        <w:rPr>
          <w:rFonts w:ascii="Palatino Linotype" w:hAnsi="Palatino Linotype" w:cs="Arial"/>
        </w:rPr>
      </w:pPr>
    </w:p>
    <w:p w:rsidR="00680C93" w:rsidRDefault="00680C93" w:rsidP="00002446">
      <w:pPr>
        <w:numPr>
          <w:ilvl w:val="0"/>
          <w:numId w:val="15"/>
        </w:numPr>
        <w:spacing w:before="240" w:after="240" w:line="360" w:lineRule="auto"/>
        <w:ind w:left="0" w:right="49" w:firstLine="0"/>
        <w:contextualSpacing/>
        <w:jc w:val="both"/>
        <w:rPr>
          <w:rFonts w:ascii="Palatino Linotype" w:hAnsi="Palatino Linotype"/>
        </w:rPr>
      </w:pPr>
      <w:r w:rsidRPr="00002446">
        <w:rPr>
          <w:rFonts w:ascii="Palatino Linotype" w:hAnsi="Palatino Linotype"/>
        </w:rPr>
        <w:lastRenderedPageBreak/>
        <w:t xml:space="preserve">De los preceptos jurídicos invocados con anterioridad se desprende que la Ley que regula los documentos en el Estado indica que es de orden público e interés social, es </w:t>
      </w:r>
      <w:r w:rsidRPr="00002446">
        <w:rPr>
          <w:rFonts w:ascii="Palatino Linotype" w:eastAsia="Calibri" w:hAnsi="Palatino Linotype" w:cs="Arial"/>
        </w:rPr>
        <w:t>decir</w:t>
      </w:r>
      <w:r w:rsidRPr="00002446">
        <w:rPr>
          <w:rFonts w:ascii="Palatino Linotype" w:hAnsi="Palatino Linotype"/>
        </w:rPr>
        <w:t xml:space="preserve">, tiene efectos </w:t>
      </w:r>
      <w:r w:rsidRPr="00002446">
        <w:rPr>
          <w:rFonts w:ascii="Palatino Linotype" w:hAnsi="Palatino Linotype"/>
          <w:i/>
        </w:rPr>
        <w:t>erga omnes</w:t>
      </w:r>
      <w:r w:rsidRPr="00002446">
        <w:rPr>
          <w:rFonts w:ascii="Palatino Linotype" w:hAnsi="Palatino Linotype"/>
        </w:rPr>
        <w:t xml:space="preserve"> los cuales todas aquellas autoridades que estén en el territorio mexiquense les aplica la Ley en cuestión tratándose en materia de documentos, así mismo como lo es el Sujeto Obligado, juega un papel de autoridad, es decir, se configura el hecho de que estamos ante una dependencia que realiza actos de autoridad y que estos mismos se deben documentar como la Ley de la materia lo señala.</w:t>
      </w:r>
    </w:p>
    <w:p w:rsidR="00002446" w:rsidRPr="00002446" w:rsidRDefault="00002446" w:rsidP="00002446">
      <w:pPr>
        <w:spacing w:before="240" w:after="240" w:line="360" w:lineRule="auto"/>
        <w:ind w:left="284" w:right="49"/>
        <w:contextualSpacing/>
        <w:jc w:val="both"/>
        <w:rPr>
          <w:rFonts w:ascii="Palatino Linotype" w:hAnsi="Palatino Linotype"/>
        </w:rPr>
      </w:pPr>
    </w:p>
    <w:p w:rsidR="00680C93" w:rsidRPr="001D5E13" w:rsidRDefault="00680C93" w:rsidP="00002446">
      <w:pPr>
        <w:numPr>
          <w:ilvl w:val="0"/>
          <w:numId w:val="15"/>
        </w:numPr>
        <w:spacing w:line="360" w:lineRule="auto"/>
        <w:ind w:left="0" w:firstLine="0"/>
        <w:contextualSpacing/>
        <w:jc w:val="both"/>
        <w:rPr>
          <w:rFonts w:ascii="Palatino Linotype" w:hAnsi="Palatino Linotype"/>
        </w:rPr>
      </w:pPr>
      <w:r w:rsidRPr="001D5E13">
        <w:rPr>
          <w:rFonts w:ascii="Palatino Linotype" w:hAnsi="Palatino Linotype" w:cs="Arial"/>
        </w:rPr>
        <w:t xml:space="preserve">Por otro lado, las instituciones encargadas de la administración de documentos y que a su vez en </w:t>
      </w:r>
      <w:r w:rsidRPr="00002446">
        <w:rPr>
          <w:rFonts w:ascii="Palatino Linotype" w:hAnsi="Palatino Linotype"/>
        </w:rPr>
        <w:t>relación</w:t>
      </w:r>
      <w:r w:rsidRPr="001D5E13">
        <w:rPr>
          <w:rFonts w:ascii="Palatino Linotype" w:hAnsi="Palatino Linotype" w:cs="Arial"/>
        </w:rPr>
        <w:t xml:space="preserve"> con lo anterior realizan actos de autoridad, deben llevar una correcta administración de los documentos que</w:t>
      </w:r>
      <w:r>
        <w:rPr>
          <w:rFonts w:ascii="Palatino Linotype" w:hAnsi="Palatino Linotype" w:cs="Arial"/>
        </w:rPr>
        <w:t xml:space="preserve"> generan</w:t>
      </w:r>
      <w:r w:rsidRPr="001D5E13">
        <w:rPr>
          <w:rFonts w:ascii="Palatino Linotype" w:hAnsi="Palatino Linotype" w:cs="Arial"/>
        </w:rPr>
        <w:t xml:space="preserve"> y reciben, en el entendido que la administración no solo lleva el resguardo de los documentos sino también el inventario, regulación, coordinación y dinamización en el funcionamiento y uso de estos.</w:t>
      </w:r>
    </w:p>
    <w:p w:rsidR="00680C93" w:rsidRPr="001D5E13" w:rsidRDefault="00680C93" w:rsidP="00680C93">
      <w:pPr>
        <w:pStyle w:val="Prrafodelista"/>
        <w:rPr>
          <w:rFonts w:ascii="Palatino Linotype" w:hAnsi="Palatino Linotype" w:cs="Arial"/>
        </w:rPr>
      </w:pPr>
    </w:p>
    <w:p w:rsidR="00680C93" w:rsidRPr="00D31FC8" w:rsidRDefault="00680C93" w:rsidP="00002446">
      <w:pPr>
        <w:numPr>
          <w:ilvl w:val="0"/>
          <w:numId w:val="15"/>
        </w:numPr>
        <w:spacing w:line="360" w:lineRule="auto"/>
        <w:ind w:left="0" w:firstLine="0"/>
        <w:contextualSpacing/>
        <w:jc w:val="both"/>
        <w:rPr>
          <w:rFonts w:ascii="Palatino Linotype" w:hAnsi="Palatino Linotype"/>
        </w:rPr>
      </w:pPr>
      <w:r w:rsidRPr="001D5E13">
        <w:rPr>
          <w:rFonts w:ascii="Palatino Linotype" w:hAnsi="Palatino Linotype" w:cs="Arial"/>
        </w:rPr>
        <w:t>As</w:t>
      </w:r>
      <w:r>
        <w:rPr>
          <w:rFonts w:ascii="Palatino Linotype" w:hAnsi="Palatino Linotype" w:cs="Arial"/>
        </w:rPr>
        <w:t>i</w:t>
      </w:r>
      <w:r w:rsidRPr="001D5E13">
        <w:rPr>
          <w:rFonts w:ascii="Palatino Linotype" w:hAnsi="Palatino Linotype" w:cs="Arial"/>
        </w:rPr>
        <w:t xml:space="preserve">mismo, los documentos generados </w:t>
      </w:r>
      <w:r w:rsidRPr="00F26C18">
        <w:rPr>
          <w:rFonts w:ascii="Palatino Linotype" w:hAnsi="Palatino Linotype" w:cs="Arial"/>
        </w:rPr>
        <w:t xml:space="preserve">por las instituciones en este caso por </w:t>
      </w:r>
      <w:r w:rsidR="002453DA">
        <w:rPr>
          <w:rFonts w:ascii="Palatino Linotype" w:hAnsi="Palatino Linotype" w:cs="Arial"/>
        </w:rPr>
        <w:t>el Ayuntamiento</w:t>
      </w:r>
      <w:r w:rsidR="00652937">
        <w:rPr>
          <w:rFonts w:ascii="Palatino Linotype" w:hAnsi="Palatino Linotype" w:cs="Arial"/>
        </w:rPr>
        <w:t xml:space="preserve"> de </w:t>
      </w:r>
      <w:proofErr w:type="spellStart"/>
      <w:r w:rsidR="00652937">
        <w:rPr>
          <w:rFonts w:ascii="Palatino Linotype" w:hAnsi="Palatino Linotype" w:cs="Arial"/>
        </w:rPr>
        <w:t>Xonacatlán</w:t>
      </w:r>
      <w:proofErr w:type="spellEnd"/>
      <w:r w:rsidRPr="001D5E13">
        <w:rPr>
          <w:rFonts w:ascii="Palatino Linotype" w:hAnsi="Palatino Linotype" w:cs="Arial"/>
        </w:rPr>
        <w:t>, debieron ser registrados en el acto de su generación o recepción, indicando en todo momento el destino de estos, para un control de específico</w:t>
      </w:r>
      <w:r>
        <w:rPr>
          <w:rFonts w:ascii="Palatino Linotype" w:hAnsi="Palatino Linotype" w:cs="Arial"/>
        </w:rPr>
        <w:t xml:space="preserve"> y puntual de dichos documentos</w:t>
      </w:r>
      <w:r w:rsidRPr="009013BD">
        <w:rPr>
          <w:rFonts w:ascii="Palatino Linotype" w:hAnsi="Palatino Linotype" w:cs="Arial"/>
        </w:rPr>
        <w:t>, también es importante hacer ver que el marco jurídico antes citado establece las bases mínimas para concentrar y administrar el material documental y dicha ley es el instrumento jurídico que norma el archivo y la administración de los documentos.</w:t>
      </w:r>
    </w:p>
    <w:p w:rsidR="00D31FC8" w:rsidRDefault="00D31FC8" w:rsidP="00D31FC8">
      <w:pPr>
        <w:pStyle w:val="Prrafodelista"/>
        <w:rPr>
          <w:rFonts w:ascii="Palatino Linotype" w:hAnsi="Palatino Linotype"/>
        </w:rPr>
      </w:pPr>
    </w:p>
    <w:p w:rsidR="009F09BC" w:rsidRDefault="009F09BC" w:rsidP="009F09BC">
      <w:pPr>
        <w:pStyle w:val="Ttulo2"/>
        <w:rPr>
          <w:rFonts w:ascii="Palatino Linotype" w:hAnsi="Palatino Linotype"/>
          <w:b/>
          <w:color w:val="auto"/>
          <w:sz w:val="24"/>
        </w:rPr>
      </w:pPr>
      <w:bookmarkStart w:id="151" w:name="_Toc531859120"/>
      <w:bookmarkStart w:id="152" w:name="_Toc2871952"/>
      <w:bookmarkStart w:id="153" w:name="_Toc20246253"/>
      <w:bookmarkStart w:id="154" w:name="_Toc24023250"/>
      <w:bookmarkStart w:id="155" w:name="_Toc26461369"/>
      <w:bookmarkStart w:id="156" w:name="_Toc29481474"/>
      <w:bookmarkStart w:id="157" w:name="_Toc36648201"/>
      <w:bookmarkStart w:id="158" w:name="_Toc36732268"/>
      <w:bookmarkStart w:id="159" w:name="_Toc38560292"/>
      <w:bookmarkStart w:id="160" w:name="_Toc83128590"/>
      <w:bookmarkStart w:id="161" w:name="_Toc473799824"/>
      <w:bookmarkStart w:id="162" w:name="_Toc487025370"/>
      <w:bookmarkStart w:id="163" w:name="_Toc493790438"/>
      <w:bookmarkStart w:id="164" w:name="_Toc495606558"/>
      <w:bookmarkStart w:id="165" w:name="_Toc497297048"/>
      <w:bookmarkStart w:id="166" w:name="_Toc498503756"/>
      <w:bookmarkStart w:id="167" w:name="_Toc499201876"/>
      <w:bookmarkStart w:id="168" w:name="_Toc524000321"/>
      <w:r>
        <w:rPr>
          <w:rFonts w:ascii="Palatino Linotype" w:hAnsi="Palatino Linotype"/>
          <w:b/>
          <w:color w:val="auto"/>
          <w:sz w:val="24"/>
        </w:rPr>
        <w:lastRenderedPageBreak/>
        <w:t>QUINT</w:t>
      </w:r>
      <w:r w:rsidRPr="00DA7DC1">
        <w:rPr>
          <w:rFonts w:ascii="Palatino Linotype" w:hAnsi="Palatino Linotype"/>
          <w:b/>
          <w:color w:val="auto"/>
          <w:sz w:val="24"/>
        </w:rPr>
        <w:t xml:space="preserve">O. De la </w:t>
      </w:r>
      <w:bookmarkEnd w:id="151"/>
      <w:bookmarkEnd w:id="152"/>
      <w:r w:rsidRPr="00DA7DC1">
        <w:rPr>
          <w:rFonts w:ascii="Palatino Linotype" w:hAnsi="Palatino Linotype"/>
          <w:b/>
          <w:color w:val="auto"/>
          <w:sz w:val="24"/>
        </w:rPr>
        <w:t>versión pública</w:t>
      </w:r>
      <w:bookmarkEnd w:id="153"/>
      <w:bookmarkEnd w:id="154"/>
      <w:bookmarkEnd w:id="155"/>
      <w:bookmarkEnd w:id="156"/>
      <w:bookmarkEnd w:id="157"/>
      <w:bookmarkEnd w:id="158"/>
      <w:bookmarkEnd w:id="159"/>
      <w:bookmarkEnd w:id="160"/>
    </w:p>
    <w:p w:rsidR="009F09BC" w:rsidRPr="00993610" w:rsidRDefault="009F09BC" w:rsidP="009F09BC">
      <w:pPr>
        <w:rPr>
          <w:lang w:val="es-MX" w:eastAsia="en-US"/>
        </w:rPr>
      </w:pPr>
    </w:p>
    <w:bookmarkEnd w:id="161"/>
    <w:bookmarkEnd w:id="162"/>
    <w:bookmarkEnd w:id="163"/>
    <w:bookmarkEnd w:id="164"/>
    <w:bookmarkEnd w:id="165"/>
    <w:bookmarkEnd w:id="166"/>
    <w:bookmarkEnd w:id="167"/>
    <w:bookmarkEnd w:id="168"/>
    <w:p w:rsidR="009F09BC" w:rsidRDefault="009F09BC" w:rsidP="00002446">
      <w:pPr>
        <w:numPr>
          <w:ilvl w:val="0"/>
          <w:numId w:val="15"/>
        </w:numPr>
        <w:spacing w:line="360" w:lineRule="auto"/>
        <w:ind w:left="0" w:firstLine="0"/>
        <w:contextualSpacing/>
        <w:jc w:val="both"/>
        <w:rPr>
          <w:rFonts w:ascii="Palatino Linotype" w:hAnsi="Palatino Linotype"/>
        </w:rPr>
      </w:pPr>
      <w:r w:rsidRPr="00CB2ECA">
        <w:rPr>
          <w:rFonts w:ascii="Palatino Linotype" w:hAnsi="Palatino Linotype"/>
        </w:rPr>
        <w:t xml:space="preserve">Debe </w:t>
      </w:r>
      <w:r w:rsidRPr="00002446">
        <w:rPr>
          <w:rFonts w:ascii="Palatino Linotype" w:hAnsi="Palatino Linotype" w:cs="Arial"/>
        </w:rPr>
        <w:t>destacarse</w:t>
      </w:r>
      <w:r w:rsidRPr="00CB2ECA">
        <w:rPr>
          <w:rFonts w:ascii="Palatino Linotype" w:hAnsi="Palatino Linotype"/>
        </w:rPr>
        <w:t xml:space="preserve"> </w:t>
      </w:r>
      <w:r>
        <w:rPr>
          <w:rFonts w:ascii="Palatino Linotype" w:hAnsi="Palatino Linotype"/>
        </w:rPr>
        <w:t xml:space="preserve">que la información que se ha tenido a bien ordenar, dada su propia y especial </w:t>
      </w:r>
      <w:r w:rsidRPr="00FB6D42">
        <w:rPr>
          <w:rFonts w:ascii="Palatino Linotype" w:eastAsia="MS Mincho" w:hAnsi="Palatino Linotype" w:cs="Arial"/>
        </w:rPr>
        <w:t>naturaleza</w:t>
      </w:r>
      <w:r>
        <w:rPr>
          <w:rFonts w:ascii="Palatino Linotype" w:hAnsi="Palatino Linotype"/>
        </w:rPr>
        <w:t xml:space="preserve">, </w:t>
      </w:r>
      <w:r w:rsidR="009E68D3" w:rsidRPr="009E68D3">
        <w:rPr>
          <w:rFonts w:ascii="Palatino Linotype" w:hAnsi="Palatino Linotype"/>
          <w:b/>
        </w:rPr>
        <w:t>contiene</w:t>
      </w:r>
      <w:r w:rsidRPr="009E68D3">
        <w:rPr>
          <w:rFonts w:ascii="Palatino Linotype" w:hAnsi="Palatino Linotype"/>
          <w:b/>
        </w:rPr>
        <w:t xml:space="preserve"> datos personales susceptibles de ser protegidos mediante una versión pública</w:t>
      </w:r>
      <w:r>
        <w:rPr>
          <w:rFonts w:ascii="Palatino Linotype" w:hAnsi="Palatino Linotype"/>
        </w:rPr>
        <w:t xml:space="preserve">, la cual deberá estar soportada por el Acta del Comité de Transparencia que se emita para tal efecto, debiéndola poner a disposición del hoy </w:t>
      </w:r>
      <w:r>
        <w:rPr>
          <w:rFonts w:ascii="Palatino Linotype" w:hAnsi="Palatino Linotype"/>
          <w:b/>
        </w:rPr>
        <w:t>RECURRENTE</w:t>
      </w:r>
      <w:r w:rsidR="009A2251">
        <w:rPr>
          <w:rFonts w:ascii="Palatino Linotype" w:hAnsi="Palatino Linotype"/>
        </w:rPr>
        <w:t>.</w:t>
      </w:r>
    </w:p>
    <w:p w:rsidR="00002446" w:rsidRDefault="00002446" w:rsidP="00002446">
      <w:pPr>
        <w:spacing w:line="360" w:lineRule="auto"/>
        <w:contextualSpacing/>
        <w:jc w:val="both"/>
        <w:rPr>
          <w:rFonts w:ascii="Palatino Linotype" w:hAnsi="Palatino Linotype"/>
        </w:rPr>
      </w:pPr>
    </w:p>
    <w:p w:rsidR="009F09BC" w:rsidRPr="00053FB7" w:rsidRDefault="009F09BC" w:rsidP="00002446">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 xml:space="preserve">La clasificación total o parcial de la información requerida, mediante solicitud de acceso a la </w:t>
      </w:r>
      <w:r w:rsidRPr="00002446">
        <w:rPr>
          <w:rFonts w:ascii="Palatino Linotype" w:hAnsi="Palatino Linotype"/>
        </w:rPr>
        <w:t>información</w:t>
      </w:r>
      <w:r w:rsidRPr="008C0982">
        <w:rPr>
          <w:rFonts w:ascii="Palatino Linotype" w:eastAsia="MS Gothic" w:hAnsi="Palatino Linotype" w:cs="Times New Roman"/>
          <w:szCs w:val="26"/>
        </w:rPr>
        <w:t xml:space="preserve"> pública, constituye una restricción al derecho humano de acceso a la información. Como reiteradamente han dicho, diversos órganos jurisdiccionales, ningún derecho es absoluto</w:t>
      </w:r>
      <w:r w:rsidRPr="008C0982">
        <w:rPr>
          <w:rFonts w:ascii="Palatino Linotype" w:eastAsia="MS Gothic" w:hAnsi="Palatino Linotype" w:cs="Times New Roman"/>
          <w:szCs w:val="26"/>
          <w:vertAlign w:val="superscript"/>
        </w:rPr>
        <w:footnoteReference w:id="5"/>
      </w:r>
      <w:r w:rsidRPr="008C0982">
        <w:rPr>
          <w:rFonts w:ascii="Palatino Linotype" w:eastAsia="MS Gothic" w:hAnsi="Palatino Linotype" w:cs="Times New Roman"/>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C0982">
        <w:rPr>
          <w:rFonts w:ascii="Palatino Linotype" w:eastAsia="MS Gothic" w:hAnsi="Palatino Linotype" w:cs="Times New Roman"/>
          <w:szCs w:val="26"/>
          <w:vertAlign w:val="superscript"/>
        </w:rPr>
        <w:footnoteReference w:id="6"/>
      </w:r>
      <w:r w:rsidRPr="008C0982">
        <w:rPr>
          <w:rFonts w:ascii="Palatino Linotype" w:eastAsia="MS Gothic" w:hAnsi="Palatino Linotype" w:cs="Times New Roman"/>
          <w:szCs w:val="26"/>
        </w:rPr>
        <w:t xml:space="preserve"> En este caso, la clasificación total o parcial de la información es un </w:t>
      </w:r>
      <w:r w:rsidRPr="008C0982">
        <w:rPr>
          <w:rFonts w:ascii="Palatino Linotype" w:eastAsia="MS Gothic" w:hAnsi="Palatino Linotype" w:cs="Times New Roman"/>
          <w:szCs w:val="26"/>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053FB7" w:rsidRDefault="00053FB7" w:rsidP="00053FB7">
      <w:pPr>
        <w:pStyle w:val="Prrafodelista"/>
        <w:rPr>
          <w:rFonts w:ascii="Palatino Linotype" w:hAnsi="Palatino Linotype" w:cs="Arial"/>
        </w:rPr>
      </w:pPr>
    </w:p>
    <w:p w:rsidR="009F09BC" w:rsidRPr="008C0982"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Default="009F09BC" w:rsidP="009F09BC">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69" w:name="_Toc51863315"/>
      <w:bookmarkStart w:id="170" w:name="_Toc52444649"/>
      <w:bookmarkStart w:id="171" w:name="_Toc57154368"/>
      <w:bookmarkStart w:id="172" w:name="_Toc65170174"/>
      <w:bookmarkStart w:id="173" w:name="_Toc66371800"/>
      <w:bookmarkStart w:id="174" w:name="_Toc67584835"/>
      <w:bookmarkStart w:id="175" w:name="_Toc70070911"/>
      <w:bookmarkStart w:id="176" w:name="_Toc70593358"/>
      <w:bookmarkStart w:id="177" w:name="_Toc71290717"/>
      <w:bookmarkStart w:id="178" w:name="_Toc71291223"/>
      <w:bookmarkStart w:id="179" w:name="_Toc71674122"/>
      <w:bookmarkStart w:id="180" w:name="_Toc83128591"/>
      <w:r w:rsidRPr="008C0982">
        <w:rPr>
          <w:rFonts w:ascii="Palatino Linotype" w:hAnsi="Palatino Linotype" w:cs="Arial"/>
          <w:b/>
        </w:rPr>
        <w:t>Requisitos previos.</w:t>
      </w:r>
      <w:bookmarkEnd w:id="169"/>
      <w:bookmarkEnd w:id="170"/>
      <w:bookmarkEnd w:id="171"/>
      <w:bookmarkEnd w:id="172"/>
      <w:bookmarkEnd w:id="173"/>
      <w:bookmarkEnd w:id="174"/>
      <w:bookmarkEnd w:id="175"/>
      <w:bookmarkEnd w:id="176"/>
      <w:bookmarkEnd w:id="177"/>
      <w:bookmarkEnd w:id="178"/>
      <w:bookmarkEnd w:id="179"/>
      <w:bookmarkEnd w:id="180"/>
    </w:p>
    <w:p w:rsidR="009F09BC" w:rsidRPr="008C0982" w:rsidRDefault="009F09BC" w:rsidP="009F09BC">
      <w:pPr>
        <w:pStyle w:val="Prrafodelista"/>
        <w:tabs>
          <w:tab w:val="left" w:pos="142"/>
          <w:tab w:val="left" w:pos="284"/>
          <w:tab w:val="left" w:pos="426"/>
        </w:tabs>
        <w:spacing w:line="360" w:lineRule="auto"/>
        <w:ind w:left="1080"/>
        <w:jc w:val="both"/>
        <w:outlineLvl w:val="2"/>
        <w:rPr>
          <w:rFonts w:ascii="Palatino Linotype" w:hAnsi="Palatino Linotype" w:cs="Arial"/>
          <w:b/>
        </w:rPr>
      </w:pPr>
    </w:p>
    <w:p w:rsidR="009F09BC" w:rsidRPr="008C0982"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w:t>
      </w:r>
      <w:r w:rsidRPr="008C0982">
        <w:rPr>
          <w:rFonts w:ascii="Palatino Linotype" w:eastAsia="MS Gothic" w:hAnsi="Palatino Linotype" w:cs="Times New Roman"/>
          <w:szCs w:val="26"/>
        </w:rPr>
        <w:lastRenderedPageBreak/>
        <w:t>póliza, entre otros), señalando el supuesto de clasificación (confidencialidad o reserva).</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C1963"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9F09BC" w:rsidRPr="00DC1963" w:rsidRDefault="009F09BC" w:rsidP="009F09BC">
      <w:pPr>
        <w:pStyle w:val="Prrafodelista"/>
        <w:rPr>
          <w:rFonts w:ascii="Palatino Linotype" w:hAnsi="Palatino Linotype" w:cs="Arial"/>
        </w:rPr>
      </w:pPr>
    </w:p>
    <w:p w:rsidR="009F09BC" w:rsidRPr="008C0982"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8C0982">
        <w:rPr>
          <w:rFonts w:ascii="Palatino Linotype" w:eastAsia="MS Gothic" w:hAnsi="Palatino Linotype" w:cs="Times New Roman"/>
          <w:b/>
          <w:szCs w:val="26"/>
          <w:u w:val="single"/>
        </w:rPr>
        <w:t>no se puede hacer un acuerdo para clasificar de manera general todos los documentos de un expediente o área</w:t>
      </w:r>
      <w:r w:rsidRPr="00437672">
        <w:rPr>
          <w:rFonts w:ascii="Palatino Linotype" w:eastAsia="MS Gothic" w:hAnsi="Palatino Linotype" w:cs="Times New Roman"/>
          <w:b/>
          <w:szCs w:val="26"/>
        </w:rPr>
        <w:t xml:space="preserve">,  </w:t>
      </w:r>
      <w:r w:rsidRPr="008C0982">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Default="009F09BC" w:rsidP="009F09BC">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81" w:name="_Toc51863316"/>
      <w:bookmarkStart w:id="182" w:name="_Toc52444650"/>
      <w:bookmarkStart w:id="183" w:name="_Toc57154369"/>
      <w:bookmarkStart w:id="184" w:name="_Toc65170175"/>
      <w:bookmarkStart w:id="185" w:name="_Toc66371801"/>
      <w:bookmarkStart w:id="186" w:name="_Toc67584836"/>
      <w:bookmarkStart w:id="187" w:name="_Toc70070912"/>
      <w:bookmarkStart w:id="188" w:name="_Toc70593359"/>
      <w:bookmarkStart w:id="189" w:name="_Toc71290718"/>
      <w:bookmarkStart w:id="190" w:name="_Toc71291224"/>
      <w:bookmarkStart w:id="191" w:name="_Toc71674123"/>
      <w:bookmarkStart w:id="192" w:name="_Toc83128592"/>
      <w:r w:rsidRPr="008C0982">
        <w:rPr>
          <w:rFonts w:ascii="Palatino Linotype" w:hAnsi="Palatino Linotype" w:cs="Arial"/>
          <w:b/>
        </w:rPr>
        <w:t>Supuestos de clasificación.</w:t>
      </w:r>
      <w:bookmarkEnd w:id="181"/>
      <w:bookmarkEnd w:id="182"/>
      <w:bookmarkEnd w:id="183"/>
      <w:bookmarkEnd w:id="184"/>
      <w:bookmarkEnd w:id="185"/>
      <w:bookmarkEnd w:id="186"/>
      <w:bookmarkEnd w:id="187"/>
      <w:bookmarkEnd w:id="188"/>
      <w:bookmarkEnd w:id="189"/>
      <w:bookmarkEnd w:id="190"/>
      <w:bookmarkEnd w:id="191"/>
      <w:bookmarkEnd w:id="192"/>
    </w:p>
    <w:p w:rsidR="009F09BC" w:rsidRPr="008C0982"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C0982"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rsidR="009F09BC" w:rsidRPr="008C0982"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lastRenderedPageBreak/>
        <w:t xml:space="preserve">“I. </w:t>
      </w:r>
      <w:r w:rsidRPr="008C0982">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9F09BC" w:rsidRPr="008C0982"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II. </w:t>
      </w:r>
      <w:r w:rsidRPr="008C0982">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9F09BC" w:rsidRPr="008C0982"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III. </w:t>
      </w:r>
      <w:r w:rsidRPr="008C0982">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9F09BC" w:rsidRPr="008C0982"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9F09BC"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8C0982">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9E68D3" w:rsidRPr="008C0982" w:rsidRDefault="009E68D3" w:rsidP="009F09BC">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p>
    <w:p w:rsidR="009F09BC" w:rsidRPr="00053FB7"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053FB7" w:rsidRPr="00977884" w:rsidRDefault="00053FB7" w:rsidP="00053FB7">
      <w:pPr>
        <w:spacing w:line="360" w:lineRule="auto"/>
        <w:contextualSpacing/>
        <w:jc w:val="both"/>
        <w:rPr>
          <w:rFonts w:ascii="Palatino Linotype" w:hAnsi="Palatino Linotype" w:cs="Arial"/>
        </w:rPr>
      </w:pPr>
    </w:p>
    <w:p w:rsidR="009F09BC" w:rsidRPr="006C41B7"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 xml:space="preserve">Como consecuencia de lo anterior, el </w:t>
      </w:r>
      <w:r w:rsidRPr="008C0982">
        <w:rPr>
          <w:rFonts w:ascii="Palatino Linotype" w:eastAsia="MS Gothic" w:hAnsi="Palatino Linotype" w:cs="Times New Roman"/>
          <w:b/>
          <w:szCs w:val="26"/>
        </w:rPr>
        <w:t>SUJETO OBLIGADO</w:t>
      </w:r>
      <w:r w:rsidRPr="008C0982">
        <w:rPr>
          <w:rFonts w:ascii="Palatino Linotype" w:eastAsia="MS Gothic" w:hAnsi="Palatino Linotype" w:cs="Times New Roman"/>
          <w:szCs w:val="26"/>
        </w:rPr>
        <w:t xml:space="preserve"> debe identificar claramente el tipo de información y hacer un juicio de subsunción o encaje</w:t>
      </w:r>
      <w:r w:rsidRPr="008C0982">
        <w:rPr>
          <w:rFonts w:ascii="Palatino Linotype" w:eastAsia="MS Gothic" w:hAnsi="Palatino Linotype" w:cs="Times New Roman"/>
          <w:szCs w:val="26"/>
          <w:vertAlign w:val="superscript"/>
        </w:rPr>
        <w:footnoteReference w:id="7"/>
      </w:r>
      <w:r w:rsidRPr="008C0982">
        <w:rPr>
          <w:rFonts w:ascii="Palatino Linotype" w:eastAsia="MS Gothic" w:hAnsi="Palatino Linotype" w:cs="Times New Roman"/>
          <w:szCs w:val="26"/>
        </w:rPr>
        <w:t xml:space="preserve"> para </w:t>
      </w:r>
      <w:r w:rsidRPr="008C0982">
        <w:rPr>
          <w:rFonts w:ascii="Palatino Linotype" w:eastAsia="MS Gothic" w:hAnsi="Palatino Linotype" w:cs="Times New Roman"/>
          <w:szCs w:val="26"/>
        </w:rPr>
        <w:lastRenderedPageBreak/>
        <w:t>acreditar que el supuesto de hecho corresponde estrictamente con la hipótesis jurídica. Esto también lo debe de realizar el servidor público habilitado y el titular del área que administra la información.</w:t>
      </w:r>
    </w:p>
    <w:p w:rsidR="009F09BC" w:rsidRPr="006C41B7" w:rsidRDefault="009F09BC" w:rsidP="009F09BC">
      <w:pPr>
        <w:pStyle w:val="Prrafodelista"/>
        <w:rPr>
          <w:rFonts w:ascii="Palatino Linotype" w:hAnsi="Palatino Linotype" w:cs="Arial"/>
        </w:rPr>
      </w:pPr>
    </w:p>
    <w:p w:rsidR="009F09BC" w:rsidRPr="009A2251" w:rsidRDefault="009F09BC" w:rsidP="00053FB7">
      <w:pPr>
        <w:numPr>
          <w:ilvl w:val="0"/>
          <w:numId w:val="15"/>
        </w:numPr>
        <w:spacing w:line="360" w:lineRule="auto"/>
        <w:ind w:left="0" w:firstLine="0"/>
        <w:contextualSpacing/>
        <w:jc w:val="both"/>
        <w:rPr>
          <w:rFonts w:ascii="Palatino Linotype" w:hAnsi="Palatino Linotype" w:cs="Arial"/>
        </w:rPr>
      </w:pPr>
      <w:r>
        <w:rPr>
          <w:rFonts w:ascii="Palatino Linotype" w:eastAsia="MS Gothic" w:hAnsi="Palatino Linotype" w:cs="Times New Roman"/>
          <w:szCs w:val="26"/>
        </w:rPr>
        <w:t xml:space="preserve"> </w:t>
      </w:r>
      <w:r w:rsidRPr="008C0982">
        <w:rPr>
          <w:rFonts w:ascii="Palatino Linotype" w:eastAsia="MS Gothic" w:hAnsi="Palatino Linotype" w:cs="Times New Roman"/>
          <w:szCs w:val="26"/>
        </w:rPr>
        <w:t>Al respecto, los Lineamientos Generales en Materia de Clasificación y Desclasificación de la Información, así Como para la Elaboración de Versiones Públicas, por cuanto hace a la clasificación de la información, señalan lo siguiente:</w:t>
      </w:r>
    </w:p>
    <w:p w:rsidR="009A2251" w:rsidRPr="009A2251" w:rsidRDefault="009A2251" w:rsidP="009A2251">
      <w:pPr>
        <w:pStyle w:val="Prrafodelista"/>
        <w:rPr>
          <w:rFonts w:ascii="Palatino Linotype" w:hAnsi="Palatino Linotype" w:cs="Arial"/>
        </w:rPr>
      </w:pPr>
    </w:p>
    <w:p w:rsidR="009F09B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w:t>
      </w:r>
      <w:r w:rsidRPr="008C0982">
        <w:rPr>
          <w:rFonts w:ascii="Palatino Linotype" w:hAnsi="Palatino Linotype" w:cs="Arial"/>
          <w:b/>
          <w:i/>
        </w:rPr>
        <w:t>Quincuagésimo.</w:t>
      </w:r>
      <w:r w:rsidRPr="008C0982">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9E68D3" w:rsidRPr="008C0982" w:rsidRDefault="009E68D3" w:rsidP="009F09BC">
      <w:pPr>
        <w:pStyle w:val="Prrafodelista"/>
        <w:tabs>
          <w:tab w:val="left" w:pos="142"/>
          <w:tab w:val="left" w:pos="284"/>
          <w:tab w:val="left" w:pos="426"/>
        </w:tabs>
        <w:spacing w:line="276" w:lineRule="auto"/>
        <w:ind w:left="567" w:right="567"/>
        <w:jc w:val="both"/>
        <w:rPr>
          <w:rFonts w:ascii="Palatino Linotype" w:hAnsi="Palatino Linotype" w:cs="Arial"/>
          <w:i/>
        </w:rPr>
      </w:pP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primero.</w:t>
      </w:r>
      <w:r w:rsidRPr="008C0982">
        <w:rPr>
          <w:rFonts w:ascii="Palatino Linotype" w:hAnsi="Palatino Linotype" w:cs="Arial"/>
          <w:i/>
        </w:rPr>
        <w:t xml:space="preserve"> La leyenda en los documentos clasificados indicará:</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 La fecha de sesión del Comité de Transparencia en donde se confirmó la clasificación, en su caso;</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II. El nombre del área;</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III. La palabra reservado o confidencial;</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IV. Las partes o secciones reservadas o confidenciales, en su caso;</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 El fundamento legal;</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VI. El periodo de reserva, y</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VII. La rúbrica del titular del área.</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lastRenderedPageBreak/>
        <w:t>Quincuagésimo segundo.</w:t>
      </w:r>
      <w:r w:rsidRPr="008C0982">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tercero.</w:t>
      </w:r>
      <w:r w:rsidRPr="008C0982">
        <w:rPr>
          <w:rFonts w:ascii="Palatino Linotype" w:hAnsi="Palatino Linotype" w:cs="Arial"/>
          <w:i/>
        </w:rPr>
        <w:t xml:space="preserve"> El formato para señalar la clasificación parcial de un documento, es el siguiente:</w:t>
      </w:r>
    </w:p>
    <w:p w:rsidR="009F09BC" w:rsidRPr="008C0982" w:rsidRDefault="009F09BC" w:rsidP="009F09BC">
      <w:pPr>
        <w:pStyle w:val="Prrafodelista"/>
        <w:tabs>
          <w:tab w:val="left" w:pos="142"/>
          <w:tab w:val="left" w:pos="284"/>
          <w:tab w:val="left" w:pos="426"/>
        </w:tabs>
        <w:spacing w:line="360" w:lineRule="auto"/>
        <w:ind w:left="0"/>
        <w:jc w:val="center"/>
        <w:rPr>
          <w:rFonts w:ascii="Palatino Linotype" w:hAnsi="Palatino Linotype" w:cs="Arial"/>
        </w:rPr>
      </w:pPr>
      <w:r w:rsidRPr="008C0982">
        <w:rPr>
          <w:rFonts w:ascii="Palatino Linotype" w:hAnsi="Palatino Linotype" w:cs="Arial"/>
          <w:i/>
          <w:noProof/>
          <w:lang w:val="es-ES"/>
        </w:rPr>
        <w:drawing>
          <wp:inline distT="0" distB="0" distL="0" distR="0" wp14:anchorId="2E6835A7" wp14:editId="6EDF19F0">
            <wp:extent cx="4264925" cy="3302758"/>
            <wp:effectExtent l="57150" t="57150" r="116840" b="10731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8172" cy="324332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977884"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Una vez hecho lo anterior, se remite la información al Titular de la Unidad de Transparencia, con el acuerdo de clasificación correspondiente, para que sea sometido al conocimiento del Comité de Transparencia.</w:t>
      </w:r>
    </w:p>
    <w:p w:rsidR="009F09BC" w:rsidRPr="008C0982"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8C0982" w:rsidRDefault="009F09BC" w:rsidP="009F09BC">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93" w:name="_Toc51863317"/>
      <w:bookmarkStart w:id="194" w:name="_Toc52444651"/>
      <w:bookmarkStart w:id="195" w:name="_Toc57154370"/>
      <w:bookmarkStart w:id="196" w:name="_Toc65170176"/>
      <w:bookmarkStart w:id="197" w:name="_Toc66371802"/>
      <w:bookmarkStart w:id="198" w:name="_Toc67584837"/>
      <w:bookmarkStart w:id="199" w:name="_Toc70070913"/>
      <w:bookmarkStart w:id="200" w:name="_Toc70593360"/>
      <w:bookmarkStart w:id="201" w:name="_Toc71290719"/>
      <w:bookmarkStart w:id="202" w:name="_Toc71291225"/>
      <w:bookmarkStart w:id="203" w:name="_Toc71674124"/>
      <w:bookmarkStart w:id="204" w:name="_Toc83128593"/>
      <w:r w:rsidRPr="008C0982">
        <w:rPr>
          <w:rFonts w:ascii="Palatino Linotype" w:hAnsi="Palatino Linotype" w:cs="Arial"/>
          <w:b/>
        </w:rPr>
        <w:t>III. La intervención del Comité de Transparencia.</w:t>
      </w:r>
      <w:bookmarkEnd w:id="193"/>
      <w:bookmarkEnd w:id="194"/>
      <w:bookmarkEnd w:id="195"/>
      <w:bookmarkEnd w:id="196"/>
      <w:bookmarkEnd w:id="197"/>
      <w:bookmarkEnd w:id="198"/>
      <w:bookmarkEnd w:id="199"/>
      <w:bookmarkEnd w:id="200"/>
      <w:bookmarkEnd w:id="201"/>
      <w:bookmarkEnd w:id="202"/>
      <w:bookmarkEnd w:id="203"/>
      <w:bookmarkEnd w:id="204"/>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b/>
        </w:rPr>
      </w:pPr>
      <w:r w:rsidRPr="008C0982">
        <w:rPr>
          <w:rFonts w:ascii="Palatino Linotype" w:hAnsi="Palatino Linotype" w:cs="Arial"/>
          <w:b/>
        </w:rPr>
        <w:lastRenderedPageBreak/>
        <w:t>a) Formalidades para emitir el Acuerdo de Clasificación.</w:t>
      </w:r>
    </w:p>
    <w:p w:rsidR="009F09BC" w:rsidRPr="008C0982"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8C0982">
        <w:rPr>
          <w:rFonts w:ascii="Palatino Linotype" w:eastAsia="MS Gothic" w:hAnsi="Palatino Linotype" w:cs="Times New Roman"/>
          <w:b/>
          <w:szCs w:val="26"/>
          <w:u w:val="single"/>
        </w:rPr>
        <w:t>confirmar, modificar o revocar</w:t>
      </w:r>
      <w:r w:rsidRPr="008C0982">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8C0982">
        <w:rPr>
          <w:rFonts w:ascii="Palatino Linotype" w:eastAsia="MS Gothic" w:hAnsi="Palatino Linotype" w:cs="Times New Roman"/>
          <w:b/>
          <w:szCs w:val="26"/>
          <w:u w:val="single"/>
        </w:rPr>
        <w:t>no aprueba</w:t>
      </w:r>
      <w:r w:rsidRPr="008C0982">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6D15D0"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 xml:space="preserve">Evidentemente, esta decisión implica una restricción a un derecho humano, por lo tanto, </w:t>
      </w:r>
      <w:r w:rsidRPr="00053FB7">
        <w:rPr>
          <w:rFonts w:ascii="Palatino Linotype" w:eastAsia="MS Gothic" w:hAnsi="Palatino Linotype" w:cs="Times New Roman"/>
          <w:szCs w:val="26"/>
        </w:rPr>
        <w:t>puede</w:t>
      </w:r>
      <w:r w:rsidRPr="008C0982">
        <w:rPr>
          <w:rFonts w:ascii="Palatino Linotype" w:eastAsia="MS Gothic" w:hAnsi="Palatino Linotype" w:cs="Times New Roman"/>
          <w:szCs w:val="26"/>
        </w:rPr>
        <w:t xml:space="preserve"> generar un agravio al particular y, en consecuencia, es necesario que </w:t>
      </w:r>
      <w:r w:rsidRPr="008C0982">
        <w:rPr>
          <w:rFonts w:ascii="Palatino Linotype" w:eastAsia="MS Gothic" w:hAnsi="Palatino Linotype" w:cs="Times New Roman"/>
          <w:b/>
          <w:szCs w:val="26"/>
          <w:u w:val="single"/>
        </w:rPr>
        <w:t>el acto reúna con los requisitos elementales</w:t>
      </w:r>
      <w:r w:rsidRPr="008C0982">
        <w:rPr>
          <w:rFonts w:ascii="Palatino Linotype" w:eastAsia="MS Gothic" w:hAnsi="Palatino Linotype" w:cs="Times New Roman"/>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6D15D0" w:rsidRPr="006D15D0" w:rsidRDefault="006D15D0" w:rsidP="006D15D0">
      <w:pPr>
        <w:pStyle w:val="Prrafodelista"/>
        <w:rPr>
          <w:rFonts w:ascii="Palatino Linotype" w:hAnsi="Palatino Linotype" w:cs="Arial"/>
        </w:rPr>
      </w:pPr>
    </w:p>
    <w:p w:rsidR="009F09BC" w:rsidRPr="008C0982"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Default="009F09BC" w:rsidP="009F09BC">
      <w:pPr>
        <w:pStyle w:val="Prrafodelista"/>
        <w:numPr>
          <w:ilvl w:val="0"/>
          <w:numId w:val="30"/>
        </w:numPr>
        <w:tabs>
          <w:tab w:val="left" w:pos="142"/>
          <w:tab w:val="left" w:pos="284"/>
          <w:tab w:val="left" w:pos="426"/>
        </w:tabs>
        <w:spacing w:line="360" w:lineRule="auto"/>
        <w:jc w:val="both"/>
        <w:rPr>
          <w:rFonts w:ascii="Palatino Linotype" w:hAnsi="Palatino Linotype" w:cs="Arial"/>
          <w:b/>
        </w:rPr>
      </w:pPr>
      <w:r w:rsidRPr="008C0982">
        <w:rPr>
          <w:rFonts w:ascii="Palatino Linotype" w:hAnsi="Palatino Linotype" w:cs="Arial"/>
          <w:b/>
        </w:rPr>
        <w:t>Requisitos de fondo del Acuerdo de Clasificación.</w:t>
      </w:r>
    </w:p>
    <w:p w:rsidR="009F09BC" w:rsidRPr="00103D15"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r w:rsidR="00264C9A" w:rsidRPr="008C0982">
        <w:rPr>
          <w:rFonts w:ascii="Palatino Linotype" w:eastAsia="MS Gothic" w:hAnsi="Palatino Linotype" w:cs="Times New Roman"/>
          <w:szCs w:val="26"/>
        </w:rPr>
        <w:t>Generales, al</w:t>
      </w:r>
      <w:r w:rsidRPr="008C0982">
        <w:rPr>
          <w:rFonts w:ascii="Palatino Linotype" w:eastAsia="MS Gothic" w:hAnsi="Palatino Linotype" w:cs="Times New Roman"/>
          <w:szCs w:val="26"/>
        </w:rPr>
        <w:t xml:space="preserve"> señalar que la carga de la prueba, para justificar las restricciones, corresponde a los sujetos obligados, por lo que deberán fundar y motivar debidamente la clasificación.</w:t>
      </w:r>
    </w:p>
    <w:p w:rsidR="009F09BC" w:rsidRPr="008C0982"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C5331A"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 xml:space="preserve">De lo anterior, se desprende </w:t>
      </w:r>
      <w:proofErr w:type="gramStart"/>
      <w:r w:rsidRPr="008C0982">
        <w:rPr>
          <w:rFonts w:ascii="Palatino Linotype" w:eastAsia="MS Gothic" w:hAnsi="Palatino Linotype" w:cs="Times New Roman"/>
          <w:szCs w:val="26"/>
        </w:rPr>
        <w:t>que</w:t>
      </w:r>
      <w:proofErr w:type="gramEnd"/>
      <w:r w:rsidRPr="008C0982">
        <w:rPr>
          <w:rFonts w:ascii="Palatino Linotype" w:eastAsia="MS Gothic" w:hAnsi="Palatino Linotype" w:cs="Times New Roman"/>
          <w:szCs w:val="26"/>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8C0982">
        <w:rPr>
          <w:rFonts w:ascii="Palatino Linotype" w:eastAsia="MS Gothic" w:hAnsi="Palatino Linotype" w:cs="Times New Roman"/>
          <w:szCs w:val="26"/>
        </w:rPr>
        <w:lastRenderedPageBreak/>
        <w:t>fundamentos legales que le dieron origen y las razones por las que se deben aplicar al caso concreto.</w:t>
      </w:r>
    </w:p>
    <w:p w:rsidR="009F09BC" w:rsidRPr="00C5331A" w:rsidRDefault="009F09BC" w:rsidP="009F09BC">
      <w:pPr>
        <w:pStyle w:val="Prrafodelista"/>
        <w:rPr>
          <w:rFonts w:ascii="Palatino Linotype" w:hAnsi="Palatino Linotype" w:cs="Arial"/>
        </w:rPr>
      </w:pPr>
    </w:p>
    <w:p w:rsidR="009F09BC" w:rsidRPr="00EE2A79"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8C0982">
        <w:rPr>
          <w:rFonts w:ascii="Palatino Linotype" w:eastAsia="MS Gothic" w:hAnsi="Palatino Linotype" w:cs="Times New Roman"/>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C0982">
        <w:rPr>
          <w:rFonts w:ascii="Palatino Linotype" w:eastAsia="MS Gothic" w:hAnsi="Palatino Linotype" w:cs="Times New Roman"/>
          <w:szCs w:val="26"/>
        </w:rPr>
        <w:t>....”</w:t>
      </w:r>
      <w:r w:rsidRPr="008C0982">
        <w:rPr>
          <w:rFonts w:ascii="Palatino Linotype" w:eastAsia="MS Gothic" w:hAnsi="Palatino Linotype" w:cs="Times New Roman"/>
          <w:szCs w:val="26"/>
          <w:vertAlign w:val="superscript"/>
        </w:rPr>
        <w:footnoteReference w:id="8"/>
      </w:r>
    </w:p>
    <w:p w:rsidR="009F09BC" w:rsidRPr="00EE2A79" w:rsidRDefault="009F09BC" w:rsidP="009F09BC">
      <w:pPr>
        <w:pStyle w:val="Prrafodelista"/>
        <w:rPr>
          <w:rFonts w:ascii="Palatino Linotype" w:hAnsi="Palatino Linotype" w:cs="Arial"/>
        </w:rPr>
      </w:pPr>
    </w:p>
    <w:p w:rsidR="009F09BC" w:rsidRPr="008C0982" w:rsidRDefault="009F09BC" w:rsidP="00053FB7">
      <w:pPr>
        <w:numPr>
          <w:ilvl w:val="0"/>
          <w:numId w:val="15"/>
        </w:numPr>
        <w:spacing w:line="360" w:lineRule="auto"/>
        <w:ind w:left="0" w:firstLine="0"/>
        <w:contextualSpacing/>
        <w:jc w:val="both"/>
        <w:rPr>
          <w:rFonts w:ascii="Palatino Linotype" w:hAnsi="Palatino Linotype" w:cs="Arial"/>
        </w:rPr>
      </w:pPr>
      <w:r>
        <w:rPr>
          <w:rFonts w:ascii="Palatino Linotype" w:hAnsi="Palatino Linotype" w:cs="Arial"/>
        </w:rPr>
        <w:t xml:space="preserve"> </w:t>
      </w:r>
      <w:r w:rsidRPr="008C0982">
        <w:rPr>
          <w:rFonts w:ascii="Palatino Linotype" w:hAnsi="Palatino Linotype" w:cs="Arial"/>
        </w:rPr>
        <w:t>Por su parte, el intérprete judicial del país ha establecido una jurisprudencia respecto a qué debe entenderse por fundamentación y motivación, en los siguientes términos:</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C0982" w:rsidRDefault="009E68D3" w:rsidP="009E68D3">
      <w:pPr>
        <w:spacing w:line="276" w:lineRule="auto"/>
        <w:ind w:left="567" w:right="618"/>
        <w:contextualSpacing/>
        <w:jc w:val="both"/>
        <w:rPr>
          <w:rFonts w:ascii="Palatino Linotype" w:hAnsi="Palatino Linotype" w:cs="Arial"/>
          <w:i/>
          <w:color w:val="000000"/>
        </w:rPr>
      </w:pPr>
      <w:r>
        <w:rPr>
          <w:rFonts w:ascii="Palatino Linotype" w:hAnsi="Palatino Linotype" w:cs="Arial"/>
          <w:b/>
          <w:i/>
          <w:color w:val="000000"/>
        </w:rPr>
        <w:t>“</w:t>
      </w:r>
      <w:r w:rsidR="009F09BC" w:rsidRPr="008C0982">
        <w:rPr>
          <w:rFonts w:ascii="Palatino Linotype" w:hAnsi="Palatino Linotype" w:cs="Arial"/>
          <w:b/>
          <w:i/>
          <w:color w:val="000000"/>
        </w:rPr>
        <w:t>FUNDAMENTACIÓN Y MOTIVACIÓN.</w:t>
      </w:r>
      <w:r w:rsidR="009F09BC" w:rsidRPr="008C0982">
        <w:rPr>
          <w:rFonts w:ascii="Palatino Linotype" w:hAnsi="Palatino Linotype" w:cs="Arial"/>
          <w:i/>
          <w:color w:val="000000"/>
        </w:rPr>
        <w:t xml:space="preserve"> “La </w:t>
      </w:r>
      <w:r w:rsidR="009F09BC" w:rsidRPr="008C0982">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009F09BC" w:rsidRPr="008C0982">
        <w:rPr>
          <w:rFonts w:ascii="Palatino Linotype" w:hAnsi="Palatino Linotype" w:cs="Arial"/>
          <w:i/>
          <w:color w:val="000000"/>
        </w:rPr>
        <w:t>.”</w:t>
      </w:r>
    </w:p>
    <w:p w:rsidR="009F09BC" w:rsidRPr="008C0982" w:rsidRDefault="009F09BC" w:rsidP="009E68D3">
      <w:pPr>
        <w:spacing w:line="360" w:lineRule="auto"/>
        <w:ind w:left="567" w:right="618"/>
        <w:contextualSpacing/>
        <w:jc w:val="both"/>
        <w:rPr>
          <w:rFonts w:ascii="Palatino Linotype" w:hAnsi="Palatino Linotype" w:cs="Arial"/>
          <w:i/>
          <w:color w:val="000000"/>
        </w:rPr>
      </w:pPr>
      <w:r w:rsidRPr="008C0982">
        <w:rPr>
          <w:rFonts w:ascii="Palatino Linotype" w:hAnsi="Palatino Linotype" w:cs="Arial"/>
          <w:i/>
          <w:color w:val="000000"/>
        </w:rPr>
        <w:lastRenderedPageBreak/>
        <w:t>SEGUNDO TRIBUNAL COLEGIADO DEL SEXTO CIRCUITO.</w:t>
      </w:r>
    </w:p>
    <w:p w:rsidR="009F09BC" w:rsidRPr="008C0982" w:rsidRDefault="009F09BC" w:rsidP="009E68D3">
      <w:pPr>
        <w:spacing w:line="360" w:lineRule="auto"/>
        <w:ind w:left="567" w:right="618"/>
        <w:contextualSpacing/>
        <w:jc w:val="both"/>
        <w:rPr>
          <w:rFonts w:ascii="Palatino Linotype" w:hAnsi="Palatino Linotype" w:cs="Arial"/>
          <w:i/>
          <w:color w:val="000000"/>
        </w:rPr>
      </w:pPr>
      <w:r w:rsidRPr="008C0982">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9F09BC" w:rsidRPr="008C0982" w:rsidRDefault="009F09BC" w:rsidP="009E68D3">
      <w:pPr>
        <w:spacing w:line="360" w:lineRule="auto"/>
        <w:ind w:left="567" w:right="618"/>
        <w:contextualSpacing/>
        <w:jc w:val="both"/>
        <w:rPr>
          <w:rFonts w:ascii="Palatino Linotype" w:hAnsi="Palatino Linotype" w:cs="Arial"/>
          <w:i/>
          <w:color w:val="000000"/>
        </w:rPr>
      </w:pPr>
      <w:r w:rsidRPr="008C0982">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8C0982">
        <w:rPr>
          <w:rFonts w:ascii="Palatino Linotype" w:hAnsi="Palatino Linotype" w:cs="Arial"/>
          <w:i/>
          <w:color w:val="000000"/>
        </w:rPr>
        <w:t>Esponda</w:t>
      </w:r>
      <w:proofErr w:type="spellEnd"/>
      <w:r w:rsidRPr="008C0982">
        <w:rPr>
          <w:rFonts w:ascii="Palatino Linotype" w:hAnsi="Palatino Linotype" w:cs="Arial"/>
          <w:i/>
          <w:color w:val="000000"/>
        </w:rPr>
        <w:t xml:space="preserve"> Rincón.</w:t>
      </w:r>
    </w:p>
    <w:p w:rsidR="009F09BC" w:rsidRPr="008C0982" w:rsidRDefault="009F09BC" w:rsidP="009E68D3">
      <w:pPr>
        <w:spacing w:line="360" w:lineRule="auto"/>
        <w:ind w:left="567" w:right="618"/>
        <w:contextualSpacing/>
        <w:jc w:val="both"/>
        <w:rPr>
          <w:rFonts w:ascii="Palatino Linotype" w:hAnsi="Palatino Linotype" w:cs="Arial"/>
          <w:i/>
          <w:color w:val="000000"/>
        </w:rPr>
      </w:pPr>
      <w:r w:rsidRPr="008C0982">
        <w:rPr>
          <w:rFonts w:ascii="Palatino Linotype" w:hAnsi="Palatino Linotype" w:cs="Arial"/>
          <w:i/>
          <w:color w:val="000000"/>
        </w:rPr>
        <w:t xml:space="preserve">Amparo en revisión 333/88. </w:t>
      </w:r>
      <w:proofErr w:type="spellStart"/>
      <w:r w:rsidRPr="008C0982">
        <w:rPr>
          <w:rFonts w:ascii="Palatino Linotype" w:hAnsi="Palatino Linotype" w:cs="Arial"/>
          <w:i/>
          <w:color w:val="000000"/>
        </w:rPr>
        <w:t>Adilia</w:t>
      </w:r>
      <w:proofErr w:type="spellEnd"/>
      <w:r w:rsidRPr="008C0982">
        <w:rPr>
          <w:rFonts w:ascii="Palatino Linotype" w:hAnsi="Palatino Linotype" w:cs="Arial"/>
          <w:i/>
          <w:color w:val="000000"/>
        </w:rPr>
        <w:t xml:space="preserve"> Romero. 26 de octubre de 1988. Unanimidad de votos. Ponente: Arnoldo Nájera Virgen. Secretario: Enrique Crispín Campos Ramírez.</w:t>
      </w:r>
    </w:p>
    <w:p w:rsidR="009F09BC" w:rsidRPr="008C0982" w:rsidRDefault="009F09BC" w:rsidP="009E68D3">
      <w:pPr>
        <w:spacing w:line="360" w:lineRule="auto"/>
        <w:ind w:left="567" w:right="618"/>
        <w:contextualSpacing/>
        <w:jc w:val="both"/>
        <w:rPr>
          <w:rFonts w:ascii="Palatino Linotype" w:hAnsi="Palatino Linotype" w:cs="Arial"/>
          <w:i/>
          <w:color w:val="000000"/>
        </w:rPr>
      </w:pPr>
      <w:r w:rsidRPr="008C0982">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8C0982">
        <w:rPr>
          <w:rFonts w:ascii="Palatino Linotype" w:hAnsi="Palatino Linotype" w:cs="Arial"/>
          <w:i/>
          <w:color w:val="000000"/>
        </w:rPr>
        <w:t>Goyzueta</w:t>
      </w:r>
      <w:proofErr w:type="spellEnd"/>
      <w:r w:rsidRPr="008C0982">
        <w:rPr>
          <w:rFonts w:ascii="Palatino Linotype" w:hAnsi="Palatino Linotype" w:cs="Arial"/>
          <w:i/>
          <w:color w:val="000000"/>
        </w:rPr>
        <w:t>. Secretario: Gonzalo Carrera Molina.</w:t>
      </w:r>
    </w:p>
    <w:p w:rsidR="009F09BC" w:rsidRDefault="009F09BC" w:rsidP="009E68D3">
      <w:pPr>
        <w:spacing w:line="360" w:lineRule="auto"/>
        <w:ind w:left="567" w:right="618"/>
        <w:contextualSpacing/>
        <w:jc w:val="both"/>
        <w:rPr>
          <w:rFonts w:ascii="Palatino Linotype" w:hAnsi="Palatino Linotype" w:cs="Arial"/>
          <w:i/>
          <w:color w:val="000000"/>
        </w:rPr>
      </w:pPr>
      <w:r w:rsidRPr="008C0982">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8C0982">
        <w:rPr>
          <w:rFonts w:ascii="Palatino Linotype" w:hAnsi="Palatino Linotype" w:cs="Arial"/>
          <w:i/>
          <w:color w:val="000000"/>
        </w:rPr>
        <w:t>Baigts</w:t>
      </w:r>
      <w:proofErr w:type="spellEnd"/>
      <w:r w:rsidRPr="008C0982">
        <w:rPr>
          <w:rFonts w:ascii="Palatino Linotype" w:hAnsi="Palatino Linotype" w:cs="Arial"/>
          <w:i/>
          <w:color w:val="000000"/>
        </w:rPr>
        <w:t xml:space="preserve"> Muñoz.</w:t>
      </w:r>
      <w:r w:rsidR="009E68D3">
        <w:rPr>
          <w:rFonts w:ascii="Palatino Linotype" w:hAnsi="Palatino Linotype" w:cs="Arial"/>
          <w:i/>
          <w:color w:val="000000"/>
        </w:rPr>
        <w:t>”</w:t>
      </w:r>
    </w:p>
    <w:p w:rsidR="009F09BC" w:rsidRPr="008C0982" w:rsidRDefault="009F09BC" w:rsidP="009F09BC">
      <w:pPr>
        <w:spacing w:line="360" w:lineRule="auto"/>
        <w:ind w:left="851" w:right="618"/>
        <w:contextualSpacing/>
        <w:jc w:val="both"/>
        <w:rPr>
          <w:rFonts w:ascii="Palatino Linotype" w:hAnsi="Palatino Linotype" w:cs="Arial"/>
          <w:i/>
          <w:color w:val="000000"/>
        </w:rPr>
      </w:pPr>
    </w:p>
    <w:p w:rsidR="009F09BC" w:rsidRPr="008C0982" w:rsidRDefault="009F09BC" w:rsidP="00053FB7">
      <w:pPr>
        <w:numPr>
          <w:ilvl w:val="0"/>
          <w:numId w:val="15"/>
        </w:numPr>
        <w:spacing w:line="360" w:lineRule="auto"/>
        <w:ind w:left="0" w:firstLine="0"/>
        <w:contextualSpacing/>
        <w:jc w:val="both"/>
        <w:rPr>
          <w:rFonts w:ascii="Palatino Linotype" w:hAnsi="Palatino Linotype" w:cs="Arial"/>
        </w:rPr>
      </w:pPr>
      <w:r>
        <w:rPr>
          <w:rFonts w:ascii="Palatino Linotype" w:eastAsia="MS Gothic" w:hAnsi="Palatino Linotype" w:cs="Times New Roman"/>
        </w:rPr>
        <w:t xml:space="preserve"> </w:t>
      </w:r>
      <w:r w:rsidRPr="00053FB7">
        <w:rPr>
          <w:rFonts w:ascii="Palatino Linotype" w:hAnsi="Palatino Linotype" w:cs="Arial"/>
        </w:rPr>
        <w:t>Así</w:t>
      </w:r>
      <w:r w:rsidRPr="008C0982">
        <w:rPr>
          <w:rFonts w:ascii="Palatino Linotype" w:eastAsia="MS Gothic" w:hAnsi="Palatino Linotype" w:cs="Times New Roman"/>
        </w:rPr>
        <w:t>,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C0982" w:rsidRDefault="009F09BC" w:rsidP="00053FB7">
      <w:pPr>
        <w:numPr>
          <w:ilvl w:val="0"/>
          <w:numId w:val="15"/>
        </w:numPr>
        <w:spacing w:line="360" w:lineRule="auto"/>
        <w:ind w:left="0" w:firstLine="0"/>
        <w:contextualSpacing/>
        <w:jc w:val="both"/>
        <w:rPr>
          <w:rFonts w:ascii="Palatino Linotype" w:hAnsi="Palatino Linotype" w:cs="Arial"/>
        </w:rPr>
      </w:pPr>
      <w:r>
        <w:rPr>
          <w:rFonts w:ascii="Palatino Linotype" w:eastAsia="MS Gothic" w:hAnsi="Palatino Linotype" w:cs="Times New Roman"/>
        </w:rPr>
        <w:t xml:space="preserve"> </w:t>
      </w:r>
      <w:r w:rsidRPr="008C0982">
        <w:rPr>
          <w:rFonts w:ascii="Palatino Linotype" w:eastAsia="MS Gothic" w:hAnsi="Palatino Linotype" w:cs="Times New Roman"/>
        </w:rPr>
        <w:t xml:space="preserve">En consecuencia, la fundamentación y motivación implica que, en el acto de autoridad, además de contenerse los supuestos jurídicos aplicables se expliquen </w:t>
      </w:r>
      <w:r w:rsidRPr="00053FB7">
        <w:rPr>
          <w:rFonts w:ascii="Palatino Linotype" w:hAnsi="Palatino Linotype" w:cs="Arial"/>
        </w:rPr>
        <w:lastRenderedPageBreak/>
        <w:t>claramente</w:t>
      </w:r>
      <w:r w:rsidRPr="008C0982">
        <w:rPr>
          <w:rFonts w:ascii="Palatino Linotype" w:eastAsia="MS Gothic" w:hAnsi="Palatino Linotype" w:cs="Times New Roman"/>
        </w:rPr>
        <w:t xml:space="preserve"> por qué a través de la utilización de la norma se emitió el acto. De este modo, la persona que se sienta afectada pueda impugnar la decisión, permitiéndole una real y auténtica defensa.</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9E68D3" w:rsidRDefault="009F09BC" w:rsidP="00053FB7">
      <w:pPr>
        <w:numPr>
          <w:ilvl w:val="0"/>
          <w:numId w:val="15"/>
        </w:numPr>
        <w:spacing w:line="360" w:lineRule="auto"/>
        <w:ind w:left="0" w:firstLine="0"/>
        <w:contextualSpacing/>
        <w:jc w:val="both"/>
        <w:rPr>
          <w:rFonts w:ascii="Palatino Linotype" w:hAnsi="Palatino Linotype" w:cs="Arial"/>
        </w:rPr>
      </w:pPr>
      <w:r>
        <w:rPr>
          <w:rFonts w:ascii="Palatino Linotype" w:eastAsia="MS Gothic" w:hAnsi="Palatino Linotype" w:cs="Times New Roman"/>
        </w:rPr>
        <w:t xml:space="preserve"> </w:t>
      </w:r>
      <w:r w:rsidRPr="008C0982">
        <w:rPr>
          <w:rFonts w:ascii="Palatino Linotype" w:eastAsia="MS Gothic" w:hAnsi="Palatino Linotype" w:cs="Times New Roman"/>
        </w:rPr>
        <w:t xml:space="preserve">En ese mismo sentido, el numeral trigésimo tercero fracción V de los </w:t>
      </w:r>
      <w:r w:rsidRPr="00053FB7">
        <w:rPr>
          <w:rFonts w:ascii="Palatino Linotype" w:hAnsi="Palatino Linotype" w:cs="Arial"/>
        </w:rPr>
        <w:t>Lineamientos</w:t>
      </w:r>
      <w:r w:rsidRPr="008C0982">
        <w:rPr>
          <w:rFonts w:ascii="Palatino Linotype" w:eastAsia="MS Gothic" w:hAnsi="Palatino Linotype" w:cs="Times New Roman"/>
        </w:rPr>
        <w:t xml:space="preserve"> Generales, precisa que para motivar la clasificación se deben acreditar las circunstancias de tiempo, modo y lugar.</w:t>
      </w:r>
    </w:p>
    <w:p w:rsidR="009E68D3" w:rsidRDefault="009E68D3" w:rsidP="009E68D3">
      <w:pPr>
        <w:pStyle w:val="Prrafodelista"/>
        <w:rPr>
          <w:rFonts w:ascii="Palatino Linotype" w:hAnsi="Palatino Linotype" w:cs="Arial"/>
        </w:rPr>
      </w:pPr>
    </w:p>
    <w:p w:rsidR="009F09BC" w:rsidRPr="008C0982"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rPr>
        <w:t xml:space="preserve">Ahora bien, </w:t>
      </w:r>
      <w:r w:rsidRPr="008C0982">
        <w:rPr>
          <w:rFonts w:ascii="Palatino Linotype" w:eastAsia="MS Gothic" w:hAnsi="Palatino Linotype" w:cs="Times New Roman"/>
          <w:b/>
          <w:u w:val="single"/>
        </w:rPr>
        <w:t>para cada caso además de fundar y motivar</w:t>
      </w:r>
      <w:r w:rsidRPr="008C0982">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8C0982">
        <w:rPr>
          <w:rFonts w:ascii="Palatino Linotype" w:eastAsia="MS Gothic" w:hAnsi="Palatino Linotype" w:cs="Times New Roman"/>
          <w:vertAlign w:val="superscript"/>
        </w:rPr>
        <w:footnoteReference w:id="9"/>
      </w:r>
      <w:r w:rsidRPr="008C0982">
        <w:rPr>
          <w:rFonts w:ascii="Palatino Linotype" w:eastAsia="MS Gothic" w:hAnsi="Palatino Linotype" w:cs="Times New Roman"/>
        </w:rPr>
        <w:t xml:space="preserve"> del servidor público que no tienen ninguna injerencia en el tema de la transparencia y la rendición de cuentas, por ejemplo, </w:t>
      </w:r>
      <w:r w:rsidRPr="008C0982">
        <w:rPr>
          <w:rFonts w:ascii="Palatino Linotype" w:eastAsia="MS Gothic" w:hAnsi="Palatino Linotype" w:cs="Times New Roman"/>
          <w:lang w:val="es-ES"/>
        </w:rPr>
        <w:t>Clave Única de Registro de Población (CURP), Registro Federal de Contribuyentes (R.F.C.), son datos  susceptibles de clasificarse como confidenciales mediante una versión pública que deje a la vista los datos que ofrezcan la información requerida.</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6017DD"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rPr>
        <w:t xml:space="preserve">Otro </w:t>
      </w:r>
      <w:r w:rsidRPr="008C0982">
        <w:rPr>
          <w:rFonts w:ascii="Palatino Linotype" w:eastAsia="MS Gothic" w:hAnsi="Palatino Linotype" w:cs="Times New Roman"/>
          <w:lang w:val="es-ES"/>
        </w:rPr>
        <w:t xml:space="preserve">tipo de información confidencial constituyen los secretos bancario, fiduciario, </w:t>
      </w:r>
      <w:r w:rsidRPr="00053FB7">
        <w:rPr>
          <w:rFonts w:ascii="Palatino Linotype" w:eastAsia="MS Gothic" w:hAnsi="Palatino Linotype" w:cs="Times New Roman"/>
        </w:rPr>
        <w:t>industrial</w:t>
      </w:r>
      <w:r w:rsidRPr="008C0982">
        <w:rPr>
          <w:rFonts w:ascii="Palatino Linotype" w:eastAsia="MS Gothic" w:hAnsi="Palatino Linotype" w:cs="Times New Roman"/>
          <w:lang w:val="es-ES"/>
        </w:rPr>
        <w:t xml:space="preserve">, comercial, fiscal, bursátil y postal, </w:t>
      </w:r>
      <w:r w:rsidRPr="002C3821">
        <w:rPr>
          <w:rFonts w:ascii="Palatino Linotype" w:eastAsia="MS Gothic" w:hAnsi="Palatino Linotype" w:cs="Times New Roman"/>
          <w:b/>
          <w:lang w:val="es-ES"/>
        </w:rPr>
        <w:t>cuya titularidad corresponda a particulares</w:t>
      </w:r>
      <w:r w:rsidRPr="008C0982">
        <w:rPr>
          <w:rFonts w:ascii="Palatino Linotype" w:eastAsia="MS Gothic" w:hAnsi="Palatino Linotype" w:cs="Times New Roman"/>
          <w:lang w:val="es-ES"/>
        </w:rPr>
        <w:t xml:space="preserve">, sujetos de derecho internacional o a sujetos obligados </w:t>
      </w:r>
      <w:r w:rsidRPr="008C0982">
        <w:rPr>
          <w:rFonts w:ascii="Palatino Linotype" w:eastAsia="MS Gothic" w:hAnsi="Palatino Linotype" w:cs="Times New Roman"/>
          <w:lang w:val="es-ES"/>
        </w:rPr>
        <w:lastRenderedPageBreak/>
        <w:t>cuando no involucren el ejercicio de recursos públicos, así lo define la fracción XXI del artículo 3 de la Ley Estatal.</w:t>
      </w:r>
    </w:p>
    <w:p w:rsidR="009F09BC" w:rsidRDefault="009F09BC" w:rsidP="009F09BC">
      <w:pPr>
        <w:pStyle w:val="Prrafodelista"/>
        <w:rPr>
          <w:rFonts w:ascii="Palatino Linotype" w:hAnsi="Palatino Linotype" w:cs="Arial"/>
        </w:rPr>
      </w:pPr>
    </w:p>
    <w:p w:rsidR="009E68D3" w:rsidRDefault="009E68D3" w:rsidP="009F09BC">
      <w:pPr>
        <w:pStyle w:val="Prrafodelista"/>
        <w:rPr>
          <w:rFonts w:ascii="Palatino Linotype" w:hAnsi="Palatino Linotype" w:cs="Arial"/>
        </w:rPr>
      </w:pPr>
    </w:p>
    <w:p w:rsidR="009F09BC" w:rsidRDefault="009F09BC" w:rsidP="009F09BC">
      <w:pPr>
        <w:pStyle w:val="Ttulo2"/>
        <w:numPr>
          <w:ilvl w:val="0"/>
          <w:numId w:val="25"/>
        </w:numPr>
        <w:spacing w:line="259" w:lineRule="auto"/>
        <w:rPr>
          <w:rFonts w:ascii="Palatino Linotype" w:hAnsi="Palatino Linotype"/>
          <w:b/>
          <w:color w:val="000000" w:themeColor="text1"/>
          <w:sz w:val="24"/>
        </w:rPr>
      </w:pPr>
      <w:bookmarkStart w:id="205" w:name="_Toc70082953"/>
      <w:bookmarkStart w:id="206" w:name="_Toc70593361"/>
      <w:bookmarkStart w:id="207" w:name="_Toc71674125"/>
      <w:bookmarkStart w:id="208" w:name="_Toc83128594"/>
      <w:r w:rsidRPr="00733123">
        <w:rPr>
          <w:rFonts w:ascii="Palatino Linotype" w:hAnsi="Palatino Linotype"/>
          <w:b/>
          <w:color w:val="000000" w:themeColor="text1"/>
          <w:sz w:val="24"/>
        </w:rPr>
        <w:t>Determinación</w:t>
      </w:r>
      <w:bookmarkEnd w:id="205"/>
      <w:bookmarkEnd w:id="206"/>
      <w:bookmarkEnd w:id="207"/>
      <w:bookmarkEnd w:id="208"/>
    </w:p>
    <w:p w:rsidR="009F09BC" w:rsidRPr="00733123" w:rsidRDefault="009F09BC" w:rsidP="009F09BC">
      <w:pPr>
        <w:rPr>
          <w:lang w:val="es-MX" w:eastAsia="en-US"/>
        </w:rPr>
      </w:pPr>
    </w:p>
    <w:p w:rsidR="009F09BC" w:rsidRDefault="009F09BC" w:rsidP="00053FB7">
      <w:pPr>
        <w:numPr>
          <w:ilvl w:val="0"/>
          <w:numId w:val="15"/>
        </w:numPr>
        <w:spacing w:line="360" w:lineRule="auto"/>
        <w:ind w:left="0" w:firstLine="0"/>
        <w:contextualSpacing/>
        <w:jc w:val="both"/>
        <w:rPr>
          <w:rFonts w:ascii="Palatino Linotype" w:hAnsi="Palatino Linotype"/>
          <w:color w:val="000000" w:themeColor="text1"/>
        </w:rPr>
      </w:pPr>
      <w:r w:rsidRPr="000D3320">
        <w:rPr>
          <w:rFonts w:ascii="Palatino Linotype" w:hAnsi="Palatino Linotype"/>
        </w:rPr>
        <w:t>Por lo anteriormente expuesto, este Órgano Garante considera</w:t>
      </w:r>
      <w:r>
        <w:rPr>
          <w:rFonts w:ascii="Palatino Linotype" w:hAnsi="Palatino Linotype"/>
        </w:rPr>
        <w:t xml:space="preserve"> </w:t>
      </w:r>
      <w:r w:rsidRPr="000D3320">
        <w:rPr>
          <w:rFonts w:ascii="Palatino Linotype" w:hAnsi="Palatino Linotype"/>
        </w:rPr>
        <w:t xml:space="preserve">fundadas </w:t>
      </w:r>
      <w:r w:rsidRPr="00053FB7">
        <w:rPr>
          <w:rFonts w:ascii="Palatino Linotype" w:eastAsia="MS Gothic" w:hAnsi="Palatino Linotype" w:cs="Times New Roman"/>
        </w:rPr>
        <w:t>las</w:t>
      </w:r>
      <w:r w:rsidRPr="000D3320">
        <w:rPr>
          <w:rFonts w:ascii="Palatino Linotype" w:hAnsi="Palatino Linotype"/>
        </w:rPr>
        <w:t xml:space="preserve"> razones o motivo</w:t>
      </w:r>
      <w:r>
        <w:rPr>
          <w:rFonts w:ascii="Palatino Linotype" w:hAnsi="Palatino Linotype"/>
        </w:rPr>
        <w:t xml:space="preserve">s de inconformidad que plantea </w:t>
      </w:r>
      <w:r w:rsidR="009A2251">
        <w:rPr>
          <w:rFonts w:ascii="Palatino Linotype" w:hAnsi="Palatino Linotype"/>
        </w:rPr>
        <w:t>e</w:t>
      </w:r>
      <w:r w:rsidRPr="000D3320">
        <w:rPr>
          <w:rFonts w:ascii="Palatino Linotype" w:hAnsi="Palatino Linotype"/>
        </w:rPr>
        <w:t>l</w:t>
      </w:r>
      <w:r w:rsidRPr="000D3320">
        <w:rPr>
          <w:rFonts w:ascii="Palatino Linotype" w:hAnsi="Palatino Linotype"/>
          <w:b/>
        </w:rPr>
        <w:t xml:space="preserve"> RECURRENTE</w:t>
      </w:r>
      <w:r w:rsidRPr="000D3320">
        <w:rPr>
          <w:rFonts w:ascii="Palatino Linotype" w:hAnsi="Palatino Linotype"/>
        </w:rPr>
        <w:t xml:space="preserve">, </w:t>
      </w:r>
      <w:r>
        <w:rPr>
          <w:rFonts w:ascii="Palatino Linotype" w:hAnsi="Palatino Linotype"/>
        </w:rPr>
        <w:t>determinando</w:t>
      </w:r>
      <w:r w:rsidRPr="000D3320">
        <w:rPr>
          <w:rFonts w:ascii="Palatino Linotype" w:hAnsi="Palatino Linotype"/>
        </w:rPr>
        <w:t xml:space="preserve"> </w:t>
      </w:r>
      <w:r>
        <w:rPr>
          <w:rFonts w:ascii="Palatino Linotype" w:hAnsi="Palatino Linotype"/>
          <w:b/>
        </w:rPr>
        <w:t>REVOCAR</w:t>
      </w:r>
      <w:r w:rsidRPr="000D3320">
        <w:rPr>
          <w:rFonts w:ascii="Palatino Linotype" w:hAnsi="Palatino Linotype"/>
        </w:rPr>
        <w:t xml:space="preserve"> la respuesta del </w:t>
      </w:r>
      <w:r w:rsidRPr="000D3320">
        <w:rPr>
          <w:rFonts w:ascii="Palatino Linotype" w:hAnsi="Palatino Linotype"/>
          <w:b/>
        </w:rPr>
        <w:t>SUJETO OBLIGADO</w:t>
      </w:r>
      <w:r w:rsidRPr="000D3320">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0D3320">
        <w:rPr>
          <w:rFonts w:ascii="Palatino Linotype" w:hAnsi="Palatino Linotype"/>
          <w:color w:val="000000" w:themeColor="text1"/>
          <w:lang w:val="es-ES" w:eastAsia="es-MX"/>
        </w:rPr>
        <w:t xml:space="preserve">este </w:t>
      </w:r>
      <w:r w:rsidRPr="000D3320">
        <w:rPr>
          <w:rFonts w:ascii="Palatino Linotype" w:hAnsi="Palatino Linotype"/>
          <w:b/>
          <w:bCs/>
          <w:color w:val="000000" w:themeColor="text1"/>
          <w:lang w:val="es-ES" w:eastAsia="es-MX"/>
        </w:rPr>
        <w:t>ÓRGANO GARANTE</w:t>
      </w:r>
      <w:r w:rsidRPr="000D3320">
        <w:rPr>
          <w:rFonts w:ascii="Palatino Linotype" w:hAnsi="Palatino Linotype"/>
          <w:color w:val="000000" w:themeColor="text1"/>
          <w:lang w:val="es-ES" w:eastAsia="es-MX"/>
        </w:rPr>
        <w:t xml:space="preserve"> emite los siguientes</w:t>
      </w:r>
      <w:r w:rsidRPr="00FB1E46">
        <w:rPr>
          <w:rFonts w:ascii="Palatino Linotype" w:hAnsi="Palatino Linotype"/>
          <w:color w:val="000000" w:themeColor="text1"/>
        </w:rPr>
        <w:t>.</w:t>
      </w:r>
    </w:p>
    <w:p w:rsidR="009F09BC" w:rsidRDefault="009E68D3" w:rsidP="009F09BC">
      <w:pPr>
        <w:spacing w:line="360" w:lineRule="auto"/>
        <w:contextualSpacing/>
        <w:jc w:val="both"/>
        <w:rPr>
          <w:rFonts w:ascii="Palatino Linotype" w:eastAsia="Calibri" w:hAnsi="Palatino Linotype" w:cs="Times New Roman"/>
        </w:rPr>
      </w:pPr>
      <w:r>
        <w:rPr>
          <w:rFonts w:ascii="Palatino Linotype" w:eastAsia="Calibri" w:hAnsi="Palatino Linotype" w:cs="Times New Roman"/>
          <w:noProof/>
          <w:lang w:val="es-ES"/>
        </w:rPr>
        <mc:AlternateContent>
          <mc:Choice Requires="wps">
            <w:drawing>
              <wp:anchor distT="0" distB="0" distL="114300" distR="114300" simplePos="0" relativeHeight="251676672" behindDoc="0" locked="0" layoutInCell="1" allowOverlap="1">
                <wp:simplePos x="0" y="0"/>
                <wp:positionH relativeFrom="margin">
                  <wp:align>right</wp:align>
                </wp:positionH>
                <wp:positionV relativeFrom="paragraph">
                  <wp:posOffset>175997</wp:posOffset>
                </wp:positionV>
                <wp:extent cx="5588813" cy="3152851"/>
                <wp:effectExtent l="0" t="0" r="31115" b="28575"/>
                <wp:wrapNone/>
                <wp:docPr id="10" name="Conector recto 10"/>
                <wp:cNvGraphicFramePr/>
                <a:graphic xmlns:a="http://schemas.openxmlformats.org/drawingml/2006/main">
                  <a:graphicData uri="http://schemas.microsoft.com/office/word/2010/wordprocessingShape">
                    <wps:wsp>
                      <wps:cNvCnPr/>
                      <wps:spPr>
                        <a:xfrm>
                          <a:off x="0" y="0"/>
                          <a:ext cx="5588813" cy="315285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C9F7FF" id="Conector recto 10" o:spid="_x0000_s1026" style="position:absolute;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85pt,13.85pt" to="828.9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" strokecolor="black [3200]" strokeweight="1.5pt">
                <v:stroke joinstyle="miter"/>
                <w10:wrap anchorx="margin"/>
              </v:line>
            </w:pict>
          </mc:Fallback>
        </mc:AlternateContent>
      </w:r>
    </w:p>
    <w:p w:rsidR="009E68D3" w:rsidRDefault="009E68D3" w:rsidP="009F09BC">
      <w:pPr>
        <w:spacing w:line="360" w:lineRule="auto"/>
        <w:contextualSpacing/>
        <w:jc w:val="both"/>
        <w:rPr>
          <w:rFonts w:ascii="Palatino Linotype" w:eastAsia="Calibri" w:hAnsi="Palatino Linotype" w:cs="Times New Roman"/>
        </w:rPr>
      </w:pPr>
    </w:p>
    <w:p w:rsidR="009E68D3" w:rsidRDefault="009E68D3" w:rsidP="009F09BC">
      <w:pPr>
        <w:spacing w:line="360" w:lineRule="auto"/>
        <w:contextualSpacing/>
        <w:jc w:val="both"/>
        <w:rPr>
          <w:rFonts w:ascii="Palatino Linotype" w:eastAsia="Calibri" w:hAnsi="Palatino Linotype" w:cs="Times New Roman"/>
        </w:rPr>
      </w:pPr>
    </w:p>
    <w:p w:rsidR="009E68D3" w:rsidRDefault="009E68D3" w:rsidP="009F09BC">
      <w:pPr>
        <w:spacing w:line="360" w:lineRule="auto"/>
        <w:contextualSpacing/>
        <w:jc w:val="both"/>
        <w:rPr>
          <w:rFonts w:ascii="Palatino Linotype" w:eastAsia="Calibri" w:hAnsi="Palatino Linotype" w:cs="Times New Roman"/>
        </w:rPr>
      </w:pPr>
    </w:p>
    <w:p w:rsidR="009E68D3" w:rsidRDefault="009E68D3" w:rsidP="009F09BC">
      <w:pPr>
        <w:spacing w:line="360" w:lineRule="auto"/>
        <w:contextualSpacing/>
        <w:jc w:val="both"/>
        <w:rPr>
          <w:rFonts w:ascii="Palatino Linotype" w:eastAsia="Calibri" w:hAnsi="Palatino Linotype" w:cs="Times New Roman"/>
        </w:rPr>
      </w:pPr>
    </w:p>
    <w:p w:rsidR="009E68D3" w:rsidRDefault="009E68D3" w:rsidP="009F09BC">
      <w:pPr>
        <w:spacing w:line="360" w:lineRule="auto"/>
        <w:contextualSpacing/>
        <w:jc w:val="both"/>
        <w:rPr>
          <w:rFonts w:ascii="Palatino Linotype" w:eastAsia="Calibri" w:hAnsi="Palatino Linotype" w:cs="Times New Roman"/>
        </w:rPr>
      </w:pPr>
    </w:p>
    <w:p w:rsidR="009E68D3" w:rsidRDefault="009E68D3" w:rsidP="009F09BC">
      <w:pPr>
        <w:spacing w:line="360" w:lineRule="auto"/>
        <w:contextualSpacing/>
        <w:jc w:val="both"/>
        <w:rPr>
          <w:rFonts w:ascii="Palatino Linotype" w:eastAsia="Calibri" w:hAnsi="Palatino Linotype" w:cs="Times New Roman"/>
        </w:rPr>
      </w:pPr>
    </w:p>
    <w:p w:rsidR="009E68D3" w:rsidRDefault="009E68D3" w:rsidP="009F09BC">
      <w:pPr>
        <w:spacing w:line="360" w:lineRule="auto"/>
        <w:contextualSpacing/>
        <w:jc w:val="both"/>
        <w:rPr>
          <w:rFonts w:ascii="Palatino Linotype" w:eastAsia="Calibri" w:hAnsi="Palatino Linotype" w:cs="Times New Roman"/>
        </w:rPr>
      </w:pPr>
    </w:p>
    <w:p w:rsidR="009E68D3" w:rsidRDefault="009E68D3" w:rsidP="009F09BC">
      <w:pPr>
        <w:spacing w:line="360" w:lineRule="auto"/>
        <w:contextualSpacing/>
        <w:jc w:val="both"/>
        <w:rPr>
          <w:rFonts w:ascii="Palatino Linotype" w:eastAsia="Calibri" w:hAnsi="Palatino Linotype" w:cs="Times New Roman"/>
        </w:rPr>
      </w:pPr>
    </w:p>
    <w:p w:rsidR="009E68D3" w:rsidRDefault="009E68D3" w:rsidP="009F09BC">
      <w:pPr>
        <w:spacing w:line="360" w:lineRule="auto"/>
        <w:contextualSpacing/>
        <w:jc w:val="both"/>
        <w:rPr>
          <w:rFonts w:ascii="Palatino Linotype" w:eastAsia="Calibri" w:hAnsi="Palatino Linotype" w:cs="Times New Roman"/>
        </w:rPr>
      </w:pPr>
    </w:p>
    <w:p w:rsidR="009E68D3" w:rsidRDefault="009E68D3" w:rsidP="009F09BC">
      <w:pPr>
        <w:spacing w:line="360" w:lineRule="auto"/>
        <w:contextualSpacing/>
        <w:jc w:val="both"/>
        <w:rPr>
          <w:rFonts w:ascii="Palatino Linotype" w:eastAsia="Calibri" w:hAnsi="Palatino Linotype" w:cs="Times New Roman"/>
        </w:rPr>
      </w:pPr>
    </w:p>
    <w:p w:rsidR="009E68D3" w:rsidRDefault="009E68D3" w:rsidP="009F09BC">
      <w:pPr>
        <w:spacing w:line="360" w:lineRule="auto"/>
        <w:contextualSpacing/>
        <w:jc w:val="both"/>
        <w:rPr>
          <w:rFonts w:ascii="Palatino Linotype" w:eastAsia="Calibri" w:hAnsi="Palatino Linotype" w:cs="Times New Roman"/>
        </w:rPr>
      </w:pPr>
    </w:p>
    <w:p w:rsidR="009F09BC" w:rsidRDefault="009F09BC" w:rsidP="00CE7B83">
      <w:pPr>
        <w:pStyle w:val="Ttulo1"/>
        <w:spacing w:before="0" w:line="360" w:lineRule="auto"/>
        <w:jc w:val="center"/>
        <w:rPr>
          <w:rFonts w:ascii="Palatino Linotype" w:eastAsia="Calibri" w:hAnsi="Palatino Linotype"/>
          <w:b/>
          <w:color w:val="000000" w:themeColor="text1"/>
          <w:sz w:val="24"/>
          <w:szCs w:val="24"/>
          <w:lang w:val="es-ES"/>
        </w:rPr>
      </w:pPr>
      <w:bookmarkStart w:id="209" w:name="_Toc504500693"/>
      <w:bookmarkStart w:id="210" w:name="_Toc534742545"/>
      <w:bookmarkStart w:id="211" w:name="_Toc2248738"/>
      <w:bookmarkStart w:id="212" w:name="_Toc34819440"/>
      <w:bookmarkStart w:id="213" w:name="_Toc51259595"/>
      <w:bookmarkStart w:id="214" w:name="_Toc83128595"/>
      <w:r w:rsidRPr="009F09BC">
        <w:rPr>
          <w:rFonts w:ascii="Palatino Linotype" w:eastAsia="Calibri" w:hAnsi="Palatino Linotype"/>
          <w:b/>
          <w:color w:val="000000" w:themeColor="text1"/>
          <w:sz w:val="24"/>
          <w:szCs w:val="24"/>
          <w:lang w:val="es-ES"/>
        </w:rPr>
        <w:lastRenderedPageBreak/>
        <w:t>R E S O L U T I V O S</w:t>
      </w:r>
      <w:bookmarkEnd w:id="209"/>
      <w:bookmarkEnd w:id="210"/>
      <w:bookmarkEnd w:id="211"/>
      <w:bookmarkEnd w:id="212"/>
      <w:bookmarkEnd w:id="213"/>
      <w:bookmarkEnd w:id="214"/>
    </w:p>
    <w:p w:rsidR="00CE7B83" w:rsidRPr="00CE7B83" w:rsidRDefault="00CE7B83" w:rsidP="00CE7B83">
      <w:pPr>
        <w:rPr>
          <w:lang w:val="es-ES"/>
        </w:rPr>
      </w:pPr>
    </w:p>
    <w:p w:rsidR="009F09BC" w:rsidRDefault="009F09BC" w:rsidP="00CE7B83">
      <w:pPr>
        <w:spacing w:line="360" w:lineRule="auto"/>
        <w:jc w:val="both"/>
        <w:rPr>
          <w:rFonts w:ascii="Palatino Linotype" w:eastAsia="Times New Roman" w:hAnsi="Palatino Linotype" w:cs="Arial"/>
          <w:lang w:val="es-ES"/>
        </w:rPr>
      </w:pPr>
      <w:r w:rsidRPr="003171A7">
        <w:rPr>
          <w:rFonts w:ascii="Palatino Linotype" w:eastAsia="Times New Roman" w:hAnsi="Palatino Linotype" w:cs="Arial"/>
          <w:b/>
        </w:rPr>
        <w:t>PRIMERO</w:t>
      </w:r>
      <w:r w:rsidRPr="003171A7">
        <w:rPr>
          <w:rFonts w:ascii="Palatino Linotype" w:eastAsia="Times New Roman" w:hAnsi="Palatino Linotype" w:cs="Arial"/>
          <w:lang w:val="es-ES"/>
        </w:rPr>
        <w:t xml:space="preserve">. Resultan fundadas las razones </w:t>
      </w:r>
      <w:r>
        <w:rPr>
          <w:rFonts w:ascii="Palatino Linotype" w:eastAsia="Times New Roman" w:hAnsi="Palatino Linotype" w:cs="Arial"/>
          <w:lang w:val="es-ES"/>
        </w:rPr>
        <w:t>o</w:t>
      </w:r>
      <w:r w:rsidRPr="003171A7">
        <w:rPr>
          <w:rFonts w:ascii="Palatino Linotype" w:eastAsia="Times New Roman" w:hAnsi="Palatino Linotype" w:cs="Arial"/>
          <w:lang w:val="es-ES"/>
        </w:rPr>
        <w:t xml:space="preserve"> motivos de inconformidad hechos valer en</w:t>
      </w:r>
      <w:r w:rsidR="009A2251">
        <w:rPr>
          <w:rFonts w:ascii="Palatino Linotype" w:eastAsia="Times New Roman" w:hAnsi="Palatino Linotype" w:cs="Arial"/>
          <w:lang w:val="es-ES"/>
        </w:rPr>
        <w:t xml:space="preserve"> el</w:t>
      </w:r>
      <w:r>
        <w:rPr>
          <w:rFonts w:ascii="Palatino Linotype" w:eastAsia="Times New Roman" w:hAnsi="Palatino Linotype" w:cs="Arial"/>
          <w:lang w:val="es-ES"/>
        </w:rPr>
        <w:t xml:space="preserve"> R</w:t>
      </w:r>
      <w:r w:rsidRPr="003171A7">
        <w:rPr>
          <w:rFonts w:ascii="Palatino Linotype" w:eastAsia="Times New Roman" w:hAnsi="Palatino Linotype" w:cs="Arial"/>
          <w:lang w:val="es-ES"/>
        </w:rPr>
        <w:t>ecurso</w:t>
      </w:r>
      <w:r>
        <w:rPr>
          <w:rFonts w:ascii="Palatino Linotype" w:eastAsia="Times New Roman" w:hAnsi="Palatino Linotype" w:cs="Arial"/>
          <w:lang w:val="es-ES"/>
        </w:rPr>
        <w:t xml:space="preserve"> de R</w:t>
      </w:r>
      <w:r w:rsidRPr="003171A7">
        <w:rPr>
          <w:rFonts w:ascii="Palatino Linotype" w:eastAsia="Times New Roman" w:hAnsi="Palatino Linotype" w:cs="Arial"/>
          <w:lang w:val="es-ES"/>
        </w:rPr>
        <w:t xml:space="preserve">evisión </w:t>
      </w:r>
      <w:r w:rsidR="00652937">
        <w:rPr>
          <w:rFonts w:ascii="Palatino Linotype" w:hAnsi="Palatino Linotype"/>
          <w:b/>
        </w:rPr>
        <w:t>01563/INFOEM/IP/RR/2022</w:t>
      </w:r>
      <w:r>
        <w:rPr>
          <w:rFonts w:ascii="Palatino Linotype" w:hAnsi="Palatino Linotype"/>
        </w:rPr>
        <w:t>,</w:t>
      </w:r>
      <w:r>
        <w:rPr>
          <w:rFonts w:ascii="Palatino Linotype" w:eastAsia="Times New Roman" w:hAnsi="Palatino Linotype" w:cs="Arial"/>
          <w:b/>
          <w:lang w:val="es-ES"/>
        </w:rPr>
        <w:t xml:space="preserve"> </w:t>
      </w:r>
      <w:r>
        <w:rPr>
          <w:rFonts w:ascii="Palatino Linotype" w:eastAsia="Times New Roman" w:hAnsi="Palatino Linotype" w:cs="Arial"/>
          <w:lang w:val="es-ES"/>
        </w:rPr>
        <w:t>en términos de los C</w:t>
      </w:r>
      <w:r w:rsidRPr="003171A7">
        <w:rPr>
          <w:rFonts w:ascii="Palatino Linotype" w:eastAsia="Times New Roman" w:hAnsi="Palatino Linotype" w:cs="Arial"/>
          <w:lang w:val="es-ES"/>
        </w:rPr>
        <w:t xml:space="preserve">onsiderandos </w:t>
      </w:r>
      <w:r w:rsidRPr="003171A7">
        <w:rPr>
          <w:rFonts w:ascii="Palatino Linotype" w:eastAsia="Times New Roman" w:hAnsi="Palatino Linotype" w:cs="Arial"/>
          <w:b/>
          <w:lang w:val="es-ES"/>
        </w:rPr>
        <w:t xml:space="preserve">CUARTO </w:t>
      </w:r>
      <w:r w:rsidRPr="003D4B5F">
        <w:rPr>
          <w:rFonts w:ascii="Palatino Linotype" w:eastAsia="Times New Roman" w:hAnsi="Palatino Linotype" w:cs="Arial"/>
          <w:lang w:val="es-ES"/>
        </w:rPr>
        <w:t>y</w:t>
      </w:r>
      <w:r w:rsidRPr="003171A7">
        <w:rPr>
          <w:rFonts w:ascii="Palatino Linotype" w:eastAsia="Times New Roman" w:hAnsi="Palatino Linotype" w:cs="Arial"/>
          <w:b/>
          <w:lang w:val="es-ES"/>
        </w:rPr>
        <w:t xml:space="preserve"> QUINTO </w:t>
      </w:r>
      <w:r w:rsidRPr="003171A7">
        <w:rPr>
          <w:rFonts w:ascii="Palatino Linotype" w:eastAsia="Times New Roman" w:hAnsi="Palatino Linotype" w:cs="Arial"/>
          <w:lang w:val="es-ES"/>
        </w:rPr>
        <w:t xml:space="preserve">de la presente resolución. </w:t>
      </w:r>
    </w:p>
    <w:p w:rsidR="00CE7B83" w:rsidRPr="003171A7" w:rsidRDefault="00CE7B83" w:rsidP="00CE7B83">
      <w:pPr>
        <w:spacing w:line="360" w:lineRule="auto"/>
        <w:jc w:val="both"/>
        <w:rPr>
          <w:rFonts w:ascii="Palatino Linotype" w:eastAsia="Times New Roman" w:hAnsi="Palatino Linotype" w:cs="Arial"/>
          <w:lang w:val="es-ES"/>
        </w:rPr>
      </w:pPr>
    </w:p>
    <w:p w:rsidR="009F09BC" w:rsidRDefault="009F09BC" w:rsidP="00CE7B83">
      <w:pPr>
        <w:spacing w:line="360" w:lineRule="auto"/>
        <w:jc w:val="both"/>
        <w:rPr>
          <w:rFonts w:ascii="Palatino Linotype" w:eastAsia="MS Mincho" w:hAnsi="Palatino Linotype" w:cs="Times New Roman"/>
          <w:color w:val="000000" w:themeColor="text1"/>
        </w:rPr>
      </w:pPr>
      <w:bookmarkStart w:id="215" w:name="_Toc503891607"/>
      <w:bookmarkStart w:id="216" w:name="_Toc511647757"/>
      <w:bookmarkStart w:id="217" w:name="_Toc511647818"/>
      <w:bookmarkStart w:id="218" w:name="_Toc477891768"/>
      <w:bookmarkStart w:id="219" w:name="_Toc477891858"/>
      <w:bookmarkStart w:id="220" w:name="_Toc481576259"/>
      <w:bookmarkStart w:id="221" w:name="_Toc492590391"/>
      <w:bookmarkStart w:id="222" w:name="_Toc462653937"/>
      <w:bookmarkStart w:id="223" w:name="_Toc453696502"/>
      <w:bookmarkStart w:id="224" w:name="_Toc454301155"/>
      <w:r w:rsidRPr="003171A7">
        <w:rPr>
          <w:rFonts w:ascii="Palatino Linotype" w:eastAsia="Times New Roman" w:hAnsi="Palatino Linotype" w:cs="Times New Roman"/>
          <w:b/>
        </w:rPr>
        <w:t>SEGUNDO.</w:t>
      </w:r>
      <w:bookmarkEnd w:id="215"/>
      <w:bookmarkEnd w:id="216"/>
      <w:bookmarkEnd w:id="217"/>
      <w:r w:rsidRPr="003171A7">
        <w:rPr>
          <w:rFonts w:ascii="Palatino Linotype" w:eastAsia="Times New Roman" w:hAnsi="Palatino Linotype" w:cs="Times New Roman"/>
          <w:b/>
        </w:rPr>
        <w:t xml:space="preserve"> </w:t>
      </w:r>
      <w:bookmarkEnd w:id="218"/>
      <w:bookmarkEnd w:id="219"/>
      <w:bookmarkEnd w:id="220"/>
      <w:bookmarkEnd w:id="221"/>
      <w:bookmarkEnd w:id="222"/>
      <w:bookmarkEnd w:id="223"/>
      <w:bookmarkEnd w:id="224"/>
      <w:r w:rsidRPr="00E83E79">
        <w:rPr>
          <w:rFonts w:ascii="Palatino Linotype" w:eastAsia="MS Mincho" w:hAnsi="Palatino Linotype" w:cs="Times New Roman"/>
          <w:color w:val="000000" w:themeColor="text1"/>
        </w:rPr>
        <w:t xml:space="preserve">Se </w:t>
      </w:r>
      <w:r>
        <w:rPr>
          <w:rFonts w:ascii="Palatino Linotype" w:eastAsia="MS Mincho" w:hAnsi="Palatino Linotype" w:cs="Times New Roman"/>
          <w:b/>
          <w:color w:val="000000" w:themeColor="text1"/>
        </w:rPr>
        <w:t>REVOCA</w:t>
      </w:r>
      <w:r w:rsidRPr="00D90769">
        <w:rPr>
          <w:rFonts w:ascii="Palatino Linotype" w:eastAsia="MS Mincho" w:hAnsi="Palatino Linotype" w:cs="Times New Roman"/>
          <w:b/>
          <w:color w:val="000000" w:themeColor="text1"/>
        </w:rPr>
        <w:t xml:space="preserve"> </w:t>
      </w:r>
      <w:r w:rsidRPr="00D90769">
        <w:rPr>
          <w:rFonts w:ascii="Palatino Linotype" w:eastAsia="MS Mincho" w:hAnsi="Palatino Linotype" w:cs="Times New Roman"/>
          <w:color w:val="000000" w:themeColor="text1"/>
        </w:rPr>
        <w:t xml:space="preserve">la respuesta emitida por </w:t>
      </w:r>
      <w:r w:rsidR="002453DA">
        <w:rPr>
          <w:rFonts w:ascii="Palatino Linotype" w:eastAsia="MS Mincho" w:hAnsi="Palatino Linotype" w:cs="Times New Roman"/>
          <w:color w:val="000000" w:themeColor="text1"/>
        </w:rPr>
        <w:t xml:space="preserve">el </w:t>
      </w:r>
      <w:r w:rsidR="002453DA" w:rsidRPr="009E68D3">
        <w:rPr>
          <w:rFonts w:ascii="Palatino Linotype" w:eastAsia="MS Mincho" w:hAnsi="Palatino Linotype" w:cs="Times New Roman"/>
          <w:b/>
          <w:color w:val="000000" w:themeColor="text1"/>
        </w:rPr>
        <w:t>Ayuntamiento</w:t>
      </w:r>
      <w:r w:rsidR="00652937" w:rsidRPr="009E68D3">
        <w:rPr>
          <w:rFonts w:ascii="Palatino Linotype" w:hAnsi="Palatino Linotype"/>
          <w:b/>
          <w:bCs/>
          <w:color w:val="000000"/>
        </w:rPr>
        <w:t xml:space="preserve"> </w:t>
      </w:r>
      <w:r w:rsidR="00652937">
        <w:rPr>
          <w:rFonts w:ascii="Palatino Linotype" w:hAnsi="Palatino Linotype"/>
          <w:b/>
          <w:bCs/>
          <w:color w:val="000000"/>
        </w:rPr>
        <w:t xml:space="preserve">de </w:t>
      </w:r>
      <w:proofErr w:type="spellStart"/>
      <w:r w:rsidR="00652937">
        <w:rPr>
          <w:rFonts w:ascii="Palatino Linotype" w:hAnsi="Palatino Linotype"/>
          <w:b/>
          <w:bCs/>
          <w:color w:val="000000"/>
        </w:rPr>
        <w:t>Xonacatlán</w:t>
      </w:r>
      <w:proofErr w:type="spellEnd"/>
      <w:r w:rsidRPr="00D90769">
        <w:rPr>
          <w:rFonts w:ascii="Palatino Linotype" w:eastAsia="MS Mincho" w:hAnsi="Palatino Linotype" w:cs="Times New Roman"/>
          <w:b/>
          <w:color w:val="000000" w:themeColor="text1"/>
        </w:rPr>
        <w:t xml:space="preserve"> </w:t>
      </w:r>
      <w:r w:rsidRPr="00D90769">
        <w:rPr>
          <w:rFonts w:ascii="Palatino Linotype" w:eastAsia="MS Mincho" w:hAnsi="Palatino Linotype" w:cs="Times New Roman"/>
          <w:color w:val="000000" w:themeColor="text1"/>
        </w:rPr>
        <w:t xml:space="preserve">y se </w:t>
      </w:r>
      <w:r w:rsidRPr="00D90769">
        <w:rPr>
          <w:rFonts w:ascii="Palatino Linotype" w:eastAsia="MS Mincho" w:hAnsi="Palatino Linotype" w:cs="Times New Roman"/>
          <w:b/>
          <w:color w:val="000000" w:themeColor="text1"/>
        </w:rPr>
        <w:t>ORDENA</w:t>
      </w:r>
      <w:r w:rsidRPr="00D90769">
        <w:rPr>
          <w:rFonts w:ascii="Palatino Linotype" w:eastAsia="MS Mincho" w:hAnsi="Palatino Linotype" w:cs="Times New Roman"/>
          <w:color w:val="000000" w:themeColor="text1"/>
        </w:rPr>
        <w:t xml:space="preserve"> entregar </w:t>
      </w:r>
      <w:r w:rsidRPr="00E83E79">
        <w:rPr>
          <w:rFonts w:ascii="Palatino Linotype" w:eastAsia="MS Mincho" w:hAnsi="Palatino Linotype" w:cs="Times New Roman"/>
          <w:color w:val="000000" w:themeColor="text1"/>
        </w:rPr>
        <w:t xml:space="preserve">vía Sistema de Acceso a la Información Mexiquense </w:t>
      </w:r>
      <w:r>
        <w:rPr>
          <w:rFonts w:ascii="Palatino Linotype" w:eastAsia="MS Mincho" w:hAnsi="Palatino Linotype" w:cs="Times New Roman"/>
          <w:b/>
          <w:color w:val="000000" w:themeColor="text1"/>
        </w:rPr>
        <w:t>(SAIMEX)</w:t>
      </w:r>
      <w:r w:rsidRPr="00E83E79">
        <w:rPr>
          <w:rFonts w:ascii="Palatino Linotype" w:eastAsia="MS Mincho" w:hAnsi="Palatino Linotype" w:cs="Times New Roman"/>
          <w:color w:val="000000" w:themeColor="text1"/>
        </w:rPr>
        <w:t xml:space="preserve">, </w:t>
      </w:r>
      <w:r w:rsidRPr="00CE7B83">
        <w:rPr>
          <w:rFonts w:ascii="Palatino Linotype" w:eastAsia="MS Mincho" w:hAnsi="Palatino Linotype" w:cs="Times New Roman"/>
          <w:color w:val="000000" w:themeColor="text1"/>
        </w:rPr>
        <w:t xml:space="preserve">en versión pública, </w:t>
      </w:r>
      <w:r w:rsidR="0074110E" w:rsidRPr="00CE7B83">
        <w:rPr>
          <w:rFonts w:ascii="Palatino Linotype" w:eastAsia="MS Mincho" w:hAnsi="Palatino Linotype" w:cs="Times New Roman"/>
          <w:color w:val="000000" w:themeColor="text1"/>
        </w:rPr>
        <w:t>la</w:t>
      </w:r>
      <w:r w:rsidR="0074110E">
        <w:rPr>
          <w:rFonts w:ascii="Palatino Linotype" w:eastAsia="MS Mincho" w:hAnsi="Palatino Linotype" w:cs="Times New Roman"/>
          <w:color w:val="000000" w:themeColor="text1"/>
        </w:rPr>
        <w:t xml:space="preserve"> siguiente información</w:t>
      </w:r>
      <w:r w:rsidR="001E755B">
        <w:rPr>
          <w:rFonts w:ascii="Palatino Linotype" w:eastAsia="MS Mincho" w:hAnsi="Palatino Linotype" w:cs="Times New Roman"/>
          <w:color w:val="000000" w:themeColor="text1"/>
        </w:rPr>
        <w:t xml:space="preserve"> generada </w:t>
      </w:r>
      <w:r w:rsidR="009E68D3" w:rsidRPr="009E68D3">
        <w:rPr>
          <w:rFonts w:ascii="Palatino Linotype" w:eastAsia="MS Mincho" w:hAnsi="Palatino Linotype" w:cs="Times New Roman"/>
          <w:color w:val="000000" w:themeColor="text1"/>
        </w:rPr>
        <w:t>de los años 2019 a 2021</w:t>
      </w:r>
      <w:r w:rsidR="00CE7B83">
        <w:rPr>
          <w:rFonts w:ascii="Palatino Linotype" w:eastAsia="MS Mincho" w:hAnsi="Palatino Linotype" w:cs="Times New Roman"/>
          <w:color w:val="000000" w:themeColor="text1"/>
        </w:rPr>
        <w:t>:</w:t>
      </w:r>
    </w:p>
    <w:p w:rsidR="00CE7B83" w:rsidRDefault="00CE7B83" w:rsidP="00CE7B83">
      <w:pPr>
        <w:spacing w:line="360" w:lineRule="auto"/>
        <w:jc w:val="both"/>
        <w:rPr>
          <w:rFonts w:ascii="Palatino Linotype" w:eastAsia="MS Mincho" w:hAnsi="Palatino Linotype" w:cs="Times New Roman"/>
          <w:color w:val="000000" w:themeColor="text1"/>
        </w:rPr>
      </w:pPr>
    </w:p>
    <w:p w:rsidR="009A2251" w:rsidRDefault="009E68D3" w:rsidP="009E68D3">
      <w:pPr>
        <w:pStyle w:val="Prrafodelista"/>
        <w:numPr>
          <w:ilvl w:val="0"/>
          <w:numId w:val="35"/>
        </w:numPr>
        <w:spacing w:line="360" w:lineRule="auto"/>
        <w:ind w:left="993"/>
        <w:jc w:val="both"/>
        <w:rPr>
          <w:rFonts w:ascii="Palatino Linotype" w:hAnsi="Palatino Linotype" w:cs="Arial"/>
          <w:b/>
        </w:rPr>
      </w:pPr>
      <w:bookmarkStart w:id="225" w:name="_Toc503891610"/>
      <w:bookmarkStart w:id="226" w:name="_Toc453696503"/>
      <w:bookmarkStart w:id="227" w:name="_Toc454301156"/>
      <w:bookmarkStart w:id="228" w:name="_Toc462653938"/>
      <w:bookmarkStart w:id="229" w:name="_Toc477891769"/>
      <w:bookmarkStart w:id="230" w:name="_Toc477891859"/>
      <w:bookmarkStart w:id="231" w:name="_Toc481576260"/>
      <w:bookmarkStart w:id="232" w:name="_Toc492590392"/>
      <w:r>
        <w:rPr>
          <w:rFonts w:ascii="Palatino Linotype" w:hAnsi="Palatino Linotype" w:cs="Arial"/>
          <w:b/>
        </w:rPr>
        <w:t>R</w:t>
      </w:r>
      <w:r w:rsidRPr="009E68D3">
        <w:rPr>
          <w:rFonts w:ascii="Palatino Linotype" w:hAnsi="Palatino Linotype" w:cs="Arial"/>
          <w:b/>
        </w:rPr>
        <w:t>ecibos de nómina del personal adscrito a las áreas de: Tesorería Mun</w:t>
      </w:r>
      <w:r>
        <w:rPr>
          <w:rFonts w:ascii="Palatino Linotype" w:hAnsi="Palatino Linotype" w:cs="Arial"/>
          <w:b/>
        </w:rPr>
        <w:t>icipal, Presidencia Municipal, Secretarí</w:t>
      </w:r>
      <w:r w:rsidRPr="009E68D3">
        <w:rPr>
          <w:rFonts w:ascii="Palatino Linotype" w:hAnsi="Palatino Linotype" w:cs="Arial"/>
          <w:b/>
        </w:rPr>
        <w:t>a del Ayuntamiento, Unidad de Tr</w:t>
      </w:r>
      <w:r>
        <w:rPr>
          <w:rFonts w:ascii="Palatino Linotype" w:hAnsi="Palatino Linotype" w:cs="Arial"/>
          <w:b/>
        </w:rPr>
        <w:t>a</w:t>
      </w:r>
      <w:r w:rsidRPr="009E68D3">
        <w:rPr>
          <w:rFonts w:ascii="Palatino Linotype" w:hAnsi="Palatino Linotype" w:cs="Arial"/>
          <w:b/>
        </w:rPr>
        <w:t>nsparencia, Obras Públic</w:t>
      </w:r>
      <w:r>
        <w:rPr>
          <w:rFonts w:ascii="Palatino Linotype" w:hAnsi="Palatino Linotype" w:cs="Arial"/>
          <w:b/>
        </w:rPr>
        <w:t>as, Catastro Municipal</w:t>
      </w:r>
      <w:r w:rsidRPr="009E68D3">
        <w:rPr>
          <w:rFonts w:ascii="Palatino Linotype" w:hAnsi="Palatino Linotype" w:cs="Arial"/>
          <w:b/>
        </w:rPr>
        <w:t xml:space="preserve"> y la Unidad de Información, Planeación, Programación y Evaluación</w:t>
      </w:r>
      <w:r>
        <w:rPr>
          <w:rFonts w:ascii="Palatino Linotype" w:hAnsi="Palatino Linotype" w:cs="Arial"/>
          <w:b/>
        </w:rPr>
        <w:t>.</w:t>
      </w:r>
    </w:p>
    <w:p w:rsidR="00CE7B83" w:rsidRPr="00CE7B83" w:rsidRDefault="00CE7B83" w:rsidP="00CE7B83">
      <w:pPr>
        <w:spacing w:line="360" w:lineRule="auto"/>
        <w:jc w:val="both"/>
        <w:rPr>
          <w:rFonts w:ascii="Palatino Linotype" w:hAnsi="Palatino Linotype" w:cs="Arial"/>
          <w:b/>
        </w:rPr>
      </w:pPr>
    </w:p>
    <w:p w:rsidR="009F09BC" w:rsidRDefault="009F09BC" w:rsidP="00CE7B83">
      <w:pPr>
        <w:spacing w:line="360" w:lineRule="auto"/>
        <w:jc w:val="both"/>
        <w:rPr>
          <w:rFonts w:ascii="Palatino Linotype" w:eastAsia="Calibri" w:hAnsi="Palatino Linotype" w:cs="Arial"/>
          <w:b/>
        </w:rPr>
      </w:pPr>
      <w:r w:rsidRPr="003171A7">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Pr>
          <w:rFonts w:ascii="Palatino Linotype" w:eastAsia="Calibri" w:hAnsi="Palatino Linotype" w:cs="Arial"/>
        </w:rPr>
        <w:t xml:space="preserve"> y se pongan a disposición de </w:t>
      </w:r>
      <w:r w:rsidRPr="003D4B5F">
        <w:rPr>
          <w:rFonts w:ascii="Palatino Linotype" w:eastAsia="Calibri" w:hAnsi="Palatino Linotype" w:cs="Arial"/>
          <w:b/>
        </w:rPr>
        <w:t>EL RECURRENTE</w:t>
      </w:r>
      <w:r w:rsidRPr="00CE7B83">
        <w:rPr>
          <w:rFonts w:ascii="Palatino Linotype" w:eastAsia="Calibri" w:hAnsi="Palatino Linotype" w:cs="Arial"/>
        </w:rPr>
        <w:t>.</w:t>
      </w:r>
    </w:p>
    <w:p w:rsidR="00CE7B83" w:rsidRDefault="00CE7B83" w:rsidP="00CE7B83">
      <w:pPr>
        <w:spacing w:line="360" w:lineRule="auto"/>
        <w:jc w:val="both"/>
        <w:rPr>
          <w:rFonts w:ascii="Palatino Linotype" w:eastAsia="Calibri" w:hAnsi="Palatino Linotype" w:cs="Arial"/>
          <w:b/>
        </w:rPr>
      </w:pPr>
    </w:p>
    <w:p w:rsidR="009F09BC" w:rsidRDefault="009F09BC" w:rsidP="00CE7B83">
      <w:pPr>
        <w:tabs>
          <w:tab w:val="left" w:pos="8080"/>
        </w:tabs>
        <w:spacing w:line="360" w:lineRule="auto"/>
        <w:ind w:right="49"/>
        <w:jc w:val="both"/>
        <w:rPr>
          <w:rFonts w:ascii="Palatino Linotype" w:eastAsia="Times New Roman" w:hAnsi="Palatino Linotype" w:cs="Times New Roman"/>
          <w:shd w:val="clear" w:color="auto" w:fill="FFFFFF"/>
        </w:rPr>
      </w:pPr>
      <w:bookmarkStart w:id="233" w:name="_Toc511647758"/>
      <w:bookmarkStart w:id="234" w:name="_Toc511647819"/>
      <w:r w:rsidRPr="003171A7">
        <w:rPr>
          <w:rFonts w:ascii="Palatino Linotype" w:eastAsia="Times New Roman" w:hAnsi="Palatino Linotype" w:cs="Times New Roman"/>
          <w:b/>
        </w:rPr>
        <w:t>TERCERO.</w:t>
      </w:r>
      <w:bookmarkEnd w:id="225"/>
      <w:bookmarkEnd w:id="233"/>
      <w:bookmarkEnd w:id="234"/>
      <w:r w:rsidRPr="003171A7">
        <w:rPr>
          <w:rFonts w:ascii="Palatino Linotype" w:eastAsia="Times New Roman" w:hAnsi="Palatino Linotype" w:cs="Times New Roman"/>
          <w:b/>
        </w:rPr>
        <w:t xml:space="preserve"> </w:t>
      </w:r>
      <w:bookmarkEnd w:id="226"/>
      <w:bookmarkEnd w:id="227"/>
      <w:bookmarkEnd w:id="228"/>
      <w:bookmarkEnd w:id="229"/>
      <w:bookmarkEnd w:id="230"/>
      <w:bookmarkEnd w:id="231"/>
      <w:bookmarkEnd w:id="232"/>
      <w:r w:rsidRPr="003171A7">
        <w:rPr>
          <w:rFonts w:ascii="Palatino Linotype" w:eastAsia="Palatino Linotype" w:hAnsi="Palatino Linotype" w:cs="Palatino Linotype"/>
          <w:b/>
        </w:rPr>
        <w:t xml:space="preserve">Notifíquese </w:t>
      </w:r>
      <w:r w:rsidRPr="003171A7">
        <w:rPr>
          <w:rFonts w:ascii="Palatino Linotype" w:eastAsia="Palatino Linotype" w:hAnsi="Palatino Linotype" w:cs="Palatino Linotype"/>
        </w:rPr>
        <w:t xml:space="preserve">al Titular de la Unidad de Transparencia del </w:t>
      </w:r>
      <w:r w:rsidRPr="003171A7">
        <w:rPr>
          <w:rFonts w:ascii="Palatino Linotype" w:eastAsia="Palatino Linotype" w:hAnsi="Palatino Linotype" w:cs="Palatino Linotype"/>
          <w:b/>
        </w:rPr>
        <w:t>SUJETO OBLIGADO</w:t>
      </w:r>
      <w:r w:rsidR="00CE7B83">
        <w:rPr>
          <w:rFonts w:ascii="Palatino Linotype" w:eastAsia="Palatino Linotype" w:hAnsi="Palatino Linotype" w:cs="Palatino Linotype"/>
          <w:b/>
        </w:rPr>
        <w:t xml:space="preserve"> </w:t>
      </w:r>
      <w:r w:rsidR="00CE7B83" w:rsidRPr="00CE7B83">
        <w:rPr>
          <w:rFonts w:ascii="Palatino Linotype" w:eastAsia="Palatino Linotype" w:hAnsi="Palatino Linotype" w:cs="Palatino Linotype"/>
        </w:rPr>
        <w:t>vía SAIMEX</w:t>
      </w:r>
      <w:r w:rsidRPr="003171A7">
        <w:rPr>
          <w:rFonts w:ascii="Palatino Linotype" w:eastAsia="Palatino Linotype" w:hAnsi="Palatino Linotype" w:cs="Palatino Linotype"/>
        </w:rPr>
        <w:t xml:space="preserve">, para que conforme a los artículos 186 último párrafo, 189 </w:t>
      </w:r>
      <w:r w:rsidRPr="003171A7">
        <w:rPr>
          <w:rFonts w:ascii="Palatino Linotype" w:eastAsia="Palatino Linotype" w:hAnsi="Palatino Linotype" w:cs="Palatino Linotype"/>
        </w:rPr>
        <w:lastRenderedPageBreak/>
        <w:t xml:space="preserve">párrafo segundo y 199 de la Ley de Transparencia y Acceso a la Información Pública del Estado de México y Municipios, </w:t>
      </w:r>
      <w:r w:rsidRPr="003171A7">
        <w:rPr>
          <w:rFonts w:ascii="Palatino Linotype" w:eastAsia="Times New Roman" w:hAnsi="Palatino Linotype" w:cs="Times New Roman"/>
          <w:shd w:val="clear" w:color="auto" w:fill="FFFFFF"/>
        </w:rPr>
        <w:t xml:space="preserve">vigente, dé cumplimiento a lo ordenado dentro del plazo de </w:t>
      </w:r>
      <w:r w:rsidR="00782A12">
        <w:rPr>
          <w:rFonts w:ascii="Palatino Linotype" w:eastAsia="Times New Roman" w:hAnsi="Palatino Linotype" w:cs="Times New Roman"/>
          <w:b/>
          <w:shd w:val="clear" w:color="auto" w:fill="FFFFFF"/>
        </w:rPr>
        <w:t>diez</w:t>
      </w:r>
      <w:r w:rsidRPr="002524C2">
        <w:rPr>
          <w:rFonts w:ascii="Palatino Linotype" w:eastAsia="Times New Roman" w:hAnsi="Palatino Linotype" w:cs="Times New Roman"/>
          <w:b/>
          <w:shd w:val="clear" w:color="auto" w:fill="FFFFFF"/>
        </w:rPr>
        <w:t xml:space="preserve"> días hábiles</w:t>
      </w:r>
      <w:r w:rsidRPr="003171A7">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rsidR="0057514F" w:rsidRPr="0057514F" w:rsidRDefault="0057514F" w:rsidP="00CE7B83">
      <w:pPr>
        <w:spacing w:line="360" w:lineRule="auto"/>
        <w:jc w:val="both"/>
        <w:rPr>
          <w:rFonts w:ascii="Palatino Linotype" w:hAnsi="Palatino Linotype" w:cs="Arial"/>
          <w:b/>
          <w:sz w:val="20"/>
        </w:rPr>
      </w:pPr>
    </w:p>
    <w:p w:rsidR="0057514F" w:rsidRDefault="0057514F" w:rsidP="00CE7B83">
      <w:pPr>
        <w:spacing w:line="360" w:lineRule="auto"/>
        <w:jc w:val="both"/>
        <w:rPr>
          <w:rFonts w:ascii="Palatino Linotype" w:eastAsia="Calibri" w:hAnsi="Palatino Linotype" w:cs="Arial"/>
          <w:bCs/>
        </w:rPr>
      </w:pPr>
      <w:r w:rsidRPr="008815BA">
        <w:rPr>
          <w:rFonts w:ascii="Palatino Linotype" w:hAnsi="Palatino Linotype" w:cs="Arial"/>
          <w:b/>
        </w:rPr>
        <w:t xml:space="preserve">CUARTO. </w:t>
      </w:r>
      <w:r w:rsidRPr="008815BA">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57514F">
        <w:rPr>
          <w:rFonts w:ascii="Palatino Linotype" w:eastAsia="Calibri" w:hAnsi="Palatino Linotype" w:cs="Arial"/>
          <w:b/>
          <w:bCs/>
        </w:rPr>
        <w:t>SUJETO OBLIGADO</w:t>
      </w:r>
      <w:r w:rsidRPr="008815BA">
        <w:rPr>
          <w:rFonts w:ascii="Palatino Linotype" w:eastAsia="Calibri" w:hAnsi="Palatino Linotype" w:cs="Arial"/>
          <w:bCs/>
        </w:rPr>
        <w:t xml:space="preserve"> de manera fundada y motivada, podrá solicitar una ampliación de plazo para el cumplimiento de la presente resolución.</w:t>
      </w:r>
    </w:p>
    <w:p w:rsidR="00CE7B83" w:rsidRDefault="00CE7B83" w:rsidP="00CE7B83">
      <w:pPr>
        <w:spacing w:line="360" w:lineRule="auto"/>
        <w:jc w:val="both"/>
        <w:rPr>
          <w:rFonts w:ascii="Palatino Linotype" w:eastAsia="Calibri" w:hAnsi="Palatino Linotype" w:cs="Arial"/>
          <w:bCs/>
        </w:rPr>
      </w:pPr>
    </w:p>
    <w:p w:rsidR="009F09BC" w:rsidRDefault="0057514F" w:rsidP="00CE7B83">
      <w:pPr>
        <w:tabs>
          <w:tab w:val="left" w:pos="8080"/>
        </w:tabs>
        <w:spacing w:line="360" w:lineRule="auto"/>
        <w:ind w:right="49"/>
        <w:jc w:val="both"/>
        <w:rPr>
          <w:rFonts w:ascii="Palatino Linotype" w:eastAsia="Times New Roman" w:hAnsi="Palatino Linotype" w:cs="Times New Roman"/>
          <w:lang w:val="es-ES" w:eastAsia="es-MX"/>
        </w:rPr>
      </w:pPr>
      <w:bookmarkStart w:id="235" w:name="_Toc492590393"/>
      <w:bookmarkStart w:id="236" w:name="_Toc503891611"/>
      <w:bookmarkStart w:id="237" w:name="_Toc511647759"/>
      <w:bookmarkStart w:id="238" w:name="_Toc511647820"/>
      <w:r>
        <w:rPr>
          <w:rFonts w:ascii="Palatino Linotype" w:eastAsia="Times New Roman" w:hAnsi="Palatino Linotype" w:cs="Times New Roman"/>
          <w:b/>
        </w:rPr>
        <w:t>QUIN</w:t>
      </w:r>
      <w:r w:rsidR="009F09BC" w:rsidRPr="003171A7">
        <w:rPr>
          <w:rFonts w:ascii="Palatino Linotype" w:eastAsia="Times New Roman" w:hAnsi="Palatino Linotype" w:cs="Times New Roman"/>
          <w:b/>
        </w:rPr>
        <w:t xml:space="preserve">TO. </w:t>
      </w:r>
      <w:r w:rsidR="009F09BC" w:rsidRPr="003171A7">
        <w:rPr>
          <w:rFonts w:ascii="Palatino Linotype" w:eastAsia="Times New Roman" w:hAnsi="Palatino Linotype" w:cs="Times New Roman"/>
        </w:rPr>
        <w:t>Notifíquese</w:t>
      </w:r>
      <w:bookmarkEnd w:id="235"/>
      <w:bookmarkEnd w:id="236"/>
      <w:bookmarkEnd w:id="237"/>
      <w:bookmarkEnd w:id="238"/>
      <w:r w:rsidR="009F09BC" w:rsidRPr="003171A7">
        <w:rPr>
          <w:rFonts w:ascii="Palatino Linotype" w:eastAsia="Times New Roman" w:hAnsi="Palatino Linotype" w:cs="Times New Roman"/>
        </w:rPr>
        <w:t xml:space="preserve"> a</w:t>
      </w:r>
      <w:r w:rsidR="009F09BC">
        <w:rPr>
          <w:rFonts w:ascii="Palatino Linotype" w:eastAsia="Times New Roman" w:hAnsi="Palatino Linotype" w:cs="Times New Roman"/>
        </w:rPr>
        <w:t xml:space="preserve"> </w:t>
      </w:r>
      <w:r w:rsidR="009F09BC" w:rsidRPr="003D4B5F">
        <w:rPr>
          <w:rFonts w:ascii="Palatino Linotype" w:eastAsia="Times New Roman" w:hAnsi="Palatino Linotype" w:cs="Times New Roman"/>
          <w:b/>
        </w:rPr>
        <w:t>EL RECURRENTE</w:t>
      </w:r>
      <w:r w:rsidR="009F09BC" w:rsidRPr="003171A7">
        <w:rPr>
          <w:rFonts w:ascii="Palatino Linotype" w:eastAsia="Times New Roman" w:hAnsi="Palatino Linotype" w:cs="Times New Roman"/>
        </w:rPr>
        <w:t xml:space="preserve"> la presente</w:t>
      </w:r>
      <w:r w:rsidR="009F09BC" w:rsidRPr="003171A7">
        <w:rPr>
          <w:rFonts w:ascii="Palatino Linotype" w:eastAsia="Times New Roman" w:hAnsi="Palatino Linotype" w:cs="Times New Roman"/>
          <w:lang w:val="es-ES" w:eastAsia="es-MX"/>
        </w:rPr>
        <w:t xml:space="preserve"> resolución</w:t>
      </w:r>
      <w:r w:rsidR="00CE7B83">
        <w:rPr>
          <w:rFonts w:ascii="Palatino Linotype" w:eastAsia="Times New Roman" w:hAnsi="Palatino Linotype" w:cs="Times New Roman"/>
          <w:lang w:val="es-ES" w:eastAsia="es-MX"/>
        </w:rPr>
        <w:t>, vía SAIMEX</w:t>
      </w:r>
      <w:r w:rsidR="006D15D0">
        <w:rPr>
          <w:rFonts w:ascii="Palatino Linotype" w:eastAsia="Times New Roman" w:hAnsi="Palatino Linotype" w:cs="Times New Roman"/>
          <w:lang w:val="es-ES" w:eastAsia="es-MX"/>
        </w:rPr>
        <w:t>.</w:t>
      </w:r>
    </w:p>
    <w:p w:rsidR="00CE7B83" w:rsidRPr="003171A7" w:rsidRDefault="00CE7B83" w:rsidP="00CE7B83">
      <w:pPr>
        <w:tabs>
          <w:tab w:val="left" w:pos="8080"/>
        </w:tabs>
        <w:spacing w:line="360" w:lineRule="auto"/>
        <w:ind w:right="49"/>
        <w:jc w:val="both"/>
        <w:rPr>
          <w:rFonts w:ascii="Palatino Linotype" w:eastAsia="Times New Roman" w:hAnsi="Palatino Linotype" w:cs="Arial"/>
          <w:b/>
          <w:lang w:val="es-ES"/>
        </w:rPr>
      </w:pPr>
    </w:p>
    <w:p w:rsidR="009F09BC" w:rsidRDefault="0057514F" w:rsidP="00CE7B83">
      <w:pPr>
        <w:shd w:val="clear" w:color="auto" w:fill="FFFFFF"/>
        <w:spacing w:line="360" w:lineRule="auto"/>
        <w:jc w:val="both"/>
        <w:rPr>
          <w:rFonts w:ascii="Palatino Linotype" w:eastAsia="Times New Roman" w:hAnsi="Palatino Linotype" w:cs="Times New Roman"/>
          <w:lang w:val="es-ES" w:eastAsia="es-MX"/>
        </w:rPr>
      </w:pPr>
      <w:r>
        <w:rPr>
          <w:rFonts w:ascii="Palatino Linotype" w:eastAsia="Calibri" w:hAnsi="Palatino Linotype" w:cs="Times New Roman"/>
          <w:b/>
          <w:lang w:val="es-MX" w:eastAsia="en-US"/>
        </w:rPr>
        <w:t>SEX</w:t>
      </w:r>
      <w:r w:rsidR="009F09BC" w:rsidRPr="003171A7">
        <w:rPr>
          <w:rFonts w:ascii="Palatino Linotype" w:eastAsia="Calibri" w:hAnsi="Palatino Linotype" w:cs="Times New Roman"/>
          <w:b/>
          <w:lang w:val="es-MX" w:eastAsia="en-US"/>
        </w:rPr>
        <w:t>TO.</w:t>
      </w:r>
      <w:r w:rsidR="009F09BC" w:rsidRPr="003171A7">
        <w:rPr>
          <w:rFonts w:ascii="Palatino Linotype" w:eastAsia="Calibri" w:hAnsi="Palatino Linotype" w:cs="Times New Roman"/>
          <w:lang w:val="es-MX" w:eastAsia="en-US"/>
        </w:rPr>
        <w:t xml:space="preserve"> </w:t>
      </w:r>
      <w:r w:rsidR="009F09BC" w:rsidRPr="003171A7">
        <w:rPr>
          <w:rFonts w:ascii="Palatino Linotype" w:eastAsia="Times New Roman" w:hAnsi="Palatino Linotype" w:cs="Times New Roman"/>
          <w:lang w:val="es-ES" w:eastAsia="es-MX"/>
        </w:rPr>
        <w:t>Se hace del conocimiento de</w:t>
      </w:r>
      <w:r w:rsidR="009F09BC">
        <w:rPr>
          <w:rFonts w:ascii="Palatino Linotype" w:eastAsia="Times New Roman" w:hAnsi="Palatino Linotype" w:cs="Times New Roman"/>
          <w:lang w:val="es-ES" w:eastAsia="es-MX"/>
        </w:rPr>
        <w:t xml:space="preserve"> </w:t>
      </w:r>
      <w:r w:rsidR="009F09BC" w:rsidRPr="003D4B5F">
        <w:rPr>
          <w:rFonts w:ascii="Palatino Linotype" w:eastAsia="Times New Roman" w:hAnsi="Palatino Linotype" w:cs="Times New Roman"/>
          <w:b/>
          <w:lang w:val="es-ES" w:eastAsia="es-MX"/>
        </w:rPr>
        <w:t>EL RECURRENTE</w:t>
      </w:r>
      <w:r w:rsidR="009F09BC" w:rsidRPr="003171A7">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3171A7">
        <w:rPr>
          <w:rFonts w:ascii="Palatino Linotype" w:eastAsia="Times New Roman" w:hAnsi="Palatino Linotype" w:cs="Times New Roman"/>
          <w:bCs/>
          <w:lang w:val="es-ES" w:eastAsia="es-MX"/>
        </w:rPr>
        <w:t xml:space="preserve">vía juicio de </w:t>
      </w:r>
      <w:r w:rsidR="009F09BC" w:rsidRPr="002B5F45">
        <w:rPr>
          <w:rFonts w:ascii="Palatino Linotype" w:eastAsia="Times New Roman" w:hAnsi="Palatino Linotype" w:cs="Times New Roman"/>
          <w:bCs/>
          <w:lang w:val="es-ES" w:eastAsia="es-MX"/>
        </w:rPr>
        <w:t>amparo</w:t>
      </w:r>
      <w:r w:rsidR="009F09BC" w:rsidRPr="002B5F45">
        <w:rPr>
          <w:rFonts w:ascii="Palatino Linotype" w:eastAsia="Times New Roman" w:hAnsi="Palatino Linotype" w:cs="Times New Roman"/>
          <w:lang w:val="es-ES" w:eastAsia="es-MX"/>
        </w:rPr>
        <w:t> en los términos de las leyes aplicables.</w:t>
      </w:r>
    </w:p>
    <w:p w:rsidR="00053FB7" w:rsidRPr="002B5F45" w:rsidRDefault="00053FB7" w:rsidP="00CE7B83">
      <w:pPr>
        <w:shd w:val="clear" w:color="auto" w:fill="FFFFFF"/>
        <w:spacing w:line="360" w:lineRule="auto"/>
        <w:jc w:val="both"/>
        <w:rPr>
          <w:rFonts w:ascii="Palatino Linotype" w:eastAsia="Times New Roman" w:hAnsi="Palatino Linotype" w:cs="Times New Roman"/>
          <w:lang w:val="es-ES" w:eastAsia="es-MX"/>
        </w:rPr>
      </w:pPr>
    </w:p>
    <w:p w:rsidR="0021157C" w:rsidRDefault="0021157C" w:rsidP="0021157C">
      <w:pPr>
        <w:spacing w:before="240" w:after="240" w:line="360" w:lineRule="auto"/>
        <w:ind w:firstLine="1"/>
        <w:jc w:val="both"/>
        <w:rPr>
          <w:rFonts w:ascii="Palatino Linotype" w:hAnsi="Palatino Linotype"/>
        </w:rPr>
      </w:pPr>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w:t>
      </w:r>
      <w:r w:rsidRPr="00A0054B">
        <w:rPr>
          <w:rFonts w:ascii="Palatino Linotype" w:hAnsi="Palatino Linotype"/>
        </w:rPr>
        <w:lastRenderedPageBreak/>
        <w:t xml:space="preserve">RAMÍREZ PEÑA EN LA </w:t>
      </w:r>
      <w:r>
        <w:rPr>
          <w:rFonts w:ascii="Palatino Linotype" w:hAnsi="Palatino Linotype"/>
        </w:rPr>
        <w:t xml:space="preserve">VIGÉSIMA </w:t>
      </w:r>
      <w:r w:rsidRPr="00A0054B">
        <w:rPr>
          <w:rFonts w:ascii="Palatino Linotype" w:hAnsi="Palatino Linotype"/>
        </w:rPr>
        <w:t xml:space="preserve">SESIÓN ORDINARIA CELEBRADA EL </w:t>
      </w:r>
      <w:r>
        <w:rPr>
          <w:rFonts w:ascii="Palatino Linotype" w:hAnsi="Palatino Linotype"/>
        </w:rPr>
        <w:t>UNO (01)</w:t>
      </w:r>
      <w:r w:rsidRPr="00A0054B">
        <w:rPr>
          <w:rFonts w:ascii="Palatino Linotype" w:hAnsi="Palatino Linotype"/>
        </w:rPr>
        <w:t xml:space="preserve"> DE </w:t>
      </w:r>
      <w:r>
        <w:rPr>
          <w:rFonts w:ascii="Palatino Linotype" w:hAnsi="Palatino Linotype"/>
        </w:rPr>
        <w:t>JUNIO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Default="009F09BC" w:rsidP="009F09BC"/>
    <w:p w:rsidR="009F09BC" w:rsidRDefault="009F09BC" w:rsidP="009F09BC">
      <w:pPr>
        <w:tabs>
          <w:tab w:val="left" w:pos="3374"/>
        </w:tabs>
      </w:pPr>
      <w:r>
        <w:tab/>
      </w: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Pr="009F09BC" w:rsidRDefault="00053FB7" w:rsidP="009F09BC">
      <w:pPr>
        <w:tabs>
          <w:tab w:val="left" w:pos="3374"/>
        </w:tabs>
      </w:pPr>
    </w:p>
    <w:sectPr w:rsidR="00053FB7" w:rsidRPr="009F09BC" w:rsidSect="00E61C13">
      <w:headerReference w:type="even" r:id="rId17"/>
      <w:headerReference w:type="default" r:id="rId18"/>
      <w:footerReference w:type="default" r:id="rId19"/>
      <w:headerReference w:type="first" r:id="rId20"/>
      <w:footerReference w:type="first" r:id="rId21"/>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471" w:rsidRDefault="00E80471" w:rsidP="003B7751">
      <w:r>
        <w:separator/>
      </w:r>
    </w:p>
  </w:endnote>
  <w:endnote w:type="continuationSeparator" w:id="0">
    <w:p w:rsidR="00E80471" w:rsidRDefault="00E80471"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220982" w:rsidRPr="002D6DD8" w:rsidRDefault="00220982"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77A34">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77A34">
              <w:rPr>
                <w:rFonts w:ascii="Palatino Linotype" w:hAnsi="Palatino Linotype"/>
                <w:bCs/>
                <w:noProof/>
                <w:sz w:val="20"/>
              </w:rPr>
              <w:t>55</w:t>
            </w:r>
            <w:r>
              <w:rPr>
                <w:rFonts w:ascii="Palatino Linotype" w:hAnsi="Palatino Linotype"/>
                <w:bCs/>
                <w:noProof/>
                <w:sz w:val="20"/>
              </w:rPr>
              <w:fldChar w:fldCharType="end"/>
            </w:r>
          </w:p>
        </w:sdtContent>
      </w:sdt>
    </w:sdtContent>
  </w:sdt>
  <w:p w:rsidR="00220982" w:rsidRDefault="0022098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982" w:rsidRPr="000B69FA" w:rsidRDefault="00220982"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77A3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77A34">
      <w:rPr>
        <w:rFonts w:ascii="Palatino Linotype" w:hAnsi="Palatino Linotype"/>
        <w:bCs/>
        <w:noProof/>
        <w:sz w:val="20"/>
      </w:rPr>
      <w:t>55</w:t>
    </w:r>
    <w:r>
      <w:rPr>
        <w:rFonts w:ascii="Palatino Linotype" w:hAnsi="Palatino Linotype"/>
        <w:bCs/>
        <w:noProof/>
        <w:sz w:val="20"/>
      </w:rPr>
      <w:fldChar w:fldCharType="end"/>
    </w:r>
  </w:p>
  <w:p w:rsidR="00220982" w:rsidRDefault="0022098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471" w:rsidRDefault="00E80471" w:rsidP="003B7751">
      <w:r>
        <w:separator/>
      </w:r>
    </w:p>
  </w:footnote>
  <w:footnote w:type="continuationSeparator" w:id="0">
    <w:p w:rsidR="00E80471" w:rsidRDefault="00E80471" w:rsidP="003B7751">
      <w:r>
        <w:continuationSeparator/>
      </w:r>
    </w:p>
  </w:footnote>
  <w:footnote w:id="1">
    <w:p w:rsidR="00220982" w:rsidRPr="009C43C2" w:rsidRDefault="00220982"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rsidR="00220982" w:rsidRPr="009C43C2" w:rsidRDefault="00220982"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rsidR="00220982" w:rsidRPr="009C43C2" w:rsidRDefault="00220982"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220982" w:rsidRDefault="00220982" w:rsidP="005B6702">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rsidR="00220982" w:rsidRDefault="00220982" w:rsidP="009F09BC">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w:t>
      </w:r>
      <w:proofErr w:type="gramStart"/>
      <w:r>
        <w:rPr>
          <w:rFonts w:ascii="Palatino Linotype" w:hAnsi="Palatino Linotype"/>
          <w:sz w:val="14"/>
        </w:rPr>
        <w:t>y</w:t>
      </w:r>
      <w:proofErr w:type="gramEnd"/>
      <w:r>
        <w:rPr>
          <w:rFonts w:ascii="Palatino Linotype" w:hAnsi="Palatino Linotype"/>
          <w:sz w:val="14"/>
        </w:rPr>
        <w:t xml:space="preserve">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220982" w:rsidRDefault="00220982" w:rsidP="009F09BC">
      <w:pPr>
        <w:pStyle w:val="Textonotapie"/>
        <w:jc w:val="both"/>
        <w:rPr>
          <w:rFonts w:ascii="Palatino Linotype" w:hAnsi="Palatino Linotype"/>
          <w:sz w:val="14"/>
        </w:rPr>
      </w:pPr>
      <w:r>
        <w:rPr>
          <w:rFonts w:ascii="Palatino Linotype" w:hAnsi="Palatino Linotype"/>
          <w:sz w:val="14"/>
        </w:rPr>
        <w:t xml:space="preserve">1a./J.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w:t>
      </w:r>
      <w:proofErr w:type="gramStart"/>
      <w:r>
        <w:rPr>
          <w:rFonts w:ascii="Palatino Linotype" w:hAnsi="Palatino Linotype"/>
          <w:sz w:val="14"/>
        </w:rPr>
        <w:t>Febrero</w:t>
      </w:r>
      <w:proofErr w:type="gramEnd"/>
      <w:r>
        <w:rPr>
          <w:rFonts w:ascii="Palatino Linotype" w:hAnsi="Palatino Linotype"/>
          <w:sz w:val="14"/>
        </w:rPr>
        <w:t xml:space="preserve">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6">
    <w:p w:rsidR="00220982" w:rsidRDefault="00220982" w:rsidP="009F09BC">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7">
    <w:p w:rsidR="00220982" w:rsidRDefault="00220982"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rFonts w:ascii="Palatino Linotype" w:hAnsi="Palatino Linotype"/>
          <w:sz w:val="18"/>
          <w:lang w:val="es-ES"/>
        </w:rPr>
        <w:t>propiedades  a</w:t>
      </w:r>
      <w:proofErr w:type="gramEnd"/>
      <w:r>
        <w:rPr>
          <w:rFonts w:ascii="Palatino Linotype" w:hAnsi="Palatino Linotype"/>
          <w:sz w:val="18"/>
          <w:lang w:val="es-ES"/>
        </w:rPr>
        <w:t>, b, c y d diremos que no es un J. Todo esto, en verdad, son obviedades, casi perogrulladas, pero veremos que conviene aquí explicitarlas e ir paso a paso.</w:t>
      </w:r>
    </w:p>
    <w:p w:rsidR="00220982" w:rsidRDefault="00220982" w:rsidP="009F09BC">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220982" w:rsidRDefault="00220982" w:rsidP="009F09BC">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8">
    <w:p w:rsidR="00220982" w:rsidRDefault="00220982"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w:t>
      </w:r>
      <w:proofErr w:type="gramStart"/>
      <w:r>
        <w:rPr>
          <w:rFonts w:ascii="Palatino Linotype" w:hAnsi="Palatino Linotype"/>
          <w:sz w:val="18"/>
          <w:lang w:val="es-ES"/>
        </w:rPr>
        <w:t>http://sjf.scjn.gob.mx/sjfsist/Documentos/Tesis/203/203143.pdf  el</w:t>
      </w:r>
      <w:proofErr w:type="gramEnd"/>
      <w:r>
        <w:rPr>
          <w:rFonts w:ascii="Palatino Linotype" w:hAnsi="Palatino Linotype"/>
          <w:sz w:val="18"/>
          <w:lang w:val="es-ES"/>
        </w:rPr>
        <w:t xml:space="preserve"> viernes 16 de junio de 2017.</w:t>
      </w:r>
    </w:p>
  </w:footnote>
  <w:footnote w:id="9">
    <w:p w:rsidR="00220982" w:rsidRDefault="00220982" w:rsidP="009F09BC">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220982" w:rsidRDefault="00220982" w:rsidP="009F09BC">
      <w:pPr>
        <w:pStyle w:val="Textonotapie"/>
        <w:jc w:val="both"/>
        <w:rPr>
          <w:rFonts w:ascii="Palatino Linotype" w:hAnsi="Palatino Linotype"/>
          <w:sz w:val="18"/>
        </w:rPr>
      </w:pPr>
      <w:r>
        <w:rPr>
          <w:rFonts w:ascii="Palatino Linotype" w:hAnsi="Palatino Linotype"/>
          <w:sz w:val="18"/>
        </w:rPr>
        <w:t xml:space="preserve"> (…)</w:t>
      </w:r>
    </w:p>
    <w:p w:rsidR="00220982" w:rsidRDefault="00220982" w:rsidP="009F09BC">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982" w:rsidRDefault="00E8047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220982" w:rsidTr="006A04B6">
      <w:trPr>
        <w:trHeight w:val="227"/>
      </w:trPr>
      <w:tc>
        <w:tcPr>
          <w:tcW w:w="2976" w:type="dxa"/>
          <w:vAlign w:val="center"/>
          <w:hideMark/>
        </w:tcPr>
        <w:p w:rsidR="00220982" w:rsidRPr="00674A46" w:rsidRDefault="00220982"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220982" w:rsidRPr="00485ED8" w:rsidRDefault="00220982" w:rsidP="002650A0">
          <w:pPr>
            <w:pStyle w:val="Encabezado"/>
            <w:rPr>
              <w:rFonts w:ascii="Palatino Linotype" w:hAnsi="Palatino Linotype"/>
              <w:b/>
              <w:sz w:val="22"/>
              <w:szCs w:val="22"/>
            </w:rPr>
          </w:pPr>
          <w:r>
            <w:rPr>
              <w:rFonts w:ascii="Palatino Linotype" w:hAnsi="Palatino Linotype" w:cs="Arial"/>
              <w:b/>
              <w:bCs/>
              <w:sz w:val="22"/>
              <w:szCs w:val="22"/>
              <w:lang w:eastAsia="es-MX"/>
            </w:rPr>
            <w:t>01563</w:t>
          </w:r>
          <w:r w:rsidRPr="00485ED8">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r>
    <w:tr w:rsidR="00220982" w:rsidTr="006A04B6">
      <w:trPr>
        <w:trHeight w:val="242"/>
      </w:trPr>
      <w:tc>
        <w:tcPr>
          <w:tcW w:w="2976" w:type="dxa"/>
          <w:vAlign w:val="center"/>
          <w:hideMark/>
        </w:tcPr>
        <w:p w:rsidR="00220982" w:rsidRPr="00674A46" w:rsidRDefault="00220982"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220982" w:rsidRPr="00485ED8" w:rsidRDefault="00220982" w:rsidP="009F09BC">
          <w:pPr>
            <w:pStyle w:val="Encabezado"/>
            <w:jc w:val="both"/>
            <w:rPr>
              <w:rFonts w:ascii="Palatino Linotype" w:hAnsi="Palatino Linotype"/>
              <w:b/>
              <w:sz w:val="22"/>
              <w:szCs w:val="22"/>
            </w:rPr>
          </w:pPr>
          <w:r w:rsidRPr="00652937">
            <w:rPr>
              <w:rFonts w:ascii="Palatino Linotype" w:hAnsi="Palatino Linotype"/>
              <w:b/>
              <w:bCs/>
              <w:color w:val="000000"/>
              <w:sz w:val="22"/>
              <w:szCs w:val="22"/>
            </w:rPr>
            <w:t xml:space="preserve">Ayuntamiento de </w:t>
          </w:r>
          <w:proofErr w:type="spellStart"/>
          <w:r w:rsidRPr="00652937">
            <w:rPr>
              <w:rFonts w:ascii="Palatino Linotype" w:hAnsi="Palatino Linotype"/>
              <w:b/>
              <w:bCs/>
              <w:color w:val="000000"/>
              <w:sz w:val="22"/>
              <w:szCs w:val="22"/>
            </w:rPr>
            <w:t>Xonacatlán</w:t>
          </w:r>
          <w:proofErr w:type="spellEnd"/>
        </w:p>
      </w:tc>
    </w:tr>
    <w:tr w:rsidR="00220982" w:rsidTr="006A04B6">
      <w:trPr>
        <w:trHeight w:val="342"/>
      </w:trPr>
      <w:tc>
        <w:tcPr>
          <w:tcW w:w="2976" w:type="dxa"/>
          <w:vAlign w:val="center"/>
          <w:hideMark/>
        </w:tcPr>
        <w:p w:rsidR="00220982" w:rsidRPr="00674A46" w:rsidRDefault="00220982"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220982" w:rsidRPr="00485ED8" w:rsidRDefault="00220982"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220982" w:rsidRPr="00AE046A" w:rsidRDefault="00E80471"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220982" w:rsidTr="006A04B6">
      <w:trPr>
        <w:trHeight w:val="227"/>
      </w:trPr>
      <w:tc>
        <w:tcPr>
          <w:tcW w:w="2977" w:type="dxa"/>
          <w:vAlign w:val="center"/>
          <w:hideMark/>
        </w:tcPr>
        <w:p w:rsidR="00220982" w:rsidRPr="00674A46" w:rsidRDefault="00220982"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220982" w:rsidRPr="00485ED8" w:rsidRDefault="00220982" w:rsidP="008A699B">
          <w:pPr>
            <w:pStyle w:val="Encabezado"/>
            <w:rPr>
              <w:rFonts w:ascii="Palatino Linotype" w:hAnsi="Palatino Linotype"/>
              <w:b/>
              <w:sz w:val="22"/>
              <w:szCs w:val="22"/>
            </w:rPr>
          </w:pPr>
          <w:r>
            <w:rPr>
              <w:rFonts w:ascii="Palatino Linotype" w:hAnsi="Palatino Linotype" w:cs="Arial"/>
              <w:b/>
              <w:bCs/>
              <w:sz w:val="22"/>
              <w:szCs w:val="22"/>
              <w:lang w:eastAsia="es-MX"/>
            </w:rPr>
            <w:t>01563</w:t>
          </w:r>
          <w:r w:rsidRPr="00DE2F5A">
            <w:rPr>
              <w:rFonts w:ascii="Palatino Linotype" w:hAnsi="Palatino Linotype" w:cs="Arial"/>
              <w:b/>
              <w:bCs/>
              <w:sz w:val="22"/>
              <w:szCs w:val="22"/>
              <w:lang w:eastAsia="es-MX"/>
            </w:rPr>
            <w:t>/INFOEM/IP/RR/2022</w:t>
          </w:r>
        </w:p>
      </w:tc>
    </w:tr>
    <w:tr w:rsidR="00220982" w:rsidTr="00652937">
      <w:trPr>
        <w:trHeight w:val="242"/>
      </w:trPr>
      <w:tc>
        <w:tcPr>
          <w:tcW w:w="2977" w:type="dxa"/>
          <w:vAlign w:val="center"/>
          <w:hideMark/>
        </w:tcPr>
        <w:p w:rsidR="00220982" w:rsidRPr="00674A46" w:rsidRDefault="00220982"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220982" w:rsidRPr="00B75F20" w:rsidRDefault="00220982" w:rsidP="009F09BC">
          <w:pPr>
            <w:pStyle w:val="Encabezado"/>
            <w:tabs>
              <w:tab w:val="left" w:pos="521"/>
            </w:tabs>
            <w:rPr>
              <w:rFonts w:ascii="Palatino Linotype" w:hAnsi="Palatino Linotype"/>
              <w:b/>
              <w:sz w:val="22"/>
              <w:szCs w:val="22"/>
            </w:rPr>
          </w:pPr>
        </w:p>
      </w:tc>
    </w:tr>
    <w:tr w:rsidR="00220982" w:rsidTr="006A04B6">
      <w:trPr>
        <w:trHeight w:val="342"/>
      </w:trPr>
      <w:tc>
        <w:tcPr>
          <w:tcW w:w="2977" w:type="dxa"/>
          <w:vAlign w:val="center"/>
        </w:tcPr>
        <w:p w:rsidR="00220982" w:rsidRPr="00674A46" w:rsidRDefault="00220982"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220982" w:rsidRPr="00674A46" w:rsidRDefault="00220982" w:rsidP="009F09BC">
          <w:pPr>
            <w:pStyle w:val="Encabezado"/>
            <w:jc w:val="both"/>
            <w:rPr>
              <w:rFonts w:ascii="Palatino Linotype" w:hAnsi="Palatino Linotype"/>
              <w:b/>
              <w:sz w:val="22"/>
              <w:szCs w:val="22"/>
            </w:rPr>
          </w:pPr>
          <w:r w:rsidRPr="00652937">
            <w:rPr>
              <w:rFonts w:ascii="Palatino Linotype" w:hAnsi="Palatino Linotype"/>
              <w:b/>
              <w:bCs/>
              <w:color w:val="000000"/>
              <w:sz w:val="22"/>
              <w:szCs w:val="22"/>
            </w:rPr>
            <w:t xml:space="preserve">Ayuntamiento de </w:t>
          </w:r>
          <w:proofErr w:type="spellStart"/>
          <w:r w:rsidRPr="00652937">
            <w:rPr>
              <w:rFonts w:ascii="Palatino Linotype" w:hAnsi="Palatino Linotype"/>
              <w:b/>
              <w:bCs/>
              <w:color w:val="000000"/>
              <w:sz w:val="22"/>
              <w:szCs w:val="22"/>
            </w:rPr>
            <w:t>Xonacatlán</w:t>
          </w:r>
          <w:proofErr w:type="spellEnd"/>
        </w:p>
      </w:tc>
    </w:tr>
    <w:tr w:rsidR="00220982" w:rsidTr="006A04B6">
      <w:trPr>
        <w:trHeight w:val="342"/>
      </w:trPr>
      <w:tc>
        <w:tcPr>
          <w:tcW w:w="2977" w:type="dxa"/>
          <w:vAlign w:val="center"/>
        </w:tcPr>
        <w:p w:rsidR="00220982" w:rsidRPr="00674A46" w:rsidRDefault="00220982"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220982" w:rsidRPr="00674A46" w:rsidRDefault="00220982"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220982" w:rsidRPr="00C222C0" w:rsidRDefault="00E80471">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44252B"/>
    <w:multiLevelType w:val="hybridMultilevel"/>
    <w:tmpl w:val="17F8D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3B275B"/>
    <w:multiLevelType w:val="hybridMultilevel"/>
    <w:tmpl w:val="EB1C4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4"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9"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1" w15:restartNumberingAfterBreak="0">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5"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15:restartNumberingAfterBreak="0">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3"/>
  </w:num>
  <w:num w:numId="8">
    <w:abstractNumId w:val="0"/>
  </w:num>
  <w:num w:numId="9">
    <w:abstractNumId w:val="32"/>
  </w:num>
  <w:num w:numId="10">
    <w:abstractNumId w:val="20"/>
  </w:num>
  <w:num w:numId="11">
    <w:abstractNumId w:val="14"/>
  </w:num>
  <w:num w:numId="12">
    <w:abstractNumId w:val="24"/>
  </w:num>
  <w:num w:numId="13">
    <w:abstractNumId w:val="33"/>
  </w:num>
  <w:num w:numId="14">
    <w:abstractNumId w:val="5"/>
  </w:num>
  <w:num w:numId="15">
    <w:abstractNumId w:val="17"/>
  </w:num>
  <w:num w:numId="16">
    <w:abstractNumId w:val="29"/>
  </w:num>
  <w:num w:numId="17">
    <w:abstractNumId w:val="10"/>
  </w:num>
  <w:num w:numId="18">
    <w:abstractNumId w:val="26"/>
  </w:num>
  <w:num w:numId="19">
    <w:abstractNumId w:val="34"/>
  </w:num>
  <w:num w:numId="20">
    <w:abstractNumId w:val="18"/>
  </w:num>
  <w:num w:numId="21">
    <w:abstractNumId w:val="23"/>
  </w:num>
  <w:num w:numId="22">
    <w:abstractNumId w:val="15"/>
  </w:num>
  <w:num w:numId="23">
    <w:abstractNumId w:val="37"/>
  </w:num>
  <w:num w:numId="24">
    <w:abstractNumId w:val="8"/>
  </w:num>
  <w:num w:numId="25">
    <w:abstractNumId w:val="30"/>
  </w:num>
  <w:num w:numId="26">
    <w:abstractNumId w:val="22"/>
  </w:num>
  <w:num w:numId="27">
    <w:abstractNumId w:val="6"/>
  </w:num>
  <w:num w:numId="28">
    <w:abstractNumId w:val="31"/>
  </w:num>
  <w:num w:numId="29">
    <w:abstractNumId w:val="28"/>
  </w:num>
  <w:num w:numId="30">
    <w:abstractNumId w:val="25"/>
  </w:num>
  <w:num w:numId="31">
    <w:abstractNumId w:val="36"/>
  </w:num>
  <w:num w:numId="32">
    <w:abstractNumId w:val="19"/>
  </w:num>
  <w:num w:numId="33">
    <w:abstractNumId w:val="9"/>
  </w:num>
  <w:num w:numId="34">
    <w:abstractNumId w:val="13"/>
  </w:num>
  <w:num w:numId="35">
    <w:abstractNumId w:val="7"/>
  </w:num>
  <w:num w:numId="36">
    <w:abstractNumId w:val="35"/>
  </w:num>
  <w:num w:numId="37">
    <w:abstractNumId w:val="27"/>
  </w:num>
  <w:num w:numId="38">
    <w:abstractNumId w:val="21"/>
  </w:num>
  <w:num w:numId="39">
    <w:abstractNumId w:val="1"/>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5C53"/>
    <w:rsid w:val="00030FBC"/>
    <w:rsid w:val="00036137"/>
    <w:rsid w:val="000373F6"/>
    <w:rsid w:val="00051287"/>
    <w:rsid w:val="00053FB7"/>
    <w:rsid w:val="000803F7"/>
    <w:rsid w:val="0008243D"/>
    <w:rsid w:val="000E1A02"/>
    <w:rsid w:val="000E4891"/>
    <w:rsid w:val="000F1081"/>
    <w:rsid w:val="00114502"/>
    <w:rsid w:val="00124FD1"/>
    <w:rsid w:val="001352F5"/>
    <w:rsid w:val="00170D82"/>
    <w:rsid w:val="00173F2B"/>
    <w:rsid w:val="001A18E7"/>
    <w:rsid w:val="001C4290"/>
    <w:rsid w:val="001D23C1"/>
    <w:rsid w:val="001D373F"/>
    <w:rsid w:val="001D5404"/>
    <w:rsid w:val="001D630C"/>
    <w:rsid w:val="001E755B"/>
    <w:rsid w:val="0021157C"/>
    <w:rsid w:val="00220982"/>
    <w:rsid w:val="00223C06"/>
    <w:rsid w:val="00237FA4"/>
    <w:rsid w:val="002453DA"/>
    <w:rsid w:val="00264C9A"/>
    <w:rsid w:val="002650A0"/>
    <w:rsid w:val="00272CA2"/>
    <w:rsid w:val="00277FAC"/>
    <w:rsid w:val="002901F4"/>
    <w:rsid w:val="00291500"/>
    <w:rsid w:val="002A3B71"/>
    <w:rsid w:val="002C0D3C"/>
    <w:rsid w:val="002C3821"/>
    <w:rsid w:val="002C4997"/>
    <w:rsid w:val="002D294C"/>
    <w:rsid w:val="0030094A"/>
    <w:rsid w:val="00312281"/>
    <w:rsid w:val="00323FFD"/>
    <w:rsid w:val="003437D9"/>
    <w:rsid w:val="00353F1D"/>
    <w:rsid w:val="0037157C"/>
    <w:rsid w:val="003833B3"/>
    <w:rsid w:val="003933C4"/>
    <w:rsid w:val="003A15C8"/>
    <w:rsid w:val="003B7751"/>
    <w:rsid w:val="003C13F1"/>
    <w:rsid w:val="003E66D2"/>
    <w:rsid w:val="00403D64"/>
    <w:rsid w:val="00407FDA"/>
    <w:rsid w:val="004118FA"/>
    <w:rsid w:val="00425842"/>
    <w:rsid w:val="00437672"/>
    <w:rsid w:val="00456CFF"/>
    <w:rsid w:val="00461109"/>
    <w:rsid w:val="004E4EE6"/>
    <w:rsid w:val="004E6CE4"/>
    <w:rsid w:val="004F34D1"/>
    <w:rsid w:val="0050702D"/>
    <w:rsid w:val="0051715A"/>
    <w:rsid w:val="005331D8"/>
    <w:rsid w:val="00541549"/>
    <w:rsid w:val="005432D0"/>
    <w:rsid w:val="00546076"/>
    <w:rsid w:val="00547ACE"/>
    <w:rsid w:val="005507B0"/>
    <w:rsid w:val="00554A21"/>
    <w:rsid w:val="00556E0A"/>
    <w:rsid w:val="00563F2E"/>
    <w:rsid w:val="0057514F"/>
    <w:rsid w:val="00575E75"/>
    <w:rsid w:val="00583A39"/>
    <w:rsid w:val="005B076D"/>
    <w:rsid w:val="005B6702"/>
    <w:rsid w:val="005C5021"/>
    <w:rsid w:val="005D2F1C"/>
    <w:rsid w:val="005D4C57"/>
    <w:rsid w:val="0062406B"/>
    <w:rsid w:val="00647F7C"/>
    <w:rsid w:val="00652937"/>
    <w:rsid w:val="00657639"/>
    <w:rsid w:val="006672E1"/>
    <w:rsid w:val="00677A34"/>
    <w:rsid w:val="00680C93"/>
    <w:rsid w:val="006A04B6"/>
    <w:rsid w:val="006A6390"/>
    <w:rsid w:val="006D15D0"/>
    <w:rsid w:val="006D6CC1"/>
    <w:rsid w:val="006E7397"/>
    <w:rsid w:val="006E7C94"/>
    <w:rsid w:val="00711062"/>
    <w:rsid w:val="007142AB"/>
    <w:rsid w:val="007142D6"/>
    <w:rsid w:val="00716BCA"/>
    <w:rsid w:val="00720371"/>
    <w:rsid w:val="0074110E"/>
    <w:rsid w:val="00742823"/>
    <w:rsid w:val="00775EB2"/>
    <w:rsid w:val="00782A12"/>
    <w:rsid w:val="007851DB"/>
    <w:rsid w:val="007A33A8"/>
    <w:rsid w:val="007A460E"/>
    <w:rsid w:val="007A6A1A"/>
    <w:rsid w:val="00804DAA"/>
    <w:rsid w:val="0082142B"/>
    <w:rsid w:val="008227A9"/>
    <w:rsid w:val="008468BF"/>
    <w:rsid w:val="008526F4"/>
    <w:rsid w:val="008563C8"/>
    <w:rsid w:val="008573BF"/>
    <w:rsid w:val="0086792A"/>
    <w:rsid w:val="00873EB6"/>
    <w:rsid w:val="008A699B"/>
    <w:rsid w:val="008B0637"/>
    <w:rsid w:val="008C1ED7"/>
    <w:rsid w:val="008E2E1F"/>
    <w:rsid w:val="008E330F"/>
    <w:rsid w:val="008E6574"/>
    <w:rsid w:val="008F5B26"/>
    <w:rsid w:val="008F6998"/>
    <w:rsid w:val="008F6D18"/>
    <w:rsid w:val="00911A75"/>
    <w:rsid w:val="009126F1"/>
    <w:rsid w:val="009335F9"/>
    <w:rsid w:val="00945135"/>
    <w:rsid w:val="009972BB"/>
    <w:rsid w:val="009A2251"/>
    <w:rsid w:val="009D5A32"/>
    <w:rsid w:val="009E68D3"/>
    <w:rsid w:val="009F09BC"/>
    <w:rsid w:val="00A23E82"/>
    <w:rsid w:val="00A30177"/>
    <w:rsid w:val="00A305ED"/>
    <w:rsid w:val="00A626EB"/>
    <w:rsid w:val="00AD316E"/>
    <w:rsid w:val="00AD63B4"/>
    <w:rsid w:val="00AF4BBC"/>
    <w:rsid w:val="00B07BF8"/>
    <w:rsid w:val="00B11CDD"/>
    <w:rsid w:val="00B530E8"/>
    <w:rsid w:val="00B86242"/>
    <w:rsid w:val="00BA4537"/>
    <w:rsid w:val="00BF3FB5"/>
    <w:rsid w:val="00C03BA3"/>
    <w:rsid w:val="00C0715F"/>
    <w:rsid w:val="00C105CC"/>
    <w:rsid w:val="00C14F2A"/>
    <w:rsid w:val="00C21FAE"/>
    <w:rsid w:val="00C242A7"/>
    <w:rsid w:val="00C41B2B"/>
    <w:rsid w:val="00C41E57"/>
    <w:rsid w:val="00C47C3D"/>
    <w:rsid w:val="00C54D99"/>
    <w:rsid w:val="00C85E64"/>
    <w:rsid w:val="00C87396"/>
    <w:rsid w:val="00C90814"/>
    <w:rsid w:val="00C91F0F"/>
    <w:rsid w:val="00CA1063"/>
    <w:rsid w:val="00CB757D"/>
    <w:rsid w:val="00CC5B2F"/>
    <w:rsid w:val="00CE7B83"/>
    <w:rsid w:val="00CF0D2B"/>
    <w:rsid w:val="00D021A5"/>
    <w:rsid w:val="00D16FC7"/>
    <w:rsid w:val="00D31FC8"/>
    <w:rsid w:val="00D41237"/>
    <w:rsid w:val="00D47231"/>
    <w:rsid w:val="00D6224B"/>
    <w:rsid w:val="00D81329"/>
    <w:rsid w:val="00D84DEA"/>
    <w:rsid w:val="00D96104"/>
    <w:rsid w:val="00DA6D37"/>
    <w:rsid w:val="00DB753F"/>
    <w:rsid w:val="00DE2F5A"/>
    <w:rsid w:val="00DF03A5"/>
    <w:rsid w:val="00E118BA"/>
    <w:rsid w:val="00E17429"/>
    <w:rsid w:val="00E56172"/>
    <w:rsid w:val="00E5636B"/>
    <w:rsid w:val="00E566C9"/>
    <w:rsid w:val="00E61C13"/>
    <w:rsid w:val="00E61DA9"/>
    <w:rsid w:val="00E80471"/>
    <w:rsid w:val="00E92E04"/>
    <w:rsid w:val="00ED1D6B"/>
    <w:rsid w:val="00ED3A35"/>
    <w:rsid w:val="00ED6E75"/>
    <w:rsid w:val="00F24A04"/>
    <w:rsid w:val="00F35B0C"/>
    <w:rsid w:val="00F42ADB"/>
    <w:rsid w:val="00F52E40"/>
    <w:rsid w:val="00F72588"/>
    <w:rsid w:val="00F7371C"/>
    <w:rsid w:val="00F946B5"/>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C6F1D-CE84-46BA-85C4-73E68A814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55</Pages>
  <Words>10581</Words>
  <Characters>58200</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Lenovo</cp:lastModifiedBy>
  <cp:revision>9</cp:revision>
  <dcterms:created xsi:type="dcterms:W3CDTF">2022-05-25T17:55:00Z</dcterms:created>
  <dcterms:modified xsi:type="dcterms:W3CDTF">2022-07-12T00:14:00Z</dcterms:modified>
</cp:coreProperties>
</file>